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0C" w:rsidRPr="006B5583" w:rsidRDefault="00BC610C" w:rsidP="00DC75A7">
      <w:pPr>
        <w:jc w:val="center"/>
        <w:rPr>
          <w:b/>
          <w:caps/>
          <w:noProof w:val="0"/>
        </w:rPr>
      </w:pPr>
      <w:bookmarkStart w:id="0" w:name="_GoBack"/>
      <w:bookmarkEnd w:id="0"/>
      <w:r w:rsidRPr="006B5583">
        <w:rPr>
          <w:b/>
          <w:caps/>
          <w:noProof w:val="0"/>
        </w:rPr>
        <w:t xml:space="preserve">PAŽYMA </w:t>
      </w:r>
      <w:r w:rsidR="00A96C91">
        <w:rPr>
          <w:b/>
          <w:caps/>
          <w:noProof w:val="0"/>
        </w:rPr>
        <w:t xml:space="preserve">apie </w:t>
      </w:r>
      <w:r w:rsidR="00A96C91" w:rsidRPr="00A96C91">
        <w:rPr>
          <w:b/>
          <w:bCs/>
          <w:caps/>
          <w:noProof w:val="0"/>
        </w:rPr>
        <w:t>LIETUVOS RESPUBLIKOS BAUDŽ</w:t>
      </w:r>
      <w:r w:rsidR="00035447">
        <w:rPr>
          <w:b/>
          <w:bCs/>
          <w:caps/>
          <w:noProof w:val="0"/>
        </w:rPr>
        <w:t xml:space="preserve">IAMOJO PROCESO KODEKSO 51, 106 IR </w:t>
      </w:r>
      <w:r w:rsidR="00A96C91" w:rsidRPr="00A96C91">
        <w:rPr>
          <w:b/>
          <w:bCs/>
          <w:caps/>
          <w:noProof w:val="0"/>
        </w:rPr>
        <w:t>322 STRAIPSNIŲ PAKEITIMO</w:t>
      </w:r>
      <w:r w:rsidR="005F5C17">
        <w:rPr>
          <w:b/>
          <w:bCs/>
          <w:caps/>
          <w:noProof w:val="0"/>
        </w:rPr>
        <w:t xml:space="preserve"> ir </w:t>
      </w:r>
      <w:r w:rsidR="005F5C17" w:rsidRPr="00A96C91">
        <w:rPr>
          <w:b/>
          <w:bCs/>
          <w:caps/>
          <w:noProof w:val="0"/>
        </w:rPr>
        <w:t>LIETUVOS RESPUBLIKOS VALSTYBĖS GARANTUOJAMOS TEISINĖS PAGALBOS ĮSTATYMO NR. VIII-1591 2, 9, 11, 12, 13, 14, 15, 16, 18, 19, 23, 24, 27</w:t>
      </w:r>
      <w:r w:rsidR="005F5C17" w:rsidRPr="00A96C91">
        <w:rPr>
          <w:b/>
          <w:bCs/>
          <w:caps/>
          <w:noProof w:val="0"/>
          <w:vertAlign w:val="superscript"/>
        </w:rPr>
        <w:t>1</w:t>
      </w:r>
      <w:r w:rsidR="005F5C17" w:rsidRPr="00A96C91">
        <w:rPr>
          <w:b/>
          <w:bCs/>
          <w:caps/>
          <w:noProof w:val="0"/>
        </w:rPr>
        <w:t xml:space="preserve"> IR 29</w:t>
      </w:r>
      <w:r w:rsidR="005F5C17">
        <w:rPr>
          <w:b/>
          <w:bCs/>
          <w:caps/>
          <w:noProof w:val="0"/>
        </w:rPr>
        <w:t xml:space="preserve"> STRAIPSNIŲ PAKEITIMO ĮSTATYMų</w:t>
      </w:r>
      <w:r w:rsidR="00A96C91" w:rsidRPr="00A96C91">
        <w:rPr>
          <w:b/>
          <w:bCs/>
          <w:caps/>
          <w:noProof w:val="0"/>
        </w:rPr>
        <w:t xml:space="preserve"> </w:t>
      </w:r>
      <w:r w:rsidR="005F5C17">
        <w:rPr>
          <w:b/>
          <w:bCs/>
          <w:caps/>
          <w:noProof w:val="0"/>
        </w:rPr>
        <w:t>PROJEKTų</w:t>
      </w:r>
      <w:r w:rsidR="00A96C91" w:rsidRPr="00A96C91">
        <w:rPr>
          <w:b/>
          <w:bCs/>
          <w:caps/>
          <w:noProof w:val="0"/>
        </w:rPr>
        <w:t xml:space="preserve"> DERINIM</w:t>
      </w:r>
      <w:r w:rsidR="00A96C91">
        <w:rPr>
          <w:b/>
          <w:bCs/>
          <w:caps/>
          <w:noProof w:val="0"/>
        </w:rPr>
        <w:t>Ą</w:t>
      </w:r>
    </w:p>
    <w:p w:rsidR="00E52B6A" w:rsidRPr="006B5583" w:rsidRDefault="00E52B6A" w:rsidP="007F1BF6">
      <w:pPr>
        <w:pStyle w:val="tekstas"/>
        <w:spacing w:before="0" w:beforeAutospacing="0" w:after="0" w:afterAutospacing="0"/>
        <w:ind w:right="40"/>
        <w:jc w:val="both"/>
        <w:rPr>
          <w:b/>
          <w:cap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230"/>
        <w:gridCol w:w="6662"/>
      </w:tblGrid>
      <w:tr w:rsidR="00112520" w:rsidRPr="006B5583" w:rsidTr="00337D15">
        <w:trPr>
          <w:trHeight w:val="49"/>
        </w:trPr>
        <w:tc>
          <w:tcPr>
            <w:tcW w:w="1696" w:type="dxa"/>
          </w:tcPr>
          <w:p w:rsidR="00112520" w:rsidRPr="006B5583" w:rsidRDefault="00112520" w:rsidP="00DC75A7">
            <w:pPr>
              <w:jc w:val="both"/>
              <w:rPr>
                <w:noProof w:val="0"/>
              </w:rPr>
            </w:pPr>
            <w:r w:rsidRPr="006B5583">
              <w:rPr>
                <w:b/>
                <w:noProof w:val="0"/>
              </w:rPr>
              <w:t>Institucijos pavadinimas (rašto data ir Nr.)</w:t>
            </w:r>
          </w:p>
        </w:tc>
        <w:tc>
          <w:tcPr>
            <w:tcW w:w="7230" w:type="dxa"/>
          </w:tcPr>
          <w:p w:rsidR="00112520" w:rsidRPr="006B5583" w:rsidRDefault="00112520" w:rsidP="00DC75A7">
            <w:pPr>
              <w:jc w:val="both"/>
              <w:rPr>
                <w:noProof w:val="0"/>
              </w:rPr>
            </w:pPr>
            <w:r w:rsidRPr="006B5583">
              <w:rPr>
                <w:b/>
                <w:noProof w:val="0"/>
              </w:rPr>
              <w:t>Pasiūlymas/pastaba</w:t>
            </w:r>
          </w:p>
        </w:tc>
        <w:tc>
          <w:tcPr>
            <w:tcW w:w="6662" w:type="dxa"/>
          </w:tcPr>
          <w:p w:rsidR="00112520" w:rsidRPr="006B5583" w:rsidRDefault="00516071" w:rsidP="00DC75A7">
            <w:pPr>
              <w:jc w:val="both"/>
              <w:rPr>
                <w:b/>
                <w:noProof w:val="0"/>
              </w:rPr>
            </w:pPr>
            <w:r w:rsidRPr="006B5583">
              <w:rPr>
                <w:b/>
                <w:noProof w:val="0"/>
              </w:rPr>
              <w:t>Komentarai</w:t>
            </w:r>
          </w:p>
          <w:p w:rsidR="00112520" w:rsidRPr="006B5583" w:rsidRDefault="00112520" w:rsidP="00DC75A7">
            <w:pPr>
              <w:jc w:val="both"/>
              <w:rPr>
                <w:noProof w:val="0"/>
              </w:rPr>
            </w:pPr>
          </w:p>
        </w:tc>
      </w:tr>
      <w:tr w:rsidR="00727840" w:rsidRPr="006B5583" w:rsidTr="00337D15">
        <w:tblPrEx>
          <w:tblLook w:val="0000" w:firstRow="0" w:lastRow="0" w:firstColumn="0" w:lastColumn="0" w:noHBand="0" w:noVBand="0"/>
        </w:tblPrEx>
        <w:trPr>
          <w:trHeight w:val="985"/>
        </w:trPr>
        <w:tc>
          <w:tcPr>
            <w:tcW w:w="1696" w:type="dxa"/>
            <w:vMerge w:val="restart"/>
          </w:tcPr>
          <w:p w:rsidR="00727840" w:rsidRPr="006B5583" w:rsidRDefault="00727840" w:rsidP="00091105">
            <w:pPr>
              <w:jc w:val="both"/>
              <w:rPr>
                <w:noProof w:val="0"/>
              </w:rPr>
            </w:pPr>
            <w:r w:rsidRPr="006B5583">
              <w:rPr>
                <w:noProof w:val="0"/>
              </w:rPr>
              <w:t xml:space="preserve">Lietuvos  Respublikos </w:t>
            </w:r>
            <w:r>
              <w:rPr>
                <w:noProof w:val="0"/>
              </w:rPr>
              <w:t>generalinė prokuratūros</w:t>
            </w:r>
            <w:r w:rsidRPr="006B5583">
              <w:rPr>
                <w:noProof w:val="0"/>
              </w:rPr>
              <w:t xml:space="preserve"> 2019-</w:t>
            </w:r>
            <w:r>
              <w:rPr>
                <w:noProof w:val="0"/>
              </w:rPr>
              <w:t>11</w:t>
            </w:r>
            <w:r w:rsidRPr="006B5583">
              <w:rPr>
                <w:noProof w:val="0"/>
              </w:rPr>
              <w:t>-1</w:t>
            </w:r>
            <w:r>
              <w:rPr>
                <w:noProof w:val="0"/>
              </w:rPr>
              <w:t>3</w:t>
            </w:r>
            <w:r w:rsidRPr="006B5583">
              <w:rPr>
                <w:noProof w:val="0"/>
              </w:rPr>
              <w:t xml:space="preserve"> </w:t>
            </w:r>
            <w:r>
              <w:rPr>
                <w:noProof w:val="0"/>
              </w:rPr>
              <w:t>raštas</w:t>
            </w:r>
            <w:r w:rsidRPr="006B5583">
              <w:rPr>
                <w:noProof w:val="0"/>
              </w:rPr>
              <w:t xml:space="preserve"> Nr. </w:t>
            </w:r>
            <w:r>
              <w:rPr>
                <w:noProof w:val="0"/>
              </w:rPr>
              <w:t>19-12803</w:t>
            </w:r>
          </w:p>
        </w:tc>
        <w:tc>
          <w:tcPr>
            <w:tcW w:w="7230" w:type="dxa"/>
            <w:shd w:val="clear" w:color="auto" w:fill="auto"/>
          </w:tcPr>
          <w:p w:rsidR="00727840" w:rsidRDefault="00727840" w:rsidP="002F6575">
            <w:pPr>
              <w:tabs>
                <w:tab w:val="left" w:pos="8245"/>
              </w:tabs>
              <w:suppressAutoHyphens/>
              <w:overflowPunct w:val="0"/>
              <w:autoSpaceDE w:val="0"/>
              <w:autoSpaceDN w:val="0"/>
              <w:jc w:val="both"/>
              <w:textAlignment w:val="baseline"/>
              <w:rPr>
                <w:noProof w:val="0"/>
                <w:kern w:val="3"/>
                <w:szCs w:val="20"/>
                <w:lang w:eastAsia="zh-CN"/>
              </w:rPr>
            </w:pPr>
            <w:r w:rsidRPr="00091105">
              <w:rPr>
                <w:noProof w:val="0"/>
                <w:kern w:val="3"/>
                <w:szCs w:val="20"/>
                <w:lang w:eastAsia="zh-CN"/>
              </w:rPr>
              <w:t>Susipažinus su pateiktais teisės aktų projektais matyti, kad pakeitimais siekiama sumažinti Valstybės garantuojamos teisinės pagalbos tarnybos išlaidas advokatų darbo apmokėjimui ir netgi gauti pajamų iš nuteistųjų, susigrąžinant išlaidas, susidariusias dėl būtinojo gynėjo dalyvavimo. Pažymėtina, kad šių tikslų siekiama akivaizdžiai pažeidžiant tarptautiniuose, Europos Sąjungos ir nacionaliniuose teisės aktuose įtvirtintas asmenų teises.</w:t>
            </w:r>
          </w:p>
          <w:p w:rsidR="00727840" w:rsidRPr="006B5583" w:rsidRDefault="00727840" w:rsidP="002F6575">
            <w:pPr>
              <w:tabs>
                <w:tab w:val="left" w:pos="8245"/>
              </w:tabs>
              <w:suppressAutoHyphens/>
              <w:overflowPunct w:val="0"/>
              <w:autoSpaceDE w:val="0"/>
              <w:autoSpaceDN w:val="0"/>
              <w:jc w:val="both"/>
              <w:textAlignment w:val="baseline"/>
              <w:rPr>
                <w:noProof w:val="0"/>
              </w:rPr>
            </w:pPr>
            <w:r w:rsidRPr="00091105">
              <w:rPr>
                <w:noProof w:val="0"/>
                <w:color w:val="000000"/>
                <w:kern w:val="3"/>
                <w:szCs w:val="20"/>
                <w:lang w:eastAsia="zh-CN"/>
              </w:rPr>
              <w:t xml:space="preserve">Projekte siūloma patikslinti Lietuvos Respublikos baudžiamojo proceso kodekso (toliau – BPK) 51 straipsnio 1 dalies 3 punkto nuostatas numatant, kad gynėjo dalyvavimas yra būtinas nagrinėjant nemokančių </w:t>
            </w:r>
            <w:r w:rsidRPr="00091105">
              <w:rPr>
                <w:noProof w:val="0"/>
                <w:color w:val="000000"/>
                <w:kern w:val="3"/>
                <w:szCs w:val="20"/>
                <w:lang w:eastAsia="zh-CN"/>
              </w:rPr>
              <w:lastRenderedPageBreak/>
              <w:t>proceso kalbos užsieniečių bylas, tačiau nepateikiamas nei vienas svarus  argumentas (išskyrus tai, kad bus sutaupyta pinigų), kodėl toks apribojimas turi būti nustatytas. Neaišku, kodėl Lietuvos Respublikos piliečiai, nemokantys (o kartais ir mokantys, bet nepakankamai tam, kad galėtų pilnavertiškai naudotis savo teisėmis baudžiamajame procese) praranda teisę į gynėją. Manome, kad tokia siūloma nuostata yra diskriminacinio pobūdžio, diskriminuojanti asmenis dėl tautybės ir pilietybės.</w:t>
            </w:r>
          </w:p>
        </w:tc>
        <w:tc>
          <w:tcPr>
            <w:tcW w:w="6662" w:type="dxa"/>
            <w:shd w:val="clear" w:color="auto" w:fill="auto"/>
          </w:tcPr>
          <w:p w:rsidR="00727840" w:rsidRPr="002F6575" w:rsidRDefault="002F6575" w:rsidP="00D00350">
            <w:pPr>
              <w:pStyle w:val="kopija"/>
              <w:spacing w:before="0" w:beforeAutospacing="0" w:after="0" w:afterAutospacing="0"/>
              <w:ind w:left="34"/>
              <w:jc w:val="both"/>
              <w:rPr>
                <w:b/>
              </w:rPr>
            </w:pPr>
            <w:r w:rsidRPr="002F6575">
              <w:rPr>
                <w:b/>
              </w:rPr>
              <w:lastRenderedPageBreak/>
              <w:t xml:space="preserve">Neatsižvelgta. </w:t>
            </w:r>
          </w:p>
          <w:p w:rsidR="00D924AB" w:rsidRDefault="00D924AB" w:rsidP="00D3748A">
            <w:pPr>
              <w:pStyle w:val="kopija"/>
              <w:spacing w:before="0" w:beforeAutospacing="0" w:after="0" w:afterAutospacing="0"/>
              <w:ind w:left="34"/>
              <w:jc w:val="both"/>
            </w:pPr>
            <w:r w:rsidRPr="00D924AB">
              <w:t>P</w:t>
            </w:r>
            <w:r>
              <w:t>ažymėtina, kad p</w:t>
            </w:r>
            <w:r w:rsidRPr="00D924AB">
              <w:t xml:space="preserve">asiūlymai įvertinti visų tarptautinių teisės aktų nuostatų kontekste, jokių prieštaravimų </w:t>
            </w:r>
            <w:r>
              <w:t xml:space="preserve">Europos Žmogaus Teisių Konvencijai, Europos Žmogaus Teisių Teismo </w:t>
            </w:r>
            <w:r w:rsidR="00832057">
              <w:t xml:space="preserve">(toliau – EŽTT) </w:t>
            </w:r>
            <w:r>
              <w:t>jurisprudencijai, Europos Sąjungos teisės aktams nenustatyta.</w:t>
            </w:r>
          </w:p>
          <w:p w:rsidR="008A49E9" w:rsidRDefault="00D924AB" w:rsidP="00D924AB">
            <w:pPr>
              <w:pStyle w:val="kopija"/>
              <w:spacing w:before="0" w:beforeAutospacing="0" w:after="0" w:afterAutospacing="0"/>
              <w:ind w:left="34"/>
              <w:jc w:val="both"/>
            </w:pPr>
            <w:r>
              <w:t>Nurodytas būtinas</w:t>
            </w:r>
            <w:r w:rsidRPr="00D924AB">
              <w:t xml:space="preserve"> gynėjo dalyvavimo </w:t>
            </w:r>
            <w:r>
              <w:t xml:space="preserve">pagrindas </w:t>
            </w:r>
            <w:r w:rsidRPr="00D924AB">
              <w:t xml:space="preserve">nėra įtvirtintas jokiose tarptautiniuose dokumentuose. </w:t>
            </w:r>
            <w:r>
              <w:t>Pa</w:t>
            </w:r>
            <w:r w:rsidR="008A49E9">
              <w:t xml:space="preserve">žymėtina, kad asmens </w:t>
            </w:r>
            <w:r w:rsidR="008A49E9" w:rsidRPr="008A49E9">
              <w:rPr>
                <w:u w:val="single"/>
              </w:rPr>
              <w:t>teisė</w:t>
            </w:r>
            <w:r w:rsidRPr="008A49E9">
              <w:rPr>
                <w:u w:val="single"/>
              </w:rPr>
              <w:t xml:space="preserve"> suprasti baudžiamąjį procesą yra užtikrinama per vertėją, o ne per gynėją</w:t>
            </w:r>
            <w:r w:rsidRPr="00D924AB">
              <w:t xml:space="preserve">. Dėl šios priežasties, atsižvelgiant į poreikį racionaliai naudoti valstybės lėšas, siūloma užtikrinti gynėją tik </w:t>
            </w:r>
            <w:r w:rsidRPr="00D924AB">
              <w:lastRenderedPageBreak/>
              <w:t>kalbos nemokantiems užsieniečiams</w:t>
            </w:r>
            <w:r>
              <w:t xml:space="preserve"> ir asmenims be pilietybės</w:t>
            </w:r>
            <w:r w:rsidRPr="00D924AB">
              <w:t xml:space="preserve">. </w:t>
            </w:r>
            <w:r>
              <w:t xml:space="preserve">Toks teisinis reguliavimas </w:t>
            </w:r>
            <w:r w:rsidRPr="00D924AB">
              <w:t xml:space="preserve">yra siejamas daugiau ne su kalbos mokėjimu, o </w:t>
            </w:r>
            <w:r>
              <w:t xml:space="preserve">asmens </w:t>
            </w:r>
            <w:r w:rsidRPr="00D924AB">
              <w:t xml:space="preserve">patekimu į svetimą baudžiamąją sistemą, kas gali apsunkinti </w:t>
            </w:r>
            <w:r>
              <w:t>jo galimybę savarankiškai pasirūpinti tinkama gynyba</w:t>
            </w:r>
            <w:r w:rsidRPr="00D924AB">
              <w:t xml:space="preserve">. </w:t>
            </w:r>
          </w:p>
          <w:p w:rsidR="00D924AB" w:rsidRPr="006B5583" w:rsidRDefault="008A49E9" w:rsidP="00D3748A">
            <w:pPr>
              <w:pStyle w:val="kopija"/>
              <w:spacing w:before="0" w:beforeAutospacing="0" w:after="0" w:afterAutospacing="0"/>
              <w:ind w:left="34"/>
              <w:jc w:val="both"/>
            </w:pPr>
            <w:r>
              <w:t xml:space="preserve">Be to, ir </w:t>
            </w:r>
            <w:r w:rsidR="00D924AB" w:rsidRPr="00D924AB">
              <w:t xml:space="preserve">Lietuvos piliečiams, kurie </w:t>
            </w:r>
            <w:r>
              <w:t>neturi pakankamų valstybinės kalbos žinių</w:t>
            </w:r>
            <w:r w:rsidR="00D924AB" w:rsidRPr="00D924AB">
              <w:t xml:space="preserve">, bet kokiu atveju </w:t>
            </w:r>
            <w:r>
              <w:t xml:space="preserve">baudžiamajame procese bus užtikrinamas vertėjas. Kartu atkreiptinas dėmesys, kad, esant išskirtinėms aplinkybėms, ikiteisminio tyrimo pareigūnas, prokuroras ar teisėjas turi teisę gynėją paskirti vadovaudamasis  </w:t>
            </w:r>
            <w:r w:rsidR="00832057" w:rsidRPr="00091105">
              <w:rPr>
                <w:color w:val="000000"/>
                <w:kern w:val="3"/>
                <w:szCs w:val="20"/>
                <w:lang w:eastAsia="zh-CN"/>
              </w:rPr>
              <w:t>Lietuvos Respublikos baudžiamojo proceso kodekso (toliau – BPK) 51 straipsnio</w:t>
            </w:r>
            <w:r w:rsidR="00832057">
              <w:rPr>
                <w:color w:val="000000"/>
                <w:kern w:val="3"/>
                <w:szCs w:val="20"/>
                <w:lang w:eastAsia="zh-CN"/>
              </w:rPr>
              <w:t xml:space="preserve"> 2 dalimi</w:t>
            </w:r>
            <w:r w:rsidR="00832057">
              <w:t xml:space="preserve">. </w:t>
            </w:r>
          </w:p>
        </w:tc>
      </w:tr>
      <w:tr w:rsidR="00727840" w:rsidRPr="006B5583" w:rsidTr="00337D15">
        <w:tblPrEx>
          <w:tblLook w:val="0000" w:firstRow="0" w:lastRow="0" w:firstColumn="0" w:lastColumn="0" w:noHBand="0" w:noVBand="0"/>
        </w:tblPrEx>
        <w:trPr>
          <w:trHeight w:val="701"/>
        </w:trPr>
        <w:tc>
          <w:tcPr>
            <w:tcW w:w="1696" w:type="dxa"/>
            <w:vMerge/>
          </w:tcPr>
          <w:p w:rsidR="00727840" w:rsidRPr="006B5583" w:rsidRDefault="00727840" w:rsidP="00091105">
            <w:pPr>
              <w:jc w:val="both"/>
              <w:rPr>
                <w:noProof w:val="0"/>
              </w:rPr>
            </w:pPr>
          </w:p>
        </w:tc>
        <w:tc>
          <w:tcPr>
            <w:tcW w:w="7230" w:type="dxa"/>
            <w:shd w:val="clear" w:color="auto" w:fill="auto"/>
          </w:tcPr>
          <w:p w:rsidR="00727840" w:rsidRPr="00091105" w:rsidRDefault="00727840" w:rsidP="002F6575">
            <w:pPr>
              <w:suppressAutoHyphens/>
              <w:autoSpaceDN w:val="0"/>
              <w:jc w:val="both"/>
              <w:textAlignment w:val="baseline"/>
              <w:rPr>
                <w:noProof w:val="0"/>
                <w:kern w:val="3"/>
                <w:szCs w:val="20"/>
                <w:lang w:eastAsia="zh-CN"/>
              </w:rPr>
            </w:pPr>
            <w:r w:rsidRPr="00091105">
              <w:rPr>
                <w:noProof w:val="0"/>
                <w:color w:val="000000"/>
                <w:kern w:val="3"/>
                <w:szCs w:val="20"/>
                <w:lang w:eastAsia="zh-CN"/>
              </w:rPr>
              <w:t xml:space="preserve">Taip pat projekte siūloma pakeisti BPK 51 straipsnio 1 dalies 10 punkto nuostatas numatant, kad gynėjo dalyvavimas yra būtinas, kai asmuo yra laikinai sulaikytas BPK 140 straipsnyje nustatyta tvarka </w:t>
            </w:r>
            <w:r w:rsidRPr="00091105">
              <w:rPr>
                <w:b/>
                <w:bCs/>
                <w:noProof w:val="0"/>
                <w:color w:val="000000"/>
                <w:kern w:val="3"/>
                <w:szCs w:val="20"/>
                <w:lang w:eastAsia="zh-CN"/>
              </w:rPr>
              <w:t xml:space="preserve">ir atliekami būtinieji proceso veiksmai, </w:t>
            </w:r>
            <w:r w:rsidRPr="00091105">
              <w:rPr>
                <w:noProof w:val="0"/>
                <w:color w:val="000000"/>
                <w:kern w:val="3"/>
                <w:szCs w:val="20"/>
                <w:lang w:eastAsia="zh-CN"/>
              </w:rPr>
              <w:t>tačiau aiškinamajame rašte nėra nurodyti, kokie konkrečiai būtinieji proceso veiksmai. Šios sąvokos neapibrėžia nei BPK, nei joks kitas teisės aktas, todėl ji yra visiškai neaiški. Be to, tiek BPK 10 straipsnio 1 dalyje, tiek BPK 50 straipsnio 1 dalyje yra įtvirtinta, kad asmeniui teisė į gynybą suteikiama nuo sulaikymo arba pirmosios apklausos momento. Analogiška nuostata įtvirtinta ir Konstitucijos 31 straipsnio 6 dalyje, todėl nesuprantamas šios teisės ribojimo pagrindas.</w:t>
            </w:r>
          </w:p>
        </w:tc>
        <w:tc>
          <w:tcPr>
            <w:tcW w:w="6662" w:type="dxa"/>
            <w:shd w:val="clear" w:color="auto" w:fill="auto"/>
          </w:tcPr>
          <w:p w:rsidR="00727840" w:rsidRDefault="00832057" w:rsidP="00D00350">
            <w:pPr>
              <w:pStyle w:val="kopija"/>
              <w:spacing w:before="0" w:beforeAutospacing="0" w:after="0" w:afterAutospacing="0"/>
              <w:ind w:left="34"/>
              <w:jc w:val="both"/>
            </w:pPr>
            <w:r w:rsidRPr="00832057">
              <w:rPr>
                <w:b/>
              </w:rPr>
              <w:t>Neatsižvelgta</w:t>
            </w:r>
            <w:r>
              <w:t>.</w:t>
            </w:r>
          </w:p>
          <w:p w:rsidR="00832057" w:rsidRPr="00D3748A" w:rsidRDefault="00D96A15" w:rsidP="00D3748A">
            <w:pPr>
              <w:pStyle w:val="Komentarotekstas"/>
              <w:jc w:val="both"/>
              <w:rPr>
                <w:sz w:val="24"/>
                <w:szCs w:val="24"/>
              </w:rPr>
            </w:pPr>
            <w:r w:rsidRPr="00832057">
              <w:rPr>
                <w:sz w:val="24"/>
                <w:szCs w:val="24"/>
              </w:rPr>
              <w:t>Šiuo pasiūlymu siekiama apriboti būtinojo gynėjo dalyvavimą, tais atvejais, kai asmeniu</w:t>
            </w:r>
            <w:r>
              <w:rPr>
                <w:sz w:val="24"/>
                <w:szCs w:val="24"/>
              </w:rPr>
              <w:t xml:space="preserve">i pritaikius laikiną sulaikymą, nėra vykdomi procesiniai veiksmai </w:t>
            </w:r>
            <w:r w:rsidRPr="00832057">
              <w:rPr>
                <w:sz w:val="24"/>
                <w:szCs w:val="24"/>
              </w:rPr>
              <w:t>(</w:t>
            </w:r>
            <w:r>
              <w:rPr>
                <w:sz w:val="24"/>
                <w:szCs w:val="24"/>
              </w:rPr>
              <w:t>pvz. tik siekiama nustatyti asmens tapatybę</w:t>
            </w:r>
            <w:r w:rsidRPr="00832057">
              <w:rPr>
                <w:sz w:val="24"/>
                <w:szCs w:val="24"/>
              </w:rPr>
              <w:t>).</w:t>
            </w:r>
          </w:p>
        </w:tc>
      </w:tr>
      <w:tr w:rsidR="00727840" w:rsidRPr="006B5583" w:rsidTr="00337D15">
        <w:tblPrEx>
          <w:tblLook w:val="0000" w:firstRow="0" w:lastRow="0" w:firstColumn="0" w:lastColumn="0" w:noHBand="0" w:noVBand="0"/>
        </w:tblPrEx>
        <w:trPr>
          <w:trHeight w:val="70"/>
        </w:trPr>
        <w:tc>
          <w:tcPr>
            <w:tcW w:w="1696" w:type="dxa"/>
            <w:vMerge/>
          </w:tcPr>
          <w:p w:rsidR="00727840" w:rsidRPr="006B5583" w:rsidRDefault="00727840" w:rsidP="00091105">
            <w:pPr>
              <w:jc w:val="both"/>
              <w:rPr>
                <w:noProof w:val="0"/>
              </w:rPr>
            </w:pPr>
          </w:p>
        </w:tc>
        <w:tc>
          <w:tcPr>
            <w:tcW w:w="7230" w:type="dxa"/>
            <w:shd w:val="clear" w:color="auto" w:fill="auto"/>
          </w:tcPr>
          <w:p w:rsidR="00727840" w:rsidRPr="00091105" w:rsidRDefault="00727840" w:rsidP="002F6575">
            <w:pPr>
              <w:suppressAutoHyphens/>
              <w:autoSpaceDN w:val="0"/>
              <w:jc w:val="both"/>
              <w:textAlignment w:val="baseline"/>
              <w:rPr>
                <w:noProof w:val="0"/>
                <w:kern w:val="3"/>
                <w:szCs w:val="20"/>
                <w:lang w:eastAsia="zh-CN"/>
              </w:rPr>
            </w:pPr>
            <w:r w:rsidRPr="00091105">
              <w:rPr>
                <w:noProof w:val="0"/>
                <w:color w:val="000000"/>
                <w:kern w:val="3"/>
                <w:szCs w:val="20"/>
                <w:lang w:eastAsia="zh-CN"/>
              </w:rPr>
              <w:t xml:space="preserve">Projekte siūloma BPK 106 straipsnio 1 dalį papildyti nuostata, kad „pripažinęs kaltinamąjį kaltu, teismas, priimdamas nuosprendį, turi teisę nuspręsti iš kaltinamojo išieškoti </w:t>
            </w:r>
            <w:r w:rsidRPr="00091105">
              <w:rPr>
                <w:b/>
                <w:bCs/>
                <w:noProof w:val="0"/>
                <w:color w:val="000000"/>
                <w:kern w:val="3"/>
                <w:szCs w:val="20"/>
                <w:lang w:eastAsia="zh-CN"/>
              </w:rPr>
              <w:t>valstybės garantuojamos teisinės pagalbos išlaidas, susidariusias dėl gynėjo būtino dalyvavimo, išskyrus šio Kodekso 51 straipsnio 1 dalies 1 ir 2 punktuose numatytus atvejus“.</w:t>
            </w:r>
            <w:r w:rsidRPr="00091105">
              <w:rPr>
                <w:noProof w:val="0"/>
                <w:color w:val="000000"/>
                <w:kern w:val="3"/>
                <w:szCs w:val="20"/>
                <w:lang w:eastAsia="zh-CN"/>
              </w:rPr>
              <w:t xml:space="preserve"> Pažymėtina, kad ši nuostata galiojo jau anksčiau, tačiau 2016 m. buvo panaikinta padarius išvadą, kad „nuostatos dėl išlaidų baudžiamosiose bylose iš kaltais pripažintų asmenų išieškojimo praktikoje nėra efektyvios (pastebėtina, jog ir Lietuvos Aukščiausiasis Teismas yra pažymėjęs, kad antrinės teisinės pagalbos išlaidos nepriteistinos, kadangi gynėjo dalyvavimas buvo būtinas (2014 m. birželio 17 d. nutartis baudžiamojoje byloje Nr. 2K-322/2014))“. Aiškinamajame rašte nėra nurodyta jokia informacija, kad situacija ir teismų praktika būtų pasikeitusi, argumentuojama tik tuo, kad siūloma nuostata yra aktuali siekiant į valstybės biudžetą sugrąžinti būtinojo gynėjo išlaidas, kai asmens finansinė padėtis leidžia šias išlaidas atlyginti. Atsižvelgiant į tai, siūlomos nuostatos reikalingumas kelia pagrįstų abejonių.</w:t>
            </w:r>
          </w:p>
        </w:tc>
        <w:tc>
          <w:tcPr>
            <w:tcW w:w="6662" w:type="dxa"/>
            <w:shd w:val="clear" w:color="auto" w:fill="auto"/>
          </w:tcPr>
          <w:p w:rsidR="00727840" w:rsidRPr="00832057" w:rsidRDefault="00832057" w:rsidP="00D00350">
            <w:pPr>
              <w:pStyle w:val="kopija"/>
              <w:spacing w:before="0" w:beforeAutospacing="0" w:after="0" w:afterAutospacing="0"/>
              <w:ind w:left="34"/>
              <w:jc w:val="both"/>
              <w:rPr>
                <w:b/>
              </w:rPr>
            </w:pPr>
            <w:r w:rsidRPr="00832057">
              <w:rPr>
                <w:b/>
              </w:rPr>
              <w:t>Neatsižvelgta.</w:t>
            </w:r>
          </w:p>
          <w:p w:rsidR="00832057" w:rsidRPr="00892C62" w:rsidRDefault="00A7785C" w:rsidP="00035447">
            <w:pPr>
              <w:pStyle w:val="Komentarotekstas"/>
              <w:jc w:val="both"/>
              <w:rPr>
                <w:sz w:val="24"/>
                <w:szCs w:val="24"/>
              </w:rPr>
            </w:pPr>
            <w:r w:rsidRPr="00A7785C">
              <w:rPr>
                <w:sz w:val="24"/>
                <w:szCs w:val="24"/>
              </w:rPr>
              <w:t xml:space="preserve">Atkreiptinas dėmesys į tai, kad EŽTT yra suformavusi aiškią praktiką, kurioje vienareikšmiškai konstatuojama, kad galima išieškoti valstybės patirtas išlaidas, susijusias su gynėjo užtikrinimu baudžiamajame procese (bylos Croissant v. Germany, Morris v. United Kingdom ir kt.), jei asmuo turi galimybę jas atlyginti. Taip pat 2016 m. spalio 26 d. Europos Parlamento ir Tarybos direktyvos (ES) 2016/1919 dėl teisinės pagalbos įtariamiesiems ir kaltinamiesiems vykstant baudžiamajam procesui ir prašomiems perduoti asmenims vykstant Europos arešto orderio vykdymo procedūroms preambulės 8 punkte numatyta, kad kompetentingos valstybių narių institucijos, teikdamos teisinę pagalbą, turėtų galėti pareikalauti, kad įtariamieji, kaltinamieji ar prašomi perduoti asmenys, priklausomai nuo jų finansinių išteklių, padengtų dalį teisinės pagalbos išlaidų. Taip pat Direktyvos 2016/1919 4 straipsnis numato, kad valstybės narės turi užtikrinti teisę į teisinę pagalbą pakankamai lėšų neturintiems asmenis. Taigi, tarptautiniai teisės aktai leidžia esant atitinkamoms sąlygoms atgauti valstybės turėtas išlaidas dėl būtinojo gynėjo dalyvavimo. Šiuo aspektu pažymėtina, kad iki 2016 m. galiojusios nuostatos nebuvo pripažintos antikonstitucinėmis ar kitaip pažeidžiančiomis asmenų konstitucines ar tarptautiniuose dokumentuose įtvirtintas teises. Vien tai, kad teismai atsisakė taikyti įstatymo nuostatas, </w:t>
            </w:r>
            <w:r w:rsidRPr="00A7785C">
              <w:rPr>
                <w:sz w:val="24"/>
                <w:szCs w:val="24"/>
              </w:rPr>
              <w:lastRenderedPageBreak/>
              <w:t>negali būti pagrindas sukurti tokį reguliavimą, kuriuo nepagrįstai atsisakoma susigrąžinti valstybės lėšas į biudžetą iš asmenų, kurių turtinė padėt</w:t>
            </w:r>
            <w:r w:rsidR="009264FC">
              <w:rPr>
                <w:sz w:val="24"/>
                <w:szCs w:val="24"/>
              </w:rPr>
              <w:t>is</w:t>
            </w:r>
            <w:r w:rsidRPr="00A7785C">
              <w:rPr>
                <w:sz w:val="24"/>
                <w:szCs w:val="24"/>
              </w:rPr>
              <w:t xml:space="preserve"> leidžia tą padaryti. </w:t>
            </w:r>
            <w:r w:rsidR="00D96A15">
              <w:rPr>
                <w:sz w:val="24"/>
                <w:szCs w:val="24"/>
              </w:rPr>
              <w:t>Taigi, anksčiau galiojęs teisinis</w:t>
            </w:r>
            <w:r w:rsidRPr="00A7785C">
              <w:rPr>
                <w:sz w:val="24"/>
                <w:szCs w:val="24"/>
              </w:rPr>
              <w:t xml:space="preserve"> reguliavimas yra aktualus. Taip pat sutiktina, kad siūlomi pakeitimai yra motyvuoti siekiu į valstybės biudžetą susigrąžinti nepagrįstai suteiktą valstybės paramą, asmenims, kuriems nepriklauso nemokama valstybės garantuojama pagalba ir tai neturi jokio santykio nei su teisingo bylos nagrinėjimo užtikrinimu baudžiamojo proceso metu, nei su teisinio saugumo principais. Šiuo apsektu pažymėtina, kad negalima atsietai vertinti BPK įtvirtinto reguliavimo, neatsižvelgiant į specialųjį teisės aktą, reglamentuojantį valstybės garantuojamos teisinės pagalbos tei</w:t>
            </w:r>
            <w:r w:rsidR="00035447">
              <w:rPr>
                <w:sz w:val="24"/>
                <w:szCs w:val="24"/>
              </w:rPr>
              <w:t>kimą, t. y. VGTPTĮ,</w:t>
            </w:r>
            <w:r w:rsidRPr="00A7785C">
              <w:rPr>
                <w:sz w:val="24"/>
                <w:szCs w:val="24"/>
              </w:rPr>
              <w:t xml:space="preserve"> kuriame aiškiai suformuluoti nemokamos ir iš dalies apmokamos valstybės garantuojamos teisinės pagalbos teikimo pagrindai (11 straipsnio 2 dalis, 12 straipsnio 1 punktas, VGTPĮ pakeitimo projekto </w:t>
            </w:r>
            <w:r w:rsidR="00035447">
              <w:rPr>
                <w:sz w:val="24"/>
                <w:szCs w:val="24"/>
              </w:rPr>
              <w:t>4 straipsnio 1 dalis</w:t>
            </w:r>
            <w:r w:rsidRPr="00A7785C">
              <w:rPr>
                <w:sz w:val="24"/>
                <w:szCs w:val="24"/>
              </w:rPr>
              <w:t>).</w:t>
            </w:r>
          </w:p>
        </w:tc>
      </w:tr>
      <w:tr w:rsidR="00727840" w:rsidRPr="006B5583" w:rsidTr="00337D15">
        <w:tblPrEx>
          <w:tblLook w:val="0000" w:firstRow="0" w:lastRow="0" w:firstColumn="0" w:lastColumn="0" w:noHBand="0" w:noVBand="0"/>
        </w:tblPrEx>
        <w:trPr>
          <w:trHeight w:val="563"/>
        </w:trPr>
        <w:tc>
          <w:tcPr>
            <w:tcW w:w="1696" w:type="dxa"/>
            <w:vMerge/>
          </w:tcPr>
          <w:p w:rsidR="00727840" w:rsidRPr="006B5583" w:rsidRDefault="00727840" w:rsidP="00091105">
            <w:pPr>
              <w:jc w:val="both"/>
              <w:rPr>
                <w:noProof w:val="0"/>
              </w:rPr>
            </w:pPr>
          </w:p>
        </w:tc>
        <w:tc>
          <w:tcPr>
            <w:tcW w:w="7230" w:type="dxa"/>
            <w:shd w:val="clear" w:color="auto" w:fill="auto"/>
          </w:tcPr>
          <w:p w:rsidR="00727840" w:rsidRDefault="00727840" w:rsidP="00832057">
            <w:pPr>
              <w:suppressAutoHyphens/>
              <w:autoSpaceDN w:val="0"/>
              <w:jc w:val="both"/>
              <w:textAlignment w:val="baseline"/>
              <w:rPr>
                <w:noProof w:val="0"/>
                <w:color w:val="000000"/>
                <w:kern w:val="3"/>
                <w:szCs w:val="20"/>
                <w:lang w:eastAsia="zh-CN"/>
              </w:rPr>
            </w:pPr>
            <w:r w:rsidRPr="00091105">
              <w:rPr>
                <w:noProof w:val="0"/>
                <w:color w:val="000000"/>
                <w:kern w:val="3"/>
                <w:szCs w:val="20"/>
                <w:lang w:eastAsia="zh-CN"/>
              </w:rPr>
              <w:t xml:space="preserve">Projekte siūloma pakeisti BPK 322 straipsnį ir atsisakyti privalomo gynėjo dalyvavimo apeliacinės instancijos teismo procese. Projekto rengėjai argumentuoja, kad tai padėtų sumažinti atvejų, kai gynėjo dalyvavimas yra būtinas, skaičių. Jokių kitų argumentų nepateikiama. Todėl nesuprantama, kodėl ikiteisminiame tyrime ir pirmosios instancijos teismuose būtino gynėjo dalyvavimas yra svarbesnis nei apeliacinės instancijos teisme. Asmuo turi teisę į gynybą nepriklausomai </w:t>
            </w:r>
            <w:r w:rsidRPr="00091105">
              <w:rPr>
                <w:noProof w:val="0"/>
                <w:color w:val="000000"/>
                <w:kern w:val="3"/>
                <w:szCs w:val="20"/>
                <w:lang w:eastAsia="zh-CN"/>
              </w:rPr>
              <w:lastRenderedPageBreak/>
              <w:t>nuo baudžiamojo proceso stadijos. Priėmus siūlomą pataisą teisė į gynybą būtų neteisėtai ir nepagrįstai apribota.</w:t>
            </w:r>
          </w:p>
          <w:p w:rsidR="00727840" w:rsidRPr="00091105" w:rsidRDefault="00727840" w:rsidP="00832057">
            <w:pPr>
              <w:tabs>
                <w:tab w:val="left" w:pos="8245"/>
              </w:tabs>
              <w:suppressAutoHyphens/>
              <w:overflowPunct w:val="0"/>
              <w:autoSpaceDE w:val="0"/>
              <w:autoSpaceDN w:val="0"/>
              <w:jc w:val="both"/>
              <w:textAlignment w:val="baseline"/>
              <w:rPr>
                <w:noProof w:val="0"/>
                <w:kern w:val="3"/>
                <w:szCs w:val="20"/>
                <w:lang w:eastAsia="zh-CN"/>
              </w:rPr>
            </w:pPr>
            <w:r w:rsidRPr="00091105">
              <w:rPr>
                <w:noProof w:val="0"/>
                <w:color w:val="000000"/>
                <w:kern w:val="3"/>
                <w:szCs w:val="20"/>
                <w:lang w:eastAsia="zh-CN"/>
              </w:rPr>
              <w:t>Atkreipiame dėmesį, kad Valstybės garantuojamos teisinės pagalbos tarnybos finansiniai interesai negali būti laikomi aukštesniais už žmogaus teises.</w:t>
            </w:r>
          </w:p>
        </w:tc>
        <w:tc>
          <w:tcPr>
            <w:tcW w:w="6662" w:type="dxa"/>
            <w:shd w:val="clear" w:color="auto" w:fill="auto"/>
          </w:tcPr>
          <w:p w:rsidR="00727840" w:rsidRDefault="00035447" w:rsidP="00D00350">
            <w:pPr>
              <w:pStyle w:val="kopija"/>
              <w:spacing w:before="0" w:beforeAutospacing="0" w:after="0" w:afterAutospacing="0"/>
              <w:ind w:left="34"/>
              <w:jc w:val="both"/>
            </w:pPr>
            <w:r>
              <w:rPr>
                <w:b/>
              </w:rPr>
              <w:lastRenderedPageBreak/>
              <w:t>A</w:t>
            </w:r>
            <w:r w:rsidR="00832057" w:rsidRPr="00832057">
              <w:rPr>
                <w:b/>
              </w:rPr>
              <w:t>tsižvelgta</w:t>
            </w:r>
            <w:r>
              <w:rPr>
                <w:b/>
              </w:rPr>
              <w:t xml:space="preserve"> iš dalies</w:t>
            </w:r>
            <w:r w:rsidR="00832057">
              <w:t>.</w:t>
            </w:r>
          </w:p>
          <w:p w:rsidR="00832057" w:rsidRPr="006B5583" w:rsidRDefault="006F45B1" w:rsidP="00035447">
            <w:pPr>
              <w:pStyle w:val="kopija"/>
              <w:spacing w:before="0" w:beforeAutospacing="0" w:after="0" w:afterAutospacing="0"/>
              <w:ind w:left="34"/>
              <w:jc w:val="both"/>
            </w:pPr>
            <w:r>
              <w:t xml:space="preserve">BPK </w:t>
            </w:r>
            <w:r w:rsidRPr="006F45B1">
              <w:t xml:space="preserve">322 </w:t>
            </w:r>
            <w:r w:rsidR="00DB69A4">
              <w:t>straipsnyje yra numatytas specialus būtino gynėjo dalyvavimo pagrindas</w:t>
            </w:r>
            <w:r w:rsidRPr="006F45B1">
              <w:t xml:space="preserve">. </w:t>
            </w:r>
            <w:r w:rsidR="00DB69A4" w:rsidRPr="006F45B1">
              <w:t xml:space="preserve">Šis reguliavimas </w:t>
            </w:r>
            <w:r w:rsidR="00DB69A4">
              <w:t>sukuria</w:t>
            </w:r>
            <w:r w:rsidR="00DB69A4" w:rsidRPr="006F45B1">
              <w:t xml:space="preserve"> situaciją, </w:t>
            </w:r>
            <w:r w:rsidR="00DB69A4">
              <w:t>jog</w:t>
            </w:r>
            <w:r w:rsidR="00DB69A4" w:rsidRPr="006F45B1">
              <w:t xml:space="preserve"> visiems apeliantams </w:t>
            </w:r>
            <w:r w:rsidR="00DB69A4">
              <w:t>turi</w:t>
            </w:r>
            <w:r w:rsidR="00DB69A4" w:rsidRPr="006F45B1">
              <w:t xml:space="preserve"> būti užtikri</w:t>
            </w:r>
            <w:r w:rsidR="00DB69A4">
              <w:t>ntas gynėjas</w:t>
            </w:r>
            <w:r w:rsidR="00DB69A4" w:rsidRPr="006F45B1">
              <w:t xml:space="preserve">. </w:t>
            </w:r>
            <w:r w:rsidR="00035447">
              <w:t>T</w:t>
            </w:r>
            <w:r w:rsidR="00DB69A4">
              <w:t>oks „automatinis“ būtino gynėjo dalyvavimo pagrindas nėra pakankamai pagrįstas ir sukuria</w:t>
            </w:r>
            <w:r w:rsidR="00DB69A4" w:rsidRPr="006F45B1">
              <w:t xml:space="preserve"> prielaidas netikslingai naudoti valstybės biudžeto lėšas.</w:t>
            </w:r>
            <w:r w:rsidR="00DB69A4">
              <w:t xml:space="preserve"> Pabrėžtina, kad </w:t>
            </w:r>
            <w:r w:rsidRPr="006F45B1">
              <w:t xml:space="preserve">tuo atveju, jeigu egzistuoja BPK 51 straipsnio </w:t>
            </w:r>
            <w:r w:rsidR="00DB69A4">
              <w:t xml:space="preserve">1 dalyje nurodyti </w:t>
            </w:r>
            <w:r w:rsidRPr="006F45B1">
              <w:t xml:space="preserve">pagrindai, gynėjas </w:t>
            </w:r>
            <w:r w:rsidRPr="006F45B1">
              <w:lastRenderedPageBreak/>
              <w:t xml:space="preserve">dalyvauja visose stadijose. </w:t>
            </w:r>
            <w:r w:rsidR="00035447">
              <w:t>Tačiau, siekiant užtikrinti ru</w:t>
            </w:r>
            <w:r w:rsidR="009264FC">
              <w:t>n</w:t>
            </w:r>
            <w:r w:rsidR="00035447">
              <w:t xml:space="preserve">gtyniškumo principo įgyvendinimą, siūloma numatyti, kad </w:t>
            </w:r>
            <w:r w:rsidR="00035447" w:rsidRPr="00035447">
              <w:t>„nagrinėjant bylą apeliacine tvarka, teismo posėdyje dalyvauja prokuroras ir gynėjas</w:t>
            </w:r>
            <w:r w:rsidR="00035447" w:rsidRPr="00035447">
              <w:rPr>
                <w:b/>
                <w:bCs/>
              </w:rPr>
              <w:t>, kai apeliacinis skundas paduotas nuteistojo, išteisintojo, asmens, kuriam byla nutraukta, ar asmens, kuriam paskirtos ar nepaskirtos priverčiamosios medicinos priemonės, padėtį bloginančiais pagrindais.“</w:t>
            </w:r>
          </w:p>
        </w:tc>
      </w:tr>
      <w:tr w:rsidR="00A7785C" w:rsidRPr="006B5583" w:rsidTr="00337D15">
        <w:tblPrEx>
          <w:tblLook w:val="0000" w:firstRow="0" w:lastRow="0" w:firstColumn="0" w:lastColumn="0" w:noHBand="0" w:noVBand="0"/>
        </w:tblPrEx>
        <w:trPr>
          <w:trHeight w:val="563"/>
        </w:trPr>
        <w:tc>
          <w:tcPr>
            <w:tcW w:w="1696" w:type="dxa"/>
          </w:tcPr>
          <w:p w:rsidR="00A7785C" w:rsidRPr="00727840" w:rsidRDefault="00A7785C" w:rsidP="001F1331">
            <w:pPr>
              <w:jc w:val="both"/>
              <w:rPr>
                <w:noProof w:val="0"/>
              </w:rPr>
            </w:pPr>
            <w:r w:rsidRPr="00A7785C">
              <w:rPr>
                <w:noProof w:val="0"/>
              </w:rPr>
              <w:lastRenderedPageBreak/>
              <w:t>Teisėjų tarybos 2019-11-28 raštas Nr. 36P-167-(7.1.10)</w:t>
            </w:r>
          </w:p>
        </w:tc>
        <w:tc>
          <w:tcPr>
            <w:tcW w:w="7230" w:type="dxa"/>
            <w:shd w:val="clear" w:color="auto" w:fill="auto"/>
          </w:tcPr>
          <w:p w:rsidR="00A7785C" w:rsidRPr="002F6575" w:rsidRDefault="00A7785C" w:rsidP="002F6575">
            <w:pPr>
              <w:ind w:right="5"/>
              <w:jc w:val="both"/>
              <w:rPr>
                <w:i/>
                <w:noProof w:val="0"/>
              </w:rPr>
            </w:pPr>
            <w:r w:rsidRPr="002F6575">
              <w:rPr>
                <w:i/>
                <w:noProof w:val="0"/>
              </w:rPr>
              <w:t>Dėl Lietuvos Respublikos baudžiamojo proceso kodekso (toliau – BPK) 51 straipsnio 1 dalies 3 punkto pakeitimo.</w:t>
            </w:r>
          </w:p>
          <w:p w:rsidR="00A7785C" w:rsidRPr="00424457" w:rsidRDefault="00A7785C" w:rsidP="00424457">
            <w:pPr>
              <w:ind w:right="5"/>
              <w:jc w:val="both"/>
              <w:rPr>
                <w:noProof w:val="0"/>
              </w:rPr>
            </w:pPr>
            <w:r>
              <w:rPr>
                <w:noProof w:val="0"/>
              </w:rPr>
              <w:t xml:space="preserve">Esminis kriterijus, dėl kurio gynėjo dalyvavimas baudžiamajame procese pripažįstamas būtinu, yra asmens kalbos nemokėjimas, nepriklausomai nuo šio asmens santykio su valstybe. Nors užsieniečio statusas svarbus vertinant kalbos mokėjimą, tačiau tai nėra vienintelis veiksnys, lemiantis būtino gynėjo dalyvavimo poreikį. Šis pagrindas susijęs ne tik su tuo, ar asmuo turi žinių apie Lietuvos Respublikos teisinę sistemą ar ne, tačiau ar tos žinios yra pakankamos save atstovauti. Nemokantys proceso kalbos asmenys yra pažeidžiami, todėl juos turi atstovauti gynėjas. Kelia abejonių, ar pakeitus aptariamą nuostatą ir įtvirtinus, kad gynėjo dalyvavimas yra būtinas tik nagrinėjant proceso kalbos nemokančių užsieniečių bylas, nebus pažeidžiamas teisingo proceso principas. </w:t>
            </w:r>
          </w:p>
        </w:tc>
        <w:tc>
          <w:tcPr>
            <w:tcW w:w="6662" w:type="dxa"/>
            <w:shd w:val="clear" w:color="auto" w:fill="auto"/>
          </w:tcPr>
          <w:p w:rsidR="00A7785C" w:rsidRDefault="00A7785C" w:rsidP="00E8710B">
            <w:pPr>
              <w:pStyle w:val="kopija"/>
              <w:spacing w:before="0" w:beforeAutospacing="0" w:after="0" w:afterAutospacing="0"/>
              <w:ind w:left="34"/>
              <w:jc w:val="both"/>
              <w:rPr>
                <w:b/>
              </w:rPr>
            </w:pPr>
            <w:r w:rsidRPr="005E1CD8">
              <w:rPr>
                <w:b/>
              </w:rPr>
              <w:t xml:space="preserve">Neatsižvelgta. </w:t>
            </w:r>
          </w:p>
          <w:p w:rsidR="00A7785C" w:rsidRPr="00832057" w:rsidRDefault="00424457" w:rsidP="005E1CD8">
            <w:pPr>
              <w:pStyle w:val="kopija"/>
              <w:spacing w:before="0" w:beforeAutospacing="0" w:after="0" w:afterAutospacing="0"/>
              <w:ind w:left="34"/>
              <w:jc w:val="both"/>
              <w:rPr>
                <w:b/>
              </w:rPr>
            </w:pPr>
            <w:r>
              <w:t>Žr. 1 pastabos komentarą.</w:t>
            </w:r>
          </w:p>
        </w:tc>
      </w:tr>
      <w:tr w:rsidR="00A7785C" w:rsidRPr="006B5583" w:rsidTr="00337D15">
        <w:tblPrEx>
          <w:tblLook w:val="0000" w:firstRow="0" w:lastRow="0" w:firstColumn="0" w:lastColumn="0" w:noHBand="0" w:noVBand="0"/>
        </w:tblPrEx>
        <w:trPr>
          <w:trHeight w:val="1130"/>
        </w:trPr>
        <w:tc>
          <w:tcPr>
            <w:tcW w:w="1696" w:type="dxa"/>
          </w:tcPr>
          <w:p w:rsidR="00A7785C" w:rsidRDefault="00A7785C" w:rsidP="002C3EEE">
            <w:pPr>
              <w:jc w:val="both"/>
              <w:rPr>
                <w:noProof w:val="0"/>
              </w:rPr>
            </w:pPr>
          </w:p>
        </w:tc>
        <w:tc>
          <w:tcPr>
            <w:tcW w:w="7230" w:type="dxa"/>
            <w:shd w:val="clear" w:color="auto" w:fill="auto"/>
          </w:tcPr>
          <w:p w:rsidR="00A7785C" w:rsidRPr="00BE146C" w:rsidRDefault="00A7785C" w:rsidP="005E1CD8">
            <w:pPr>
              <w:ind w:right="5"/>
              <w:jc w:val="both"/>
              <w:rPr>
                <w:i/>
                <w:noProof w:val="0"/>
              </w:rPr>
            </w:pPr>
            <w:r w:rsidRPr="00BE146C">
              <w:rPr>
                <w:i/>
                <w:noProof w:val="0"/>
              </w:rPr>
              <w:t>Dėl BPK 51 straipsnio 3 dalies ir BPK 106 straipsnio 2 dalies pakeitimo</w:t>
            </w:r>
          </w:p>
          <w:p w:rsidR="00A7785C" w:rsidRDefault="00A7785C" w:rsidP="005E1CD8">
            <w:pPr>
              <w:ind w:right="5"/>
              <w:jc w:val="both"/>
              <w:rPr>
                <w:noProof w:val="0"/>
              </w:rPr>
            </w:pPr>
            <w:r>
              <w:rPr>
                <w:noProof w:val="0"/>
              </w:rPr>
              <w:t xml:space="preserve">BPK projekto 1 straipsnio 4 dalimi bei 2 straipsniu siūloma įtvirtinti galimybę iš kaltinamojo išieškoti valstybės garantuojamos teisinės pagalbos tarnybos išlaidas, susidariusias dėl gynėjo būtino dalyvavimo, išskyrus šio kodekso 51 straipsnio 1 dalies 1 ir 2 punktuose </w:t>
            </w:r>
            <w:r w:rsidR="00424457">
              <w:rPr>
                <w:noProof w:val="0"/>
              </w:rPr>
              <w:t xml:space="preserve">numatytus atvejus. </w:t>
            </w:r>
            <w:r>
              <w:rPr>
                <w:noProof w:val="0"/>
              </w:rPr>
              <w:t xml:space="preserve">Pastebėtina, jog analogiškas BPK 106 straipsnio 2 dalies teisinis reguliavimas, buvo panaikintas 2016 m. gruodžio 20 d. įstatymu Nr. XIII-165 ir nebegalioja nuo 2017 m. liepos 1 d. Šios įstatymo nuostatos pakeitimas buvo grindžiamas tuo, kad išlaidų baudžiamosiose bylose iš kaltais pripažintų asmenų išieškojimas praktikoje nėra efektyvus, o Lietuvos Aukščiausiasis Teismas yra pažymėjęs, kad antrinės teisinės pagalbos išlaidos nepriteistinos, kadangi gynėjo dalyvavimas buvo būtinas (pvz., Lietuvos Aukščiausiojo Teismo 2014 m. birželio 17 d. nutartis baudžiamojoje byloje Nr. 2K-322/2014). Siūlymas į baudžiamojo proceso įstatymą grąžinti analogišką nuostatą dėl teisės išieškoti iš kaltinamojo valstybės garantuojamos teisinės pagalbos išlaidas, susidariusias dėl būtino gynėjo dalyvavimo, išskyrus įstatyme numatytas išimtis, yra iš esmės grindžiamas tik siekiu į valstybės biudžetą susigrąžinti būtinojo gynėjo išlaidas, kai asmens teisinė padėtis leidžia šias išlaidas atlyginti. Būtina pažymėti, kad vienas esminių konstitucinio teisinės valstybės principo elementų – teisinio saugumo principas – reiškia, kad valstybė turi pareigą užtikrinti teisinio reguliavimo tikrumą ir stabilumą, apsaugoti teisinių santykių subjektų teises, taip pat įgytas teises, gerbti teisėtus lūkesčius (Lietuvos </w:t>
            </w:r>
            <w:r>
              <w:rPr>
                <w:noProof w:val="0"/>
              </w:rPr>
              <w:lastRenderedPageBreak/>
              <w:t xml:space="preserve">Respublikos Konstitucinio Teismo 2001 m. liepos 12 d., 2003 m. kovo 4 d., 2003 m. liepos 4 d. nutarimai). Įvertinus tai, poreikis keisti aptariamą teisinį reguliavimą, grąžinant ankstesnes, iki 2017 m. liepos 1 d. galiojusias normas, motyvuojant valstybės garantuojamos teisinės pagalbos tarnybos sistemos efektyvumo gerinimu, yra abejotinas ir neturi jokio įtikinamo pagrindimo. </w:t>
            </w:r>
          </w:p>
          <w:p w:rsidR="00A7785C" w:rsidRPr="006B5583" w:rsidRDefault="00A7785C" w:rsidP="002F6575">
            <w:pPr>
              <w:pStyle w:val="x"/>
              <w:jc w:val="both"/>
            </w:pPr>
            <w:r>
              <w:t xml:space="preserve">Pastebėtina ir tai, kad išaiškinus galimybę išieškoti iš kaltinamojo išlaidas, susidariusias  dėl būtino gynėjo dalyvavimo, gali susidaryti situacija, kad asmuo po išaiškinimo pats atsisakys gynėjo, nors jo dalyvavimas bus išties būtinas. Tokiu atveju, teisės į tinkamą atstovavimą įgyvendinimas taptų formalus. Be to, paprastai gynėjas pagal BPK 51 straipsnio 1 dalį skiriamas asmenims, kurių finansinė padėtis nėra gera. Taigi vien taupymo sumetimais negalima riboti asmens teisės į gynybą, kai ji yra išties būtina. </w:t>
            </w:r>
          </w:p>
        </w:tc>
        <w:tc>
          <w:tcPr>
            <w:tcW w:w="6662" w:type="dxa"/>
            <w:shd w:val="clear" w:color="auto" w:fill="auto"/>
          </w:tcPr>
          <w:p w:rsidR="00A7785C" w:rsidRPr="00005022" w:rsidRDefault="00A7785C" w:rsidP="00F543FA">
            <w:pPr>
              <w:pStyle w:val="kopija"/>
              <w:spacing w:before="0" w:beforeAutospacing="0" w:after="0" w:afterAutospacing="0"/>
              <w:ind w:left="34"/>
              <w:jc w:val="both"/>
              <w:rPr>
                <w:b/>
              </w:rPr>
            </w:pPr>
            <w:r w:rsidRPr="00005022">
              <w:rPr>
                <w:b/>
              </w:rPr>
              <w:lastRenderedPageBreak/>
              <w:t>Neatsižvelgta.</w:t>
            </w:r>
          </w:p>
          <w:p w:rsidR="00A7785C" w:rsidRPr="006B5583" w:rsidRDefault="00424457" w:rsidP="00D96A15">
            <w:pPr>
              <w:pStyle w:val="kopija"/>
              <w:spacing w:before="0" w:beforeAutospacing="0" w:after="0" w:afterAutospacing="0"/>
              <w:ind w:left="34"/>
              <w:jc w:val="both"/>
              <w:rPr>
                <w:b/>
              </w:rPr>
            </w:pPr>
            <w:r>
              <w:t>Žr. 3 pastabos komentarą.</w:t>
            </w:r>
          </w:p>
        </w:tc>
      </w:tr>
      <w:tr w:rsidR="00A7785C" w:rsidRPr="006B5583" w:rsidTr="00337D15">
        <w:tblPrEx>
          <w:tblLook w:val="0000" w:firstRow="0" w:lastRow="0" w:firstColumn="0" w:lastColumn="0" w:noHBand="0" w:noVBand="0"/>
        </w:tblPrEx>
        <w:trPr>
          <w:trHeight w:val="58"/>
        </w:trPr>
        <w:tc>
          <w:tcPr>
            <w:tcW w:w="1696" w:type="dxa"/>
          </w:tcPr>
          <w:p w:rsidR="00A7785C" w:rsidRDefault="00A7785C" w:rsidP="002C3EEE">
            <w:pPr>
              <w:jc w:val="both"/>
              <w:rPr>
                <w:noProof w:val="0"/>
              </w:rPr>
            </w:pPr>
          </w:p>
        </w:tc>
        <w:tc>
          <w:tcPr>
            <w:tcW w:w="7230" w:type="dxa"/>
            <w:shd w:val="clear" w:color="auto" w:fill="auto"/>
          </w:tcPr>
          <w:p w:rsidR="00A7785C" w:rsidRDefault="00A7785C" w:rsidP="00E8710B">
            <w:pPr>
              <w:ind w:right="6"/>
              <w:jc w:val="both"/>
              <w:rPr>
                <w:noProof w:val="0"/>
              </w:rPr>
            </w:pPr>
            <w:r>
              <w:rPr>
                <w:noProof w:val="0"/>
              </w:rPr>
              <w:t xml:space="preserve">BPK projekto 3 straipsniu siūloma pakeisti BPK 322 straipsnį, nurodant, kad, nagrinėjant bylą apeliacine tvarka, teismo posėdyje dalyvauja prokuroras. </w:t>
            </w:r>
          </w:p>
          <w:p w:rsidR="00A7785C" w:rsidRDefault="00A7785C" w:rsidP="005E1CD8">
            <w:pPr>
              <w:ind w:right="5"/>
              <w:jc w:val="both"/>
              <w:rPr>
                <w:noProof w:val="0"/>
              </w:rPr>
            </w:pPr>
            <w:r>
              <w:rPr>
                <w:noProof w:val="0"/>
              </w:rPr>
              <w:t>Sutiktina su siūloma nuostata, kad gynėjo dalyvavimas apeliacinės instancijos teisme nėra būtinas, tačiau tik tuo atveju, jei nėra nustatyta BPK 51 straipsnio 1 dalyje įtvirtintų būtino gynėjo dalyvavimo pagrindų. Gynėjo dalyvavimas turėtų būti užtikrinamas, kai to reikalauja teisingumo interesas.</w:t>
            </w:r>
          </w:p>
        </w:tc>
        <w:tc>
          <w:tcPr>
            <w:tcW w:w="6662" w:type="dxa"/>
            <w:shd w:val="clear" w:color="auto" w:fill="auto"/>
          </w:tcPr>
          <w:p w:rsidR="007F1BF6" w:rsidRDefault="00A7785C" w:rsidP="007F1BF6">
            <w:pPr>
              <w:pStyle w:val="kopija"/>
              <w:spacing w:before="0" w:beforeAutospacing="0" w:after="0" w:afterAutospacing="0"/>
              <w:ind w:left="34"/>
              <w:jc w:val="both"/>
            </w:pPr>
            <w:r>
              <w:rPr>
                <w:b/>
              </w:rPr>
              <w:t>Atsižvelgta iš dalies.</w:t>
            </w:r>
          </w:p>
          <w:p w:rsidR="00A7785C" w:rsidRPr="005E1CD8" w:rsidRDefault="00A7785C" w:rsidP="007F1BF6">
            <w:pPr>
              <w:pStyle w:val="kopija"/>
              <w:spacing w:before="0" w:beforeAutospacing="0" w:after="0" w:afterAutospacing="0"/>
              <w:ind w:left="34"/>
              <w:jc w:val="both"/>
              <w:rPr>
                <w:b/>
              </w:rPr>
            </w:pPr>
            <w:r>
              <w:t>Siūloma BPK 322 straipsnyje numatyti, kad „</w:t>
            </w:r>
            <w:r w:rsidR="00035447" w:rsidRPr="00035447">
              <w:t>nagrinėjant bylą apeliacine tvarka, teismo posėdyje dalyvauja prokuroras ir gynėjas</w:t>
            </w:r>
            <w:r w:rsidR="00035447" w:rsidRPr="00035447">
              <w:rPr>
                <w:b/>
                <w:bCs/>
              </w:rPr>
              <w:t>, kai apeliacinis skundas paduotas nuteistojo, išteisintojo, asmens, kuriam byla nutraukta, ar asmens, kuriam paskirtos ar nepaskirtos priverčiamosios medicinos priemonės, padėtį bloginančiais pagrindais</w:t>
            </w:r>
            <w:r w:rsidRPr="00A7785C">
              <w:t>.</w:t>
            </w:r>
            <w:r>
              <w:t>“</w:t>
            </w:r>
          </w:p>
        </w:tc>
      </w:tr>
      <w:tr w:rsidR="00A7785C" w:rsidRPr="006B5583" w:rsidTr="00337D15">
        <w:tblPrEx>
          <w:tblLook w:val="0000" w:firstRow="0" w:lastRow="0" w:firstColumn="0" w:lastColumn="0" w:noHBand="0" w:noVBand="0"/>
        </w:tblPrEx>
        <w:trPr>
          <w:trHeight w:val="58"/>
        </w:trPr>
        <w:tc>
          <w:tcPr>
            <w:tcW w:w="1696" w:type="dxa"/>
          </w:tcPr>
          <w:p w:rsidR="00A7785C" w:rsidRDefault="00BE146C" w:rsidP="002C3EEE">
            <w:pPr>
              <w:jc w:val="both"/>
              <w:rPr>
                <w:noProof w:val="0"/>
              </w:rPr>
            </w:pPr>
            <w:r w:rsidRPr="00BE146C">
              <w:rPr>
                <w:noProof w:val="0"/>
              </w:rPr>
              <w:t xml:space="preserve">Lietuvos advokatūros </w:t>
            </w:r>
            <w:r w:rsidRPr="00BE146C">
              <w:rPr>
                <w:noProof w:val="0"/>
              </w:rPr>
              <w:lastRenderedPageBreak/>
              <w:t>2019-11-13 raštas Nr. 936</w:t>
            </w:r>
          </w:p>
        </w:tc>
        <w:tc>
          <w:tcPr>
            <w:tcW w:w="7230" w:type="dxa"/>
            <w:shd w:val="clear" w:color="auto" w:fill="auto"/>
          </w:tcPr>
          <w:p w:rsidR="00A7785C" w:rsidRDefault="00A7785C" w:rsidP="00E8710B">
            <w:pPr>
              <w:ind w:right="6"/>
              <w:jc w:val="both"/>
              <w:rPr>
                <w:noProof w:val="0"/>
              </w:rPr>
            </w:pPr>
            <w:r>
              <w:lastRenderedPageBreak/>
              <w:t xml:space="preserve">Projektu siūloma pakeisti </w:t>
            </w:r>
            <w:r w:rsidRPr="00AC3C51">
              <w:t>BPK 51 str</w:t>
            </w:r>
            <w:r>
              <w:t>aipsnio</w:t>
            </w:r>
            <w:r w:rsidRPr="00AC3C51">
              <w:t xml:space="preserve"> 1 d</w:t>
            </w:r>
            <w:r>
              <w:t>alies</w:t>
            </w:r>
            <w:r w:rsidRPr="00AC3C51">
              <w:t xml:space="preserve"> 3 punkt</w:t>
            </w:r>
            <w:r>
              <w:t>ą</w:t>
            </w:r>
            <w:r w:rsidRPr="00AC3C51">
              <w:t xml:space="preserve"> </w:t>
            </w:r>
            <w:r>
              <w:t xml:space="preserve">dabar galiojančią formuluotę, kai būtinas gynėjo dalyvavimas </w:t>
            </w:r>
            <w:r>
              <w:rPr>
                <w:i/>
                <w:iCs/>
              </w:rPr>
              <w:t>„</w:t>
            </w:r>
            <w:r w:rsidRPr="00AC3C51">
              <w:rPr>
                <w:rStyle w:val="normal-h"/>
                <w:i/>
                <w:iCs/>
                <w:color w:val="000000"/>
                <w:szCs w:val="22"/>
              </w:rPr>
              <w:t xml:space="preserve">nagrinėjant </w:t>
            </w:r>
            <w:r w:rsidRPr="00AC3C51">
              <w:rPr>
                <w:rStyle w:val="normal-h"/>
                <w:i/>
                <w:iCs/>
                <w:color w:val="000000"/>
                <w:szCs w:val="22"/>
              </w:rPr>
              <w:lastRenderedPageBreak/>
              <w:t>nemokančių proceso kalbos asmenų bylas</w:t>
            </w:r>
            <w:r w:rsidRPr="00297869">
              <w:rPr>
                <w:rStyle w:val="normal-h"/>
                <w:color w:val="000000"/>
                <w:szCs w:val="22"/>
              </w:rPr>
              <w:t>“, į naują redakciją:</w:t>
            </w:r>
            <w:r>
              <w:rPr>
                <w:rStyle w:val="normal-h"/>
                <w:i/>
                <w:iCs/>
                <w:color w:val="000000"/>
                <w:szCs w:val="22"/>
              </w:rPr>
              <w:t xml:space="preserve"> „</w:t>
            </w:r>
            <w:r w:rsidRPr="00AC3C51">
              <w:rPr>
                <w:rStyle w:val="normal-h"/>
                <w:i/>
                <w:iCs/>
                <w:color w:val="000000"/>
                <w:szCs w:val="22"/>
              </w:rPr>
              <w:t>nagrinėjant nemokančių proceso kalbos užsieniečių bylas</w:t>
            </w:r>
            <w:r>
              <w:rPr>
                <w:rStyle w:val="normal-h"/>
                <w:i/>
                <w:iCs/>
                <w:color w:val="000000"/>
                <w:szCs w:val="22"/>
              </w:rPr>
              <w:t>“</w:t>
            </w:r>
            <w:r w:rsidRPr="00AC3C51">
              <w:t xml:space="preserve">. </w:t>
            </w:r>
            <w:r>
              <w:t xml:space="preserve"> </w:t>
            </w:r>
            <w:r w:rsidRPr="005F08BE">
              <w:t>Lietuvos Respublikos įstatym</w:t>
            </w:r>
            <w:r>
              <w:t>o</w:t>
            </w:r>
            <w:r w:rsidRPr="005F08BE">
              <w:t xml:space="preserve"> dėl užsieniečių teisinės padėties</w:t>
            </w:r>
            <w:r>
              <w:t xml:space="preserve"> 2 straipsnio </w:t>
            </w:r>
            <w:r w:rsidRPr="005F08BE">
              <w:t>32</w:t>
            </w:r>
            <w:r>
              <w:t xml:space="preserve"> punktas numato, kad</w:t>
            </w:r>
            <w:r w:rsidRPr="005F08BE">
              <w:t xml:space="preserve"> </w:t>
            </w:r>
            <w:r>
              <w:t>u</w:t>
            </w:r>
            <w:r w:rsidRPr="005F08BE">
              <w:t>žsienietis – asmuo, kuris nėra Lietuvos Respublikos pilietis, neatsižvelgiant į tai, ar jis turi kurios nors užsienio valstybės pilietybę, ar neturi jokios.</w:t>
            </w:r>
            <w:r>
              <w:t xml:space="preserve"> </w:t>
            </w:r>
            <w:r w:rsidRPr="00001D8F">
              <w:t>Nors siūlomas reguliavimas sumažina VGTP gavėjų ratą, tačiau, Lietuvos advokatūros nuomone, išskiria asmenų grupę dėl jų pilietybės, kas suponuoja galimą diskriminaciją Lietuvos Respublikos piliečių atžvilgiu, todėl šis aspektas reikalauja išsamesnės analizės.</w:t>
            </w:r>
          </w:p>
        </w:tc>
        <w:tc>
          <w:tcPr>
            <w:tcW w:w="6662" w:type="dxa"/>
            <w:shd w:val="clear" w:color="auto" w:fill="auto"/>
          </w:tcPr>
          <w:p w:rsidR="007F1BF6" w:rsidRDefault="00A7785C" w:rsidP="00BE146C">
            <w:pPr>
              <w:pStyle w:val="kopija"/>
              <w:spacing w:before="0" w:beforeAutospacing="0" w:after="0" w:afterAutospacing="0"/>
              <w:ind w:left="34"/>
              <w:jc w:val="both"/>
              <w:rPr>
                <w:b/>
              </w:rPr>
            </w:pPr>
            <w:r>
              <w:rPr>
                <w:b/>
              </w:rPr>
              <w:lastRenderedPageBreak/>
              <w:t xml:space="preserve">Neatsižvelgta. </w:t>
            </w:r>
          </w:p>
          <w:p w:rsidR="00A7785C" w:rsidRPr="00A7785C" w:rsidRDefault="00424457" w:rsidP="00BE146C">
            <w:pPr>
              <w:pStyle w:val="kopija"/>
              <w:spacing w:before="0" w:beforeAutospacing="0" w:after="0" w:afterAutospacing="0"/>
              <w:ind w:left="34"/>
              <w:jc w:val="both"/>
            </w:pPr>
            <w:r>
              <w:t>Žr. 1 pastabos komentarą.</w:t>
            </w:r>
          </w:p>
        </w:tc>
      </w:tr>
      <w:tr w:rsidR="00A7785C" w:rsidRPr="006B5583" w:rsidTr="00337D15">
        <w:tblPrEx>
          <w:tblLook w:val="0000" w:firstRow="0" w:lastRow="0" w:firstColumn="0" w:lastColumn="0" w:noHBand="0" w:noVBand="0"/>
        </w:tblPrEx>
        <w:trPr>
          <w:trHeight w:val="58"/>
        </w:trPr>
        <w:tc>
          <w:tcPr>
            <w:tcW w:w="1696" w:type="dxa"/>
          </w:tcPr>
          <w:p w:rsidR="00A7785C" w:rsidRDefault="00A7785C" w:rsidP="002C3EEE">
            <w:pPr>
              <w:jc w:val="both"/>
              <w:rPr>
                <w:noProof w:val="0"/>
              </w:rPr>
            </w:pPr>
          </w:p>
        </w:tc>
        <w:tc>
          <w:tcPr>
            <w:tcW w:w="7230" w:type="dxa"/>
            <w:shd w:val="clear" w:color="auto" w:fill="auto"/>
          </w:tcPr>
          <w:p w:rsidR="00A7785C" w:rsidRPr="00AD6150" w:rsidRDefault="00A7785C" w:rsidP="00E8710B">
            <w:pPr>
              <w:jc w:val="both"/>
            </w:pPr>
            <w:r>
              <w:t xml:space="preserve">Siūlomu </w:t>
            </w:r>
            <w:r w:rsidR="00424457">
              <w:t xml:space="preserve">BPK 51 straipsnio 1 dalies 10 punkto </w:t>
            </w:r>
            <w:r>
              <w:t>p</w:t>
            </w:r>
            <w:r w:rsidRPr="00AC3C51">
              <w:t xml:space="preserve">akeitimu siekiama, kad </w:t>
            </w:r>
            <w:r>
              <w:t>sulaikius asmenį</w:t>
            </w:r>
            <w:r w:rsidRPr="00AC3C51">
              <w:t xml:space="preserve"> būtinas gynėjas</w:t>
            </w:r>
            <w:r>
              <w:t xml:space="preserve"> būtų paskirtas</w:t>
            </w:r>
            <w:r w:rsidRPr="00AC3C51">
              <w:t xml:space="preserve"> tik tuo atveju, jei atliekami </w:t>
            </w:r>
            <w:r w:rsidRPr="00F809BA">
              <w:rPr>
                <w:i/>
                <w:iCs/>
              </w:rPr>
              <w:t>būtinieji</w:t>
            </w:r>
            <w:r>
              <w:t xml:space="preserve"> </w:t>
            </w:r>
            <w:r w:rsidRPr="00AC3C51">
              <w:t xml:space="preserve">procesiniai veiksmai. </w:t>
            </w:r>
            <w:r>
              <w:t xml:space="preserve">BPK </w:t>
            </w:r>
            <w:r w:rsidRPr="00E77CBC">
              <w:rPr>
                <w:u w:val="single"/>
              </w:rPr>
              <w:t>nenurodyta</w:t>
            </w:r>
            <w:r>
              <w:t xml:space="preserve"> kas yra </w:t>
            </w:r>
            <w:r>
              <w:rPr>
                <w:i/>
                <w:iCs/>
              </w:rPr>
              <w:t>būtinieji</w:t>
            </w:r>
            <w:r>
              <w:t xml:space="preserve"> procesiniai veiksmai, taip pat šis terminas neapibrėžtas pakeitimo projekte ir lydinčiuose raštuose. Siekiant teisinio aiškumo ir nuoseklumo, formuluotę reikėtų tikslinti, išaiškinant kas yra </w:t>
            </w:r>
            <w:r>
              <w:rPr>
                <w:i/>
                <w:iCs/>
              </w:rPr>
              <w:t>būtinieji</w:t>
            </w:r>
            <w:r>
              <w:t xml:space="preserve"> procesiniai veiksmai arba atsisakyti siūlomo papildymo, nes sulaikymas</w:t>
            </w:r>
            <w:r w:rsidRPr="00AC3C51">
              <w:t xml:space="preserve"> </w:t>
            </w:r>
            <w:r w:rsidRPr="00F809BA">
              <w:rPr>
                <w:i/>
                <w:iCs/>
              </w:rPr>
              <w:t>per se</w:t>
            </w:r>
            <w:r>
              <w:t xml:space="preserve"> yra</w:t>
            </w:r>
            <w:r w:rsidRPr="00AC3C51">
              <w:t xml:space="preserve"> procesini</w:t>
            </w:r>
            <w:r>
              <w:t>s</w:t>
            </w:r>
            <w:r w:rsidRPr="00AC3C51">
              <w:t xml:space="preserve"> veiksm</w:t>
            </w:r>
            <w:r>
              <w:t>as, taigi siūlomas reguliavimas neturėtų jokios realios reikšmės.</w:t>
            </w:r>
          </w:p>
          <w:p w:rsidR="00A7785C" w:rsidRDefault="00A7785C" w:rsidP="00E8710B">
            <w:pPr>
              <w:ind w:right="6"/>
              <w:jc w:val="both"/>
              <w:rPr>
                <w:noProof w:val="0"/>
              </w:rPr>
            </w:pPr>
            <w:r>
              <w:t>Lietuvos advokatūros nuomone,</w:t>
            </w:r>
            <w:r w:rsidRPr="00AC3C51">
              <w:t xml:space="preserve"> </w:t>
            </w:r>
            <w:r w:rsidRPr="00E77CBC">
              <w:rPr>
                <w:b/>
                <w:bCs/>
                <w:i/>
                <w:iCs/>
              </w:rPr>
              <w:t>sulaikymas</w:t>
            </w:r>
            <w:r>
              <w:t xml:space="preserve"> turi</w:t>
            </w:r>
            <w:r w:rsidRPr="00AC3C51">
              <w:t xml:space="preserve"> būt</w:t>
            </w:r>
            <w:r>
              <w:t>i</w:t>
            </w:r>
            <w:r w:rsidRPr="00AC3C51">
              <w:t xml:space="preserve"> taikomas tik kaip kraštutinė ir neišvengiama priemonė</w:t>
            </w:r>
            <w:r>
              <w:t xml:space="preserve"> BPK tikslams įgyvendinti</w:t>
            </w:r>
            <w:r w:rsidRPr="00AC3C51">
              <w:t xml:space="preserve"> (pvz. kai objektyviai neįmanoma asmens suėmimo klausimo sprendimui tiesiogiai nugabenti į </w:t>
            </w:r>
            <w:r>
              <w:t>t</w:t>
            </w:r>
            <w:r w:rsidRPr="00AC3C51">
              <w:t xml:space="preserve">eismą). </w:t>
            </w:r>
            <w:r>
              <w:t xml:space="preserve">O sulaikytieji  pirmiausia turėtų būti skatinami savarankiškai (pasitelkiant artimuosius) kviestis savo </w:t>
            </w:r>
            <w:r>
              <w:lastRenderedPageBreak/>
              <w:t>pasirinktą advokatą. Pavyzdžiui, siūlytina numatyti, kad sulaikant asmenį būtina jam nedelsiant išaiškinti teisę pasikviesti savo pasirinktą gynėją ir, esant reikalui, suteikti galimybę pasinaudoti telefonu (susisiekti su advokatu ar artimaisiais, kurie galėtų rasti advokatą). Asmeniui kategoriškai atsisakius kviestis savo pasirinktą gynėją, valstybės garantuojamas gynėjas jam būtų paskirtas kaip kraštutinė priemonė, kai tai būtina teisingumui užtikrinti.</w:t>
            </w:r>
          </w:p>
        </w:tc>
        <w:tc>
          <w:tcPr>
            <w:tcW w:w="6662" w:type="dxa"/>
            <w:shd w:val="clear" w:color="auto" w:fill="auto"/>
          </w:tcPr>
          <w:p w:rsidR="00A7785C" w:rsidRDefault="00A7785C" w:rsidP="00424457">
            <w:pPr>
              <w:pStyle w:val="kopija"/>
              <w:spacing w:before="0" w:beforeAutospacing="0" w:after="0" w:afterAutospacing="0"/>
              <w:ind w:left="34"/>
              <w:jc w:val="both"/>
              <w:rPr>
                <w:b/>
              </w:rPr>
            </w:pPr>
            <w:r>
              <w:rPr>
                <w:b/>
              </w:rPr>
              <w:lastRenderedPageBreak/>
              <w:t>Neatsižvelgta.</w:t>
            </w:r>
          </w:p>
          <w:p w:rsidR="00A7785C" w:rsidRPr="005E1CD8" w:rsidRDefault="00424457" w:rsidP="00424457">
            <w:pPr>
              <w:pStyle w:val="kopija"/>
              <w:spacing w:before="0" w:beforeAutospacing="0" w:after="0" w:afterAutospacing="0"/>
              <w:ind w:left="34"/>
              <w:jc w:val="both"/>
              <w:rPr>
                <w:b/>
              </w:rPr>
            </w:pPr>
            <w:r>
              <w:t>Žr. 2 pastabos komentarą</w:t>
            </w:r>
            <w:r w:rsidR="009F0D26" w:rsidRPr="009F0D26">
              <w:t>.</w:t>
            </w:r>
          </w:p>
        </w:tc>
      </w:tr>
      <w:tr w:rsidR="003811AD" w:rsidRPr="00424457" w:rsidTr="00337D15">
        <w:tblPrEx>
          <w:tblLook w:val="0000" w:firstRow="0" w:lastRow="0" w:firstColumn="0" w:lastColumn="0" w:noHBand="0" w:noVBand="0"/>
        </w:tblPrEx>
        <w:trPr>
          <w:trHeight w:val="58"/>
        </w:trPr>
        <w:tc>
          <w:tcPr>
            <w:tcW w:w="1696" w:type="dxa"/>
          </w:tcPr>
          <w:p w:rsidR="003811AD" w:rsidRPr="00424457" w:rsidRDefault="00424457" w:rsidP="002C3EEE">
            <w:pPr>
              <w:jc w:val="both"/>
              <w:rPr>
                <w:noProof w:val="0"/>
              </w:rPr>
            </w:pPr>
            <w:r w:rsidRPr="00424457">
              <w:rPr>
                <w:noProof w:val="0"/>
              </w:rPr>
              <w:t>Eglės Janulės 2019-11-07 pastaba (gauta per TAIS)</w:t>
            </w:r>
          </w:p>
        </w:tc>
        <w:tc>
          <w:tcPr>
            <w:tcW w:w="7230" w:type="dxa"/>
            <w:shd w:val="clear" w:color="auto" w:fill="auto"/>
          </w:tcPr>
          <w:p w:rsidR="003811AD" w:rsidRPr="00424457" w:rsidRDefault="003811AD" w:rsidP="003811AD">
            <w:pPr>
              <w:jc w:val="both"/>
            </w:pPr>
            <w:r w:rsidRPr="00424457">
              <w:t>Teikiant antrinę teisinę pagalbą pastebiu, jog nemažai asmenų galimai piktnaudžiauja pagalba, nes nelegaliai dirba užsienyje arba vykdo individualią veiklą Lietuvoje, tačiau realiai gaunamų pajamų nedeklaruoja (todėl patenka į antrinę teisinę pagalbą gaunančių asmenų ratą).</w:t>
            </w:r>
          </w:p>
          <w:p w:rsidR="003811AD" w:rsidRPr="00424457" w:rsidRDefault="003811AD" w:rsidP="003811AD">
            <w:pPr>
              <w:jc w:val="both"/>
            </w:pPr>
            <w:r w:rsidRPr="00424457">
              <w:t xml:space="preserve">Kiti atvejai – asmenys nedirba 10 ar net daugiau metų, nors yra darbingo amžiaus/darbingi/ sveiki. </w:t>
            </w:r>
          </w:p>
          <w:p w:rsidR="003811AD" w:rsidRPr="00424457" w:rsidRDefault="003811AD" w:rsidP="003811AD">
            <w:pPr>
              <w:jc w:val="both"/>
            </w:pPr>
            <w:r w:rsidRPr="00424457">
              <w:t xml:space="preserve">Manau, jog jei asmuo, neturėdamas oficialių medicininių dokumentų dėl negalėjimo dirbti (išskyrus pensinio amžiaus asmenis, studentus ir kitas išskirtines socialines grupes), visiškai nedirba ir/ar nemoka pajamų mokesčių daugiau nei 3-4 metus, antrinė teisinė pagalba neturėtų būti teikiama. </w:t>
            </w:r>
          </w:p>
          <w:p w:rsidR="003811AD" w:rsidRPr="00424457" w:rsidRDefault="003811AD" w:rsidP="003811AD">
            <w:pPr>
              <w:jc w:val="both"/>
            </w:pPr>
            <w:r w:rsidRPr="00424457">
              <w:t>Tokiu būdu asmenys būtų skatinami dirbti ir mokėti mokesčius, o ne gauti paslaugas už dyką kitų mokesčių mokėtojų sąskaita.</w:t>
            </w:r>
          </w:p>
          <w:p w:rsidR="003811AD" w:rsidRPr="00424457" w:rsidRDefault="003811AD" w:rsidP="003811AD">
            <w:pPr>
              <w:jc w:val="both"/>
            </w:pPr>
            <w:r w:rsidRPr="00424457">
              <w:t xml:space="preserve">Šioje situacijoje iškyla ir advokato paslapties problema. Matomas galimas pažeidimas (jog asmuo galimai piktnaudžiauja antrine teisine pagalba), tačiau negalima apie tai pranešti kompetentingoms </w:t>
            </w:r>
            <w:r w:rsidRPr="00424457">
              <w:lastRenderedPageBreak/>
              <w:t xml:space="preserve">institucijoms, nes: 1) nėra konkrečių įrodymų, tik kliento žodžiai; 2) kliento suteikta informacija – advokato paslaptis. </w:t>
            </w:r>
          </w:p>
        </w:tc>
        <w:tc>
          <w:tcPr>
            <w:tcW w:w="6662" w:type="dxa"/>
            <w:shd w:val="clear" w:color="auto" w:fill="auto"/>
          </w:tcPr>
          <w:p w:rsidR="003811AD" w:rsidRPr="00424457" w:rsidRDefault="003811AD" w:rsidP="00424457">
            <w:pPr>
              <w:pStyle w:val="kopija"/>
              <w:spacing w:before="0" w:beforeAutospacing="0" w:after="0" w:afterAutospacing="0"/>
              <w:ind w:left="34"/>
              <w:jc w:val="both"/>
            </w:pPr>
            <w:r w:rsidRPr="00424457">
              <w:rPr>
                <w:b/>
              </w:rPr>
              <w:lastRenderedPageBreak/>
              <w:t xml:space="preserve">Atsižvelgta iš dalies. </w:t>
            </w:r>
            <w:r w:rsidR="00424457">
              <w:t xml:space="preserve">VGTPTĮ ir BPK projektais siekiama, be kita ko, sumažinti piktnaudžiavimą antrine teisine pagalba. Pažymėtina, kad dalis išdėstytų </w:t>
            </w:r>
            <w:r w:rsidRPr="00424457">
              <w:t>pasiūlymų</w:t>
            </w:r>
            <w:r w:rsidR="00424457">
              <w:t xml:space="preserve"> (pavyzdžiui, dėl to, kad </w:t>
            </w:r>
            <w:r w:rsidR="00424457" w:rsidRPr="00424457">
              <w:t>asmenys nedirba 10 ar net daugiau met</w:t>
            </w:r>
            <w:r w:rsidR="00424457">
              <w:t>ų, nors yra darbingo amžiaus, darbingi,</w:t>
            </w:r>
            <w:r w:rsidR="00424457" w:rsidRPr="00424457">
              <w:t xml:space="preserve"> sveiki</w:t>
            </w:r>
            <w:r w:rsidR="00424457">
              <w:t>)</w:t>
            </w:r>
            <w:r w:rsidRPr="00424457">
              <w:t xml:space="preserve"> </w:t>
            </w:r>
            <w:r w:rsidR="00424457">
              <w:t xml:space="preserve">yra </w:t>
            </w:r>
            <w:r w:rsidRPr="00424457">
              <w:t>susiję su kompleksine socialinės pagalbos sistemos teikiamų paslaugų peržiūra.</w:t>
            </w:r>
          </w:p>
        </w:tc>
      </w:tr>
    </w:tbl>
    <w:p w:rsidR="00A23448" w:rsidRPr="006B5583" w:rsidRDefault="00337D15" w:rsidP="00B44510">
      <w:pPr>
        <w:jc w:val="both"/>
        <w:rPr>
          <w:noProof w:val="0"/>
          <w:lang w:eastAsia="en-US"/>
        </w:rPr>
      </w:pPr>
      <w:r>
        <w:rPr>
          <w:noProof w:val="0"/>
          <w:lang w:eastAsia="en-US"/>
        </w:rPr>
        <w:t xml:space="preserve">                                                                                                                  ______________</w:t>
      </w:r>
    </w:p>
    <w:sectPr w:rsidR="00A23448" w:rsidRPr="006B5583" w:rsidSect="007F1BF6">
      <w:headerReference w:type="even" r:id="rId8"/>
      <w:headerReference w:type="default" r:id="rId9"/>
      <w:pgSz w:w="16838" w:h="11906" w:orient="landscape"/>
      <w:pgMar w:top="709" w:right="1134"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5F9" w:rsidRDefault="002005F9">
      <w:r>
        <w:separator/>
      </w:r>
    </w:p>
  </w:endnote>
  <w:endnote w:type="continuationSeparator" w:id="0">
    <w:p w:rsidR="002005F9" w:rsidRDefault="0020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5F9" w:rsidRDefault="002005F9">
      <w:r>
        <w:separator/>
      </w:r>
    </w:p>
  </w:footnote>
  <w:footnote w:type="continuationSeparator" w:id="0">
    <w:p w:rsidR="002005F9" w:rsidRDefault="00200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76F5" w:rsidRDefault="00D876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C2A12">
      <w:rPr>
        <w:rStyle w:val="Puslapionumeris"/>
      </w:rPr>
      <w:t>3</w:t>
    </w:r>
    <w:r>
      <w:rPr>
        <w:rStyle w:val="Puslapionumeris"/>
      </w:rPr>
      <w:fldChar w:fldCharType="end"/>
    </w:r>
  </w:p>
  <w:p w:rsidR="00D876F5" w:rsidRDefault="00D876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C2188E"/>
    <w:lvl w:ilvl="0">
      <w:numFmt w:val="bullet"/>
      <w:lvlText w:val="*"/>
      <w:lvlJc w:val="left"/>
    </w:lvl>
  </w:abstractNum>
  <w:abstractNum w:abstractNumId="1" w15:restartNumberingAfterBreak="0">
    <w:nsid w:val="03242B9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07A51"/>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0A785CF7"/>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384C"/>
    <w:multiLevelType w:val="multilevel"/>
    <w:tmpl w:val="81F4E726"/>
    <w:lvl w:ilvl="0">
      <w:start w:val="1"/>
      <w:numFmt w:val="decimal"/>
      <w:lvlText w:val="%1."/>
      <w:lvlJc w:val="left"/>
      <w:pPr>
        <w:ind w:left="165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15:restartNumberingAfterBreak="0">
    <w:nsid w:val="12172A25"/>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054D6"/>
    <w:multiLevelType w:val="hybridMultilevel"/>
    <w:tmpl w:val="AE28A102"/>
    <w:lvl w:ilvl="0" w:tplc="402C45C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587DDB"/>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F31967"/>
    <w:multiLevelType w:val="hybridMultilevel"/>
    <w:tmpl w:val="B09265F0"/>
    <w:lvl w:ilvl="0" w:tplc="199E22C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4689F"/>
    <w:multiLevelType w:val="hybridMultilevel"/>
    <w:tmpl w:val="A238B53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4C1416"/>
    <w:multiLevelType w:val="hybridMultilevel"/>
    <w:tmpl w:val="E5E2CB0C"/>
    <w:lvl w:ilvl="0" w:tplc="5A1EC4FE">
      <w:start w:val="1"/>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1" w15:restartNumberingAfterBreak="0">
    <w:nsid w:val="283838ED"/>
    <w:multiLevelType w:val="hybridMultilevel"/>
    <w:tmpl w:val="72E66D94"/>
    <w:lvl w:ilvl="0" w:tplc="C13A424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8C33CE"/>
    <w:multiLevelType w:val="hybridMultilevel"/>
    <w:tmpl w:val="C5BEB37C"/>
    <w:lvl w:ilvl="0" w:tplc="17CE963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1403C"/>
    <w:multiLevelType w:val="hybridMultilevel"/>
    <w:tmpl w:val="55C262A0"/>
    <w:lvl w:ilvl="0" w:tplc="41D4B35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A47F49"/>
    <w:multiLevelType w:val="hybridMultilevel"/>
    <w:tmpl w:val="D75CA2FC"/>
    <w:lvl w:ilvl="0" w:tplc="6A2A3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4415175"/>
    <w:multiLevelType w:val="hybridMultilevel"/>
    <w:tmpl w:val="71F6895A"/>
    <w:lvl w:ilvl="0" w:tplc="D79863D6">
      <w:start w:val="1"/>
      <w:numFmt w:val="decimal"/>
      <w:lvlText w:val="%1."/>
      <w:lvlJc w:val="left"/>
      <w:pPr>
        <w:tabs>
          <w:tab w:val="num" w:pos="2179"/>
        </w:tabs>
        <w:ind w:left="2179" w:hanging="1215"/>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16" w15:restartNumberingAfterBreak="0">
    <w:nsid w:val="34B67884"/>
    <w:multiLevelType w:val="hybridMultilevel"/>
    <w:tmpl w:val="3F0ABA5C"/>
    <w:lvl w:ilvl="0" w:tplc="EA986C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076A63"/>
    <w:multiLevelType w:val="hybridMultilevel"/>
    <w:tmpl w:val="B6AC8AF2"/>
    <w:lvl w:ilvl="0" w:tplc="FF96E22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383EB6"/>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B86EA0"/>
    <w:multiLevelType w:val="hybridMultilevel"/>
    <w:tmpl w:val="ED9C07A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3FF30B29"/>
    <w:multiLevelType w:val="hybridMultilevel"/>
    <w:tmpl w:val="E5D80D1E"/>
    <w:lvl w:ilvl="0" w:tplc="B19AFB72">
      <w:start w:val="1"/>
      <w:numFmt w:val="decimal"/>
      <w:lvlText w:val="%1."/>
      <w:lvlJc w:val="left"/>
      <w:pPr>
        <w:tabs>
          <w:tab w:val="num" w:pos="1759"/>
        </w:tabs>
        <w:ind w:left="1759" w:hanging="105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2642D2C"/>
    <w:multiLevelType w:val="singleLevel"/>
    <w:tmpl w:val="6DACEA64"/>
    <w:lvl w:ilvl="0">
      <w:start w:val="1"/>
      <w:numFmt w:val="decimal"/>
      <w:lvlText w:val="%1."/>
      <w:legacy w:legacy="1" w:legacySpace="0" w:legacyIndent="244"/>
      <w:lvlJc w:val="left"/>
      <w:rPr>
        <w:rFonts w:ascii="Times New Roman" w:hAnsi="Times New Roman" w:cs="Times New Roman" w:hint="default"/>
      </w:rPr>
    </w:lvl>
  </w:abstractNum>
  <w:abstractNum w:abstractNumId="22" w15:restartNumberingAfterBreak="0">
    <w:nsid w:val="460B5C31"/>
    <w:multiLevelType w:val="hybridMultilevel"/>
    <w:tmpl w:val="FF92148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71B0B2C"/>
    <w:multiLevelType w:val="hybridMultilevel"/>
    <w:tmpl w:val="BC2686BE"/>
    <w:lvl w:ilvl="0" w:tplc="AE64CCA4">
      <w:start w:val="1"/>
      <w:numFmt w:val="decimal"/>
      <w:lvlText w:val="%1."/>
      <w:lvlJc w:val="left"/>
      <w:pPr>
        <w:tabs>
          <w:tab w:val="num" w:pos="2179"/>
        </w:tabs>
        <w:ind w:left="2179" w:hanging="1215"/>
      </w:pPr>
      <w:rPr>
        <w:rFonts w:hint="default"/>
        <w:i w:val="0"/>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4" w15:restartNumberingAfterBreak="0">
    <w:nsid w:val="47AD064B"/>
    <w:multiLevelType w:val="hybridMultilevel"/>
    <w:tmpl w:val="DB84D5FC"/>
    <w:lvl w:ilvl="0" w:tplc="B87A96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C13B3"/>
    <w:multiLevelType w:val="hybridMultilevel"/>
    <w:tmpl w:val="521C7BE0"/>
    <w:lvl w:ilvl="0" w:tplc="E1840FA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9B2D34"/>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4A3E90"/>
    <w:multiLevelType w:val="hybridMultilevel"/>
    <w:tmpl w:val="74101A08"/>
    <w:lvl w:ilvl="0" w:tplc="46DCD10C">
      <w:start w:val="4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A508F7"/>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29" w15:restartNumberingAfterBreak="0">
    <w:nsid w:val="5AA700F0"/>
    <w:multiLevelType w:val="hybridMultilevel"/>
    <w:tmpl w:val="8B6AF2C0"/>
    <w:lvl w:ilvl="0" w:tplc="AC48D51E">
      <w:start w:val="1"/>
      <w:numFmt w:val="decimal"/>
      <w:lvlText w:val="%1."/>
      <w:lvlJc w:val="left"/>
      <w:pPr>
        <w:tabs>
          <w:tab w:val="num" w:pos="2254"/>
        </w:tabs>
        <w:ind w:left="2254" w:hanging="1290"/>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30" w15:restartNumberingAfterBreak="0">
    <w:nsid w:val="5BA92E62"/>
    <w:multiLevelType w:val="singleLevel"/>
    <w:tmpl w:val="3364E6D2"/>
    <w:lvl w:ilvl="0">
      <w:start w:val="5"/>
      <w:numFmt w:val="decimal"/>
      <w:lvlText w:val="%1."/>
      <w:legacy w:legacy="1" w:legacySpace="0" w:legacyIndent="238"/>
      <w:lvlJc w:val="left"/>
      <w:rPr>
        <w:rFonts w:ascii="Times New Roman" w:hAnsi="Times New Roman" w:cs="Times New Roman" w:hint="default"/>
      </w:rPr>
    </w:lvl>
  </w:abstractNum>
  <w:abstractNum w:abstractNumId="31" w15:restartNumberingAfterBreak="0">
    <w:nsid w:val="5E801CD9"/>
    <w:multiLevelType w:val="hybridMultilevel"/>
    <w:tmpl w:val="72E66D94"/>
    <w:lvl w:ilvl="0" w:tplc="C13A424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0C54233"/>
    <w:multiLevelType w:val="singleLevel"/>
    <w:tmpl w:val="AE8E16BE"/>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62080827"/>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2A9472D"/>
    <w:multiLevelType w:val="hybridMultilevel"/>
    <w:tmpl w:val="7AE633F2"/>
    <w:lvl w:ilvl="0" w:tplc="2146C79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802A5B"/>
    <w:multiLevelType w:val="singleLevel"/>
    <w:tmpl w:val="34F023C8"/>
    <w:lvl w:ilvl="0">
      <w:start w:val="1"/>
      <w:numFmt w:val="decimal"/>
      <w:lvlText w:val="%1."/>
      <w:legacy w:legacy="1" w:legacySpace="0" w:legacyIndent="287"/>
      <w:lvlJc w:val="left"/>
      <w:rPr>
        <w:rFonts w:ascii="Times New Roman" w:hAnsi="Times New Roman" w:cs="Times New Roman" w:hint="default"/>
      </w:rPr>
    </w:lvl>
  </w:abstractNum>
  <w:abstractNum w:abstractNumId="36" w15:restartNumberingAfterBreak="0">
    <w:nsid w:val="667A25DF"/>
    <w:multiLevelType w:val="hybridMultilevel"/>
    <w:tmpl w:val="0900BA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6EE123E"/>
    <w:multiLevelType w:val="singleLevel"/>
    <w:tmpl w:val="EC4A8088"/>
    <w:lvl w:ilvl="0">
      <w:start w:val="2"/>
      <w:numFmt w:val="decimal"/>
      <w:lvlText w:val="2.%1."/>
      <w:legacy w:legacy="1" w:legacySpace="0" w:legacyIndent="490"/>
      <w:lvlJc w:val="left"/>
      <w:rPr>
        <w:rFonts w:ascii="Times New Roman" w:hAnsi="Times New Roman" w:cs="Times New Roman" w:hint="default"/>
      </w:rPr>
    </w:lvl>
  </w:abstractNum>
  <w:abstractNum w:abstractNumId="38" w15:restartNumberingAfterBreak="0">
    <w:nsid w:val="683165BD"/>
    <w:multiLevelType w:val="singleLevel"/>
    <w:tmpl w:val="9DA2B596"/>
    <w:lvl w:ilvl="0">
      <w:start w:val="1"/>
      <w:numFmt w:val="decimal"/>
      <w:lvlText w:val="%1."/>
      <w:legacy w:legacy="1" w:legacySpace="0" w:legacyIndent="295"/>
      <w:lvlJc w:val="left"/>
      <w:rPr>
        <w:rFonts w:ascii="Times New Roman" w:hAnsi="Times New Roman" w:cs="Times New Roman" w:hint="default"/>
      </w:rPr>
    </w:lvl>
  </w:abstractNum>
  <w:abstractNum w:abstractNumId="39" w15:restartNumberingAfterBreak="0">
    <w:nsid w:val="68D15E2E"/>
    <w:multiLevelType w:val="singleLevel"/>
    <w:tmpl w:val="CBC0022C"/>
    <w:lvl w:ilvl="0">
      <w:start w:val="1"/>
      <w:numFmt w:val="decimal"/>
      <w:lvlText w:val="%1."/>
      <w:legacy w:legacy="1" w:legacySpace="0" w:legacyIndent="259"/>
      <w:lvlJc w:val="left"/>
      <w:rPr>
        <w:rFonts w:ascii="Times New Roman" w:hAnsi="Times New Roman" w:cs="Times New Roman" w:hint="default"/>
      </w:rPr>
    </w:lvl>
  </w:abstractNum>
  <w:abstractNum w:abstractNumId="40" w15:restartNumberingAfterBreak="0">
    <w:nsid w:val="696461A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C011C0"/>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F073F9"/>
    <w:multiLevelType w:val="singleLevel"/>
    <w:tmpl w:val="C9101EF4"/>
    <w:lvl w:ilvl="0">
      <w:start w:val="1"/>
      <w:numFmt w:val="decimal"/>
      <w:lvlText w:val="1.%1."/>
      <w:legacy w:legacy="1" w:legacySpace="0" w:legacyIndent="504"/>
      <w:lvlJc w:val="left"/>
      <w:rPr>
        <w:rFonts w:ascii="Times New Roman" w:hAnsi="Times New Roman" w:cs="Times New Roman" w:hint="default"/>
      </w:rPr>
    </w:lvl>
  </w:abstractNum>
  <w:abstractNum w:abstractNumId="43" w15:restartNumberingAfterBreak="0">
    <w:nsid w:val="79CC5B87"/>
    <w:multiLevelType w:val="singleLevel"/>
    <w:tmpl w:val="1A4ACFC2"/>
    <w:lvl w:ilvl="0">
      <w:start w:val="5"/>
      <w:numFmt w:val="decimal"/>
      <w:lvlText w:val="%1,"/>
      <w:legacy w:legacy="1" w:legacySpace="0" w:legacyIndent="33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
    <w:abstractNumId w:val="27"/>
  </w:num>
  <w:num w:numId="3">
    <w:abstractNumId w:val="22"/>
  </w:num>
  <w:num w:numId="4">
    <w:abstractNumId w:val="42"/>
  </w:num>
  <w:num w:numId="5">
    <w:abstractNumId w:val="37"/>
  </w:num>
  <w:num w:numId="6">
    <w:abstractNumId w:val="21"/>
  </w:num>
  <w:num w:numId="7">
    <w:abstractNumId w:val="39"/>
  </w:num>
  <w:num w:numId="8">
    <w:abstractNumId w:val="35"/>
  </w:num>
  <w:num w:numId="9">
    <w:abstractNumId w:val="43"/>
  </w:num>
  <w:num w:numId="10">
    <w:abstractNumId w:val="38"/>
  </w:num>
  <w:num w:numId="11">
    <w:abstractNumId w:val="30"/>
  </w:num>
  <w:num w:numId="12">
    <w:abstractNumId w:val="32"/>
  </w:num>
  <w:num w:numId="13">
    <w:abstractNumId w:val="14"/>
  </w:num>
  <w:num w:numId="14">
    <w:abstractNumId w:val="20"/>
  </w:num>
  <w:num w:numId="15">
    <w:abstractNumId w:val="10"/>
  </w:num>
  <w:num w:numId="16">
    <w:abstractNumId w:val="15"/>
  </w:num>
  <w:num w:numId="17">
    <w:abstractNumId w:val="23"/>
  </w:num>
  <w:num w:numId="18">
    <w:abstractNumId w:val="29"/>
  </w:num>
  <w:num w:numId="19">
    <w:abstractNumId w:val="4"/>
  </w:num>
  <w:num w:numId="20">
    <w:abstractNumId w:val="13"/>
  </w:num>
  <w:num w:numId="21">
    <w:abstractNumId w:val="2"/>
  </w:num>
  <w:num w:numId="22">
    <w:abstractNumId w:val="5"/>
  </w:num>
  <w:num w:numId="23">
    <w:abstractNumId w:val="18"/>
  </w:num>
  <w:num w:numId="24">
    <w:abstractNumId w:val="8"/>
  </w:num>
  <w:num w:numId="25">
    <w:abstractNumId w:val="24"/>
  </w:num>
  <w:num w:numId="26">
    <w:abstractNumId w:val="12"/>
  </w:num>
  <w:num w:numId="27">
    <w:abstractNumId w:val="26"/>
  </w:num>
  <w:num w:numId="28">
    <w:abstractNumId w:val="36"/>
  </w:num>
  <w:num w:numId="29">
    <w:abstractNumId w:val="40"/>
  </w:num>
  <w:num w:numId="30">
    <w:abstractNumId w:val="41"/>
  </w:num>
  <w:num w:numId="31">
    <w:abstractNumId w:val="1"/>
  </w:num>
  <w:num w:numId="32">
    <w:abstractNumId w:val="7"/>
  </w:num>
  <w:num w:numId="33">
    <w:abstractNumId w:val="33"/>
  </w:num>
  <w:num w:numId="34">
    <w:abstractNumId w:val="28"/>
  </w:num>
  <w:num w:numId="35">
    <w:abstractNumId w:val="6"/>
  </w:num>
  <w:num w:numId="36">
    <w:abstractNumId w:val="25"/>
  </w:num>
  <w:num w:numId="37">
    <w:abstractNumId w:val="16"/>
  </w:num>
  <w:num w:numId="38">
    <w:abstractNumId w:val="17"/>
  </w:num>
  <w:num w:numId="39">
    <w:abstractNumId w:val="34"/>
  </w:num>
  <w:num w:numId="40">
    <w:abstractNumId w:val="9"/>
  </w:num>
  <w:num w:numId="41">
    <w:abstractNumId w:val="1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356D"/>
    <w:rsid w:val="00003DCA"/>
    <w:rsid w:val="00005022"/>
    <w:rsid w:val="00006999"/>
    <w:rsid w:val="00007003"/>
    <w:rsid w:val="00007495"/>
    <w:rsid w:val="00007DA5"/>
    <w:rsid w:val="00010BF1"/>
    <w:rsid w:val="000118DD"/>
    <w:rsid w:val="000136A5"/>
    <w:rsid w:val="00014189"/>
    <w:rsid w:val="00014190"/>
    <w:rsid w:val="000144B5"/>
    <w:rsid w:val="000147C5"/>
    <w:rsid w:val="00017F15"/>
    <w:rsid w:val="00020A7D"/>
    <w:rsid w:val="00022FDB"/>
    <w:rsid w:val="000246FB"/>
    <w:rsid w:val="0002607B"/>
    <w:rsid w:val="00026F41"/>
    <w:rsid w:val="00027FBB"/>
    <w:rsid w:val="00030FA2"/>
    <w:rsid w:val="0003103F"/>
    <w:rsid w:val="00033CAB"/>
    <w:rsid w:val="00033D2E"/>
    <w:rsid w:val="00034242"/>
    <w:rsid w:val="0003521C"/>
    <w:rsid w:val="00035447"/>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5A30"/>
    <w:rsid w:val="000563A8"/>
    <w:rsid w:val="00057247"/>
    <w:rsid w:val="0005745B"/>
    <w:rsid w:val="0005784A"/>
    <w:rsid w:val="00060049"/>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7097"/>
    <w:rsid w:val="00083BCE"/>
    <w:rsid w:val="000848CC"/>
    <w:rsid w:val="0008520A"/>
    <w:rsid w:val="0008583F"/>
    <w:rsid w:val="0008585D"/>
    <w:rsid w:val="00087049"/>
    <w:rsid w:val="000875D6"/>
    <w:rsid w:val="00091105"/>
    <w:rsid w:val="00091148"/>
    <w:rsid w:val="00092170"/>
    <w:rsid w:val="00094CC3"/>
    <w:rsid w:val="00094D22"/>
    <w:rsid w:val="00095AC0"/>
    <w:rsid w:val="000A034F"/>
    <w:rsid w:val="000A18CE"/>
    <w:rsid w:val="000A4797"/>
    <w:rsid w:val="000A4A1A"/>
    <w:rsid w:val="000B0949"/>
    <w:rsid w:val="000B2487"/>
    <w:rsid w:val="000B40EA"/>
    <w:rsid w:val="000B447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03A8"/>
    <w:rsid w:val="000D1D9D"/>
    <w:rsid w:val="000D795A"/>
    <w:rsid w:val="000E1E56"/>
    <w:rsid w:val="000E2694"/>
    <w:rsid w:val="000E4CE8"/>
    <w:rsid w:val="000E5128"/>
    <w:rsid w:val="000E5774"/>
    <w:rsid w:val="000E58B4"/>
    <w:rsid w:val="000E59C0"/>
    <w:rsid w:val="000E6FF7"/>
    <w:rsid w:val="000E76AB"/>
    <w:rsid w:val="000F0001"/>
    <w:rsid w:val="000F2FE9"/>
    <w:rsid w:val="000F4F9C"/>
    <w:rsid w:val="001005C8"/>
    <w:rsid w:val="001013B6"/>
    <w:rsid w:val="00101503"/>
    <w:rsid w:val="0010163C"/>
    <w:rsid w:val="001016B3"/>
    <w:rsid w:val="00101BF2"/>
    <w:rsid w:val="00102F78"/>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47A0"/>
    <w:rsid w:val="00124812"/>
    <w:rsid w:val="00130F26"/>
    <w:rsid w:val="00131F09"/>
    <w:rsid w:val="00135139"/>
    <w:rsid w:val="0013577E"/>
    <w:rsid w:val="0014078B"/>
    <w:rsid w:val="0014295D"/>
    <w:rsid w:val="00142C48"/>
    <w:rsid w:val="00144F0F"/>
    <w:rsid w:val="001452E5"/>
    <w:rsid w:val="001524DC"/>
    <w:rsid w:val="00153628"/>
    <w:rsid w:val="001537F1"/>
    <w:rsid w:val="00153A06"/>
    <w:rsid w:val="0015423C"/>
    <w:rsid w:val="00155450"/>
    <w:rsid w:val="001562E3"/>
    <w:rsid w:val="00157152"/>
    <w:rsid w:val="00161D5F"/>
    <w:rsid w:val="00163BE9"/>
    <w:rsid w:val="00166B6A"/>
    <w:rsid w:val="00167CC2"/>
    <w:rsid w:val="001704D0"/>
    <w:rsid w:val="0017488E"/>
    <w:rsid w:val="001776F0"/>
    <w:rsid w:val="00182669"/>
    <w:rsid w:val="001831EC"/>
    <w:rsid w:val="00183E86"/>
    <w:rsid w:val="00191215"/>
    <w:rsid w:val="0019171D"/>
    <w:rsid w:val="00192C12"/>
    <w:rsid w:val="00194327"/>
    <w:rsid w:val="001950D8"/>
    <w:rsid w:val="001A0282"/>
    <w:rsid w:val="001A1AAA"/>
    <w:rsid w:val="001A3937"/>
    <w:rsid w:val="001A3A0B"/>
    <w:rsid w:val="001A3AA4"/>
    <w:rsid w:val="001A5C37"/>
    <w:rsid w:val="001B00B4"/>
    <w:rsid w:val="001B122F"/>
    <w:rsid w:val="001B235D"/>
    <w:rsid w:val="001B5CDA"/>
    <w:rsid w:val="001B6BAE"/>
    <w:rsid w:val="001C1228"/>
    <w:rsid w:val="001C26E5"/>
    <w:rsid w:val="001C313B"/>
    <w:rsid w:val="001C40C8"/>
    <w:rsid w:val="001C682F"/>
    <w:rsid w:val="001D02A4"/>
    <w:rsid w:val="001D1901"/>
    <w:rsid w:val="001D1B33"/>
    <w:rsid w:val="001D5876"/>
    <w:rsid w:val="001D6E56"/>
    <w:rsid w:val="001E04AA"/>
    <w:rsid w:val="001E1DCA"/>
    <w:rsid w:val="001E79BC"/>
    <w:rsid w:val="001E7B97"/>
    <w:rsid w:val="001F0F1E"/>
    <w:rsid w:val="001F1331"/>
    <w:rsid w:val="001F1AE8"/>
    <w:rsid w:val="001F3BE6"/>
    <w:rsid w:val="001F43B7"/>
    <w:rsid w:val="001F4561"/>
    <w:rsid w:val="001F5799"/>
    <w:rsid w:val="001F7059"/>
    <w:rsid w:val="00200262"/>
    <w:rsid w:val="002005F9"/>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999"/>
    <w:rsid w:val="00216AA6"/>
    <w:rsid w:val="00217C30"/>
    <w:rsid w:val="00217D2A"/>
    <w:rsid w:val="00221F22"/>
    <w:rsid w:val="00224B00"/>
    <w:rsid w:val="00225BAE"/>
    <w:rsid w:val="00226542"/>
    <w:rsid w:val="00227979"/>
    <w:rsid w:val="00231B96"/>
    <w:rsid w:val="00232518"/>
    <w:rsid w:val="002329CC"/>
    <w:rsid w:val="00234224"/>
    <w:rsid w:val="002352DA"/>
    <w:rsid w:val="00236497"/>
    <w:rsid w:val="002365F1"/>
    <w:rsid w:val="002370D6"/>
    <w:rsid w:val="0024108E"/>
    <w:rsid w:val="00245D19"/>
    <w:rsid w:val="00246823"/>
    <w:rsid w:val="00246A3D"/>
    <w:rsid w:val="002474F6"/>
    <w:rsid w:val="0025288A"/>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157C"/>
    <w:rsid w:val="002718C5"/>
    <w:rsid w:val="00271D37"/>
    <w:rsid w:val="00272AEB"/>
    <w:rsid w:val="00276FB1"/>
    <w:rsid w:val="00277C47"/>
    <w:rsid w:val="00277F58"/>
    <w:rsid w:val="0028095C"/>
    <w:rsid w:val="00282E03"/>
    <w:rsid w:val="00286348"/>
    <w:rsid w:val="00286B0F"/>
    <w:rsid w:val="00287669"/>
    <w:rsid w:val="00287770"/>
    <w:rsid w:val="00290969"/>
    <w:rsid w:val="00297764"/>
    <w:rsid w:val="0029793F"/>
    <w:rsid w:val="00297E8A"/>
    <w:rsid w:val="002A0074"/>
    <w:rsid w:val="002A057D"/>
    <w:rsid w:val="002A1865"/>
    <w:rsid w:val="002A2125"/>
    <w:rsid w:val="002A26C4"/>
    <w:rsid w:val="002A571C"/>
    <w:rsid w:val="002B0A67"/>
    <w:rsid w:val="002B131E"/>
    <w:rsid w:val="002B25DA"/>
    <w:rsid w:val="002B26CC"/>
    <w:rsid w:val="002B40B8"/>
    <w:rsid w:val="002B4549"/>
    <w:rsid w:val="002B514B"/>
    <w:rsid w:val="002C0C62"/>
    <w:rsid w:val="002C1CA0"/>
    <w:rsid w:val="002C2E29"/>
    <w:rsid w:val="002C3EEE"/>
    <w:rsid w:val="002C4C32"/>
    <w:rsid w:val="002C6331"/>
    <w:rsid w:val="002C6F4B"/>
    <w:rsid w:val="002C759D"/>
    <w:rsid w:val="002C7FDF"/>
    <w:rsid w:val="002D1AC5"/>
    <w:rsid w:val="002D1B58"/>
    <w:rsid w:val="002D356B"/>
    <w:rsid w:val="002D3F6D"/>
    <w:rsid w:val="002D4F3E"/>
    <w:rsid w:val="002D566F"/>
    <w:rsid w:val="002D7B82"/>
    <w:rsid w:val="002E3925"/>
    <w:rsid w:val="002E48EA"/>
    <w:rsid w:val="002E5320"/>
    <w:rsid w:val="002E6BFA"/>
    <w:rsid w:val="002E6EC4"/>
    <w:rsid w:val="002F1F9C"/>
    <w:rsid w:val="002F2847"/>
    <w:rsid w:val="002F2DF8"/>
    <w:rsid w:val="002F2E65"/>
    <w:rsid w:val="002F3693"/>
    <w:rsid w:val="002F4DD3"/>
    <w:rsid w:val="002F5F24"/>
    <w:rsid w:val="002F60D1"/>
    <w:rsid w:val="002F6575"/>
    <w:rsid w:val="002F6EF0"/>
    <w:rsid w:val="003015D1"/>
    <w:rsid w:val="003015E8"/>
    <w:rsid w:val="00302021"/>
    <w:rsid w:val="003047EC"/>
    <w:rsid w:val="003066DB"/>
    <w:rsid w:val="00311358"/>
    <w:rsid w:val="00312A35"/>
    <w:rsid w:val="00313D1A"/>
    <w:rsid w:val="00315186"/>
    <w:rsid w:val="00320057"/>
    <w:rsid w:val="00320C77"/>
    <w:rsid w:val="0032521F"/>
    <w:rsid w:val="00325DCD"/>
    <w:rsid w:val="00326501"/>
    <w:rsid w:val="00326CD8"/>
    <w:rsid w:val="00330CF1"/>
    <w:rsid w:val="00331DBB"/>
    <w:rsid w:val="00333541"/>
    <w:rsid w:val="00334E46"/>
    <w:rsid w:val="00335117"/>
    <w:rsid w:val="0033683B"/>
    <w:rsid w:val="00337612"/>
    <w:rsid w:val="00337950"/>
    <w:rsid w:val="00337BCC"/>
    <w:rsid w:val="00337D15"/>
    <w:rsid w:val="00342A9F"/>
    <w:rsid w:val="003451BA"/>
    <w:rsid w:val="00346F03"/>
    <w:rsid w:val="00347480"/>
    <w:rsid w:val="00352C51"/>
    <w:rsid w:val="00353787"/>
    <w:rsid w:val="00357A97"/>
    <w:rsid w:val="00360741"/>
    <w:rsid w:val="00363A34"/>
    <w:rsid w:val="003662F5"/>
    <w:rsid w:val="00370847"/>
    <w:rsid w:val="00371004"/>
    <w:rsid w:val="003721A0"/>
    <w:rsid w:val="00372F8B"/>
    <w:rsid w:val="00373BE8"/>
    <w:rsid w:val="0037466C"/>
    <w:rsid w:val="003746C2"/>
    <w:rsid w:val="00374975"/>
    <w:rsid w:val="00375C3E"/>
    <w:rsid w:val="00376579"/>
    <w:rsid w:val="0037661B"/>
    <w:rsid w:val="003776A3"/>
    <w:rsid w:val="003809DC"/>
    <w:rsid w:val="00381117"/>
    <w:rsid w:val="003811AD"/>
    <w:rsid w:val="003812C4"/>
    <w:rsid w:val="00381D09"/>
    <w:rsid w:val="0038706E"/>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18B1"/>
    <w:rsid w:val="003C25A3"/>
    <w:rsid w:val="003C2C98"/>
    <w:rsid w:val="003C7AF0"/>
    <w:rsid w:val="003D0B0B"/>
    <w:rsid w:val="003D213C"/>
    <w:rsid w:val="003D4E3C"/>
    <w:rsid w:val="003D7A6F"/>
    <w:rsid w:val="003D7C58"/>
    <w:rsid w:val="003D7DF0"/>
    <w:rsid w:val="003E1AE4"/>
    <w:rsid w:val="003E2E17"/>
    <w:rsid w:val="003E349F"/>
    <w:rsid w:val="003E6FD5"/>
    <w:rsid w:val="003F1EF0"/>
    <w:rsid w:val="003F2117"/>
    <w:rsid w:val="003F2C64"/>
    <w:rsid w:val="003F5E0E"/>
    <w:rsid w:val="0040327E"/>
    <w:rsid w:val="00403DE8"/>
    <w:rsid w:val="004041C5"/>
    <w:rsid w:val="004056F4"/>
    <w:rsid w:val="00412FDA"/>
    <w:rsid w:val="004202A3"/>
    <w:rsid w:val="00422FB7"/>
    <w:rsid w:val="00424457"/>
    <w:rsid w:val="00424A4A"/>
    <w:rsid w:val="00424C10"/>
    <w:rsid w:val="00425D2C"/>
    <w:rsid w:val="00425F08"/>
    <w:rsid w:val="00432E5E"/>
    <w:rsid w:val="00432FDF"/>
    <w:rsid w:val="004348F3"/>
    <w:rsid w:val="00435052"/>
    <w:rsid w:val="00435C75"/>
    <w:rsid w:val="0043649F"/>
    <w:rsid w:val="0044435D"/>
    <w:rsid w:val="00444544"/>
    <w:rsid w:val="00445C95"/>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4381"/>
    <w:rsid w:val="004B6170"/>
    <w:rsid w:val="004B66E7"/>
    <w:rsid w:val="004B7A4A"/>
    <w:rsid w:val="004C0679"/>
    <w:rsid w:val="004C0A87"/>
    <w:rsid w:val="004C6C46"/>
    <w:rsid w:val="004D1B53"/>
    <w:rsid w:val="004D2B34"/>
    <w:rsid w:val="004D305D"/>
    <w:rsid w:val="004D5DE9"/>
    <w:rsid w:val="004D79EB"/>
    <w:rsid w:val="004D7F4D"/>
    <w:rsid w:val="004E03F0"/>
    <w:rsid w:val="004E15CA"/>
    <w:rsid w:val="004E19D8"/>
    <w:rsid w:val="004E1EF0"/>
    <w:rsid w:val="004E2E6B"/>
    <w:rsid w:val="004E2F8C"/>
    <w:rsid w:val="004E3579"/>
    <w:rsid w:val="004E3751"/>
    <w:rsid w:val="004E4A47"/>
    <w:rsid w:val="004F007C"/>
    <w:rsid w:val="004F27C6"/>
    <w:rsid w:val="004F3006"/>
    <w:rsid w:val="004F375D"/>
    <w:rsid w:val="004F4617"/>
    <w:rsid w:val="004F5055"/>
    <w:rsid w:val="004F6987"/>
    <w:rsid w:val="004F7D42"/>
    <w:rsid w:val="004F7D46"/>
    <w:rsid w:val="00500946"/>
    <w:rsid w:val="0050591F"/>
    <w:rsid w:val="005068B3"/>
    <w:rsid w:val="00510964"/>
    <w:rsid w:val="00512355"/>
    <w:rsid w:val="005124CE"/>
    <w:rsid w:val="005134C4"/>
    <w:rsid w:val="00513BF2"/>
    <w:rsid w:val="00513F5E"/>
    <w:rsid w:val="005155A7"/>
    <w:rsid w:val="00515E7F"/>
    <w:rsid w:val="00516071"/>
    <w:rsid w:val="0052058B"/>
    <w:rsid w:val="0052176B"/>
    <w:rsid w:val="005235D9"/>
    <w:rsid w:val="00525369"/>
    <w:rsid w:val="005260A6"/>
    <w:rsid w:val="005268B9"/>
    <w:rsid w:val="00526A53"/>
    <w:rsid w:val="00532901"/>
    <w:rsid w:val="00534A1D"/>
    <w:rsid w:val="00535AAC"/>
    <w:rsid w:val="0053682B"/>
    <w:rsid w:val="00540FEC"/>
    <w:rsid w:val="005435F5"/>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7050E"/>
    <w:rsid w:val="00571213"/>
    <w:rsid w:val="00574B17"/>
    <w:rsid w:val="00575B52"/>
    <w:rsid w:val="005765F4"/>
    <w:rsid w:val="00576E6F"/>
    <w:rsid w:val="00577CC1"/>
    <w:rsid w:val="005814F2"/>
    <w:rsid w:val="0058154E"/>
    <w:rsid w:val="0058309A"/>
    <w:rsid w:val="00583B56"/>
    <w:rsid w:val="00586E7F"/>
    <w:rsid w:val="00587DFB"/>
    <w:rsid w:val="00591846"/>
    <w:rsid w:val="00592122"/>
    <w:rsid w:val="005929F4"/>
    <w:rsid w:val="005965C7"/>
    <w:rsid w:val="005A0466"/>
    <w:rsid w:val="005A0D40"/>
    <w:rsid w:val="005A34E6"/>
    <w:rsid w:val="005A4A1D"/>
    <w:rsid w:val="005A4AF7"/>
    <w:rsid w:val="005A4C70"/>
    <w:rsid w:val="005A639B"/>
    <w:rsid w:val="005A7165"/>
    <w:rsid w:val="005A7898"/>
    <w:rsid w:val="005A7B9E"/>
    <w:rsid w:val="005B112D"/>
    <w:rsid w:val="005B388F"/>
    <w:rsid w:val="005B4EC8"/>
    <w:rsid w:val="005B554D"/>
    <w:rsid w:val="005B740B"/>
    <w:rsid w:val="005C0884"/>
    <w:rsid w:val="005C1273"/>
    <w:rsid w:val="005C12C1"/>
    <w:rsid w:val="005C1A0E"/>
    <w:rsid w:val="005C2078"/>
    <w:rsid w:val="005C352B"/>
    <w:rsid w:val="005C36A8"/>
    <w:rsid w:val="005C41FC"/>
    <w:rsid w:val="005C7F0E"/>
    <w:rsid w:val="005D0755"/>
    <w:rsid w:val="005D21B9"/>
    <w:rsid w:val="005D4769"/>
    <w:rsid w:val="005D4D62"/>
    <w:rsid w:val="005E061C"/>
    <w:rsid w:val="005E1CD8"/>
    <w:rsid w:val="005E1E5F"/>
    <w:rsid w:val="005E2CCF"/>
    <w:rsid w:val="005E38B6"/>
    <w:rsid w:val="005E3929"/>
    <w:rsid w:val="005E4F27"/>
    <w:rsid w:val="005E55BB"/>
    <w:rsid w:val="005E7FE3"/>
    <w:rsid w:val="005F08DA"/>
    <w:rsid w:val="005F0A5A"/>
    <w:rsid w:val="005F0E80"/>
    <w:rsid w:val="005F132C"/>
    <w:rsid w:val="005F5A57"/>
    <w:rsid w:val="005F5C17"/>
    <w:rsid w:val="005F6D09"/>
    <w:rsid w:val="0060307E"/>
    <w:rsid w:val="00605326"/>
    <w:rsid w:val="006053B9"/>
    <w:rsid w:val="0060568A"/>
    <w:rsid w:val="006108EE"/>
    <w:rsid w:val="00612434"/>
    <w:rsid w:val="00612C29"/>
    <w:rsid w:val="0061463D"/>
    <w:rsid w:val="00614B73"/>
    <w:rsid w:val="00615993"/>
    <w:rsid w:val="00617E18"/>
    <w:rsid w:val="00621099"/>
    <w:rsid w:val="006222AB"/>
    <w:rsid w:val="00622B1E"/>
    <w:rsid w:val="006256CD"/>
    <w:rsid w:val="0062770C"/>
    <w:rsid w:val="0063092E"/>
    <w:rsid w:val="006310EF"/>
    <w:rsid w:val="00631897"/>
    <w:rsid w:val="00632238"/>
    <w:rsid w:val="0063315A"/>
    <w:rsid w:val="00633603"/>
    <w:rsid w:val="00635E02"/>
    <w:rsid w:val="006365CC"/>
    <w:rsid w:val="00637755"/>
    <w:rsid w:val="00641645"/>
    <w:rsid w:val="006419A3"/>
    <w:rsid w:val="0064252D"/>
    <w:rsid w:val="006426EE"/>
    <w:rsid w:val="00643E84"/>
    <w:rsid w:val="0064452E"/>
    <w:rsid w:val="00646347"/>
    <w:rsid w:val="00646455"/>
    <w:rsid w:val="00646731"/>
    <w:rsid w:val="006501F9"/>
    <w:rsid w:val="00650705"/>
    <w:rsid w:val="00652B48"/>
    <w:rsid w:val="006531D5"/>
    <w:rsid w:val="00653C4E"/>
    <w:rsid w:val="006547D3"/>
    <w:rsid w:val="00654E80"/>
    <w:rsid w:val="006610D4"/>
    <w:rsid w:val="00661E1C"/>
    <w:rsid w:val="0066563E"/>
    <w:rsid w:val="006716FD"/>
    <w:rsid w:val="006720B8"/>
    <w:rsid w:val="006726F0"/>
    <w:rsid w:val="00672D7C"/>
    <w:rsid w:val="00673204"/>
    <w:rsid w:val="0067376A"/>
    <w:rsid w:val="00673F22"/>
    <w:rsid w:val="00674740"/>
    <w:rsid w:val="0067758F"/>
    <w:rsid w:val="006808DD"/>
    <w:rsid w:val="00682B06"/>
    <w:rsid w:val="00683D4F"/>
    <w:rsid w:val="00686649"/>
    <w:rsid w:val="006924B0"/>
    <w:rsid w:val="00693DD4"/>
    <w:rsid w:val="00696194"/>
    <w:rsid w:val="00697E50"/>
    <w:rsid w:val="006A5C69"/>
    <w:rsid w:val="006A5E6A"/>
    <w:rsid w:val="006B055D"/>
    <w:rsid w:val="006B06AB"/>
    <w:rsid w:val="006B176A"/>
    <w:rsid w:val="006B273E"/>
    <w:rsid w:val="006B3A98"/>
    <w:rsid w:val="006B3ED0"/>
    <w:rsid w:val="006B51E5"/>
    <w:rsid w:val="006B5583"/>
    <w:rsid w:val="006B6C79"/>
    <w:rsid w:val="006B6E78"/>
    <w:rsid w:val="006C02EE"/>
    <w:rsid w:val="006C1621"/>
    <w:rsid w:val="006C2462"/>
    <w:rsid w:val="006C2B03"/>
    <w:rsid w:val="006D2A62"/>
    <w:rsid w:val="006D2A69"/>
    <w:rsid w:val="006D2B11"/>
    <w:rsid w:val="006D4C90"/>
    <w:rsid w:val="006D4FE9"/>
    <w:rsid w:val="006D56A0"/>
    <w:rsid w:val="006E083F"/>
    <w:rsid w:val="006E12A2"/>
    <w:rsid w:val="006E1834"/>
    <w:rsid w:val="006E5A23"/>
    <w:rsid w:val="006E64B2"/>
    <w:rsid w:val="006E68BC"/>
    <w:rsid w:val="006E6C36"/>
    <w:rsid w:val="006F1652"/>
    <w:rsid w:val="006F1ED5"/>
    <w:rsid w:val="006F45B1"/>
    <w:rsid w:val="0070037E"/>
    <w:rsid w:val="00702CBA"/>
    <w:rsid w:val="00705980"/>
    <w:rsid w:val="00713DCE"/>
    <w:rsid w:val="0071586E"/>
    <w:rsid w:val="00721BA0"/>
    <w:rsid w:val="007241E4"/>
    <w:rsid w:val="0072496F"/>
    <w:rsid w:val="007253C8"/>
    <w:rsid w:val="00725C1F"/>
    <w:rsid w:val="00725E63"/>
    <w:rsid w:val="00726D01"/>
    <w:rsid w:val="00727480"/>
    <w:rsid w:val="00727840"/>
    <w:rsid w:val="00731AC2"/>
    <w:rsid w:val="0073234B"/>
    <w:rsid w:val="00736602"/>
    <w:rsid w:val="00737884"/>
    <w:rsid w:val="00737CFB"/>
    <w:rsid w:val="0074088C"/>
    <w:rsid w:val="00743744"/>
    <w:rsid w:val="0074459E"/>
    <w:rsid w:val="007467EF"/>
    <w:rsid w:val="00747C83"/>
    <w:rsid w:val="00747E82"/>
    <w:rsid w:val="007505CD"/>
    <w:rsid w:val="00752445"/>
    <w:rsid w:val="00753C52"/>
    <w:rsid w:val="0076067D"/>
    <w:rsid w:val="00761B76"/>
    <w:rsid w:val="0076212E"/>
    <w:rsid w:val="00762423"/>
    <w:rsid w:val="007624AB"/>
    <w:rsid w:val="007634FE"/>
    <w:rsid w:val="0077329E"/>
    <w:rsid w:val="00773756"/>
    <w:rsid w:val="00773854"/>
    <w:rsid w:val="00774CC2"/>
    <w:rsid w:val="00783C31"/>
    <w:rsid w:val="00783DFC"/>
    <w:rsid w:val="00784D11"/>
    <w:rsid w:val="00785B09"/>
    <w:rsid w:val="00786DDC"/>
    <w:rsid w:val="00787B36"/>
    <w:rsid w:val="0079099F"/>
    <w:rsid w:val="00790FC8"/>
    <w:rsid w:val="00791B1F"/>
    <w:rsid w:val="00791E6E"/>
    <w:rsid w:val="00792CF5"/>
    <w:rsid w:val="00793734"/>
    <w:rsid w:val="007A00FB"/>
    <w:rsid w:val="007A0665"/>
    <w:rsid w:val="007A0AE6"/>
    <w:rsid w:val="007A4BC7"/>
    <w:rsid w:val="007A5C83"/>
    <w:rsid w:val="007B4E79"/>
    <w:rsid w:val="007B61D9"/>
    <w:rsid w:val="007C048E"/>
    <w:rsid w:val="007C08C3"/>
    <w:rsid w:val="007C2D31"/>
    <w:rsid w:val="007C4B8F"/>
    <w:rsid w:val="007C7BB1"/>
    <w:rsid w:val="007D0E65"/>
    <w:rsid w:val="007D109F"/>
    <w:rsid w:val="007D40E6"/>
    <w:rsid w:val="007D5773"/>
    <w:rsid w:val="007D6375"/>
    <w:rsid w:val="007D6488"/>
    <w:rsid w:val="007D6B9D"/>
    <w:rsid w:val="007D6DDD"/>
    <w:rsid w:val="007D78B4"/>
    <w:rsid w:val="007D78BB"/>
    <w:rsid w:val="007D7B2E"/>
    <w:rsid w:val="007E14E6"/>
    <w:rsid w:val="007E697F"/>
    <w:rsid w:val="007E6A59"/>
    <w:rsid w:val="007F05AF"/>
    <w:rsid w:val="007F0F19"/>
    <w:rsid w:val="007F1B7B"/>
    <w:rsid w:val="007F1BF6"/>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2057"/>
    <w:rsid w:val="0083317D"/>
    <w:rsid w:val="00833336"/>
    <w:rsid w:val="00833E45"/>
    <w:rsid w:val="00834438"/>
    <w:rsid w:val="00835F0D"/>
    <w:rsid w:val="0083630C"/>
    <w:rsid w:val="00836338"/>
    <w:rsid w:val="00836795"/>
    <w:rsid w:val="00837615"/>
    <w:rsid w:val="00837E49"/>
    <w:rsid w:val="00841FB1"/>
    <w:rsid w:val="00842DFE"/>
    <w:rsid w:val="0084514E"/>
    <w:rsid w:val="00851684"/>
    <w:rsid w:val="00854EF6"/>
    <w:rsid w:val="00855037"/>
    <w:rsid w:val="008603AD"/>
    <w:rsid w:val="008605AC"/>
    <w:rsid w:val="00860892"/>
    <w:rsid w:val="0086261F"/>
    <w:rsid w:val="008663B4"/>
    <w:rsid w:val="00866D08"/>
    <w:rsid w:val="008670B5"/>
    <w:rsid w:val="00867A31"/>
    <w:rsid w:val="00867F7F"/>
    <w:rsid w:val="00873565"/>
    <w:rsid w:val="00877B71"/>
    <w:rsid w:val="008812F7"/>
    <w:rsid w:val="00881619"/>
    <w:rsid w:val="00881FF9"/>
    <w:rsid w:val="00882368"/>
    <w:rsid w:val="00886D69"/>
    <w:rsid w:val="00891125"/>
    <w:rsid w:val="00891BDA"/>
    <w:rsid w:val="008924F0"/>
    <w:rsid w:val="00892C62"/>
    <w:rsid w:val="00892DED"/>
    <w:rsid w:val="008932BF"/>
    <w:rsid w:val="00893439"/>
    <w:rsid w:val="00895681"/>
    <w:rsid w:val="008A05A5"/>
    <w:rsid w:val="008A0CC5"/>
    <w:rsid w:val="008A0D25"/>
    <w:rsid w:val="008A1D24"/>
    <w:rsid w:val="008A41C7"/>
    <w:rsid w:val="008A49E9"/>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2388"/>
    <w:rsid w:val="008D2E81"/>
    <w:rsid w:val="008D3815"/>
    <w:rsid w:val="008D44D5"/>
    <w:rsid w:val="008D47AA"/>
    <w:rsid w:val="008D508E"/>
    <w:rsid w:val="008D5268"/>
    <w:rsid w:val="008D6373"/>
    <w:rsid w:val="008E0F80"/>
    <w:rsid w:val="008E34A3"/>
    <w:rsid w:val="008E4600"/>
    <w:rsid w:val="008E475B"/>
    <w:rsid w:val="008E7656"/>
    <w:rsid w:val="008F0CEC"/>
    <w:rsid w:val="008F3134"/>
    <w:rsid w:val="008F3CC5"/>
    <w:rsid w:val="008F40B8"/>
    <w:rsid w:val="0090216B"/>
    <w:rsid w:val="009028C7"/>
    <w:rsid w:val="0090308E"/>
    <w:rsid w:val="00904D70"/>
    <w:rsid w:val="00905D26"/>
    <w:rsid w:val="00906C25"/>
    <w:rsid w:val="00906D1D"/>
    <w:rsid w:val="009072E1"/>
    <w:rsid w:val="009101D2"/>
    <w:rsid w:val="00910A24"/>
    <w:rsid w:val="00911865"/>
    <w:rsid w:val="00912448"/>
    <w:rsid w:val="0091418D"/>
    <w:rsid w:val="00916CAA"/>
    <w:rsid w:val="009202D4"/>
    <w:rsid w:val="00920EB6"/>
    <w:rsid w:val="00921549"/>
    <w:rsid w:val="00921B4E"/>
    <w:rsid w:val="0092510A"/>
    <w:rsid w:val="009264FC"/>
    <w:rsid w:val="0092789C"/>
    <w:rsid w:val="00927BC9"/>
    <w:rsid w:val="00930EF4"/>
    <w:rsid w:val="00933E31"/>
    <w:rsid w:val="00934D94"/>
    <w:rsid w:val="00936226"/>
    <w:rsid w:val="00936A7C"/>
    <w:rsid w:val="00937672"/>
    <w:rsid w:val="0093779D"/>
    <w:rsid w:val="00941F19"/>
    <w:rsid w:val="00943CC9"/>
    <w:rsid w:val="00944B33"/>
    <w:rsid w:val="009469F7"/>
    <w:rsid w:val="00950C61"/>
    <w:rsid w:val="0095364F"/>
    <w:rsid w:val="009555CA"/>
    <w:rsid w:val="00955E2C"/>
    <w:rsid w:val="00960551"/>
    <w:rsid w:val="009616A5"/>
    <w:rsid w:val="009619E1"/>
    <w:rsid w:val="009634A0"/>
    <w:rsid w:val="00964457"/>
    <w:rsid w:val="00964D57"/>
    <w:rsid w:val="009669DF"/>
    <w:rsid w:val="00970083"/>
    <w:rsid w:val="009713A0"/>
    <w:rsid w:val="00972542"/>
    <w:rsid w:val="00972E97"/>
    <w:rsid w:val="009745BB"/>
    <w:rsid w:val="009769E2"/>
    <w:rsid w:val="00977C69"/>
    <w:rsid w:val="00980B81"/>
    <w:rsid w:val="00980DFC"/>
    <w:rsid w:val="009815E6"/>
    <w:rsid w:val="00982F0D"/>
    <w:rsid w:val="00984ECF"/>
    <w:rsid w:val="0098572C"/>
    <w:rsid w:val="009A0B64"/>
    <w:rsid w:val="009A137B"/>
    <w:rsid w:val="009A546E"/>
    <w:rsid w:val="009B027C"/>
    <w:rsid w:val="009B0519"/>
    <w:rsid w:val="009C0294"/>
    <w:rsid w:val="009C16C3"/>
    <w:rsid w:val="009C1914"/>
    <w:rsid w:val="009C1BC7"/>
    <w:rsid w:val="009C2700"/>
    <w:rsid w:val="009C3510"/>
    <w:rsid w:val="009C3517"/>
    <w:rsid w:val="009C3B97"/>
    <w:rsid w:val="009C4036"/>
    <w:rsid w:val="009C490C"/>
    <w:rsid w:val="009C5654"/>
    <w:rsid w:val="009C5A99"/>
    <w:rsid w:val="009C61F2"/>
    <w:rsid w:val="009C660B"/>
    <w:rsid w:val="009C7346"/>
    <w:rsid w:val="009D0C9E"/>
    <w:rsid w:val="009D1CE4"/>
    <w:rsid w:val="009D2A9A"/>
    <w:rsid w:val="009D4D0A"/>
    <w:rsid w:val="009E2E35"/>
    <w:rsid w:val="009E2E95"/>
    <w:rsid w:val="009E6754"/>
    <w:rsid w:val="009E69CE"/>
    <w:rsid w:val="009E716F"/>
    <w:rsid w:val="009E7335"/>
    <w:rsid w:val="009E7953"/>
    <w:rsid w:val="009F0D26"/>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3863"/>
    <w:rsid w:val="00A16DD2"/>
    <w:rsid w:val="00A2092A"/>
    <w:rsid w:val="00A220EA"/>
    <w:rsid w:val="00A23448"/>
    <w:rsid w:val="00A23F42"/>
    <w:rsid w:val="00A24236"/>
    <w:rsid w:val="00A24BF3"/>
    <w:rsid w:val="00A27190"/>
    <w:rsid w:val="00A30B87"/>
    <w:rsid w:val="00A30C57"/>
    <w:rsid w:val="00A312D5"/>
    <w:rsid w:val="00A3251D"/>
    <w:rsid w:val="00A327E2"/>
    <w:rsid w:val="00A3379C"/>
    <w:rsid w:val="00A35091"/>
    <w:rsid w:val="00A365E3"/>
    <w:rsid w:val="00A415FF"/>
    <w:rsid w:val="00A41880"/>
    <w:rsid w:val="00A424ED"/>
    <w:rsid w:val="00A42FED"/>
    <w:rsid w:val="00A43011"/>
    <w:rsid w:val="00A44271"/>
    <w:rsid w:val="00A44C95"/>
    <w:rsid w:val="00A47F9D"/>
    <w:rsid w:val="00A54408"/>
    <w:rsid w:val="00A55DF1"/>
    <w:rsid w:val="00A563C7"/>
    <w:rsid w:val="00A62599"/>
    <w:rsid w:val="00A64F3D"/>
    <w:rsid w:val="00A66267"/>
    <w:rsid w:val="00A66F43"/>
    <w:rsid w:val="00A6761B"/>
    <w:rsid w:val="00A67EBA"/>
    <w:rsid w:val="00A67EC5"/>
    <w:rsid w:val="00A71592"/>
    <w:rsid w:val="00A73D1B"/>
    <w:rsid w:val="00A75E06"/>
    <w:rsid w:val="00A75E1B"/>
    <w:rsid w:val="00A7785C"/>
    <w:rsid w:val="00A805A3"/>
    <w:rsid w:val="00A828BA"/>
    <w:rsid w:val="00A82A5C"/>
    <w:rsid w:val="00A831FA"/>
    <w:rsid w:val="00A83A80"/>
    <w:rsid w:val="00A8453C"/>
    <w:rsid w:val="00A84C72"/>
    <w:rsid w:val="00A86047"/>
    <w:rsid w:val="00A969DA"/>
    <w:rsid w:val="00A96C91"/>
    <w:rsid w:val="00A97A3F"/>
    <w:rsid w:val="00AA138D"/>
    <w:rsid w:val="00AA2FA5"/>
    <w:rsid w:val="00AA64BD"/>
    <w:rsid w:val="00AA683D"/>
    <w:rsid w:val="00AA6E89"/>
    <w:rsid w:val="00AB1059"/>
    <w:rsid w:val="00AB1116"/>
    <w:rsid w:val="00AB3975"/>
    <w:rsid w:val="00AB3B75"/>
    <w:rsid w:val="00AB54CF"/>
    <w:rsid w:val="00AC0A54"/>
    <w:rsid w:val="00AC0BA7"/>
    <w:rsid w:val="00AC1A6C"/>
    <w:rsid w:val="00AC2301"/>
    <w:rsid w:val="00AC3656"/>
    <w:rsid w:val="00AC4193"/>
    <w:rsid w:val="00AC4F67"/>
    <w:rsid w:val="00AC6806"/>
    <w:rsid w:val="00AC7411"/>
    <w:rsid w:val="00AD08EB"/>
    <w:rsid w:val="00AD2646"/>
    <w:rsid w:val="00AD649F"/>
    <w:rsid w:val="00AD66D2"/>
    <w:rsid w:val="00AE0689"/>
    <w:rsid w:val="00AE12BA"/>
    <w:rsid w:val="00AE12C1"/>
    <w:rsid w:val="00AE4258"/>
    <w:rsid w:val="00AE4D3C"/>
    <w:rsid w:val="00AE609A"/>
    <w:rsid w:val="00AE6112"/>
    <w:rsid w:val="00AE63D4"/>
    <w:rsid w:val="00AE6A8D"/>
    <w:rsid w:val="00AE74DD"/>
    <w:rsid w:val="00AF266D"/>
    <w:rsid w:val="00AF3871"/>
    <w:rsid w:val="00AF672C"/>
    <w:rsid w:val="00AF76A6"/>
    <w:rsid w:val="00AF7D12"/>
    <w:rsid w:val="00B011D7"/>
    <w:rsid w:val="00B012BF"/>
    <w:rsid w:val="00B02A54"/>
    <w:rsid w:val="00B03E09"/>
    <w:rsid w:val="00B043AA"/>
    <w:rsid w:val="00B051FB"/>
    <w:rsid w:val="00B103C3"/>
    <w:rsid w:val="00B10796"/>
    <w:rsid w:val="00B11D47"/>
    <w:rsid w:val="00B15EEA"/>
    <w:rsid w:val="00B21284"/>
    <w:rsid w:val="00B2307C"/>
    <w:rsid w:val="00B2499A"/>
    <w:rsid w:val="00B26174"/>
    <w:rsid w:val="00B2668D"/>
    <w:rsid w:val="00B27FA6"/>
    <w:rsid w:val="00B31677"/>
    <w:rsid w:val="00B31E0E"/>
    <w:rsid w:val="00B327B4"/>
    <w:rsid w:val="00B33F58"/>
    <w:rsid w:val="00B34B46"/>
    <w:rsid w:val="00B34CB8"/>
    <w:rsid w:val="00B35454"/>
    <w:rsid w:val="00B3665F"/>
    <w:rsid w:val="00B36DBA"/>
    <w:rsid w:val="00B4107D"/>
    <w:rsid w:val="00B4376B"/>
    <w:rsid w:val="00B44510"/>
    <w:rsid w:val="00B459C2"/>
    <w:rsid w:val="00B45CA3"/>
    <w:rsid w:val="00B46035"/>
    <w:rsid w:val="00B5412D"/>
    <w:rsid w:val="00B551BC"/>
    <w:rsid w:val="00B55535"/>
    <w:rsid w:val="00B57156"/>
    <w:rsid w:val="00B6113E"/>
    <w:rsid w:val="00B612D1"/>
    <w:rsid w:val="00B61469"/>
    <w:rsid w:val="00B61AD4"/>
    <w:rsid w:val="00B64857"/>
    <w:rsid w:val="00B66926"/>
    <w:rsid w:val="00B66F9C"/>
    <w:rsid w:val="00B67088"/>
    <w:rsid w:val="00B674D4"/>
    <w:rsid w:val="00B70018"/>
    <w:rsid w:val="00B7148F"/>
    <w:rsid w:val="00B74277"/>
    <w:rsid w:val="00B77B52"/>
    <w:rsid w:val="00B808AF"/>
    <w:rsid w:val="00B84D4F"/>
    <w:rsid w:val="00B86811"/>
    <w:rsid w:val="00B86A66"/>
    <w:rsid w:val="00B87B3A"/>
    <w:rsid w:val="00B90D54"/>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146C"/>
    <w:rsid w:val="00BE30F2"/>
    <w:rsid w:val="00BE612F"/>
    <w:rsid w:val="00BE628A"/>
    <w:rsid w:val="00BE64F9"/>
    <w:rsid w:val="00BF1C69"/>
    <w:rsid w:val="00BF5AAF"/>
    <w:rsid w:val="00C02F6D"/>
    <w:rsid w:val="00C030B5"/>
    <w:rsid w:val="00C0483B"/>
    <w:rsid w:val="00C10929"/>
    <w:rsid w:val="00C12AF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08B"/>
    <w:rsid w:val="00C47CD8"/>
    <w:rsid w:val="00C5051E"/>
    <w:rsid w:val="00C5070D"/>
    <w:rsid w:val="00C50952"/>
    <w:rsid w:val="00C55BB5"/>
    <w:rsid w:val="00C55C3D"/>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6CDA"/>
    <w:rsid w:val="00CB6D6B"/>
    <w:rsid w:val="00CB7635"/>
    <w:rsid w:val="00CB7DB7"/>
    <w:rsid w:val="00CC1352"/>
    <w:rsid w:val="00CC2A12"/>
    <w:rsid w:val="00CC3281"/>
    <w:rsid w:val="00CC3C84"/>
    <w:rsid w:val="00CC5EC2"/>
    <w:rsid w:val="00CC683E"/>
    <w:rsid w:val="00CC69D9"/>
    <w:rsid w:val="00CD078E"/>
    <w:rsid w:val="00CD2344"/>
    <w:rsid w:val="00CD617B"/>
    <w:rsid w:val="00CD7C30"/>
    <w:rsid w:val="00CD7E92"/>
    <w:rsid w:val="00CE0DA1"/>
    <w:rsid w:val="00CE1298"/>
    <w:rsid w:val="00CE157A"/>
    <w:rsid w:val="00CE19D9"/>
    <w:rsid w:val="00CE26B0"/>
    <w:rsid w:val="00CE30D4"/>
    <w:rsid w:val="00CE3538"/>
    <w:rsid w:val="00CE4C6E"/>
    <w:rsid w:val="00CE5D45"/>
    <w:rsid w:val="00CE61C4"/>
    <w:rsid w:val="00CF06A2"/>
    <w:rsid w:val="00CF0C97"/>
    <w:rsid w:val="00CF1465"/>
    <w:rsid w:val="00CF2C2D"/>
    <w:rsid w:val="00CF331A"/>
    <w:rsid w:val="00CF3655"/>
    <w:rsid w:val="00CF460E"/>
    <w:rsid w:val="00CF509E"/>
    <w:rsid w:val="00CF6628"/>
    <w:rsid w:val="00CF70DA"/>
    <w:rsid w:val="00D00350"/>
    <w:rsid w:val="00D00E33"/>
    <w:rsid w:val="00D01316"/>
    <w:rsid w:val="00D01E37"/>
    <w:rsid w:val="00D02296"/>
    <w:rsid w:val="00D06345"/>
    <w:rsid w:val="00D0681B"/>
    <w:rsid w:val="00D105E9"/>
    <w:rsid w:val="00D114C1"/>
    <w:rsid w:val="00D119A8"/>
    <w:rsid w:val="00D11C67"/>
    <w:rsid w:val="00D127F3"/>
    <w:rsid w:val="00D133B8"/>
    <w:rsid w:val="00D160F8"/>
    <w:rsid w:val="00D1773B"/>
    <w:rsid w:val="00D20762"/>
    <w:rsid w:val="00D2159E"/>
    <w:rsid w:val="00D230DA"/>
    <w:rsid w:val="00D26A92"/>
    <w:rsid w:val="00D2772A"/>
    <w:rsid w:val="00D30264"/>
    <w:rsid w:val="00D30A8A"/>
    <w:rsid w:val="00D30D46"/>
    <w:rsid w:val="00D31BB1"/>
    <w:rsid w:val="00D31F42"/>
    <w:rsid w:val="00D334AF"/>
    <w:rsid w:val="00D34724"/>
    <w:rsid w:val="00D3748A"/>
    <w:rsid w:val="00D37CB4"/>
    <w:rsid w:val="00D37F3C"/>
    <w:rsid w:val="00D4090E"/>
    <w:rsid w:val="00D426B1"/>
    <w:rsid w:val="00D435C3"/>
    <w:rsid w:val="00D4439D"/>
    <w:rsid w:val="00D47956"/>
    <w:rsid w:val="00D47CBC"/>
    <w:rsid w:val="00D50C87"/>
    <w:rsid w:val="00D525F4"/>
    <w:rsid w:val="00D56453"/>
    <w:rsid w:val="00D613F7"/>
    <w:rsid w:val="00D61F11"/>
    <w:rsid w:val="00D63728"/>
    <w:rsid w:val="00D63BCD"/>
    <w:rsid w:val="00D63FB7"/>
    <w:rsid w:val="00D64835"/>
    <w:rsid w:val="00D663D4"/>
    <w:rsid w:val="00D66979"/>
    <w:rsid w:val="00D670CD"/>
    <w:rsid w:val="00D70DF1"/>
    <w:rsid w:val="00D70F41"/>
    <w:rsid w:val="00D71320"/>
    <w:rsid w:val="00D71881"/>
    <w:rsid w:val="00D72407"/>
    <w:rsid w:val="00D72E17"/>
    <w:rsid w:val="00D74179"/>
    <w:rsid w:val="00D75C06"/>
    <w:rsid w:val="00D77AC4"/>
    <w:rsid w:val="00D801E9"/>
    <w:rsid w:val="00D824CB"/>
    <w:rsid w:val="00D82BA5"/>
    <w:rsid w:val="00D830B0"/>
    <w:rsid w:val="00D83D9F"/>
    <w:rsid w:val="00D84646"/>
    <w:rsid w:val="00D84770"/>
    <w:rsid w:val="00D84B0B"/>
    <w:rsid w:val="00D86325"/>
    <w:rsid w:val="00D86806"/>
    <w:rsid w:val="00D86FDA"/>
    <w:rsid w:val="00D8738E"/>
    <w:rsid w:val="00D876F5"/>
    <w:rsid w:val="00D9018C"/>
    <w:rsid w:val="00D924AB"/>
    <w:rsid w:val="00D9614E"/>
    <w:rsid w:val="00D9658F"/>
    <w:rsid w:val="00D96A15"/>
    <w:rsid w:val="00DA0C98"/>
    <w:rsid w:val="00DA3E03"/>
    <w:rsid w:val="00DA4D5F"/>
    <w:rsid w:val="00DA6C37"/>
    <w:rsid w:val="00DA74D6"/>
    <w:rsid w:val="00DB03BD"/>
    <w:rsid w:val="00DB19B7"/>
    <w:rsid w:val="00DB42D0"/>
    <w:rsid w:val="00DB4348"/>
    <w:rsid w:val="00DB4C8E"/>
    <w:rsid w:val="00DB69A4"/>
    <w:rsid w:val="00DB7022"/>
    <w:rsid w:val="00DC2098"/>
    <w:rsid w:val="00DC49C9"/>
    <w:rsid w:val="00DC5D9E"/>
    <w:rsid w:val="00DC75A7"/>
    <w:rsid w:val="00DD1CF6"/>
    <w:rsid w:val="00DD755C"/>
    <w:rsid w:val="00DE0C1F"/>
    <w:rsid w:val="00DE206B"/>
    <w:rsid w:val="00DE25EF"/>
    <w:rsid w:val="00DE423F"/>
    <w:rsid w:val="00DE54D5"/>
    <w:rsid w:val="00DF131F"/>
    <w:rsid w:val="00DF19D0"/>
    <w:rsid w:val="00DF1B36"/>
    <w:rsid w:val="00DF2177"/>
    <w:rsid w:val="00DF2D5F"/>
    <w:rsid w:val="00DF2EA7"/>
    <w:rsid w:val="00DF30F9"/>
    <w:rsid w:val="00DF601C"/>
    <w:rsid w:val="00E000EC"/>
    <w:rsid w:val="00E01038"/>
    <w:rsid w:val="00E01578"/>
    <w:rsid w:val="00E0283C"/>
    <w:rsid w:val="00E074F6"/>
    <w:rsid w:val="00E10127"/>
    <w:rsid w:val="00E14FB7"/>
    <w:rsid w:val="00E1524C"/>
    <w:rsid w:val="00E21DA5"/>
    <w:rsid w:val="00E2223F"/>
    <w:rsid w:val="00E22F42"/>
    <w:rsid w:val="00E239B6"/>
    <w:rsid w:val="00E244AC"/>
    <w:rsid w:val="00E25071"/>
    <w:rsid w:val="00E25818"/>
    <w:rsid w:val="00E26598"/>
    <w:rsid w:val="00E268E8"/>
    <w:rsid w:val="00E27867"/>
    <w:rsid w:val="00E2792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70EE0"/>
    <w:rsid w:val="00E719DE"/>
    <w:rsid w:val="00E71E16"/>
    <w:rsid w:val="00E72B61"/>
    <w:rsid w:val="00E7504A"/>
    <w:rsid w:val="00E772F8"/>
    <w:rsid w:val="00E7799F"/>
    <w:rsid w:val="00E828F7"/>
    <w:rsid w:val="00E83309"/>
    <w:rsid w:val="00E842B8"/>
    <w:rsid w:val="00E8457D"/>
    <w:rsid w:val="00E850A3"/>
    <w:rsid w:val="00E8710B"/>
    <w:rsid w:val="00E874FF"/>
    <w:rsid w:val="00E87CEC"/>
    <w:rsid w:val="00E90B9C"/>
    <w:rsid w:val="00E91036"/>
    <w:rsid w:val="00E914A2"/>
    <w:rsid w:val="00E91D22"/>
    <w:rsid w:val="00E91E83"/>
    <w:rsid w:val="00E92B84"/>
    <w:rsid w:val="00E932E3"/>
    <w:rsid w:val="00E94B58"/>
    <w:rsid w:val="00EA0752"/>
    <w:rsid w:val="00EA0977"/>
    <w:rsid w:val="00EA0E12"/>
    <w:rsid w:val="00EA1FAF"/>
    <w:rsid w:val="00EA7059"/>
    <w:rsid w:val="00EA7B05"/>
    <w:rsid w:val="00EB3E37"/>
    <w:rsid w:val="00EB5628"/>
    <w:rsid w:val="00EB6830"/>
    <w:rsid w:val="00EB7623"/>
    <w:rsid w:val="00EC305C"/>
    <w:rsid w:val="00ED0804"/>
    <w:rsid w:val="00ED0883"/>
    <w:rsid w:val="00ED307F"/>
    <w:rsid w:val="00ED35AA"/>
    <w:rsid w:val="00ED3A85"/>
    <w:rsid w:val="00ED4D01"/>
    <w:rsid w:val="00ED6254"/>
    <w:rsid w:val="00ED73BE"/>
    <w:rsid w:val="00ED7808"/>
    <w:rsid w:val="00ED7E03"/>
    <w:rsid w:val="00EE16B8"/>
    <w:rsid w:val="00EE3215"/>
    <w:rsid w:val="00EE3271"/>
    <w:rsid w:val="00EE3FC3"/>
    <w:rsid w:val="00EE5272"/>
    <w:rsid w:val="00EE58E7"/>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5610"/>
    <w:rsid w:val="00F15D16"/>
    <w:rsid w:val="00F2365F"/>
    <w:rsid w:val="00F258B6"/>
    <w:rsid w:val="00F2618B"/>
    <w:rsid w:val="00F264C8"/>
    <w:rsid w:val="00F26B37"/>
    <w:rsid w:val="00F30F33"/>
    <w:rsid w:val="00F318A4"/>
    <w:rsid w:val="00F32C45"/>
    <w:rsid w:val="00F33EC7"/>
    <w:rsid w:val="00F34C3D"/>
    <w:rsid w:val="00F374C3"/>
    <w:rsid w:val="00F4194A"/>
    <w:rsid w:val="00F41AF0"/>
    <w:rsid w:val="00F44D4C"/>
    <w:rsid w:val="00F44DA8"/>
    <w:rsid w:val="00F45B74"/>
    <w:rsid w:val="00F45D40"/>
    <w:rsid w:val="00F46419"/>
    <w:rsid w:val="00F51F1A"/>
    <w:rsid w:val="00F543FA"/>
    <w:rsid w:val="00F5745C"/>
    <w:rsid w:val="00F64195"/>
    <w:rsid w:val="00F65848"/>
    <w:rsid w:val="00F706A0"/>
    <w:rsid w:val="00F70EC3"/>
    <w:rsid w:val="00F71AD2"/>
    <w:rsid w:val="00F71DBC"/>
    <w:rsid w:val="00F735BE"/>
    <w:rsid w:val="00F76137"/>
    <w:rsid w:val="00F76255"/>
    <w:rsid w:val="00F774B3"/>
    <w:rsid w:val="00F77C6C"/>
    <w:rsid w:val="00F83521"/>
    <w:rsid w:val="00F83993"/>
    <w:rsid w:val="00F9105D"/>
    <w:rsid w:val="00F91861"/>
    <w:rsid w:val="00F9275B"/>
    <w:rsid w:val="00F94A47"/>
    <w:rsid w:val="00F94FC7"/>
    <w:rsid w:val="00F950AC"/>
    <w:rsid w:val="00FA01A1"/>
    <w:rsid w:val="00FA3441"/>
    <w:rsid w:val="00FA6333"/>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4F67B5-D0E3-47C6-891B-E3636130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5E3"/>
    <w:rPr>
      <w:noProof/>
      <w:sz w:val="24"/>
      <w:szCs w:val="24"/>
    </w:rPr>
  </w:style>
  <w:style w:type="paragraph" w:styleId="Antrat1">
    <w:name w:val="heading 1"/>
    <w:basedOn w:val="prastasis"/>
    <w:next w:val="prastasis"/>
    <w:link w:val="Antrat1Diagrama"/>
    <w:qFormat/>
    <w:rsid w:val="00557CD2"/>
    <w:pPr>
      <w:keepNext/>
      <w:jc w:val="center"/>
      <w:outlineLvl w:val="0"/>
    </w:pPr>
    <w:rPr>
      <w:rFonts w:ascii="HelveticaLT" w:hAnsi="HelveticaLT"/>
      <w:caps/>
      <w:noProof w:val="0"/>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prastasiniatinklio">
    <w:name w:val="Normal (Web)"/>
    <w:basedOn w:val="prastasis"/>
    <w:uiPriority w:val="99"/>
    <w:pPr>
      <w:spacing w:before="100" w:beforeAutospacing="1" w:after="100" w:afterAutospacing="1"/>
    </w:pPr>
  </w:style>
  <w:style w:type="character" w:customStyle="1" w:styleId="typewriter">
    <w:name w:val="typewriter"/>
    <w:basedOn w:val="Numatytasispastraiposriftas"/>
  </w:style>
  <w:style w:type="paragraph" w:styleId="Antrats">
    <w:name w:val="header"/>
    <w:basedOn w:val="prastasis"/>
    <w:link w:val="AntratsDiagrama"/>
    <w:pPr>
      <w:tabs>
        <w:tab w:val="center" w:pos="4819"/>
        <w:tab w:val="right" w:pos="9638"/>
      </w:tabs>
    </w:pPr>
    <w:rPr>
      <w:lang w:val="x-none" w:eastAsia="x-none"/>
    </w:rPr>
  </w:style>
  <w:style w:type="character" w:styleId="Komentaronuoroda">
    <w:name w:val="annotation reference"/>
    <w:semiHidden/>
    <w:rPr>
      <w:sz w:val="16"/>
      <w:szCs w:val="16"/>
    </w:rPr>
  </w:style>
  <w:style w:type="character" w:styleId="Puslapionumeris">
    <w:name w:val="page number"/>
    <w:basedOn w:val="Numatytasispastraiposriftas"/>
  </w:style>
  <w:style w:type="paragraph" w:styleId="Debesliotekstas">
    <w:name w:val="Balloon Text"/>
    <w:basedOn w:val="prastasis"/>
    <w:semiHidden/>
    <w:rsid w:val="009616A5"/>
    <w:rPr>
      <w:rFonts w:ascii="Tahoma" w:hAnsi="Tahoma" w:cs="Tahoma"/>
      <w:sz w:val="16"/>
      <w:szCs w:val="16"/>
    </w:rPr>
  </w:style>
  <w:style w:type="paragraph" w:styleId="Komentarotekstas">
    <w:name w:val="annotation text"/>
    <w:basedOn w:val="prastasis"/>
    <w:link w:val="KomentarotekstasDiagrama"/>
    <w:rsid w:val="009616A5"/>
    <w:rPr>
      <w:sz w:val="20"/>
      <w:szCs w:val="20"/>
    </w:rPr>
  </w:style>
  <w:style w:type="paragraph" w:styleId="Komentarotema">
    <w:name w:val="annotation subject"/>
    <w:basedOn w:val="Komentarotekstas"/>
    <w:next w:val="Komentarotekstas"/>
    <w:semiHidden/>
    <w:rsid w:val="009616A5"/>
    <w:rPr>
      <w:b/>
      <w:bCs/>
    </w:rPr>
  </w:style>
  <w:style w:type="character" w:styleId="Hipersaitas">
    <w:name w:val="Hyperlink"/>
    <w:rsid w:val="004F5055"/>
    <w:rPr>
      <w:color w:val="0000FF"/>
      <w:u w:val="single"/>
    </w:rPr>
  </w:style>
  <w:style w:type="table" w:styleId="Lentelstinklelis">
    <w:name w:val="Table Grid"/>
    <w:basedOn w:val="prastojilentel"/>
    <w:rsid w:val="002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2C6F4B"/>
    <w:pPr>
      <w:spacing w:before="100" w:beforeAutospacing="1" w:after="100" w:afterAutospacing="1"/>
    </w:pPr>
  </w:style>
  <w:style w:type="paragraph" w:styleId="Pagrindinistekstas2">
    <w:name w:val="Body Text 2"/>
    <w:basedOn w:val="prastasis"/>
    <w:rsid w:val="002C6F4B"/>
    <w:pPr>
      <w:spacing w:before="100" w:beforeAutospacing="1" w:after="100" w:afterAutospacing="1"/>
    </w:pPr>
  </w:style>
  <w:style w:type="paragraph" w:styleId="Pagrindiniotekstotrauka2">
    <w:name w:val="Body Text Indent 2"/>
    <w:basedOn w:val="prastasis"/>
    <w:rsid w:val="002C6F4B"/>
    <w:pPr>
      <w:spacing w:before="100" w:beforeAutospacing="1" w:after="100" w:afterAutospacing="1"/>
    </w:pPr>
  </w:style>
  <w:style w:type="paragraph" w:styleId="Pagrindinistekstas">
    <w:name w:val="Body Text"/>
    <w:basedOn w:val="prastasis"/>
    <w:rsid w:val="00557CD2"/>
    <w:pPr>
      <w:spacing w:after="120"/>
    </w:pPr>
  </w:style>
  <w:style w:type="paragraph" w:customStyle="1" w:styleId="DiagramaDiagramaCharCharDiagramaDiagramaCharCharDiagramaDiagrama">
    <w:name w:val="Diagrama Diagrama Char Char Diagrama Diagrama Char Char Diagrama Diagrama"/>
    <w:basedOn w:val="prastasis"/>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rsid w:val="00447DF4"/>
    <w:rPr>
      <w:noProof/>
      <w:sz w:val="24"/>
      <w:szCs w:val="24"/>
    </w:rPr>
  </w:style>
  <w:style w:type="paragraph" w:styleId="Dokumentostruktra">
    <w:name w:val="Document Map"/>
    <w:basedOn w:val="prastasis"/>
    <w:link w:val="DokumentostruktraDiagrama"/>
    <w:rsid w:val="00297764"/>
    <w:rPr>
      <w:rFonts w:ascii="Tahoma" w:hAnsi="Tahoma"/>
      <w:sz w:val="16"/>
      <w:szCs w:val="16"/>
      <w:lang w:val="x-none" w:eastAsia="x-none"/>
    </w:rPr>
  </w:style>
  <w:style w:type="character" w:customStyle="1" w:styleId="DokumentostruktraDiagrama">
    <w:name w:val="Dokumento struktūra Diagrama"/>
    <w:link w:val="Dokumentostruktra"/>
    <w:rsid w:val="00297764"/>
    <w:rPr>
      <w:rFonts w:ascii="Tahoma" w:hAnsi="Tahoma" w:cs="Tahoma"/>
      <w:noProof/>
      <w:sz w:val="16"/>
      <w:szCs w:val="16"/>
    </w:rPr>
  </w:style>
  <w:style w:type="paragraph" w:customStyle="1" w:styleId="Hyperlink1">
    <w:name w:val="Hyperlink1"/>
    <w:basedOn w:val="prastasis"/>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Pagrindiniotekstotrauka">
    <w:name w:val="Body Text Indent"/>
    <w:basedOn w:val="prastasis"/>
    <w:link w:val="PagrindiniotekstotraukaDiagrama"/>
    <w:rsid w:val="00E3672A"/>
    <w:pPr>
      <w:spacing w:after="120"/>
      <w:ind w:left="283"/>
    </w:pPr>
    <w:rPr>
      <w:lang w:val="x-none" w:eastAsia="x-none"/>
    </w:rPr>
  </w:style>
  <w:style w:type="character" w:customStyle="1" w:styleId="PagrindiniotekstotraukaDiagrama">
    <w:name w:val="Pagrindinio teksto įtrauka Diagrama"/>
    <w:link w:val="Pagrindiniotekstotrauka"/>
    <w:rsid w:val="00E3672A"/>
    <w:rPr>
      <w:noProof/>
      <w:sz w:val="24"/>
      <w:szCs w:val="24"/>
    </w:rPr>
  </w:style>
  <w:style w:type="paragraph" w:customStyle="1" w:styleId="CharChar">
    <w:name w:val="Char Char"/>
    <w:basedOn w:val="prastasis"/>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iankstoformatuotasDiagrama">
    <w:name w:val="HTML iš anksto formatuotas Diagrama"/>
    <w:link w:val="HTMLiankstoformatuotas"/>
    <w:uiPriority w:val="99"/>
    <w:rsid w:val="003D7A6F"/>
    <w:rPr>
      <w:rFonts w:ascii="Courier New" w:eastAsia="Courier New" w:hAnsi="Courier New" w:cs="Courier New"/>
      <w:noProof/>
      <w:lang w:val="en-US" w:eastAsia="en-US"/>
    </w:rPr>
  </w:style>
  <w:style w:type="paragraph" w:customStyle="1" w:styleId="tajtip">
    <w:name w:val="tajtip"/>
    <w:basedOn w:val="prastasis"/>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prastasis"/>
    <w:rsid w:val="00532901"/>
    <w:pPr>
      <w:spacing w:before="100" w:beforeAutospacing="1" w:after="100" w:afterAutospacing="1"/>
    </w:pPr>
    <w:rPr>
      <w:noProof w:val="0"/>
    </w:rPr>
  </w:style>
  <w:style w:type="paragraph" w:customStyle="1" w:styleId="kopija">
    <w:name w:val="kopija"/>
    <w:basedOn w:val="prastasis"/>
    <w:rsid w:val="000656A5"/>
    <w:pPr>
      <w:spacing w:before="100" w:beforeAutospacing="1" w:after="100" w:afterAutospacing="1"/>
    </w:pPr>
    <w:rPr>
      <w:noProof w:val="0"/>
    </w:rPr>
  </w:style>
  <w:style w:type="character" w:styleId="Puslapioinaosnuoroda">
    <w:name w:val="footnote reference"/>
    <w:aliases w:val="Ref,de nota al pie,(NECG) Footnote Reference"/>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Puslapioinaostekstas">
    <w:name w:val="footnote text"/>
    <w:aliases w:val="MA Footnote,Fußnotentext Char1,Footnote Text Char Char,Footnote Text Char1 Char Char,Footnote Text Char Char Char Char,Footnote Text Char Char1 Char Char,Footnote Text Char Char1 Cha,Footnote Text Char Char1,Car,fn,Footnotes"/>
    <w:basedOn w:val="prastasis"/>
    <w:link w:val="PuslapioinaostekstasDiagrama"/>
    <w:uiPriority w:val="99"/>
    <w:qFormat/>
    <w:rsid w:val="009072E1"/>
    <w:rPr>
      <w:noProof w:val="0"/>
      <w:sz w:val="20"/>
      <w:szCs w:val="20"/>
    </w:rPr>
  </w:style>
  <w:style w:type="character" w:customStyle="1" w:styleId="PuslapioinaostekstasDiagrama">
    <w:name w:val="Puslapio išnašos tekstas Diagrama"/>
    <w:aliases w:val="MA Footnote Diagrama,Fußnotentext Char1 Diagrama,Footnote Text Char Char Diagrama,Footnote Text Char1 Char Char Diagrama,Footnote Text Char Char Char Char Diagrama,Footnote Text Char Char1 Char Char Diagrama,fn Diagrama"/>
    <w:basedOn w:val="Numatytasispastraiposriftas"/>
    <w:link w:val="Puslapioinaostekstas"/>
    <w:uiPriority w:val="99"/>
    <w:rsid w:val="009072E1"/>
  </w:style>
  <w:style w:type="paragraph" w:customStyle="1" w:styleId="Pavadinimas1">
    <w:name w:val="Pavadinimas1"/>
    <w:basedOn w:val="prastasis"/>
    <w:rsid w:val="002F2847"/>
    <w:pPr>
      <w:spacing w:before="40" w:after="40"/>
      <w:ind w:right="1959"/>
    </w:pPr>
    <w:rPr>
      <w:rFonts w:eastAsia="Calibri"/>
      <w:caps/>
      <w:noProof w:val="0"/>
      <w:lang w:eastAsia="en-US"/>
    </w:rPr>
  </w:style>
  <w:style w:type="paragraph" w:customStyle="1" w:styleId="Preformatted">
    <w:name w:val="Preformatted"/>
    <w:basedOn w:val="prastasis"/>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prastasis"/>
    <w:rsid w:val="00A831FA"/>
    <w:pPr>
      <w:spacing w:before="100" w:beforeAutospacing="1" w:after="100" w:afterAutospacing="1"/>
    </w:pPr>
    <w:rPr>
      <w:noProof w:val="0"/>
    </w:rPr>
  </w:style>
  <w:style w:type="paragraph" w:customStyle="1" w:styleId="statymopavad">
    <w:name w:val="Įstatymo pavad."/>
    <w:basedOn w:val="prastasis"/>
    <w:rsid w:val="00E35EA1"/>
    <w:pPr>
      <w:ind w:firstLine="720"/>
      <w:jc w:val="center"/>
    </w:pPr>
    <w:rPr>
      <w:rFonts w:ascii="TimesLT" w:hAnsi="TimesLT"/>
      <w:caps/>
      <w:noProof w:val="0"/>
    </w:rPr>
  </w:style>
  <w:style w:type="paragraph" w:customStyle="1" w:styleId="x">
    <w:name w:val="x"/>
    <w:basedOn w:val="prastasis"/>
    <w:rsid w:val="00A125FA"/>
    <w:rPr>
      <w:noProof w:val="0"/>
    </w:rPr>
  </w:style>
  <w:style w:type="character" w:customStyle="1" w:styleId="pmark">
    <w:name w:val="pmark"/>
    <w:basedOn w:val="Numatytasispastraiposriftas"/>
    <w:rsid w:val="0044435D"/>
  </w:style>
  <w:style w:type="character" w:customStyle="1" w:styleId="Bodytext2">
    <w:name w:val="Body text (2)_"/>
    <w:basedOn w:val="Numatytasispastraiposriftas"/>
    <w:link w:val="Bodytext20"/>
    <w:rsid w:val="00A62599"/>
    <w:rPr>
      <w:shd w:val="clear" w:color="auto" w:fill="FFFFFF"/>
    </w:rPr>
  </w:style>
  <w:style w:type="character" w:customStyle="1" w:styleId="Bodytext4">
    <w:name w:val="Body text (4)_"/>
    <w:basedOn w:val="Numatytasispastraiposriftas"/>
    <w:link w:val="Bodytext40"/>
    <w:rsid w:val="00A62599"/>
    <w:rPr>
      <w:i/>
      <w:iCs/>
      <w:shd w:val="clear" w:color="auto" w:fill="FFFFFF"/>
    </w:rPr>
  </w:style>
  <w:style w:type="paragraph" w:customStyle="1" w:styleId="Bodytext20">
    <w:name w:val="Body text (2)"/>
    <w:basedOn w:val="prastasis"/>
    <w:link w:val="Bodytext2"/>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prastasis"/>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Numatytasispastraiposriftas"/>
    <w:link w:val="Footnote0"/>
    <w:rsid w:val="00A62599"/>
    <w:rPr>
      <w:sz w:val="19"/>
      <w:szCs w:val="19"/>
      <w:shd w:val="clear" w:color="auto" w:fill="FFFFFF"/>
    </w:rPr>
  </w:style>
  <w:style w:type="character" w:customStyle="1" w:styleId="Footnote2">
    <w:name w:val="Footnote (2)_"/>
    <w:basedOn w:val="Numatytasispastraiposriftas"/>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prastasis"/>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prastasis"/>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Numatytasispastraiposriftas"/>
    <w:link w:val="Bodytext50"/>
    <w:rsid w:val="00964D57"/>
    <w:rPr>
      <w:sz w:val="19"/>
      <w:szCs w:val="19"/>
      <w:shd w:val="clear" w:color="auto" w:fill="FFFFFF"/>
    </w:rPr>
  </w:style>
  <w:style w:type="paragraph" w:customStyle="1" w:styleId="Bodytext50">
    <w:name w:val="Body text (5)"/>
    <w:basedOn w:val="prastasis"/>
    <w:link w:val="Bodytext5"/>
    <w:rsid w:val="00964D57"/>
    <w:pPr>
      <w:widowControl w:val="0"/>
      <w:shd w:val="clear" w:color="auto" w:fill="FFFFFF"/>
      <w:spacing w:before="660" w:line="230" w:lineRule="exact"/>
      <w:jc w:val="center"/>
    </w:pPr>
    <w:rPr>
      <w:noProof w:val="0"/>
      <w:sz w:val="19"/>
      <w:szCs w:val="19"/>
    </w:rPr>
  </w:style>
  <w:style w:type="paragraph" w:styleId="Sraopastraipa">
    <w:name w:val="List Paragraph"/>
    <w:basedOn w:val="prastasis"/>
    <w:uiPriority w:val="34"/>
    <w:qFormat/>
    <w:rsid w:val="006716FD"/>
    <w:pPr>
      <w:widowControl w:val="0"/>
      <w:suppressAutoHyphens/>
      <w:ind w:left="1296"/>
    </w:pPr>
    <w:rPr>
      <w:rFonts w:ascii="Times Roman" w:eastAsia="Arial" w:hAnsi="Times Roman"/>
      <w:noProof w:val="0"/>
      <w:lang w:val="lv-LV" w:eastAsia="en-US"/>
    </w:rPr>
  </w:style>
  <w:style w:type="character" w:customStyle="1" w:styleId="Antrat1Diagrama">
    <w:name w:val="Antraštė 1 Diagrama"/>
    <w:basedOn w:val="Numatytasispastraiposriftas"/>
    <w:link w:val="Antrat1"/>
    <w:rsid w:val="00FA6333"/>
    <w:rPr>
      <w:rFonts w:ascii="HelveticaLT" w:hAnsi="HelveticaLT"/>
      <w:caps/>
      <w:sz w:val="32"/>
      <w:lang w:eastAsia="en-US"/>
    </w:rPr>
  </w:style>
  <w:style w:type="character" w:customStyle="1" w:styleId="normal-h">
    <w:name w:val="normal-h"/>
    <w:basedOn w:val="Numatytasispastraiposriftas"/>
    <w:rsid w:val="00FA6333"/>
  </w:style>
  <w:style w:type="character" w:styleId="Grietas">
    <w:name w:val="Strong"/>
    <w:basedOn w:val="Numatytasispastraiposriftas"/>
    <w:uiPriority w:val="22"/>
    <w:qFormat/>
    <w:rsid w:val="00FA6333"/>
    <w:rPr>
      <w:b/>
      <w:bCs/>
    </w:rPr>
  </w:style>
  <w:style w:type="character" w:customStyle="1" w:styleId="KomentarotekstasDiagrama">
    <w:name w:val="Komentaro tekstas Diagrama"/>
    <w:basedOn w:val="Numatytasispastraiposriftas"/>
    <w:link w:val="Komentarotekstas"/>
    <w:rsid w:val="00F543FA"/>
    <w:rPr>
      <w:noProof/>
    </w:rPr>
  </w:style>
  <w:style w:type="paragraph" w:styleId="Pataisymai">
    <w:name w:val="Revision"/>
    <w:hidden/>
    <w:uiPriority w:val="99"/>
    <w:semiHidden/>
    <w:rsid w:val="009264FC"/>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7EED-A4D6-4DC7-B5D6-6F6678F9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10990</Words>
  <Characters>6265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17221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2019-12-10T08:44:00Z</dcterms:created>
  <dc:creator>jpumput</dc:creator>
  <cp:lastModifiedBy>Neringa Keršienė</cp:lastModifiedBy>
  <cp:lastPrinted>2019-12-05T11:15:00Z</cp:lastPrinted>
  <dcterms:modified xsi:type="dcterms:W3CDTF">2019-12-10T08:44:00Z</dcterms:modified>
  <cp:revision>2</cp:revision>
  <dc:title>VALSTYBINĖS VARTOTOJŲ TEISIŲ APSAUGOS</dc:title>
</cp:coreProperties>
</file>