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F68FC" w14:textId="3B8EF221" w:rsidR="007F1602" w:rsidRPr="00191B92" w:rsidRDefault="00BE66FB" w:rsidP="005A145A">
      <w:pPr>
        <w:jc w:val="center"/>
        <w:rPr>
          <w:b/>
          <w:color w:val="000000"/>
        </w:rPr>
      </w:pPr>
      <w:r w:rsidRPr="00191B92">
        <w:rPr>
          <w:b/>
          <w:color w:val="000000"/>
        </w:rPr>
        <w:t>DERINIMO PAŽYMA</w:t>
      </w:r>
    </w:p>
    <w:p w14:paraId="78F326EE" w14:textId="13C8FE3F" w:rsidR="00B152D4" w:rsidRPr="00B152D4" w:rsidRDefault="00E25045" w:rsidP="003E527D">
      <w:pPr>
        <w:jc w:val="center"/>
        <w:rPr>
          <w:b/>
          <w:color w:val="000000"/>
        </w:rPr>
      </w:pPr>
      <w:r w:rsidRPr="003E527D">
        <w:rPr>
          <w:b/>
          <w:lang w:eastAsia="lt-LT"/>
        </w:rPr>
        <w:t>DĖL</w:t>
      </w:r>
      <w:r>
        <w:rPr>
          <w:b/>
          <w:lang w:eastAsia="lt-LT"/>
        </w:rPr>
        <w:t xml:space="preserve"> </w:t>
      </w:r>
      <w:r w:rsidRPr="006C25DB">
        <w:rPr>
          <w:b/>
          <w:color w:val="000000"/>
        </w:rPr>
        <w:t xml:space="preserve">LIETUVOS RESPUBLIKOS VYRIAUSYBĖS NUTARIMO ,,DĖL </w:t>
      </w:r>
      <w:r w:rsidRPr="006C25DB">
        <w:rPr>
          <w:b/>
        </w:rPr>
        <w:t xml:space="preserve">LIETUVOS RESPUBLIKOS VYRIAUSYBĖS 2013 M. LAPKRIČIO </w:t>
      </w:r>
      <w:r>
        <w:rPr>
          <w:b/>
        </w:rPr>
        <w:br/>
      </w:r>
      <w:r w:rsidRPr="006C25DB">
        <w:rPr>
          <w:b/>
        </w:rPr>
        <w:t xml:space="preserve">13 D. NUTARIMO NR. 1052 „DĖL </w:t>
      </w:r>
      <w:r w:rsidRPr="006C25DB">
        <w:rPr>
          <w:b/>
          <w:color w:val="000000" w:themeColor="text1"/>
        </w:rPr>
        <w:t>GELEŽINKELIO ĮMONIŲ (VEŽĖJŲ) IR ĮMONIŲ, KURIOS NAUDOJASI VIEŠĄJA GELEŽINKELIŲ INFRASTRUKTŪRA, PRIVALOMOJO CIVILINĖS ATSAKOMYBĖS DRAUDIMO</w:t>
      </w:r>
      <w:r w:rsidRPr="006C25DB">
        <w:rPr>
          <w:b/>
        </w:rPr>
        <w:t xml:space="preserve"> TAISYKLIŲ PATVIRTINIMO</w:t>
      </w:r>
      <w:r>
        <w:rPr>
          <w:b/>
        </w:rPr>
        <w:t>“</w:t>
      </w:r>
      <w:r w:rsidRPr="006C25DB">
        <w:rPr>
          <w:b/>
          <w:color w:val="000000" w:themeColor="text1"/>
        </w:rPr>
        <w:t xml:space="preserve"> PAKEITIMO</w:t>
      </w:r>
      <w:r>
        <w:rPr>
          <w:b/>
          <w:color w:val="000000" w:themeColor="text1"/>
        </w:rPr>
        <w:t>“</w:t>
      </w:r>
      <w:r w:rsidRPr="006C25DB">
        <w:rPr>
          <w:b/>
          <w:color w:val="000000" w:themeColor="text1"/>
        </w:rPr>
        <w:t xml:space="preserve"> PROJEKTO</w:t>
      </w:r>
      <w:r w:rsidRPr="003E527D">
        <w:rPr>
          <w:b/>
          <w:lang w:eastAsia="lt-LT"/>
        </w:rPr>
        <w:t xml:space="preserve"> </w:t>
      </w:r>
      <w:r>
        <w:rPr>
          <w:b/>
          <w:color w:val="000000"/>
        </w:rPr>
        <w:t>(TOLIAU – NUTARIMO P</w:t>
      </w:r>
      <w:r w:rsidRPr="00B152D4">
        <w:rPr>
          <w:b/>
          <w:color w:val="000000"/>
        </w:rPr>
        <w:t>ROJEKTAS)</w:t>
      </w:r>
    </w:p>
    <w:p w14:paraId="7ACF68FF" w14:textId="77777777" w:rsidR="00A166BC" w:rsidRPr="00B152D4" w:rsidRDefault="00A166BC" w:rsidP="005A145A">
      <w:pPr>
        <w:rPr>
          <w:b/>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378"/>
        <w:gridCol w:w="6067"/>
      </w:tblGrid>
      <w:tr w:rsidR="00A166BC" w:rsidRPr="009A66ED" w14:paraId="7ACF6904" w14:textId="77777777" w:rsidTr="003870B3">
        <w:tc>
          <w:tcPr>
            <w:tcW w:w="2689" w:type="dxa"/>
          </w:tcPr>
          <w:p w14:paraId="7ACF6900" w14:textId="77777777" w:rsidR="00A166BC" w:rsidRPr="009A66ED" w:rsidRDefault="00A166BC" w:rsidP="005A145A">
            <w:pPr>
              <w:ind w:right="60"/>
              <w:rPr>
                <w:b/>
                <w:color w:val="00000A"/>
              </w:rPr>
            </w:pPr>
            <w:r w:rsidRPr="009A66ED">
              <w:rPr>
                <w:b/>
                <w:color w:val="00000A"/>
              </w:rPr>
              <w:t>Institucijos pavadinimas,</w:t>
            </w:r>
          </w:p>
          <w:p w14:paraId="7ACF6901" w14:textId="77777777" w:rsidR="00A166BC" w:rsidRPr="009A66ED" w:rsidRDefault="00A166BC" w:rsidP="005A145A">
            <w:pPr>
              <w:ind w:right="60"/>
              <w:rPr>
                <w:b/>
                <w:color w:val="00000A"/>
              </w:rPr>
            </w:pPr>
            <w:r w:rsidRPr="009A66ED">
              <w:rPr>
                <w:b/>
                <w:color w:val="00000A"/>
              </w:rPr>
              <w:t>rašto data ir numeris</w:t>
            </w:r>
          </w:p>
        </w:tc>
        <w:tc>
          <w:tcPr>
            <w:tcW w:w="6378" w:type="dxa"/>
          </w:tcPr>
          <w:p w14:paraId="7ACF6902" w14:textId="77777777" w:rsidR="00A166BC" w:rsidRPr="009A66ED" w:rsidRDefault="00A166BC" w:rsidP="005A145A">
            <w:pPr>
              <w:ind w:right="60"/>
              <w:rPr>
                <w:b/>
                <w:color w:val="00000A"/>
              </w:rPr>
            </w:pPr>
            <w:r w:rsidRPr="009A66ED">
              <w:rPr>
                <w:b/>
                <w:color w:val="00000A"/>
              </w:rPr>
              <w:t>Pastabos ir pasiūlymai</w:t>
            </w:r>
          </w:p>
        </w:tc>
        <w:tc>
          <w:tcPr>
            <w:tcW w:w="6067" w:type="dxa"/>
          </w:tcPr>
          <w:p w14:paraId="5FA09CF0" w14:textId="7895A100" w:rsidR="00522FD0" w:rsidRPr="00522FD0" w:rsidRDefault="00522FD0" w:rsidP="00522FD0">
            <w:pPr>
              <w:pStyle w:val="Komentarotekstas"/>
              <w:rPr>
                <w:b/>
                <w:bCs/>
                <w:sz w:val="24"/>
                <w:szCs w:val="24"/>
              </w:rPr>
            </w:pPr>
            <w:bookmarkStart w:id="0" w:name="_GoBack"/>
            <w:bookmarkEnd w:id="0"/>
            <w:r w:rsidRPr="00522FD0">
              <w:rPr>
                <w:b/>
                <w:bCs/>
                <w:sz w:val="24"/>
                <w:szCs w:val="24"/>
              </w:rPr>
              <w:t>Argumentai, kodėl neatsižvelgta arba tik iš dalies atsižvelgta į pastabas ir pasiūlymus</w:t>
            </w:r>
          </w:p>
          <w:p w14:paraId="7ACF6903" w14:textId="2FB191A2" w:rsidR="00A166BC" w:rsidRPr="009A66ED" w:rsidRDefault="00A166BC" w:rsidP="005A145A">
            <w:pPr>
              <w:ind w:right="60"/>
              <w:rPr>
                <w:b/>
                <w:color w:val="00000A"/>
              </w:rPr>
            </w:pPr>
          </w:p>
        </w:tc>
      </w:tr>
      <w:tr w:rsidR="00BD7C59" w:rsidRPr="009A66ED" w14:paraId="7ACF690A" w14:textId="77777777" w:rsidTr="003870B3">
        <w:trPr>
          <w:trHeight w:val="418"/>
        </w:trPr>
        <w:tc>
          <w:tcPr>
            <w:tcW w:w="2689" w:type="dxa"/>
          </w:tcPr>
          <w:p w14:paraId="7ACF6905" w14:textId="011F978C" w:rsidR="00BD7C59" w:rsidRPr="009A66ED" w:rsidRDefault="001E0163" w:rsidP="002F1367">
            <w:pPr>
              <w:pStyle w:val="Pagrindinistekstas"/>
            </w:pPr>
            <w:r w:rsidRPr="009A66ED">
              <w:t xml:space="preserve">Lietuvos Respublikos </w:t>
            </w:r>
            <w:r w:rsidR="006C25DB">
              <w:t xml:space="preserve">transporto saugos administracijos </w:t>
            </w:r>
            <w:r w:rsidR="003870B3">
              <w:t xml:space="preserve">  2019 m. sausio 17 d. </w:t>
            </w:r>
            <w:r w:rsidR="006C25DB">
              <w:t>raštas</w:t>
            </w:r>
            <w:r w:rsidR="003870B3">
              <w:t xml:space="preserve">            Nr. 15B-397</w:t>
            </w:r>
          </w:p>
        </w:tc>
        <w:tc>
          <w:tcPr>
            <w:tcW w:w="6378" w:type="dxa"/>
          </w:tcPr>
          <w:p w14:paraId="7ACF6906" w14:textId="1E2C54F3" w:rsidR="003870B3" w:rsidRPr="009A66ED" w:rsidRDefault="003870B3" w:rsidP="003870B3">
            <w:pPr>
              <w:pStyle w:val="Betarp"/>
              <w:tabs>
                <w:tab w:val="left" w:pos="1276"/>
              </w:tabs>
              <w:ind w:firstLine="600"/>
              <w:jc w:val="both"/>
              <w:rPr>
                <w:rFonts w:ascii="Times New Roman" w:hAnsi="Times New Roman"/>
                <w:sz w:val="24"/>
                <w:szCs w:val="24"/>
                <w:lang w:eastAsia="ar-SA"/>
              </w:rPr>
            </w:pPr>
            <w:r>
              <w:rPr>
                <w:rFonts w:ascii="Times New Roman" w:hAnsi="Times New Roman"/>
                <w:sz w:val="24"/>
                <w:szCs w:val="24"/>
                <w:lang w:eastAsia="ar-SA"/>
              </w:rPr>
              <w:t xml:space="preserve">Lietuvos transporto saugos administracija (toliau – Administracija), susipažinusi su Lietuvos Respublikos Vyriausybės nutarimo projektu, </w:t>
            </w:r>
            <w:r w:rsidRPr="003870B3">
              <w:rPr>
                <w:rFonts w:ascii="Times New Roman" w:hAnsi="Times New Roman"/>
                <w:b/>
                <w:sz w:val="24"/>
                <w:szCs w:val="24"/>
                <w:lang w:eastAsia="ar-SA"/>
              </w:rPr>
              <w:t>siūlo konkrečiai įvardinti institucijos</w:t>
            </w:r>
            <w:r>
              <w:rPr>
                <w:rFonts w:ascii="Times New Roman" w:hAnsi="Times New Roman"/>
                <w:sz w:val="24"/>
                <w:szCs w:val="24"/>
                <w:lang w:eastAsia="ar-SA"/>
              </w:rPr>
              <w:t xml:space="preserve">, vykdančios geležinkelio įmonių (vežėjų) licencijuojamos veiklos priežiūrą ir kontroliuojančios geležinkelio įmonių (vežėjų) apsidraudimą privalomuoju civilinės atsakomybės draudimu, </w:t>
            </w:r>
            <w:r w:rsidRPr="003870B3">
              <w:rPr>
                <w:rFonts w:ascii="Times New Roman" w:hAnsi="Times New Roman"/>
                <w:b/>
                <w:sz w:val="24"/>
                <w:szCs w:val="24"/>
                <w:lang w:eastAsia="ar-SA"/>
              </w:rPr>
              <w:t>pavadinimą, ne tokia institucija jau yra paskirta</w:t>
            </w:r>
            <w:r>
              <w:rPr>
                <w:rFonts w:ascii="Times New Roman" w:hAnsi="Times New Roman"/>
                <w:sz w:val="24"/>
                <w:szCs w:val="24"/>
                <w:lang w:eastAsia="ar-SA"/>
              </w:rPr>
              <w:t>, todėl tieks draudikams, tiek draudėjams, kuriems yra skirtos šios taisyklės, būtų žinoma, kuri konkrečiai institucija atlieka geležinkelių transporto eismo saugos institucijos funkcijas.</w:t>
            </w:r>
          </w:p>
        </w:tc>
        <w:tc>
          <w:tcPr>
            <w:tcW w:w="6067" w:type="dxa"/>
          </w:tcPr>
          <w:p w14:paraId="47C34681" w14:textId="77777777" w:rsidR="00005CD1" w:rsidRPr="003870B3" w:rsidRDefault="003E527D" w:rsidP="002F1367">
            <w:pPr>
              <w:pStyle w:val="Pagrindinistekstas"/>
            </w:pPr>
            <w:r w:rsidRPr="00522FD0">
              <w:rPr>
                <w:b/>
                <w:bCs/>
              </w:rPr>
              <w:t>Neatsižvelgta</w:t>
            </w:r>
            <w:r w:rsidRPr="003870B3">
              <w:t>.</w:t>
            </w:r>
          </w:p>
          <w:p w14:paraId="7ACF6909" w14:textId="72F13BFE" w:rsidR="00E708DE" w:rsidRPr="009A66ED" w:rsidRDefault="006C25DB" w:rsidP="002F1367">
            <w:pPr>
              <w:pStyle w:val="Pagrindinistekstas"/>
            </w:pPr>
            <w:r>
              <w:t>Nutarimo projekte siūloma nenurodyti konkretaus valstybės institucijos, atliekančios geležinkelių transporto eismo saugos institucijos funkcijas, pavadinimo</w:t>
            </w:r>
            <w:r w:rsidR="00E57CE7">
              <w:t>,</w:t>
            </w:r>
            <w:r>
              <w:t xml:space="preserve"> kadangi pagal Lietuvos Respublikos geležinkelių transporto kodekso 3 straipsnio 15</w:t>
            </w:r>
            <w:r>
              <w:rPr>
                <w:vertAlign w:val="superscript"/>
              </w:rPr>
              <w:t>1</w:t>
            </w:r>
            <w:r>
              <w:t xml:space="preserve"> dalį minėtą instituciją skiria susisiekimo ministras</w:t>
            </w:r>
            <w:r w:rsidR="003870B3">
              <w:t>, o ne Lietuvos Respublikos Vyriausybė.</w:t>
            </w:r>
          </w:p>
        </w:tc>
      </w:tr>
      <w:tr w:rsidR="001638EF" w:rsidRPr="009A66ED" w14:paraId="7E4A4003" w14:textId="77777777" w:rsidTr="003870B3">
        <w:trPr>
          <w:trHeight w:val="418"/>
        </w:trPr>
        <w:tc>
          <w:tcPr>
            <w:tcW w:w="2689" w:type="dxa"/>
          </w:tcPr>
          <w:p w14:paraId="55E2E646" w14:textId="65E30630" w:rsidR="001638EF" w:rsidRPr="009A66ED" w:rsidRDefault="003870B3" w:rsidP="002F1367">
            <w:pPr>
              <w:pStyle w:val="Pagrindinistekstas"/>
            </w:pPr>
            <w:r>
              <w:t>Lietuvos draudikų asociacijos 2019 m. sausio 14 d. raštas Nr. 19-S-01.14</w:t>
            </w:r>
          </w:p>
        </w:tc>
        <w:tc>
          <w:tcPr>
            <w:tcW w:w="6378" w:type="dxa"/>
          </w:tcPr>
          <w:p w14:paraId="3501FE4A" w14:textId="4B6993DC" w:rsidR="003870B3" w:rsidRDefault="003870B3" w:rsidP="003870B3">
            <w:pPr>
              <w:pStyle w:val="Betarp"/>
              <w:tabs>
                <w:tab w:val="left" w:pos="1276"/>
              </w:tabs>
              <w:ind w:firstLine="600"/>
              <w:jc w:val="both"/>
              <w:rPr>
                <w:rFonts w:ascii="Times New Roman" w:hAnsi="Times New Roman"/>
                <w:sz w:val="24"/>
                <w:szCs w:val="24"/>
                <w:lang w:eastAsia="ar-SA"/>
              </w:rPr>
            </w:pPr>
            <w:r>
              <w:rPr>
                <w:rFonts w:ascii="Times New Roman" w:hAnsi="Times New Roman"/>
                <w:sz w:val="24"/>
                <w:szCs w:val="24"/>
                <w:lang w:eastAsia="ar-SA"/>
              </w:rPr>
              <w:t xml:space="preserve">Atkreipiame dėmesį į tai, kad viešajame eisme dalyvaujančių transporto priemonių valdytojai pagal </w:t>
            </w:r>
            <w:r w:rsidR="00921539">
              <w:rPr>
                <w:rFonts w:ascii="Times New Roman" w:hAnsi="Times New Roman"/>
                <w:i/>
                <w:sz w:val="24"/>
                <w:szCs w:val="24"/>
                <w:lang w:eastAsia="ar-SA"/>
              </w:rPr>
              <w:t xml:space="preserve">Lietuvos </w:t>
            </w:r>
            <w:r w:rsidR="00E57CE7">
              <w:rPr>
                <w:rFonts w:ascii="Times New Roman" w:hAnsi="Times New Roman"/>
                <w:i/>
                <w:sz w:val="24"/>
                <w:szCs w:val="24"/>
                <w:lang w:eastAsia="ar-SA"/>
              </w:rPr>
              <w:t>R</w:t>
            </w:r>
            <w:r w:rsidRPr="003870B3">
              <w:rPr>
                <w:rFonts w:ascii="Times New Roman" w:hAnsi="Times New Roman"/>
                <w:i/>
                <w:sz w:val="24"/>
                <w:szCs w:val="24"/>
                <w:lang w:eastAsia="ar-SA"/>
              </w:rPr>
              <w:t>espublikos transporto priemonių valdytojų civilinės atsakomybės privalomojo draudimo įstatymą</w:t>
            </w:r>
            <w:r>
              <w:rPr>
                <w:rFonts w:ascii="Times New Roman" w:hAnsi="Times New Roman"/>
                <w:sz w:val="24"/>
                <w:szCs w:val="24"/>
                <w:lang w:eastAsia="ar-SA"/>
              </w:rPr>
              <w:t xml:space="preserve"> turi prievolę apsidrausti transporto priemonių valdytojų civilinės atsakomybės privalomuoju draudimu (toliau – TPVCAPD). Minėto įstatymo nuostatos yra taikomos kiekvienai privalomai registruoti motorinei transporto priemonei, skirtai važiuoti žeme, taip pat mopedams, priekaboms ir puspriekabėms, išskyrus bėgines transporto priemones. TPVCAPD išmoka mokama dėl nukentėjusiems tretiesiems asmenims padarytos žalos, kai už žalą atsakingiems asmenims valdant ar naudojant transporto priemonę atsiranda civilinė atsakomybė.</w:t>
            </w:r>
          </w:p>
          <w:p w14:paraId="7CA8EB8F" w14:textId="69FBC8DE" w:rsidR="003870B3" w:rsidRDefault="003870B3" w:rsidP="003870B3">
            <w:pPr>
              <w:pStyle w:val="Betarp"/>
              <w:tabs>
                <w:tab w:val="left" w:pos="1276"/>
              </w:tabs>
              <w:ind w:firstLine="459"/>
              <w:jc w:val="both"/>
              <w:rPr>
                <w:rFonts w:ascii="Times New Roman" w:hAnsi="Times New Roman"/>
                <w:sz w:val="24"/>
                <w:szCs w:val="24"/>
                <w:lang w:eastAsia="ar-SA"/>
              </w:rPr>
            </w:pPr>
            <w:r>
              <w:rPr>
                <w:rFonts w:ascii="Times New Roman" w:hAnsi="Times New Roman"/>
                <w:sz w:val="24"/>
                <w:szCs w:val="24"/>
                <w:lang w:eastAsia="ar-SA"/>
              </w:rPr>
              <w:t xml:space="preserve">Teikiant kombinuotojo keleivių vežimo vietiniais maršrutais paslaugą ir žalai trečiajam asmeniui atsiradus toje maršruto dalyje, kai keleiviai vežami kelių transporto priemonėmis (ne geležinkelių transportu), gali pasitaikyti atvejų, kai žala būtų atlyginama pagal TPVCAPD sutartį. Atsižvelgiant </w:t>
            </w:r>
            <w:r>
              <w:rPr>
                <w:rFonts w:ascii="Times New Roman" w:hAnsi="Times New Roman"/>
                <w:sz w:val="24"/>
                <w:szCs w:val="24"/>
                <w:lang w:eastAsia="ar-SA"/>
              </w:rPr>
              <w:lastRenderedPageBreak/>
              <w:t>į tai, siūlytume papildyti Projektą papildyti nuostata, kad geležinkelio įmonių (vežėjų) ir įmonių, ku</w:t>
            </w:r>
            <w:r w:rsidR="006E2E1A">
              <w:rPr>
                <w:rFonts w:ascii="Times New Roman" w:hAnsi="Times New Roman"/>
                <w:sz w:val="24"/>
                <w:szCs w:val="24"/>
                <w:lang w:eastAsia="ar-SA"/>
              </w:rPr>
              <w:t>rios naudojasi viešąja geležinke</w:t>
            </w:r>
            <w:r>
              <w:rPr>
                <w:rFonts w:ascii="Times New Roman" w:hAnsi="Times New Roman"/>
                <w:sz w:val="24"/>
                <w:szCs w:val="24"/>
                <w:lang w:eastAsia="ar-SA"/>
              </w:rPr>
              <w:t>lių infrastruktūra</w:t>
            </w:r>
            <w:r w:rsidR="006E2E1A">
              <w:rPr>
                <w:rFonts w:ascii="Times New Roman" w:hAnsi="Times New Roman"/>
                <w:sz w:val="24"/>
                <w:szCs w:val="24"/>
                <w:lang w:eastAsia="ar-SA"/>
              </w:rPr>
              <w:t>, privalomojo civilinės atsakomybės draudimo sutartis neapima draudėjo atsakomybės, kuri yra ar gali būti draudžiama kita privalomojo draudimo rūšimi. Tokios nuostatos nebuvimas sąlygos teisės aktų koliziją ir pagrįstus ginčus dėl to pagal kurią draudimo sutartį turėtų būti atlyginama žala.</w:t>
            </w:r>
          </w:p>
        </w:tc>
        <w:tc>
          <w:tcPr>
            <w:tcW w:w="6067" w:type="dxa"/>
          </w:tcPr>
          <w:p w14:paraId="4453F4C3" w14:textId="77777777" w:rsidR="001638EF" w:rsidRPr="002F1367" w:rsidRDefault="001638EF" w:rsidP="002F1367">
            <w:pPr>
              <w:pStyle w:val="Pagrindinistekstas"/>
              <w:rPr>
                <w:b/>
              </w:rPr>
            </w:pPr>
            <w:r w:rsidRPr="002F1367">
              <w:rPr>
                <w:b/>
              </w:rPr>
              <w:lastRenderedPageBreak/>
              <w:t>Atsižvelgta iš dalies.</w:t>
            </w:r>
          </w:p>
          <w:p w14:paraId="7761CEDF" w14:textId="26E6A005" w:rsidR="001638EF" w:rsidRPr="002F1367" w:rsidRDefault="001638EF" w:rsidP="00921539">
            <w:pPr>
              <w:overflowPunct w:val="0"/>
              <w:textAlignment w:val="baseline"/>
            </w:pPr>
            <w:r>
              <w:t>Atsižvelgiant į pastabą</w:t>
            </w:r>
            <w:r w:rsidR="002F1367">
              <w:t xml:space="preserve"> </w:t>
            </w:r>
            <w:r w:rsidR="00E57CE7">
              <w:t xml:space="preserve">ir </w:t>
            </w:r>
            <w:r w:rsidR="002F1367">
              <w:t>siekiant aiškiai apibrėžti</w:t>
            </w:r>
            <w:r w:rsidR="00E57CE7">
              <w:t>,</w:t>
            </w:r>
            <w:r w:rsidR="002F1367">
              <w:t xml:space="preserve"> pagal kurią sutartį</w:t>
            </w:r>
            <w:r w:rsidR="00921539">
              <w:t xml:space="preserve">, t. y. </w:t>
            </w:r>
            <w:r w:rsidR="002F1367">
              <w:t>geležinkelio įmonių (vežėjų) civilinės atsakomybės privalomojo draudimo sutartį ar transporto priemonių savininkų ar valdytojų civilinės atsakomybės privalomojo draudimo sutartį</w:t>
            </w:r>
            <w:r w:rsidR="00921539">
              <w:t>,</w:t>
            </w:r>
            <w:r w:rsidR="002F1367">
              <w:t xml:space="preserve"> turi būti atlyginama žala, kurią trečiasis asmuo </w:t>
            </w:r>
            <w:r w:rsidR="00921539">
              <w:t xml:space="preserve">patyrė toje maršruto dalyje, kurioje keleiviai vežami kelių transporto priemonėmis (ne geležinkelių transportu), Nutarimo projekto 1 punkte  išplečiama sąvokos ,,trečiasis asmuo“ apibrėžtis ir nurodoma, kad asmuo įgyja teisę į žalos atlyginimą pagal geležinkelio įmonės (vežėjo) civilinės atsakomybės privalomojo draudimo sutartį tuo </w:t>
            </w:r>
            <w:r w:rsidR="00921539" w:rsidRPr="00921539">
              <w:t xml:space="preserve">atveju, </w:t>
            </w:r>
            <w:r w:rsidR="00921539" w:rsidRPr="00921539">
              <w:rPr>
                <w:rFonts w:eastAsiaTheme="minorHAnsi"/>
                <w:color w:val="000000"/>
              </w:rPr>
              <w:t xml:space="preserve">jeigu tokia žala asmeniui dėl draudėjo vykdomos </w:t>
            </w:r>
            <w:r w:rsidR="00921539" w:rsidRPr="00921539">
              <w:rPr>
                <w:rFonts w:eastAsiaTheme="minorHAnsi" w:cstheme="minorBidi"/>
                <w:color w:val="000000" w:themeColor="text1"/>
              </w:rPr>
              <w:t>kombinuotojo keleivių vežimo vietiniais maršrutais</w:t>
            </w:r>
            <w:r w:rsidR="00921539" w:rsidRPr="00921539">
              <w:rPr>
                <w:rFonts w:eastAsiaTheme="minorHAnsi"/>
                <w:color w:val="000000"/>
              </w:rPr>
              <w:t xml:space="preserve"> veiklos nebuvo atlyginta </w:t>
            </w:r>
            <w:r w:rsidR="00522FD0">
              <w:rPr>
                <w:color w:val="000000"/>
              </w:rPr>
              <w:t>T</w:t>
            </w:r>
            <w:r w:rsidR="00921539" w:rsidRPr="00921539">
              <w:rPr>
                <w:color w:val="000000"/>
              </w:rPr>
              <w:t>ransporto priemonių valdytojų civilinės atsakomybės privalom</w:t>
            </w:r>
            <w:r w:rsidR="00522FD0">
              <w:rPr>
                <w:color w:val="000000"/>
              </w:rPr>
              <w:t>ojo</w:t>
            </w:r>
            <w:r w:rsidR="00921539" w:rsidRPr="00921539">
              <w:rPr>
                <w:color w:val="000000"/>
              </w:rPr>
              <w:t xml:space="preserve"> draudim</w:t>
            </w:r>
            <w:r w:rsidR="00522FD0">
              <w:rPr>
                <w:color w:val="000000"/>
              </w:rPr>
              <w:t>o įstatymo</w:t>
            </w:r>
            <w:r w:rsidR="00921539" w:rsidRPr="00921539">
              <w:rPr>
                <w:color w:val="000000"/>
              </w:rPr>
              <w:t xml:space="preserve"> nustatyta tvarka.</w:t>
            </w:r>
          </w:p>
        </w:tc>
      </w:tr>
    </w:tbl>
    <w:p w14:paraId="7ACF690B" w14:textId="6077B656" w:rsidR="00A166BC" w:rsidRPr="009A66ED" w:rsidRDefault="00A166BC" w:rsidP="005A145A">
      <w:pPr>
        <w:jc w:val="center"/>
        <w:rPr>
          <w:color w:val="000000"/>
        </w:rPr>
      </w:pPr>
      <w:r w:rsidRPr="009A66ED">
        <w:rPr>
          <w:color w:val="000000"/>
        </w:rPr>
        <w:t>–––––––––––</w:t>
      </w:r>
      <w:r w:rsidR="00191B92">
        <w:rPr>
          <w:color w:val="000000"/>
        </w:rPr>
        <w:t>––––––</w:t>
      </w:r>
    </w:p>
    <w:p w14:paraId="7ACF690C" w14:textId="77777777" w:rsidR="003B5A20" w:rsidRPr="009A66ED" w:rsidRDefault="003B5A20" w:rsidP="008300FE">
      <w:pPr>
        <w:ind w:firstLine="709"/>
        <w:rPr>
          <w:color w:val="000000"/>
        </w:rPr>
      </w:pPr>
    </w:p>
    <w:sectPr w:rsidR="003B5A20" w:rsidRPr="009A66ED" w:rsidSect="007C3404">
      <w:headerReference w:type="even" r:id="rId8"/>
      <w:headerReference w:type="default" r:id="rId9"/>
      <w:pgSz w:w="16838" w:h="11906" w:orient="landscape" w:code="9"/>
      <w:pgMar w:top="851" w:right="678"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739CF" w14:textId="77777777" w:rsidR="005C6CD8" w:rsidRDefault="005C6CD8">
      <w:r>
        <w:separator/>
      </w:r>
    </w:p>
  </w:endnote>
  <w:endnote w:type="continuationSeparator" w:id="0">
    <w:p w14:paraId="20E100CD" w14:textId="77777777" w:rsidR="005C6CD8" w:rsidRDefault="005C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80000000" w:usb2="00000008" w:usb3="00000000" w:csb0="000001FF" w:csb1="00000000"/>
  </w:font>
  <w:font w:name="Trebuchet MS">
    <w:panose1 w:val="020B0603020202020204"/>
    <w:charset w:val="BA"/>
    <w:family w:val="swiss"/>
    <w:pitch w:val="variable"/>
    <w:sig w:usb0="00000287" w:usb1="00000003"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5594F" w14:textId="77777777" w:rsidR="005C6CD8" w:rsidRDefault="005C6CD8">
      <w:r>
        <w:separator/>
      </w:r>
    </w:p>
  </w:footnote>
  <w:footnote w:type="continuationSeparator" w:id="0">
    <w:p w14:paraId="688C8E25" w14:textId="77777777" w:rsidR="005C6CD8" w:rsidRDefault="005C6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6911" w14:textId="77777777" w:rsidR="00981FB1" w:rsidRDefault="00981FB1"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CF6912" w14:textId="77777777" w:rsidR="00981FB1" w:rsidRDefault="00981F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6913" w14:textId="77777777" w:rsidR="00981FB1" w:rsidRDefault="00981FB1"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1539">
      <w:rPr>
        <w:rStyle w:val="Puslapionumeris"/>
        <w:noProof/>
      </w:rPr>
      <w:t>2</w:t>
    </w:r>
    <w:r>
      <w:rPr>
        <w:rStyle w:val="Puslapionumeris"/>
      </w:rPr>
      <w:fldChar w:fldCharType="end"/>
    </w:r>
  </w:p>
  <w:p w14:paraId="7ACF6914" w14:textId="77777777" w:rsidR="00981FB1" w:rsidRDefault="00981F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E731EC"/>
    <w:multiLevelType w:val="hybridMultilevel"/>
    <w:tmpl w:val="CDE422E4"/>
    <w:lvl w:ilvl="0" w:tplc="C3843D0C">
      <w:start w:val="1"/>
      <w:numFmt w:val="decimal"/>
      <w:lvlText w:val="%1."/>
      <w:lvlJc w:val="left"/>
      <w:pPr>
        <w:tabs>
          <w:tab w:val="num" w:pos="720"/>
        </w:tabs>
        <w:ind w:left="720" w:hanging="360"/>
      </w:pPr>
      <w:rPr>
        <w:rFonts w:hint="default"/>
      </w:rPr>
    </w:lvl>
    <w:lvl w:ilvl="1" w:tplc="5A108E6A" w:tentative="1">
      <w:start w:val="1"/>
      <w:numFmt w:val="lowerLetter"/>
      <w:lvlText w:val="%2."/>
      <w:lvlJc w:val="left"/>
      <w:pPr>
        <w:tabs>
          <w:tab w:val="num" w:pos="1440"/>
        </w:tabs>
        <w:ind w:left="1440" w:hanging="360"/>
      </w:pPr>
    </w:lvl>
    <w:lvl w:ilvl="2" w:tplc="0C929444" w:tentative="1">
      <w:start w:val="1"/>
      <w:numFmt w:val="lowerRoman"/>
      <w:lvlText w:val="%3."/>
      <w:lvlJc w:val="right"/>
      <w:pPr>
        <w:tabs>
          <w:tab w:val="num" w:pos="2160"/>
        </w:tabs>
        <w:ind w:left="2160" w:hanging="180"/>
      </w:pPr>
    </w:lvl>
    <w:lvl w:ilvl="3" w:tplc="6046C874" w:tentative="1">
      <w:start w:val="1"/>
      <w:numFmt w:val="decimal"/>
      <w:lvlText w:val="%4."/>
      <w:lvlJc w:val="left"/>
      <w:pPr>
        <w:tabs>
          <w:tab w:val="num" w:pos="2880"/>
        </w:tabs>
        <w:ind w:left="2880" w:hanging="360"/>
      </w:pPr>
    </w:lvl>
    <w:lvl w:ilvl="4" w:tplc="80547530" w:tentative="1">
      <w:start w:val="1"/>
      <w:numFmt w:val="lowerLetter"/>
      <w:lvlText w:val="%5."/>
      <w:lvlJc w:val="left"/>
      <w:pPr>
        <w:tabs>
          <w:tab w:val="num" w:pos="3600"/>
        </w:tabs>
        <w:ind w:left="3600" w:hanging="360"/>
      </w:pPr>
    </w:lvl>
    <w:lvl w:ilvl="5" w:tplc="4754B54A" w:tentative="1">
      <w:start w:val="1"/>
      <w:numFmt w:val="lowerRoman"/>
      <w:lvlText w:val="%6."/>
      <w:lvlJc w:val="right"/>
      <w:pPr>
        <w:tabs>
          <w:tab w:val="num" w:pos="4320"/>
        </w:tabs>
        <w:ind w:left="4320" w:hanging="180"/>
      </w:pPr>
    </w:lvl>
    <w:lvl w:ilvl="6" w:tplc="60007134" w:tentative="1">
      <w:start w:val="1"/>
      <w:numFmt w:val="decimal"/>
      <w:lvlText w:val="%7."/>
      <w:lvlJc w:val="left"/>
      <w:pPr>
        <w:tabs>
          <w:tab w:val="num" w:pos="5040"/>
        </w:tabs>
        <w:ind w:left="5040" w:hanging="360"/>
      </w:pPr>
    </w:lvl>
    <w:lvl w:ilvl="7" w:tplc="7C6EFB34" w:tentative="1">
      <w:start w:val="1"/>
      <w:numFmt w:val="lowerLetter"/>
      <w:lvlText w:val="%8."/>
      <w:lvlJc w:val="left"/>
      <w:pPr>
        <w:tabs>
          <w:tab w:val="num" w:pos="5760"/>
        </w:tabs>
        <w:ind w:left="5760" w:hanging="360"/>
      </w:pPr>
    </w:lvl>
    <w:lvl w:ilvl="8" w:tplc="B1D6F8C4" w:tentative="1">
      <w:start w:val="1"/>
      <w:numFmt w:val="lowerRoman"/>
      <w:lvlText w:val="%9."/>
      <w:lvlJc w:val="right"/>
      <w:pPr>
        <w:tabs>
          <w:tab w:val="num" w:pos="6480"/>
        </w:tabs>
        <w:ind w:left="6480" w:hanging="180"/>
      </w:pPr>
    </w:lvl>
  </w:abstractNum>
  <w:abstractNum w:abstractNumId="19"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20"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2C65583C"/>
    <w:multiLevelType w:val="hybridMultilevel"/>
    <w:tmpl w:val="05EC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7"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9"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30" w15:restartNumberingAfterBreak="0">
    <w:nsid w:val="4D935010"/>
    <w:multiLevelType w:val="multilevel"/>
    <w:tmpl w:val="98129A4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1"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61671F7"/>
    <w:multiLevelType w:val="hybridMultilevel"/>
    <w:tmpl w:val="0A14E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26"/>
  </w:num>
  <w:num w:numId="4">
    <w:abstractNumId w:val="29"/>
  </w:num>
  <w:num w:numId="5">
    <w:abstractNumId w:val="6"/>
  </w:num>
  <w:num w:numId="6">
    <w:abstractNumId w:val="24"/>
  </w:num>
  <w:num w:numId="7">
    <w:abstractNumId w:val="33"/>
  </w:num>
  <w:num w:numId="8">
    <w:abstractNumId w:val="27"/>
  </w:num>
  <w:num w:numId="9">
    <w:abstractNumId w:val="31"/>
  </w:num>
  <w:num w:numId="10">
    <w:abstractNumId w:val="19"/>
  </w:num>
  <w:num w:numId="11">
    <w:abstractNumId w:val="35"/>
  </w:num>
  <w:num w:numId="12">
    <w:abstractNumId w:val="12"/>
  </w:num>
  <w:num w:numId="13">
    <w:abstractNumId w:val="25"/>
  </w:num>
  <w:num w:numId="14">
    <w:abstractNumId w:val="11"/>
  </w:num>
  <w:num w:numId="15">
    <w:abstractNumId w:val="14"/>
  </w:num>
  <w:num w:numId="16">
    <w:abstractNumId w:val="20"/>
  </w:num>
  <w:num w:numId="17">
    <w:abstractNumId w:val="10"/>
  </w:num>
  <w:num w:numId="18">
    <w:abstractNumId w:val="22"/>
  </w:num>
  <w:num w:numId="19">
    <w:abstractNumId w:val="13"/>
  </w:num>
  <w:num w:numId="20">
    <w:abstractNumId w:val="7"/>
  </w:num>
  <w:num w:numId="21">
    <w:abstractNumId w:val="28"/>
  </w:num>
  <w:num w:numId="22">
    <w:abstractNumId w:val="9"/>
  </w:num>
  <w:num w:numId="23">
    <w:abstractNumId w:val="17"/>
  </w:num>
  <w:num w:numId="24">
    <w:abstractNumId w:val="32"/>
  </w:num>
  <w:num w:numId="25">
    <w:abstractNumId w:val="16"/>
  </w:num>
  <w:num w:numId="26">
    <w:abstractNumId w:val="21"/>
  </w:num>
  <w:num w:numId="27">
    <w:abstractNumId w:val="15"/>
  </w:num>
  <w:num w:numId="28">
    <w:abstractNumId w:val="0"/>
  </w:num>
  <w:num w:numId="29">
    <w:abstractNumId w:val="1"/>
  </w:num>
  <w:num w:numId="30">
    <w:abstractNumId w:val="2"/>
  </w:num>
  <w:num w:numId="31">
    <w:abstractNumId w:val="3"/>
  </w:num>
  <w:num w:numId="32">
    <w:abstractNumId w:val="4"/>
  </w:num>
  <w:num w:numId="33">
    <w:abstractNumId w:val="5"/>
  </w:num>
  <w:num w:numId="34">
    <w:abstractNumId w:val="30"/>
  </w:num>
  <w:num w:numId="35">
    <w:abstractNumId w:val="3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44"/>
    <w:rsid w:val="00004D6C"/>
    <w:rsid w:val="00005CD1"/>
    <w:rsid w:val="00024F69"/>
    <w:rsid w:val="000265C2"/>
    <w:rsid w:val="00027ACD"/>
    <w:rsid w:val="00037759"/>
    <w:rsid w:val="00044D01"/>
    <w:rsid w:val="00046D91"/>
    <w:rsid w:val="0004733D"/>
    <w:rsid w:val="00061B80"/>
    <w:rsid w:val="00063382"/>
    <w:rsid w:val="0006368F"/>
    <w:rsid w:val="0006701F"/>
    <w:rsid w:val="00067C37"/>
    <w:rsid w:val="00071A94"/>
    <w:rsid w:val="00074792"/>
    <w:rsid w:val="00083A64"/>
    <w:rsid w:val="000862E4"/>
    <w:rsid w:val="0009096E"/>
    <w:rsid w:val="000A2B07"/>
    <w:rsid w:val="000A389C"/>
    <w:rsid w:val="000A506F"/>
    <w:rsid w:val="000A7E1D"/>
    <w:rsid w:val="000B1019"/>
    <w:rsid w:val="000B3F84"/>
    <w:rsid w:val="000C2766"/>
    <w:rsid w:val="000C4DA4"/>
    <w:rsid w:val="000C5252"/>
    <w:rsid w:val="000D21B8"/>
    <w:rsid w:val="000D4268"/>
    <w:rsid w:val="000D68B1"/>
    <w:rsid w:val="000D750F"/>
    <w:rsid w:val="000E0F7E"/>
    <w:rsid w:val="000E1F2A"/>
    <w:rsid w:val="000E4866"/>
    <w:rsid w:val="000F13CF"/>
    <w:rsid w:val="001021C9"/>
    <w:rsid w:val="0011097D"/>
    <w:rsid w:val="001110F4"/>
    <w:rsid w:val="00125819"/>
    <w:rsid w:val="00130284"/>
    <w:rsid w:val="00130EB9"/>
    <w:rsid w:val="00132B68"/>
    <w:rsid w:val="001344E4"/>
    <w:rsid w:val="0013464E"/>
    <w:rsid w:val="00153459"/>
    <w:rsid w:val="001555B9"/>
    <w:rsid w:val="001635CF"/>
    <w:rsid w:val="001638EF"/>
    <w:rsid w:val="00167063"/>
    <w:rsid w:val="00167465"/>
    <w:rsid w:val="00171199"/>
    <w:rsid w:val="00174D9D"/>
    <w:rsid w:val="00175048"/>
    <w:rsid w:val="0017534E"/>
    <w:rsid w:val="00187EA9"/>
    <w:rsid w:val="00190F93"/>
    <w:rsid w:val="00191B92"/>
    <w:rsid w:val="00194F30"/>
    <w:rsid w:val="0019565A"/>
    <w:rsid w:val="001A1B4E"/>
    <w:rsid w:val="001A3B52"/>
    <w:rsid w:val="001A4A99"/>
    <w:rsid w:val="001A4F49"/>
    <w:rsid w:val="001A5F3C"/>
    <w:rsid w:val="001B16D9"/>
    <w:rsid w:val="001B6A1E"/>
    <w:rsid w:val="001B6A8F"/>
    <w:rsid w:val="001C0CCE"/>
    <w:rsid w:val="001C5C94"/>
    <w:rsid w:val="001D0754"/>
    <w:rsid w:val="001D08AD"/>
    <w:rsid w:val="001D2481"/>
    <w:rsid w:val="001E0163"/>
    <w:rsid w:val="001E10CA"/>
    <w:rsid w:val="001E2F1F"/>
    <w:rsid w:val="001E3346"/>
    <w:rsid w:val="001E4DD5"/>
    <w:rsid w:val="001F2E10"/>
    <w:rsid w:val="00200C60"/>
    <w:rsid w:val="00215C38"/>
    <w:rsid w:val="00224505"/>
    <w:rsid w:val="00224D54"/>
    <w:rsid w:val="00224E2B"/>
    <w:rsid w:val="00231434"/>
    <w:rsid w:val="00234FC7"/>
    <w:rsid w:val="00242E16"/>
    <w:rsid w:val="00250CDB"/>
    <w:rsid w:val="0025224A"/>
    <w:rsid w:val="002543CC"/>
    <w:rsid w:val="002633BF"/>
    <w:rsid w:val="00264453"/>
    <w:rsid w:val="00266D65"/>
    <w:rsid w:val="002804C5"/>
    <w:rsid w:val="0028188B"/>
    <w:rsid w:val="00292C13"/>
    <w:rsid w:val="002A5465"/>
    <w:rsid w:val="002C247C"/>
    <w:rsid w:val="002C69D8"/>
    <w:rsid w:val="002C6E44"/>
    <w:rsid w:val="002D6369"/>
    <w:rsid w:val="002D7852"/>
    <w:rsid w:val="002E0CCE"/>
    <w:rsid w:val="002E0DBF"/>
    <w:rsid w:val="002F1367"/>
    <w:rsid w:val="00300E4A"/>
    <w:rsid w:val="0030269B"/>
    <w:rsid w:val="003026B8"/>
    <w:rsid w:val="00304EAB"/>
    <w:rsid w:val="0030560E"/>
    <w:rsid w:val="00313693"/>
    <w:rsid w:val="003147A5"/>
    <w:rsid w:val="00320919"/>
    <w:rsid w:val="00320AD8"/>
    <w:rsid w:val="00324E7C"/>
    <w:rsid w:val="00326021"/>
    <w:rsid w:val="003276DE"/>
    <w:rsid w:val="00330378"/>
    <w:rsid w:val="00346908"/>
    <w:rsid w:val="003503CF"/>
    <w:rsid w:val="00364EFF"/>
    <w:rsid w:val="00366809"/>
    <w:rsid w:val="003669FD"/>
    <w:rsid w:val="00376462"/>
    <w:rsid w:val="003803B1"/>
    <w:rsid w:val="00382E49"/>
    <w:rsid w:val="003870B3"/>
    <w:rsid w:val="00387BE2"/>
    <w:rsid w:val="00387F30"/>
    <w:rsid w:val="00393F53"/>
    <w:rsid w:val="003A0C4B"/>
    <w:rsid w:val="003A20EC"/>
    <w:rsid w:val="003A3E20"/>
    <w:rsid w:val="003B5A20"/>
    <w:rsid w:val="003D4CF0"/>
    <w:rsid w:val="003D5651"/>
    <w:rsid w:val="003E527D"/>
    <w:rsid w:val="003E6461"/>
    <w:rsid w:val="003F12FB"/>
    <w:rsid w:val="003F174F"/>
    <w:rsid w:val="003F3F89"/>
    <w:rsid w:val="003F5354"/>
    <w:rsid w:val="004107AB"/>
    <w:rsid w:val="00410FF9"/>
    <w:rsid w:val="00413138"/>
    <w:rsid w:val="0041366D"/>
    <w:rsid w:val="0041631D"/>
    <w:rsid w:val="0041719F"/>
    <w:rsid w:val="00437F20"/>
    <w:rsid w:val="004447B5"/>
    <w:rsid w:val="00451DC1"/>
    <w:rsid w:val="004601A1"/>
    <w:rsid w:val="00460B0C"/>
    <w:rsid w:val="0047489D"/>
    <w:rsid w:val="00492F41"/>
    <w:rsid w:val="00494A16"/>
    <w:rsid w:val="004978EF"/>
    <w:rsid w:val="004A1E16"/>
    <w:rsid w:val="004A5235"/>
    <w:rsid w:val="004A6ADD"/>
    <w:rsid w:val="004A71A7"/>
    <w:rsid w:val="004B4F31"/>
    <w:rsid w:val="004C17EC"/>
    <w:rsid w:val="004C62A0"/>
    <w:rsid w:val="004C7A4A"/>
    <w:rsid w:val="004E68E1"/>
    <w:rsid w:val="004F1536"/>
    <w:rsid w:val="00500379"/>
    <w:rsid w:val="00504A44"/>
    <w:rsid w:val="00510B57"/>
    <w:rsid w:val="00515F8A"/>
    <w:rsid w:val="00516615"/>
    <w:rsid w:val="00522FD0"/>
    <w:rsid w:val="00526205"/>
    <w:rsid w:val="00545768"/>
    <w:rsid w:val="00546080"/>
    <w:rsid w:val="005528D7"/>
    <w:rsid w:val="005613DD"/>
    <w:rsid w:val="00566BE8"/>
    <w:rsid w:val="005711F4"/>
    <w:rsid w:val="00573E43"/>
    <w:rsid w:val="00580864"/>
    <w:rsid w:val="00586BF1"/>
    <w:rsid w:val="00590B1E"/>
    <w:rsid w:val="00593BA6"/>
    <w:rsid w:val="005A145A"/>
    <w:rsid w:val="005A2C96"/>
    <w:rsid w:val="005A2EE7"/>
    <w:rsid w:val="005A76E9"/>
    <w:rsid w:val="005A7D0C"/>
    <w:rsid w:val="005B44DC"/>
    <w:rsid w:val="005B45CB"/>
    <w:rsid w:val="005C1A43"/>
    <w:rsid w:val="005C48F7"/>
    <w:rsid w:val="005C6CD8"/>
    <w:rsid w:val="005E5C17"/>
    <w:rsid w:val="005E68FF"/>
    <w:rsid w:val="005F527D"/>
    <w:rsid w:val="005F7F45"/>
    <w:rsid w:val="00601DF3"/>
    <w:rsid w:val="00604C6E"/>
    <w:rsid w:val="00611C68"/>
    <w:rsid w:val="00611DCE"/>
    <w:rsid w:val="00613ACF"/>
    <w:rsid w:val="00614E0A"/>
    <w:rsid w:val="006239CC"/>
    <w:rsid w:val="00625121"/>
    <w:rsid w:val="00627629"/>
    <w:rsid w:val="006312B0"/>
    <w:rsid w:val="006328EE"/>
    <w:rsid w:val="00633D9F"/>
    <w:rsid w:val="006359F4"/>
    <w:rsid w:val="00647375"/>
    <w:rsid w:val="00653370"/>
    <w:rsid w:val="00664715"/>
    <w:rsid w:val="00664918"/>
    <w:rsid w:val="00666C05"/>
    <w:rsid w:val="00672ADD"/>
    <w:rsid w:val="00675F41"/>
    <w:rsid w:val="006769DA"/>
    <w:rsid w:val="0068261D"/>
    <w:rsid w:val="00683CDC"/>
    <w:rsid w:val="0069206C"/>
    <w:rsid w:val="006926C0"/>
    <w:rsid w:val="00694605"/>
    <w:rsid w:val="00694E27"/>
    <w:rsid w:val="00695291"/>
    <w:rsid w:val="00695CFB"/>
    <w:rsid w:val="0069750A"/>
    <w:rsid w:val="006A11EF"/>
    <w:rsid w:val="006A2D34"/>
    <w:rsid w:val="006A6037"/>
    <w:rsid w:val="006B204C"/>
    <w:rsid w:val="006C25DB"/>
    <w:rsid w:val="006C2A7A"/>
    <w:rsid w:val="006C455B"/>
    <w:rsid w:val="006C516C"/>
    <w:rsid w:val="006D158A"/>
    <w:rsid w:val="006D19D6"/>
    <w:rsid w:val="006D66CF"/>
    <w:rsid w:val="006E2E1A"/>
    <w:rsid w:val="006E4493"/>
    <w:rsid w:val="006E75F3"/>
    <w:rsid w:val="006E7844"/>
    <w:rsid w:val="006F7C21"/>
    <w:rsid w:val="00701E42"/>
    <w:rsid w:val="00702705"/>
    <w:rsid w:val="00704AD4"/>
    <w:rsid w:val="00714025"/>
    <w:rsid w:val="00721BCD"/>
    <w:rsid w:val="007221FE"/>
    <w:rsid w:val="00726541"/>
    <w:rsid w:val="007303DB"/>
    <w:rsid w:val="007443CD"/>
    <w:rsid w:val="00747C3D"/>
    <w:rsid w:val="007534F1"/>
    <w:rsid w:val="0076017B"/>
    <w:rsid w:val="007610BE"/>
    <w:rsid w:val="007731A7"/>
    <w:rsid w:val="00780514"/>
    <w:rsid w:val="007820E1"/>
    <w:rsid w:val="00786E79"/>
    <w:rsid w:val="00791A09"/>
    <w:rsid w:val="00792611"/>
    <w:rsid w:val="00793168"/>
    <w:rsid w:val="0079518D"/>
    <w:rsid w:val="00795CA3"/>
    <w:rsid w:val="00796C3C"/>
    <w:rsid w:val="007A1CFA"/>
    <w:rsid w:val="007A3DB4"/>
    <w:rsid w:val="007A4734"/>
    <w:rsid w:val="007B0C4E"/>
    <w:rsid w:val="007B10B5"/>
    <w:rsid w:val="007B319E"/>
    <w:rsid w:val="007B421E"/>
    <w:rsid w:val="007B576E"/>
    <w:rsid w:val="007B58BF"/>
    <w:rsid w:val="007C2026"/>
    <w:rsid w:val="007C3404"/>
    <w:rsid w:val="007C6EB3"/>
    <w:rsid w:val="007D10C6"/>
    <w:rsid w:val="007D3C56"/>
    <w:rsid w:val="007D5815"/>
    <w:rsid w:val="007E25DF"/>
    <w:rsid w:val="007E2D61"/>
    <w:rsid w:val="007E4497"/>
    <w:rsid w:val="007E4DD4"/>
    <w:rsid w:val="007F1602"/>
    <w:rsid w:val="007F52D9"/>
    <w:rsid w:val="007F5F6A"/>
    <w:rsid w:val="00801A75"/>
    <w:rsid w:val="00803FB0"/>
    <w:rsid w:val="0080656B"/>
    <w:rsid w:val="00807A82"/>
    <w:rsid w:val="00807F98"/>
    <w:rsid w:val="00813DF1"/>
    <w:rsid w:val="008176AA"/>
    <w:rsid w:val="008300FE"/>
    <w:rsid w:val="00831C17"/>
    <w:rsid w:val="00833F92"/>
    <w:rsid w:val="00853AA3"/>
    <w:rsid w:val="0086169A"/>
    <w:rsid w:val="00861883"/>
    <w:rsid w:val="00861FDA"/>
    <w:rsid w:val="00862F4E"/>
    <w:rsid w:val="00865297"/>
    <w:rsid w:val="00866C0F"/>
    <w:rsid w:val="00877EA6"/>
    <w:rsid w:val="008812F1"/>
    <w:rsid w:val="0088290B"/>
    <w:rsid w:val="00887820"/>
    <w:rsid w:val="00890903"/>
    <w:rsid w:val="00893E97"/>
    <w:rsid w:val="008A3D69"/>
    <w:rsid w:val="008A6F68"/>
    <w:rsid w:val="008B372F"/>
    <w:rsid w:val="008C2582"/>
    <w:rsid w:val="008C2E2D"/>
    <w:rsid w:val="008C4E9E"/>
    <w:rsid w:val="008C6DCE"/>
    <w:rsid w:val="008D30CF"/>
    <w:rsid w:val="008D7977"/>
    <w:rsid w:val="008E065E"/>
    <w:rsid w:val="008E34FD"/>
    <w:rsid w:val="008E5687"/>
    <w:rsid w:val="008E7F94"/>
    <w:rsid w:val="008F131F"/>
    <w:rsid w:val="00903162"/>
    <w:rsid w:val="009042C4"/>
    <w:rsid w:val="00905574"/>
    <w:rsid w:val="00905AFD"/>
    <w:rsid w:val="009109CB"/>
    <w:rsid w:val="00911ED8"/>
    <w:rsid w:val="00921539"/>
    <w:rsid w:val="00922B2F"/>
    <w:rsid w:val="0093268D"/>
    <w:rsid w:val="009433B1"/>
    <w:rsid w:val="00950F01"/>
    <w:rsid w:val="00956FC3"/>
    <w:rsid w:val="009577FB"/>
    <w:rsid w:val="0096388F"/>
    <w:rsid w:val="00963B50"/>
    <w:rsid w:val="0096468E"/>
    <w:rsid w:val="00971AF6"/>
    <w:rsid w:val="00972A36"/>
    <w:rsid w:val="00973FDE"/>
    <w:rsid w:val="00981FB1"/>
    <w:rsid w:val="00993670"/>
    <w:rsid w:val="00994B68"/>
    <w:rsid w:val="00995FAE"/>
    <w:rsid w:val="009A5A2F"/>
    <w:rsid w:val="009A66ED"/>
    <w:rsid w:val="009B5526"/>
    <w:rsid w:val="009B617C"/>
    <w:rsid w:val="009B694A"/>
    <w:rsid w:val="009B7A42"/>
    <w:rsid w:val="009D0C11"/>
    <w:rsid w:val="009D1C4A"/>
    <w:rsid w:val="009D3A69"/>
    <w:rsid w:val="009D6305"/>
    <w:rsid w:val="009E1F93"/>
    <w:rsid w:val="009F14C0"/>
    <w:rsid w:val="009F2EA4"/>
    <w:rsid w:val="009F54AA"/>
    <w:rsid w:val="00A057CD"/>
    <w:rsid w:val="00A1550B"/>
    <w:rsid w:val="00A166BC"/>
    <w:rsid w:val="00A24EB9"/>
    <w:rsid w:val="00A268B5"/>
    <w:rsid w:val="00A31EFB"/>
    <w:rsid w:val="00A47109"/>
    <w:rsid w:val="00A47953"/>
    <w:rsid w:val="00A50F09"/>
    <w:rsid w:val="00A52582"/>
    <w:rsid w:val="00A56ED7"/>
    <w:rsid w:val="00A61DEF"/>
    <w:rsid w:val="00A64A50"/>
    <w:rsid w:val="00A66A39"/>
    <w:rsid w:val="00A75A3F"/>
    <w:rsid w:val="00A84132"/>
    <w:rsid w:val="00A87F2F"/>
    <w:rsid w:val="00A92639"/>
    <w:rsid w:val="00A93725"/>
    <w:rsid w:val="00A96D13"/>
    <w:rsid w:val="00AA0DC5"/>
    <w:rsid w:val="00AA6ABD"/>
    <w:rsid w:val="00AB2197"/>
    <w:rsid w:val="00AB2BE3"/>
    <w:rsid w:val="00AB3C6A"/>
    <w:rsid w:val="00AB4373"/>
    <w:rsid w:val="00AB4577"/>
    <w:rsid w:val="00AC1D38"/>
    <w:rsid w:val="00AC2D32"/>
    <w:rsid w:val="00AC32FF"/>
    <w:rsid w:val="00AC35D5"/>
    <w:rsid w:val="00AD5C4C"/>
    <w:rsid w:val="00AE236E"/>
    <w:rsid w:val="00AE3488"/>
    <w:rsid w:val="00AF28FB"/>
    <w:rsid w:val="00AF3E79"/>
    <w:rsid w:val="00AF4364"/>
    <w:rsid w:val="00AF5225"/>
    <w:rsid w:val="00B057D7"/>
    <w:rsid w:val="00B05BF8"/>
    <w:rsid w:val="00B063DB"/>
    <w:rsid w:val="00B07103"/>
    <w:rsid w:val="00B15063"/>
    <w:rsid w:val="00B152D4"/>
    <w:rsid w:val="00B1754C"/>
    <w:rsid w:val="00B23BB6"/>
    <w:rsid w:val="00B34C5D"/>
    <w:rsid w:val="00B351BD"/>
    <w:rsid w:val="00B401A7"/>
    <w:rsid w:val="00B5051B"/>
    <w:rsid w:val="00B62259"/>
    <w:rsid w:val="00B6441D"/>
    <w:rsid w:val="00B65616"/>
    <w:rsid w:val="00B77592"/>
    <w:rsid w:val="00B846C1"/>
    <w:rsid w:val="00B908A3"/>
    <w:rsid w:val="00B95EC9"/>
    <w:rsid w:val="00BA18F1"/>
    <w:rsid w:val="00BA3736"/>
    <w:rsid w:val="00BA4D62"/>
    <w:rsid w:val="00BA61CF"/>
    <w:rsid w:val="00BA6ED8"/>
    <w:rsid w:val="00BB03CD"/>
    <w:rsid w:val="00BB3ABF"/>
    <w:rsid w:val="00BB3C5F"/>
    <w:rsid w:val="00BC028E"/>
    <w:rsid w:val="00BC68FC"/>
    <w:rsid w:val="00BC69E3"/>
    <w:rsid w:val="00BD74A5"/>
    <w:rsid w:val="00BD7C59"/>
    <w:rsid w:val="00BE66FB"/>
    <w:rsid w:val="00BE75DD"/>
    <w:rsid w:val="00BF4A25"/>
    <w:rsid w:val="00BF67DB"/>
    <w:rsid w:val="00C013BF"/>
    <w:rsid w:val="00C0230F"/>
    <w:rsid w:val="00C0329E"/>
    <w:rsid w:val="00C059E5"/>
    <w:rsid w:val="00C105F1"/>
    <w:rsid w:val="00C174CB"/>
    <w:rsid w:val="00C2021E"/>
    <w:rsid w:val="00C25C84"/>
    <w:rsid w:val="00C31652"/>
    <w:rsid w:val="00C33530"/>
    <w:rsid w:val="00C34563"/>
    <w:rsid w:val="00C37BC3"/>
    <w:rsid w:val="00C57E2C"/>
    <w:rsid w:val="00C623BB"/>
    <w:rsid w:val="00C644B4"/>
    <w:rsid w:val="00C766B5"/>
    <w:rsid w:val="00C77251"/>
    <w:rsid w:val="00C813EB"/>
    <w:rsid w:val="00C87DEC"/>
    <w:rsid w:val="00C92A6B"/>
    <w:rsid w:val="00C95809"/>
    <w:rsid w:val="00C96BC9"/>
    <w:rsid w:val="00CA1235"/>
    <w:rsid w:val="00CA1CBA"/>
    <w:rsid w:val="00CA2375"/>
    <w:rsid w:val="00CB5CAF"/>
    <w:rsid w:val="00CC01BA"/>
    <w:rsid w:val="00CC4234"/>
    <w:rsid w:val="00CD0C23"/>
    <w:rsid w:val="00CD4AFC"/>
    <w:rsid w:val="00CD69BE"/>
    <w:rsid w:val="00CD6DC5"/>
    <w:rsid w:val="00CE591F"/>
    <w:rsid w:val="00CF0F58"/>
    <w:rsid w:val="00CF7349"/>
    <w:rsid w:val="00CF74DB"/>
    <w:rsid w:val="00D01C2D"/>
    <w:rsid w:val="00D14E20"/>
    <w:rsid w:val="00D177F0"/>
    <w:rsid w:val="00D23398"/>
    <w:rsid w:val="00D33996"/>
    <w:rsid w:val="00D413F1"/>
    <w:rsid w:val="00D41508"/>
    <w:rsid w:val="00D43561"/>
    <w:rsid w:val="00D5210F"/>
    <w:rsid w:val="00D6022E"/>
    <w:rsid w:val="00D6462F"/>
    <w:rsid w:val="00D64CD9"/>
    <w:rsid w:val="00D66412"/>
    <w:rsid w:val="00D674F2"/>
    <w:rsid w:val="00D71731"/>
    <w:rsid w:val="00D77053"/>
    <w:rsid w:val="00D81FF0"/>
    <w:rsid w:val="00D83CBB"/>
    <w:rsid w:val="00D86CD5"/>
    <w:rsid w:val="00D91517"/>
    <w:rsid w:val="00D965DD"/>
    <w:rsid w:val="00D974C3"/>
    <w:rsid w:val="00DA0B12"/>
    <w:rsid w:val="00DA339A"/>
    <w:rsid w:val="00DA5C61"/>
    <w:rsid w:val="00DB3CF8"/>
    <w:rsid w:val="00DB65A5"/>
    <w:rsid w:val="00DB7A33"/>
    <w:rsid w:val="00DC0CD9"/>
    <w:rsid w:val="00DC4E10"/>
    <w:rsid w:val="00DC550C"/>
    <w:rsid w:val="00DD04ED"/>
    <w:rsid w:val="00DD3C50"/>
    <w:rsid w:val="00DE0109"/>
    <w:rsid w:val="00DE16FB"/>
    <w:rsid w:val="00DF2062"/>
    <w:rsid w:val="00DF38DB"/>
    <w:rsid w:val="00DF5AA6"/>
    <w:rsid w:val="00E00D2B"/>
    <w:rsid w:val="00E04D27"/>
    <w:rsid w:val="00E07958"/>
    <w:rsid w:val="00E25045"/>
    <w:rsid w:val="00E34987"/>
    <w:rsid w:val="00E35F8F"/>
    <w:rsid w:val="00E36D4D"/>
    <w:rsid w:val="00E37EB2"/>
    <w:rsid w:val="00E37F92"/>
    <w:rsid w:val="00E41E13"/>
    <w:rsid w:val="00E41F0C"/>
    <w:rsid w:val="00E424E3"/>
    <w:rsid w:val="00E50363"/>
    <w:rsid w:val="00E51B7A"/>
    <w:rsid w:val="00E57CE7"/>
    <w:rsid w:val="00E6085D"/>
    <w:rsid w:val="00E623BC"/>
    <w:rsid w:val="00E629C2"/>
    <w:rsid w:val="00E708DE"/>
    <w:rsid w:val="00E71DEE"/>
    <w:rsid w:val="00E73425"/>
    <w:rsid w:val="00E9143E"/>
    <w:rsid w:val="00E915CA"/>
    <w:rsid w:val="00E93933"/>
    <w:rsid w:val="00E93A68"/>
    <w:rsid w:val="00E96E87"/>
    <w:rsid w:val="00EA1F21"/>
    <w:rsid w:val="00EA6F03"/>
    <w:rsid w:val="00EB3368"/>
    <w:rsid w:val="00EB3859"/>
    <w:rsid w:val="00ED0C64"/>
    <w:rsid w:val="00ED769C"/>
    <w:rsid w:val="00EE1EC2"/>
    <w:rsid w:val="00EE3F34"/>
    <w:rsid w:val="00EF0E3F"/>
    <w:rsid w:val="00EF1063"/>
    <w:rsid w:val="00EF171D"/>
    <w:rsid w:val="00EF41B3"/>
    <w:rsid w:val="00EF65B7"/>
    <w:rsid w:val="00EF7B0B"/>
    <w:rsid w:val="00F0221D"/>
    <w:rsid w:val="00F03179"/>
    <w:rsid w:val="00F0463F"/>
    <w:rsid w:val="00F05CE7"/>
    <w:rsid w:val="00F0689B"/>
    <w:rsid w:val="00F10F1F"/>
    <w:rsid w:val="00F11073"/>
    <w:rsid w:val="00F1251F"/>
    <w:rsid w:val="00F21D4F"/>
    <w:rsid w:val="00F21DC1"/>
    <w:rsid w:val="00F22977"/>
    <w:rsid w:val="00F23084"/>
    <w:rsid w:val="00F232F8"/>
    <w:rsid w:val="00F25098"/>
    <w:rsid w:val="00F32F2C"/>
    <w:rsid w:val="00F42B7F"/>
    <w:rsid w:val="00F445D8"/>
    <w:rsid w:val="00F45654"/>
    <w:rsid w:val="00F46BBA"/>
    <w:rsid w:val="00F54F79"/>
    <w:rsid w:val="00F553F2"/>
    <w:rsid w:val="00F640BB"/>
    <w:rsid w:val="00F65035"/>
    <w:rsid w:val="00F70A66"/>
    <w:rsid w:val="00F72319"/>
    <w:rsid w:val="00F75F25"/>
    <w:rsid w:val="00F765AE"/>
    <w:rsid w:val="00FA20DF"/>
    <w:rsid w:val="00FB1AF5"/>
    <w:rsid w:val="00FB5469"/>
    <w:rsid w:val="00FB7276"/>
    <w:rsid w:val="00FB74D7"/>
    <w:rsid w:val="00FC0A99"/>
    <w:rsid w:val="00FC356D"/>
    <w:rsid w:val="00FC5911"/>
    <w:rsid w:val="00FC6DC4"/>
    <w:rsid w:val="00FC6F05"/>
    <w:rsid w:val="00FD110E"/>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F68FC"/>
  <w15:chartTrackingRefBased/>
  <w15:docId w15:val="{ADF82E84-2A01-45A1-BDD4-755B66F6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2F1367"/>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semiHidden/>
    <w:unhideWhenUsed/>
    <w:rsid w:val="00410FF9"/>
    <w:pPr>
      <w:tabs>
        <w:tab w:val="center" w:pos="4819"/>
        <w:tab w:val="right" w:pos="9638"/>
      </w:tabs>
    </w:pPr>
  </w:style>
  <w:style w:type="character" w:customStyle="1" w:styleId="PoratDiagrama">
    <w:name w:val="Poraštė Diagrama"/>
    <w:link w:val="Porat"/>
    <w:uiPriority w:val="99"/>
    <w:semiHidden/>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uiPriority w:val="34"/>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iPriority w:val="99"/>
    <w:semiHidden/>
    <w:unhideWhenUsed/>
    <w:rsid w:val="007A1CFA"/>
    <w:rPr>
      <w:sz w:val="16"/>
      <w:szCs w:val="16"/>
    </w:rPr>
  </w:style>
  <w:style w:type="paragraph" w:styleId="Komentarotekstas">
    <w:name w:val="annotation text"/>
    <w:basedOn w:val="prastasis"/>
    <w:link w:val="KomentarotekstasDiagrama"/>
    <w:unhideWhenUsed/>
    <w:rsid w:val="007A1CFA"/>
    <w:rPr>
      <w:sz w:val="20"/>
      <w:szCs w:val="20"/>
    </w:rPr>
  </w:style>
  <w:style w:type="character" w:customStyle="1" w:styleId="KomentarotekstasDiagrama">
    <w:name w:val="Komentaro tekstas Diagrama"/>
    <w:link w:val="Komentarotekstas"/>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paragraph" w:styleId="prastasiniatinklio">
    <w:name w:val="Normal (Web)"/>
    <w:basedOn w:val="prastasis"/>
    <w:uiPriority w:val="99"/>
    <w:unhideWhenUsed/>
    <w:rsid w:val="007E4497"/>
    <w:pPr>
      <w:spacing w:before="100" w:beforeAutospacing="1" w:after="100" w:afterAutospacing="1"/>
      <w:jc w:val="left"/>
    </w:pPr>
    <w:rPr>
      <w:lang w:eastAsia="lt-LT"/>
    </w:rPr>
  </w:style>
  <w:style w:type="paragraph" w:styleId="Puslapioinaostekstas">
    <w:name w:val="footnote text"/>
    <w:basedOn w:val="prastasis"/>
    <w:link w:val="PuslapioinaostekstasDiagrama"/>
    <w:uiPriority w:val="99"/>
    <w:semiHidden/>
    <w:unhideWhenUsed/>
    <w:rsid w:val="00AF3E79"/>
    <w:rPr>
      <w:sz w:val="20"/>
      <w:szCs w:val="20"/>
    </w:rPr>
  </w:style>
  <w:style w:type="character" w:customStyle="1" w:styleId="PuslapioinaostekstasDiagrama">
    <w:name w:val="Puslapio išnašos tekstas Diagrama"/>
    <w:link w:val="Puslapioinaostekstas"/>
    <w:uiPriority w:val="99"/>
    <w:semiHidden/>
    <w:rsid w:val="00AF3E79"/>
    <w:rPr>
      <w:lang w:eastAsia="en-US"/>
    </w:rPr>
  </w:style>
  <w:style w:type="character" w:styleId="Puslapioinaosnuoroda">
    <w:name w:val="footnote reference"/>
    <w:uiPriority w:val="99"/>
    <w:semiHidden/>
    <w:unhideWhenUsed/>
    <w:rsid w:val="00AF3E79"/>
    <w:rPr>
      <w:vertAlign w:val="superscript"/>
    </w:rPr>
  </w:style>
  <w:style w:type="paragraph" w:styleId="Betarp">
    <w:name w:val="No Spacing"/>
    <w:uiPriority w:val="1"/>
    <w:qFormat/>
    <w:rsid w:val="00292C1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BF24-5F00-4FE7-88A5-6273F0B6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3569</Characters>
  <Application>Microsoft Office Word</Application>
  <DocSecurity>4</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2019-11-25T11:54:00Z</dcterms:created>
  <dc:creator>Ruta Atociunaite</dc:creator>
  <cp:lastModifiedBy>Jurgita Norkienė</cp:lastModifiedBy>
  <cp:lastPrinted>2012-07-24T07:42:00Z</cp:lastPrinted>
  <dcterms:modified xsi:type="dcterms:W3CDTF">2019-11-25T11:54:00Z</dcterms:modified>
  <cp:revision>2</cp:revision>
  <dc:title>Derinimo pažyma</dc:title>
</cp:coreProperties>
</file>