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02" w:rsidRPr="004835A1" w:rsidRDefault="006A3402" w:rsidP="006A3402">
      <w:pPr>
        <w:pStyle w:val="prastasistinklapis"/>
        <w:jc w:val="center"/>
        <w:rPr>
          <w:rFonts w:ascii="Arial" w:hAnsi="Arial"/>
        </w:rPr>
      </w:pPr>
      <w:bookmarkStart w:id="0" w:name="_GoBack"/>
      <w:bookmarkEnd w:id="0"/>
      <w:r w:rsidRPr="004835A1">
        <w:rPr>
          <w:rFonts w:ascii="Arial" w:hAnsi="Arial"/>
          <w:sz w:val="36"/>
          <w:szCs w:val="20"/>
        </w:rPr>
        <w:tab/>
      </w:r>
      <w:r w:rsidRPr="004835A1">
        <w:rPr>
          <w:rFonts w:ascii="Arial" w:hAnsi="Arial"/>
          <w:sz w:val="36"/>
          <w:szCs w:val="20"/>
        </w:rPr>
        <w:tab/>
      </w:r>
      <w:r w:rsidRPr="004835A1">
        <w:rPr>
          <w:rFonts w:ascii="Arial" w:hAnsi="Arial"/>
          <w:sz w:val="36"/>
          <w:szCs w:val="20"/>
        </w:rPr>
        <w:tab/>
      </w:r>
      <w:r w:rsidRPr="004835A1">
        <w:rPr>
          <w:rFonts w:ascii="Arial" w:hAnsi="Arial"/>
          <w:sz w:val="36"/>
          <w:szCs w:val="20"/>
        </w:rPr>
        <w:tab/>
        <w:t xml:space="preserve">                   </w:t>
      </w:r>
      <w:r w:rsidRPr="004835A1">
        <w:rPr>
          <w:rFonts w:ascii="Arial" w:hAnsi="Arial"/>
        </w:rPr>
        <w:t>Projektas</w:t>
      </w:r>
    </w:p>
    <w:p w:rsidR="006A3402" w:rsidRPr="004835A1" w:rsidRDefault="006A3402" w:rsidP="00E351C2">
      <w:pPr>
        <w:pStyle w:val="prastasistinklapis"/>
        <w:jc w:val="center"/>
      </w:pPr>
      <w:r w:rsidRPr="004835A1">
        <w:rPr>
          <w:rFonts w:ascii="Arial" w:hAnsi="Arial"/>
          <w:sz w:val="36"/>
          <w:szCs w:val="20"/>
        </w:rPr>
        <w:t>LIETUVOS RESPUBLIKOS VYRIAUSYBĖS</w:t>
      </w:r>
      <w:r w:rsidRPr="004835A1">
        <w:rPr>
          <w:rFonts w:ascii="Arial" w:hAnsi="Arial"/>
          <w:sz w:val="36"/>
          <w:szCs w:val="20"/>
        </w:rPr>
        <w:br/>
      </w:r>
      <w:r w:rsidRPr="004835A1">
        <w:rPr>
          <w:rFonts w:ascii="Arial" w:hAnsi="Arial"/>
          <w:sz w:val="28"/>
          <w:szCs w:val="20"/>
        </w:rPr>
        <w:t>PASITARIMO</w:t>
      </w:r>
      <w:r w:rsidRPr="004835A1">
        <w:rPr>
          <w:rFonts w:ascii="Arial" w:hAnsi="Arial"/>
          <w:sz w:val="28"/>
          <w:szCs w:val="20"/>
        </w:rPr>
        <w:br/>
      </w:r>
      <w:r w:rsidRPr="004835A1">
        <w:rPr>
          <w:rFonts w:ascii="Arial" w:hAnsi="Arial"/>
          <w:sz w:val="32"/>
          <w:szCs w:val="32"/>
        </w:rPr>
        <w:t>PROTOKOLAS</w:t>
      </w:r>
    </w:p>
    <w:p w:rsidR="006A3402" w:rsidRPr="004835A1" w:rsidRDefault="006A3402" w:rsidP="006A3402">
      <w:pPr>
        <w:spacing w:line="360" w:lineRule="atLeast"/>
        <w:jc w:val="center"/>
      </w:pPr>
      <w:r w:rsidRPr="004835A1">
        <w:t>20</w:t>
      </w:r>
      <w:r w:rsidR="005D1B8C" w:rsidRPr="004835A1">
        <w:t>20</w:t>
      </w:r>
      <w:r w:rsidRPr="004835A1">
        <w:t xml:space="preserve"> m.                   d. Nr.  </w:t>
      </w:r>
    </w:p>
    <w:p w:rsidR="006A3402" w:rsidRPr="004835A1" w:rsidRDefault="006A3402" w:rsidP="00784B93">
      <w:pPr>
        <w:pStyle w:val="papildomi"/>
      </w:pPr>
    </w:p>
    <w:p w:rsidR="00A60EC7" w:rsidRPr="004835A1" w:rsidRDefault="00A60EC7" w:rsidP="00A60EC7">
      <w:pPr>
        <w:tabs>
          <w:tab w:val="center" w:pos="4819"/>
          <w:tab w:val="right" w:pos="9638"/>
        </w:tabs>
      </w:pPr>
    </w:p>
    <w:p w:rsidR="00A60EC7" w:rsidRPr="004835A1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</w:pPr>
    </w:p>
    <w:p w:rsidR="00A60EC7" w:rsidRPr="004835A1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</w:pPr>
      <w:bookmarkStart w:id="1" w:name="_Hlk35194189"/>
      <w:r w:rsidRPr="004835A1">
        <w:rPr>
          <w:b/>
          <w:bCs/>
        </w:rPr>
        <w:t xml:space="preserve">Dėl </w:t>
      </w:r>
      <w:proofErr w:type="spellStart"/>
      <w:r w:rsidRPr="004835A1">
        <w:rPr>
          <w:b/>
          <w:bCs/>
        </w:rPr>
        <w:t>koronaviruso</w:t>
      </w:r>
      <w:proofErr w:type="spellEnd"/>
      <w:r w:rsidRPr="004835A1">
        <w:rPr>
          <w:b/>
          <w:bCs/>
        </w:rPr>
        <w:t xml:space="preserve"> (COVID-19) sukeltų pasekmių </w:t>
      </w:r>
      <w:r w:rsidR="00F53899" w:rsidRPr="004835A1">
        <w:rPr>
          <w:b/>
          <w:bCs/>
        </w:rPr>
        <w:t xml:space="preserve">savivaldybių biudžetams </w:t>
      </w:r>
      <w:bookmarkEnd w:id="1"/>
    </w:p>
    <w:p w:rsidR="002C1524" w:rsidRPr="004835A1" w:rsidRDefault="002C1524" w:rsidP="002C1524">
      <w:pPr>
        <w:rPr>
          <w:b/>
          <w:bCs/>
        </w:rPr>
      </w:pPr>
    </w:p>
    <w:p w:rsidR="00FB6C82" w:rsidRDefault="00FB6C82" w:rsidP="00FB6C82">
      <w:pPr>
        <w:spacing w:line="360" w:lineRule="auto"/>
        <w:jc w:val="both"/>
      </w:pPr>
    </w:p>
    <w:p w:rsidR="00EE2DAF" w:rsidRPr="004835A1" w:rsidRDefault="00EE2DAF" w:rsidP="00FB6C82">
      <w:pPr>
        <w:spacing w:line="360" w:lineRule="auto"/>
        <w:jc w:val="both"/>
      </w:pPr>
    </w:p>
    <w:p w:rsidR="009B3E17" w:rsidRDefault="009B3E17" w:rsidP="009B3E17">
      <w:pPr>
        <w:spacing w:line="360" w:lineRule="auto"/>
        <w:ind w:firstLine="1296"/>
        <w:jc w:val="both"/>
      </w:pPr>
      <w:r>
        <w:t xml:space="preserve">- </w:t>
      </w:r>
      <w:r w:rsidRPr="004835A1">
        <w:t xml:space="preserve">Lietuvos Respublikos Vyriausybė dėl </w:t>
      </w:r>
      <w:proofErr w:type="spellStart"/>
      <w:r w:rsidRPr="004835A1">
        <w:t>koronaviruso</w:t>
      </w:r>
      <w:proofErr w:type="spellEnd"/>
      <w:r w:rsidRPr="004835A1">
        <w:t xml:space="preserve"> (toliau – COVID-19) plitimo grėsmės 2020 m. vasario 26 d. nutarimu Nr. 152 „Dėl valstybės lygio ekstremalios situacijos paskelbimo“ paskelbė valstybės lygio ekstremalią situaciją visoje šalyje, o nuo kovo 16 d. – karantiną</w:t>
      </w:r>
      <w:r>
        <w:t>.</w:t>
      </w:r>
    </w:p>
    <w:p w:rsidR="009B3E17" w:rsidRPr="0004611A" w:rsidRDefault="009B3E17" w:rsidP="009B3E17">
      <w:pPr>
        <w:spacing w:line="360" w:lineRule="auto"/>
        <w:ind w:firstLine="1296"/>
        <w:jc w:val="both"/>
        <w:rPr>
          <w:bCs/>
        </w:rPr>
      </w:pPr>
      <w:r>
        <w:t xml:space="preserve">- </w:t>
      </w:r>
      <w:r w:rsidRPr="004835A1">
        <w:t xml:space="preserve">Valstybės kontrolė pagal Lietuvos Respublikos fiskalinės sutarties įgyvendinimo konstitucinio įstatymo 7 straipsnio 2 dalį 2020 m. kovo 27 d. </w:t>
      </w:r>
      <w:r w:rsidR="0004611A">
        <w:t>pateikė savo išvadą, kad susiklosčiusi neįprasta padėtis atitinka išskirtinių aplinkybių sąvoką</w:t>
      </w:r>
      <w:r>
        <w:t xml:space="preserve">, o </w:t>
      </w:r>
      <w:r w:rsidRPr="004835A1">
        <w:rPr>
          <w:bCs/>
        </w:rPr>
        <w:t xml:space="preserve">Finansų ministerija 2020 m. kovo 20 d. paskelbė </w:t>
      </w:r>
      <w:r>
        <w:rPr>
          <w:bCs/>
        </w:rPr>
        <w:t>ekonominės raidos scenarijų, pagal kurį</w:t>
      </w:r>
      <w:r w:rsidRPr="004835A1">
        <w:rPr>
          <w:bCs/>
        </w:rPr>
        <w:t xml:space="preserve"> 2020-2023 metų laikotarpiu produkcijos atotrūkis nuo potencialo bus neigiamas</w:t>
      </w:r>
      <w:r>
        <w:t>.</w:t>
      </w:r>
      <w:r w:rsidR="0004611A">
        <w:t xml:space="preserve"> </w:t>
      </w:r>
      <w:r w:rsidR="0004611A" w:rsidRPr="0004611A">
        <w:rPr>
          <w:bCs/>
        </w:rPr>
        <w:t>Valstybės kontrolė pateikė išvadą dėl ekonominės raidos scenarijaus tvirtinimo  2020 m. kovo 27 d.</w:t>
      </w:r>
    </w:p>
    <w:p w:rsidR="00EE2DAF" w:rsidRDefault="009B3E17" w:rsidP="00F63A8A">
      <w:pPr>
        <w:spacing w:line="360" w:lineRule="auto"/>
        <w:ind w:firstLine="1296"/>
        <w:jc w:val="both"/>
        <w:rPr>
          <w:bCs/>
        </w:rPr>
      </w:pPr>
      <w:r>
        <w:t xml:space="preserve">- </w:t>
      </w:r>
      <w:r w:rsidRPr="004835A1">
        <w:rPr>
          <w:bCs/>
        </w:rPr>
        <w:t xml:space="preserve">Produkcijos atotrūkiui nuo potencialo esant neigiamam, </w:t>
      </w:r>
      <w:r>
        <w:rPr>
          <w:bCs/>
        </w:rPr>
        <w:t xml:space="preserve">pagal </w:t>
      </w:r>
      <w:r w:rsidRPr="004835A1">
        <w:rPr>
          <w:bCs/>
        </w:rPr>
        <w:t>Lietuvos Respublikos fiskalinės sutarties įgyvend</w:t>
      </w:r>
      <w:r>
        <w:rPr>
          <w:bCs/>
        </w:rPr>
        <w:t xml:space="preserve">inimo konstitucinio </w:t>
      </w:r>
      <w:r w:rsidRPr="004835A1">
        <w:rPr>
          <w:bCs/>
        </w:rPr>
        <w:t xml:space="preserve">įstatymo </w:t>
      </w:r>
      <w:r>
        <w:t>4 straipsnio 4 dalį</w:t>
      </w:r>
      <w:r>
        <w:rPr>
          <w:bCs/>
        </w:rPr>
        <w:t xml:space="preserve"> </w:t>
      </w:r>
      <w:r w:rsidRPr="004835A1">
        <w:rPr>
          <w:bCs/>
        </w:rPr>
        <w:t xml:space="preserve">mažųjų </w:t>
      </w:r>
      <w:r w:rsidRPr="001D43A2">
        <w:rPr>
          <w:bCs/>
        </w:rPr>
        <w:t xml:space="preserve">savivaldybių </w:t>
      </w:r>
      <w:r>
        <w:rPr>
          <w:bCs/>
        </w:rPr>
        <w:t>(visų savivaldybių</w:t>
      </w:r>
      <w:r w:rsidRPr="004835A1">
        <w:rPr>
          <w:bCs/>
        </w:rPr>
        <w:t>, išskyrus Vilniaus, Kauno, Klaipėdos, Šiaulių mie</w:t>
      </w:r>
      <w:r>
        <w:rPr>
          <w:bCs/>
        </w:rPr>
        <w:t>s</w:t>
      </w:r>
      <w:r w:rsidRPr="004835A1">
        <w:rPr>
          <w:bCs/>
        </w:rPr>
        <w:t>tų) išlaidos 1,5 procento gali viršyti pajamas</w:t>
      </w:r>
      <w:r>
        <w:rPr>
          <w:bCs/>
        </w:rPr>
        <w:t xml:space="preserve">, t.y. </w:t>
      </w:r>
      <w:r w:rsidRPr="004835A1">
        <w:rPr>
          <w:bCs/>
        </w:rPr>
        <w:t>biudžetas gali būti su deficitu, pajamų ir išlaidų rodikliu</w:t>
      </w:r>
      <w:r>
        <w:rPr>
          <w:bCs/>
        </w:rPr>
        <w:t>s vertinant pinigų srautais</w:t>
      </w:r>
      <w:r w:rsidRPr="004835A1">
        <w:rPr>
          <w:bCs/>
        </w:rPr>
        <w:t>.</w:t>
      </w:r>
      <w:r>
        <w:t xml:space="preserve"> </w:t>
      </w:r>
      <w:r w:rsidRPr="004835A1">
        <w:rPr>
          <w:bCs/>
        </w:rPr>
        <w:t xml:space="preserve">Pagal </w:t>
      </w:r>
      <w:r>
        <w:rPr>
          <w:bCs/>
        </w:rPr>
        <w:t>to paties</w:t>
      </w:r>
      <w:r w:rsidRPr="004835A1">
        <w:rPr>
          <w:bCs/>
        </w:rPr>
        <w:t xml:space="preserve"> įstatymo </w:t>
      </w:r>
      <w:r w:rsidRPr="004835A1">
        <w:t>4 straipsnio 2 dalį d</w:t>
      </w:r>
      <w:r w:rsidRPr="004835A1">
        <w:rPr>
          <w:bCs/>
        </w:rPr>
        <w:t xml:space="preserve">idžiųjų savivaldybių (Vilniaus, </w:t>
      </w:r>
      <w:r>
        <w:rPr>
          <w:bCs/>
        </w:rPr>
        <w:t>Kauno, Klaipėdos, Šiaulių miestų</w:t>
      </w:r>
      <w:r w:rsidRPr="004835A1">
        <w:rPr>
          <w:bCs/>
        </w:rPr>
        <w:t xml:space="preserve">) </w:t>
      </w:r>
      <w:r w:rsidRPr="00BE767E">
        <w:rPr>
          <w:bCs/>
        </w:rPr>
        <w:t>išl</w:t>
      </w:r>
      <w:r>
        <w:rPr>
          <w:bCs/>
        </w:rPr>
        <w:t>aidos gali</w:t>
      </w:r>
      <w:r w:rsidRPr="00BE767E">
        <w:rPr>
          <w:bCs/>
        </w:rPr>
        <w:t xml:space="preserve"> būti didesnės negu pajamos </w:t>
      </w:r>
      <w:r>
        <w:rPr>
          <w:bCs/>
        </w:rPr>
        <w:t>–</w:t>
      </w:r>
      <w:r w:rsidRPr="00BE767E">
        <w:rPr>
          <w:bCs/>
        </w:rPr>
        <w:t xml:space="preserve"> formuojamas nominalus deficitas savivaldybės ciklinės komponentės dydžiu</w:t>
      </w:r>
      <w:r>
        <w:rPr>
          <w:bCs/>
        </w:rPr>
        <w:t>, kurį apskaičiuoja ir savivaldybėms pateikia Finansų ministerija</w:t>
      </w:r>
      <w:r w:rsidRPr="00BE767E">
        <w:rPr>
          <w:bCs/>
        </w:rPr>
        <w:t>.</w:t>
      </w:r>
      <w:r>
        <w:rPr>
          <w:bCs/>
        </w:rPr>
        <w:t xml:space="preserve"> Didžiųjų savivaldybių p</w:t>
      </w:r>
      <w:r w:rsidRPr="00BE767E">
        <w:rPr>
          <w:bCs/>
        </w:rPr>
        <w:t>ajamų ir išlaidų rodikli</w:t>
      </w:r>
      <w:r>
        <w:rPr>
          <w:bCs/>
        </w:rPr>
        <w:t>ai</w:t>
      </w:r>
      <w:r w:rsidRPr="00BE767E">
        <w:rPr>
          <w:bCs/>
        </w:rPr>
        <w:t xml:space="preserve"> vertina</w:t>
      </w:r>
      <w:r>
        <w:rPr>
          <w:bCs/>
        </w:rPr>
        <w:t>mi</w:t>
      </w:r>
      <w:r w:rsidRPr="00BE767E">
        <w:rPr>
          <w:bCs/>
        </w:rPr>
        <w:t xml:space="preserve"> kaupiamuoju </w:t>
      </w:r>
      <w:r>
        <w:rPr>
          <w:bCs/>
        </w:rPr>
        <w:t>principu.</w:t>
      </w:r>
    </w:p>
    <w:p w:rsidR="00F63A8A" w:rsidRPr="00F63A8A" w:rsidRDefault="00F63A8A" w:rsidP="00F63A8A">
      <w:pPr>
        <w:spacing w:line="360" w:lineRule="auto"/>
        <w:ind w:firstLine="1296"/>
        <w:jc w:val="both"/>
        <w:rPr>
          <w:bCs/>
        </w:rPr>
      </w:pPr>
    </w:p>
    <w:p w:rsidR="009B3E17" w:rsidRDefault="009B3E17" w:rsidP="009B3E17">
      <w:pPr>
        <w:spacing w:line="360" w:lineRule="auto"/>
        <w:jc w:val="both"/>
      </w:pPr>
      <w:r>
        <w:t xml:space="preserve">Susidariusi situacija reiškia, kad:  </w:t>
      </w:r>
    </w:p>
    <w:p w:rsidR="009B3E17" w:rsidRDefault="009B3E17" w:rsidP="009B3E17">
      <w:pPr>
        <w:spacing w:line="360" w:lineRule="auto"/>
        <w:ind w:firstLine="1296"/>
        <w:jc w:val="both"/>
      </w:pPr>
      <w:r w:rsidRPr="00213A4B">
        <w:lastRenderedPageBreak/>
        <w:t xml:space="preserve">1. </w:t>
      </w:r>
      <w:r>
        <w:t xml:space="preserve">Savivaldybės toliau vykdo Tarybų patvirtintus </w:t>
      </w:r>
      <w:r w:rsidRPr="00CF0841">
        <w:rPr>
          <w:color w:val="000000"/>
        </w:rPr>
        <w:t xml:space="preserve">biudžetus, </w:t>
      </w:r>
      <w:r>
        <w:rPr>
          <w:color w:val="000000"/>
        </w:rPr>
        <w:t xml:space="preserve">tačiau </w:t>
      </w:r>
      <w:r w:rsidRPr="00CF0841">
        <w:rPr>
          <w:color w:val="000000"/>
        </w:rPr>
        <w:t xml:space="preserve">gali turėti didesnes išlaidas nei buvo </w:t>
      </w:r>
      <w:r>
        <w:rPr>
          <w:color w:val="000000"/>
        </w:rPr>
        <w:t>patvirtinta</w:t>
      </w:r>
      <w:r w:rsidRPr="00CF0841">
        <w:rPr>
          <w:color w:val="000000"/>
        </w:rPr>
        <w:t xml:space="preserve">, t. y. mažosios savivaldybės iki </w:t>
      </w:r>
      <w:r w:rsidRPr="00CF0841">
        <w:rPr>
          <w:bCs/>
        </w:rPr>
        <w:t>1,5 procento</w:t>
      </w:r>
      <w:r>
        <w:rPr>
          <w:bCs/>
        </w:rPr>
        <w:t xml:space="preserve"> savo patvirtintų pajamų, d</w:t>
      </w:r>
      <w:r w:rsidRPr="00CF0841">
        <w:rPr>
          <w:bCs/>
        </w:rPr>
        <w:t xml:space="preserve">idžiosios </w:t>
      </w:r>
      <w:r>
        <w:t>–</w:t>
      </w:r>
      <w:r w:rsidRPr="00CF0841">
        <w:rPr>
          <w:bCs/>
        </w:rPr>
        <w:t xml:space="preserve"> </w:t>
      </w:r>
      <w:r>
        <w:rPr>
          <w:bCs/>
        </w:rPr>
        <w:t xml:space="preserve">joms Finansų ministerijos nustatytu </w:t>
      </w:r>
      <w:r w:rsidRPr="00CF0841">
        <w:rPr>
          <w:bCs/>
        </w:rPr>
        <w:t>dydžiu</w:t>
      </w:r>
      <w:r w:rsidR="00213A4B">
        <w:rPr>
          <w:bCs/>
        </w:rPr>
        <w:t>, atitinkamai patikslinant patvirtintą biudžetą</w:t>
      </w:r>
      <w:r>
        <w:rPr>
          <w:bCs/>
        </w:rPr>
        <w:t xml:space="preserve">. Tai leidžia padidinti vietos valdžios išlaidas </w:t>
      </w:r>
      <w:r w:rsidRPr="00213A4B">
        <w:rPr>
          <w:bCs/>
        </w:rPr>
        <w:t>30</w:t>
      </w:r>
      <w:r>
        <w:rPr>
          <w:bCs/>
        </w:rPr>
        <w:t xml:space="preserve"> mln. eurų daugiau nei buvo planuota mažosioms savivaldybėms ir </w:t>
      </w:r>
      <w:r w:rsidRPr="00213A4B">
        <w:rPr>
          <w:bCs/>
        </w:rPr>
        <w:t>10</w:t>
      </w:r>
      <w:r>
        <w:rPr>
          <w:bCs/>
        </w:rPr>
        <w:t xml:space="preserve"> mln. eurų didžiosioms</w:t>
      </w:r>
      <w:r w:rsidR="004517C1">
        <w:rPr>
          <w:bCs/>
        </w:rPr>
        <w:t xml:space="preserve"> (konkretūs paskaičiavimai pagal </w:t>
      </w:r>
      <w:r w:rsidR="005A5D3E">
        <w:rPr>
          <w:bCs/>
        </w:rPr>
        <w:t xml:space="preserve">mažąsias </w:t>
      </w:r>
      <w:r w:rsidR="004517C1">
        <w:rPr>
          <w:bCs/>
        </w:rPr>
        <w:t>savivaldybes pateikiami šio protokolo priede Lentelė</w:t>
      </w:r>
      <w:r w:rsidR="00C6417D">
        <w:rPr>
          <w:bCs/>
        </w:rPr>
        <w:t>je</w:t>
      </w:r>
      <w:r w:rsidR="004517C1">
        <w:rPr>
          <w:bCs/>
        </w:rPr>
        <w:t xml:space="preserve"> Nr. </w:t>
      </w:r>
      <w:r w:rsidR="004517C1" w:rsidRPr="00213A4B">
        <w:rPr>
          <w:bCs/>
        </w:rPr>
        <w:t>1</w:t>
      </w:r>
      <w:r w:rsidR="006B0F3A" w:rsidRPr="00213A4B">
        <w:rPr>
          <w:bCs/>
        </w:rPr>
        <w:t>, Finans</w:t>
      </w:r>
      <w:r w:rsidR="006B0F3A">
        <w:rPr>
          <w:bCs/>
        </w:rPr>
        <w:t>ų ministerijos nustatyti ciklinės komponentės dydžiai didžiosioms savivaldybėms pateikiami šio protokolo priede Lentelė</w:t>
      </w:r>
      <w:r w:rsidR="00C6417D">
        <w:rPr>
          <w:bCs/>
        </w:rPr>
        <w:t>je</w:t>
      </w:r>
      <w:r w:rsidR="006B0F3A">
        <w:rPr>
          <w:bCs/>
        </w:rPr>
        <w:t xml:space="preserve"> Nr. </w:t>
      </w:r>
      <w:r w:rsidR="006B0F3A" w:rsidRPr="00213A4B">
        <w:rPr>
          <w:bCs/>
        </w:rPr>
        <w:t>2</w:t>
      </w:r>
      <w:r w:rsidR="004517C1">
        <w:rPr>
          <w:bCs/>
        </w:rPr>
        <w:t>)</w:t>
      </w:r>
      <w:r>
        <w:rPr>
          <w:bCs/>
        </w:rPr>
        <w:t xml:space="preserve">. </w:t>
      </w:r>
    </w:p>
    <w:p w:rsidR="009B3E17" w:rsidRPr="00DA7EAB" w:rsidRDefault="009B3E17" w:rsidP="009B3E17">
      <w:pPr>
        <w:spacing w:line="360" w:lineRule="auto"/>
        <w:ind w:firstLine="1296"/>
        <w:jc w:val="both"/>
      </w:pPr>
      <w:r>
        <w:rPr>
          <w:bCs/>
        </w:rPr>
        <w:t xml:space="preserve">2. </w:t>
      </w:r>
      <w:r>
        <w:t xml:space="preserve">Prasidėjęs ekonominis nuosmukis turės įtakos savivaldybių biudžetų pajamų surinkimui. Siekiant </w:t>
      </w:r>
      <w:r>
        <w:rPr>
          <w:color w:val="000000"/>
        </w:rPr>
        <w:t xml:space="preserve">finansuoti </w:t>
      </w:r>
      <w:r>
        <w:t>dėl</w:t>
      </w:r>
      <w:r>
        <w:rPr>
          <w:color w:val="000000"/>
        </w:rPr>
        <w:t xml:space="preserve"> planuotų pajamų nesurinkimo atsiradusį apyvartinių lėšų trūkumą, </w:t>
      </w:r>
      <w:r>
        <w:t>savivaldybėms yra suteikiamos trumpalaikės paskolos.</w:t>
      </w:r>
      <w:r w:rsidRPr="00F644AB">
        <w:rPr>
          <w:color w:val="000000"/>
        </w:rPr>
        <w:t xml:space="preserve"> </w:t>
      </w:r>
      <w:r>
        <w:rPr>
          <w:bCs/>
        </w:rPr>
        <w:t>S</w:t>
      </w:r>
      <w:r w:rsidRPr="00104DAD">
        <w:rPr>
          <w:bCs/>
        </w:rPr>
        <w:t xml:space="preserve">avivaldybės gali kreiptis į Finansų ministeriją dėl </w:t>
      </w:r>
      <w:r>
        <w:rPr>
          <w:bCs/>
        </w:rPr>
        <w:t>tokios paskolos</w:t>
      </w:r>
      <w:r w:rsidRPr="00104DAD">
        <w:rPr>
          <w:bCs/>
        </w:rPr>
        <w:t xml:space="preserve"> suteikimo</w:t>
      </w:r>
      <w:r>
        <w:rPr>
          <w:bCs/>
        </w:rPr>
        <w:t xml:space="preserve"> </w:t>
      </w:r>
      <w:r w:rsidRPr="00104DAD">
        <w:rPr>
          <w:bCs/>
        </w:rPr>
        <w:t>2004 m. kovo 26 d. Lietuvos Respublikos Vyriausybės nutarimo Nr. 345 ,,Dėl savivaldybių skolinimosi taisyklių patvirtinimo“ nustatyta tvarka.</w:t>
      </w:r>
      <w:r>
        <w:rPr>
          <w:bCs/>
        </w:rPr>
        <w:t xml:space="preserve"> </w:t>
      </w:r>
      <w:r w:rsidRPr="00747D81">
        <w:rPr>
          <w:bCs/>
        </w:rPr>
        <w:t xml:space="preserve">Taip pat, </w:t>
      </w:r>
      <w:r>
        <w:rPr>
          <w:bCs/>
        </w:rPr>
        <w:t xml:space="preserve">patvirtintų </w:t>
      </w:r>
      <w:r w:rsidRPr="00747D81">
        <w:rPr>
          <w:bCs/>
        </w:rPr>
        <w:t xml:space="preserve">biudžetų pajamų nesurinkimo atveju ir trūkstant apyvartinių lėšų savarankiškų funkcijų vykdymui, didžiosios savivaldybės esant galimybei gali kreiptis į finansų institucijas ar įstaigas dėl </w:t>
      </w:r>
      <w:r>
        <w:rPr>
          <w:bCs/>
        </w:rPr>
        <w:t xml:space="preserve">jų negautų pajamų dydį atitinkančios </w:t>
      </w:r>
      <w:r w:rsidRPr="00747D81">
        <w:rPr>
          <w:bCs/>
        </w:rPr>
        <w:t xml:space="preserve">trumpalaikės </w:t>
      </w:r>
      <w:r w:rsidRPr="00DA7EAB">
        <w:rPr>
          <w:bCs/>
        </w:rPr>
        <w:t>paskolos suteikimo.</w:t>
      </w:r>
      <w:r>
        <w:rPr>
          <w:bCs/>
        </w:rPr>
        <w:t xml:space="preserve"> </w:t>
      </w:r>
      <w:r w:rsidR="00213A4B">
        <w:rPr>
          <w:bCs/>
        </w:rPr>
        <w:t>Be to, savivaldybės gali apyvartinių lėšų trūkumui dengti naudoti ankstesnių metų lėšų likučius  remiantis Lietuvos Respubl</w:t>
      </w:r>
      <w:r w:rsidR="00EE2DAF">
        <w:rPr>
          <w:bCs/>
        </w:rPr>
        <w:t>ikos biudžeto sandaros įstatymo 21 straipsnio 3 dalimi</w:t>
      </w:r>
      <w:r w:rsidR="00213A4B">
        <w:rPr>
          <w:bCs/>
        </w:rPr>
        <w:t xml:space="preserve">. </w:t>
      </w:r>
      <w:r w:rsidR="00D22DF3">
        <w:rPr>
          <w:bCs/>
        </w:rPr>
        <w:t>Tačiau b</w:t>
      </w:r>
      <w:r>
        <w:rPr>
          <w:bCs/>
        </w:rPr>
        <w:t xml:space="preserve">endra trumpalaikių paskolų suma negali viršyti </w:t>
      </w:r>
      <w:r w:rsidR="00D51E1F">
        <w:rPr>
          <w:bCs/>
        </w:rPr>
        <w:t>leistino</w:t>
      </w:r>
      <w:r>
        <w:rPr>
          <w:bCs/>
        </w:rPr>
        <w:t xml:space="preserve"> pajamų</w:t>
      </w:r>
      <w:r w:rsidR="00D51E1F">
        <w:rPr>
          <w:bCs/>
        </w:rPr>
        <w:t xml:space="preserve"> ir išlaidų</w:t>
      </w:r>
      <w:r w:rsidR="00213A4B">
        <w:rPr>
          <w:bCs/>
        </w:rPr>
        <w:t xml:space="preserve"> </w:t>
      </w:r>
      <w:r w:rsidR="00D51E1F">
        <w:rPr>
          <w:bCs/>
        </w:rPr>
        <w:t>skirtumo.</w:t>
      </w:r>
      <w:r>
        <w:rPr>
          <w:bCs/>
        </w:rPr>
        <w:t xml:space="preserve">  </w:t>
      </w:r>
    </w:p>
    <w:p w:rsidR="009B3E17" w:rsidRPr="002C3C99" w:rsidRDefault="009B3E17" w:rsidP="006B0F3A">
      <w:pPr>
        <w:spacing w:line="360" w:lineRule="auto"/>
        <w:ind w:firstLine="1296"/>
        <w:jc w:val="both"/>
      </w:pPr>
      <w:r w:rsidRPr="00213A4B">
        <w:t>3</w:t>
      </w:r>
      <w:r w:rsidRPr="00DA7EAB">
        <w:t xml:space="preserve">. </w:t>
      </w:r>
      <w:r w:rsidRPr="00DA7EAB">
        <w:rPr>
          <w:bCs/>
        </w:rPr>
        <w:t>Jei trumpalaikės paskolos, suteiktos iš valstybės biudžeto, neb</w:t>
      </w:r>
      <w:r>
        <w:rPr>
          <w:bCs/>
        </w:rPr>
        <w:t>us</w:t>
      </w:r>
      <w:r w:rsidRPr="00DA7EAB">
        <w:rPr>
          <w:bCs/>
        </w:rPr>
        <w:t xml:space="preserve"> grąžintos iki biudžetinių metų pabaigos,</w:t>
      </w:r>
      <w:r w:rsidRPr="00DA7EAB">
        <w:t xml:space="preserve"> </w:t>
      </w:r>
      <w:r w:rsidR="00D51E1F">
        <w:t xml:space="preserve">savivaldybės jas turės grąžinti iš </w:t>
      </w:r>
      <w:r w:rsidRPr="00DA7EAB">
        <w:rPr>
          <w:bCs/>
        </w:rPr>
        <w:t xml:space="preserve">2021 metais </w:t>
      </w:r>
      <w:r w:rsidR="00D51E1F">
        <w:rPr>
          <w:bCs/>
        </w:rPr>
        <w:t>s</w:t>
      </w:r>
      <w:r>
        <w:rPr>
          <w:bCs/>
        </w:rPr>
        <w:t xml:space="preserve">avivaldybėms </w:t>
      </w:r>
      <w:r w:rsidR="00D51E1F">
        <w:rPr>
          <w:bCs/>
        </w:rPr>
        <w:t xml:space="preserve">kompensuojamų </w:t>
      </w:r>
      <w:r w:rsidRPr="00DA7EAB">
        <w:rPr>
          <w:bCs/>
        </w:rPr>
        <w:t>praėjusių metų negaut</w:t>
      </w:r>
      <w:r w:rsidR="00D51E1F">
        <w:rPr>
          <w:bCs/>
        </w:rPr>
        <w:t>ų</w:t>
      </w:r>
      <w:r w:rsidRPr="00DA7EAB">
        <w:rPr>
          <w:bCs/>
        </w:rPr>
        <w:t xml:space="preserve"> pajam</w:t>
      </w:r>
      <w:r w:rsidR="00D51E1F">
        <w:rPr>
          <w:bCs/>
        </w:rPr>
        <w:t>ų</w:t>
      </w:r>
      <w:r>
        <w:rPr>
          <w:bCs/>
        </w:rPr>
        <w:t xml:space="preserve"> </w:t>
      </w:r>
      <w:r w:rsidRPr="00DA7EAB">
        <w:t>Lietuvos Respublikos savivaldybių biudžetų pajamų nustatymo metodikos įstatymo 13 straipsnyje nustatyta tvarka</w:t>
      </w:r>
      <w:r>
        <w:t>. T</w:t>
      </w:r>
      <w:r>
        <w:rPr>
          <w:bCs/>
        </w:rPr>
        <w:t>ai reiškia, kad</w:t>
      </w:r>
      <w:r w:rsidRPr="00DA7EAB">
        <w:t xml:space="preserve"> </w:t>
      </w:r>
      <w:r>
        <w:t>j</w:t>
      </w:r>
      <w:r w:rsidRPr="00DA7EAB">
        <w:t>eigu iš valstybės biudžeto gautos kompensacijos</w:t>
      </w:r>
      <w:r>
        <w:t xml:space="preserve"> nepaka</w:t>
      </w:r>
      <w:r w:rsidRPr="00DA7EAB">
        <w:t>k</w:t>
      </w:r>
      <w:r>
        <w:t>s</w:t>
      </w:r>
      <w:r w:rsidRPr="00DA7EAB">
        <w:t xml:space="preserve"> trumpalaikėms </w:t>
      </w:r>
      <w:r w:rsidRPr="006B0F3A">
        <w:t>paskoloms</w:t>
      </w:r>
      <w:r w:rsidR="006B0F3A" w:rsidRPr="006B0F3A">
        <w:t xml:space="preserve"> iš valstybės biudžeto</w:t>
      </w:r>
      <w:r w:rsidRPr="006B0F3A">
        <w:t xml:space="preserve"> grąžinti, tokiu atveju 2020 m. savivaldybių negautoms pajamoms finansuoti paimtos trumpalaikės</w:t>
      </w:r>
      <w:r w:rsidR="006B0F3A">
        <w:t xml:space="preserve"> </w:t>
      </w:r>
      <w:r w:rsidR="00D51E1F">
        <w:t xml:space="preserve">ir negrąžintos </w:t>
      </w:r>
      <w:r w:rsidR="006B0F3A">
        <w:t xml:space="preserve">paskolos taptų ilgalaikėmis, </w:t>
      </w:r>
      <w:r w:rsidRPr="006B0F3A">
        <w:t xml:space="preserve">kurių </w:t>
      </w:r>
      <w:r w:rsidR="00D51E1F">
        <w:t>grąžinimo sąlygos</w:t>
      </w:r>
      <w:r w:rsidRPr="006B0F3A">
        <w:t xml:space="preserve"> </w:t>
      </w:r>
      <w:r w:rsidR="00D51E1F">
        <w:t xml:space="preserve">numatomos </w:t>
      </w:r>
      <w:r w:rsidR="006B0F3A" w:rsidRPr="006B0F3A">
        <w:t xml:space="preserve">2021 metų arba vėlesnių metų </w:t>
      </w:r>
      <w:r w:rsidR="006B0F3A" w:rsidRPr="006B0F3A">
        <w:rPr>
          <w:color w:val="000000"/>
        </w:rPr>
        <w:t xml:space="preserve">valstybės biudžeto ir savivaldybių biudžetų finansinių rodiklių patvirtinimo įstatymų </w:t>
      </w:r>
      <w:r w:rsidR="006B0F3A" w:rsidRPr="002C3C99">
        <w:rPr>
          <w:color w:val="000000"/>
        </w:rPr>
        <w:t>projektuose</w:t>
      </w:r>
      <w:r w:rsidRPr="002C3C99">
        <w:t>.</w:t>
      </w:r>
    </w:p>
    <w:p w:rsidR="002C3C99" w:rsidRPr="002C3C99" w:rsidRDefault="002C3C99" w:rsidP="006B0F3A">
      <w:pPr>
        <w:spacing w:line="360" w:lineRule="auto"/>
        <w:ind w:firstLine="1296"/>
        <w:jc w:val="both"/>
        <w:rPr>
          <w:lang w:val="en-US"/>
        </w:rPr>
      </w:pPr>
      <w:r w:rsidRPr="002C3C99">
        <w:rPr>
          <w:lang w:val="en-US"/>
        </w:rPr>
        <w:t xml:space="preserve">4. </w:t>
      </w:r>
      <w:r w:rsidRPr="002C3C99">
        <w:rPr>
          <w:color w:val="000000"/>
        </w:rPr>
        <w:t>Savivaldybėms, patyrusioms išlaidų dėl centrinės valdžios sprendimų, susijusių su  ekstremalios situacijos suvaldymu ir jos pas</w:t>
      </w:r>
      <w:r>
        <w:rPr>
          <w:color w:val="000000"/>
        </w:rPr>
        <w:t xml:space="preserve">ekmių užkardymu arba mažinimu, </w:t>
      </w:r>
      <w:r w:rsidRPr="002C3C99">
        <w:rPr>
          <w:color w:val="000000"/>
        </w:rPr>
        <w:t>įgyvendinimo, iš valstybės biudžeto lėšų bus kompensuojamos patirtos išlaidos, gavus atitinkamų asignavimų valdytojų patvirtinimą dėl jų pagrįstumo.</w:t>
      </w:r>
    </w:p>
    <w:p w:rsidR="00EE2DAF" w:rsidRPr="00EE2DAF" w:rsidRDefault="002C3C99" w:rsidP="00EE2DAF">
      <w:pPr>
        <w:spacing w:line="360" w:lineRule="auto"/>
        <w:ind w:firstLine="1296"/>
        <w:jc w:val="both"/>
      </w:pPr>
      <w:r>
        <w:t>5</w:t>
      </w:r>
      <w:r w:rsidR="009B3E17">
        <w:t>.</w:t>
      </w:r>
      <w:r w:rsidR="0004611A">
        <w:t xml:space="preserve"> V</w:t>
      </w:r>
      <w:r w:rsidR="009B3E17">
        <w:t xml:space="preserve">ertinant </w:t>
      </w:r>
      <w:r w:rsidR="009B3E17" w:rsidRPr="00BB2F26">
        <w:t>Lietuvos Respublikos fiskalinės sutarties įgyvendinimo konstitucinio įstatymo</w:t>
      </w:r>
      <w:r w:rsidR="009B3E17">
        <w:t xml:space="preserve"> 4 straipsnio 2 ir 4 dalis, s</w:t>
      </w:r>
      <w:r w:rsidR="009B3E17" w:rsidRPr="00BB2F26">
        <w:t xml:space="preserve">avivaldybės biudžeto einamųjų metų pajamos koreguojamos </w:t>
      </w:r>
      <w:r w:rsidR="009B3E17" w:rsidRPr="00BB2F26">
        <w:lastRenderedPageBreak/>
        <w:t>pridedant</w:t>
      </w:r>
      <w:r w:rsidR="009B3E17">
        <w:t xml:space="preserve"> trumpalaikių paskolų dalį</w:t>
      </w:r>
      <w:r w:rsidR="0004611A">
        <w:t xml:space="preserve">, </w:t>
      </w:r>
      <w:r w:rsidR="0004611A" w:rsidRPr="0004611A">
        <w:t>tačiau tai taikoma tik 2020 m., kuriems buvo nustatytos aukščiau minėtos išskirtinės aplinkybės</w:t>
      </w:r>
      <w:r w:rsidR="009B3E17">
        <w:t xml:space="preserve">. </w:t>
      </w:r>
    </w:p>
    <w:p w:rsidR="002C3C99" w:rsidRDefault="002C3C99" w:rsidP="009B3E17">
      <w:pPr>
        <w:tabs>
          <w:tab w:val="left" w:pos="993"/>
        </w:tabs>
        <w:spacing w:line="360" w:lineRule="auto"/>
        <w:jc w:val="both"/>
        <w:rPr>
          <w:bCs/>
        </w:rPr>
      </w:pPr>
    </w:p>
    <w:p w:rsidR="009B3E17" w:rsidRDefault="009B3E17" w:rsidP="009B3E17">
      <w:pPr>
        <w:tabs>
          <w:tab w:val="left" w:pos="993"/>
        </w:tabs>
        <w:spacing w:line="360" w:lineRule="auto"/>
        <w:jc w:val="both"/>
      </w:pPr>
      <w:r w:rsidRPr="004835A1">
        <w:rPr>
          <w:bCs/>
        </w:rPr>
        <w:t>Atsižvelgiant į tai, kas išdėstyta,</w:t>
      </w:r>
      <w:r>
        <w:rPr>
          <w:bCs/>
        </w:rPr>
        <w:t xml:space="preserve"> </w:t>
      </w:r>
      <w:r>
        <w:rPr>
          <w:spacing w:val="20"/>
        </w:rPr>
        <w:t>p</w:t>
      </w:r>
      <w:r w:rsidRPr="004835A1">
        <w:rPr>
          <w:spacing w:val="20"/>
        </w:rPr>
        <w:t>avesti</w:t>
      </w:r>
      <w:r w:rsidRPr="004835A1">
        <w:t xml:space="preserve"> Finansų ministerijai:</w:t>
      </w:r>
    </w:p>
    <w:p w:rsidR="00EE2DAF" w:rsidRDefault="002C3C99" w:rsidP="00EE2DAF">
      <w:pPr>
        <w:tabs>
          <w:tab w:val="left" w:pos="993"/>
        </w:tabs>
        <w:spacing w:line="360" w:lineRule="auto"/>
        <w:jc w:val="both"/>
      </w:pPr>
      <w:r>
        <w:tab/>
      </w:r>
      <w:r w:rsidR="00615489">
        <w:t xml:space="preserve">Rengiant </w:t>
      </w:r>
      <w:r w:rsidR="00615489" w:rsidRPr="00DA7EAB">
        <w:rPr>
          <w:color w:val="000000"/>
        </w:rPr>
        <w:t>2021 metų valstybės biudžeto ir savivaldybių biudžetų finansinių rodiklių patvirtinimo įstatymo projekt</w:t>
      </w:r>
      <w:r w:rsidR="00615489">
        <w:rPr>
          <w:color w:val="000000"/>
        </w:rPr>
        <w:t xml:space="preserve">ą numatyti </w:t>
      </w:r>
      <w:r w:rsidR="00FA3A92">
        <w:rPr>
          <w:color w:val="000000"/>
        </w:rPr>
        <w:t>nuostatas dėl savivaldybių netektų pajamų kompensavimo ir</w:t>
      </w:r>
      <w:r w:rsidR="00615489">
        <w:rPr>
          <w:color w:val="000000"/>
        </w:rPr>
        <w:t xml:space="preserve"> </w:t>
      </w:r>
      <w:r w:rsidR="00FA3A92">
        <w:rPr>
          <w:color w:val="000000"/>
        </w:rPr>
        <w:t xml:space="preserve">suteiktų trumpalaikių paskolų </w:t>
      </w:r>
      <w:r w:rsidR="00615489">
        <w:t xml:space="preserve">grąžinimo </w:t>
      </w:r>
      <w:r w:rsidR="00FA3A92">
        <w:t>sąlygų</w:t>
      </w:r>
      <w:r w:rsidR="00615489">
        <w:t>.</w:t>
      </w:r>
      <w:r w:rsidR="009B3E17">
        <w:tab/>
      </w:r>
    </w:p>
    <w:p w:rsidR="002C3C99" w:rsidRDefault="002C3C99" w:rsidP="00EE2DAF">
      <w:pPr>
        <w:tabs>
          <w:tab w:val="left" w:pos="993"/>
        </w:tabs>
        <w:spacing w:line="360" w:lineRule="auto"/>
        <w:jc w:val="both"/>
      </w:pPr>
    </w:p>
    <w:p w:rsidR="000D05E9" w:rsidRDefault="000D05E9" w:rsidP="00EE2DAF">
      <w:pPr>
        <w:tabs>
          <w:tab w:val="left" w:pos="993"/>
        </w:tabs>
        <w:spacing w:line="360" w:lineRule="auto"/>
        <w:jc w:val="both"/>
      </w:pPr>
      <w:r>
        <w:t>Ministras Pirmininkas</w:t>
      </w: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B85AF2">
      <w:pPr>
        <w:spacing w:line="360" w:lineRule="auto"/>
        <w:jc w:val="right"/>
      </w:pPr>
    </w:p>
    <w:p w:rsidR="002C3C99" w:rsidRDefault="002C3C99" w:rsidP="000725B4">
      <w:pPr>
        <w:spacing w:line="360" w:lineRule="auto"/>
      </w:pPr>
    </w:p>
    <w:p w:rsidR="00F63A8A" w:rsidRDefault="00F63A8A" w:rsidP="000725B4">
      <w:pPr>
        <w:spacing w:line="360" w:lineRule="auto"/>
      </w:pPr>
    </w:p>
    <w:p w:rsidR="000725B4" w:rsidRDefault="000725B4" w:rsidP="000725B4">
      <w:pPr>
        <w:spacing w:line="360" w:lineRule="auto"/>
      </w:pPr>
    </w:p>
    <w:p w:rsidR="004517C1" w:rsidRDefault="004517C1" w:rsidP="00B85AF2">
      <w:pPr>
        <w:spacing w:line="360" w:lineRule="auto"/>
        <w:jc w:val="right"/>
      </w:pPr>
      <w:r>
        <w:lastRenderedPageBreak/>
        <w:t>Priedas</w:t>
      </w:r>
    </w:p>
    <w:p w:rsidR="008F7CC5" w:rsidRDefault="004517C1" w:rsidP="008F7CC5">
      <w:pPr>
        <w:spacing w:line="360" w:lineRule="auto"/>
      </w:pPr>
      <w:r w:rsidRPr="006B0F3A">
        <w:rPr>
          <w:b/>
        </w:rPr>
        <w:t xml:space="preserve">Lentelė Nr. </w:t>
      </w:r>
      <w:r w:rsidRPr="006B0F3A">
        <w:rPr>
          <w:b/>
          <w:lang w:val="en-US"/>
        </w:rPr>
        <w:t xml:space="preserve">1. </w:t>
      </w:r>
      <w:r w:rsidRPr="006B0F3A">
        <w:t>Mažųjų savivaldybių</w:t>
      </w:r>
      <w:r w:rsidR="006B0F3A">
        <w:t xml:space="preserve"> papildomos </w:t>
      </w:r>
      <w:r w:rsidRPr="006B0F3A">
        <w:t>išlaidos</w:t>
      </w:r>
    </w:p>
    <w:p w:rsidR="008F7CC5" w:rsidRPr="008F7CC5" w:rsidRDefault="008F7CC5" w:rsidP="008F7CC5">
      <w:pPr>
        <w:spacing w:line="360" w:lineRule="auto"/>
        <w:ind w:left="7776"/>
      </w:pPr>
      <w:r>
        <w:rPr>
          <w:b/>
          <w:sz w:val="20"/>
          <w:szCs w:val="20"/>
        </w:rPr>
        <w:t xml:space="preserve">       </w:t>
      </w:r>
      <w:r w:rsidRPr="004517C1">
        <w:rPr>
          <w:b/>
          <w:sz w:val="20"/>
          <w:szCs w:val="20"/>
        </w:rPr>
        <w:t>tūkst. eurų</w:t>
      </w:r>
      <w:r w:rsidR="004517C1" w:rsidRPr="004517C1">
        <w:rPr>
          <w:b/>
          <w:sz w:val="20"/>
          <w:szCs w:val="20"/>
          <w:lang w:val="en-US"/>
        </w:rPr>
        <w:tab/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420"/>
        <w:gridCol w:w="1435"/>
        <w:gridCol w:w="1420"/>
        <w:gridCol w:w="250"/>
        <w:gridCol w:w="567"/>
        <w:gridCol w:w="1559"/>
        <w:gridCol w:w="1180"/>
        <w:gridCol w:w="1230"/>
      </w:tblGrid>
      <w:tr w:rsidR="008F7CC5" w:rsidRPr="00143FB0" w:rsidTr="008F7CC5">
        <w:trPr>
          <w:trHeight w:val="8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Eil. Nr.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Savivaldybė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TARYBŲ PATVIRTINTOS pajamos  2020 m.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GALIMAS DEFICITO DYDIS 1.5 proc. nuo pajamų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Eil. Nr</w:t>
            </w:r>
            <w:r w:rsidRPr="00143FB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Savivaldybė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TARYBŲ PATVIRTINTOS pajamos  2020 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GALIMAS DEFICITO DYDIS 1.5 proc. nuo pajamų</w:t>
            </w:r>
          </w:p>
        </w:tc>
      </w:tr>
      <w:tr w:rsidR="008F7CC5" w:rsidRPr="00143FB0" w:rsidTr="008F7CC5">
        <w:trPr>
          <w:trHeight w:val="22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CC5" w:rsidRPr="00143FB0" w:rsidRDefault="008F7CC5" w:rsidP="00184144">
            <w:pPr>
              <w:jc w:val="center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CC5" w:rsidRPr="00143FB0" w:rsidRDefault="008F7CC5" w:rsidP="00184144">
            <w:pPr>
              <w:jc w:val="center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CC5" w:rsidRPr="00143FB0" w:rsidRDefault="008F7CC5" w:rsidP="00184144">
            <w:pPr>
              <w:jc w:val="center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sz w:val="16"/>
                <w:szCs w:val="16"/>
              </w:rPr>
            </w:pP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Vilniaus miesto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717215,5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Pakruojo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23890,5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358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Alytaus miesto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61389,7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921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Panevėžio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40743,8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611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 xml:space="preserve">Birštono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8813,8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Pasvalio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30010,1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450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Druskininkų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22492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337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Plungės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42964,8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644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Kauno miesto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327349,2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Prienų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28164,5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422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Klaipėdos miesto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200819,2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Radviliškio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41761,9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626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Marijampolės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56257,7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844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Raseinių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37031,2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555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Neringos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10866,9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Rokiškio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33128,4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497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Palangos miesto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32387,8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486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Skuodo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19977,6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Panevėžio miesto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112271,2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1684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Šakių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32429,1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486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Šiaulių miesto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134751,9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Šalčininkų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33869,8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508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 xml:space="preserve">Visagino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27909,7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419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Šiaulių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44972,7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675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Akmenės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28559,1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428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Šilalės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25101,2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377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Alytaus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23676,4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Šilutės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47995,1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720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Anykščių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28129,4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Širvintų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16398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246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Biržų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31366,4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470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Švenčionių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30078,6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451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Ignalinos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17768,2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267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Tauragės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43458,1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652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Jonavos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47544,7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713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Telšių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46094,9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691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Joniškio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26671,2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Trakų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46018,523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690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Jurbarko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29606,6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444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Ukmergės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44550,3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668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Kaišiadorių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32884,7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493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Utenos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40952,4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614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Kauno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96673,4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1450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Varėnos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23976,9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360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Kėdainių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57453,6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862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Vilkaviškio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39910,3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599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Kelmės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35641,8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535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Vilniaus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100680,2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1510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Klaipėdos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70221,7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1053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Zarasų rajono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19823,2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297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Kretingos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43218,9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648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 xml:space="preserve">Elektrėnų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31592,8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474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Kupiškio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19360,5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290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Kalvarijos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11863,2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178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Lazdijų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24957,9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374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 xml:space="preserve">Kazlų Rūdos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12217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183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Mažeikių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64723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971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 xml:space="preserve">Pagėgių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11101,5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167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Molėtų rajono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22501,5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338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 xml:space="preserve">Rietavo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  <w:r w:rsidRPr="00143FB0">
              <w:rPr>
                <w:sz w:val="18"/>
                <w:szCs w:val="18"/>
              </w:rPr>
              <w:t>9517,2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  <w:r w:rsidRPr="00143FB0">
              <w:rPr>
                <w:b/>
                <w:bCs/>
                <w:sz w:val="18"/>
                <w:szCs w:val="18"/>
              </w:rPr>
              <w:t>143</w:t>
            </w:r>
          </w:p>
        </w:tc>
      </w:tr>
      <w:tr w:rsidR="008F7CC5" w:rsidRPr="00143FB0" w:rsidTr="008F7CC5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CC5" w:rsidRPr="00143FB0" w:rsidRDefault="008F7CC5" w:rsidP="001841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CC5" w:rsidRPr="00143FB0" w:rsidRDefault="008F7CC5" w:rsidP="00184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sz w:val="16"/>
                <w:szCs w:val="16"/>
              </w:rPr>
            </w:pPr>
            <w:r w:rsidRPr="00143FB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Iš viso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3 423 757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CC5" w:rsidRPr="00143FB0" w:rsidRDefault="008F7CC5" w:rsidP="00184144">
            <w:pPr>
              <w:jc w:val="center"/>
              <w:rPr>
                <w:b/>
                <w:bCs/>
                <w:sz w:val="16"/>
                <w:szCs w:val="16"/>
              </w:rPr>
            </w:pPr>
            <w:r w:rsidRPr="00143FB0">
              <w:rPr>
                <w:b/>
                <w:bCs/>
                <w:sz w:val="16"/>
                <w:szCs w:val="16"/>
              </w:rPr>
              <w:t>30 651</w:t>
            </w:r>
          </w:p>
        </w:tc>
      </w:tr>
    </w:tbl>
    <w:p w:rsidR="004517C1" w:rsidRDefault="004517C1" w:rsidP="004517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8F7CC5" w:rsidRPr="004517C1" w:rsidRDefault="008F7CC5" w:rsidP="004517C1">
      <w:pPr>
        <w:jc w:val="both"/>
        <w:rPr>
          <w:b/>
          <w:sz w:val="20"/>
          <w:szCs w:val="20"/>
        </w:rPr>
      </w:pPr>
    </w:p>
    <w:p w:rsidR="004517C1" w:rsidRDefault="004517C1" w:rsidP="004517C1">
      <w:pPr>
        <w:spacing w:line="360" w:lineRule="auto"/>
        <w:jc w:val="right"/>
      </w:pPr>
    </w:p>
    <w:p w:rsidR="004517C1" w:rsidRDefault="004517C1" w:rsidP="006B0F3A">
      <w:pPr>
        <w:spacing w:line="360" w:lineRule="auto"/>
      </w:pPr>
      <w:r w:rsidRPr="004517C1">
        <w:rPr>
          <w:b/>
        </w:rPr>
        <w:t xml:space="preserve">Lentelės Nr. </w:t>
      </w:r>
      <w:r w:rsidRPr="00213A4B">
        <w:rPr>
          <w:b/>
        </w:rPr>
        <w:t>2.</w:t>
      </w:r>
      <w:r w:rsidRPr="00213A4B">
        <w:t xml:space="preserve"> </w:t>
      </w:r>
      <w:r>
        <w:t>Didžiųjų savivaldybių ciklinės komponentės dydžiai</w:t>
      </w:r>
    </w:p>
    <w:tbl>
      <w:tblPr>
        <w:tblW w:w="3890" w:type="dxa"/>
        <w:tblInd w:w="675" w:type="dxa"/>
        <w:tblLook w:val="04A0" w:firstRow="1" w:lastRow="0" w:firstColumn="1" w:lastColumn="0" w:noHBand="0" w:noVBand="1"/>
      </w:tblPr>
      <w:tblGrid>
        <w:gridCol w:w="2830"/>
        <w:gridCol w:w="1060"/>
      </w:tblGrid>
      <w:tr w:rsidR="004517C1" w:rsidRPr="002445FA" w:rsidTr="006B0F3A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702" w:rsidRDefault="004517C1" w:rsidP="00A93702">
            <w:pPr>
              <w:jc w:val="center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 xml:space="preserve">Ciklinė </w:t>
            </w:r>
            <w:r w:rsidR="00A93702">
              <w:rPr>
                <w:color w:val="000000"/>
                <w:sz w:val="20"/>
                <w:szCs w:val="20"/>
              </w:rPr>
              <w:t>komponentė</w:t>
            </w:r>
          </w:p>
          <w:p w:rsidR="004517C1" w:rsidRPr="002445FA" w:rsidRDefault="00A93702" w:rsidP="00A93702">
            <w:pPr>
              <w:jc w:val="center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>2020 metai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C1" w:rsidRPr="002445FA" w:rsidRDefault="00A93702" w:rsidP="006B0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mln.</w:t>
            </w:r>
            <w:r w:rsidRPr="002445FA">
              <w:rPr>
                <w:color w:val="000000"/>
                <w:sz w:val="20"/>
                <w:szCs w:val="20"/>
              </w:rPr>
              <w:t xml:space="preserve"> eurų </w:t>
            </w:r>
          </w:p>
        </w:tc>
      </w:tr>
      <w:tr w:rsidR="004517C1" w:rsidRPr="002445FA" w:rsidTr="006B0F3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C1" w:rsidRPr="002445FA" w:rsidRDefault="004517C1" w:rsidP="006B0F3A">
            <w:pPr>
              <w:jc w:val="right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 xml:space="preserve">Vilniaus miesto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C1" w:rsidRPr="002445FA" w:rsidRDefault="004517C1" w:rsidP="006B0F3A">
            <w:pPr>
              <w:jc w:val="right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>5,3</w:t>
            </w:r>
          </w:p>
        </w:tc>
      </w:tr>
      <w:tr w:rsidR="004517C1" w:rsidRPr="002445FA" w:rsidTr="006B0F3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C1" w:rsidRPr="002445FA" w:rsidRDefault="004517C1" w:rsidP="006B0F3A">
            <w:pPr>
              <w:jc w:val="right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>Kauno miesto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C1" w:rsidRPr="002445FA" w:rsidRDefault="004517C1" w:rsidP="006B0F3A">
            <w:pPr>
              <w:jc w:val="right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>2,9</w:t>
            </w:r>
          </w:p>
        </w:tc>
      </w:tr>
      <w:tr w:rsidR="004517C1" w:rsidRPr="002445FA" w:rsidTr="006B0F3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C1" w:rsidRPr="002445FA" w:rsidRDefault="004517C1" w:rsidP="006B0F3A">
            <w:pPr>
              <w:jc w:val="right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>Klaipėdos miesto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C1" w:rsidRPr="002445FA" w:rsidRDefault="004517C1" w:rsidP="006B0F3A">
            <w:pPr>
              <w:jc w:val="right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4517C1" w:rsidRPr="002445FA" w:rsidTr="006B0F3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C1" w:rsidRPr="002445FA" w:rsidRDefault="004517C1" w:rsidP="006B0F3A">
            <w:pPr>
              <w:jc w:val="right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>Šiaulių miesto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C1" w:rsidRPr="002445FA" w:rsidRDefault="004517C1" w:rsidP="006B0F3A">
            <w:pPr>
              <w:jc w:val="right"/>
              <w:rPr>
                <w:color w:val="000000"/>
                <w:sz w:val="20"/>
                <w:szCs w:val="20"/>
              </w:rPr>
            </w:pPr>
            <w:r w:rsidRPr="002445FA">
              <w:rPr>
                <w:color w:val="000000"/>
                <w:sz w:val="20"/>
                <w:szCs w:val="20"/>
              </w:rPr>
              <w:t>1,1</w:t>
            </w:r>
          </w:p>
        </w:tc>
      </w:tr>
    </w:tbl>
    <w:p w:rsidR="00313E03" w:rsidRPr="004835A1" w:rsidRDefault="00313E03" w:rsidP="004517C1">
      <w:pPr>
        <w:spacing w:line="360" w:lineRule="auto"/>
        <w:jc w:val="both"/>
      </w:pPr>
    </w:p>
    <w:sectPr w:rsidR="00313E03" w:rsidRPr="004835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6D82"/>
    <w:multiLevelType w:val="hybridMultilevel"/>
    <w:tmpl w:val="DD103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16F97"/>
    <w:multiLevelType w:val="hybridMultilevel"/>
    <w:tmpl w:val="FB6E5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AD"/>
    <w:multiLevelType w:val="hybridMultilevel"/>
    <w:tmpl w:val="F41EC434"/>
    <w:lvl w:ilvl="0" w:tplc="B0588D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B920A91"/>
    <w:multiLevelType w:val="hybridMultilevel"/>
    <w:tmpl w:val="561CE380"/>
    <w:lvl w:ilvl="0" w:tplc="25601A0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1E50E3"/>
    <w:multiLevelType w:val="hybridMultilevel"/>
    <w:tmpl w:val="8780D142"/>
    <w:lvl w:ilvl="0" w:tplc="03E6CC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70A73"/>
    <w:multiLevelType w:val="hybridMultilevel"/>
    <w:tmpl w:val="D54C85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72CA4"/>
    <w:multiLevelType w:val="hybridMultilevel"/>
    <w:tmpl w:val="A0623682"/>
    <w:lvl w:ilvl="0" w:tplc="390E5C98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4EBE1C3D"/>
    <w:multiLevelType w:val="hybridMultilevel"/>
    <w:tmpl w:val="974A81A8"/>
    <w:lvl w:ilvl="0" w:tplc="2A7E8CA2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553B0492"/>
    <w:multiLevelType w:val="hybridMultilevel"/>
    <w:tmpl w:val="6C1C0FA0"/>
    <w:lvl w:ilvl="0" w:tplc="5630DBA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654843D9"/>
    <w:multiLevelType w:val="hybridMultilevel"/>
    <w:tmpl w:val="12107020"/>
    <w:lvl w:ilvl="0" w:tplc="B624FA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51167"/>
    <w:multiLevelType w:val="hybridMultilevel"/>
    <w:tmpl w:val="088C2350"/>
    <w:lvl w:ilvl="0" w:tplc="F38A9E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20687B"/>
    <w:multiLevelType w:val="hybridMultilevel"/>
    <w:tmpl w:val="F5BA786E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>
    <w:nsid w:val="7F150DEC"/>
    <w:multiLevelType w:val="hybridMultilevel"/>
    <w:tmpl w:val="92E4CE40"/>
    <w:lvl w:ilvl="0" w:tplc="7F24200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9E"/>
    <w:rsid w:val="000122A4"/>
    <w:rsid w:val="000156AC"/>
    <w:rsid w:val="0001662B"/>
    <w:rsid w:val="000176E1"/>
    <w:rsid w:val="000243BB"/>
    <w:rsid w:val="00033A89"/>
    <w:rsid w:val="0003570F"/>
    <w:rsid w:val="00044F7C"/>
    <w:rsid w:val="0004611A"/>
    <w:rsid w:val="00063F99"/>
    <w:rsid w:val="000725B4"/>
    <w:rsid w:val="000869F4"/>
    <w:rsid w:val="000A0821"/>
    <w:rsid w:val="000A61E6"/>
    <w:rsid w:val="000C4582"/>
    <w:rsid w:val="000D05E9"/>
    <w:rsid w:val="000E1B45"/>
    <w:rsid w:val="000F1248"/>
    <w:rsid w:val="00104DAD"/>
    <w:rsid w:val="001226E0"/>
    <w:rsid w:val="00143FB0"/>
    <w:rsid w:val="00184144"/>
    <w:rsid w:val="001A4654"/>
    <w:rsid w:val="001B6311"/>
    <w:rsid w:val="001B79F4"/>
    <w:rsid w:val="001D43A2"/>
    <w:rsid w:val="001F69C4"/>
    <w:rsid w:val="002050DD"/>
    <w:rsid w:val="00213A4B"/>
    <w:rsid w:val="00230B09"/>
    <w:rsid w:val="002510B0"/>
    <w:rsid w:val="00271952"/>
    <w:rsid w:val="00272FC8"/>
    <w:rsid w:val="00282559"/>
    <w:rsid w:val="00282710"/>
    <w:rsid w:val="002B4780"/>
    <w:rsid w:val="002C1524"/>
    <w:rsid w:val="002C3C99"/>
    <w:rsid w:val="002F6915"/>
    <w:rsid w:val="00313E03"/>
    <w:rsid w:val="00321025"/>
    <w:rsid w:val="00327885"/>
    <w:rsid w:val="00341735"/>
    <w:rsid w:val="0034372B"/>
    <w:rsid w:val="00380FD5"/>
    <w:rsid w:val="0038503B"/>
    <w:rsid w:val="003A39A6"/>
    <w:rsid w:val="003B4255"/>
    <w:rsid w:val="003B5D0B"/>
    <w:rsid w:val="003D4385"/>
    <w:rsid w:val="004429D9"/>
    <w:rsid w:val="004517C1"/>
    <w:rsid w:val="004835A1"/>
    <w:rsid w:val="004B24EC"/>
    <w:rsid w:val="004B4374"/>
    <w:rsid w:val="00500BFE"/>
    <w:rsid w:val="00512A8F"/>
    <w:rsid w:val="0053190F"/>
    <w:rsid w:val="005554A5"/>
    <w:rsid w:val="00582F6F"/>
    <w:rsid w:val="005A2FC0"/>
    <w:rsid w:val="005A5D3E"/>
    <w:rsid w:val="005A6F5D"/>
    <w:rsid w:val="005B58B5"/>
    <w:rsid w:val="005C0DF0"/>
    <w:rsid w:val="005C19D1"/>
    <w:rsid w:val="005D1B8C"/>
    <w:rsid w:val="005E1CC7"/>
    <w:rsid w:val="005E1F12"/>
    <w:rsid w:val="0060162E"/>
    <w:rsid w:val="00605ED8"/>
    <w:rsid w:val="00611A19"/>
    <w:rsid w:val="00614144"/>
    <w:rsid w:val="00615489"/>
    <w:rsid w:val="00625948"/>
    <w:rsid w:val="00626DA9"/>
    <w:rsid w:val="00643BF3"/>
    <w:rsid w:val="00674DFD"/>
    <w:rsid w:val="006808FA"/>
    <w:rsid w:val="006841D6"/>
    <w:rsid w:val="006A3402"/>
    <w:rsid w:val="006B0F3A"/>
    <w:rsid w:val="006C7F7A"/>
    <w:rsid w:val="006D224E"/>
    <w:rsid w:val="006E315F"/>
    <w:rsid w:val="006E53A3"/>
    <w:rsid w:val="006E5DD2"/>
    <w:rsid w:val="0070224D"/>
    <w:rsid w:val="00747D81"/>
    <w:rsid w:val="00771F92"/>
    <w:rsid w:val="00773B34"/>
    <w:rsid w:val="00784B93"/>
    <w:rsid w:val="0079262F"/>
    <w:rsid w:val="007D0949"/>
    <w:rsid w:val="007D177D"/>
    <w:rsid w:val="007D625C"/>
    <w:rsid w:val="007E2460"/>
    <w:rsid w:val="007F08E6"/>
    <w:rsid w:val="00802F87"/>
    <w:rsid w:val="00814F8A"/>
    <w:rsid w:val="008206B5"/>
    <w:rsid w:val="00822028"/>
    <w:rsid w:val="00827F3F"/>
    <w:rsid w:val="008B0DC7"/>
    <w:rsid w:val="008C10C5"/>
    <w:rsid w:val="008C64FA"/>
    <w:rsid w:val="008E3DB2"/>
    <w:rsid w:val="008E5F5E"/>
    <w:rsid w:val="008F7CC5"/>
    <w:rsid w:val="0091736A"/>
    <w:rsid w:val="009279F2"/>
    <w:rsid w:val="00937F2C"/>
    <w:rsid w:val="0097661A"/>
    <w:rsid w:val="0098283C"/>
    <w:rsid w:val="0099314B"/>
    <w:rsid w:val="00997D2C"/>
    <w:rsid w:val="009B3E17"/>
    <w:rsid w:val="009B6B06"/>
    <w:rsid w:val="009E2D55"/>
    <w:rsid w:val="009F2EEE"/>
    <w:rsid w:val="00A0370E"/>
    <w:rsid w:val="00A15634"/>
    <w:rsid w:val="00A3537C"/>
    <w:rsid w:val="00A37B05"/>
    <w:rsid w:val="00A60EC7"/>
    <w:rsid w:val="00A81C48"/>
    <w:rsid w:val="00A845F9"/>
    <w:rsid w:val="00A86A93"/>
    <w:rsid w:val="00A93702"/>
    <w:rsid w:val="00AA2BF9"/>
    <w:rsid w:val="00AC3278"/>
    <w:rsid w:val="00AD5225"/>
    <w:rsid w:val="00AE05B1"/>
    <w:rsid w:val="00AF7F39"/>
    <w:rsid w:val="00B13D40"/>
    <w:rsid w:val="00B32131"/>
    <w:rsid w:val="00B42938"/>
    <w:rsid w:val="00B50A16"/>
    <w:rsid w:val="00B52214"/>
    <w:rsid w:val="00B757E0"/>
    <w:rsid w:val="00B85AF2"/>
    <w:rsid w:val="00BE767E"/>
    <w:rsid w:val="00BF4154"/>
    <w:rsid w:val="00C0335E"/>
    <w:rsid w:val="00C072B5"/>
    <w:rsid w:val="00C234A9"/>
    <w:rsid w:val="00C355F4"/>
    <w:rsid w:val="00C37026"/>
    <w:rsid w:val="00C44397"/>
    <w:rsid w:val="00C6094D"/>
    <w:rsid w:val="00C6417D"/>
    <w:rsid w:val="00C72D78"/>
    <w:rsid w:val="00C77239"/>
    <w:rsid w:val="00C812FD"/>
    <w:rsid w:val="00CE13A2"/>
    <w:rsid w:val="00CF0841"/>
    <w:rsid w:val="00D22DF3"/>
    <w:rsid w:val="00D5184B"/>
    <w:rsid w:val="00D51E1F"/>
    <w:rsid w:val="00D66318"/>
    <w:rsid w:val="00D7217B"/>
    <w:rsid w:val="00DA7EAB"/>
    <w:rsid w:val="00DC44FB"/>
    <w:rsid w:val="00DC57EA"/>
    <w:rsid w:val="00DE1A37"/>
    <w:rsid w:val="00E351C2"/>
    <w:rsid w:val="00E52297"/>
    <w:rsid w:val="00E91D33"/>
    <w:rsid w:val="00EC2528"/>
    <w:rsid w:val="00EE02D5"/>
    <w:rsid w:val="00EE2DAF"/>
    <w:rsid w:val="00F33C9E"/>
    <w:rsid w:val="00F34F85"/>
    <w:rsid w:val="00F53899"/>
    <w:rsid w:val="00F63A8A"/>
    <w:rsid w:val="00F644AB"/>
    <w:rsid w:val="00F65464"/>
    <w:rsid w:val="00F75624"/>
    <w:rsid w:val="00FA2AC2"/>
    <w:rsid w:val="00FA3A92"/>
    <w:rsid w:val="00FA494A"/>
    <w:rsid w:val="00FA60B7"/>
    <w:rsid w:val="00FB345C"/>
    <w:rsid w:val="00FB6C82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papildomi">
    <w:name w:val="papildomi"/>
    <w:basedOn w:val="prastasis"/>
    <w:rsid w:val="00784B93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6A3402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6841D6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paragraph" w:styleId="Sraopastraipa">
    <w:name w:val="List Paragraph"/>
    <w:basedOn w:val="prastasis"/>
    <w:uiPriority w:val="34"/>
    <w:qFormat/>
    <w:rsid w:val="004B24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5319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9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90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90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319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papildomi">
    <w:name w:val="papildomi"/>
    <w:basedOn w:val="prastasis"/>
    <w:rsid w:val="00784B93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6A3402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6841D6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paragraph" w:styleId="Sraopastraipa">
    <w:name w:val="List Paragraph"/>
    <w:basedOn w:val="prastasis"/>
    <w:uiPriority w:val="34"/>
    <w:qFormat/>
    <w:rsid w:val="004B24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5319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9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90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90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3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261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6B38-CF7B-4D6B-B053-4741B27B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4806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Ministro Pirmininko 2009 m</vt:lpstr>
      <vt:lpstr>Dėl Ministro Pirmininko 2009 m</vt:lpstr>
    </vt:vector>
  </TitlesOfParts>
  <Company>LR Vyriausybės kanceliarija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Ministro Pirmininko 2009 m</dc:title>
  <dc:creator>dagu</dc:creator>
  <cp:lastModifiedBy>Gabija Grigaitė-Daugirdė</cp:lastModifiedBy>
  <cp:revision>2</cp:revision>
  <cp:lastPrinted>2010-11-04T08:11:00Z</cp:lastPrinted>
  <dcterms:created xsi:type="dcterms:W3CDTF">2020-04-07T15:00:00Z</dcterms:created>
  <dcterms:modified xsi:type="dcterms:W3CDTF">2020-04-07T15:00:00Z</dcterms:modified>
</cp:coreProperties>
</file>