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A2" w:rsidRPr="00790E83" w:rsidRDefault="00790E83" w:rsidP="001D6832">
      <w:bookmarkStart w:id="0" w:name="_GoBack"/>
      <w:bookmarkEnd w:id="0"/>
      <w:r w:rsidRPr="00790E83">
        <w:t>Lietuvos moterų lobistinės organizacijos pastebėjimai dėl Moterų ir vyrų lygių galimybių komisijos nuostatų naujos redakcijos</w:t>
      </w:r>
    </w:p>
    <w:p w:rsidR="006C24A2" w:rsidRDefault="006C24A2" w:rsidP="00790E83">
      <w:pPr>
        <w:spacing w:before="120" w:after="120"/>
      </w:pPr>
    </w:p>
    <w:p w:rsidR="00FE38D4" w:rsidRDefault="006C24A2" w:rsidP="00790E83">
      <w:pPr>
        <w:spacing w:before="120" w:after="120"/>
        <w:ind w:firstLine="720"/>
        <w:jc w:val="both"/>
      </w:pPr>
      <w:r>
        <w:t xml:space="preserve">Moterų ir </w:t>
      </w:r>
      <w:r w:rsidR="00FE38D4">
        <w:t>vyrų</w:t>
      </w:r>
      <w:r>
        <w:t xml:space="preserve"> lygių gal</w:t>
      </w:r>
      <w:r w:rsidR="00784C3E">
        <w:t>imybių komisijos</w:t>
      </w:r>
      <w:r w:rsidR="00790E83">
        <w:t xml:space="preserve"> </w:t>
      </w:r>
      <w:r w:rsidR="00784C3E">
        <w:t>nuostatų naujos</w:t>
      </w:r>
      <w:r>
        <w:t xml:space="preserve"> redakcij</w:t>
      </w:r>
      <w:r w:rsidR="00784C3E">
        <w:t>os projektas</w:t>
      </w:r>
      <w:r w:rsidR="00790E83">
        <w:t xml:space="preserve"> </w:t>
      </w:r>
      <w:r>
        <w:t xml:space="preserve">yra </w:t>
      </w:r>
      <w:r w:rsidRPr="00A43A76">
        <w:rPr>
          <w:b/>
        </w:rPr>
        <w:t>sveikintinas</w:t>
      </w:r>
      <w:r>
        <w:t xml:space="preserve"> žingsnis,</w:t>
      </w:r>
      <w:r w:rsidR="00790E83">
        <w:t xml:space="preserve"> </w:t>
      </w:r>
      <w:r w:rsidR="007F03AB">
        <w:t>kuris turėtų atliepti</w:t>
      </w:r>
      <w:r>
        <w:t xml:space="preserve"> pokyčius</w:t>
      </w:r>
      <w:r w:rsidR="007F03AB">
        <w:t>,</w:t>
      </w:r>
      <w:r>
        <w:t xml:space="preserve"> įvykusius </w:t>
      </w:r>
      <w:r w:rsidR="00A43A76">
        <w:t xml:space="preserve">lyčių lygybės srityje nuo </w:t>
      </w:r>
      <w:r>
        <w:t>2000 m</w:t>
      </w:r>
      <w:r w:rsidR="00C73F87">
        <w:t>etų</w:t>
      </w:r>
      <w:r w:rsidR="007F03AB">
        <w:t>,</w:t>
      </w:r>
      <w:r w:rsidR="00C73F87">
        <w:t xml:space="preserve"> kai ši Komisija buvo įkurta. </w:t>
      </w:r>
    </w:p>
    <w:p w:rsidR="00E42FB3" w:rsidRDefault="00A43A76" w:rsidP="00790E83">
      <w:pPr>
        <w:spacing w:before="120" w:after="120"/>
        <w:ind w:firstLine="720"/>
        <w:jc w:val="both"/>
      </w:pPr>
      <w:r>
        <w:t xml:space="preserve">Tačiau </w:t>
      </w:r>
      <w:r w:rsidRPr="007C67CA">
        <w:rPr>
          <w:b/>
        </w:rPr>
        <w:t>neramina</w:t>
      </w:r>
      <w:r>
        <w:t xml:space="preserve"> tai, kad šis </w:t>
      </w:r>
      <w:r w:rsidRPr="004D1110">
        <w:t>Komisi</w:t>
      </w:r>
      <w:r>
        <w:t>j</w:t>
      </w:r>
      <w:r w:rsidRPr="004D1110">
        <w:t xml:space="preserve">os </w:t>
      </w:r>
      <w:r>
        <w:t>nuostatų projektas numato reikšm</w:t>
      </w:r>
      <w:r w:rsidR="00784C3E">
        <w:t>ingai susiaurinti</w:t>
      </w:r>
      <w:r w:rsidR="00E42FB3">
        <w:t>,</w:t>
      </w:r>
      <w:r w:rsidR="00790E83">
        <w:t xml:space="preserve"> </w:t>
      </w:r>
      <w:r w:rsidR="00E42FB3">
        <w:t>apriboti</w:t>
      </w:r>
      <w:r w:rsidR="00790E83">
        <w:t xml:space="preserve"> </w:t>
      </w:r>
      <w:r w:rsidR="00784C3E">
        <w:t>K</w:t>
      </w:r>
      <w:r>
        <w:t xml:space="preserve">omisijos </w:t>
      </w:r>
      <w:r w:rsidR="009B3152">
        <w:t xml:space="preserve">misiją ir </w:t>
      </w:r>
      <w:r>
        <w:t>kompetencijas</w:t>
      </w:r>
      <w:r w:rsidR="00784C3E">
        <w:t>,</w:t>
      </w:r>
      <w:r w:rsidR="00E42FB3">
        <w:t xml:space="preserve"> išbraukti svarbias institucijas</w:t>
      </w:r>
      <w:r w:rsidR="00790E83">
        <w:t xml:space="preserve"> </w:t>
      </w:r>
      <w:r w:rsidR="00481F3C">
        <w:t>bei eliminuoti tokį privalomą efektyvaus institucinių mechanizmų funkcionavimo elementą,</w:t>
      </w:r>
      <w:r w:rsidR="00E42FB3">
        <w:t xml:space="preserve"> </w:t>
      </w:r>
      <w:r w:rsidR="00481F3C">
        <w:t xml:space="preserve">kaip atskaitingumas ir atsiskaitomybė. Atkreipiame dėmesį, kad tokie siūlomi pokyčiai </w:t>
      </w:r>
      <w:r w:rsidR="00790E83">
        <w:t xml:space="preserve">gali </w:t>
      </w:r>
      <w:r w:rsidR="00481F3C">
        <w:t xml:space="preserve">neigiamai </w:t>
      </w:r>
      <w:r w:rsidR="00784C3E">
        <w:t>atsiliep</w:t>
      </w:r>
      <w:r w:rsidR="00790E83">
        <w:t xml:space="preserve">ti </w:t>
      </w:r>
      <w:r w:rsidR="00481F3C">
        <w:t>Komisijos</w:t>
      </w:r>
      <w:r w:rsidR="00790E83">
        <w:t xml:space="preserve"> </w:t>
      </w:r>
      <w:r w:rsidR="00784C3E">
        <w:t>veiklos efektyvumui ir turė</w:t>
      </w:r>
      <w:r w:rsidR="00790E83">
        <w:t>ti</w:t>
      </w:r>
      <w:r w:rsidR="00784C3E">
        <w:t xml:space="preserve"> neigiamos</w:t>
      </w:r>
      <w:r w:rsidR="00790E83">
        <w:t xml:space="preserve"> </w:t>
      </w:r>
      <w:r w:rsidR="00784C3E">
        <w:t>įtakos moterų ir vyrų lygybės užtikrinimui.</w:t>
      </w:r>
      <w:r w:rsidR="00790E83">
        <w:t xml:space="preserve"> </w:t>
      </w:r>
      <w:r w:rsidR="009B3152">
        <w:t xml:space="preserve">Taip pat </w:t>
      </w:r>
      <w:r w:rsidR="00031CC2">
        <w:t>nepriimtinas</w:t>
      </w:r>
      <w:r w:rsidR="00790E83">
        <w:t xml:space="preserve"> </w:t>
      </w:r>
      <w:r w:rsidR="009B3152">
        <w:t xml:space="preserve">nevyriausybinių organizacijų </w:t>
      </w:r>
      <w:r w:rsidR="00031CC2">
        <w:t>atstovų</w:t>
      </w:r>
      <w:r w:rsidR="00790E83">
        <w:t xml:space="preserve"> </w:t>
      </w:r>
      <w:r w:rsidR="009B3152">
        <w:t xml:space="preserve">Komisijoje </w:t>
      </w:r>
      <w:r w:rsidR="00031CC2">
        <w:t xml:space="preserve">skaičiaus sumažinimas </w:t>
      </w:r>
      <w:r w:rsidR="009B3152">
        <w:t xml:space="preserve">nuo šiuo metu esamų </w:t>
      </w:r>
      <w:r w:rsidR="009B3152" w:rsidRPr="009B3152">
        <w:t>4 atstov</w:t>
      </w:r>
      <w:r w:rsidR="00031CC2">
        <w:t xml:space="preserve">ų iki siūlomų tik </w:t>
      </w:r>
      <w:r w:rsidR="00031CC2" w:rsidRPr="00031CC2">
        <w:t>3.</w:t>
      </w:r>
      <w:r w:rsidR="00031CC2">
        <w:t xml:space="preserve"> Be to, </w:t>
      </w:r>
      <w:r w:rsidR="00FE38D4">
        <w:t>nesuprantamas siū</w:t>
      </w:r>
      <w:r w:rsidR="00031CC2">
        <w:t>lymas</w:t>
      </w:r>
      <w:r w:rsidR="00790E83">
        <w:t xml:space="preserve"> </w:t>
      </w:r>
      <w:r>
        <w:t>iš Komisijos sudėties eliminuoti daugiau nei pusę itin svarbių lyčių lygybės užtikrinimui ministerijų atstovų</w:t>
      </w:r>
      <w:r w:rsidR="003C69E8">
        <w:t>,</w:t>
      </w:r>
      <w:r w:rsidR="00790E83">
        <w:t xml:space="preserve"> </w:t>
      </w:r>
      <w:r w:rsidR="003C69E8">
        <w:t>ypač tokių, kaip Teisingumo</w:t>
      </w:r>
      <w:r w:rsidR="00B041FF">
        <w:t>, Žemės ū</w:t>
      </w:r>
      <w:r w:rsidR="003C69E8">
        <w:t>kio, Kultūros,</w:t>
      </w:r>
      <w:r w:rsidR="00790E83">
        <w:t xml:space="preserve"> </w:t>
      </w:r>
      <w:r w:rsidR="003C69E8">
        <w:t>Aplinko</w:t>
      </w:r>
      <w:r w:rsidR="00B041FF">
        <w:t>s, Krašto apsaugos, Užsienio reikalų</w:t>
      </w:r>
      <w:r w:rsidR="00790E83">
        <w:t xml:space="preserve"> </w:t>
      </w:r>
      <w:r w:rsidR="00B041FF">
        <w:t>ministerijos.</w:t>
      </w:r>
      <w:r w:rsidR="00790E83">
        <w:t xml:space="preserve"> </w:t>
      </w:r>
      <w:r w:rsidR="00B041FF">
        <w:t>Ir nesuprantamas ir nepriimtinas siūlymas iš</w:t>
      </w:r>
      <w:r w:rsidR="00790E83">
        <w:t xml:space="preserve"> </w:t>
      </w:r>
      <w:r w:rsidR="00B041FF">
        <w:t xml:space="preserve">Komisijos sudėties </w:t>
      </w:r>
      <w:r w:rsidR="000C6EA3">
        <w:t xml:space="preserve">eliminuoti </w:t>
      </w:r>
      <w:r w:rsidR="00B041FF">
        <w:t>Statistikos departament</w:t>
      </w:r>
      <w:r w:rsidR="000C6EA3">
        <w:t xml:space="preserve">ą, nes lyčių statistika yra vienas iš </w:t>
      </w:r>
      <w:r w:rsidR="00D53EEB">
        <w:t xml:space="preserve">keturių </w:t>
      </w:r>
      <w:r w:rsidR="000C6EA3">
        <w:t>lyčių lygybės</w:t>
      </w:r>
      <w:r w:rsidR="00790E83">
        <w:t xml:space="preserve"> </w:t>
      </w:r>
      <w:r w:rsidR="000C6EA3">
        <w:t>institucinių mechanizmų efektyvumo ro</w:t>
      </w:r>
      <w:r w:rsidR="00D53EEB">
        <w:t>diklių, įteisintų ES</w:t>
      </w:r>
      <w:r w:rsidR="00790E83">
        <w:t xml:space="preserve"> </w:t>
      </w:r>
      <w:r w:rsidR="00D53EEB">
        <w:t>Tarybos išvadose dėl lyčių lygybės institucinių mechanizmų efektyvumo</w:t>
      </w:r>
      <w:r w:rsidR="00E42FB3">
        <w:t>.</w:t>
      </w:r>
    </w:p>
    <w:p w:rsidR="00450E62" w:rsidRPr="00450E62" w:rsidRDefault="00450E62" w:rsidP="00790E83">
      <w:pPr>
        <w:spacing w:before="120" w:after="120"/>
        <w:ind w:firstLine="720"/>
        <w:jc w:val="both"/>
      </w:pPr>
      <w:r>
        <w:t>L</w:t>
      </w:r>
      <w:r w:rsidR="002F154A">
        <w:t>ietuvos</w:t>
      </w:r>
      <w:r w:rsidR="00790E83">
        <w:t xml:space="preserve"> </w:t>
      </w:r>
      <w:r>
        <w:t>moterų lobistinė organizacija apgailestau</w:t>
      </w:r>
      <w:r w:rsidR="003E375B">
        <w:t>ja</w:t>
      </w:r>
      <w:r>
        <w:t xml:space="preserve">, kad į didelę dalį dar 2019 metais teiktų pastebėjimų ir pasiūlymų </w:t>
      </w:r>
      <w:r w:rsidR="002F154A">
        <w:t>Komisijos nuostatų projektui atsižvelgta nebuvo, negali pr</w:t>
      </w:r>
      <w:r w:rsidR="00ED1458">
        <w:t>i</w:t>
      </w:r>
      <w:r w:rsidR="002F154A">
        <w:t xml:space="preserve">tarti </w:t>
      </w:r>
      <w:r w:rsidR="00FB0784">
        <w:t>Komisijos galių siaurinimui. S</w:t>
      </w:r>
      <w:r w:rsidR="002F154A">
        <w:t>iūlo</w:t>
      </w:r>
      <w:r w:rsidR="00FB0784">
        <w:t>me</w:t>
      </w:r>
      <w:r w:rsidR="002F154A">
        <w:t xml:space="preserve"> jį tobulinti </w:t>
      </w:r>
      <w:r w:rsidR="00F67A83">
        <w:t>pagal tiek anksčiau teiktus,</w:t>
      </w:r>
      <w:r w:rsidR="00790E83">
        <w:t xml:space="preserve"> </w:t>
      </w:r>
      <w:r w:rsidR="00F67A83">
        <w:t xml:space="preserve">tiek toliau pateikiamus siūlymus. </w:t>
      </w:r>
    </w:p>
    <w:p w:rsidR="0089479D" w:rsidRDefault="00E34CD9" w:rsidP="00790E83">
      <w:pPr>
        <w:spacing w:before="120" w:after="120"/>
        <w:ind w:firstLine="720"/>
        <w:jc w:val="both"/>
      </w:pPr>
      <w:r w:rsidRPr="00667124">
        <w:rPr>
          <w:b/>
        </w:rPr>
        <w:t>LMLO,</w:t>
      </w:r>
      <w:r w:rsidR="00790E83">
        <w:t xml:space="preserve"> </w:t>
      </w:r>
      <w:r>
        <w:t xml:space="preserve">remdamasi </w:t>
      </w:r>
      <w:r w:rsidR="00881CC0" w:rsidRPr="00881CC0">
        <w:t xml:space="preserve">Moterų </w:t>
      </w:r>
      <w:r>
        <w:t>ir vyrų lygių galimybių įstatymu</w:t>
      </w:r>
      <w:r w:rsidR="0079483E">
        <w:t xml:space="preserve"> ir siekdama efektyvaus šio įstatymo 4 straipsnio įgyvendinimo</w:t>
      </w:r>
      <w:r>
        <w:t xml:space="preserve"> siū</w:t>
      </w:r>
      <w:r w:rsidRPr="00E34CD9">
        <w:t>lo</w:t>
      </w:r>
      <w:r w:rsidR="0089479D">
        <w:t xml:space="preserve">: </w:t>
      </w:r>
    </w:p>
    <w:p w:rsidR="00A23EE4" w:rsidRDefault="00881CC0" w:rsidP="00790E83">
      <w:pPr>
        <w:spacing w:before="120" w:after="120"/>
        <w:ind w:firstLine="720"/>
        <w:jc w:val="both"/>
      </w:pPr>
      <w:r w:rsidRPr="00881CC0">
        <w:t xml:space="preserve"> </w:t>
      </w:r>
      <w:r w:rsidR="0089479D">
        <w:t xml:space="preserve">- </w:t>
      </w:r>
      <w:r w:rsidR="0079483E">
        <w:t>g</w:t>
      </w:r>
      <w:r w:rsidR="0089479D">
        <w:t>rąžin</w:t>
      </w:r>
      <w:r w:rsidR="0079483E">
        <w:t>t</w:t>
      </w:r>
      <w:r w:rsidR="0089479D">
        <w:t>i į teikiamą Komisijos nuostatų projektą dvi</w:t>
      </w:r>
      <w:r w:rsidRPr="00881CC0">
        <w:t xml:space="preserve"> svarbiausi</w:t>
      </w:r>
      <w:r w:rsidR="0089479D">
        <w:t>as</w:t>
      </w:r>
      <w:r w:rsidR="00790E83">
        <w:t xml:space="preserve"> </w:t>
      </w:r>
      <w:r w:rsidR="00E34CD9">
        <w:t>šiuo metu galiojanči</w:t>
      </w:r>
      <w:r w:rsidR="0089479D">
        <w:t>as</w:t>
      </w:r>
      <w:r w:rsidR="0079483E">
        <w:t xml:space="preserve"> Komisijos kompetencijas- koordinavimą </w:t>
      </w:r>
      <w:r w:rsidR="00E34CD9">
        <w:t>ir bendrada</w:t>
      </w:r>
      <w:r w:rsidR="0079483E">
        <w:t>rbiavimą</w:t>
      </w:r>
      <w:r w:rsidR="00E34CD9">
        <w:t xml:space="preserve"> su </w:t>
      </w:r>
      <w:r w:rsidR="0089479D">
        <w:t>moterų ir vyrų lygybės srityje dirbančioms nevyriausybinėmis organizacijomis</w:t>
      </w:r>
      <w:r w:rsidR="004C3E4B">
        <w:t>.</w:t>
      </w:r>
    </w:p>
    <w:p w:rsidR="004C3E4B" w:rsidRDefault="006A0CAC" w:rsidP="00790E83">
      <w:pPr>
        <w:spacing w:before="120" w:after="120"/>
        <w:ind w:firstLine="720"/>
        <w:jc w:val="both"/>
      </w:pPr>
      <w:r>
        <w:t xml:space="preserve">- </w:t>
      </w:r>
      <w:r w:rsidR="00C47D39">
        <w:t>įtraukti</w:t>
      </w:r>
      <w:r w:rsidR="00790E83">
        <w:t xml:space="preserve"> </w:t>
      </w:r>
      <w:r w:rsidR="00C47D39">
        <w:t>į Komisijos</w:t>
      </w:r>
      <w:r w:rsidR="00790E83">
        <w:t xml:space="preserve"> </w:t>
      </w:r>
      <w:r w:rsidR="00C47D39">
        <w:t>nuostatų projektą, aiškias</w:t>
      </w:r>
      <w:r w:rsidR="00B0160B">
        <w:t xml:space="preserve"> </w:t>
      </w:r>
      <w:r w:rsidR="00C47D39">
        <w:t>ir ska</w:t>
      </w:r>
      <w:r w:rsidR="004C3E4B">
        <w:t>i</w:t>
      </w:r>
      <w:r w:rsidR="00C47D39">
        <w:t>drias nuostatas, kam atska</w:t>
      </w:r>
      <w:r w:rsidR="00B0160B">
        <w:t>i</w:t>
      </w:r>
      <w:r w:rsidR="00C47D39">
        <w:t>tinga Komisija, kam teikia ataskaitas už veiklos rezultatus,</w:t>
      </w:r>
      <w:r w:rsidR="00790E83">
        <w:t xml:space="preserve"> </w:t>
      </w:r>
      <w:r w:rsidR="00C47D39">
        <w:t>kokie veiklos rezultatų rodikliai, kaip viešinami komisijos veiklos rezultatai</w:t>
      </w:r>
      <w:r w:rsidR="00A23EE4" w:rsidRPr="00A23EE4">
        <w:t xml:space="preserve"> </w:t>
      </w:r>
      <w:r w:rsidR="00A23EE4">
        <w:t>kokia ir kokio periodiškumo nustatoma atskaitomybės forma, kas tvirtina pasiektus rezultatus, kaip apie pasiektus/nepasiektus rezultatus</w:t>
      </w:r>
      <w:r w:rsidR="00790E83">
        <w:t xml:space="preserve"> </w:t>
      </w:r>
      <w:r w:rsidR="00A23EE4">
        <w:t>informuojama visuomenė,</w:t>
      </w:r>
      <w:r w:rsidR="00790E83">
        <w:t xml:space="preserve"> </w:t>
      </w:r>
      <w:r w:rsidR="00B0160B">
        <w:t>ir kitus su atsiskaitomybe su</w:t>
      </w:r>
      <w:r w:rsidR="00667124">
        <w:t>s</w:t>
      </w:r>
      <w:r w:rsidR="00B0160B">
        <w:t>iju</w:t>
      </w:r>
      <w:r w:rsidR="004C3E4B">
        <w:t xml:space="preserve">sius aspektus. Tokios nuostatos yra vienas iš lyčių lygybės institucijų mechanizmų efektyvumo esminių elementų, o taip pat prisideda prie Komisijos veiklos viešumo ir skaidrumo. </w:t>
      </w:r>
    </w:p>
    <w:p w:rsidR="00FB243E" w:rsidRPr="00C0323A" w:rsidRDefault="00667124" w:rsidP="00790E83">
      <w:pPr>
        <w:spacing w:before="120" w:after="120"/>
        <w:ind w:firstLine="720"/>
        <w:jc w:val="both"/>
      </w:pPr>
      <w:r>
        <w:t>-</w:t>
      </w:r>
      <w:r w:rsidR="00FB243E">
        <w:t>- tiek Vyriausybės nutarimo</w:t>
      </w:r>
      <w:r w:rsidR="00790E83">
        <w:t xml:space="preserve"> </w:t>
      </w:r>
      <w:r w:rsidR="00FB243E">
        <w:t>projekte nurodytose užduotyse ir</w:t>
      </w:r>
      <w:r w:rsidR="00790E83">
        <w:t xml:space="preserve"> </w:t>
      </w:r>
      <w:r w:rsidR="00FB243E">
        <w:t>funkcijose,</w:t>
      </w:r>
      <w:r w:rsidR="00790E83">
        <w:t xml:space="preserve"> </w:t>
      </w:r>
      <w:r w:rsidR="00FB243E">
        <w:t>tiek Komisijos nuostatų projekte numatyti</w:t>
      </w:r>
      <w:r w:rsidR="00790E83">
        <w:t xml:space="preserve"> </w:t>
      </w:r>
      <w:r w:rsidR="00FB243E">
        <w:t>išvadų ir siūlymų teikimą ne tik</w:t>
      </w:r>
      <w:r w:rsidR="00790E83">
        <w:t xml:space="preserve"> </w:t>
      </w:r>
      <w:r w:rsidR="00FB243E" w:rsidRPr="00EB1865">
        <w:t>Vyriausybei</w:t>
      </w:r>
      <w:r w:rsidR="00FB243E">
        <w:t>,</w:t>
      </w:r>
      <w:r w:rsidR="00FB243E" w:rsidRPr="00EB1865">
        <w:t xml:space="preserve"> kitoms valst</w:t>
      </w:r>
      <w:r w:rsidR="00FB243E">
        <w:t>ybės institucijoms ir įstaigoms, bet ir savivaldybėms, nes Moterų ir vyrų lygių galimybių įstatymo 4</w:t>
      </w:r>
      <w:r w:rsidR="00790E83">
        <w:t xml:space="preserve"> </w:t>
      </w:r>
      <w:r w:rsidR="00FB243E">
        <w:t xml:space="preserve">straipsnis nustato ir valstybės, </w:t>
      </w:r>
      <w:r w:rsidR="00FB243E" w:rsidRPr="008268C8">
        <w:rPr>
          <w:b/>
        </w:rPr>
        <w:t>ir savivaldybių</w:t>
      </w:r>
      <w:r w:rsidR="00790E83">
        <w:rPr>
          <w:b/>
        </w:rPr>
        <w:t xml:space="preserve"> </w:t>
      </w:r>
      <w:r w:rsidR="00FB243E">
        <w:t>inst</w:t>
      </w:r>
      <w:r w:rsidR="008F4647">
        <w:t>it</w:t>
      </w:r>
      <w:r w:rsidR="00FB243E">
        <w:t xml:space="preserve">ucijų ir įstaigų pareigą įgyvendinti </w:t>
      </w:r>
      <w:r w:rsidR="00A926A1">
        <w:t>moterų ir vyrų lygias teises.</w:t>
      </w:r>
      <w:r w:rsidR="00FB243E">
        <w:t xml:space="preserve"> Tuo pačiu sveikiname Lietuvos savivaldybių asociacijos atstovo įtraukimą į Komisiją, tai papildomai pagrindžia būtinybę</w:t>
      </w:r>
      <w:r w:rsidR="00790E83">
        <w:t xml:space="preserve"> </w:t>
      </w:r>
      <w:r w:rsidR="00FB243E">
        <w:t>į Komisijos nuostatus</w:t>
      </w:r>
      <w:r w:rsidR="00790E83">
        <w:t xml:space="preserve"> </w:t>
      </w:r>
      <w:r w:rsidR="00FB243E">
        <w:t xml:space="preserve">įtraukti moterų ir vyrų lygybės klausimų savivaldos lygmeniu svarstymą. </w:t>
      </w:r>
      <w:r w:rsidR="00A926A1">
        <w:t>Tai ne tik atitiktų MVLG įstatymo nuostatas, koreliuotų su numatomu</w:t>
      </w:r>
      <w:r w:rsidR="008F4647">
        <w:t xml:space="preserve"> </w:t>
      </w:r>
      <w:r w:rsidR="00A926A1">
        <w:t>Komisijai patariamuoju vaidmeniu, bet ir suteiktų Komisijai</w:t>
      </w:r>
      <w:r w:rsidR="00790E83">
        <w:t xml:space="preserve"> </w:t>
      </w:r>
      <w:r w:rsidR="00A926A1">
        <w:t xml:space="preserve">pridėtinės vertės ir apčiuopiamos naudos savivaldos lygmeniu, nes, </w:t>
      </w:r>
      <w:r w:rsidR="00955FC6">
        <w:t>kaip</w:t>
      </w:r>
      <w:r w:rsidR="00A926A1">
        <w:t xml:space="preserve"> rodo LMLO ilgametė praktika,</w:t>
      </w:r>
      <w:r w:rsidR="00790E83">
        <w:t xml:space="preserve"> </w:t>
      </w:r>
      <w:r w:rsidR="00A926A1">
        <w:t>konsultacijų ir patarimų lyčių lygybės klausiais</w:t>
      </w:r>
      <w:r w:rsidR="00790E83">
        <w:t xml:space="preserve"> </w:t>
      </w:r>
      <w:r w:rsidR="00A926A1">
        <w:t>poreikis savivaldos lygmeniu yra didžiulis.</w:t>
      </w:r>
    </w:p>
    <w:p w:rsidR="00667124" w:rsidRDefault="00017574" w:rsidP="00790E83">
      <w:pPr>
        <w:spacing w:before="120" w:after="120"/>
        <w:ind w:firstLine="720"/>
        <w:jc w:val="both"/>
        <w:rPr>
          <w:bCs/>
          <w:color w:val="000000"/>
        </w:rPr>
      </w:pPr>
      <w:r>
        <w:lastRenderedPageBreak/>
        <w:t>„</w:t>
      </w:r>
      <w:r w:rsidR="00667124">
        <w:rPr>
          <w:bCs/>
          <w:color w:val="000000"/>
        </w:rPr>
        <w:t>5. Nustatyti šias Komisijos užduotis:</w:t>
      </w:r>
    </w:p>
    <w:p w:rsidR="00667124" w:rsidRDefault="00667124" w:rsidP="00790E83">
      <w:pPr>
        <w:spacing w:before="120" w:after="120"/>
        <w:ind w:firstLine="720"/>
        <w:jc w:val="both"/>
      </w:pPr>
      <w:r>
        <w:t>5.1. teikti Vyriausybei ir jai pavaldžioms ir atskaitingoms valstybės institucijoms ir įstaigoms</w:t>
      </w:r>
      <w:r w:rsidR="00017574">
        <w:t xml:space="preserve"> </w:t>
      </w:r>
      <w:r w:rsidR="00017574" w:rsidRPr="00017574">
        <w:rPr>
          <w:b/>
        </w:rPr>
        <w:t>bei savivaldybių institucijoms ir įstaigoms</w:t>
      </w:r>
      <w:r w:rsidR="00790E83">
        <w:rPr>
          <w:b/>
        </w:rPr>
        <w:t xml:space="preserve"> </w:t>
      </w:r>
      <w:r>
        <w:t>pasiūlymus dėl formuojamos politikos moterų ir vyrų lygių galimybių srityje bei vykdyti šių pasiūlymų įgyvendinimo priežiūrą;</w:t>
      </w:r>
    </w:p>
    <w:p w:rsidR="00667124" w:rsidRDefault="00667124" w:rsidP="00790E83">
      <w:pPr>
        <w:spacing w:before="120" w:after="120"/>
        <w:ind w:firstLine="720"/>
        <w:jc w:val="both"/>
      </w:pPr>
      <w:r>
        <w:t>5.2. teikti Vyriausybei, kitoms valstybės institucijoms ir įstaigoms</w:t>
      </w:r>
      <w:r w:rsidR="00017574" w:rsidRPr="00017574">
        <w:rPr>
          <w:b/>
        </w:rPr>
        <w:t xml:space="preserve"> bei savivaldybių institucijoms ir įstaigoms</w:t>
      </w:r>
      <w:r>
        <w:t xml:space="preserve"> išvadas ir pasiūlymus dėl moterų ir vyrų lygių galimybių principo integravimo į visas viešosios politikos sritis;</w:t>
      </w:r>
      <w:r w:rsidR="009F60B0">
        <w:t xml:space="preserve">“ </w:t>
      </w:r>
    </w:p>
    <w:p w:rsidR="00667124" w:rsidRPr="00D77C47" w:rsidRDefault="009F60B0" w:rsidP="00790E83">
      <w:pPr>
        <w:spacing w:before="120" w:after="120"/>
        <w:ind w:firstLine="720"/>
        <w:jc w:val="both"/>
      </w:pPr>
      <w:r>
        <w:t xml:space="preserve">- siūlome </w:t>
      </w:r>
      <w:r w:rsidRPr="00BB1860">
        <w:rPr>
          <w:b/>
        </w:rPr>
        <w:t>suderinti</w:t>
      </w:r>
      <w:r>
        <w:t xml:space="preserve"> Vyriausybės nutarimo</w:t>
      </w:r>
      <w:r w:rsidR="005B4BC7">
        <w:t xml:space="preserve"> projekte nurodytas </w:t>
      </w:r>
      <w:r w:rsidR="005B4BC7" w:rsidRPr="00BB1860">
        <w:rPr>
          <w:b/>
        </w:rPr>
        <w:t>užduotis</w:t>
      </w:r>
      <w:r w:rsidR="005B4BC7">
        <w:t xml:space="preserve"> </w:t>
      </w:r>
      <w:r w:rsidR="005B4BC7" w:rsidRPr="005B4BC7">
        <w:t xml:space="preserve">(5.1-5.3 punktai) </w:t>
      </w:r>
      <w:r w:rsidR="005B4BC7" w:rsidRPr="00BB1860">
        <w:rPr>
          <w:b/>
        </w:rPr>
        <w:t xml:space="preserve">su </w:t>
      </w:r>
      <w:r w:rsidR="005B4BC7">
        <w:t>Komisijos</w:t>
      </w:r>
      <w:r w:rsidR="00790E83">
        <w:t xml:space="preserve"> </w:t>
      </w:r>
      <w:r w:rsidR="005B4BC7" w:rsidRPr="00BB1860">
        <w:rPr>
          <w:b/>
        </w:rPr>
        <w:t xml:space="preserve">funkcijomis </w:t>
      </w:r>
      <w:r w:rsidR="005B4BC7">
        <w:t>(6.1-</w:t>
      </w:r>
      <w:r w:rsidR="00973D16">
        <w:t>6.6</w:t>
      </w:r>
      <w:r w:rsidR="00790E83">
        <w:t xml:space="preserve"> </w:t>
      </w:r>
      <w:r w:rsidR="00973D16">
        <w:t xml:space="preserve">punktai). Pavyzdžiui, tarp Komisijos funkcijų </w:t>
      </w:r>
      <w:r w:rsidR="00D77C47">
        <w:t>visiškai</w:t>
      </w:r>
      <w:r w:rsidR="000B51B4">
        <w:t xml:space="preserve"> nenumatoma</w:t>
      </w:r>
      <w:r w:rsidR="00D77C47">
        <w:t xml:space="preserve"> </w:t>
      </w:r>
      <w:r w:rsidR="005A0C0F">
        <w:t>funkcijų, skirtų labai svarbiai 5.1</w:t>
      </w:r>
      <w:r w:rsidR="00790E83">
        <w:t xml:space="preserve"> </w:t>
      </w:r>
      <w:r w:rsidR="005A0C0F">
        <w:t xml:space="preserve">užduočiai </w:t>
      </w:r>
      <w:r w:rsidR="00873DCD">
        <w:t>įgyv</w:t>
      </w:r>
      <w:r w:rsidR="000B51B4">
        <w:t>en</w:t>
      </w:r>
      <w:r w:rsidR="00873DCD">
        <w:t>dinti</w:t>
      </w:r>
      <w:r w:rsidR="000701BD">
        <w:t>,</w:t>
      </w:r>
      <w:r w:rsidR="000B51B4">
        <w:t xml:space="preserve"> </w:t>
      </w:r>
      <w:r w:rsidR="000701BD">
        <w:t>ir tik</w:t>
      </w:r>
      <w:r w:rsidR="00790E83">
        <w:t xml:space="preserve"> </w:t>
      </w:r>
      <w:r w:rsidR="000701BD">
        <w:t>netiesiogiai ga</w:t>
      </w:r>
      <w:r w:rsidR="000B51B4">
        <w:t>l</w:t>
      </w:r>
      <w:r w:rsidR="000701BD">
        <w:t xml:space="preserve">ima preziumuoti </w:t>
      </w:r>
      <w:r w:rsidR="00D77C47">
        <w:t>kai kur</w:t>
      </w:r>
      <w:r w:rsidR="000B51B4">
        <w:t>i</w:t>
      </w:r>
      <w:r w:rsidR="00D77C47">
        <w:t>ų funkcijų sąsaj</w:t>
      </w:r>
      <w:r w:rsidR="000B51B4">
        <w:t>a</w:t>
      </w:r>
      <w:r w:rsidR="00D77C47">
        <w:t>s su</w:t>
      </w:r>
      <w:r w:rsidR="00790E83">
        <w:t xml:space="preserve"> </w:t>
      </w:r>
      <w:r w:rsidR="00D77C47">
        <w:t>5.2 punkte nurodyt</w:t>
      </w:r>
      <w:r w:rsidR="000B51B4">
        <w:t>o</w:t>
      </w:r>
      <w:r w:rsidR="00D77C47">
        <w:t>mis u</w:t>
      </w:r>
      <w:r w:rsidR="008A3BB3">
        <w:t>ž</w:t>
      </w:r>
      <w:r w:rsidR="00D77C47">
        <w:t>duotomis</w:t>
      </w:r>
      <w:r w:rsidR="008E56F6">
        <w:t>.</w:t>
      </w:r>
      <w:r w:rsidR="00B45AAB">
        <w:t xml:space="preserve"> Vi</w:t>
      </w:r>
      <w:r w:rsidR="00955FC6">
        <w:t>s</w:t>
      </w:r>
      <w:r w:rsidR="00B45AAB">
        <w:t>iškai neaišku, kurios Komisijos funkcijos galėtų būti priskirtos Vyriausybės nutarimo 5.3 punk</w:t>
      </w:r>
      <w:r w:rsidR="00FB7ECB">
        <w:t>t</w:t>
      </w:r>
      <w:r w:rsidR="00B45AAB">
        <w:t>e nurody</w:t>
      </w:r>
      <w:r w:rsidR="00FB7ECB">
        <w:t>tos užduoties</w:t>
      </w:r>
      <w:r w:rsidR="00B45AAB">
        <w:t xml:space="preserve"> „vykdyti informacijos apie moterų ir vyrų lygybę sklaidą“ </w:t>
      </w:r>
      <w:r w:rsidR="00FB7ECB">
        <w:t xml:space="preserve">įgyvendinimui. </w:t>
      </w:r>
      <w:r w:rsidR="008E56F6">
        <w:t>Ir priešingai</w:t>
      </w:r>
      <w:r w:rsidR="00790E83">
        <w:t xml:space="preserve"> </w:t>
      </w:r>
      <w:r w:rsidR="008E56F6">
        <w:t>-</w:t>
      </w:r>
      <w:r w:rsidR="00B62E50">
        <w:t xml:space="preserve"> 6.3-.6.5 punk</w:t>
      </w:r>
      <w:r w:rsidR="008E56F6">
        <w:t>t</w:t>
      </w:r>
      <w:r w:rsidR="00B62E50">
        <w:t>uose nurodytos funk</w:t>
      </w:r>
      <w:r w:rsidR="00BB1860">
        <w:t>c</w:t>
      </w:r>
      <w:r w:rsidR="00B62E50">
        <w:t xml:space="preserve">ijos </w:t>
      </w:r>
      <w:r w:rsidR="00BB1860">
        <w:t>tiesiogiai „nepadengtos“ jokia užduotimi. Be to,</w:t>
      </w:r>
      <w:r w:rsidR="008A3BB3" w:rsidRPr="008A3BB3">
        <w:t xml:space="preserve"> </w:t>
      </w:r>
      <w:r w:rsidR="008A3BB3">
        <w:t>Vyriausybės nutarimo projekte ir Komisijos</w:t>
      </w:r>
      <w:r w:rsidR="00790E83">
        <w:t xml:space="preserve"> </w:t>
      </w:r>
      <w:r w:rsidR="008A3BB3">
        <w:t>nuostatų</w:t>
      </w:r>
      <w:r w:rsidR="00790E83">
        <w:t xml:space="preserve"> </w:t>
      </w:r>
      <w:r w:rsidR="008A3BB3">
        <w:t>projekte nurody</w:t>
      </w:r>
      <w:r w:rsidR="000B51B4">
        <w:t>t</w:t>
      </w:r>
      <w:r w:rsidR="008A3BB3">
        <w:t>os</w:t>
      </w:r>
      <w:r w:rsidR="00790E83">
        <w:t xml:space="preserve"> </w:t>
      </w:r>
      <w:r w:rsidR="008A3BB3">
        <w:t xml:space="preserve">Komisijos </w:t>
      </w:r>
      <w:r w:rsidR="000B51B4">
        <w:t xml:space="preserve">funkcijos </w:t>
      </w:r>
      <w:r w:rsidR="008A3BB3">
        <w:t>skiria</w:t>
      </w:r>
      <w:r w:rsidR="000B51B4">
        <w:t>s</w:t>
      </w:r>
      <w:r w:rsidR="008A3BB3">
        <w:t>i</w:t>
      </w:r>
      <w:r w:rsidR="00790E83">
        <w:t xml:space="preserve"> </w:t>
      </w:r>
    </w:p>
    <w:p w:rsidR="00C16CB1" w:rsidRDefault="00C16CB1" w:rsidP="00790E83">
      <w:pPr>
        <w:spacing w:before="120" w:after="120"/>
        <w:ind w:firstLine="720"/>
        <w:jc w:val="both"/>
      </w:pPr>
      <w:r>
        <w:t xml:space="preserve">- </w:t>
      </w:r>
      <w:r w:rsidR="002D6533">
        <w:t>Vyriausybės nutarimo projekto 6.5 punktas numato Komisijos funkciją „</w:t>
      </w:r>
      <w:r>
        <w:t>svarstyti valstybės institucijų teikiamas kandidatūras į tarptautinių organizacijų institucijas ir priimti sprendimą joms pritarti arba nepritarti, išskyrus tas kandidatūras, kurių atranka numatyta Lietuvos Respublikos įstatymuose, Vyriausybės nutarimuose</w:t>
      </w:r>
      <w:r w:rsidR="002D6533">
        <w:t>“. Nepritariame,</w:t>
      </w:r>
      <w:r w:rsidR="00790E83">
        <w:t xml:space="preserve"> </w:t>
      </w:r>
      <w:r w:rsidR="002D6533">
        <w:t xml:space="preserve">kad Komisijos kompetencija yra svarstyti visas teikiamas kandidatūras, ir siūlome </w:t>
      </w:r>
      <w:r w:rsidR="002D6533" w:rsidRPr="00925543">
        <w:rPr>
          <w:b/>
        </w:rPr>
        <w:t>nurodyti tik tas kandidatūras kurios susiję su moterų ir vyrų lygybės sritim</w:t>
      </w:r>
      <w:r w:rsidR="002D6533" w:rsidRPr="003E375B">
        <w:rPr>
          <w:b/>
          <w:bCs/>
        </w:rPr>
        <w:t>i</w:t>
      </w:r>
      <w:r w:rsidR="002D6533">
        <w:t>.</w:t>
      </w:r>
      <w:r w:rsidR="00790E83">
        <w:t xml:space="preserve"> </w:t>
      </w:r>
    </w:p>
    <w:p w:rsidR="002E34F8" w:rsidRDefault="00CA196A" w:rsidP="00790E83">
      <w:pPr>
        <w:spacing w:before="120" w:after="120"/>
        <w:ind w:firstLine="720"/>
        <w:jc w:val="both"/>
      </w:pPr>
      <w:r>
        <w:t>-</w:t>
      </w:r>
      <w:r w:rsidR="00790E83">
        <w:t xml:space="preserve"> </w:t>
      </w:r>
      <w:r>
        <w:t xml:space="preserve">nebloginti NVO, dirbančių </w:t>
      </w:r>
      <w:r w:rsidR="00BD02B7">
        <w:t xml:space="preserve">moterų ir vyrų lygių galimybių užtikrinimo srityje padėties ir Komisijos sudėtyje palikti </w:t>
      </w:r>
      <w:r w:rsidR="00BD02B7" w:rsidRPr="00BD02B7">
        <w:t xml:space="preserve">4 </w:t>
      </w:r>
      <w:r w:rsidR="00BD02B7">
        <w:t>skėtinių NVO, dirbančių moterų ir vyrų lygių galimybių užtikrinimo srityje atstovus</w:t>
      </w:r>
      <w:r w:rsidR="002E34F8">
        <w:t>. Teisinio aiškumo vardan prašome patikslinti Vyriausybės nutarimo projekto 1 punktą, taip: „skėtinių nacionalinių nevyriausybinių organizacijų</w:t>
      </w:r>
      <w:r w:rsidR="002E34F8" w:rsidRPr="00AD2239">
        <w:t xml:space="preserve"> </w:t>
      </w:r>
      <w:r w:rsidR="002E34F8" w:rsidRPr="00AD2239">
        <w:rPr>
          <w:b/>
        </w:rPr>
        <w:t>dirbančių moterų ir vyrų lygių galimybių srityje</w:t>
      </w:r>
      <w:r w:rsidR="002E34F8">
        <w:t xml:space="preserve"> atstovai (ne daugiau kaip </w:t>
      </w:r>
      <w:r w:rsidR="002E34F8" w:rsidRPr="002E34F8">
        <w:rPr>
          <w:b/>
        </w:rPr>
        <w:t>4</w:t>
      </w:r>
      <w:r w:rsidR="002E34F8">
        <w:t xml:space="preserve"> </w:t>
      </w:r>
      <w:r w:rsidR="002E34F8" w:rsidRPr="002E34F8">
        <w:rPr>
          <w:strike/>
        </w:rPr>
        <w:t>3</w:t>
      </w:r>
      <w:r w:rsidR="002E34F8">
        <w:t>)“.</w:t>
      </w:r>
      <w:r w:rsidR="00790E83">
        <w:t xml:space="preserve"> </w:t>
      </w:r>
      <w:r w:rsidR="002E34F8">
        <w:t>Įvairių</w:t>
      </w:r>
      <w:r w:rsidR="00790E83">
        <w:t xml:space="preserve"> </w:t>
      </w:r>
      <w:r w:rsidR="002E34F8">
        <w:t>sričių skėtinių</w:t>
      </w:r>
      <w:r w:rsidR="00790E83">
        <w:t xml:space="preserve"> </w:t>
      </w:r>
      <w:r w:rsidR="002E34F8">
        <w:t>NVO Lietuvoje veikia daug, todėl nepatikslinus šio punkto deleguoti atstovus galėtų bet</w:t>
      </w:r>
      <w:r w:rsidR="00790E83">
        <w:t xml:space="preserve"> </w:t>
      </w:r>
      <w:r w:rsidR="002E34F8">
        <w:t>kuri skėtinė</w:t>
      </w:r>
      <w:r w:rsidR="00790E83">
        <w:t xml:space="preserve"> </w:t>
      </w:r>
      <w:r w:rsidR="002E34F8">
        <w:t>NVO,</w:t>
      </w:r>
      <w:r w:rsidR="00790E83">
        <w:t xml:space="preserve"> </w:t>
      </w:r>
      <w:r w:rsidR="002E34F8">
        <w:t>nebūtinai dirbanti moterų ir vyrų lygybės srityje, o skėtinė</w:t>
      </w:r>
      <w:r w:rsidR="008D74AC">
        <w:t>m</w:t>
      </w:r>
      <w:r w:rsidR="002E34F8">
        <w:t>s lyčių lygybės organizacijoms kiltų rizika nepatekti į Komisijos sudėtį</w:t>
      </w:r>
      <w:r w:rsidR="008D74AC">
        <w:t xml:space="preserve">. </w:t>
      </w:r>
    </w:p>
    <w:p w:rsidR="00A43A76" w:rsidRPr="00BD02B7" w:rsidRDefault="008D74AC" w:rsidP="00790E83">
      <w:pPr>
        <w:spacing w:before="120" w:after="120"/>
        <w:ind w:firstLine="720"/>
        <w:jc w:val="both"/>
      </w:pPr>
      <w:r>
        <w:t>- nustatyti NVO dele</w:t>
      </w:r>
      <w:r w:rsidR="00422C4D">
        <w:t>gavimo į Ko</w:t>
      </w:r>
      <w:r>
        <w:t>misiją tvarką. Šiuo metu Komis</w:t>
      </w:r>
      <w:r w:rsidR="00422C4D">
        <w:t>i</w:t>
      </w:r>
      <w:r>
        <w:t>jos nuostatų projekte numatyta tik ministerijų atstovų delegavimo tvarka ir vis</w:t>
      </w:r>
      <w:r w:rsidR="00422C4D">
        <w:t>ai nenumatyta,</w:t>
      </w:r>
      <w:r w:rsidR="00790E83">
        <w:t xml:space="preserve"> </w:t>
      </w:r>
      <w:r w:rsidR="00422C4D">
        <w:t xml:space="preserve">kas ir kaip kvies skėtines moterų NVO deleguoti atstovus į Komisiją. </w:t>
      </w:r>
    </w:p>
    <w:p w:rsidR="00A43A76" w:rsidRDefault="00422C4D" w:rsidP="00790E83">
      <w:pPr>
        <w:spacing w:before="120" w:after="120"/>
        <w:ind w:firstLine="720"/>
        <w:jc w:val="both"/>
      </w:pPr>
      <w:r>
        <w:t>- įtraukti Komisijos sudėtį moterų profesinių sąjungų atstovus.</w:t>
      </w:r>
      <w:r w:rsidR="00790E83">
        <w:t xml:space="preserve"> </w:t>
      </w:r>
      <w:r w:rsidR="004712A4">
        <w:t>Socialinių partnerių vaidmuo sprendžiant</w:t>
      </w:r>
      <w:r w:rsidR="00790E83">
        <w:t xml:space="preserve"> </w:t>
      </w:r>
      <w:r w:rsidR="004712A4">
        <w:t>moterų ir vyrų lygybės problemas, ypač ekonominius aspektus,</w:t>
      </w:r>
      <w:r w:rsidR="00790E83">
        <w:t xml:space="preserve"> </w:t>
      </w:r>
      <w:r w:rsidR="004712A4">
        <w:t>yra pripažin</w:t>
      </w:r>
      <w:r w:rsidR="006A0CAC">
        <w:t>t</w:t>
      </w:r>
      <w:r w:rsidR="004712A4">
        <w:t>as ES mastu ir neįkainojamas.</w:t>
      </w:r>
      <w:r w:rsidR="00790E83">
        <w:t xml:space="preserve"> </w:t>
      </w:r>
    </w:p>
    <w:p w:rsidR="00A43A76" w:rsidRDefault="006A0CAC" w:rsidP="00790E83">
      <w:pPr>
        <w:spacing w:before="120" w:after="120"/>
        <w:ind w:firstLine="720"/>
        <w:jc w:val="both"/>
      </w:pPr>
      <w:r>
        <w:t>- grąžinti į Komisijos sudėtį nepelnytai siūlomą</w:t>
      </w:r>
      <w:r w:rsidR="00B0160B">
        <w:t xml:space="preserve"> </w:t>
      </w:r>
      <w:r>
        <w:t>išbraukt</w:t>
      </w:r>
      <w:r w:rsidR="00B0160B">
        <w:t xml:space="preserve">i </w:t>
      </w:r>
      <w:r>
        <w:t>bet labai svarbų</w:t>
      </w:r>
      <w:r w:rsidR="00790E83">
        <w:t xml:space="preserve"> </w:t>
      </w:r>
      <w:r>
        <w:t>S</w:t>
      </w:r>
      <w:r w:rsidR="00925543">
        <w:t>t</w:t>
      </w:r>
      <w:r>
        <w:t>atistikos departamento atstovą</w:t>
      </w:r>
      <w:r w:rsidR="00B0160B">
        <w:t>,</w:t>
      </w:r>
      <w:r w:rsidR="00790E83">
        <w:t xml:space="preserve"> </w:t>
      </w:r>
      <w:r w:rsidR="00ED573B">
        <w:t>o taip pat grąžinti į</w:t>
      </w:r>
      <w:r w:rsidR="00790E83">
        <w:t xml:space="preserve"> </w:t>
      </w:r>
      <w:r w:rsidR="00ED573B">
        <w:t>Komisijos sudėtį</w:t>
      </w:r>
      <w:r w:rsidR="00B0160B">
        <w:t xml:space="preserve"> </w:t>
      </w:r>
      <w:r w:rsidR="00925543">
        <w:t>itin reikšmingų moterų ir vyrų lygybei sričių</w:t>
      </w:r>
      <w:r w:rsidR="00790E83">
        <w:t xml:space="preserve"> </w:t>
      </w:r>
      <w:r w:rsidR="00ED573B">
        <w:t>Teisingumo, Žemės ūkio, Kultūros,</w:t>
      </w:r>
      <w:r w:rsidR="00790E83">
        <w:t xml:space="preserve"> </w:t>
      </w:r>
      <w:r w:rsidR="00ED573B">
        <w:t>Aplinkos, Krašto apsaugos, Užsienio reikalų</w:t>
      </w:r>
      <w:r w:rsidR="00790E83">
        <w:t xml:space="preserve"> </w:t>
      </w:r>
      <w:r w:rsidR="00ED573B">
        <w:t>ministerijų atstovus</w:t>
      </w:r>
      <w:r w:rsidR="00925543">
        <w:t xml:space="preserve">. </w:t>
      </w:r>
    </w:p>
    <w:p w:rsidR="006C24A2" w:rsidRDefault="008F4647" w:rsidP="00790E83">
      <w:pPr>
        <w:spacing w:before="120" w:after="120"/>
        <w:ind w:firstLine="720"/>
        <w:jc w:val="both"/>
      </w:pPr>
      <w:r>
        <w:t xml:space="preserve">Atkreipiame dėmesį, kad Vyriausybės nuarimo </w:t>
      </w:r>
      <w:r w:rsidR="00E84AEE" w:rsidRPr="00E84AEE">
        <w:t>5 ir 6</w:t>
      </w:r>
      <w:r w:rsidR="00E84AEE">
        <w:t xml:space="preserve"> </w:t>
      </w:r>
      <w:r w:rsidR="00E84AEE" w:rsidRPr="00E84AEE">
        <w:t>punktuose</w:t>
      </w:r>
      <w:r w:rsidR="00E84AEE">
        <w:t xml:space="preserve"> išdėstytos Komisijos užduotys ir funkcijos bei Komisijos nuostatų projekto 4 punkte</w:t>
      </w:r>
      <w:r w:rsidR="00790E83">
        <w:t xml:space="preserve"> </w:t>
      </w:r>
      <w:r w:rsidR="00E84AEE">
        <w:t>išdėstytos funkcijos</w:t>
      </w:r>
      <w:r w:rsidR="00790E83">
        <w:t xml:space="preserve"> </w:t>
      </w:r>
      <w:r w:rsidR="006C24A2">
        <w:t>itin</w:t>
      </w:r>
      <w:r w:rsidR="00790E83">
        <w:t xml:space="preserve"> </w:t>
      </w:r>
      <w:r w:rsidR="006C24A2">
        <w:t xml:space="preserve">ribotai atliepia Moterų ir vyrų lygių galimybių įstatymo </w:t>
      </w:r>
      <w:r w:rsidR="006C24A2" w:rsidRPr="004D1110">
        <w:t>4</w:t>
      </w:r>
      <w:r w:rsidR="00790E83">
        <w:t xml:space="preserve"> </w:t>
      </w:r>
      <w:r w:rsidR="006C24A2">
        <w:t>straipsnyje nustatytas valstybės</w:t>
      </w:r>
      <w:r w:rsidR="00E83CC6">
        <w:t xml:space="preserve"> ir savivaldybių</w:t>
      </w:r>
      <w:r w:rsidR="00790E83">
        <w:t xml:space="preserve"> </w:t>
      </w:r>
      <w:r w:rsidR="006C24A2">
        <w:t xml:space="preserve">institucijų ir įstaigų pareigas įgyvendinti </w:t>
      </w:r>
      <w:r w:rsidR="006C24A2" w:rsidRPr="004D1110">
        <w:rPr>
          <w:bCs/>
          <w:color w:val="000000"/>
        </w:rPr>
        <w:t>moterų ir vyrų lygias teises</w:t>
      </w:r>
      <w:r w:rsidR="000F3E2B">
        <w:rPr>
          <w:bCs/>
          <w:color w:val="000000"/>
        </w:rPr>
        <w:t>, k</w:t>
      </w:r>
      <w:r w:rsidR="006C24A2">
        <w:t>onkrečiai</w:t>
      </w:r>
      <w:r w:rsidR="000F3E2B">
        <w:t xml:space="preserve"> dalis funkcijų</w:t>
      </w:r>
      <w:r w:rsidR="00790E83">
        <w:t xml:space="preserve"> </w:t>
      </w:r>
      <w:r w:rsidR="000F3E2B">
        <w:t xml:space="preserve">susiję </w:t>
      </w:r>
      <w:r w:rsidR="006C24A2">
        <w:t>tik- šio straipsnio 1 dalies 2) punktu. Toks siūlomas komisijos funkcijų ribotumas sunkiai siejasi</w:t>
      </w:r>
      <w:r w:rsidR="00AB6864">
        <w:t xml:space="preserve"> su faktu, kad </w:t>
      </w:r>
      <w:r w:rsidR="006C24A2">
        <w:t xml:space="preserve">Komisija </w:t>
      </w:r>
      <w:r w:rsidR="00AB6864">
        <w:t>buvo įsteigta</w:t>
      </w:r>
      <w:r w:rsidR="00790E83">
        <w:t xml:space="preserve"> </w:t>
      </w:r>
      <w:r w:rsidR="006C24A2">
        <w:t xml:space="preserve">vadovaujantis būtent Moterų ir </w:t>
      </w:r>
      <w:r w:rsidR="006C24A2">
        <w:lastRenderedPageBreak/>
        <w:t>vyrų lygių galimybių įstatymo 4 straipsniu</w:t>
      </w:r>
      <w:r w:rsidR="00AB6864">
        <w:t xml:space="preserve">. </w:t>
      </w:r>
      <w:r w:rsidR="00955FC6">
        <w:t>Siūlome</w:t>
      </w:r>
      <w:r w:rsidR="00AB6864">
        <w:t xml:space="preserve"> Komisijos funkcij</w:t>
      </w:r>
      <w:r w:rsidR="005049E1">
        <w:t>as papildyti tokiu būdu, kad jos</w:t>
      </w:r>
      <w:r w:rsidR="00790E83">
        <w:t xml:space="preserve"> </w:t>
      </w:r>
      <w:r w:rsidR="00AB6864">
        <w:t xml:space="preserve">apimtų visas </w:t>
      </w:r>
      <w:r w:rsidR="005049E1">
        <w:t xml:space="preserve">MVLG įstatymo straipsnyje nurodytas valstybės ir savivaldybių institucijų pareigas. </w:t>
      </w:r>
      <w:r w:rsidR="00181FCE">
        <w:t xml:space="preserve">Kitaip </w:t>
      </w:r>
      <w:r w:rsidR="006C24A2">
        <w:t xml:space="preserve">Komisija negalės </w:t>
      </w:r>
      <w:r w:rsidR="006C24A2" w:rsidRPr="00C139B7">
        <w:t xml:space="preserve">teikti Vyriausybei bei kitoms valstybės </w:t>
      </w:r>
      <w:r w:rsidR="00181FCE">
        <w:t xml:space="preserve">ir savivaldybių </w:t>
      </w:r>
      <w:r w:rsidR="006C24A2" w:rsidRPr="00C139B7">
        <w:t>in</w:t>
      </w:r>
      <w:r w:rsidR="006C24A2">
        <w:t>stitucijoms ir įstaigoms išvadų ir</w:t>
      </w:r>
      <w:r w:rsidR="00790E83">
        <w:t xml:space="preserve"> </w:t>
      </w:r>
      <w:r w:rsidR="006C24A2">
        <w:t>pasiūlymų šiais klausimais</w:t>
      </w:r>
      <w:r w:rsidR="00ED1458">
        <w:t xml:space="preserve">, </w:t>
      </w:r>
      <w:r w:rsidR="006C24A2">
        <w:t xml:space="preserve">valstybės </w:t>
      </w:r>
      <w:r w:rsidR="00ED1458">
        <w:t xml:space="preserve">ir savivaldybių </w:t>
      </w:r>
      <w:r w:rsidR="006C24A2">
        <w:t>institucijų ir įstaigų pareigos numatytos Moterų ir vyrų lygių galimybių įstatymo 4 straipsnio</w:t>
      </w:r>
      <w:r w:rsidR="00790E83">
        <w:t xml:space="preserve"> </w:t>
      </w:r>
      <w:r w:rsidR="006C24A2">
        <w:t>1 dalies</w:t>
      </w:r>
      <w:r w:rsidR="00790E83">
        <w:t xml:space="preserve"> </w:t>
      </w:r>
      <w:r w:rsidR="006C24A2">
        <w:t>1), 3), 4) punktuose ir antrojoje dalyje bus įgyvendinami nekoordinuotai, fragmentiškai ir nesusilauks Komisijos dėmesio.</w:t>
      </w:r>
      <w:r w:rsidR="00FB0784" w:rsidRPr="00FB0784">
        <w:t xml:space="preserve"> </w:t>
      </w:r>
    </w:p>
    <w:p w:rsidR="006C24A2" w:rsidRDefault="006C24A2" w:rsidP="00790E83">
      <w:pPr>
        <w:spacing w:before="120" w:after="120"/>
        <w:ind w:firstLine="1296"/>
        <w:jc w:val="both"/>
      </w:pPr>
      <w:r>
        <w:t xml:space="preserve">Komisijos nuostatų </w:t>
      </w:r>
      <w:r w:rsidR="00A23EE4">
        <w:t>projekto</w:t>
      </w:r>
      <w:r w:rsidR="00790E83">
        <w:t xml:space="preserve"> </w:t>
      </w:r>
      <w:r>
        <w:t xml:space="preserve">3 punkte nurodoma, kad </w:t>
      </w:r>
      <w:r w:rsidRPr="00C139B7">
        <w:t>Komisijos nariams už darbą Komisijoje nemokama.</w:t>
      </w:r>
      <w:r>
        <w:t xml:space="preserve"> Suprasdami šią nuostatą, norėtume atkreipti dėmesį į</w:t>
      </w:r>
      <w:r w:rsidR="00790E83">
        <w:t xml:space="preserve"> </w:t>
      </w:r>
      <w:r>
        <w:t xml:space="preserve">iki šiol neišspręstą klausimą dėl Komisijos narių, deleguotų iš </w:t>
      </w:r>
      <w:r w:rsidR="00D91580">
        <w:t xml:space="preserve">skėtinių </w:t>
      </w:r>
      <w:r>
        <w:t xml:space="preserve">nevyriausybinių organizacijų, </w:t>
      </w:r>
      <w:r w:rsidR="00D91580">
        <w:t xml:space="preserve">kurių būstinė ne Vilniuje, </w:t>
      </w:r>
      <w:r>
        <w:t>kelionių į Komisijos posėdžius išlaidų kompensavimo. PVZ., Dauguma Lietuvos moterų lobistinės organizacijos narių yra ne iš Vilniaus. Taigi vykdamos į posėdžius turi mokėti už keliones. Tokios išlaidos, kaip kelionės į Moterų ir vyrų lygių galimybių komisijos posėdžius, ir/ar,</w:t>
      </w:r>
      <w:r w:rsidR="00790E83">
        <w:t xml:space="preserve"> </w:t>
      </w:r>
      <w:r>
        <w:t xml:space="preserve">prireikus, darbo grupes </w:t>
      </w:r>
      <w:r w:rsidR="00955FC6">
        <w:t>negali</w:t>
      </w:r>
      <w:r>
        <w:t xml:space="preserve"> būti numatytos nevyriausybinių organizacijų vykdomuose tiksliniuose projektu</w:t>
      </w:r>
      <w:r w:rsidR="00744890">
        <w:t>o</w:t>
      </w:r>
      <w:r>
        <w:t xml:space="preserve">se. Todėl LMLO atstovės šias išlaidas dažniausiai apmoka iš asmeninių lėšų. Tai skėtines nevyriausybines organizacijas atstovaujančius Komisijos narius stato į nelygiavertę, netgi diskriminuojančią padėtį lyginant su valstybės institucijas </w:t>
      </w:r>
      <w:r w:rsidR="00744890">
        <w:t xml:space="preserve">ar biudžetines įstaigas </w:t>
      </w:r>
      <w:r>
        <w:t xml:space="preserve">atstovaujančiais Komisijos nariais. </w:t>
      </w:r>
    </w:p>
    <w:p w:rsidR="006C24A2" w:rsidRDefault="006C24A2" w:rsidP="00790E83">
      <w:pPr>
        <w:spacing w:before="120" w:after="120"/>
        <w:ind w:firstLine="1296"/>
        <w:jc w:val="both"/>
      </w:pPr>
      <w:r>
        <w:t>Atkreipiame Jūsų dėmesį, kad, pvz., Europos Lyčių lygybės institutas kompensuoja NVO atstovų</w:t>
      </w:r>
      <w:r w:rsidR="00790E83">
        <w:t xml:space="preserve"> </w:t>
      </w:r>
      <w:r>
        <w:t>dalyvavimą pvz.</w:t>
      </w:r>
      <w:r w:rsidR="00790E83">
        <w:t xml:space="preserve"> </w:t>
      </w:r>
      <w:r>
        <w:t>Ekspertų Forumo posėdžiuose</w:t>
      </w:r>
      <w:r w:rsidR="00744890">
        <w:t xml:space="preserve"> ar darbo grupėse</w:t>
      </w:r>
      <w:r>
        <w:t xml:space="preserve">. </w:t>
      </w:r>
    </w:p>
    <w:p w:rsidR="00027A31" w:rsidRDefault="006C24A2" w:rsidP="00790E83">
      <w:pPr>
        <w:spacing w:before="120" w:after="120"/>
        <w:ind w:firstLine="1296"/>
        <w:jc w:val="both"/>
      </w:pPr>
      <w:r>
        <w:t xml:space="preserve">Siekdami užtikrinti lygiavertę Komisijos narių padėtį </w:t>
      </w:r>
      <w:r w:rsidRPr="00FF5334">
        <w:rPr>
          <w:b/>
        </w:rPr>
        <w:t xml:space="preserve">siūlome </w:t>
      </w:r>
      <w:r>
        <w:t>papildyti Komisijos nuostatų 3 punktą, įrašant: „Skėtines nevyriausybines organizacijas, dirbančias moterų ir vyrų lygių galimybių srityje, atstovaujančių Komisijos narių</w:t>
      </w:r>
      <w:r w:rsidR="00790E83">
        <w:t xml:space="preserve"> </w:t>
      </w:r>
      <w:r>
        <w:t>kelionės į/iš Komisijos posėdžiuos</w:t>
      </w:r>
      <w:r w:rsidR="00790E83">
        <w:t>e</w:t>
      </w:r>
      <w:r w:rsidR="00744890">
        <w:t>, Darbo grupes</w:t>
      </w:r>
      <w:r w:rsidR="00790E83">
        <w:t xml:space="preserve"> </w:t>
      </w:r>
      <w:r>
        <w:t xml:space="preserve">ir kitus privalomus komisijos renginius išlaidas kompensuoja Komisiją techniškai aptarnaujanti Socialinės apsaugos ir darbo ministerija. </w:t>
      </w:r>
      <w:r w:rsidR="00422DA9">
        <w:t xml:space="preserve">Be to, </w:t>
      </w:r>
      <w:r w:rsidR="00422DA9" w:rsidRPr="00422DA9">
        <w:t xml:space="preserve">siūlome </w:t>
      </w:r>
      <w:r w:rsidR="00422DA9">
        <w:t>apsvarstyti galimybę nevyriausybinių organizacijų atstovams kompensuoti Komisijos tikslams panaudotą</w:t>
      </w:r>
      <w:r w:rsidR="00790E83">
        <w:t xml:space="preserve"> </w:t>
      </w:r>
      <w:r w:rsidR="00422DA9">
        <w:t>darbo</w:t>
      </w:r>
      <w:r w:rsidR="00790E83">
        <w:t xml:space="preserve"> </w:t>
      </w:r>
      <w:r w:rsidR="00422DA9">
        <w:t>laiką, tai numatant Komisijos nuostatuose.</w:t>
      </w:r>
      <w:r w:rsidR="00027A31">
        <w:t xml:space="preserve"> </w:t>
      </w:r>
    </w:p>
    <w:p w:rsidR="00A84C0B" w:rsidRDefault="00027A31" w:rsidP="00790E83">
      <w:pPr>
        <w:spacing w:before="120" w:after="120"/>
        <w:ind w:firstLine="680"/>
        <w:jc w:val="both"/>
      </w:pPr>
      <w:r>
        <w:t>S</w:t>
      </w:r>
      <w:r w:rsidR="006C24A2" w:rsidRPr="00E56667">
        <w:t xml:space="preserve">iekdami Komisijos darbo efektyvumo </w:t>
      </w:r>
      <w:r w:rsidR="006C24A2" w:rsidRPr="00D43E25">
        <w:rPr>
          <w:b/>
        </w:rPr>
        <w:t xml:space="preserve">siūlome </w:t>
      </w:r>
      <w:r w:rsidR="006C24A2" w:rsidRPr="00E56667">
        <w:t>p</w:t>
      </w:r>
      <w:r w:rsidR="006C24A2">
        <w:t>a</w:t>
      </w:r>
      <w:r w:rsidR="006C24A2" w:rsidRPr="00E56667">
        <w:t>pildy</w:t>
      </w:r>
      <w:r w:rsidR="006C24A2">
        <w:t xml:space="preserve">ti Komisijos nuostatų projekto </w:t>
      </w:r>
      <w:r w:rsidR="001B79B1" w:rsidRPr="00EB1865">
        <w:t>2</w:t>
      </w:r>
      <w:r w:rsidR="001B79B1">
        <w:t>3</w:t>
      </w:r>
      <w:r w:rsidR="001B79B1" w:rsidRPr="00EB1865">
        <w:t>.1.</w:t>
      </w:r>
      <w:r w:rsidR="001B79B1" w:rsidRPr="001B79B1">
        <w:t xml:space="preserve"> </w:t>
      </w:r>
      <w:r w:rsidR="001B79B1">
        <w:t>punktą</w:t>
      </w:r>
      <w:r w:rsidR="001B79B1" w:rsidRPr="00EB1865">
        <w:t xml:space="preserve"> </w:t>
      </w:r>
      <w:r w:rsidR="001B79B1">
        <w:t>„</w:t>
      </w:r>
      <w:r w:rsidR="001B79B1" w:rsidRPr="00EB1865">
        <w:t>rengia posėdžio medžiagą ir pateikia ją Komisijos nariams</w:t>
      </w:r>
      <w:r w:rsidR="001B79B1">
        <w:t>“</w:t>
      </w:r>
      <w:r w:rsidR="001B79B1" w:rsidRPr="00EB1865">
        <w:t>;</w:t>
      </w:r>
      <w:r w:rsidR="00A84C0B" w:rsidRPr="00A84C0B">
        <w:t xml:space="preserve"> </w:t>
      </w:r>
      <w:r w:rsidR="00A84C0B">
        <w:t>konkrečiu terminu, prieš kiek laiko iki posėdžio Komisijos nariai turi gauti posėdžio medžiagą.</w:t>
      </w:r>
      <w:r w:rsidR="00790E83">
        <w:t xml:space="preserve"> </w:t>
      </w:r>
      <w:r w:rsidR="00A84C0B">
        <w:t>Šis terminas turėtų būti ne trumpesnis kaip 5 darbo dienos, kad Komisijos narys spėtų pasiruošti posėdžiui.</w:t>
      </w:r>
    </w:p>
    <w:p w:rsidR="006C24A2" w:rsidRPr="00EA2C13" w:rsidRDefault="00A84C0B" w:rsidP="00790E83">
      <w:pPr>
        <w:spacing w:before="120" w:after="120"/>
        <w:ind w:firstLine="680"/>
        <w:jc w:val="both"/>
      </w:pPr>
      <w:r w:rsidRPr="00A84C0B">
        <w:rPr>
          <w:b/>
        </w:rPr>
        <w:t>Nepritariame</w:t>
      </w:r>
      <w:r w:rsidR="00790E83">
        <w:rPr>
          <w:b/>
        </w:rPr>
        <w:t xml:space="preserve"> </w:t>
      </w:r>
      <w:r w:rsidR="006C24A2">
        <w:t xml:space="preserve">kad </w:t>
      </w:r>
      <w:r>
        <w:t>Komisijos</w:t>
      </w:r>
      <w:r w:rsidR="00790E83">
        <w:t xml:space="preserve"> </w:t>
      </w:r>
      <w:r>
        <w:t xml:space="preserve">nuostatų projekto </w:t>
      </w:r>
      <w:r w:rsidR="0047686B">
        <w:t>Komisijos nuostatų projekto 2</w:t>
      </w:r>
      <w:r w:rsidR="0047686B" w:rsidRPr="0047686B">
        <w:t>3</w:t>
      </w:r>
      <w:r w:rsidR="0047686B">
        <w:t>.2 punkto nuostatai, kad ap</w:t>
      </w:r>
      <w:r w:rsidR="00790E83">
        <w:t xml:space="preserve">ie juos </w:t>
      </w:r>
      <w:r w:rsidR="0047686B">
        <w:t>prane</w:t>
      </w:r>
      <w:r w:rsidR="00B95B0C">
        <w:t>š</w:t>
      </w:r>
      <w:r w:rsidR="0047686B">
        <w:t xml:space="preserve">ama likus tik </w:t>
      </w:r>
      <w:r w:rsidR="006C24A2" w:rsidRPr="00C139B7">
        <w:t>3 d</w:t>
      </w:r>
      <w:r w:rsidR="0047686B">
        <w:t>arbo</w:t>
      </w:r>
      <w:r w:rsidR="002529E0">
        <w:t xml:space="preserve"> </w:t>
      </w:r>
      <w:r w:rsidR="0047686B">
        <w:t>dienoms</w:t>
      </w:r>
      <w:r w:rsidR="006C24A2" w:rsidRPr="00C139B7">
        <w:t xml:space="preserve"> iki Komisijos posėdžio</w:t>
      </w:r>
      <w:r w:rsidR="002529E0">
        <w:t>. „</w:t>
      </w:r>
      <w:r w:rsidR="0047686B" w:rsidRPr="00EB1865">
        <w:t>2</w:t>
      </w:r>
      <w:r w:rsidR="0047686B">
        <w:t>3</w:t>
      </w:r>
      <w:r w:rsidR="0047686B" w:rsidRPr="00EB1865">
        <w:t xml:space="preserve">.2. ne vėliau kaip likus 3 darbo dienoms </w:t>
      </w:r>
      <w:r w:rsidR="0047686B" w:rsidRPr="00DD2E60">
        <w:t>iki Komisijos posėdžio</w:t>
      </w:r>
      <w:r w:rsidR="0047686B" w:rsidRPr="00EB1865">
        <w:t xml:space="preserve"> raštu informuoja Komisijos narius bei kitus kviečiamus posėdžio dalyvius</w:t>
      </w:r>
      <w:r w:rsidR="0047686B" w:rsidRPr="00EB1865">
        <w:rPr>
          <w:b/>
        </w:rPr>
        <w:t xml:space="preserve"> </w:t>
      </w:r>
      <w:r w:rsidR="0047686B" w:rsidRPr="00EB1865">
        <w:t>apie posėdžio datą, laiką, vietą ir darbotvarkę</w:t>
      </w:r>
      <w:r w:rsidR="002529E0">
        <w:t>“.</w:t>
      </w:r>
      <w:r w:rsidR="00B95B0C">
        <w:t xml:space="preserve"> </w:t>
      </w:r>
      <w:r w:rsidR="000A75B1">
        <w:t>N</w:t>
      </w:r>
      <w:r w:rsidR="00EA4899">
        <w:t>ėra aišku, kodėl siūlomas</w:t>
      </w:r>
      <w:r w:rsidR="00790E83">
        <w:t xml:space="preserve"> </w:t>
      </w:r>
      <w:r w:rsidR="00EA4899">
        <w:t>toks</w:t>
      </w:r>
      <w:r w:rsidR="00790E83">
        <w:t xml:space="preserve"> </w:t>
      </w:r>
      <w:r w:rsidR="00EA4899">
        <w:t>trumpas</w:t>
      </w:r>
      <w:r w:rsidR="00790E83">
        <w:t xml:space="preserve"> </w:t>
      </w:r>
      <w:r w:rsidR="00EA4899">
        <w:t>terminas, kai posėdžiai vyks tik</w:t>
      </w:r>
      <w:r w:rsidR="00955FC6">
        <w:t xml:space="preserve"> t</w:t>
      </w:r>
      <w:r w:rsidR="00EA4899">
        <w:t>ris kartus per metus</w:t>
      </w:r>
      <w:r w:rsidR="00790E83">
        <w:t xml:space="preserve"> </w:t>
      </w:r>
      <w:r w:rsidR="00EA4899">
        <w:t>ir tai duoda pakankamai laiko kokybiškai suplanuoti ir</w:t>
      </w:r>
      <w:r w:rsidR="00790E83">
        <w:t xml:space="preserve"> </w:t>
      </w:r>
      <w:r w:rsidR="00EA4899">
        <w:t>parengti posėdžius</w:t>
      </w:r>
      <w:r w:rsidR="003C6EE6">
        <w:t>, numatyti</w:t>
      </w:r>
      <w:r w:rsidR="00790E83">
        <w:t xml:space="preserve"> </w:t>
      </w:r>
      <w:r w:rsidR="003C6EE6">
        <w:t>jų datas</w:t>
      </w:r>
      <w:r w:rsidR="00790E83">
        <w:t xml:space="preserve"> </w:t>
      </w:r>
      <w:r w:rsidR="00EA4899">
        <w:t>iš anksto.</w:t>
      </w:r>
      <w:r w:rsidR="00790E83">
        <w:t xml:space="preserve"> </w:t>
      </w:r>
      <w:r w:rsidR="006C24A2">
        <w:t>Galbūt toks terminas yra tinkamas valstybės institucijų atstovams, tačiau nevyriausybinės organizacijos, dirbdamos su projektais, labai preciziškai ir iš anksto turi susiplanuoti darbo laiką valandoms ir neretai sunkiai gali pakeisti Darbo grafike numatytas veiklas. Tai preziumuoja, kad dėl tokio trumpo numatyto informavimo termino nevyriausybinėms organizacijos gali būti apsun</w:t>
      </w:r>
      <w:r w:rsidR="002529E0">
        <w:t>kintos, sudarytos nelygiavertės</w:t>
      </w:r>
      <w:r w:rsidR="00790E83">
        <w:t xml:space="preserve"> </w:t>
      </w:r>
      <w:r w:rsidR="006C24A2">
        <w:t xml:space="preserve">sąlygos dalyvauti Komisijos posėdžiuose. Todėl </w:t>
      </w:r>
      <w:r w:rsidR="006C24A2" w:rsidRPr="00EA2C13">
        <w:rPr>
          <w:b/>
        </w:rPr>
        <w:t>siūlome</w:t>
      </w:r>
      <w:r w:rsidR="006C24A2">
        <w:t xml:space="preserve"> Komisijos nuostatuose nurodyti, kad kvietimus į Komisijos posėdį nevyriausybinės organizacijos turi gauti ne vėliau kaip prieš 5 darb</w:t>
      </w:r>
      <w:r w:rsidR="000A75B1">
        <w:t>o dienas iki Komisijos posėdžio</w:t>
      </w:r>
      <w:r w:rsidR="003C6EE6">
        <w:t xml:space="preserve">, idealiu atveju, kartu turi būti </w:t>
      </w:r>
      <w:r w:rsidR="00955FC6">
        <w:t>atsiųsta</w:t>
      </w:r>
      <w:r w:rsidR="00790E83">
        <w:t xml:space="preserve"> </w:t>
      </w:r>
      <w:r w:rsidR="003C6EE6">
        <w:t>ir posėdžio medžiaga.</w:t>
      </w:r>
      <w:r w:rsidR="00790E83">
        <w:t xml:space="preserve"> </w:t>
      </w:r>
    </w:p>
    <w:sectPr w:rsidR="006C24A2" w:rsidRPr="00EA2C13" w:rsidSect="00790E83">
      <w:headerReference w:type="even" r:id="rId7"/>
      <w:headerReference w:type="default" r:id="rId8"/>
      <w:footerReference w:type="first" r:id="rId9"/>
      <w:pgSz w:w="11906" w:h="16838"/>
      <w:pgMar w:top="1701" w:right="1133"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5B1" w:rsidRDefault="004F25B1">
      <w:r>
        <w:separator/>
      </w:r>
    </w:p>
  </w:endnote>
  <w:endnote w:type="continuationSeparator" w:id="0">
    <w:p w:rsidR="004F25B1" w:rsidRDefault="004F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3" w:rsidRDefault="00790E83">
    <w:pPr>
      <w:pStyle w:val="Porat"/>
      <w:jc w:val="center"/>
    </w:pPr>
    <w:r>
      <w:fldChar w:fldCharType="begin"/>
    </w:r>
    <w:r>
      <w:instrText xml:space="preserve"> PAGE   \* MERGEFORMAT </w:instrText>
    </w:r>
    <w:r>
      <w:fldChar w:fldCharType="separate"/>
    </w:r>
    <w:r w:rsidR="00E339F9">
      <w:rPr>
        <w:noProof/>
      </w:rPr>
      <w:t>1</w:t>
    </w:r>
    <w:r>
      <w:rPr>
        <w:noProof/>
      </w:rPr>
      <w:fldChar w:fldCharType="end"/>
    </w:r>
  </w:p>
  <w:p w:rsidR="00790E83" w:rsidRDefault="00790E8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5B1" w:rsidRDefault="004F25B1">
      <w:r>
        <w:separator/>
      </w:r>
    </w:p>
  </w:footnote>
  <w:footnote w:type="continuationSeparator" w:id="0">
    <w:p w:rsidR="004F25B1" w:rsidRDefault="004F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A76" w:rsidRDefault="00A43A76" w:rsidP="007F74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3A76" w:rsidRDefault="00A43A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A76" w:rsidRDefault="00A43A76" w:rsidP="007F74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39F9">
      <w:rPr>
        <w:rStyle w:val="Puslapionumeris"/>
        <w:noProof/>
      </w:rPr>
      <w:t>3</w:t>
    </w:r>
    <w:r>
      <w:rPr>
        <w:rStyle w:val="Puslapionumeris"/>
      </w:rPr>
      <w:fldChar w:fldCharType="end"/>
    </w:r>
  </w:p>
  <w:p w:rsidR="00A43A76" w:rsidRDefault="00A43A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61"/>
    <w:rsid w:val="00017574"/>
    <w:rsid w:val="00027A31"/>
    <w:rsid w:val="00031CC2"/>
    <w:rsid w:val="000701BD"/>
    <w:rsid w:val="000A75B1"/>
    <w:rsid w:val="000B51B4"/>
    <w:rsid w:val="000C6EA3"/>
    <w:rsid w:val="000F3E2B"/>
    <w:rsid w:val="0015751F"/>
    <w:rsid w:val="00176B07"/>
    <w:rsid w:val="00181FCE"/>
    <w:rsid w:val="001B79B1"/>
    <w:rsid w:val="001D6832"/>
    <w:rsid w:val="00211661"/>
    <w:rsid w:val="002529E0"/>
    <w:rsid w:val="00287CFB"/>
    <w:rsid w:val="002D6533"/>
    <w:rsid w:val="002E34F8"/>
    <w:rsid w:val="002F154A"/>
    <w:rsid w:val="002F7C7C"/>
    <w:rsid w:val="003C69E8"/>
    <w:rsid w:val="003C6EE6"/>
    <w:rsid w:val="003E375B"/>
    <w:rsid w:val="00405EE3"/>
    <w:rsid w:val="00422C4D"/>
    <w:rsid w:val="00422DA9"/>
    <w:rsid w:val="004315A6"/>
    <w:rsid w:val="00450E62"/>
    <w:rsid w:val="00461C76"/>
    <w:rsid w:val="004712A4"/>
    <w:rsid w:val="0047686B"/>
    <w:rsid w:val="00481F3C"/>
    <w:rsid w:val="004A3471"/>
    <w:rsid w:val="004C3E4B"/>
    <w:rsid w:val="004F25B1"/>
    <w:rsid w:val="005049E1"/>
    <w:rsid w:val="005A0C0F"/>
    <w:rsid w:val="005B4BC7"/>
    <w:rsid w:val="005F2B22"/>
    <w:rsid w:val="00667124"/>
    <w:rsid w:val="006854CD"/>
    <w:rsid w:val="006A0CAC"/>
    <w:rsid w:val="006C24A2"/>
    <w:rsid w:val="00744890"/>
    <w:rsid w:val="00784C3E"/>
    <w:rsid w:val="00790E83"/>
    <w:rsid w:val="0079483E"/>
    <w:rsid w:val="007951EE"/>
    <w:rsid w:val="007F03AB"/>
    <w:rsid w:val="007F74CB"/>
    <w:rsid w:val="00801C54"/>
    <w:rsid w:val="008268C8"/>
    <w:rsid w:val="008643C7"/>
    <w:rsid w:val="00873DCD"/>
    <w:rsid w:val="00881CC0"/>
    <w:rsid w:val="0089479D"/>
    <w:rsid w:val="008A3BB3"/>
    <w:rsid w:val="008A6C1A"/>
    <w:rsid w:val="008D74AC"/>
    <w:rsid w:val="008E56F6"/>
    <w:rsid w:val="008F4647"/>
    <w:rsid w:val="00925543"/>
    <w:rsid w:val="00955FC6"/>
    <w:rsid w:val="00973D16"/>
    <w:rsid w:val="009B3152"/>
    <w:rsid w:val="009C4B04"/>
    <w:rsid w:val="009F60B0"/>
    <w:rsid w:val="00A23EE4"/>
    <w:rsid w:val="00A43A76"/>
    <w:rsid w:val="00A84C0B"/>
    <w:rsid w:val="00A926A1"/>
    <w:rsid w:val="00AB6864"/>
    <w:rsid w:val="00AD2239"/>
    <w:rsid w:val="00B0160B"/>
    <w:rsid w:val="00B041FF"/>
    <w:rsid w:val="00B45AAB"/>
    <w:rsid w:val="00B62E50"/>
    <w:rsid w:val="00B95B0C"/>
    <w:rsid w:val="00BB1860"/>
    <w:rsid w:val="00BD02B7"/>
    <w:rsid w:val="00BF2827"/>
    <w:rsid w:val="00C0323A"/>
    <w:rsid w:val="00C16CB1"/>
    <w:rsid w:val="00C47D39"/>
    <w:rsid w:val="00C73F87"/>
    <w:rsid w:val="00CA196A"/>
    <w:rsid w:val="00D53EEB"/>
    <w:rsid w:val="00D77C47"/>
    <w:rsid w:val="00D86156"/>
    <w:rsid w:val="00D91580"/>
    <w:rsid w:val="00E339F9"/>
    <w:rsid w:val="00E34CD9"/>
    <w:rsid w:val="00E42FB3"/>
    <w:rsid w:val="00E55CB9"/>
    <w:rsid w:val="00E83CC6"/>
    <w:rsid w:val="00E84AEE"/>
    <w:rsid w:val="00EA4899"/>
    <w:rsid w:val="00ED1458"/>
    <w:rsid w:val="00ED573B"/>
    <w:rsid w:val="00EF1420"/>
    <w:rsid w:val="00F67A83"/>
    <w:rsid w:val="00FB0784"/>
    <w:rsid w:val="00FB243E"/>
    <w:rsid w:val="00FB7ECB"/>
    <w:rsid w:val="00FE3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C24A2"/>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6C24A2"/>
    <w:pPr>
      <w:tabs>
        <w:tab w:val="center" w:pos="4819"/>
        <w:tab w:val="right" w:pos="9638"/>
      </w:tabs>
    </w:pPr>
  </w:style>
  <w:style w:type="character" w:styleId="Puslapionumeris">
    <w:name w:val="page number"/>
    <w:basedOn w:val="Numatytasispastraiposriftas"/>
    <w:rsid w:val="006C24A2"/>
  </w:style>
  <w:style w:type="paragraph" w:styleId="Porat">
    <w:name w:val="footer"/>
    <w:basedOn w:val="prastasis"/>
    <w:link w:val="PoratDiagrama"/>
    <w:uiPriority w:val="99"/>
    <w:rsid w:val="00790E83"/>
    <w:pPr>
      <w:tabs>
        <w:tab w:val="center" w:pos="4513"/>
        <w:tab w:val="right" w:pos="9026"/>
      </w:tabs>
    </w:pPr>
  </w:style>
  <w:style w:type="character" w:customStyle="1" w:styleId="PoratDiagrama">
    <w:name w:val="Poraštė Diagrama"/>
    <w:link w:val="Porat"/>
    <w:uiPriority w:val="99"/>
    <w:rsid w:val="00790E83"/>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C24A2"/>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6C24A2"/>
    <w:pPr>
      <w:tabs>
        <w:tab w:val="center" w:pos="4819"/>
        <w:tab w:val="right" w:pos="9638"/>
      </w:tabs>
    </w:pPr>
  </w:style>
  <w:style w:type="character" w:styleId="Puslapionumeris">
    <w:name w:val="page number"/>
    <w:basedOn w:val="Numatytasispastraiposriftas"/>
    <w:rsid w:val="006C24A2"/>
  </w:style>
  <w:style w:type="paragraph" w:styleId="Porat">
    <w:name w:val="footer"/>
    <w:basedOn w:val="prastasis"/>
    <w:link w:val="PoratDiagrama"/>
    <w:uiPriority w:val="99"/>
    <w:rsid w:val="00790E83"/>
    <w:pPr>
      <w:tabs>
        <w:tab w:val="center" w:pos="4513"/>
        <w:tab w:val="right" w:pos="9026"/>
      </w:tabs>
    </w:pPr>
  </w:style>
  <w:style w:type="character" w:customStyle="1" w:styleId="PoratDiagrama">
    <w:name w:val="Poraštė Diagrama"/>
    <w:link w:val="Porat"/>
    <w:uiPriority w:val="99"/>
    <w:rsid w:val="00790E83"/>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7233</Words>
  <Characters>4124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IskolokoyCafe</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2020-05-29T09:25:00Z</dcterms:created>
  <dc:creator>Vanda</dc:creator>
  <cp:lastModifiedBy>Aurelija Mineikaitė</cp:lastModifiedBy>
  <dcterms:modified xsi:type="dcterms:W3CDTF">2020-05-29T09:25:00Z</dcterms:modified>
  <cp:revision>2</cp:revision>
</cp:coreProperties>
</file>