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E21" w:rsidRPr="008A2ECB" w:rsidRDefault="00850E21" w:rsidP="00850E21">
      <w:pPr>
        <w:pStyle w:val="Preformatted"/>
        <w:jc w:val="center"/>
        <w:rPr>
          <w:rFonts w:ascii="Times New Roman" w:hAnsi="Times New Roman"/>
          <w:b/>
          <w:sz w:val="24"/>
          <w:szCs w:val="24"/>
        </w:rPr>
      </w:pPr>
      <w:r w:rsidRPr="008A2ECB">
        <w:rPr>
          <w:rFonts w:ascii="Times New Roman" w:hAnsi="Times New Roman"/>
          <w:b/>
          <w:sz w:val="24"/>
          <w:szCs w:val="24"/>
        </w:rPr>
        <w:t>LIETUVOS RESPUBLIKOS VYRIAUSYBĖS KANCELIARIJA</w:t>
      </w:r>
    </w:p>
    <w:p w:rsidR="00850E21" w:rsidRDefault="00850E21" w:rsidP="00850E21">
      <w:pPr>
        <w:pStyle w:val="Antraste"/>
        <w:spacing w:after="120"/>
        <w:rPr>
          <w:szCs w:val="24"/>
          <w:lang w:eastAsia="en-US"/>
        </w:rPr>
      </w:pPr>
      <w:r>
        <w:rPr>
          <w:szCs w:val="24"/>
          <w:lang w:eastAsia="en-US"/>
        </w:rPr>
        <w:t>SOCIALINĖS POLITIKOS GRUPĖ</w:t>
      </w:r>
    </w:p>
    <w:p w:rsidR="00850E21" w:rsidRPr="00D606EC" w:rsidRDefault="00850E21" w:rsidP="00850E21">
      <w:pPr>
        <w:pStyle w:val="Antraste"/>
        <w:spacing w:after="120"/>
        <w:rPr>
          <w:szCs w:val="24"/>
        </w:rPr>
      </w:pPr>
      <w:r w:rsidRPr="00D606EC">
        <w:rPr>
          <w:szCs w:val="24"/>
        </w:rPr>
        <w:t>PAŽYMA</w:t>
      </w:r>
    </w:p>
    <w:p w:rsidR="00D15CC0" w:rsidRDefault="00850E21" w:rsidP="00850E2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center"/>
        <w:rPr>
          <w:b/>
          <w:bCs/>
          <w:caps/>
        </w:rPr>
      </w:pPr>
      <w:bookmarkStart w:id="0" w:name="_Hlk11767169"/>
      <w:r w:rsidRPr="00D606EC">
        <w:rPr>
          <w:b/>
          <w:bCs/>
          <w:caps/>
        </w:rPr>
        <w:t xml:space="preserve">DĖL VYRIAUSYBĖS </w:t>
      </w:r>
      <w:r>
        <w:rPr>
          <w:b/>
          <w:bCs/>
          <w:caps/>
        </w:rPr>
        <w:t>2017 m. balandžio 5 d. nutarimo nr. 253 „dėl lietuvos respublikos valstybės ir savivaldybių įstaigų darbuotojų ir komisijų narių darbo apmokėjimo įstatymo įgyvendinimo“ pakeitimo</w:t>
      </w:r>
      <w:r w:rsidR="00857CCC">
        <w:rPr>
          <w:b/>
          <w:bCs/>
          <w:caps/>
        </w:rPr>
        <w:t xml:space="preserve"> PROJEKTO</w:t>
      </w:r>
      <w:r>
        <w:rPr>
          <w:b/>
          <w:bCs/>
          <w:caps/>
        </w:rPr>
        <w:t xml:space="preserve"> </w:t>
      </w:r>
      <w:r w:rsidR="00857CCC" w:rsidRPr="00D606EC">
        <w:rPr>
          <w:b/>
          <w:bCs/>
          <w:szCs w:val="24"/>
          <w:lang w:eastAsia="lt-LT"/>
        </w:rPr>
        <w:t>(TAP-1</w:t>
      </w:r>
      <w:r w:rsidR="00857CCC">
        <w:rPr>
          <w:b/>
          <w:bCs/>
          <w:szCs w:val="24"/>
          <w:lang w:eastAsia="lt-LT"/>
        </w:rPr>
        <w:t>9</w:t>
      </w:r>
      <w:r w:rsidR="00857CCC" w:rsidRPr="00D606EC">
        <w:rPr>
          <w:b/>
          <w:bCs/>
          <w:szCs w:val="24"/>
          <w:lang w:eastAsia="lt-LT"/>
        </w:rPr>
        <w:t>-</w:t>
      </w:r>
      <w:r w:rsidR="00857CCC">
        <w:rPr>
          <w:b/>
          <w:bCs/>
          <w:szCs w:val="24"/>
          <w:lang w:eastAsia="lt-LT"/>
        </w:rPr>
        <w:t>696(3) (</w:t>
      </w:r>
      <w:r w:rsidR="00857CCC" w:rsidRPr="00D606EC">
        <w:rPr>
          <w:b/>
          <w:bCs/>
          <w:szCs w:val="24"/>
          <w:lang w:eastAsia="lt-LT"/>
        </w:rPr>
        <w:t>1</w:t>
      </w:r>
      <w:r w:rsidR="00857CCC">
        <w:rPr>
          <w:b/>
          <w:bCs/>
          <w:szCs w:val="24"/>
          <w:lang w:eastAsia="lt-LT"/>
        </w:rPr>
        <w:t>9</w:t>
      </w:r>
      <w:r w:rsidR="00857CCC" w:rsidRPr="00D606EC">
        <w:rPr>
          <w:b/>
          <w:bCs/>
          <w:szCs w:val="24"/>
          <w:lang w:eastAsia="lt-LT"/>
        </w:rPr>
        <w:t>-</w:t>
      </w:r>
      <w:r w:rsidR="00857CCC">
        <w:rPr>
          <w:b/>
          <w:bCs/>
          <w:szCs w:val="24"/>
          <w:lang w:eastAsia="lt-LT"/>
        </w:rPr>
        <w:t xml:space="preserve">8323) </w:t>
      </w:r>
      <w:r w:rsidR="00857CCC">
        <w:rPr>
          <w:b/>
          <w:bCs/>
          <w:caps/>
        </w:rPr>
        <w:t xml:space="preserve">IR </w:t>
      </w:r>
      <w:r>
        <w:rPr>
          <w:b/>
          <w:bCs/>
          <w:caps/>
        </w:rPr>
        <w:t xml:space="preserve">vyriausybės 2010 m. spalio 6 d. nutarimo nr. 1407 </w:t>
      </w:r>
      <w:r w:rsidRPr="00D606EC">
        <w:rPr>
          <w:b/>
          <w:bCs/>
          <w:caps/>
        </w:rPr>
        <w:t xml:space="preserve">„DĖL </w:t>
      </w:r>
      <w:r>
        <w:rPr>
          <w:b/>
          <w:bCs/>
          <w:caps/>
        </w:rPr>
        <w:t>pretendentų į teisėjus egzamino komisijos narių, pretendentų į teisėjus atrankos komisijos narių, teisėjų etikos ir drausmės komisijos narių, nuolatinės teisėjų veiklos vertinimo komisijos narių, teisėjų garbės teismo narių, išskyrus šių komisijų ir teisėjų garbės teismo narius teisėjus, darbo apmokėjimo“ pripažinimo netekusiu galios</w:t>
      </w:r>
      <w:r w:rsidR="00857CCC">
        <w:rPr>
          <w:b/>
          <w:bCs/>
          <w:caps/>
        </w:rPr>
        <w:t xml:space="preserve"> projektO </w:t>
      </w:r>
      <w:r w:rsidR="00857CCC">
        <w:rPr>
          <w:b/>
          <w:bCs/>
          <w:szCs w:val="24"/>
          <w:lang w:eastAsia="lt-LT"/>
        </w:rPr>
        <w:t>(TAP-19-1045(2)(19-8327)</w:t>
      </w:r>
      <w:r>
        <w:rPr>
          <w:b/>
          <w:bCs/>
          <w:caps/>
        </w:rPr>
        <w:t xml:space="preserve"> </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850E21" w:rsidRPr="008A2ECB" w:rsidTr="00750F9E">
        <w:tc>
          <w:tcPr>
            <w:tcW w:w="4536" w:type="dxa"/>
          </w:tcPr>
          <w:p w:rsidR="00850E21" w:rsidRPr="008A2ECB" w:rsidRDefault="00850E21" w:rsidP="00750F9E">
            <w:pPr>
              <w:jc w:val="center"/>
              <w:rPr>
                <w:spacing w:val="-6"/>
                <w:szCs w:val="24"/>
              </w:rPr>
            </w:pPr>
            <w:r>
              <w:rPr>
                <w:b/>
                <w:bCs/>
                <w:szCs w:val="24"/>
                <w:lang w:eastAsia="lt-LT"/>
              </w:rPr>
              <w:t xml:space="preserve"> </w:t>
            </w:r>
            <w:bookmarkEnd w:id="0"/>
            <w:sdt>
              <w:sdtPr>
                <w:rPr>
                  <w:spacing w:val="-6"/>
                  <w:szCs w:val="24"/>
                </w:rPr>
                <w:tag w:val="registravimoData"/>
                <w:id w:val="-283805736"/>
                <w:placeholder>
                  <w:docPart w:val="324578F375AD43D0A6A7A8199F89AB21"/>
                </w:placeholder>
                <w:showingPlcHdr/>
              </w:sdtPr>
              <w:sdtEndPr/>
              <w:sdtContent>
                <w:r>
                  <w:t/>
                </w:r>
              </w:sdtContent>
            </w:sdt>
            <w:r w:rsidRPr="008A2ECB">
              <w:rPr>
                <w:spacing w:val="-6"/>
                <w:szCs w:val="24"/>
              </w:rPr>
              <w:t xml:space="preserve"> Nr. </w:t>
            </w:r>
            <w:sdt>
              <w:sdtPr>
                <w:rPr>
                  <w:spacing w:val="-6"/>
                  <w:szCs w:val="24"/>
                </w:rPr>
                <w:tag w:val="registravimoNr"/>
                <w:id w:val="-314025492"/>
                <w:placeholder>
                  <w:docPart w:val="324578F375AD43D0A6A7A8199F89AB21"/>
                </w:placeholder>
                <w:showingPlcHdr/>
              </w:sdtPr>
              <w:sdtEndPr/>
              <w:sdtContent>
                <w:r>
                  <w:t/>
                </w:r>
              </w:sdtContent>
            </w:sdt>
          </w:p>
        </w:tc>
      </w:tr>
    </w:tbl>
    <w:p w:rsidR="00850E21" w:rsidRPr="008A2ECB" w:rsidRDefault="00850E21" w:rsidP="00850E21">
      <w:pPr>
        <w:jc w:val="center"/>
        <w:rPr>
          <w:spacing w:val="-6"/>
          <w:szCs w:val="24"/>
        </w:rPr>
      </w:pPr>
      <w:r w:rsidRPr="008A2ECB">
        <w:rPr>
          <w:szCs w:val="24"/>
        </w:rPr>
        <w:t>Vilnius</w:t>
      </w:r>
    </w:p>
    <w:p w:rsidR="00857CCC" w:rsidRDefault="00857CCC" w:rsidP="00850E21">
      <w:pPr>
        <w:spacing w:after="120"/>
        <w:rPr>
          <w:b/>
          <w:szCs w:val="24"/>
        </w:rPr>
      </w:pPr>
    </w:p>
    <w:p w:rsidR="00850E21" w:rsidRDefault="00850E21" w:rsidP="00850E21">
      <w:pPr>
        <w:spacing w:after="120"/>
        <w:rPr>
          <w:szCs w:val="24"/>
        </w:rPr>
      </w:pPr>
      <w:r>
        <w:rPr>
          <w:b/>
          <w:szCs w:val="24"/>
        </w:rPr>
        <w:t>Projekt</w:t>
      </w:r>
      <w:r w:rsidR="0033057C">
        <w:rPr>
          <w:b/>
          <w:szCs w:val="24"/>
        </w:rPr>
        <w:t>ų</w:t>
      </w:r>
      <w:r>
        <w:rPr>
          <w:b/>
          <w:szCs w:val="24"/>
        </w:rPr>
        <w:t xml:space="preserve"> rengėjas </w:t>
      </w:r>
      <w:r>
        <w:rPr>
          <w:rFonts w:eastAsia="Calibri"/>
          <w:szCs w:val="24"/>
          <w:lang w:eastAsia="en-US"/>
        </w:rPr>
        <w:t>– Socialinės apsaugos ir darbo ministerija</w:t>
      </w:r>
      <w:r>
        <w:rPr>
          <w:szCs w:val="24"/>
        </w:rPr>
        <w:t>.</w:t>
      </w:r>
    </w:p>
    <w:p w:rsidR="00850E21" w:rsidRPr="00F3502A" w:rsidRDefault="00850E21" w:rsidP="00850E21">
      <w:pPr>
        <w:spacing w:after="120"/>
        <w:rPr>
          <w:b/>
          <w:szCs w:val="24"/>
        </w:rPr>
      </w:pPr>
      <w:r>
        <w:rPr>
          <w:b/>
          <w:szCs w:val="24"/>
        </w:rPr>
        <w:t>Projekt</w:t>
      </w:r>
      <w:r w:rsidR="0033057C">
        <w:rPr>
          <w:b/>
          <w:szCs w:val="24"/>
        </w:rPr>
        <w:t>ų</w:t>
      </w:r>
      <w:r>
        <w:rPr>
          <w:b/>
          <w:szCs w:val="24"/>
        </w:rPr>
        <w:t xml:space="preserve"> tikslas</w:t>
      </w:r>
      <w:r w:rsidRPr="00B3510D">
        <w:rPr>
          <w:szCs w:val="24"/>
        </w:rPr>
        <w:t xml:space="preserve"> – </w:t>
      </w:r>
      <w:r w:rsidRPr="00F3502A">
        <w:rPr>
          <w:b/>
          <w:szCs w:val="24"/>
        </w:rPr>
        <w:t xml:space="preserve">suderinti </w:t>
      </w:r>
      <w:r>
        <w:rPr>
          <w:b/>
          <w:szCs w:val="24"/>
        </w:rPr>
        <w:t xml:space="preserve">įstatymų pagrindu sudarytų komisijų (darbo grupių, tarybų, teisėjų garbės teismo) (toliau </w:t>
      </w:r>
      <w:r w:rsidRPr="00B3510D">
        <w:rPr>
          <w:szCs w:val="24"/>
        </w:rPr>
        <w:t>–</w:t>
      </w:r>
      <w:r>
        <w:rPr>
          <w:szCs w:val="24"/>
        </w:rPr>
        <w:t xml:space="preserve"> </w:t>
      </w:r>
      <w:r>
        <w:rPr>
          <w:b/>
          <w:szCs w:val="24"/>
        </w:rPr>
        <w:t>Komisijos) narių darbo apmokėjimo teisinį reguliavimą</w:t>
      </w:r>
      <w:r w:rsidRPr="00F3502A">
        <w:rPr>
          <w:b/>
          <w:szCs w:val="24"/>
        </w:rPr>
        <w:t xml:space="preserve"> su </w:t>
      </w:r>
      <w:r>
        <w:rPr>
          <w:b/>
          <w:szCs w:val="24"/>
        </w:rPr>
        <w:t>Valstybės ir savivaldybių įstaigų darbuotojų darbo apmokėjimo, Civilinio kodekso, Teismų, Prokuratūros, Teisėkūros pagrindų įstatymų pakeitimais</w:t>
      </w:r>
      <w:r w:rsidRPr="00F3502A">
        <w:rPr>
          <w:b/>
          <w:szCs w:val="24"/>
          <w:lang w:eastAsia="lt-LT"/>
        </w:rPr>
        <w:t>.</w:t>
      </w:r>
    </w:p>
    <w:p w:rsidR="00850E21" w:rsidRDefault="00850E21" w:rsidP="00850E21">
      <w:pPr>
        <w:rPr>
          <w:szCs w:val="24"/>
          <w:highlight w:val="yellow"/>
        </w:rPr>
      </w:pPr>
      <w:r>
        <w:rPr>
          <w:b/>
          <w:szCs w:val="24"/>
        </w:rPr>
        <w:t>Dabartinė situacija:</w:t>
      </w:r>
    </w:p>
    <w:p w:rsidR="00850E21" w:rsidRPr="009706D8" w:rsidRDefault="00850E21" w:rsidP="004001EE">
      <w:pPr>
        <w:pStyle w:val="Sraopastraipa"/>
        <w:numPr>
          <w:ilvl w:val="0"/>
          <w:numId w:val="3"/>
        </w:numPr>
        <w:ind w:left="284" w:hanging="284"/>
        <w:rPr>
          <w:szCs w:val="24"/>
        </w:rPr>
      </w:pPr>
      <w:r w:rsidRPr="009706D8">
        <w:rPr>
          <w:szCs w:val="24"/>
          <w:u w:val="single"/>
        </w:rPr>
        <w:t xml:space="preserve">Komisijų narių atlygiai ir jų </w:t>
      </w:r>
      <w:r>
        <w:rPr>
          <w:szCs w:val="24"/>
          <w:u w:val="single"/>
        </w:rPr>
        <w:t>mokėjimo</w:t>
      </w:r>
      <w:r w:rsidRPr="009706D8">
        <w:rPr>
          <w:szCs w:val="24"/>
          <w:u w:val="single"/>
        </w:rPr>
        <w:t xml:space="preserve"> tvarkos šiuo metu nustatytos atskirais Vyriausybės nutarimais</w:t>
      </w:r>
      <w:r w:rsidRPr="009706D8">
        <w:rPr>
          <w:szCs w:val="24"/>
        </w:rPr>
        <w:t>.</w:t>
      </w:r>
    </w:p>
    <w:p w:rsidR="00850E21" w:rsidRPr="009706D8" w:rsidRDefault="00850E21" w:rsidP="004001EE">
      <w:pPr>
        <w:pStyle w:val="Sraopastraipa"/>
        <w:numPr>
          <w:ilvl w:val="0"/>
          <w:numId w:val="3"/>
        </w:numPr>
        <w:spacing w:after="120"/>
        <w:ind w:left="284" w:hanging="284"/>
        <w:rPr>
          <w:szCs w:val="24"/>
        </w:rPr>
      </w:pPr>
      <w:r w:rsidRPr="009706D8">
        <w:rPr>
          <w:szCs w:val="24"/>
        </w:rPr>
        <w:t>Seim</w:t>
      </w:r>
      <w:r>
        <w:rPr>
          <w:szCs w:val="24"/>
        </w:rPr>
        <w:t>ui</w:t>
      </w:r>
      <w:r w:rsidRPr="009706D8">
        <w:rPr>
          <w:szCs w:val="24"/>
        </w:rPr>
        <w:t xml:space="preserve"> 2018-12-11 priėm</w:t>
      </w:r>
      <w:r>
        <w:rPr>
          <w:szCs w:val="24"/>
        </w:rPr>
        <w:t>us</w:t>
      </w:r>
      <w:r w:rsidRPr="009706D8">
        <w:rPr>
          <w:szCs w:val="24"/>
        </w:rPr>
        <w:t xml:space="preserve"> Valstybės ir savivaldybių įstaigų darbuotojų ir komisijų narių darbo apmokėjimo įstatymo, Civilinio kodekso, Teismų, Prokuratūros, Teisėkūros pagrindų įstatymų pakeitimus</w:t>
      </w:r>
      <w:r>
        <w:rPr>
          <w:szCs w:val="24"/>
        </w:rPr>
        <w:t xml:space="preserve">, </w:t>
      </w:r>
      <w:r w:rsidRPr="009706D8">
        <w:rPr>
          <w:szCs w:val="24"/>
        </w:rPr>
        <w:t>Komisijų narių darbo apmokėjimo</w:t>
      </w:r>
      <w:r>
        <w:rPr>
          <w:szCs w:val="24"/>
        </w:rPr>
        <w:t xml:space="preserve"> </w:t>
      </w:r>
      <w:r w:rsidRPr="009706D8">
        <w:rPr>
          <w:szCs w:val="24"/>
        </w:rPr>
        <w:t>sąlyg</w:t>
      </w:r>
      <w:r>
        <w:rPr>
          <w:szCs w:val="24"/>
        </w:rPr>
        <w:t>o</w:t>
      </w:r>
      <w:r w:rsidRPr="009706D8">
        <w:rPr>
          <w:szCs w:val="24"/>
        </w:rPr>
        <w:t>s</w:t>
      </w:r>
      <w:r>
        <w:rPr>
          <w:szCs w:val="24"/>
        </w:rPr>
        <w:t xml:space="preserve"> reglamentuotos įstatymo lygiu. Nustatyta, kad</w:t>
      </w:r>
      <w:r w:rsidRPr="009706D8">
        <w:rPr>
          <w:szCs w:val="24"/>
          <w:u w:val="single"/>
        </w:rPr>
        <w:t xml:space="preserve"> Komisijų narių darbas nuo 2019-07-01 bus apmokamas Valstybės ir savivaldybių įstaigų darbuotojų ir komisijų narių darbo apmokėjimo įstatymo nustatyta tvarka</w:t>
      </w:r>
      <w:r>
        <w:rPr>
          <w:szCs w:val="24"/>
          <w:u w:val="single"/>
        </w:rPr>
        <w:t>,</w:t>
      </w:r>
      <w:r w:rsidRPr="00632242">
        <w:rPr>
          <w:szCs w:val="24"/>
        </w:rPr>
        <w:t xml:space="preserve"> </w:t>
      </w:r>
      <w:proofErr w:type="spellStart"/>
      <w:r w:rsidRPr="00632242">
        <w:rPr>
          <w:szCs w:val="24"/>
        </w:rPr>
        <w:t>t.y</w:t>
      </w:r>
      <w:proofErr w:type="spellEnd"/>
      <w:r w:rsidRPr="00632242">
        <w:rPr>
          <w:szCs w:val="24"/>
        </w:rPr>
        <w:t>.</w:t>
      </w:r>
      <w:r w:rsidRPr="009706D8">
        <w:rPr>
          <w:szCs w:val="24"/>
        </w:rPr>
        <w:t xml:space="preserve"> Komisijų narių atlygių dydžiai nustatyti pareiginės algos baziniu dydžiu</w:t>
      </w:r>
      <w:r>
        <w:rPr>
          <w:szCs w:val="24"/>
        </w:rPr>
        <w:t xml:space="preserve"> </w:t>
      </w:r>
      <w:r w:rsidRPr="009706D8">
        <w:rPr>
          <w:szCs w:val="24"/>
        </w:rPr>
        <w:t>(toliau – BD</w:t>
      </w:r>
      <w:r w:rsidRPr="00E371B7">
        <w:rPr>
          <w:szCs w:val="24"/>
        </w:rPr>
        <w:t xml:space="preserve">) (173 eurai); </w:t>
      </w:r>
      <w:r>
        <w:rPr>
          <w:szCs w:val="24"/>
        </w:rPr>
        <w:t xml:space="preserve">už 1 dirbtą val. posėdyje bus mokamas </w:t>
      </w:r>
      <w:r w:rsidRPr="009706D8">
        <w:rPr>
          <w:szCs w:val="24"/>
        </w:rPr>
        <w:t>0,037</w:t>
      </w:r>
      <w:r>
        <w:rPr>
          <w:szCs w:val="24"/>
        </w:rPr>
        <w:t>-</w:t>
      </w:r>
      <w:r w:rsidRPr="009706D8">
        <w:rPr>
          <w:szCs w:val="24"/>
        </w:rPr>
        <w:t>0,082 BD</w:t>
      </w:r>
      <w:r>
        <w:rPr>
          <w:szCs w:val="24"/>
        </w:rPr>
        <w:t xml:space="preserve"> atlygis (nuo 6,4 iki 14,19 eurų), atsižvelgiant į tai, kokio pobūdžio (rekomendacinius ar privalomus) sprendimus Komisija priima;</w:t>
      </w:r>
      <w:r w:rsidRPr="009706D8">
        <w:rPr>
          <w:szCs w:val="24"/>
        </w:rPr>
        <w:t xml:space="preserve"> už pasirengimą posėdžiui </w:t>
      </w:r>
      <w:r>
        <w:rPr>
          <w:szCs w:val="24"/>
        </w:rPr>
        <w:t xml:space="preserve">bus </w:t>
      </w:r>
      <w:r w:rsidRPr="009706D8">
        <w:rPr>
          <w:szCs w:val="24"/>
        </w:rPr>
        <w:t>mokamas 0,07-0,3 BD atlygis</w:t>
      </w:r>
      <w:r>
        <w:rPr>
          <w:szCs w:val="24"/>
        </w:rPr>
        <w:t xml:space="preserve"> (nuo 12,11 iki 51,9 eurų)</w:t>
      </w:r>
      <w:r w:rsidRPr="009706D8">
        <w:rPr>
          <w:szCs w:val="24"/>
        </w:rPr>
        <w:t xml:space="preserve">; Komisijos pirmininkui papildomai </w:t>
      </w:r>
      <w:r>
        <w:rPr>
          <w:szCs w:val="24"/>
        </w:rPr>
        <w:t xml:space="preserve">bus </w:t>
      </w:r>
      <w:r w:rsidRPr="009706D8">
        <w:rPr>
          <w:szCs w:val="24"/>
        </w:rPr>
        <w:t>mokama 30 proc. atlygio</w:t>
      </w:r>
      <w:r>
        <w:rPr>
          <w:szCs w:val="24"/>
        </w:rPr>
        <w:t xml:space="preserve"> už kiekvieną posėdį</w:t>
      </w:r>
      <w:r w:rsidRPr="009706D8">
        <w:rPr>
          <w:szCs w:val="24"/>
        </w:rPr>
        <w:t>; apmokėjimas ne</w:t>
      </w:r>
      <w:r>
        <w:rPr>
          <w:szCs w:val="24"/>
        </w:rPr>
        <w:t xml:space="preserve">bus </w:t>
      </w:r>
      <w:r w:rsidRPr="009706D8">
        <w:rPr>
          <w:szCs w:val="24"/>
        </w:rPr>
        <w:t xml:space="preserve">taikomas komisijų nariams – valstybės tarnautojams, teisėjams, prokurorams ir kt. </w:t>
      </w:r>
      <w:r w:rsidRPr="009706D8">
        <w:rPr>
          <w:szCs w:val="24"/>
          <w:u w:val="single"/>
        </w:rPr>
        <w:t>Vyriausyb</w:t>
      </w:r>
      <w:r>
        <w:rPr>
          <w:szCs w:val="24"/>
          <w:u w:val="single"/>
        </w:rPr>
        <w:t xml:space="preserve">ei </w:t>
      </w:r>
      <w:r w:rsidRPr="009706D8">
        <w:rPr>
          <w:szCs w:val="24"/>
          <w:u w:val="single"/>
        </w:rPr>
        <w:t>ar jos įgaliota institucija</w:t>
      </w:r>
      <w:r>
        <w:rPr>
          <w:szCs w:val="24"/>
          <w:u w:val="single"/>
        </w:rPr>
        <w:t xml:space="preserve">i pavesta </w:t>
      </w:r>
      <w:r w:rsidRPr="009706D8">
        <w:rPr>
          <w:szCs w:val="24"/>
          <w:u w:val="single"/>
        </w:rPr>
        <w:t>atsižvelg</w:t>
      </w:r>
      <w:r>
        <w:rPr>
          <w:szCs w:val="24"/>
          <w:u w:val="single"/>
        </w:rPr>
        <w:t>iant</w:t>
      </w:r>
      <w:r w:rsidRPr="009706D8">
        <w:rPr>
          <w:szCs w:val="24"/>
          <w:u w:val="single"/>
        </w:rPr>
        <w:t xml:space="preserve"> į Komisijos veiklos pobūdį, nustat</w:t>
      </w:r>
      <w:r>
        <w:rPr>
          <w:szCs w:val="24"/>
          <w:u w:val="single"/>
        </w:rPr>
        <w:t>yti</w:t>
      </w:r>
      <w:r w:rsidRPr="009706D8">
        <w:rPr>
          <w:szCs w:val="24"/>
          <w:u w:val="single"/>
        </w:rPr>
        <w:t xml:space="preserve"> konkretų </w:t>
      </w:r>
      <w:r>
        <w:rPr>
          <w:szCs w:val="24"/>
          <w:u w:val="single"/>
        </w:rPr>
        <w:t>K</w:t>
      </w:r>
      <w:r w:rsidRPr="009706D8">
        <w:rPr>
          <w:szCs w:val="24"/>
          <w:u w:val="single"/>
        </w:rPr>
        <w:t xml:space="preserve">omisijos narių atlygio </w:t>
      </w:r>
      <w:r>
        <w:rPr>
          <w:szCs w:val="24"/>
          <w:u w:val="single"/>
        </w:rPr>
        <w:t xml:space="preserve">dydį </w:t>
      </w:r>
      <w:r w:rsidRPr="009706D8">
        <w:rPr>
          <w:szCs w:val="24"/>
          <w:u w:val="single"/>
        </w:rPr>
        <w:t>ir mokėjimo tvarką</w:t>
      </w:r>
      <w:r w:rsidRPr="009706D8">
        <w:rPr>
          <w:szCs w:val="24"/>
        </w:rPr>
        <w:t>.</w:t>
      </w:r>
    </w:p>
    <w:p w:rsidR="00850E21" w:rsidRDefault="00850E21" w:rsidP="00850E21">
      <w:pPr>
        <w:rPr>
          <w:szCs w:val="24"/>
        </w:rPr>
      </w:pPr>
      <w:r>
        <w:rPr>
          <w:b/>
          <w:szCs w:val="24"/>
        </w:rPr>
        <w:t>Projekt</w:t>
      </w:r>
      <w:r w:rsidR="0033057C">
        <w:rPr>
          <w:b/>
          <w:szCs w:val="24"/>
        </w:rPr>
        <w:t>ų</w:t>
      </w:r>
      <w:r>
        <w:rPr>
          <w:b/>
          <w:szCs w:val="24"/>
        </w:rPr>
        <w:t xml:space="preserve"> esmė, nauda. </w:t>
      </w:r>
      <w:r w:rsidRPr="003544EF">
        <w:rPr>
          <w:szCs w:val="24"/>
        </w:rPr>
        <w:t>Siūloma</w:t>
      </w:r>
      <w:r>
        <w:rPr>
          <w:szCs w:val="24"/>
        </w:rPr>
        <w:t>:</w:t>
      </w:r>
    </w:p>
    <w:p w:rsidR="00850E21" w:rsidRPr="00787006" w:rsidRDefault="00850E21" w:rsidP="00D15CC0">
      <w:pPr>
        <w:pStyle w:val="Sraopastraipa"/>
        <w:ind w:left="0"/>
        <w:rPr>
          <w:szCs w:val="24"/>
          <w:u w:val="single"/>
        </w:rPr>
      </w:pPr>
      <w:r w:rsidRPr="005E3E5E">
        <w:rPr>
          <w:szCs w:val="24"/>
          <w:u w:val="single"/>
        </w:rPr>
        <w:t xml:space="preserve">Vienu Vyriausybės nutarimu </w:t>
      </w:r>
      <w:r w:rsidR="00D15CC0" w:rsidRPr="005E3E5E">
        <w:rPr>
          <w:szCs w:val="24"/>
          <w:u w:val="single"/>
        </w:rPr>
        <w:t xml:space="preserve">(papildant Vyriausybės nutarimą dėl Valstybės ir savivaldybių įstaigų darbuotojų ir komisijų narių darbo apmokėjimo įstatymo įgyvendinimo ir jį išdėstant nauja redakcija) </w:t>
      </w:r>
      <w:r w:rsidRPr="005E3E5E">
        <w:rPr>
          <w:szCs w:val="24"/>
          <w:u w:val="single"/>
        </w:rPr>
        <w:t>nustatyti Komisijų narių atlygio dydžius ir mokėjimo tvarką:</w:t>
      </w:r>
      <w:r>
        <w:rPr>
          <w:szCs w:val="24"/>
          <w:u w:val="single"/>
        </w:rPr>
        <w:t xml:space="preserve"> </w:t>
      </w:r>
    </w:p>
    <w:p w:rsidR="00850E21" w:rsidRPr="00A81CA9" w:rsidRDefault="00A81CA9" w:rsidP="00850E21">
      <w:pPr>
        <w:pStyle w:val="Sraopastraipa"/>
        <w:numPr>
          <w:ilvl w:val="0"/>
          <w:numId w:val="1"/>
        </w:numPr>
        <w:ind w:left="284" w:hanging="284"/>
        <w:rPr>
          <w:szCs w:val="24"/>
          <w:u w:val="single"/>
        </w:rPr>
      </w:pPr>
      <w:r>
        <w:t xml:space="preserve">Neveiksnių asmenų būklės peržiūrėjimo komisijos, Pretendentų į teisėjus egzamino komisijos, Pretendentų į teisėjus atrankos komisijos, Teisėjų etikos ir drausmės komisijos, Nuolatinės teisėjų veiklos vertinimo komisijos prie Teisėjų tarybos, Teisėjų garbės teismo, Prokurorų atrankos komisijos, Vyriausiųjų prokurorų atrankos komisijos, Prokurorų etikos komisijos, Prokurorų atestacijos komisijos, Pretendentų egzaminų komisijos, Seimo, Seimo struktūrinių padalinių, Seimo pareigūnų, Respublikos Prezidento, Vyriausybės, Ministro Pirmininko, iš valstybės biudžeto ar valstybės pinigų fondų išlaikomų įstaigų sudarytų darbo grupių (komisijų) teisės aktų projektams </w:t>
      </w:r>
      <w:r>
        <w:lastRenderedPageBreak/>
        <w:t xml:space="preserve">rengti </w:t>
      </w:r>
      <w:r w:rsidRPr="00A81CA9">
        <w:rPr>
          <w:u w:val="single"/>
        </w:rPr>
        <w:t>narių atlyg</w:t>
      </w:r>
      <w:r w:rsidR="00CC68AC">
        <w:rPr>
          <w:u w:val="single"/>
        </w:rPr>
        <w:t xml:space="preserve">is </w:t>
      </w:r>
      <w:r w:rsidRPr="00A81CA9">
        <w:rPr>
          <w:u w:val="single"/>
        </w:rPr>
        <w:t xml:space="preserve">už vieną dirbtą valandą komisijos ar Teisėjų garbės teismo posėdyje </w:t>
      </w:r>
      <w:r w:rsidR="00CC68AC">
        <w:rPr>
          <w:u w:val="single"/>
        </w:rPr>
        <w:t xml:space="preserve">– </w:t>
      </w:r>
      <w:r w:rsidR="00850E21" w:rsidRPr="00A81CA9">
        <w:rPr>
          <w:szCs w:val="24"/>
          <w:u w:val="single"/>
        </w:rPr>
        <w:t>0,04</w:t>
      </w:r>
      <w:r w:rsidR="00857CCC" w:rsidRPr="00A81CA9">
        <w:rPr>
          <w:szCs w:val="24"/>
          <w:u w:val="single"/>
        </w:rPr>
        <w:t>5</w:t>
      </w:r>
      <w:r w:rsidR="00850E21" w:rsidRPr="00A81CA9">
        <w:rPr>
          <w:szCs w:val="24"/>
          <w:u w:val="single"/>
        </w:rPr>
        <w:t xml:space="preserve"> BD (7,</w:t>
      </w:r>
      <w:r w:rsidR="00857CCC" w:rsidRPr="00A81CA9">
        <w:rPr>
          <w:szCs w:val="24"/>
          <w:u w:val="single"/>
        </w:rPr>
        <w:t>78</w:t>
      </w:r>
      <w:r w:rsidR="00850E21" w:rsidRPr="00A81CA9">
        <w:rPr>
          <w:szCs w:val="24"/>
          <w:u w:val="single"/>
        </w:rPr>
        <w:t xml:space="preserve"> eurų)</w:t>
      </w:r>
      <w:r w:rsidR="00857CCC" w:rsidRPr="00A81CA9">
        <w:rPr>
          <w:szCs w:val="24"/>
          <w:u w:val="single"/>
        </w:rPr>
        <w:t>;</w:t>
      </w:r>
    </w:p>
    <w:p w:rsidR="00143DC2" w:rsidRPr="00A81CA9" w:rsidRDefault="00850E21" w:rsidP="0033057C">
      <w:pPr>
        <w:pStyle w:val="Sraopastraipa"/>
        <w:numPr>
          <w:ilvl w:val="0"/>
          <w:numId w:val="1"/>
        </w:numPr>
        <w:spacing w:after="120"/>
        <w:ind w:left="284" w:hanging="284"/>
        <w:rPr>
          <w:szCs w:val="24"/>
          <w:u w:val="single"/>
        </w:rPr>
      </w:pPr>
      <w:r w:rsidRPr="00A81CA9">
        <w:rPr>
          <w:szCs w:val="24"/>
        </w:rPr>
        <w:t xml:space="preserve">Komisijų nariams už pasirengimą posėdyje nagrinėti 1 paraišką/pareiškimą/prašymą/skundą, eksperto išvados parengimą </w:t>
      </w:r>
      <w:r w:rsidR="00CC68AC">
        <w:rPr>
          <w:szCs w:val="24"/>
        </w:rPr>
        <w:t>–</w:t>
      </w:r>
      <w:r w:rsidR="00A81CA9" w:rsidRPr="00A81CA9">
        <w:rPr>
          <w:szCs w:val="24"/>
        </w:rPr>
        <w:t xml:space="preserve"> </w:t>
      </w:r>
      <w:r w:rsidRPr="00A81CA9">
        <w:rPr>
          <w:szCs w:val="24"/>
        </w:rPr>
        <w:t>0,07 BD (12,11 eurų)</w:t>
      </w:r>
      <w:r w:rsidR="00A81CA9" w:rsidRPr="00A81CA9">
        <w:rPr>
          <w:szCs w:val="24"/>
        </w:rPr>
        <w:t>.</w:t>
      </w:r>
    </w:p>
    <w:p w:rsidR="00850E21" w:rsidRPr="00680B64" w:rsidRDefault="00850E21" w:rsidP="0033057C">
      <w:pPr>
        <w:spacing w:after="120"/>
        <w:rPr>
          <w:szCs w:val="24"/>
          <w:u w:val="single"/>
        </w:rPr>
      </w:pPr>
      <w:r w:rsidRPr="00CD69B0">
        <w:rPr>
          <w:szCs w:val="24"/>
          <w:u w:val="single"/>
        </w:rPr>
        <w:t>Komisijų narių atlygis sumokamas</w:t>
      </w:r>
      <w:r w:rsidRPr="00CD69B0">
        <w:rPr>
          <w:szCs w:val="24"/>
        </w:rPr>
        <w:t xml:space="preserve"> </w:t>
      </w:r>
      <w:r w:rsidRPr="00680B64">
        <w:rPr>
          <w:szCs w:val="24"/>
        </w:rPr>
        <w:t xml:space="preserve">nevėliau kaip </w:t>
      </w:r>
      <w:r>
        <w:rPr>
          <w:szCs w:val="24"/>
        </w:rPr>
        <w:t>po</w:t>
      </w:r>
      <w:r w:rsidRPr="00680B64">
        <w:rPr>
          <w:szCs w:val="24"/>
        </w:rPr>
        <w:t xml:space="preserve"> 15 darbo dienų po Komisijos posėdžio dienos</w:t>
      </w:r>
      <w:r w:rsidR="00293DC0">
        <w:rPr>
          <w:szCs w:val="24"/>
        </w:rPr>
        <w:t xml:space="preserve"> pagal faktiškai dirbtas valandas posėdyje ir išnagrinėtų paraiškų/pareiškimų/prašymų/skundų, eksperto išvadų parengimo kiekį (</w:t>
      </w:r>
      <w:r w:rsidR="00B5495A">
        <w:rPr>
          <w:szCs w:val="24"/>
        </w:rPr>
        <w:t xml:space="preserve">tai </w:t>
      </w:r>
      <w:r w:rsidR="00293DC0">
        <w:rPr>
          <w:szCs w:val="24"/>
        </w:rPr>
        <w:t>fiksuojama posėdžio protokoluose)</w:t>
      </w:r>
      <w:r w:rsidRPr="00680B64">
        <w:rPr>
          <w:szCs w:val="24"/>
        </w:rPr>
        <w:t>.</w:t>
      </w:r>
    </w:p>
    <w:p w:rsidR="00850E21" w:rsidRPr="00632B5C" w:rsidRDefault="00850E21" w:rsidP="0033057C">
      <w:pPr>
        <w:spacing w:after="120"/>
        <w:rPr>
          <w:szCs w:val="24"/>
        </w:rPr>
      </w:pPr>
      <w:r w:rsidRPr="00905BC4">
        <w:rPr>
          <w:szCs w:val="24"/>
          <w:u w:val="single"/>
        </w:rPr>
        <w:t>Komisijų narių darbas apmokamas</w:t>
      </w:r>
      <w:r>
        <w:rPr>
          <w:szCs w:val="24"/>
        </w:rPr>
        <w:t xml:space="preserve"> iš Nacionalinei teismų administracijai, Generalinei prokuratūrai skirtų valstybės biudžeto asignavimų; įstaigų, inicijavusių teisės aktų projektų rengimą, asignavimų; Neveiksnių asmenų būklės peržiūrėjimo komisijų – iš valstybės biudžeto specialiosios tikslinės dotacijos savivaldybėms.</w:t>
      </w:r>
    </w:p>
    <w:p w:rsidR="00A81CA9" w:rsidRDefault="00850E21" w:rsidP="0033057C">
      <w:pPr>
        <w:spacing w:after="120"/>
        <w:rPr>
          <w:szCs w:val="24"/>
        </w:rPr>
      </w:pPr>
      <w:r w:rsidRPr="003F0D44">
        <w:rPr>
          <w:szCs w:val="24"/>
          <w:u w:val="single"/>
        </w:rPr>
        <w:t>Papildomas valstybės biudžeto lėšų poreikis metams</w:t>
      </w:r>
      <w:r>
        <w:rPr>
          <w:szCs w:val="24"/>
        </w:rPr>
        <w:t xml:space="preserve"> </w:t>
      </w:r>
      <w:r w:rsidRPr="00E371B7">
        <w:rPr>
          <w:szCs w:val="24"/>
        </w:rPr>
        <w:t>–</w:t>
      </w:r>
      <w:r w:rsidR="00A81CA9" w:rsidRPr="00A81CA9">
        <w:t xml:space="preserve"> </w:t>
      </w:r>
      <w:r w:rsidR="00A81CA9" w:rsidRPr="00A81CA9">
        <w:rPr>
          <w:szCs w:val="24"/>
        </w:rPr>
        <w:t>23,5 tūkst. Eur (23 tūkst. Eur Neveiksnių asmenų būklės peržiūrėjimo komisijoms ir 500 Eur su teisėjų ir prokurorų veikla susijusioms komisijoms).</w:t>
      </w:r>
    </w:p>
    <w:p w:rsidR="00850E21" w:rsidRDefault="00850E21" w:rsidP="0033057C">
      <w:pPr>
        <w:spacing w:after="120"/>
        <w:rPr>
          <w:szCs w:val="24"/>
        </w:rPr>
      </w:pPr>
      <w:r w:rsidRPr="00D15CC0">
        <w:rPr>
          <w:szCs w:val="24"/>
        </w:rPr>
        <w:t>Patvirtinus Vyriausybės nutarim</w:t>
      </w:r>
      <w:r w:rsidR="0033057C" w:rsidRPr="00D15CC0">
        <w:rPr>
          <w:szCs w:val="24"/>
        </w:rPr>
        <w:t>us</w:t>
      </w:r>
      <w:r w:rsidRPr="00D15CC0">
        <w:rPr>
          <w:szCs w:val="24"/>
        </w:rPr>
        <w:t>, bus nustatyta vieninga, aiškesnė ir suderinta su įstatymais Komisijų narių darbo mokėjimo tvarka bei sumažintas Vyriausybės nutarimų, reguliuojančių Komisijos narių atlygius ir jų mokėjimo tvarkas, skaičius.</w:t>
      </w:r>
      <w:r>
        <w:rPr>
          <w:szCs w:val="24"/>
        </w:rPr>
        <w:t xml:space="preserve">       </w:t>
      </w:r>
    </w:p>
    <w:p w:rsidR="0033057C" w:rsidRDefault="00850E21" w:rsidP="0033057C">
      <w:pPr>
        <w:spacing w:after="120"/>
        <w:rPr>
          <w:szCs w:val="24"/>
        </w:rPr>
      </w:pPr>
      <w:r w:rsidRPr="008758F0">
        <w:rPr>
          <w:b/>
          <w:szCs w:val="24"/>
        </w:rPr>
        <w:t xml:space="preserve">Derinimas. </w:t>
      </w:r>
      <w:r w:rsidRPr="008758F0">
        <w:rPr>
          <w:szCs w:val="24"/>
        </w:rPr>
        <w:t>Projekt</w:t>
      </w:r>
      <w:r w:rsidR="0033057C">
        <w:rPr>
          <w:szCs w:val="24"/>
        </w:rPr>
        <w:t>ai svarstyti 2019-05-21</w:t>
      </w:r>
      <w:r w:rsidR="00B255D3">
        <w:rPr>
          <w:szCs w:val="24"/>
        </w:rPr>
        <w:t xml:space="preserve"> ir 2019-06-25</w:t>
      </w:r>
      <w:r w:rsidR="0033057C">
        <w:rPr>
          <w:szCs w:val="24"/>
        </w:rPr>
        <w:t xml:space="preserve"> </w:t>
      </w:r>
      <w:r w:rsidR="00B255D3">
        <w:rPr>
          <w:szCs w:val="24"/>
        </w:rPr>
        <w:t>tarpinstituciniuose</w:t>
      </w:r>
      <w:r w:rsidR="0033057C">
        <w:rPr>
          <w:szCs w:val="24"/>
        </w:rPr>
        <w:t xml:space="preserve"> pasitarim</w:t>
      </w:r>
      <w:r w:rsidR="00B255D3">
        <w:rPr>
          <w:szCs w:val="24"/>
        </w:rPr>
        <w:t>uose</w:t>
      </w:r>
      <w:r w:rsidR="00CC68AC">
        <w:rPr>
          <w:szCs w:val="24"/>
        </w:rPr>
        <w:t xml:space="preserve">, </w:t>
      </w:r>
      <w:r w:rsidR="00A81CA9">
        <w:rPr>
          <w:szCs w:val="24"/>
        </w:rPr>
        <w:t xml:space="preserve">2019-07-01 ministrų pasitarime </w:t>
      </w:r>
      <w:r w:rsidR="0033057C">
        <w:rPr>
          <w:szCs w:val="24"/>
        </w:rPr>
        <w:t xml:space="preserve">ir patikslinti pagal </w:t>
      </w:r>
      <w:r w:rsidR="00B255D3">
        <w:rPr>
          <w:szCs w:val="24"/>
        </w:rPr>
        <w:t>pateiktas</w:t>
      </w:r>
      <w:r w:rsidR="0033057C">
        <w:rPr>
          <w:szCs w:val="24"/>
        </w:rPr>
        <w:t xml:space="preserve"> pastabas</w:t>
      </w:r>
      <w:r w:rsidR="00CC68AC">
        <w:rPr>
          <w:szCs w:val="24"/>
        </w:rPr>
        <w:t xml:space="preserve"> ir pasiūlymus</w:t>
      </w:r>
      <w:r w:rsidR="0033057C">
        <w:rPr>
          <w:szCs w:val="24"/>
        </w:rPr>
        <w:t>.</w:t>
      </w:r>
    </w:p>
    <w:p w:rsidR="00850E21" w:rsidRDefault="00850E21" w:rsidP="00850E21">
      <w:pPr>
        <w:spacing w:after="120"/>
        <w:rPr>
          <w:bCs/>
          <w:szCs w:val="24"/>
          <w:lang w:eastAsia="lt-LT"/>
        </w:rPr>
      </w:pPr>
      <w:r w:rsidRPr="006C6731">
        <w:rPr>
          <w:b/>
          <w:szCs w:val="24"/>
        </w:rPr>
        <w:t>Atitiktis Vyriausybės programai</w:t>
      </w:r>
      <w:r>
        <w:rPr>
          <w:b/>
          <w:szCs w:val="24"/>
        </w:rPr>
        <w:t xml:space="preserve"> </w:t>
      </w:r>
      <w:r>
        <w:rPr>
          <w:rFonts w:eastAsia="Calibri"/>
          <w:szCs w:val="24"/>
          <w:lang w:eastAsia="en-US"/>
        </w:rPr>
        <w:t>–</w:t>
      </w:r>
      <w:r w:rsidR="0033057C">
        <w:rPr>
          <w:rFonts w:eastAsia="Calibri"/>
          <w:szCs w:val="24"/>
          <w:lang w:eastAsia="en-US"/>
        </w:rPr>
        <w:t xml:space="preserve"> </w:t>
      </w:r>
      <w:r w:rsidRPr="004A473B">
        <w:rPr>
          <w:szCs w:val="24"/>
        </w:rPr>
        <w:t xml:space="preserve">tiesiogiai </w:t>
      </w:r>
      <w:r w:rsidRPr="004A473B">
        <w:rPr>
          <w:bCs/>
          <w:szCs w:val="24"/>
          <w:lang w:eastAsia="lt-LT"/>
        </w:rPr>
        <w:t>Vyriausybės programos nuostatų neįgyvendina.</w:t>
      </w:r>
      <w:r>
        <w:rPr>
          <w:bCs/>
          <w:szCs w:val="24"/>
          <w:lang w:eastAsia="lt-LT"/>
        </w:rPr>
        <w:t xml:space="preserve"> </w:t>
      </w:r>
    </w:p>
    <w:p w:rsidR="005E3E5E" w:rsidRPr="003D47D3" w:rsidRDefault="00850E21" w:rsidP="005E3E5E">
      <w:pPr>
        <w:rPr>
          <w:szCs w:val="24"/>
          <w:u w:val="single"/>
        </w:rPr>
      </w:pPr>
      <w:r w:rsidRPr="00EB1C14">
        <w:rPr>
          <w:b/>
          <w:szCs w:val="24"/>
        </w:rPr>
        <w:t xml:space="preserve">Dalykinio vertinimo išvada. </w:t>
      </w:r>
      <w:r w:rsidRPr="0058560B">
        <w:rPr>
          <w:szCs w:val="24"/>
        </w:rPr>
        <w:t>Projekt</w:t>
      </w:r>
      <w:r w:rsidR="0033057C">
        <w:rPr>
          <w:szCs w:val="24"/>
        </w:rPr>
        <w:t>us</w:t>
      </w:r>
      <w:r w:rsidRPr="0058560B">
        <w:rPr>
          <w:rFonts w:eastAsia="Calibri"/>
          <w:szCs w:val="24"/>
          <w:lang w:eastAsia="en-US"/>
        </w:rPr>
        <w:t xml:space="preserve"> s</w:t>
      </w:r>
      <w:r w:rsidRPr="0058560B">
        <w:rPr>
          <w:szCs w:val="24"/>
        </w:rPr>
        <w:t xml:space="preserve">iūlome </w:t>
      </w:r>
      <w:r w:rsidR="003D47D3" w:rsidRPr="003D47D3">
        <w:rPr>
          <w:szCs w:val="24"/>
          <w:u w:val="single"/>
        </w:rPr>
        <w:t>aptarti</w:t>
      </w:r>
      <w:r w:rsidRPr="003D47D3">
        <w:rPr>
          <w:b/>
          <w:szCs w:val="24"/>
          <w:u w:val="single"/>
        </w:rPr>
        <w:t xml:space="preserve"> </w:t>
      </w:r>
      <w:r w:rsidR="003D47D3" w:rsidRPr="003D47D3">
        <w:rPr>
          <w:szCs w:val="24"/>
          <w:u w:val="single"/>
        </w:rPr>
        <w:t>Vyriausybės pasitarime</w:t>
      </w:r>
      <w:r w:rsidR="003D47D3" w:rsidRPr="003D47D3">
        <w:rPr>
          <w:szCs w:val="24"/>
          <w:u w:val="single"/>
        </w:rPr>
        <w:t xml:space="preserve"> ir teikti svarstyti </w:t>
      </w:r>
      <w:r w:rsidR="0033057C" w:rsidRPr="003D47D3">
        <w:rPr>
          <w:szCs w:val="24"/>
          <w:u w:val="single"/>
        </w:rPr>
        <w:t>Vyriausybės posėd</w:t>
      </w:r>
      <w:r w:rsidR="00B255D3" w:rsidRPr="003D47D3">
        <w:rPr>
          <w:szCs w:val="24"/>
          <w:u w:val="single"/>
        </w:rPr>
        <w:t>žio A dalyje</w:t>
      </w:r>
      <w:r w:rsidR="003D47D3" w:rsidRPr="003D47D3">
        <w:rPr>
          <w:szCs w:val="24"/>
          <w:u w:val="single"/>
        </w:rPr>
        <w:t xml:space="preserve">. </w:t>
      </w:r>
    </w:p>
    <w:p w:rsidR="00850E21" w:rsidRPr="003D47D3" w:rsidRDefault="00850E21" w:rsidP="005E3E5E">
      <w:pPr>
        <w:rPr>
          <w:szCs w:val="24"/>
        </w:rPr>
      </w:pPr>
      <w:r w:rsidRPr="003D47D3">
        <w:rPr>
          <w:szCs w:val="24"/>
        </w:rPr>
        <w:t xml:space="preserve"> </w:t>
      </w:r>
    </w:p>
    <w:p w:rsidR="00CC68AC" w:rsidRDefault="00CC68AC" w:rsidP="00B255D3">
      <w:pPr>
        <w:rPr>
          <w:szCs w:val="24"/>
        </w:rPr>
      </w:pPr>
    </w:p>
    <w:p w:rsidR="00B255D3" w:rsidRPr="00A859A8" w:rsidRDefault="00B255D3" w:rsidP="00B255D3">
      <w:pPr>
        <w:rPr>
          <w:snapToGrid w:val="0"/>
          <w:szCs w:val="24"/>
        </w:rPr>
      </w:pPr>
      <w:r>
        <w:rPr>
          <w:szCs w:val="24"/>
        </w:rPr>
        <w:t>Socialinės p</w:t>
      </w:r>
      <w:r w:rsidRPr="00A859A8">
        <w:rPr>
          <w:szCs w:val="24"/>
        </w:rPr>
        <w:t>olitikos grupės patarėja</w:t>
      </w:r>
      <w:r w:rsidRPr="00A859A8">
        <w:rPr>
          <w:szCs w:val="24"/>
        </w:rPr>
        <w:tab/>
        <w:t xml:space="preserve">         </w:t>
      </w:r>
      <w:r w:rsidRPr="00A859A8">
        <w:rPr>
          <w:szCs w:val="24"/>
        </w:rPr>
        <w:tab/>
        <w:t xml:space="preserve">                                   Aušra Gratulevičienė</w:t>
      </w:r>
      <w:r>
        <w:rPr>
          <w:szCs w:val="24"/>
        </w:rPr>
        <w:t xml:space="preserve"> </w:t>
      </w:r>
    </w:p>
    <w:p w:rsidR="00B255D3" w:rsidRDefault="00B255D3" w:rsidP="00B255D3">
      <w:pPr>
        <w:rPr>
          <w:szCs w:val="24"/>
        </w:rPr>
      </w:pPr>
    </w:p>
    <w:p w:rsidR="00B255D3" w:rsidRDefault="00B255D3" w:rsidP="00B255D3">
      <w:pPr>
        <w:rPr>
          <w:szCs w:val="24"/>
        </w:rPr>
      </w:pPr>
    </w:p>
    <w:p w:rsidR="00B255D3" w:rsidRDefault="00B255D3" w:rsidP="00B255D3">
      <w:pPr>
        <w:rPr>
          <w:szCs w:val="24"/>
        </w:rPr>
      </w:pPr>
    </w:p>
    <w:p w:rsidR="00B255D3" w:rsidRPr="00A859A8" w:rsidRDefault="00B255D3" w:rsidP="00B255D3">
      <w:pPr>
        <w:rPr>
          <w:szCs w:val="24"/>
        </w:rPr>
      </w:pPr>
      <w:r w:rsidRPr="00A859A8">
        <w:rPr>
          <w:szCs w:val="24"/>
        </w:rPr>
        <w:t xml:space="preserve">tel. 8 706 61 803, </w:t>
      </w:r>
      <w:proofErr w:type="spellStart"/>
      <w:r w:rsidRPr="00A859A8">
        <w:rPr>
          <w:szCs w:val="24"/>
        </w:rPr>
        <w:t>el.p</w:t>
      </w:r>
      <w:proofErr w:type="spellEnd"/>
      <w:r w:rsidRPr="00A859A8">
        <w:rPr>
          <w:szCs w:val="24"/>
        </w:rPr>
        <w:t xml:space="preserve">. </w:t>
      </w:r>
      <w:hyperlink r:id="rId7" w:history="1">
        <w:r w:rsidRPr="00E221AB">
          <w:rPr>
            <w:rStyle w:val="Hipersaitas"/>
            <w:szCs w:val="24"/>
          </w:rPr>
          <w:t>ausra.gratuleviciene@lrv.lt</w:t>
        </w:r>
      </w:hyperlink>
      <w:r>
        <w:rPr>
          <w:szCs w:val="24"/>
        </w:rPr>
        <w:t xml:space="preserve">   </w:t>
      </w:r>
    </w:p>
    <w:p w:rsidR="00B255D3" w:rsidRPr="00A859A8" w:rsidRDefault="00B255D3" w:rsidP="00B255D3">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rsidR="00B255D3" w:rsidRDefault="00B255D3" w:rsidP="005E3E5E">
      <w:pPr>
        <w:rPr>
          <w:szCs w:val="24"/>
        </w:rPr>
      </w:pPr>
      <w:bookmarkStart w:id="1" w:name="_GoBack"/>
      <w:bookmarkEnd w:id="1"/>
    </w:p>
    <w:sectPr w:rsidR="00B255D3" w:rsidSect="00857CCC">
      <w:headerReference w:type="default" r:id="rId8"/>
      <w:footnotePr>
        <w:pos w:val="beneathText"/>
      </w:footnotePr>
      <w:pgSz w:w="11907" w:h="16840" w:code="9"/>
      <w:pgMar w:top="1701" w:right="567" w:bottom="1134" w:left="1418"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284" w:rsidRDefault="00296284">
      <w:r>
        <w:separator/>
      </w:r>
    </w:p>
  </w:endnote>
  <w:endnote w:type="continuationSeparator" w:id="0">
    <w:p w:rsidR="00296284" w:rsidRDefault="0029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284" w:rsidRDefault="00296284">
      <w:r>
        <w:separator/>
      </w:r>
    </w:p>
  </w:footnote>
  <w:footnote w:type="continuationSeparator" w:id="0">
    <w:p w:rsidR="00296284" w:rsidRDefault="00296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343696"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101D1"/>
    <w:multiLevelType w:val="hybridMultilevel"/>
    <w:tmpl w:val="0B681A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C967998"/>
    <w:multiLevelType w:val="hybridMultilevel"/>
    <w:tmpl w:val="56160C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7D6660B"/>
    <w:multiLevelType w:val="hybridMultilevel"/>
    <w:tmpl w:val="FAA67CDC"/>
    <w:lvl w:ilvl="0" w:tplc="8892ADD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21"/>
    <w:rsid w:val="000536C1"/>
    <w:rsid w:val="00143DC2"/>
    <w:rsid w:val="002476CC"/>
    <w:rsid w:val="00293DC0"/>
    <w:rsid w:val="00296284"/>
    <w:rsid w:val="0033057C"/>
    <w:rsid w:val="00343696"/>
    <w:rsid w:val="003A3CE3"/>
    <w:rsid w:val="003D47D3"/>
    <w:rsid w:val="003E4871"/>
    <w:rsid w:val="004001EE"/>
    <w:rsid w:val="00475D4F"/>
    <w:rsid w:val="005E3E5E"/>
    <w:rsid w:val="0061211C"/>
    <w:rsid w:val="007E47CF"/>
    <w:rsid w:val="00850E21"/>
    <w:rsid w:val="00857CCC"/>
    <w:rsid w:val="008913F3"/>
    <w:rsid w:val="008B386A"/>
    <w:rsid w:val="009E3CFA"/>
    <w:rsid w:val="00A81CA9"/>
    <w:rsid w:val="00B255D3"/>
    <w:rsid w:val="00B5495A"/>
    <w:rsid w:val="00BB0960"/>
    <w:rsid w:val="00CC68AC"/>
    <w:rsid w:val="00CD37B2"/>
    <w:rsid w:val="00CD6462"/>
    <w:rsid w:val="00D15CC0"/>
    <w:rsid w:val="00DB24D6"/>
    <w:rsid w:val="00E14E3B"/>
    <w:rsid w:val="00F053CF"/>
    <w:rsid w:val="00F22D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60FE0"/>
  <w15:chartTrackingRefBased/>
  <w15:docId w15:val="{3060D846-2B93-48FA-A1B3-94A53822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50E21"/>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50E21"/>
    <w:pPr>
      <w:tabs>
        <w:tab w:val="center" w:pos="4153"/>
        <w:tab w:val="right" w:pos="8306"/>
      </w:tabs>
    </w:pPr>
  </w:style>
  <w:style w:type="character" w:customStyle="1" w:styleId="AntratsDiagrama">
    <w:name w:val="Antraštės Diagrama"/>
    <w:basedOn w:val="Numatytasispastraiposriftas"/>
    <w:link w:val="Antrats"/>
    <w:rsid w:val="00850E21"/>
    <w:rPr>
      <w:rFonts w:ascii="Times New Roman" w:eastAsia="Times New Roman" w:hAnsi="Times New Roman" w:cs="Times New Roman"/>
      <w:sz w:val="24"/>
      <w:szCs w:val="20"/>
      <w:lang w:eastAsia="ru-RU"/>
    </w:rPr>
  </w:style>
  <w:style w:type="paragraph" w:customStyle="1" w:styleId="Antraste">
    <w:name w:val="Antraste"/>
    <w:basedOn w:val="prastasis"/>
    <w:link w:val="AntrasteChar"/>
    <w:qFormat/>
    <w:rsid w:val="00850E21"/>
    <w:pPr>
      <w:jc w:val="center"/>
    </w:pPr>
    <w:rPr>
      <w:b/>
      <w:caps/>
      <w:spacing w:val="-6"/>
    </w:rPr>
  </w:style>
  <w:style w:type="character" w:customStyle="1" w:styleId="AntrasteChar">
    <w:name w:val="Antraste Char"/>
    <w:basedOn w:val="Numatytasispastraiposriftas"/>
    <w:link w:val="Antraste"/>
    <w:rsid w:val="00850E21"/>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850E2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850E21"/>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850E21"/>
    <w:pPr>
      <w:ind w:left="720"/>
      <w:contextualSpacing/>
    </w:pPr>
  </w:style>
  <w:style w:type="character" w:styleId="Hipersaitas">
    <w:name w:val="Hyperlink"/>
    <w:basedOn w:val="Numatytasispastraiposriftas"/>
    <w:uiPriority w:val="99"/>
    <w:unhideWhenUsed/>
    <w:rsid w:val="00B255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glossary/document.xml"
                 Type="http://schemas.openxmlformats.org/officeDocument/2006/relationships/glossaryDocument"/>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ausra.gratuleviciene@lrv.lt" TargetMode="External"
                 Type="http://schemas.openxmlformats.org/officeDocument/2006/relationships/hyperlink"/>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4578F375AD43D0A6A7A8199F89AB21"/>
        <w:category>
          <w:name w:val="Bendrosios nuostatos"/>
          <w:gallery w:val="placeholder"/>
        </w:category>
        <w:types>
          <w:type w:val="bbPlcHdr"/>
        </w:types>
        <w:behaviors>
          <w:behavior w:val="content"/>
        </w:behaviors>
        <w:guid w:val="{4A127083-0404-43F0-BB33-28B78C61C5DD}"/>
      </w:docPartPr>
      <w:docPartBody>
        <w:p w:rsidR="00333EFC" w:rsidRDefault="00FC0900" w:rsidP="00FC0900">
          <w:pPr>
            <w:pStyle w:val="324578F375AD43D0A6A7A8199F89AB21"/>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900"/>
    <w:rsid w:val="0033228B"/>
    <w:rsid w:val="00333EFC"/>
    <w:rsid w:val="004631AF"/>
    <w:rsid w:val="005917B1"/>
    <w:rsid w:val="009460CA"/>
    <w:rsid w:val="00A30617"/>
    <w:rsid w:val="00B64989"/>
    <w:rsid w:val="00DF512B"/>
    <w:rsid w:val="00FC0900"/>
    <w:rsid w:val="00FF73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C0900"/>
    <w:rPr>
      <w:color w:val="808080"/>
    </w:rPr>
  </w:style>
  <w:style w:type="paragraph" w:customStyle="1" w:styleId="324578F375AD43D0A6A7A8199F89AB21">
    <w:name w:val="324578F375AD43D0A6A7A8199F89AB21"/>
    <w:rsid w:val="00FC0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3359</Words>
  <Characters>1916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2019-07-03T04:59:00Z</dcterms:created>
  <dc:creator>Daiva Buivydaitė-Garbštienė</dc:creator>
  <cp:lastModifiedBy>Aušra Gratulevičienė</cp:lastModifiedBy>
  <dcterms:modified xsi:type="dcterms:W3CDTF">2019-07-03T07:41:00Z</dcterms:modified>
  <cp:revision>5</cp:revision>
</cp:coreProperties>
</file>