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D5E" w:rsidRPr="0001172C" w:rsidRDefault="00ED0642" w:rsidP="00FD1D5E">
      <w:pPr>
        <w:suppressAutoHyphens/>
        <w:autoSpaceDE w:val="0"/>
        <w:autoSpaceDN w:val="0"/>
        <w:spacing w:after="0" w:line="240" w:lineRule="auto"/>
        <w:jc w:val="center"/>
        <w:textAlignment w:val="baseline"/>
        <w:rPr>
          <w:rFonts w:ascii="Times New Roman" w:eastAsia="Times New Roman" w:hAnsi="Times New Roman" w:cs="Times New Roman"/>
          <w:b/>
          <w:bCs/>
          <w:caps/>
          <w:kern w:val="3"/>
          <w:sz w:val="23"/>
          <w:lang w:val="en-US" w:eastAsia="zh-CN"/>
        </w:rPr>
      </w:pPr>
      <w:bookmarkStart w:id="0" w:name="_GoBack"/>
      <w:bookmarkEnd w:id="0"/>
      <w:r w:rsidRPr="0001172C">
        <w:rPr>
          <w:rFonts w:ascii="Times New Roman" w:eastAsia="Times New Roman" w:hAnsi="Times New Roman" w:cs="Times New Roman"/>
          <w:b/>
          <w:bCs/>
          <w:caps/>
          <w:kern w:val="3"/>
          <w:sz w:val="23"/>
          <w:lang w:val="en-US" w:eastAsia="zh-CN"/>
        </w:rPr>
        <w:t>DERINIMO PAŽYMA</w:t>
      </w:r>
    </w:p>
    <w:p w:rsidR="00FD1D5E" w:rsidRPr="0001172C" w:rsidRDefault="00FD1D5E" w:rsidP="009019B0">
      <w:pPr>
        <w:spacing w:after="0" w:line="240" w:lineRule="auto"/>
        <w:jc w:val="center"/>
        <w:rPr>
          <w:rFonts w:ascii="Times New Roman" w:eastAsia="Times New Roman" w:hAnsi="Times New Roman" w:cs="Times New Roman"/>
          <w:b/>
          <w:bCs/>
          <w:caps/>
          <w:kern w:val="3"/>
          <w:sz w:val="23"/>
          <w:lang w:val="en-US" w:eastAsia="zh-CN"/>
        </w:rPr>
      </w:pPr>
      <w:bookmarkStart w:id="1" w:name="_Hlk513734621"/>
      <w:r w:rsidRPr="0001172C">
        <w:rPr>
          <w:rFonts w:ascii="Times New Roman" w:eastAsia="Times New Roman" w:hAnsi="Times New Roman" w:cs="Times New Roman"/>
          <w:b/>
          <w:bCs/>
          <w:caps/>
          <w:kern w:val="3"/>
          <w:sz w:val="23"/>
          <w:lang w:val="en-US" w:eastAsia="zh-CN"/>
        </w:rPr>
        <w:t xml:space="preserve">DĖL Lietuvos respublikos </w:t>
      </w:r>
      <w:r w:rsidR="0092377F" w:rsidRPr="0001172C">
        <w:rPr>
          <w:rFonts w:ascii="Times New Roman" w:eastAsia="Times New Roman" w:hAnsi="Times New Roman" w:cs="Times New Roman"/>
          <w:b/>
          <w:bCs/>
          <w:caps/>
          <w:kern w:val="3"/>
          <w:sz w:val="23"/>
          <w:lang w:val="en-US" w:eastAsia="zh-CN"/>
        </w:rPr>
        <w:t xml:space="preserve">VYRIAUSYBĖS </w:t>
      </w:r>
      <w:r w:rsidR="0092377F" w:rsidRPr="0001172C">
        <w:rPr>
          <w:rFonts w:ascii="Times New Roman" w:eastAsia="Times New Roman" w:hAnsi="Times New Roman" w:cs="Times New Roman"/>
          <w:b/>
          <w:bCs/>
          <w:caps/>
          <w:kern w:val="3"/>
          <w:sz w:val="23"/>
          <w:lang w:eastAsia="zh-CN"/>
        </w:rPr>
        <w:t xml:space="preserve">nutarimo </w:t>
      </w:r>
      <w:bookmarkEnd w:id="1"/>
      <w:r w:rsidR="009019B0" w:rsidRPr="0001172C">
        <w:rPr>
          <w:rFonts w:ascii="Times New Roman" w:eastAsia="Times New Roman" w:hAnsi="Times New Roman" w:cs="Times New Roman"/>
          <w:b/>
          <w:bCs/>
          <w:caps/>
          <w:kern w:val="3"/>
          <w:sz w:val="23"/>
          <w:lang w:eastAsia="zh-CN"/>
        </w:rPr>
        <w:t>„Dėl 2017 m. gruodžio 12 d. Europos Parlamento ir Tarybos reglamento (ES) 2017/2394 dėl nacionalinių institucijų, atsakingų už vartotojų apsaugos teisės aktų vykdymo užtikrinimą, bendradarbiavimo, kuriuo panaikinamas reglamentas (EB) Nr. 2006/2004, nuostatų įgyvendinimo“ projekto</w:t>
      </w:r>
    </w:p>
    <w:p w:rsidR="00FD1D5E" w:rsidRPr="0001172C" w:rsidRDefault="00FD1D5E" w:rsidP="00FD1D5E">
      <w:pPr>
        <w:suppressAutoHyphens/>
        <w:autoSpaceDE w:val="0"/>
        <w:autoSpaceDN w:val="0"/>
        <w:spacing w:after="0" w:line="240" w:lineRule="auto"/>
        <w:jc w:val="center"/>
        <w:textAlignment w:val="baseline"/>
        <w:rPr>
          <w:rFonts w:ascii="Times New Roman" w:eastAsia="Times New Roman" w:hAnsi="Times New Roman" w:cs="Times New Roman"/>
          <w:b/>
          <w:bCs/>
          <w:caps/>
          <w:kern w:val="3"/>
          <w:sz w:val="23"/>
          <w:lang w:val="en-US" w:eastAsia="zh-CN"/>
        </w:rPr>
      </w:pPr>
    </w:p>
    <w:tbl>
      <w:tblPr>
        <w:tblStyle w:val="Lentelstinklelis"/>
        <w:tblW w:w="15021" w:type="dxa"/>
        <w:tblLook w:val="04A0" w:firstRow="1" w:lastRow="0" w:firstColumn="1" w:lastColumn="0" w:noHBand="0" w:noVBand="1"/>
      </w:tblPr>
      <w:tblGrid>
        <w:gridCol w:w="560"/>
        <w:gridCol w:w="1576"/>
        <w:gridCol w:w="3529"/>
        <w:gridCol w:w="9356"/>
      </w:tblGrid>
      <w:tr w:rsidR="00FD1D5E" w:rsidRPr="0001172C" w:rsidTr="0001172C">
        <w:tc>
          <w:tcPr>
            <w:tcW w:w="560" w:type="dxa"/>
          </w:tcPr>
          <w:p w:rsidR="00FD1D5E" w:rsidRPr="0001172C" w:rsidRDefault="00FD1D5E" w:rsidP="002E6C10">
            <w:pPr>
              <w:tabs>
                <w:tab w:val="left" w:pos="449"/>
              </w:tabs>
              <w:spacing w:after="80" w:line="264" w:lineRule="auto"/>
              <w:jc w:val="center"/>
              <w:rPr>
                <w:rFonts w:ascii="Times New Roman" w:hAnsi="Times New Roman" w:cs="Times New Roman"/>
                <w:bCs/>
                <w:sz w:val="23"/>
              </w:rPr>
            </w:pPr>
            <w:r w:rsidRPr="0001172C">
              <w:rPr>
                <w:rFonts w:ascii="Times New Roman" w:hAnsi="Times New Roman" w:cs="Times New Roman"/>
                <w:bCs/>
                <w:sz w:val="23"/>
              </w:rPr>
              <w:t>Eil. Nr.</w:t>
            </w:r>
          </w:p>
        </w:tc>
        <w:tc>
          <w:tcPr>
            <w:tcW w:w="1576" w:type="dxa"/>
          </w:tcPr>
          <w:p w:rsidR="00FD1D5E" w:rsidRPr="0001172C" w:rsidRDefault="00FD1D5E" w:rsidP="00614D4E">
            <w:pPr>
              <w:tabs>
                <w:tab w:val="left" w:pos="449"/>
              </w:tabs>
              <w:spacing w:after="80"/>
              <w:jc w:val="center"/>
              <w:rPr>
                <w:rFonts w:ascii="Times New Roman" w:hAnsi="Times New Roman" w:cs="Times New Roman"/>
                <w:sz w:val="23"/>
              </w:rPr>
            </w:pPr>
            <w:r w:rsidRPr="0001172C">
              <w:rPr>
                <w:rFonts w:ascii="Times New Roman" w:hAnsi="Times New Roman" w:cs="Times New Roman"/>
                <w:bCs/>
                <w:sz w:val="23"/>
              </w:rPr>
              <w:t>Institucija, pateikusi pastabas ir  pasiūlymus</w:t>
            </w:r>
          </w:p>
        </w:tc>
        <w:tc>
          <w:tcPr>
            <w:tcW w:w="3529" w:type="dxa"/>
          </w:tcPr>
          <w:p w:rsidR="00FD1D5E" w:rsidRPr="0001172C" w:rsidRDefault="00FD1D5E" w:rsidP="00614D4E">
            <w:pPr>
              <w:tabs>
                <w:tab w:val="left" w:pos="449"/>
              </w:tabs>
              <w:spacing w:after="80"/>
              <w:jc w:val="center"/>
              <w:rPr>
                <w:rFonts w:ascii="Times New Roman" w:hAnsi="Times New Roman" w:cs="Times New Roman"/>
                <w:sz w:val="23"/>
              </w:rPr>
            </w:pPr>
            <w:r w:rsidRPr="0001172C">
              <w:rPr>
                <w:rFonts w:ascii="Times New Roman" w:eastAsia="Times New Roman" w:hAnsi="Times New Roman" w:cs="Times New Roman"/>
                <w:sz w:val="23"/>
              </w:rPr>
              <w:t>Pastabos ir pasiūlymai</w:t>
            </w:r>
          </w:p>
        </w:tc>
        <w:tc>
          <w:tcPr>
            <w:tcW w:w="9356" w:type="dxa"/>
          </w:tcPr>
          <w:p w:rsidR="00FD1D5E" w:rsidRPr="0001172C" w:rsidRDefault="00FD1D5E" w:rsidP="002E6C10">
            <w:pPr>
              <w:spacing w:line="276" w:lineRule="auto"/>
              <w:jc w:val="center"/>
              <w:rPr>
                <w:rFonts w:ascii="Times New Roman" w:hAnsi="Times New Roman" w:cs="Times New Roman"/>
                <w:b/>
                <w:sz w:val="23"/>
              </w:rPr>
            </w:pPr>
            <w:r w:rsidRPr="0001172C">
              <w:rPr>
                <w:rFonts w:ascii="Times New Roman" w:eastAsia="Times New Roman" w:hAnsi="Times New Roman" w:cs="Times New Roman"/>
                <w:sz w:val="23"/>
              </w:rPr>
              <w:t>Pastabų ir pasiūlymų įvertinimas</w:t>
            </w:r>
          </w:p>
        </w:tc>
      </w:tr>
      <w:tr w:rsidR="00C5146F" w:rsidRPr="0001172C" w:rsidTr="0001172C">
        <w:tc>
          <w:tcPr>
            <w:tcW w:w="560" w:type="dxa"/>
          </w:tcPr>
          <w:p w:rsidR="00C5146F" w:rsidRPr="0001172C" w:rsidRDefault="00C5146F" w:rsidP="002E6C10">
            <w:pPr>
              <w:autoSpaceDE w:val="0"/>
              <w:autoSpaceDN w:val="0"/>
              <w:adjustRightInd w:val="0"/>
              <w:spacing w:line="264" w:lineRule="auto"/>
              <w:rPr>
                <w:rFonts w:ascii="Times New Roman" w:hAnsi="Times New Roman" w:cs="Times New Roman"/>
                <w:bCs/>
                <w:sz w:val="23"/>
              </w:rPr>
            </w:pPr>
          </w:p>
        </w:tc>
        <w:tc>
          <w:tcPr>
            <w:tcW w:w="1576" w:type="dxa"/>
          </w:tcPr>
          <w:p w:rsidR="004F54C3" w:rsidRDefault="009019B0" w:rsidP="00450A99">
            <w:pPr>
              <w:rPr>
                <w:rFonts w:ascii="Times New Roman" w:hAnsi="Times New Roman" w:cs="Times New Roman"/>
                <w:sz w:val="23"/>
              </w:rPr>
            </w:pPr>
            <w:r w:rsidRPr="0001172C">
              <w:rPr>
                <w:rFonts w:ascii="Times New Roman" w:hAnsi="Times New Roman" w:cs="Times New Roman"/>
                <w:sz w:val="23"/>
              </w:rPr>
              <w:t>Lietuvos transporto saugos administracija</w:t>
            </w:r>
          </w:p>
          <w:p w:rsidR="0001172C" w:rsidRPr="0001172C" w:rsidRDefault="0001172C" w:rsidP="00450A99">
            <w:pPr>
              <w:rPr>
                <w:rFonts w:ascii="Times New Roman" w:hAnsi="Times New Roman" w:cs="Times New Roman"/>
                <w:sz w:val="23"/>
              </w:rPr>
            </w:pPr>
            <w:r w:rsidRPr="0001172C">
              <w:rPr>
                <w:rFonts w:ascii="Times New Roman" w:hAnsi="Times New Roman" w:cs="Times New Roman"/>
                <w:sz w:val="23"/>
              </w:rPr>
              <w:t>2019-12-23 Nr. 15B-8322</w:t>
            </w:r>
          </w:p>
        </w:tc>
        <w:tc>
          <w:tcPr>
            <w:tcW w:w="3529" w:type="dxa"/>
          </w:tcPr>
          <w:p w:rsidR="00C5146F" w:rsidRPr="0001172C" w:rsidRDefault="009019B0" w:rsidP="000D4718">
            <w:pPr>
              <w:tabs>
                <w:tab w:val="left" w:pos="244"/>
                <w:tab w:val="left" w:pos="527"/>
              </w:tabs>
              <w:jc w:val="both"/>
              <w:rPr>
                <w:rFonts w:ascii="Times New Roman" w:hAnsi="Times New Roman" w:cs="Times New Roman"/>
                <w:bCs/>
                <w:sz w:val="23"/>
              </w:rPr>
            </w:pPr>
            <w:r w:rsidRPr="0001172C">
              <w:rPr>
                <w:rFonts w:ascii="Times New Roman" w:hAnsi="Times New Roman" w:cs="Times New Roman"/>
                <w:bCs/>
                <w:sz w:val="23"/>
              </w:rPr>
              <w:t>2. Reglamento (ES) 2017/2394 5 straipsnio 5 dalis numato, kad tais atvejais, kai valstybių narių teritorijoje yra daugiau nei viena kompetentinga institucija, valstybės narės turi užtikrinti, kad atitinkamos tų kompetentingų institucijų pareigos būtų aiškiai apibrėžtos. LRV nutarimo projekto 2.3 papunktyje nėra tiksliai apibrėžta kokias kompetentingos institucijos pagal Reglamentą (ES) 2017/2394 funkcijas turės vykdyti LTSA.</w:t>
            </w:r>
          </w:p>
        </w:tc>
        <w:tc>
          <w:tcPr>
            <w:tcW w:w="9356" w:type="dxa"/>
          </w:tcPr>
          <w:p w:rsidR="00450A99" w:rsidRPr="0001172C" w:rsidRDefault="009019B0" w:rsidP="00825D30">
            <w:pPr>
              <w:jc w:val="both"/>
              <w:rPr>
                <w:rFonts w:ascii="Times New Roman" w:hAnsi="Times New Roman" w:cs="Times New Roman"/>
                <w:b/>
                <w:sz w:val="23"/>
              </w:rPr>
            </w:pPr>
            <w:r w:rsidRPr="0001172C">
              <w:rPr>
                <w:rFonts w:ascii="Times New Roman" w:hAnsi="Times New Roman" w:cs="Times New Roman"/>
                <w:b/>
                <w:sz w:val="23"/>
              </w:rPr>
              <w:t>Neatsižvelgta.</w:t>
            </w:r>
          </w:p>
          <w:p w:rsidR="009019B0" w:rsidRPr="0001172C" w:rsidRDefault="009019B0" w:rsidP="009019B0">
            <w:pPr>
              <w:jc w:val="both"/>
              <w:rPr>
                <w:rFonts w:ascii="Times New Roman" w:hAnsi="Times New Roman" w:cs="Times New Roman"/>
                <w:sz w:val="23"/>
              </w:rPr>
            </w:pPr>
            <w:r w:rsidRPr="0001172C">
              <w:rPr>
                <w:rFonts w:ascii="Times New Roman" w:hAnsi="Times New Roman" w:cs="Times New Roman"/>
                <w:sz w:val="23"/>
              </w:rPr>
              <w:t>Pažymėtina, kad</w:t>
            </w:r>
            <w:r w:rsidR="006D1AC0" w:rsidRPr="0001172C">
              <w:rPr>
                <w:rFonts w:ascii="Times New Roman" w:hAnsi="Times New Roman" w:cs="Times New Roman"/>
                <w:sz w:val="23"/>
              </w:rPr>
              <w:t xml:space="preserve"> Reglamento (ES) 2017/2394 9 straipsnyje ir</w:t>
            </w:r>
            <w:r w:rsidRPr="0001172C">
              <w:rPr>
                <w:rFonts w:ascii="Times New Roman" w:hAnsi="Times New Roman" w:cs="Times New Roman"/>
                <w:sz w:val="23"/>
              </w:rPr>
              <w:t xml:space="preserve"> Lietuvos Respublikos vartotojų teisių apsaugos įstatymo Nr. I-657 2, 12, 29</w:t>
            </w:r>
            <w:r w:rsidRPr="0001172C">
              <w:rPr>
                <w:rFonts w:ascii="Times New Roman" w:hAnsi="Times New Roman" w:cs="Times New Roman"/>
                <w:sz w:val="23"/>
                <w:vertAlign w:val="superscript"/>
              </w:rPr>
              <w:t>4</w:t>
            </w:r>
            <w:r w:rsidRPr="0001172C">
              <w:rPr>
                <w:rFonts w:ascii="Times New Roman" w:hAnsi="Times New Roman" w:cs="Times New Roman"/>
                <w:sz w:val="23"/>
              </w:rPr>
              <w:t>, 40 straipsnių, priedo pakeitimo ir Įstatymo papildymo 44</w:t>
            </w:r>
            <w:r w:rsidRPr="0001172C">
              <w:rPr>
                <w:rFonts w:ascii="Times New Roman" w:hAnsi="Times New Roman" w:cs="Times New Roman"/>
                <w:sz w:val="23"/>
                <w:vertAlign w:val="superscript"/>
              </w:rPr>
              <w:t>1</w:t>
            </w:r>
            <w:r w:rsidRPr="0001172C">
              <w:rPr>
                <w:rFonts w:ascii="Times New Roman" w:hAnsi="Times New Roman" w:cs="Times New Roman"/>
                <w:sz w:val="23"/>
              </w:rPr>
              <w:t xml:space="preserve"> straipsniu</w:t>
            </w:r>
            <w:r w:rsidR="00405232">
              <w:rPr>
                <w:rFonts w:ascii="Times New Roman" w:hAnsi="Times New Roman" w:cs="Times New Roman"/>
                <w:sz w:val="23"/>
              </w:rPr>
              <w:t xml:space="preserve"> ir dešimtuoju skirsniu įstatyme (kuris įsigalios 2020 m. sausio 17 d.)</w:t>
            </w:r>
            <w:r w:rsidR="006D1AC0" w:rsidRPr="0001172C">
              <w:rPr>
                <w:rFonts w:ascii="Times New Roman" w:hAnsi="Times New Roman" w:cs="Times New Roman"/>
                <w:sz w:val="23"/>
              </w:rPr>
              <w:t xml:space="preserve"> </w:t>
            </w:r>
            <w:r w:rsidRPr="0001172C">
              <w:rPr>
                <w:rFonts w:ascii="Times New Roman" w:hAnsi="Times New Roman" w:cs="Times New Roman"/>
                <w:sz w:val="23"/>
              </w:rPr>
              <w:t>nustatyti minimalūs kompetentingų institucijų įgaliojimai, kuriuos galės taikyti kompetentingos institucijos.</w:t>
            </w:r>
          </w:p>
          <w:p w:rsidR="006D1AC0" w:rsidRPr="0001172C" w:rsidRDefault="006D1AC0" w:rsidP="009019B0">
            <w:pPr>
              <w:jc w:val="both"/>
              <w:rPr>
                <w:rFonts w:ascii="Times New Roman" w:hAnsi="Times New Roman" w:cs="Times New Roman"/>
                <w:sz w:val="23"/>
              </w:rPr>
            </w:pPr>
            <w:r w:rsidRPr="0001172C">
              <w:rPr>
                <w:rFonts w:ascii="Times New Roman" w:hAnsi="Times New Roman" w:cs="Times New Roman"/>
                <w:sz w:val="23"/>
              </w:rPr>
              <w:t xml:space="preserve">Todėl nėra tikslinga Reglamente (ES) 2017/2394 ir </w:t>
            </w:r>
            <w:r w:rsidR="00405232">
              <w:rPr>
                <w:rFonts w:ascii="Times New Roman" w:hAnsi="Times New Roman" w:cs="Times New Roman"/>
                <w:sz w:val="23"/>
              </w:rPr>
              <w:t>nurodytame</w:t>
            </w:r>
            <w:r w:rsidRPr="0001172C">
              <w:rPr>
                <w:rFonts w:ascii="Times New Roman" w:hAnsi="Times New Roman" w:cs="Times New Roman"/>
                <w:sz w:val="23"/>
              </w:rPr>
              <w:t xml:space="preserve"> įstatyme nustatytus kompetentingų institucijų įgaliojimus</w:t>
            </w:r>
            <w:r w:rsidR="00405232">
              <w:rPr>
                <w:rFonts w:ascii="Times New Roman" w:hAnsi="Times New Roman" w:cs="Times New Roman"/>
                <w:sz w:val="23"/>
              </w:rPr>
              <w:t xml:space="preserve"> pakartotinai dėstyti Vyriausybės nutarime</w:t>
            </w:r>
            <w:r w:rsidRPr="0001172C">
              <w:rPr>
                <w:rFonts w:ascii="Times New Roman" w:hAnsi="Times New Roman" w:cs="Times New Roman"/>
                <w:sz w:val="23"/>
              </w:rPr>
              <w:t xml:space="preserve">. </w:t>
            </w:r>
          </w:p>
          <w:p w:rsidR="009019B0" w:rsidRPr="0001172C" w:rsidRDefault="004906A5" w:rsidP="009019B0">
            <w:pPr>
              <w:jc w:val="both"/>
              <w:rPr>
                <w:rFonts w:ascii="Times New Roman" w:hAnsi="Times New Roman" w:cs="Times New Roman"/>
                <w:sz w:val="23"/>
              </w:rPr>
            </w:pPr>
            <w:r w:rsidRPr="0001172C">
              <w:rPr>
                <w:rFonts w:ascii="Times New Roman" w:hAnsi="Times New Roman" w:cs="Times New Roman"/>
                <w:sz w:val="23"/>
              </w:rPr>
              <w:t>Įgyvendinant</w:t>
            </w:r>
            <w:r w:rsidR="006D1AC0" w:rsidRPr="0001172C">
              <w:rPr>
                <w:rFonts w:ascii="Times New Roman" w:hAnsi="Times New Roman" w:cs="Times New Roman"/>
                <w:sz w:val="23"/>
              </w:rPr>
              <w:t xml:space="preserve"> Reglamento (ES) 2017/2394 </w:t>
            </w:r>
            <w:r w:rsidRPr="0001172C">
              <w:rPr>
                <w:rFonts w:ascii="Times New Roman" w:hAnsi="Times New Roman" w:cs="Times New Roman"/>
                <w:iCs/>
                <w:sz w:val="23"/>
              </w:rPr>
              <w:t>5 straipsnio 1 dalį,</w:t>
            </w:r>
            <w:r w:rsidRPr="0001172C">
              <w:rPr>
                <w:rFonts w:ascii="Times New Roman" w:hAnsi="Times New Roman" w:cs="Times New Roman"/>
                <w:sz w:val="23"/>
              </w:rPr>
              <w:t xml:space="preserve"> </w:t>
            </w:r>
            <w:r w:rsidRPr="0001172C">
              <w:rPr>
                <w:rFonts w:ascii="Times New Roman" w:hAnsi="Times New Roman" w:cs="Times New Roman"/>
                <w:iCs/>
                <w:sz w:val="23"/>
              </w:rPr>
              <w:t>nutarim</w:t>
            </w:r>
            <w:r w:rsidR="00405232">
              <w:rPr>
                <w:rFonts w:ascii="Times New Roman" w:hAnsi="Times New Roman" w:cs="Times New Roman"/>
                <w:iCs/>
                <w:sz w:val="23"/>
              </w:rPr>
              <w:t>u</w:t>
            </w:r>
            <w:r w:rsidRPr="0001172C">
              <w:rPr>
                <w:rFonts w:ascii="Times New Roman" w:hAnsi="Times New Roman" w:cs="Times New Roman"/>
                <w:iCs/>
                <w:sz w:val="23"/>
              </w:rPr>
              <w:t xml:space="preserve"> siekiama tik </w:t>
            </w:r>
            <w:r w:rsidR="006D1AC0" w:rsidRPr="0001172C">
              <w:rPr>
                <w:rFonts w:ascii="Times New Roman" w:hAnsi="Times New Roman" w:cs="Times New Roman"/>
                <w:sz w:val="23"/>
              </w:rPr>
              <w:t>paskirti kompetentingas institucijas</w:t>
            </w:r>
            <w:r w:rsidRPr="0001172C">
              <w:rPr>
                <w:rFonts w:ascii="Times New Roman" w:hAnsi="Times New Roman" w:cs="Times New Roman"/>
                <w:sz w:val="23"/>
              </w:rPr>
              <w:t>.</w:t>
            </w:r>
          </w:p>
          <w:p w:rsidR="006D1AC0" w:rsidRPr="0001172C" w:rsidRDefault="006D1AC0" w:rsidP="004906A5">
            <w:pPr>
              <w:jc w:val="both"/>
              <w:rPr>
                <w:rFonts w:ascii="Times New Roman" w:hAnsi="Times New Roman" w:cs="Times New Roman"/>
                <w:sz w:val="23"/>
              </w:rPr>
            </w:pPr>
          </w:p>
        </w:tc>
      </w:tr>
      <w:tr w:rsidR="00C23C0A" w:rsidRPr="0001172C" w:rsidTr="0001172C">
        <w:tc>
          <w:tcPr>
            <w:tcW w:w="560" w:type="dxa"/>
          </w:tcPr>
          <w:p w:rsidR="00C23C0A" w:rsidRPr="0001172C" w:rsidRDefault="00C23C0A" w:rsidP="002E6C10">
            <w:pPr>
              <w:autoSpaceDE w:val="0"/>
              <w:autoSpaceDN w:val="0"/>
              <w:adjustRightInd w:val="0"/>
              <w:spacing w:line="264" w:lineRule="auto"/>
              <w:rPr>
                <w:rFonts w:ascii="Times New Roman" w:hAnsi="Times New Roman" w:cs="Times New Roman"/>
                <w:bCs/>
                <w:sz w:val="23"/>
              </w:rPr>
            </w:pPr>
          </w:p>
        </w:tc>
        <w:tc>
          <w:tcPr>
            <w:tcW w:w="1576" w:type="dxa"/>
          </w:tcPr>
          <w:p w:rsidR="00C23C0A" w:rsidRPr="0001172C" w:rsidRDefault="00C23C0A" w:rsidP="009019B0">
            <w:pPr>
              <w:rPr>
                <w:rFonts w:ascii="Times New Roman" w:hAnsi="Times New Roman" w:cs="Times New Roman"/>
                <w:sz w:val="23"/>
              </w:rPr>
            </w:pPr>
          </w:p>
        </w:tc>
        <w:tc>
          <w:tcPr>
            <w:tcW w:w="3529" w:type="dxa"/>
          </w:tcPr>
          <w:p w:rsidR="00C23C0A" w:rsidRPr="0001172C" w:rsidRDefault="0001172C" w:rsidP="000D4718">
            <w:pPr>
              <w:tabs>
                <w:tab w:val="left" w:pos="244"/>
                <w:tab w:val="left" w:pos="527"/>
              </w:tabs>
              <w:jc w:val="both"/>
              <w:rPr>
                <w:rFonts w:ascii="Times New Roman" w:hAnsi="Times New Roman" w:cs="Times New Roman"/>
                <w:bCs/>
                <w:sz w:val="23"/>
              </w:rPr>
            </w:pPr>
            <w:r w:rsidRPr="0001172C">
              <w:rPr>
                <w:rFonts w:ascii="Times New Roman" w:hAnsi="Times New Roman" w:cs="Times New Roman"/>
                <w:bCs/>
                <w:sz w:val="23"/>
              </w:rPr>
              <w:t>3</w:t>
            </w:r>
            <w:r w:rsidR="004906A5" w:rsidRPr="0001172C">
              <w:rPr>
                <w:rFonts w:ascii="Times New Roman" w:hAnsi="Times New Roman" w:cs="Times New Roman"/>
                <w:bCs/>
                <w:sz w:val="23"/>
              </w:rPr>
              <w:t>.</w:t>
            </w:r>
            <w:r w:rsidR="00E634AA" w:rsidRPr="0001172C">
              <w:rPr>
                <w:rFonts w:ascii="Times New Roman" w:hAnsi="Times New Roman" w:cs="Times New Roman"/>
                <w:bCs/>
                <w:sz w:val="23"/>
              </w:rPr>
              <w:t xml:space="preserve"> </w:t>
            </w:r>
            <w:r w:rsidR="004906A5" w:rsidRPr="0001172C">
              <w:rPr>
                <w:rFonts w:ascii="Times New Roman" w:hAnsi="Times New Roman" w:cs="Times New Roman"/>
                <w:bCs/>
                <w:sz w:val="23"/>
              </w:rPr>
              <w:t xml:space="preserve">LTSA, įgyvendinant 2004 m. vasario 11 d. Europos Parlamento ir Tarybos reglamento (EB) Nr. 261/2004 nustatančio bendras kompensavimo ir pagalbos keleiviams taisykles atsisakymo vežti ir skrydžių atšaukimo arba atidėjimo ilgam laikui atveju, panaikinančio Reglamentą (EEB) Nr. 295/91 (Reglamento (ES) 2017/2394 priedo 8 punktas) 16 straipsnio 1 dalies nuostatas yra paskirta įstaiga, atsakinga už šio reglamento vykdymo užtikrinimą skrydžių iš jos teritorijoje esančių oro uostų ir skrydžių iš trečiųjų šalių į tokius oro uostus atžvilgiu. </w:t>
            </w:r>
            <w:r w:rsidR="004906A5" w:rsidRPr="0001172C">
              <w:rPr>
                <w:rFonts w:ascii="Times New Roman" w:hAnsi="Times New Roman" w:cs="Times New Roman"/>
                <w:bCs/>
                <w:sz w:val="23"/>
              </w:rPr>
              <w:lastRenderedPageBreak/>
              <w:t>Europos Sąjungos teisingumo teismas savo sprendime sujungtose bylose C-145/15 ir C-146/15 išaiškino, kad pagal minėto Reglamento 16 straipsnio 1 dalį paskirta įstaiga privalo vykdyti tik bendro pobūdžio oro vežėjų priežiūrą, o atsižvelgiant į Reglamento Nr. 261/2004 konstatuojamos dalies 22 punktą – tik Lietuvos Respublikos oro vežėjų ir neprivalo imtis veiksmų, kad užtikrintų kiekvieno keleivio teisę gauti reglamente numatytą kompensaciją.</w:t>
            </w:r>
          </w:p>
        </w:tc>
        <w:tc>
          <w:tcPr>
            <w:tcW w:w="9356" w:type="dxa"/>
          </w:tcPr>
          <w:p w:rsidR="00C23C0A" w:rsidRPr="0001172C" w:rsidRDefault="004906A5" w:rsidP="00AE72FD">
            <w:pPr>
              <w:jc w:val="both"/>
              <w:rPr>
                <w:rFonts w:ascii="Times New Roman" w:hAnsi="Times New Roman" w:cs="Times New Roman"/>
                <w:b/>
                <w:sz w:val="23"/>
              </w:rPr>
            </w:pPr>
            <w:r w:rsidRPr="0001172C">
              <w:rPr>
                <w:rFonts w:ascii="Times New Roman" w:hAnsi="Times New Roman" w:cs="Times New Roman"/>
                <w:b/>
                <w:sz w:val="23"/>
              </w:rPr>
              <w:lastRenderedPageBreak/>
              <w:t>Neatsižvelgta</w:t>
            </w:r>
            <w:r w:rsidR="00E634AA" w:rsidRPr="0001172C">
              <w:rPr>
                <w:rFonts w:ascii="Times New Roman" w:hAnsi="Times New Roman" w:cs="Times New Roman"/>
                <w:b/>
                <w:sz w:val="23"/>
              </w:rPr>
              <w:t>.</w:t>
            </w:r>
          </w:p>
          <w:p w:rsidR="00E634AA" w:rsidRPr="0001172C" w:rsidRDefault="00E634AA" w:rsidP="00E634AA">
            <w:pPr>
              <w:jc w:val="both"/>
              <w:rPr>
                <w:rFonts w:ascii="Times New Roman" w:hAnsi="Times New Roman" w:cs="Times New Roman"/>
                <w:sz w:val="23"/>
              </w:rPr>
            </w:pPr>
            <w:r w:rsidRPr="0001172C">
              <w:rPr>
                <w:rFonts w:ascii="Times New Roman" w:hAnsi="Times New Roman" w:cs="Times New Roman"/>
                <w:sz w:val="23"/>
              </w:rPr>
              <w:t>Lietuvos Respublikos aviacijos įstatymo 5 straipsnio 2 dalies 5 punkte nustatyta, kad LTSA atlieka įstaigos, atsakingos už Reglamento (EB) Nr. 261/2004 ir Reglamento (EB) 1107/2006 vykdymą, funkcijas (Reglamento (ES) 2017/2394 priedo 8 ir 10 punktai).</w:t>
            </w:r>
          </w:p>
          <w:p w:rsidR="004734F9" w:rsidRPr="0001172C" w:rsidRDefault="002C3A2A" w:rsidP="004734F9">
            <w:pPr>
              <w:jc w:val="both"/>
              <w:rPr>
                <w:rFonts w:ascii="Times New Roman" w:hAnsi="Times New Roman" w:cs="Times New Roman"/>
                <w:sz w:val="23"/>
              </w:rPr>
            </w:pPr>
            <w:r w:rsidRPr="0001172C">
              <w:rPr>
                <w:rFonts w:ascii="Times New Roman" w:hAnsi="Times New Roman" w:cs="Times New Roman"/>
                <w:sz w:val="23"/>
              </w:rPr>
              <w:t xml:space="preserve">Be to, </w:t>
            </w:r>
            <w:r w:rsidR="004734F9" w:rsidRPr="0001172C">
              <w:rPr>
                <w:rFonts w:ascii="Times New Roman" w:hAnsi="Times New Roman" w:cs="Times New Roman"/>
                <w:sz w:val="23"/>
              </w:rPr>
              <w:t>Lietuvos transporto saugos administracijos nuostatų, patvirtintų Lietuvos Respublikos susisiekimo ministro 2017 m. lapkričio 30 d. įsakymu Nr. 3-574</w:t>
            </w:r>
            <w:r w:rsidR="00405232">
              <w:rPr>
                <w:rFonts w:ascii="Times New Roman" w:hAnsi="Times New Roman" w:cs="Times New Roman"/>
                <w:sz w:val="23"/>
              </w:rPr>
              <w:t xml:space="preserve"> </w:t>
            </w:r>
            <w:r w:rsidR="004734F9" w:rsidRPr="0001172C">
              <w:rPr>
                <w:rFonts w:ascii="Times New Roman" w:hAnsi="Times New Roman" w:cs="Times New Roman"/>
                <w:sz w:val="23"/>
              </w:rPr>
              <w:t>„Dėl Lietuvos transporto saugos administracijos nuostatų patvirtinimo“, 13.7.17 papunktyje nustatyta, kad LTSA atlieka įstaigos, atsakingos už 2004 m. vasario 11 d. Europos Parlamento ir Tarybos reglamento (EB) Nr. 261/2004, nustatančio bendras kompensavimo ir pagalbos keleiviams taisykles atsisakymo vežti ir skrydžių atšaukimo arba atidėjimo ilgam laikui atveju, panaikinančio Reglamentą (EEB) Nr. 295/91, ir 2006 m. liepos 5 d. Europos Parlamento ir Tarybos reglamento (EB) Nr. 1107/2006 dėl neįgalių asmenų ir ribotos judėsenos asmenų teisių keliaujant oru vykdymą, funkcijas.</w:t>
            </w:r>
          </w:p>
          <w:p w:rsidR="004734F9" w:rsidRPr="0001172C" w:rsidRDefault="004734F9" w:rsidP="004734F9">
            <w:pPr>
              <w:jc w:val="both"/>
              <w:rPr>
                <w:rFonts w:ascii="Times New Roman" w:hAnsi="Times New Roman" w:cs="Times New Roman"/>
                <w:sz w:val="23"/>
              </w:rPr>
            </w:pPr>
            <w:r w:rsidRPr="0001172C">
              <w:rPr>
                <w:rFonts w:ascii="Times New Roman" w:hAnsi="Times New Roman" w:cs="Times New Roman"/>
                <w:sz w:val="23"/>
              </w:rPr>
              <w:t>Taip pat pažymėtina, kad Vidaus vandenų transporto kodekso 4</w:t>
            </w:r>
            <w:r w:rsidRPr="0001172C">
              <w:rPr>
                <w:rFonts w:ascii="Times New Roman" w:hAnsi="Times New Roman" w:cs="Times New Roman"/>
                <w:sz w:val="23"/>
                <w:vertAlign w:val="superscript"/>
              </w:rPr>
              <w:t>2</w:t>
            </w:r>
            <w:r w:rsidRPr="0001172C">
              <w:rPr>
                <w:rFonts w:ascii="Times New Roman" w:hAnsi="Times New Roman" w:cs="Times New Roman"/>
                <w:sz w:val="23"/>
              </w:rPr>
              <w:t xml:space="preserve"> straipsnio 1 ir 2 dalyse nustatyta, </w:t>
            </w:r>
            <w:r w:rsidR="00405232">
              <w:rPr>
                <w:rFonts w:ascii="Times New Roman" w:hAnsi="Times New Roman" w:cs="Times New Roman"/>
                <w:sz w:val="23"/>
              </w:rPr>
              <w:t>jog</w:t>
            </w:r>
            <w:r w:rsidRPr="0001172C">
              <w:rPr>
                <w:rFonts w:ascii="Times New Roman" w:hAnsi="Times New Roman" w:cs="Times New Roman"/>
                <w:sz w:val="23"/>
              </w:rPr>
              <w:t xml:space="preserve"> LTSA užtikrina Reglamento (ES) Nr. 1177/2010 nuostatų, susijusių su keleivių vežimo paslaugomis, išskyrus keleivių skundų dėl jų teisių, nurodytų Reglamente (ES) Nr. 1177/2010, pažeidimų nagrinėjimą, vykdymą, o Valstybinė vartotojų teisių apsaugos tarnyba</w:t>
            </w:r>
            <w:r w:rsidRPr="0001172C">
              <w:rPr>
                <w:rFonts w:ascii="Arial" w:hAnsi="Arial" w:cs="Arial"/>
                <w:color w:val="000000"/>
                <w:sz w:val="23"/>
              </w:rPr>
              <w:t xml:space="preserve"> </w:t>
            </w:r>
            <w:r w:rsidRPr="0001172C">
              <w:rPr>
                <w:rFonts w:ascii="Times New Roman" w:hAnsi="Times New Roman" w:cs="Times New Roman"/>
                <w:sz w:val="23"/>
              </w:rPr>
              <w:t xml:space="preserve">nagrinėja keleivių skundus dėl jų teisių, nurodytų Reglamente (ES) Nr. 1177/2010, pažeidimų </w:t>
            </w:r>
            <w:bookmarkStart w:id="2" w:name="n1_168"/>
            <w:r w:rsidRPr="0001172C">
              <w:rPr>
                <w:rFonts w:ascii="Times New Roman" w:hAnsi="Times New Roman" w:cs="Times New Roman"/>
                <w:sz w:val="23"/>
              </w:rPr>
              <w:fldChar w:fldCharType="begin"/>
            </w:r>
            <w:r w:rsidRPr="0001172C">
              <w:rPr>
                <w:rFonts w:ascii="Times New Roman" w:hAnsi="Times New Roman" w:cs="Times New Roman"/>
                <w:sz w:val="23"/>
              </w:rPr>
              <w:instrText xml:space="preserve"> HYPERLINK "http://www.infolex.lt/ta/60792" \o "Lietuvos Respublikos vartotojų teisių apsaugos įstatymas" \t "_blank" </w:instrText>
            </w:r>
            <w:r w:rsidRPr="0001172C">
              <w:rPr>
                <w:rFonts w:ascii="Times New Roman" w:hAnsi="Times New Roman" w:cs="Times New Roman"/>
                <w:sz w:val="23"/>
              </w:rPr>
              <w:fldChar w:fldCharType="separate"/>
            </w:r>
            <w:r w:rsidRPr="0001172C">
              <w:rPr>
                <w:rStyle w:val="Hipersaitas"/>
                <w:rFonts w:ascii="Times New Roman" w:hAnsi="Times New Roman" w:cs="Times New Roman"/>
                <w:color w:val="auto"/>
                <w:sz w:val="23"/>
                <w:u w:val="none"/>
              </w:rPr>
              <w:t xml:space="preserve">Vartotojų teisių </w:t>
            </w:r>
            <w:r w:rsidRPr="0001172C">
              <w:rPr>
                <w:rStyle w:val="Hipersaitas"/>
                <w:rFonts w:ascii="Times New Roman" w:hAnsi="Times New Roman" w:cs="Times New Roman"/>
                <w:color w:val="auto"/>
                <w:sz w:val="23"/>
                <w:u w:val="none"/>
              </w:rPr>
              <w:lastRenderedPageBreak/>
              <w:t>apsaugos įstatymo</w:t>
            </w:r>
            <w:r w:rsidRPr="0001172C">
              <w:rPr>
                <w:rFonts w:ascii="Times New Roman" w:hAnsi="Times New Roman" w:cs="Times New Roman"/>
                <w:sz w:val="23"/>
              </w:rPr>
              <w:fldChar w:fldCharType="end"/>
            </w:r>
            <w:bookmarkStart w:id="3" w:name="pn1_168"/>
            <w:bookmarkEnd w:id="2"/>
            <w:bookmarkEnd w:id="3"/>
            <w:r w:rsidRPr="0001172C">
              <w:rPr>
                <w:rFonts w:ascii="Times New Roman" w:hAnsi="Times New Roman" w:cs="Times New Roman"/>
                <w:sz w:val="23"/>
              </w:rPr>
              <w:t xml:space="preserve"> nustatyta tvarka.</w:t>
            </w:r>
            <w:r w:rsidR="00405232">
              <w:rPr>
                <w:rFonts w:ascii="Times New Roman" w:hAnsi="Times New Roman" w:cs="Times New Roman"/>
                <w:sz w:val="23"/>
              </w:rPr>
              <w:t xml:space="preserve"> Nutarimo projekte numatomas toks pats funkcijų, susijusių su Reglamento</w:t>
            </w:r>
            <w:r w:rsidR="00405232" w:rsidRPr="0001172C">
              <w:rPr>
                <w:rFonts w:ascii="Times New Roman" w:hAnsi="Times New Roman" w:cs="Times New Roman"/>
                <w:sz w:val="23"/>
              </w:rPr>
              <w:t xml:space="preserve"> (ES) Nr. 1177/2010</w:t>
            </w:r>
            <w:r w:rsidR="00405232">
              <w:rPr>
                <w:rFonts w:ascii="Times New Roman" w:hAnsi="Times New Roman" w:cs="Times New Roman"/>
                <w:sz w:val="23"/>
              </w:rPr>
              <w:t xml:space="preserve"> vykdymu, paskirstymas (padalijimas) tarp LTSA ir </w:t>
            </w:r>
            <w:r w:rsidR="00405232" w:rsidRPr="0001172C">
              <w:rPr>
                <w:rFonts w:ascii="Times New Roman" w:hAnsi="Times New Roman" w:cs="Times New Roman"/>
                <w:sz w:val="23"/>
              </w:rPr>
              <w:t>Valstybinė</w:t>
            </w:r>
            <w:r w:rsidR="00405232">
              <w:rPr>
                <w:rFonts w:ascii="Times New Roman" w:hAnsi="Times New Roman" w:cs="Times New Roman"/>
                <w:sz w:val="23"/>
              </w:rPr>
              <w:t>s</w:t>
            </w:r>
            <w:r w:rsidR="00405232" w:rsidRPr="0001172C">
              <w:rPr>
                <w:rFonts w:ascii="Times New Roman" w:hAnsi="Times New Roman" w:cs="Times New Roman"/>
                <w:sz w:val="23"/>
              </w:rPr>
              <w:t xml:space="preserve"> v</w:t>
            </w:r>
            <w:r w:rsidR="00405232">
              <w:rPr>
                <w:rFonts w:ascii="Times New Roman" w:hAnsi="Times New Roman" w:cs="Times New Roman"/>
                <w:sz w:val="23"/>
              </w:rPr>
              <w:t>artotojų teisių apsaugos tarnybos.</w:t>
            </w:r>
          </w:p>
          <w:p w:rsidR="005333A8" w:rsidRPr="0001172C" w:rsidRDefault="00405232" w:rsidP="004734F9">
            <w:pPr>
              <w:jc w:val="both"/>
              <w:rPr>
                <w:rFonts w:ascii="Times New Roman" w:hAnsi="Times New Roman" w:cs="Times New Roman"/>
                <w:sz w:val="23"/>
              </w:rPr>
            </w:pPr>
            <w:r>
              <w:rPr>
                <w:rFonts w:ascii="Times New Roman" w:hAnsi="Times New Roman" w:cs="Times New Roman"/>
                <w:sz w:val="23"/>
              </w:rPr>
              <w:t>Kartu p</w:t>
            </w:r>
            <w:r w:rsidR="009D502E" w:rsidRPr="000D4718">
              <w:rPr>
                <w:rFonts w:ascii="Times New Roman" w:hAnsi="Times New Roman" w:cs="Times New Roman"/>
                <w:sz w:val="23"/>
              </w:rPr>
              <w:t xml:space="preserve">ažymėtina, kad Europos Sąjungos Teisingumo Teismas </w:t>
            </w:r>
            <w:r w:rsidR="000D4718" w:rsidRPr="000D4718">
              <w:rPr>
                <w:rFonts w:ascii="Times New Roman" w:hAnsi="Times New Roman" w:cs="Times New Roman"/>
                <w:bCs/>
                <w:sz w:val="23"/>
              </w:rPr>
              <w:t xml:space="preserve">sprendime sujungtose bylose C-145/15 ir C-146/15 </w:t>
            </w:r>
            <w:r w:rsidR="000D4718">
              <w:rPr>
                <w:rFonts w:ascii="Times New Roman" w:hAnsi="Times New Roman" w:cs="Times New Roman"/>
                <w:sz w:val="23"/>
              </w:rPr>
              <w:t>konstatavo</w:t>
            </w:r>
            <w:r w:rsidR="009D502E" w:rsidRPr="000D4718">
              <w:rPr>
                <w:rFonts w:ascii="Times New Roman" w:hAnsi="Times New Roman" w:cs="Times New Roman"/>
                <w:sz w:val="23"/>
              </w:rPr>
              <w:t>, kad Reglamento (EB) Nr. 261/2004</w:t>
            </w:r>
            <w:r w:rsidR="000D4718">
              <w:rPr>
                <w:rFonts w:ascii="Times New Roman" w:hAnsi="Times New Roman" w:cs="Times New Roman"/>
                <w:sz w:val="23"/>
              </w:rPr>
              <w:t xml:space="preserve"> </w:t>
            </w:r>
            <w:r w:rsidR="009D502E" w:rsidRPr="000D4718">
              <w:rPr>
                <w:rFonts w:ascii="Times New Roman" w:hAnsi="Times New Roman" w:cs="Times New Roman"/>
                <w:sz w:val="23"/>
              </w:rPr>
              <w:t xml:space="preserve">16 straipsnį reikia aiškinti taip, kad kiekvienos valstybės narės pagal šio straipsnio 1 dalį paskirta įstaiga, kuriai keleivis pateikia individualų skundą po to, kai oro vežėjas atsisako jam sumokėti minėto reglamento 7 straipsnio 1 dalyje numatytą kompensaciją, neprivalo taikyti šiam vežėjui </w:t>
            </w:r>
            <w:r w:rsidR="009D502E" w:rsidRPr="00540207">
              <w:rPr>
                <w:rFonts w:ascii="Times New Roman" w:hAnsi="Times New Roman" w:cs="Times New Roman"/>
                <w:i/>
                <w:sz w:val="23"/>
              </w:rPr>
              <w:t>vykdymo užtikrinimo priemonių, kuriomis šis būtų įpareigotas sumokėti šią kompensaciją</w:t>
            </w:r>
            <w:r w:rsidR="009D502E" w:rsidRPr="000D4718">
              <w:rPr>
                <w:rFonts w:ascii="Times New Roman" w:hAnsi="Times New Roman" w:cs="Times New Roman"/>
                <w:sz w:val="23"/>
              </w:rPr>
              <w:t>.</w:t>
            </w:r>
            <w:r w:rsidR="00540207">
              <w:rPr>
                <w:rFonts w:ascii="Times New Roman" w:hAnsi="Times New Roman" w:cs="Times New Roman"/>
                <w:sz w:val="23"/>
              </w:rPr>
              <w:t xml:space="preserve"> Atkreiptinas dėmesys į tai, kad pagal nutarimo projektą </w:t>
            </w:r>
            <w:r w:rsidR="00540207" w:rsidRPr="0001172C">
              <w:rPr>
                <w:rFonts w:ascii="Times New Roman" w:hAnsi="Times New Roman" w:cs="Times New Roman"/>
                <w:sz w:val="23"/>
              </w:rPr>
              <w:t>Valstybinė v</w:t>
            </w:r>
            <w:r w:rsidR="00540207">
              <w:rPr>
                <w:rFonts w:ascii="Times New Roman" w:hAnsi="Times New Roman" w:cs="Times New Roman"/>
                <w:sz w:val="23"/>
              </w:rPr>
              <w:t xml:space="preserve">artotojų teisių apsaugos tarnyba ir toliau būtų atsakinga už vartojimo ginčų tarp vartotojų (keleivių) ir vežėjų neteisminį sprendimą, o LTSA nebūtų įpareigota spręsti dėl kompensacijų keleiviams. </w:t>
            </w:r>
          </w:p>
          <w:p w:rsidR="004734F9" w:rsidRPr="0001172C" w:rsidRDefault="004734F9" w:rsidP="00540207">
            <w:pPr>
              <w:jc w:val="both"/>
              <w:rPr>
                <w:rFonts w:ascii="Times New Roman" w:hAnsi="Times New Roman" w:cs="Times New Roman"/>
                <w:sz w:val="23"/>
              </w:rPr>
            </w:pPr>
            <w:r w:rsidRPr="0001172C">
              <w:rPr>
                <w:rFonts w:ascii="Times New Roman" w:hAnsi="Times New Roman" w:cs="Times New Roman"/>
                <w:sz w:val="23"/>
              </w:rPr>
              <w:t xml:space="preserve">Lietuvos Respublikos </w:t>
            </w:r>
            <w:r w:rsidR="00FB51C6" w:rsidRPr="0001172C">
              <w:rPr>
                <w:rFonts w:ascii="Times New Roman" w:hAnsi="Times New Roman" w:cs="Times New Roman"/>
                <w:sz w:val="23"/>
              </w:rPr>
              <w:t>Vyriausybės 2012 m. lapkričio 14 d. nutarim</w:t>
            </w:r>
            <w:r w:rsidR="00540207">
              <w:rPr>
                <w:rFonts w:ascii="Times New Roman" w:hAnsi="Times New Roman" w:cs="Times New Roman"/>
                <w:sz w:val="23"/>
              </w:rPr>
              <w:t>u</w:t>
            </w:r>
            <w:r w:rsidR="00FB51C6" w:rsidRPr="0001172C">
              <w:rPr>
                <w:rFonts w:ascii="Times New Roman" w:hAnsi="Times New Roman" w:cs="Times New Roman"/>
                <w:sz w:val="23"/>
              </w:rPr>
              <w:t xml:space="preserve"> Nr. 1377 „</w:t>
            </w:r>
            <w:r w:rsidR="00FB51C6" w:rsidRPr="0001172C">
              <w:rPr>
                <w:rFonts w:ascii="Times New Roman" w:hAnsi="Times New Roman" w:cs="Times New Roman"/>
                <w:bCs/>
                <w:sz w:val="23"/>
              </w:rPr>
              <w:t xml:space="preserve">Dėl 2011 m. vasario 16 d. Europos Parlamento ir Tarybos reglamento (ES) Nr. 181/2011 dėl miesto ir tolimojo susisiekimo autobusų transporto keleivių teisių, kuriuo iš dalies keičiamas reglamentas (EB) Nr. 2006/2004, nuostatų įgyvendinimo“ </w:t>
            </w:r>
            <w:r w:rsidR="005333A8" w:rsidRPr="0001172C">
              <w:rPr>
                <w:rFonts w:ascii="Times New Roman" w:hAnsi="Times New Roman" w:cs="Times New Roman"/>
                <w:bCs/>
                <w:sz w:val="23"/>
              </w:rPr>
              <w:t>nustatyta, kad Valstybinė kelių transporto inspekcija prie Susisiekimo ministerijos atsakinga už Reglamento (ES) Nr. 181/2011 nuostatų, susijusių su reguliariomis paslaugomis, kai vežama iš Lietuvos Respublikos teritorijoje esančių vietų, ir reguliariomis paslaugomis, kai vežama iš trečiosios valstybės į Lietuvos Respubliką, vykdymo užtikrinimą</w:t>
            </w:r>
            <w:r w:rsidR="00540207">
              <w:rPr>
                <w:rFonts w:ascii="Times New Roman" w:hAnsi="Times New Roman" w:cs="Times New Roman"/>
                <w:bCs/>
                <w:sz w:val="23"/>
              </w:rPr>
              <w:t>,</w:t>
            </w:r>
            <w:r w:rsidR="00FB51C6" w:rsidRPr="0001172C">
              <w:rPr>
                <w:rFonts w:ascii="Times New Roman" w:hAnsi="Times New Roman" w:cs="Times New Roman"/>
                <w:bCs/>
                <w:sz w:val="23"/>
              </w:rPr>
              <w:t xml:space="preserve"> </w:t>
            </w:r>
            <w:r w:rsidR="00540207">
              <w:rPr>
                <w:rFonts w:ascii="Times New Roman" w:hAnsi="Times New Roman" w:cs="Times New Roman"/>
                <w:bCs/>
                <w:sz w:val="23"/>
              </w:rPr>
              <w:t xml:space="preserve">o </w:t>
            </w:r>
            <w:r w:rsidR="00FB51C6" w:rsidRPr="0001172C">
              <w:rPr>
                <w:rFonts w:ascii="Times New Roman" w:hAnsi="Times New Roman" w:cs="Times New Roman"/>
                <w:bCs/>
                <w:sz w:val="23"/>
              </w:rPr>
              <w:t xml:space="preserve">Valstybinė vartotojų teisių apsaugos tarnyba </w:t>
            </w:r>
            <w:r w:rsidR="00540207">
              <w:rPr>
                <w:rFonts w:ascii="Times New Roman" w:hAnsi="Times New Roman" w:cs="Times New Roman"/>
                <w:bCs/>
                <w:sz w:val="23"/>
              </w:rPr>
              <w:t xml:space="preserve">– </w:t>
            </w:r>
            <w:r w:rsidR="00FB51C6" w:rsidRPr="0001172C">
              <w:rPr>
                <w:rFonts w:ascii="Times New Roman" w:hAnsi="Times New Roman" w:cs="Times New Roman"/>
                <w:bCs/>
                <w:sz w:val="23"/>
              </w:rPr>
              <w:t>atsakinga institucija, nagrinėjanti vartotojų skundus ginčų sprendimo ne teisme tvarka</w:t>
            </w:r>
            <w:r w:rsidR="005333A8" w:rsidRPr="0001172C">
              <w:rPr>
                <w:rFonts w:ascii="Times New Roman" w:hAnsi="Times New Roman" w:cs="Times New Roman"/>
                <w:bCs/>
                <w:sz w:val="23"/>
              </w:rPr>
              <w:t xml:space="preserve"> pagal Reglamentą (ES) 181/2011 (Vyriausybė 2017 m. spalio 18 d. nutarimu Nr. 842 nustatė, kad po reorganizavimo Valstybinės kelių transporto inspekcijos pavadinimas </w:t>
            </w:r>
            <w:r w:rsidR="00540207">
              <w:rPr>
                <w:rFonts w:ascii="Times New Roman" w:hAnsi="Times New Roman" w:cs="Times New Roman"/>
                <w:bCs/>
                <w:sz w:val="23"/>
              </w:rPr>
              <w:t>–</w:t>
            </w:r>
            <w:r w:rsidR="005333A8" w:rsidRPr="0001172C">
              <w:rPr>
                <w:rFonts w:ascii="Times New Roman" w:hAnsi="Times New Roman" w:cs="Times New Roman"/>
                <w:bCs/>
                <w:sz w:val="23"/>
              </w:rPr>
              <w:t xml:space="preserve"> Lietuvos transporto saugos administracija).</w:t>
            </w:r>
          </w:p>
        </w:tc>
      </w:tr>
      <w:tr w:rsidR="00B637F1" w:rsidRPr="0001172C" w:rsidTr="0001172C">
        <w:tc>
          <w:tcPr>
            <w:tcW w:w="560" w:type="dxa"/>
          </w:tcPr>
          <w:p w:rsidR="00B637F1" w:rsidRPr="0001172C" w:rsidRDefault="00B637F1" w:rsidP="002E6C10">
            <w:pPr>
              <w:autoSpaceDE w:val="0"/>
              <w:autoSpaceDN w:val="0"/>
              <w:adjustRightInd w:val="0"/>
              <w:spacing w:line="264" w:lineRule="auto"/>
              <w:rPr>
                <w:rFonts w:ascii="Times New Roman" w:hAnsi="Times New Roman" w:cs="Times New Roman"/>
                <w:bCs/>
                <w:sz w:val="23"/>
              </w:rPr>
            </w:pPr>
          </w:p>
        </w:tc>
        <w:tc>
          <w:tcPr>
            <w:tcW w:w="1576" w:type="dxa"/>
          </w:tcPr>
          <w:p w:rsidR="00450A99" w:rsidRPr="0001172C" w:rsidRDefault="00450A99" w:rsidP="001B1FCA">
            <w:pPr>
              <w:rPr>
                <w:rFonts w:ascii="Times New Roman" w:hAnsi="Times New Roman" w:cs="Times New Roman"/>
                <w:sz w:val="23"/>
              </w:rPr>
            </w:pPr>
          </w:p>
        </w:tc>
        <w:tc>
          <w:tcPr>
            <w:tcW w:w="3529" w:type="dxa"/>
          </w:tcPr>
          <w:p w:rsidR="00B637F1" w:rsidRPr="0001172C" w:rsidRDefault="0001172C" w:rsidP="000D4718">
            <w:pPr>
              <w:pStyle w:val="Komentarotekstas"/>
              <w:jc w:val="both"/>
              <w:rPr>
                <w:bCs/>
                <w:sz w:val="23"/>
                <w:szCs w:val="22"/>
              </w:rPr>
            </w:pPr>
            <w:r w:rsidRPr="0001172C">
              <w:rPr>
                <w:bCs/>
                <w:sz w:val="23"/>
                <w:szCs w:val="22"/>
              </w:rPr>
              <w:t>4</w:t>
            </w:r>
            <w:r w:rsidR="004906A5" w:rsidRPr="0001172C">
              <w:rPr>
                <w:bCs/>
                <w:sz w:val="23"/>
                <w:szCs w:val="22"/>
              </w:rPr>
              <w:t>.</w:t>
            </w:r>
            <w:r w:rsidR="00E634AA" w:rsidRPr="0001172C">
              <w:rPr>
                <w:bCs/>
                <w:sz w:val="23"/>
                <w:szCs w:val="22"/>
              </w:rPr>
              <w:t xml:space="preserve"> </w:t>
            </w:r>
            <w:r w:rsidR="004906A5" w:rsidRPr="0001172C">
              <w:rPr>
                <w:bCs/>
                <w:sz w:val="23"/>
                <w:szCs w:val="22"/>
              </w:rPr>
              <w:t>Nutarimo projekto 2.3 papunktyje nustatyta, kad LTSA paskiriama kompetentinga institucija pagal Reglamento (ES) 2017/2394 priedo 8, 10, 15, 18 ir 19 (kiek nėra susiję su vartojimo ginčų neteisminiu sprendimu) punktuose nurodytų reglamentų įgyvendinimą, tačiau lieka neaišku</w:t>
            </w:r>
            <w:r w:rsidR="00CC76AD">
              <w:rPr>
                <w:bCs/>
                <w:sz w:val="23"/>
                <w:szCs w:val="22"/>
              </w:rPr>
              <w:t>,</w:t>
            </w:r>
            <w:r w:rsidR="004906A5" w:rsidRPr="0001172C">
              <w:rPr>
                <w:bCs/>
                <w:sz w:val="23"/>
                <w:szCs w:val="22"/>
              </w:rPr>
              <w:t xml:space="preserve"> kuri institucija yra atsakinga už nurodytų reglamentų įgyvendinimą kiek jie yra susiję su vartojimo ginčų neteisminiu sprendimu (išskyrus reglamento priedo 19 punkte nurodytą reglamentą, kuris yra numatytas 2.1 papunktyje).</w:t>
            </w:r>
          </w:p>
        </w:tc>
        <w:tc>
          <w:tcPr>
            <w:tcW w:w="9356" w:type="dxa"/>
          </w:tcPr>
          <w:p w:rsidR="002C3A2A" w:rsidRPr="0001172C" w:rsidRDefault="002C3A2A" w:rsidP="000238AF">
            <w:pPr>
              <w:jc w:val="both"/>
              <w:rPr>
                <w:rFonts w:ascii="Times New Roman" w:hAnsi="Times New Roman" w:cs="Times New Roman"/>
                <w:b/>
                <w:sz w:val="23"/>
              </w:rPr>
            </w:pPr>
            <w:r w:rsidRPr="0001172C">
              <w:rPr>
                <w:rFonts w:ascii="Times New Roman" w:hAnsi="Times New Roman" w:cs="Times New Roman"/>
                <w:b/>
                <w:sz w:val="23"/>
              </w:rPr>
              <w:t>Atsižvelgta iš dalies.</w:t>
            </w:r>
          </w:p>
          <w:p w:rsidR="004734F9" w:rsidRPr="0001172C" w:rsidRDefault="002C3A2A" w:rsidP="000238AF">
            <w:pPr>
              <w:jc w:val="both"/>
              <w:rPr>
                <w:rFonts w:ascii="Times New Roman" w:hAnsi="Times New Roman" w:cs="Times New Roman"/>
                <w:sz w:val="23"/>
              </w:rPr>
            </w:pPr>
            <w:r w:rsidRPr="0001172C">
              <w:rPr>
                <w:rFonts w:ascii="Times New Roman" w:hAnsi="Times New Roman" w:cs="Times New Roman"/>
                <w:sz w:val="23"/>
              </w:rPr>
              <w:t xml:space="preserve">Žr. </w:t>
            </w:r>
            <w:r w:rsidR="008C6613" w:rsidRPr="0001172C">
              <w:rPr>
                <w:rFonts w:ascii="Times New Roman" w:hAnsi="Times New Roman" w:cs="Times New Roman"/>
                <w:sz w:val="23"/>
              </w:rPr>
              <w:t>2 pastabą.</w:t>
            </w:r>
          </w:p>
          <w:p w:rsidR="002C3A2A" w:rsidRPr="0001172C" w:rsidRDefault="00540207" w:rsidP="002C3A2A">
            <w:pPr>
              <w:jc w:val="both"/>
              <w:rPr>
                <w:rFonts w:ascii="Times New Roman" w:hAnsi="Times New Roman" w:cs="Times New Roman"/>
                <w:bCs/>
                <w:sz w:val="23"/>
              </w:rPr>
            </w:pPr>
            <w:r>
              <w:rPr>
                <w:rFonts w:ascii="Times New Roman" w:hAnsi="Times New Roman" w:cs="Times New Roman"/>
                <w:bCs/>
                <w:sz w:val="23"/>
              </w:rPr>
              <w:t>N</w:t>
            </w:r>
            <w:r w:rsidR="002C3A2A" w:rsidRPr="0001172C">
              <w:rPr>
                <w:rFonts w:ascii="Times New Roman" w:hAnsi="Times New Roman" w:cs="Times New Roman"/>
                <w:bCs/>
                <w:sz w:val="23"/>
              </w:rPr>
              <w:t>utarimo projekto 2.3 papunkt</w:t>
            </w:r>
            <w:r>
              <w:rPr>
                <w:rFonts w:ascii="Times New Roman" w:hAnsi="Times New Roman" w:cs="Times New Roman"/>
                <w:bCs/>
                <w:sz w:val="23"/>
              </w:rPr>
              <w:t>is patikslintas taip</w:t>
            </w:r>
            <w:r w:rsidR="002C3A2A" w:rsidRPr="0001172C">
              <w:rPr>
                <w:rFonts w:ascii="Times New Roman" w:hAnsi="Times New Roman" w:cs="Times New Roman"/>
                <w:bCs/>
                <w:sz w:val="23"/>
              </w:rPr>
              <w:t>:</w:t>
            </w:r>
          </w:p>
          <w:p w:rsidR="002C3A2A" w:rsidRPr="0001172C" w:rsidRDefault="002C3A2A" w:rsidP="002C3A2A">
            <w:pPr>
              <w:jc w:val="both"/>
              <w:rPr>
                <w:rFonts w:ascii="Times New Roman" w:hAnsi="Times New Roman" w:cs="Times New Roman"/>
                <w:sz w:val="23"/>
              </w:rPr>
            </w:pPr>
            <w:r w:rsidRPr="0001172C">
              <w:rPr>
                <w:rFonts w:ascii="Times New Roman" w:hAnsi="Times New Roman" w:cs="Times New Roman"/>
                <w:bCs/>
                <w:sz w:val="23"/>
              </w:rPr>
              <w:t xml:space="preserve">„2.3. Lietuvos transporto saugos administraciją atsakingą už </w:t>
            </w:r>
            <w:r w:rsidRPr="0001172C">
              <w:rPr>
                <w:rFonts w:ascii="Times New Roman" w:hAnsi="Times New Roman" w:cs="Times New Roman"/>
                <w:bCs/>
                <w:iCs/>
                <w:sz w:val="23"/>
              </w:rPr>
              <w:t xml:space="preserve">Reglamento </w:t>
            </w:r>
            <w:r w:rsidRPr="0001172C">
              <w:rPr>
                <w:rFonts w:ascii="Times New Roman" w:hAnsi="Times New Roman" w:cs="Times New Roman"/>
                <w:bCs/>
                <w:sz w:val="23"/>
              </w:rPr>
              <w:t>(ES) 2017/2394 priedo 8, 10, 15, 18 (išskyrus dėl vartojimo ginčų neteisminio sprendimo) ir 19 (išskyrus dėl vartojimo ginčų neteisminio sprendimo) punktuose nurodytų reglamentų įgyvendinimą.“</w:t>
            </w:r>
          </w:p>
        </w:tc>
      </w:tr>
    </w:tbl>
    <w:p w:rsidR="006E04B1" w:rsidRPr="0001172C" w:rsidRDefault="00D55AE8" w:rsidP="0001172C">
      <w:pPr>
        <w:rPr>
          <w:rFonts w:ascii="Times New Roman" w:hAnsi="Times New Roman" w:cs="Times New Roman"/>
          <w:sz w:val="23"/>
          <w:szCs w:val="24"/>
        </w:rPr>
      </w:pPr>
    </w:p>
    <w:sectPr w:rsidR="006E04B1" w:rsidRPr="0001172C" w:rsidSect="0001172C">
      <w:headerReference w:type="default" r:id="rId8"/>
      <w:pgSz w:w="16838" w:h="11906" w:orient="landscape"/>
      <w:pgMar w:top="567" w:right="567"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AE8" w:rsidRDefault="00D55AE8" w:rsidP="00937A4B">
      <w:pPr>
        <w:spacing w:after="0" w:line="240" w:lineRule="auto"/>
      </w:pPr>
      <w:r>
        <w:separator/>
      </w:r>
    </w:p>
  </w:endnote>
  <w:endnote w:type="continuationSeparator" w:id="0">
    <w:p w:rsidR="00D55AE8" w:rsidRDefault="00D55AE8" w:rsidP="00937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AE8" w:rsidRDefault="00D55AE8" w:rsidP="00937A4B">
      <w:pPr>
        <w:spacing w:after="0" w:line="240" w:lineRule="auto"/>
      </w:pPr>
      <w:r>
        <w:separator/>
      </w:r>
    </w:p>
  </w:footnote>
  <w:footnote w:type="continuationSeparator" w:id="0">
    <w:p w:rsidR="00D55AE8" w:rsidRDefault="00D55AE8" w:rsidP="00937A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9847122"/>
      <w:docPartObj>
        <w:docPartGallery w:val="Page Numbers (Top of Page)"/>
        <w:docPartUnique/>
      </w:docPartObj>
    </w:sdtPr>
    <w:sdtEndPr>
      <w:rPr>
        <w:rFonts w:ascii="Times New Roman" w:hAnsi="Times New Roman" w:cs="Times New Roman"/>
        <w:sz w:val="24"/>
        <w:szCs w:val="24"/>
      </w:rPr>
    </w:sdtEndPr>
    <w:sdtContent>
      <w:p w:rsidR="00C12AFA" w:rsidRPr="00FD3D85" w:rsidRDefault="00C12AFA">
        <w:pPr>
          <w:pStyle w:val="Antrats"/>
          <w:jc w:val="center"/>
          <w:rPr>
            <w:rFonts w:ascii="Times New Roman" w:hAnsi="Times New Roman" w:cs="Times New Roman"/>
            <w:sz w:val="24"/>
            <w:szCs w:val="24"/>
          </w:rPr>
        </w:pPr>
        <w:r w:rsidRPr="00FD3D85">
          <w:rPr>
            <w:rFonts w:ascii="Times New Roman" w:hAnsi="Times New Roman" w:cs="Times New Roman"/>
            <w:sz w:val="24"/>
            <w:szCs w:val="24"/>
          </w:rPr>
          <w:fldChar w:fldCharType="begin"/>
        </w:r>
        <w:r w:rsidRPr="00FD3D85">
          <w:rPr>
            <w:rFonts w:ascii="Times New Roman" w:hAnsi="Times New Roman" w:cs="Times New Roman"/>
            <w:sz w:val="24"/>
            <w:szCs w:val="24"/>
          </w:rPr>
          <w:instrText>PAGE   \* MERGEFORMAT</w:instrText>
        </w:r>
        <w:r w:rsidRPr="00FD3D85">
          <w:rPr>
            <w:rFonts w:ascii="Times New Roman" w:hAnsi="Times New Roman" w:cs="Times New Roman"/>
            <w:sz w:val="24"/>
            <w:szCs w:val="24"/>
          </w:rPr>
          <w:fldChar w:fldCharType="separate"/>
        </w:r>
        <w:r w:rsidR="00331089">
          <w:rPr>
            <w:rFonts w:ascii="Times New Roman" w:hAnsi="Times New Roman" w:cs="Times New Roman"/>
            <w:noProof/>
            <w:sz w:val="24"/>
            <w:szCs w:val="24"/>
          </w:rPr>
          <w:t>3</w:t>
        </w:r>
        <w:r w:rsidRPr="00FD3D85">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E6194"/>
    <w:multiLevelType w:val="hybridMultilevel"/>
    <w:tmpl w:val="9C48E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0867D7"/>
    <w:multiLevelType w:val="hybridMultilevel"/>
    <w:tmpl w:val="A73401D4"/>
    <w:lvl w:ilvl="0" w:tplc="209C526E">
      <w:start w:val="1"/>
      <w:numFmt w:val="upperRoman"/>
      <w:lvlText w:val="%1."/>
      <w:lvlJc w:val="left"/>
      <w:pPr>
        <w:ind w:left="5965" w:hanging="720"/>
      </w:pPr>
      <w:rPr>
        <w:rFonts w:hint="default"/>
      </w:rPr>
    </w:lvl>
    <w:lvl w:ilvl="1" w:tplc="04270019" w:tentative="1">
      <w:start w:val="1"/>
      <w:numFmt w:val="lowerLetter"/>
      <w:lvlText w:val="%2."/>
      <w:lvlJc w:val="left"/>
      <w:pPr>
        <w:ind w:left="6325" w:hanging="360"/>
      </w:pPr>
    </w:lvl>
    <w:lvl w:ilvl="2" w:tplc="0427001B" w:tentative="1">
      <w:start w:val="1"/>
      <w:numFmt w:val="lowerRoman"/>
      <w:lvlText w:val="%3."/>
      <w:lvlJc w:val="right"/>
      <w:pPr>
        <w:ind w:left="7045" w:hanging="180"/>
      </w:pPr>
    </w:lvl>
    <w:lvl w:ilvl="3" w:tplc="0427000F" w:tentative="1">
      <w:start w:val="1"/>
      <w:numFmt w:val="decimal"/>
      <w:lvlText w:val="%4."/>
      <w:lvlJc w:val="left"/>
      <w:pPr>
        <w:ind w:left="7765" w:hanging="360"/>
      </w:pPr>
    </w:lvl>
    <w:lvl w:ilvl="4" w:tplc="04270019" w:tentative="1">
      <w:start w:val="1"/>
      <w:numFmt w:val="lowerLetter"/>
      <w:lvlText w:val="%5."/>
      <w:lvlJc w:val="left"/>
      <w:pPr>
        <w:ind w:left="8485" w:hanging="360"/>
      </w:pPr>
    </w:lvl>
    <w:lvl w:ilvl="5" w:tplc="0427001B" w:tentative="1">
      <w:start w:val="1"/>
      <w:numFmt w:val="lowerRoman"/>
      <w:lvlText w:val="%6."/>
      <w:lvlJc w:val="right"/>
      <w:pPr>
        <w:ind w:left="9205" w:hanging="180"/>
      </w:pPr>
    </w:lvl>
    <w:lvl w:ilvl="6" w:tplc="0427000F" w:tentative="1">
      <w:start w:val="1"/>
      <w:numFmt w:val="decimal"/>
      <w:lvlText w:val="%7."/>
      <w:lvlJc w:val="left"/>
      <w:pPr>
        <w:ind w:left="9925" w:hanging="360"/>
      </w:pPr>
    </w:lvl>
    <w:lvl w:ilvl="7" w:tplc="04270019" w:tentative="1">
      <w:start w:val="1"/>
      <w:numFmt w:val="lowerLetter"/>
      <w:lvlText w:val="%8."/>
      <w:lvlJc w:val="left"/>
      <w:pPr>
        <w:ind w:left="10645" w:hanging="360"/>
      </w:pPr>
    </w:lvl>
    <w:lvl w:ilvl="8" w:tplc="0427001B" w:tentative="1">
      <w:start w:val="1"/>
      <w:numFmt w:val="lowerRoman"/>
      <w:lvlText w:val="%9."/>
      <w:lvlJc w:val="right"/>
      <w:pPr>
        <w:ind w:left="11365" w:hanging="180"/>
      </w:pPr>
    </w:lvl>
  </w:abstractNum>
  <w:abstractNum w:abstractNumId="2" w15:restartNumberingAfterBreak="0">
    <w:nsid w:val="155F0849"/>
    <w:multiLevelType w:val="hybridMultilevel"/>
    <w:tmpl w:val="782A79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920327"/>
    <w:multiLevelType w:val="hybridMultilevel"/>
    <w:tmpl w:val="9006CFEA"/>
    <w:lvl w:ilvl="0" w:tplc="6C289E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B7724F"/>
    <w:multiLevelType w:val="hybridMultilevel"/>
    <w:tmpl w:val="F5B24AB6"/>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004820"/>
    <w:multiLevelType w:val="hybridMultilevel"/>
    <w:tmpl w:val="922E52D4"/>
    <w:lvl w:ilvl="0" w:tplc="9A9CBAAA">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D5A4BD0"/>
    <w:multiLevelType w:val="hybridMultilevel"/>
    <w:tmpl w:val="E8A82302"/>
    <w:lvl w:ilvl="0" w:tplc="5CBCF462">
      <w:start w:val="201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76764D"/>
    <w:multiLevelType w:val="hybridMultilevel"/>
    <w:tmpl w:val="B5A4FB60"/>
    <w:lvl w:ilvl="0" w:tplc="2D209C9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DC7E86"/>
    <w:multiLevelType w:val="hybridMultilevel"/>
    <w:tmpl w:val="9F0AB2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8799C"/>
    <w:multiLevelType w:val="hybridMultilevel"/>
    <w:tmpl w:val="A41C65E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7A3BC9"/>
    <w:multiLevelType w:val="multilevel"/>
    <w:tmpl w:val="96B2A5BC"/>
    <w:lvl w:ilvl="0">
      <w:start w:val="25"/>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207F7C"/>
    <w:multiLevelType w:val="hybridMultilevel"/>
    <w:tmpl w:val="6E5648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123589"/>
    <w:multiLevelType w:val="hybridMultilevel"/>
    <w:tmpl w:val="A78E87D0"/>
    <w:lvl w:ilvl="0" w:tplc="65748A8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510E47D8"/>
    <w:multiLevelType w:val="hybridMultilevel"/>
    <w:tmpl w:val="1134720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2E02FF4"/>
    <w:multiLevelType w:val="hybridMultilevel"/>
    <w:tmpl w:val="B0426648"/>
    <w:lvl w:ilvl="0" w:tplc="D568B3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6071157F"/>
    <w:multiLevelType w:val="hybridMultilevel"/>
    <w:tmpl w:val="AB8803C4"/>
    <w:lvl w:ilvl="0" w:tplc="B64E790E">
      <w:start w:val="1"/>
      <w:numFmt w:val="decimal"/>
      <w:lvlText w:val="%1."/>
      <w:lvlJc w:val="left"/>
      <w:pPr>
        <w:ind w:left="720" w:hanging="360"/>
      </w:pPr>
      <w:rPr>
        <w:rFonts w:hint="default"/>
        <w:b w:val="0"/>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46B2482"/>
    <w:multiLevelType w:val="hybridMultilevel"/>
    <w:tmpl w:val="C012050E"/>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0523D01"/>
    <w:multiLevelType w:val="hybridMultilevel"/>
    <w:tmpl w:val="88D84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91F7FB2"/>
    <w:multiLevelType w:val="hybridMultilevel"/>
    <w:tmpl w:val="6F987C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7"/>
  </w:num>
  <w:num w:numId="2">
    <w:abstractNumId w:val="18"/>
  </w:num>
  <w:num w:numId="3">
    <w:abstractNumId w:val="11"/>
  </w:num>
  <w:num w:numId="4">
    <w:abstractNumId w:val="5"/>
  </w:num>
  <w:num w:numId="5">
    <w:abstractNumId w:val="14"/>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12"/>
  </w:num>
  <w:num w:numId="10">
    <w:abstractNumId w:val="15"/>
  </w:num>
  <w:num w:numId="11">
    <w:abstractNumId w:val="0"/>
  </w:num>
  <w:num w:numId="12">
    <w:abstractNumId w:val="2"/>
  </w:num>
  <w:num w:numId="13">
    <w:abstractNumId w:val="4"/>
  </w:num>
  <w:num w:numId="14">
    <w:abstractNumId w:val="7"/>
  </w:num>
  <w:num w:numId="15">
    <w:abstractNumId w:val="16"/>
  </w:num>
  <w:num w:numId="16">
    <w:abstractNumId w:val="1"/>
  </w:num>
  <w:num w:numId="17">
    <w:abstractNumId w:val="10"/>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D5E"/>
    <w:rsid w:val="0000684A"/>
    <w:rsid w:val="0001172C"/>
    <w:rsid w:val="000238AF"/>
    <w:rsid w:val="00050F2F"/>
    <w:rsid w:val="0005772C"/>
    <w:rsid w:val="00080425"/>
    <w:rsid w:val="000A4574"/>
    <w:rsid w:val="000C2981"/>
    <w:rsid w:val="000D4718"/>
    <w:rsid w:val="00131C5B"/>
    <w:rsid w:val="0018631F"/>
    <w:rsid w:val="001B1FCA"/>
    <w:rsid w:val="001B78D2"/>
    <w:rsid w:val="00280984"/>
    <w:rsid w:val="002929B5"/>
    <w:rsid w:val="002C3A2A"/>
    <w:rsid w:val="002E522E"/>
    <w:rsid w:val="00331089"/>
    <w:rsid w:val="003337B2"/>
    <w:rsid w:val="00352FA7"/>
    <w:rsid w:val="00394A2A"/>
    <w:rsid w:val="003D06B7"/>
    <w:rsid w:val="003D77E7"/>
    <w:rsid w:val="003E4D8D"/>
    <w:rsid w:val="00405232"/>
    <w:rsid w:val="00450A99"/>
    <w:rsid w:val="004679A5"/>
    <w:rsid w:val="004734F9"/>
    <w:rsid w:val="004906A5"/>
    <w:rsid w:val="00491FFE"/>
    <w:rsid w:val="004F54C3"/>
    <w:rsid w:val="005014E7"/>
    <w:rsid w:val="0050704D"/>
    <w:rsid w:val="00507149"/>
    <w:rsid w:val="005333A8"/>
    <w:rsid w:val="00540207"/>
    <w:rsid w:val="00542B79"/>
    <w:rsid w:val="00553738"/>
    <w:rsid w:val="00585AB3"/>
    <w:rsid w:val="005B20B0"/>
    <w:rsid w:val="005B47C1"/>
    <w:rsid w:val="005D4D1B"/>
    <w:rsid w:val="005D6E58"/>
    <w:rsid w:val="005E7388"/>
    <w:rsid w:val="00614D4E"/>
    <w:rsid w:val="006350BC"/>
    <w:rsid w:val="00643918"/>
    <w:rsid w:val="00652630"/>
    <w:rsid w:val="0066019C"/>
    <w:rsid w:val="0066330C"/>
    <w:rsid w:val="00685D08"/>
    <w:rsid w:val="00695C6A"/>
    <w:rsid w:val="006A2E13"/>
    <w:rsid w:val="006B304E"/>
    <w:rsid w:val="006D1858"/>
    <w:rsid w:val="006D1AC0"/>
    <w:rsid w:val="006D60E8"/>
    <w:rsid w:val="006E7B10"/>
    <w:rsid w:val="00713B39"/>
    <w:rsid w:val="00714586"/>
    <w:rsid w:val="00745393"/>
    <w:rsid w:val="0079771A"/>
    <w:rsid w:val="007A0B33"/>
    <w:rsid w:val="007B08D8"/>
    <w:rsid w:val="007D119E"/>
    <w:rsid w:val="007D5AB7"/>
    <w:rsid w:val="007F77A3"/>
    <w:rsid w:val="00822048"/>
    <w:rsid w:val="00825D30"/>
    <w:rsid w:val="00846126"/>
    <w:rsid w:val="00881CF2"/>
    <w:rsid w:val="008C6613"/>
    <w:rsid w:val="008F1485"/>
    <w:rsid w:val="008F17D4"/>
    <w:rsid w:val="009019B0"/>
    <w:rsid w:val="0091624A"/>
    <w:rsid w:val="0092377F"/>
    <w:rsid w:val="00937A4B"/>
    <w:rsid w:val="009475E6"/>
    <w:rsid w:val="00947A48"/>
    <w:rsid w:val="00964A8A"/>
    <w:rsid w:val="00973494"/>
    <w:rsid w:val="009A0E4D"/>
    <w:rsid w:val="009D502E"/>
    <w:rsid w:val="009E2D98"/>
    <w:rsid w:val="00A06643"/>
    <w:rsid w:val="00A15AE3"/>
    <w:rsid w:val="00A73CBE"/>
    <w:rsid w:val="00A83892"/>
    <w:rsid w:val="00AC1E4B"/>
    <w:rsid w:val="00AE3EFD"/>
    <w:rsid w:val="00AE72FD"/>
    <w:rsid w:val="00B41F0F"/>
    <w:rsid w:val="00B601AB"/>
    <w:rsid w:val="00B637F1"/>
    <w:rsid w:val="00BE57EF"/>
    <w:rsid w:val="00C00035"/>
    <w:rsid w:val="00C12AFA"/>
    <w:rsid w:val="00C23C0A"/>
    <w:rsid w:val="00C334FE"/>
    <w:rsid w:val="00C4763F"/>
    <w:rsid w:val="00C5146F"/>
    <w:rsid w:val="00C573A1"/>
    <w:rsid w:val="00C740B0"/>
    <w:rsid w:val="00C82A69"/>
    <w:rsid w:val="00CB1F56"/>
    <w:rsid w:val="00CC76AD"/>
    <w:rsid w:val="00CE05D2"/>
    <w:rsid w:val="00D03EDD"/>
    <w:rsid w:val="00D30E54"/>
    <w:rsid w:val="00D536F7"/>
    <w:rsid w:val="00D55AE8"/>
    <w:rsid w:val="00DA422E"/>
    <w:rsid w:val="00DA4F4A"/>
    <w:rsid w:val="00DA55D5"/>
    <w:rsid w:val="00DC7594"/>
    <w:rsid w:val="00DE0295"/>
    <w:rsid w:val="00DF4F10"/>
    <w:rsid w:val="00E021C6"/>
    <w:rsid w:val="00E15ADD"/>
    <w:rsid w:val="00E634AA"/>
    <w:rsid w:val="00EA2758"/>
    <w:rsid w:val="00ED027A"/>
    <w:rsid w:val="00ED0642"/>
    <w:rsid w:val="00EE6188"/>
    <w:rsid w:val="00EF3D4B"/>
    <w:rsid w:val="00F07020"/>
    <w:rsid w:val="00F52E53"/>
    <w:rsid w:val="00F911AD"/>
    <w:rsid w:val="00FA04A9"/>
    <w:rsid w:val="00FA409B"/>
    <w:rsid w:val="00FB51C6"/>
    <w:rsid w:val="00FB74F2"/>
    <w:rsid w:val="00FD1D5E"/>
    <w:rsid w:val="00FD2311"/>
    <w:rsid w:val="00FD3D85"/>
    <w:rsid w:val="00FE30D8"/>
    <w:rsid w:val="00FE3DA0"/>
    <w:rsid w:val="00FF236B"/>
    <w:rsid w:val="00FF4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A802D-F858-4CC7-A774-AAF3FB56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D1D5E"/>
    <w:pPr>
      <w:ind w:left="720"/>
      <w:contextualSpacing/>
    </w:pPr>
  </w:style>
  <w:style w:type="character" w:styleId="Hipersaitas">
    <w:name w:val="Hyperlink"/>
    <w:basedOn w:val="Numatytasispastraiposriftas"/>
    <w:uiPriority w:val="99"/>
    <w:unhideWhenUsed/>
    <w:rsid w:val="00937A4B"/>
    <w:rPr>
      <w:color w:val="0563C1" w:themeColor="hyperlink"/>
      <w:u w:val="single"/>
    </w:rPr>
  </w:style>
  <w:style w:type="paragraph" w:styleId="Puslapioinaostekstas">
    <w:name w:val="footnote text"/>
    <w:aliases w:val="Fußnotentext Char1,Footnote Text Char Char,Footnote Text Char1 Char Char,Footnote Text Char Char Char Char,Footnote Text Char Char1 Char Char,Footnote Text Char Char1 Cha,Footnote Text Char Char1,Car,fn,Footnotes,Footnote ak"/>
    <w:basedOn w:val="prastasis"/>
    <w:link w:val="PuslapioinaostekstasDiagrama"/>
    <w:uiPriority w:val="99"/>
    <w:unhideWhenUsed/>
    <w:qFormat/>
    <w:rsid w:val="00937A4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Fußnotentext Char1 Diagrama,Footnote Text Char Char Diagrama,Footnote Text Char1 Char Char Diagrama,Footnote Text Char Char Char Char Diagrama,Footnote Text Char Char1 Char Char Diagrama,Car Diagrama,fn Diagrama"/>
    <w:basedOn w:val="Numatytasispastraiposriftas"/>
    <w:link w:val="Puslapioinaostekstas"/>
    <w:uiPriority w:val="99"/>
    <w:rsid w:val="00937A4B"/>
    <w:rPr>
      <w:rFonts w:ascii="Times New Roman" w:eastAsia="Times New Roman" w:hAnsi="Times New Roman" w:cs="Times New Roman"/>
      <w:sz w:val="20"/>
      <w:szCs w:val="20"/>
    </w:rPr>
  </w:style>
  <w:style w:type="character" w:styleId="Puslapioinaosnuoroda">
    <w:name w:val="footnote reference"/>
    <w:aliases w:val="Ref,de nota al pie,-E Fußnotenzeichen,number,SUPERS,Footnote Reference Superscript,-E Fuﬂnotenzeichen,-E Fuûnotenzeichen,EN Footnote Reference,Footnote text,BVI fnr,Footnote symbol,stylish,Footnote reference number,note TESI,R"/>
    <w:uiPriority w:val="99"/>
    <w:unhideWhenUsed/>
    <w:rsid w:val="00937A4B"/>
    <w:rPr>
      <w:vertAlign w:val="superscript"/>
    </w:rPr>
  </w:style>
  <w:style w:type="paragraph" w:styleId="Antrats">
    <w:name w:val="header"/>
    <w:basedOn w:val="prastasis"/>
    <w:link w:val="AntratsDiagrama"/>
    <w:uiPriority w:val="99"/>
    <w:unhideWhenUsed/>
    <w:rsid w:val="00C12A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12AFA"/>
  </w:style>
  <w:style w:type="paragraph" w:styleId="Porat">
    <w:name w:val="footer"/>
    <w:basedOn w:val="prastasis"/>
    <w:link w:val="PoratDiagrama"/>
    <w:uiPriority w:val="99"/>
    <w:unhideWhenUsed/>
    <w:rsid w:val="00C12A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12AFA"/>
  </w:style>
  <w:style w:type="character" w:styleId="Komentaronuoroda">
    <w:name w:val="annotation reference"/>
    <w:basedOn w:val="Numatytasispastraiposriftas"/>
    <w:semiHidden/>
    <w:unhideWhenUsed/>
    <w:rsid w:val="007B08D8"/>
    <w:rPr>
      <w:sz w:val="16"/>
      <w:szCs w:val="16"/>
    </w:rPr>
  </w:style>
  <w:style w:type="paragraph" w:styleId="Komentarotekstas">
    <w:name w:val="annotation text"/>
    <w:basedOn w:val="prastasis"/>
    <w:link w:val="KomentarotekstasDiagrama"/>
    <w:unhideWhenUsed/>
    <w:rsid w:val="007B08D8"/>
    <w:pPr>
      <w:suppressAutoHyphens/>
      <w:spacing w:after="0" w:line="240" w:lineRule="auto"/>
    </w:pPr>
    <w:rPr>
      <w:rFonts w:ascii="Times New Roman" w:eastAsia="Times New Roman" w:hAnsi="Times New Roman" w:cs="Times New Roman"/>
      <w:sz w:val="20"/>
      <w:szCs w:val="20"/>
      <w:lang w:eastAsia="ar-SA"/>
    </w:rPr>
  </w:style>
  <w:style w:type="character" w:customStyle="1" w:styleId="KomentarotekstasDiagrama">
    <w:name w:val="Komentaro tekstas Diagrama"/>
    <w:basedOn w:val="Numatytasispastraiposriftas"/>
    <w:link w:val="Komentarotekstas"/>
    <w:rsid w:val="007B08D8"/>
    <w:rPr>
      <w:rFonts w:ascii="Times New Roman" w:eastAsia="Times New Roman" w:hAnsi="Times New Roman" w:cs="Times New Roman"/>
      <w:sz w:val="20"/>
      <w:szCs w:val="20"/>
      <w:lang w:eastAsia="ar-SA"/>
    </w:rPr>
  </w:style>
  <w:style w:type="paragraph" w:styleId="Debesliotekstas">
    <w:name w:val="Balloon Text"/>
    <w:basedOn w:val="prastasis"/>
    <w:link w:val="DebesliotekstasDiagrama"/>
    <w:uiPriority w:val="99"/>
    <w:semiHidden/>
    <w:unhideWhenUsed/>
    <w:rsid w:val="007B08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08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914598">
      <w:bodyDiv w:val="1"/>
      <w:marLeft w:val="0"/>
      <w:marRight w:val="0"/>
      <w:marTop w:val="0"/>
      <w:marBottom w:val="0"/>
      <w:divBdr>
        <w:top w:val="none" w:sz="0" w:space="0" w:color="auto"/>
        <w:left w:val="none" w:sz="0" w:space="0" w:color="auto"/>
        <w:bottom w:val="none" w:sz="0" w:space="0" w:color="auto"/>
        <w:right w:val="none" w:sz="0" w:space="0" w:color="auto"/>
      </w:divBdr>
      <w:divsChild>
        <w:div w:id="257564438">
          <w:marLeft w:val="0"/>
          <w:marRight w:val="0"/>
          <w:marTop w:val="0"/>
          <w:marBottom w:val="0"/>
          <w:divBdr>
            <w:top w:val="none" w:sz="0" w:space="0" w:color="auto"/>
            <w:left w:val="none" w:sz="0" w:space="0" w:color="auto"/>
            <w:bottom w:val="none" w:sz="0" w:space="0" w:color="auto"/>
            <w:right w:val="none" w:sz="0" w:space="0" w:color="auto"/>
          </w:divBdr>
        </w:div>
      </w:divsChild>
    </w:div>
    <w:div w:id="382606464">
      <w:bodyDiv w:val="1"/>
      <w:marLeft w:val="0"/>
      <w:marRight w:val="0"/>
      <w:marTop w:val="0"/>
      <w:marBottom w:val="0"/>
      <w:divBdr>
        <w:top w:val="none" w:sz="0" w:space="0" w:color="auto"/>
        <w:left w:val="none" w:sz="0" w:space="0" w:color="auto"/>
        <w:bottom w:val="none" w:sz="0" w:space="0" w:color="auto"/>
        <w:right w:val="none" w:sz="0" w:space="0" w:color="auto"/>
      </w:divBdr>
      <w:divsChild>
        <w:div w:id="1467166130">
          <w:marLeft w:val="0"/>
          <w:marRight w:val="0"/>
          <w:marTop w:val="0"/>
          <w:marBottom w:val="0"/>
          <w:divBdr>
            <w:top w:val="none" w:sz="0" w:space="0" w:color="auto"/>
            <w:left w:val="none" w:sz="0" w:space="0" w:color="auto"/>
            <w:bottom w:val="none" w:sz="0" w:space="0" w:color="auto"/>
            <w:right w:val="none" w:sz="0" w:space="0" w:color="auto"/>
          </w:divBdr>
          <w:divsChild>
            <w:div w:id="280109601">
              <w:marLeft w:val="0"/>
              <w:marRight w:val="0"/>
              <w:marTop w:val="0"/>
              <w:marBottom w:val="0"/>
              <w:divBdr>
                <w:top w:val="none" w:sz="0" w:space="0" w:color="auto"/>
                <w:left w:val="none" w:sz="0" w:space="0" w:color="auto"/>
                <w:bottom w:val="none" w:sz="0" w:space="0" w:color="auto"/>
                <w:right w:val="none" w:sz="0" w:space="0" w:color="auto"/>
              </w:divBdr>
              <w:divsChild>
                <w:div w:id="777139167">
                  <w:marLeft w:val="0"/>
                  <w:marRight w:val="0"/>
                  <w:marTop w:val="0"/>
                  <w:marBottom w:val="0"/>
                  <w:divBdr>
                    <w:top w:val="none" w:sz="0" w:space="0" w:color="auto"/>
                    <w:left w:val="none" w:sz="0" w:space="0" w:color="auto"/>
                    <w:bottom w:val="none" w:sz="0" w:space="0" w:color="auto"/>
                    <w:right w:val="none" w:sz="0" w:space="0" w:color="auto"/>
                  </w:divBdr>
                  <w:divsChild>
                    <w:div w:id="1290621665">
                      <w:marLeft w:val="0"/>
                      <w:marRight w:val="0"/>
                      <w:marTop w:val="0"/>
                      <w:marBottom w:val="0"/>
                      <w:divBdr>
                        <w:top w:val="none" w:sz="0" w:space="0" w:color="auto"/>
                        <w:left w:val="none" w:sz="0" w:space="0" w:color="auto"/>
                        <w:bottom w:val="none" w:sz="0" w:space="0" w:color="auto"/>
                        <w:right w:val="none" w:sz="0" w:space="0" w:color="auto"/>
                      </w:divBdr>
                      <w:divsChild>
                        <w:div w:id="101754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740794">
      <w:bodyDiv w:val="1"/>
      <w:marLeft w:val="0"/>
      <w:marRight w:val="0"/>
      <w:marTop w:val="0"/>
      <w:marBottom w:val="0"/>
      <w:divBdr>
        <w:top w:val="none" w:sz="0" w:space="0" w:color="auto"/>
        <w:left w:val="none" w:sz="0" w:space="0" w:color="auto"/>
        <w:bottom w:val="none" w:sz="0" w:space="0" w:color="auto"/>
        <w:right w:val="none" w:sz="0" w:space="0" w:color="auto"/>
      </w:divBdr>
    </w:div>
    <w:div w:id="805977276">
      <w:bodyDiv w:val="1"/>
      <w:marLeft w:val="0"/>
      <w:marRight w:val="0"/>
      <w:marTop w:val="0"/>
      <w:marBottom w:val="0"/>
      <w:divBdr>
        <w:top w:val="none" w:sz="0" w:space="0" w:color="auto"/>
        <w:left w:val="none" w:sz="0" w:space="0" w:color="auto"/>
        <w:bottom w:val="none" w:sz="0" w:space="0" w:color="auto"/>
        <w:right w:val="none" w:sz="0" w:space="0" w:color="auto"/>
      </w:divBdr>
    </w:div>
    <w:div w:id="929118181">
      <w:bodyDiv w:val="1"/>
      <w:marLeft w:val="0"/>
      <w:marRight w:val="0"/>
      <w:marTop w:val="0"/>
      <w:marBottom w:val="0"/>
      <w:divBdr>
        <w:top w:val="none" w:sz="0" w:space="0" w:color="auto"/>
        <w:left w:val="none" w:sz="0" w:space="0" w:color="auto"/>
        <w:bottom w:val="none" w:sz="0" w:space="0" w:color="auto"/>
        <w:right w:val="none" w:sz="0" w:space="0" w:color="auto"/>
      </w:divBdr>
    </w:div>
    <w:div w:id="1543978549">
      <w:bodyDiv w:val="1"/>
      <w:marLeft w:val="0"/>
      <w:marRight w:val="0"/>
      <w:marTop w:val="0"/>
      <w:marBottom w:val="0"/>
      <w:divBdr>
        <w:top w:val="none" w:sz="0" w:space="0" w:color="auto"/>
        <w:left w:val="none" w:sz="0" w:space="0" w:color="auto"/>
        <w:bottom w:val="none" w:sz="0" w:space="0" w:color="auto"/>
        <w:right w:val="none" w:sz="0" w:space="0" w:color="auto"/>
      </w:divBdr>
    </w:div>
    <w:div w:id="1552501592">
      <w:bodyDiv w:val="1"/>
      <w:marLeft w:val="0"/>
      <w:marRight w:val="0"/>
      <w:marTop w:val="0"/>
      <w:marBottom w:val="0"/>
      <w:divBdr>
        <w:top w:val="none" w:sz="0" w:space="0" w:color="auto"/>
        <w:left w:val="none" w:sz="0" w:space="0" w:color="auto"/>
        <w:bottom w:val="none" w:sz="0" w:space="0" w:color="auto"/>
        <w:right w:val="none" w:sz="0" w:space="0" w:color="auto"/>
      </w:divBdr>
    </w:div>
    <w:div w:id="1959408049">
      <w:bodyDiv w:val="1"/>
      <w:marLeft w:val="0"/>
      <w:marRight w:val="0"/>
      <w:marTop w:val="0"/>
      <w:marBottom w:val="0"/>
      <w:divBdr>
        <w:top w:val="none" w:sz="0" w:space="0" w:color="auto"/>
        <w:left w:val="none" w:sz="0" w:space="0" w:color="auto"/>
        <w:bottom w:val="none" w:sz="0" w:space="0" w:color="auto"/>
        <w:right w:val="none" w:sz="0" w:space="0" w:color="auto"/>
      </w:divBdr>
    </w:div>
    <w:div w:id="21064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73A5B-43CC-4D40-B034-BD328CF94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4533</Words>
  <Characters>2585</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2020-01-07T09:23:00Z</dcterms:created>
  <dc:creator>Rosita Pletienė</dc:creator>
  <cp:lastModifiedBy>Rosita Pletienė</cp:lastModifiedBy>
  <cp:lastPrinted>2019-08-22T04:59:00Z</cp:lastPrinted>
  <dcterms:modified xsi:type="dcterms:W3CDTF">2020-01-07T09:23:00Z</dcterms:modified>
  <cp:revision>2</cp:revision>
</cp:coreProperties>
</file>