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3" w:rsidRPr="00D65621" w:rsidRDefault="00B86403" w:rsidP="00D65621">
      <w:pPr>
        <w:jc w:val="both"/>
        <w:rPr>
          <w:rFonts w:asciiTheme="minorHAnsi" w:hAnsiTheme="minorHAnsi"/>
          <w:szCs w:val="24"/>
        </w:rPr>
      </w:pPr>
      <w:bookmarkStart w:id="0" w:name="_Toc473644121"/>
      <w:r w:rsidRPr="00D65621">
        <w:rPr>
          <w:rFonts w:asciiTheme="minorHAnsi" w:eastAsia="Calibri" w:hAnsiTheme="minorHAnsi"/>
          <w:b/>
          <w:noProof/>
          <w:color w:val="0070C0"/>
          <w:szCs w:val="24"/>
          <w:lang w:eastAsia="lt-LT"/>
        </w:rPr>
        <w:drawing>
          <wp:inline distT="0" distB="0" distL="0" distR="0" wp14:anchorId="427BC99D" wp14:editId="21F2620E">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C42339" w:rsidRPr="00D65621" w:rsidRDefault="00C42339"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r w:rsidRPr="00D65621">
        <w:rPr>
          <w:rFonts w:asciiTheme="minorHAnsi" w:hAnsiTheme="minorHAnsi"/>
          <w:noProof/>
          <w:szCs w:val="24"/>
          <w:lang w:eastAsia="lt-LT"/>
        </w:rPr>
        <mc:AlternateContent>
          <mc:Choice Requires="wps">
            <w:drawing>
              <wp:anchor distT="0" distB="0" distL="114300" distR="114300" simplePos="0" relativeHeight="251662336" behindDoc="0" locked="0" layoutInCell="1" allowOverlap="1" wp14:anchorId="6AA87AA4" wp14:editId="5C75D153">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41B" w:rsidRPr="00BD3E54" w:rsidRDefault="00CF541B"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CF541B" w:rsidRDefault="00CF541B" w:rsidP="00B86403">
                            <w:pPr>
                              <w:rPr>
                                <w:rFonts w:ascii="Calibri" w:hAnsi="Calibri"/>
                                <w:b/>
                                <w:color w:val="D9D9D9"/>
                                <w:sz w:val="48"/>
                                <w:szCs w:val="48"/>
                              </w:rPr>
                            </w:pPr>
                          </w:p>
                          <w:p w:rsidR="00CF541B" w:rsidRPr="00BD3E54" w:rsidRDefault="00CF541B" w:rsidP="00B86403">
                            <w:pPr>
                              <w:rPr>
                                <w:rFonts w:ascii="Calibri" w:hAnsi="Calibri"/>
                                <w:b/>
                                <w:color w:val="D9D9D9"/>
                                <w:sz w:val="48"/>
                                <w:szCs w:val="48"/>
                              </w:rPr>
                            </w:pPr>
                          </w:p>
                          <w:p w:rsidR="00CF541B" w:rsidRPr="00A40881" w:rsidRDefault="00CF541B" w:rsidP="00D65621">
                            <w:pPr>
                              <w:jc w:val="center"/>
                              <w:rPr>
                                <w:sz w:val="28"/>
                                <w:szCs w:val="28"/>
                              </w:rPr>
                            </w:pPr>
                            <w:r>
                              <w:rPr>
                                <w:rFonts w:ascii="Calibri" w:hAnsi="Calibri"/>
                                <w:b/>
                                <w:color w:val="D9D9D9"/>
                                <w:sz w:val="28"/>
                                <w:szCs w:val="28"/>
                              </w:rPr>
                              <w:t>2019 metų III ketvirtis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" stroked="f">
                <v:fill opacity="0"/>
                <v:textbox>
                  <w:txbxContent>
                    <w:p w:rsidR="00CF541B" w:rsidRPr="00BD3E54" w:rsidRDefault="00CF541B"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CF541B" w:rsidRDefault="00CF541B" w:rsidP="00B86403">
                      <w:pPr>
                        <w:rPr>
                          <w:rFonts w:ascii="Calibri" w:hAnsi="Calibri"/>
                          <w:b/>
                          <w:color w:val="D9D9D9"/>
                          <w:sz w:val="48"/>
                          <w:szCs w:val="48"/>
                        </w:rPr>
                      </w:pPr>
                    </w:p>
                    <w:p w:rsidR="00CF541B" w:rsidRPr="00BD3E54" w:rsidRDefault="00CF541B" w:rsidP="00B86403">
                      <w:pPr>
                        <w:rPr>
                          <w:rFonts w:ascii="Calibri" w:hAnsi="Calibri"/>
                          <w:b/>
                          <w:color w:val="D9D9D9"/>
                          <w:sz w:val="48"/>
                          <w:szCs w:val="48"/>
                        </w:rPr>
                      </w:pPr>
                    </w:p>
                    <w:p w:rsidR="00CF541B" w:rsidRPr="00A40881" w:rsidRDefault="00CF541B" w:rsidP="00D65621">
                      <w:pPr>
                        <w:jc w:val="center"/>
                        <w:rPr>
                          <w:sz w:val="28"/>
                          <w:szCs w:val="28"/>
                        </w:rPr>
                      </w:pPr>
                      <w:r>
                        <w:rPr>
                          <w:rFonts w:ascii="Calibri" w:hAnsi="Calibri"/>
                          <w:b/>
                          <w:color w:val="D9D9D9"/>
                          <w:sz w:val="28"/>
                          <w:szCs w:val="28"/>
                        </w:rPr>
                        <w:t>2019 metų III ketvirtis</w:t>
                      </w:r>
                    </w:p>
                  </w:txbxContent>
                </v:textbox>
              </v:shape>
            </w:pict>
          </mc:Fallback>
        </mc:AlternateContent>
      </w:r>
    </w:p>
    <w:p w:rsidR="00B86403" w:rsidRPr="00D65621" w:rsidRDefault="00B86403" w:rsidP="00D65621">
      <w:pPr>
        <w:jc w:val="both"/>
        <w:rPr>
          <w:rFonts w:asciiTheme="minorHAnsi" w:hAnsiTheme="minorHAnsi"/>
          <w:szCs w:val="24"/>
        </w:rPr>
      </w:pPr>
      <w:r w:rsidRPr="00D65621">
        <w:rPr>
          <w:rFonts w:asciiTheme="minorHAnsi" w:hAnsiTheme="minorHAnsi"/>
          <w:noProof/>
          <w:szCs w:val="24"/>
          <w:lang w:eastAsia="lt-LT"/>
        </w:rPr>
        <mc:AlternateContent>
          <mc:Choice Requires="wps">
            <w:drawing>
              <wp:anchor distT="0" distB="0" distL="114300" distR="114300" simplePos="0" relativeHeight="251661312" behindDoc="1" locked="0" layoutInCell="1" allowOverlap="1" wp14:anchorId="2EEC3EA3" wp14:editId="382BB2C1">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41B" w:rsidRDefault="00CF541B" w:rsidP="00670A6A">
                            <w:pPr>
                              <w:ind w:left="-567"/>
                              <w:jc w:val="center"/>
                            </w:pPr>
                            <w:r>
                              <w:rPr>
                                <w:noProof/>
                                <w:lang w:eastAsia="lt-LT"/>
                              </w:rPr>
                              <w:drawing>
                                <wp:inline distT="0" distB="0" distL="0" distR="0" wp14:anchorId="3CF0C71E" wp14:editId="7C13AF93">
                                  <wp:extent cx="6564517" cy="2790967"/>
                                  <wp:effectExtent l="0" t="0" r="825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ksto laukas 390" o:spid="_x0000_s1027" type="#_x0000_t202" style="position:absolute;left:0;text-align:left;margin-left:6.05pt;margin-top:11.3pt;width:512.65pt;height:248.4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" filled="f" stroked="f">
                <v:textbox style="mso-fit-shape-to-text:t">
                  <w:txbxContent>
                    <w:p w:rsidR="00CF541B" w:rsidRDefault="00CF541B" w:rsidP="00670A6A">
                      <w:pPr>
                        <w:ind w:left="-567"/>
                        <w:jc w:val="center"/>
                      </w:pPr>
                      <w:r>
                        <w:rPr>
                          <w:noProof/>
                          <w:lang w:eastAsia="lt-LT"/>
                        </w:rPr>
                        <w:drawing>
                          <wp:inline distT="0" distB="0" distL="0" distR="0" wp14:anchorId="3CF0C71E" wp14:editId="7C13AF93">
                            <wp:extent cx="6564517" cy="2790967"/>
                            <wp:effectExtent l="0" t="0" r="825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rsidR="00A40881" w:rsidRPr="00283223" w:rsidRDefault="000C4C16" w:rsidP="00D65621">
      <w:pPr>
        <w:rPr>
          <w:rFonts w:asciiTheme="minorHAnsi" w:eastAsia="Calibri" w:hAnsiTheme="minorHAnsi"/>
          <w:b/>
          <w:color w:val="0070C0"/>
          <w:szCs w:val="24"/>
          <w:lang w:eastAsia="lt-LT"/>
        </w:rPr>
      </w:pPr>
      <w:r w:rsidRPr="00D65621">
        <w:rPr>
          <w:rFonts w:asciiTheme="minorHAnsi" w:eastAsia="Calibri" w:hAnsiTheme="minorHAnsi"/>
          <w:b/>
          <w:color w:val="0070C0"/>
          <w:szCs w:val="24"/>
          <w:lang w:eastAsia="lt-LT"/>
        </w:rPr>
        <w:br w:type="page"/>
      </w:r>
    </w:p>
    <w:sdt>
      <w:sdtPr>
        <w:rPr>
          <w:rFonts w:asciiTheme="minorHAnsi" w:eastAsia="Calibri" w:hAnsiTheme="minorHAnsi"/>
          <w:b/>
          <w:bCs/>
          <w:color w:val="666666"/>
          <w:szCs w:val="24"/>
        </w:rPr>
        <w:id w:val="-865983546"/>
        <w:docPartObj>
          <w:docPartGallery w:val="Table of Contents"/>
          <w:docPartUnique/>
        </w:docPartObj>
      </w:sdtPr>
      <w:sdtEndPr>
        <w:rPr>
          <w:b w:val="0"/>
          <w:bCs w:val="0"/>
        </w:rPr>
      </w:sdtEndPr>
      <w:sdtContent>
        <w:p w:rsidR="00B86403" w:rsidRPr="00D65621" w:rsidRDefault="00B86403" w:rsidP="00D65621">
          <w:pPr>
            <w:rPr>
              <w:rFonts w:asciiTheme="minorHAnsi" w:hAnsiTheme="minorHAnsi"/>
              <w:color w:val="666666"/>
              <w:szCs w:val="24"/>
              <w:lang w:eastAsia="lt-LT"/>
            </w:rPr>
          </w:pPr>
          <w:r w:rsidRPr="00D65621">
            <w:rPr>
              <w:rFonts w:asciiTheme="minorHAnsi" w:hAnsiTheme="minorHAnsi"/>
              <w:color w:val="666666"/>
              <w:szCs w:val="24"/>
              <w:lang w:eastAsia="lt-LT"/>
            </w:rPr>
            <w:t>Turinys</w:t>
          </w:r>
        </w:p>
        <w:p w:rsidR="0080307B" w:rsidRPr="0080307B" w:rsidRDefault="00B86403">
          <w:pPr>
            <w:pStyle w:val="Turinys1"/>
            <w:tabs>
              <w:tab w:val="left" w:pos="440"/>
              <w:tab w:val="right" w:leader="dot" w:pos="9628"/>
            </w:tabs>
            <w:rPr>
              <w:rFonts w:asciiTheme="minorHAnsi" w:eastAsiaTheme="minorEastAsia" w:hAnsiTheme="minorHAnsi" w:cstheme="minorHAnsi"/>
              <w:noProof/>
              <w:color w:val="7F7F7F" w:themeColor="text1" w:themeTint="80"/>
              <w:sz w:val="22"/>
              <w:szCs w:val="22"/>
              <w:lang w:eastAsia="lt-LT"/>
            </w:rPr>
          </w:pPr>
          <w:r w:rsidRPr="00D65621">
            <w:rPr>
              <w:rFonts w:asciiTheme="minorHAnsi" w:hAnsiTheme="minorHAnsi"/>
              <w:color w:val="666666"/>
              <w:szCs w:val="24"/>
              <w:lang w:eastAsia="lt-LT"/>
            </w:rPr>
            <w:fldChar w:fldCharType="begin"/>
          </w:r>
          <w:r w:rsidRPr="00D65621">
            <w:rPr>
              <w:rFonts w:asciiTheme="minorHAnsi" w:hAnsiTheme="minorHAnsi"/>
              <w:color w:val="666666"/>
              <w:szCs w:val="24"/>
              <w:lang w:eastAsia="lt-LT"/>
            </w:rPr>
            <w:instrText xml:space="preserve"> TOC \o "1-3" \h \z \u </w:instrText>
          </w:r>
          <w:r w:rsidRPr="00D65621">
            <w:rPr>
              <w:rFonts w:asciiTheme="minorHAnsi" w:hAnsiTheme="minorHAnsi"/>
              <w:color w:val="666666"/>
              <w:szCs w:val="24"/>
              <w:lang w:eastAsia="lt-LT"/>
            </w:rPr>
            <w:fldChar w:fldCharType="separate"/>
          </w:r>
          <w:hyperlink w:anchor="_Toc24016870" w:history="1">
            <w:r w:rsidR="0080307B" w:rsidRPr="0080307B">
              <w:rPr>
                <w:rStyle w:val="Hipersaitas"/>
                <w:rFonts w:asciiTheme="minorHAnsi" w:hAnsiTheme="minorHAnsi" w:cstheme="minorHAnsi"/>
                <w:noProof/>
                <w:color w:val="7F7F7F" w:themeColor="text1" w:themeTint="80"/>
              </w:rPr>
              <w:t>I.</w:t>
            </w:r>
            <w:r w:rsidR="0080307B" w:rsidRPr="0080307B">
              <w:rPr>
                <w:rFonts w:asciiTheme="minorHAnsi" w:eastAsiaTheme="minorEastAsia" w:hAnsiTheme="minorHAnsi" w:cstheme="minorHAnsi"/>
                <w:noProof/>
                <w:color w:val="7F7F7F" w:themeColor="text1" w:themeTint="80"/>
                <w:sz w:val="22"/>
                <w:szCs w:val="22"/>
                <w:lang w:eastAsia="lt-LT"/>
              </w:rPr>
              <w:tab/>
            </w:r>
            <w:r w:rsidR="0080307B" w:rsidRPr="0080307B">
              <w:rPr>
                <w:rStyle w:val="Hipersaitas"/>
                <w:rFonts w:asciiTheme="minorHAnsi" w:hAnsiTheme="minorHAnsi" w:cstheme="minorHAnsi"/>
                <w:noProof/>
                <w:color w:val="7F7F7F" w:themeColor="text1" w:themeTint="80"/>
              </w:rPr>
              <w:t>Bendra Veiksmų programos įgyvendinimo apžvalga</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_Toc24016870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5</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1"/>
            <w:tabs>
              <w:tab w:val="left" w:pos="660"/>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1" w:history="1">
            <w:r w:rsidR="0080307B" w:rsidRPr="0080307B">
              <w:rPr>
                <w:rStyle w:val="Hipersaitas"/>
                <w:rFonts w:asciiTheme="minorHAnsi" w:hAnsiTheme="minorHAnsi" w:cstheme="minorHAnsi"/>
                <w:noProof/>
                <w:color w:val="7F7F7F" w:themeColor="text1" w:themeTint="80"/>
              </w:rPr>
              <w:t>II.</w:t>
            </w:r>
            <w:r w:rsidR="0080307B" w:rsidRPr="0080307B">
              <w:rPr>
                <w:rFonts w:asciiTheme="minorHAnsi" w:eastAsiaTheme="minorEastAsia" w:hAnsiTheme="minorHAnsi" w:cstheme="minorHAnsi"/>
                <w:noProof/>
                <w:color w:val="7F7F7F" w:themeColor="text1" w:themeTint="80"/>
                <w:sz w:val="22"/>
                <w:szCs w:val="22"/>
                <w:lang w:eastAsia="lt-LT"/>
              </w:rPr>
              <w:tab/>
            </w:r>
            <w:r w:rsidR="0080307B" w:rsidRPr="0080307B">
              <w:rPr>
                <w:rStyle w:val="Hipersaitas"/>
                <w:rFonts w:asciiTheme="minorHAnsi" w:hAnsiTheme="minorHAnsi" w:cstheme="minorHAnsi"/>
                <w:noProof/>
                <w:color w:val="7F7F7F" w:themeColor="text1" w:themeTint="80"/>
              </w:rPr>
              <w:t>Investavimo pažanga strateginėse srityse</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_Toc24016871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7</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1"/>
            <w:tabs>
              <w:tab w:val="left" w:pos="660"/>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2" w:history="1">
            <w:r w:rsidR="0080307B" w:rsidRPr="0080307B">
              <w:rPr>
                <w:rStyle w:val="Hipersaitas"/>
                <w:rFonts w:asciiTheme="minorHAnsi" w:hAnsiTheme="minorHAnsi" w:cstheme="minorHAnsi"/>
                <w:noProof/>
                <w:color w:val="7F7F7F" w:themeColor="text1" w:themeTint="80"/>
              </w:rPr>
              <w:t>III.</w:t>
            </w:r>
            <w:r w:rsidR="0080307B" w:rsidRPr="0080307B">
              <w:rPr>
                <w:rFonts w:asciiTheme="minorHAnsi" w:eastAsiaTheme="minorEastAsia" w:hAnsiTheme="minorHAnsi" w:cstheme="minorHAnsi"/>
                <w:noProof/>
                <w:color w:val="7F7F7F" w:themeColor="text1" w:themeTint="80"/>
                <w:sz w:val="22"/>
                <w:szCs w:val="22"/>
                <w:lang w:eastAsia="lt-LT"/>
              </w:rPr>
              <w:tab/>
            </w:r>
            <w:r w:rsidR="0080307B" w:rsidRPr="0080307B">
              <w:rPr>
                <w:rStyle w:val="Hipersaitas"/>
                <w:rFonts w:asciiTheme="minorHAnsi" w:hAnsiTheme="minorHAnsi" w:cstheme="minorHAnsi"/>
                <w:noProof/>
                <w:color w:val="7F7F7F" w:themeColor="text1" w:themeTint="80"/>
              </w:rPr>
              <w:t>Svarbesni laikotarpio pasiekti rodikliai</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_Toc24016872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8</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1"/>
            <w:tabs>
              <w:tab w:val="left" w:pos="660"/>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3" w:history="1">
            <w:r w:rsidR="0080307B" w:rsidRPr="0080307B">
              <w:rPr>
                <w:rStyle w:val="Hipersaitas"/>
                <w:rFonts w:asciiTheme="minorHAnsi" w:hAnsiTheme="minorHAnsi" w:cstheme="minorHAnsi"/>
                <w:noProof/>
                <w:color w:val="7F7F7F" w:themeColor="text1" w:themeTint="80"/>
              </w:rPr>
              <w:t>IV.</w:t>
            </w:r>
            <w:r w:rsidR="0080307B" w:rsidRPr="0080307B">
              <w:rPr>
                <w:rFonts w:asciiTheme="minorHAnsi" w:eastAsiaTheme="minorEastAsia" w:hAnsiTheme="minorHAnsi" w:cstheme="minorHAnsi"/>
                <w:noProof/>
                <w:color w:val="7F7F7F" w:themeColor="text1" w:themeTint="80"/>
                <w:sz w:val="22"/>
                <w:szCs w:val="22"/>
                <w:lang w:eastAsia="lt-LT"/>
              </w:rPr>
              <w:tab/>
            </w:r>
            <w:r w:rsidR="0080307B" w:rsidRPr="0080307B">
              <w:rPr>
                <w:rStyle w:val="Hipersaitas"/>
                <w:rFonts w:asciiTheme="minorHAnsi" w:hAnsiTheme="minorHAnsi" w:cstheme="minorHAnsi"/>
                <w:noProof/>
                <w:color w:val="7F7F7F" w:themeColor="text1" w:themeTint="80"/>
              </w:rPr>
              <w:t>Situacijos sektoriuose analizė ir siūlymai</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_Toc24016873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9</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4" w:history="1">
            <w:r w:rsidR="0080307B" w:rsidRPr="0080307B">
              <w:rPr>
                <w:rStyle w:val="Hipersaitas"/>
                <w:rFonts w:asciiTheme="minorHAnsi" w:hAnsiTheme="minorHAnsi" w:cstheme="minorHAnsi"/>
                <w:noProof/>
                <w:color w:val="7F7F7F" w:themeColor="text1" w:themeTint="80"/>
              </w:rPr>
              <w:t>1 prioritetas. Mokslinių tyrimų, eksperimentinės plėtros ir inovacijų skatinimas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_Toc24016874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10</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5" w:history="1">
            <w:r w:rsidR="0080307B" w:rsidRPr="0080307B">
              <w:rPr>
                <w:rStyle w:val="Hipersaitas"/>
                <w:rFonts w:asciiTheme="minorHAnsi" w:hAnsiTheme="minorHAnsi" w:cstheme="minorHAnsi"/>
                <w:noProof/>
                <w:color w:val="7F7F7F" w:themeColor="text1" w:themeTint="80"/>
              </w:rPr>
              <w:t>2 prioritetas. Informacinės visuomenės skatinimas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_Toc24016875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11</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6" w:history="1">
            <w:r w:rsidR="0080307B" w:rsidRPr="0080307B">
              <w:rPr>
                <w:rStyle w:val="Hipersaitas"/>
                <w:rFonts w:asciiTheme="minorHAnsi" w:hAnsiTheme="minorHAnsi" w:cstheme="minorHAnsi"/>
                <w:noProof/>
                <w:color w:val="7F7F7F" w:themeColor="text1" w:themeTint="80"/>
              </w:rPr>
              <w:t>3 prioritetas. Smulkiojo ir vidutinio verslo konkurencingumo skatinimas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_Toc24016876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12</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7" w:history="1">
            <w:r w:rsidR="0080307B" w:rsidRPr="0080307B">
              <w:rPr>
                <w:rStyle w:val="Hipersaitas"/>
                <w:rFonts w:asciiTheme="minorHAnsi" w:hAnsiTheme="minorHAnsi" w:cstheme="minorHAnsi"/>
                <w:noProof/>
                <w:color w:val="7F7F7F" w:themeColor="text1" w:themeTint="80"/>
              </w:rPr>
              <w:t>4 prioritetas. Energijos efektyvumo ir atsinaujinančių išteklių energijos gamybos ir naudojimo skatinimas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_Toc24016877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12</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8" w:history="1">
            <w:r w:rsidR="0080307B" w:rsidRPr="0080307B">
              <w:rPr>
                <w:rStyle w:val="Hipersaitas"/>
                <w:rFonts w:asciiTheme="minorHAnsi" w:hAnsiTheme="minorHAnsi" w:cstheme="minorHAnsi"/>
                <w:noProof/>
                <w:color w:val="7F7F7F" w:themeColor="text1" w:themeTint="80"/>
              </w:rPr>
              <w:t>5 prioritetas. Aplinkosauga, gamtos išteklių darnus naudojimas ir prisitaikymas prie klimato kaitos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_Toc24016878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15</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79" w:history="1">
            <w:r w:rsidR="0080307B" w:rsidRPr="0080307B">
              <w:rPr>
                <w:rStyle w:val="Hipersaitas"/>
                <w:rFonts w:asciiTheme="minorHAnsi" w:hAnsiTheme="minorHAnsi" w:cstheme="minorHAnsi"/>
                <w:noProof/>
                <w:color w:val="7F7F7F" w:themeColor="text1" w:themeTint="80"/>
              </w:rPr>
              <w:t>6 prioritetas. Darnaus transporto ir pagrindinių tinklų infrastruktūros plėtra</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_Toc24016879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16</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80" w:history="1">
            <w:r w:rsidR="0080307B" w:rsidRPr="0080307B">
              <w:rPr>
                <w:rStyle w:val="Hipersaitas"/>
                <w:rFonts w:asciiTheme="minorHAnsi" w:hAnsiTheme="minorHAnsi" w:cstheme="minorHAnsi"/>
                <w:noProof/>
                <w:color w:val="7F7F7F" w:themeColor="text1" w:themeTint="80"/>
              </w:rPr>
              <w:t>7 prioritetas. Kokybiško užimtumo ir dalyvavimo darbo rinkoje skatinimas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_Toc24016880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17</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81" w:history="1">
            <w:r w:rsidR="0080307B" w:rsidRPr="0080307B">
              <w:rPr>
                <w:rStyle w:val="Hipersaitas"/>
                <w:rFonts w:asciiTheme="minorHAnsi" w:hAnsiTheme="minorHAnsi" w:cstheme="minorHAnsi"/>
                <w:noProof/>
                <w:color w:val="7F7F7F" w:themeColor="text1" w:themeTint="80"/>
              </w:rPr>
              <w:t>8 prioritetas. Socialinės įtraukties didinimas ir kova su skurdu</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_Toc24016881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18</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82" w:history="1">
            <w:r w:rsidR="0080307B" w:rsidRPr="0080307B">
              <w:rPr>
                <w:rStyle w:val="Hipersaitas"/>
                <w:rFonts w:asciiTheme="minorHAnsi" w:hAnsiTheme="minorHAnsi" w:cstheme="minorHAnsi"/>
                <w:noProof/>
                <w:color w:val="7F7F7F" w:themeColor="text1" w:themeTint="80"/>
              </w:rPr>
              <w:t>9 prioritetas. Visuomenės švietimas ir žmogiškųjų išteklių potencialo didinimas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_Toc24016882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20</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2"/>
            <w:tabs>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83" w:history="1">
            <w:r w:rsidR="0080307B" w:rsidRPr="0080307B">
              <w:rPr>
                <w:rStyle w:val="Hipersaitas"/>
                <w:rFonts w:asciiTheme="minorHAnsi" w:hAnsiTheme="minorHAnsi" w:cstheme="minorHAnsi"/>
                <w:noProof/>
                <w:color w:val="7F7F7F" w:themeColor="text1" w:themeTint="80"/>
              </w:rPr>
              <w:t>10 prioritetas. Visuomenės poreikius atitinkantis ir pažangus viešasis valdymas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_Toc24016883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22</w:t>
            </w:r>
            <w:r w:rsidR="0080307B" w:rsidRPr="0080307B">
              <w:rPr>
                <w:rFonts w:asciiTheme="minorHAnsi" w:hAnsiTheme="minorHAnsi" w:cstheme="minorHAnsi"/>
                <w:noProof/>
                <w:webHidden/>
                <w:color w:val="7F7F7F" w:themeColor="text1" w:themeTint="80"/>
              </w:rPr>
              <w:fldChar w:fldCharType="end"/>
            </w:r>
          </w:hyperlink>
        </w:p>
        <w:p w:rsidR="0080307B" w:rsidRPr="0080307B" w:rsidRDefault="00D02AAA">
          <w:pPr>
            <w:pStyle w:val="Turinys1"/>
            <w:tabs>
              <w:tab w:val="left" w:pos="660"/>
              <w:tab w:val="right" w:leader="dot" w:pos="9628"/>
            </w:tabs>
            <w:rPr>
              <w:rFonts w:asciiTheme="minorHAnsi" w:eastAsiaTheme="minorEastAsia" w:hAnsiTheme="minorHAnsi" w:cstheme="minorHAnsi"/>
              <w:noProof/>
              <w:color w:val="7F7F7F" w:themeColor="text1" w:themeTint="80"/>
              <w:sz w:val="22"/>
              <w:szCs w:val="22"/>
              <w:lang w:eastAsia="lt-LT"/>
            </w:rPr>
          </w:pPr>
          <w:hyperlink w:anchor="_Toc24016884" w:history="1">
            <w:r w:rsidR="0080307B" w:rsidRPr="0080307B">
              <w:rPr>
                <w:rStyle w:val="Hipersaitas"/>
                <w:rFonts w:asciiTheme="minorHAnsi" w:hAnsiTheme="minorHAnsi" w:cstheme="minorHAnsi"/>
                <w:noProof/>
                <w:color w:val="7F7F7F" w:themeColor="text1" w:themeTint="80"/>
              </w:rPr>
              <w:t>V.</w:t>
            </w:r>
            <w:r w:rsidR="0080307B" w:rsidRPr="0080307B">
              <w:rPr>
                <w:rFonts w:asciiTheme="minorHAnsi" w:eastAsiaTheme="minorEastAsia" w:hAnsiTheme="minorHAnsi" w:cstheme="minorHAnsi"/>
                <w:noProof/>
                <w:color w:val="7F7F7F" w:themeColor="text1" w:themeTint="80"/>
                <w:sz w:val="22"/>
                <w:szCs w:val="22"/>
                <w:lang w:eastAsia="lt-LT"/>
              </w:rPr>
              <w:tab/>
            </w:r>
            <w:r w:rsidR="0080307B" w:rsidRPr="0080307B">
              <w:rPr>
                <w:rStyle w:val="Hipersaitas"/>
                <w:rFonts w:asciiTheme="minorHAnsi" w:hAnsiTheme="minorHAnsi" w:cstheme="minorHAnsi"/>
                <w:noProof/>
                <w:color w:val="7F7F7F" w:themeColor="text1" w:themeTint="80"/>
              </w:rPr>
              <w:t>Pasirengimas 2021–2027 m. periodui</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_Toc24016884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22</w:t>
            </w:r>
            <w:r w:rsidR="0080307B" w:rsidRPr="0080307B">
              <w:rPr>
                <w:rFonts w:asciiTheme="minorHAnsi" w:hAnsiTheme="minorHAnsi" w:cstheme="minorHAnsi"/>
                <w:noProof/>
                <w:webHidden/>
                <w:color w:val="7F7F7F" w:themeColor="text1" w:themeTint="80"/>
              </w:rPr>
              <w:fldChar w:fldCharType="end"/>
            </w:r>
          </w:hyperlink>
        </w:p>
        <w:p w:rsidR="0080307B" w:rsidRDefault="00D02AAA">
          <w:pPr>
            <w:pStyle w:val="Turinys1"/>
            <w:tabs>
              <w:tab w:val="left" w:pos="660"/>
              <w:tab w:val="right" w:leader="dot" w:pos="9628"/>
            </w:tabs>
            <w:rPr>
              <w:rFonts w:asciiTheme="minorHAnsi" w:eastAsiaTheme="minorEastAsia" w:hAnsiTheme="minorHAnsi" w:cstheme="minorBidi"/>
              <w:noProof/>
              <w:sz w:val="22"/>
              <w:szCs w:val="22"/>
              <w:lang w:eastAsia="lt-LT"/>
            </w:rPr>
          </w:pPr>
          <w:hyperlink w:anchor="_Toc24016885" w:history="1">
            <w:r w:rsidR="0080307B" w:rsidRPr="0080307B">
              <w:rPr>
                <w:rStyle w:val="Hipersaitas"/>
                <w:rFonts w:asciiTheme="minorHAnsi" w:hAnsiTheme="minorHAnsi" w:cstheme="minorHAnsi"/>
                <w:noProof/>
                <w:color w:val="7F7F7F" w:themeColor="text1" w:themeTint="80"/>
              </w:rPr>
              <w:t>VI.</w:t>
            </w:r>
            <w:r w:rsidR="0080307B" w:rsidRPr="0080307B">
              <w:rPr>
                <w:rFonts w:asciiTheme="minorHAnsi" w:eastAsiaTheme="minorEastAsia" w:hAnsiTheme="minorHAnsi" w:cstheme="minorHAnsi"/>
                <w:noProof/>
                <w:color w:val="7F7F7F" w:themeColor="text1" w:themeTint="80"/>
                <w:sz w:val="22"/>
                <w:szCs w:val="22"/>
                <w:lang w:eastAsia="lt-LT"/>
              </w:rPr>
              <w:tab/>
            </w:r>
            <w:r w:rsidR="0080307B" w:rsidRPr="0080307B">
              <w:rPr>
                <w:rStyle w:val="Hipersaitas"/>
                <w:rFonts w:asciiTheme="minorHAnsi" w:hAnsiTheme="minorHAnsi" w:cstheme="minorHAnsi"/>
                <w:noProof/>
                <w:color w:val="7F7F7F" w:themeColor="text1" w:themeTint="80"/>
              </w:rPr>
              <w:t>Socialinio poveikio investicijos</w:t>
            </w:r>
            <w:r w:rsidR="0080307B" w:rsidRPr="0080307B">
              <w:rPr>
                <w:rFonts w:asciiTheme="minorHAnsi" w:hAnsiTheme="minorHAnsi" w:cstheme="minorHAnsi"/>
                <w:noProof/>
                <w:webHidden/>
                <w:color w:val="7F7F7F" w:themeColor="text1" w:themeTint="80"/>
              </w:rPr>
              <w:tab/>
            </w:r>
            <w:r w:rsidR="0080307B" w:rsidRPr="0080307B">
              <w:rPr>
                <w:rFonts w:asciiTheme="minorHAnsi" w:hAnsiTheme="minorHAnsi" w:cstheme="minorHAnsi"/>
                <w:noProof/>
                <w:webHidden/>
                <w:color w:val="7F7F7F" w:themeColor="text1" w:themeTint="80"/>
              </w:rPr>
              <w:fldChar w:fldCharType="begin"/>
            </w:r>
            <w:r w:rsidR="0080307B" w:rsidRPr="0080307B">
              <w:rPr>
                <w:rFonts w:asciiTheme="minorHAnsi" w:hAnsiTheme="minorHAnsi" w:cstheme="minorHAnsi"/>
                <w:noProof/>
                <w:webHidden/>
                <w:color w:val="7F7F7F" w:themeColor="text1" w:themeTint="80"/>
              </w:rPr>
              <w:instrText xml:space="preserve"> PAGEREF _Toc24016885 \h </w:instrText>
            </w:r>
            <w:r w:rsidR="0080307B" w:rsidRPr="0080307B">
              <w:rPr>
                <w:rFonts w:asciiTheme="minorHAnsi" w:hAnsiTheme="minorHAnsi" w:cstheme="minorHAnsi"/>
                <w:noProof/>
                <w:webHidden/>
                <w:color w:val="7F7F7F" w:themeColor="text1" w:themeTint="80"/>
              </w:rPr>
            </w:r>
            <w:r w:rsidR="0080307B" w:rsidRPr="0080307B">
              <w:rPr>
                <w:rFonts w:asciiTheme="minorHAnsi" w:hAnsiTheme="minorHAnsi" w:cstheme="minorHAnsi"/>
                <w:noProof/>
                <w:webHidden/>
                <w:color w:val="7F7F7F" w:themeColor="text1" w:themeTint="80"/>
              </w:rPr>
              <w:fldChar w:fldCharType="separate"/>
            </w:r>
            <w:r w:rsidR="0080307B" w:rsidRPr="0080307B">
              <w:rPr>
                <w:rFonts w:asciiTheme="minorHAnsi" w:hAnsiTheme="minorHAnsi" w:cstheme="minorHAnsi"/>
                <w:noProof/>
                <w:webHidden/>
                <w:color w:val="7F7F7F" w:themeColor="text1" w:themeTint="80"/>
              </w:rPr>
              <w:t>23</w:t>
            </w:r>
            <w:r w:rsidR="0080307B" w:rsidRPr="0080307B">
              <w:rPr>
                <w:rFonts w:asciiTheme="minorHAnsi" w:hAnsiTheme="minorHAnsi" w:cstheme="minorHAnsi"/>
                <w:noProof/>
                <w:webHidden/>
                <w:color w:val="7F7F7F" w:themeColor="text1" w:themeTint="80"/>
              </w:rPr>
              <w:fldChar w:fldCharType="end"/>
            </w:r>
          </w:hyperlink>
        </w:p>
        <w:p w:rsidR="00B86403" w:rsidRPr="00D65621" w:rsidRDefault="00B86403" w:rsidP="00D65621">
          <w:pPr>
            <w:pStyle w:val="Turinys2"/>
            <w:tabs>
              <w:tab w:val="right" w:leader="dot" w:pos="9628"/>
            </w:tabs>
            <w:spacing w:after="0"/>
            <w:ind w:left="0"/>
            <w:rPr>
              <w:rFonts w:asciiTheme="minorHAnsi" w:eastAsia="Calibri" w:hAnsiTheme="minorHAnsi"/>
              <w:color w:val="666666"/>
              <w:szCs w:val="24"/>
              <w:lang w:eastAsia="lt-LT"/>
            </w:rPr>
          </w:pPr>
          <w:r w:rsidRPr="00D65621">
            <w:rPr>
              <w:rFonts w:asciiTheme="minorHAnsi" w:hAnsiTheme="minorHAnsi"/>
              <w:color w:val="666666"/>
              <w:szCs w:val="24"/>
              <w:lang w:eastAsia="lt-LT"/>
            </w:rPr>
            <w:fldChar w:fldCharType="end"/>
          </w:r>
        </w:p>
      </w:sdtContent>
    </w:sdt>
    <w:p w:rsidR="00C42339" w:rsidRPr="00D65621" w:rsidRDefault="00C42339" w:rsidP="00D65621">
      <w:pPr>
        <w:rPr>
          <w:rFonts w:asciiTheme="minorHAnsi" w:eastAsiaTheme="majorEastAsia" w:hAnsiTheme="minorHAnsi" w:cstheme="majorBidi"/>
          <w:b/>
          <w:bCs/>
          <w:color w:val="666666"/>
          <w:szCs w:val="24"/>
          <w:lang w:eastAsia="lt-LT"/>
        </w:rPr>
      </w:pPr>
      <w:r w:rsidRPr="00D65621">
        <w:rPr>
          <w:rFonts w:asciiTheme="minorHAnsi" w:hAnsiTheme="minorHAnsi"/>
          <w:color w:val="666666"/>
          <w:szCs w:val="24"/>
          <w:lang w:eastAsia="lt-LT"/>
        </w:rPr>
        <w:br w:type="page"/>
      </w:r>
    </w:p>
    <w:p w:rsidR="00901533" w:rsidRPr="005A4426" w:rsidRDefault="00D86482" w:rsidP="00FC6139">
      <w:pPr>
        <w:pStyle w:val="Pavadinimas"/>
      </w:pPr>
      <w:r w:rsidRPr="005A4426">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19"/>
      </w:tblGrid>
      <w:tr w:rsidR="00CA2B8C" w:rsidRPr="00291BF5" w:rsidTr="008B3725">
        <w:tc>
          <w:tcPr>
            <w:tcW w:w="2235" w:type="dxa"/>
          </w:tcPr>
          <w:p w:rsidR="00D634AC" w:rsidRPr="00291BF5" w:rsidRDefault="00D634AC" w:rsidP="007D34BF">
            <w:pPr>
              <w:pStyle w:val="tekstas"/>
              <w:spacing w:line="360" w:lineRule="auto"/>
              <w:ind w:firstLine="0"/>
              <w:rPr>
                <w:color w:val="7F7F7F" w:themeColor="text1" w:themeTint="80"/>
              </w:rPr>
            </w:pPr>
            <w:r w:rsidRPr="00291BF5">
              <w:rPr>
                <w:color w:val="7F7F7F" w:themeColor="text1" w:themeTint="80"/>
              </w:rPr>
              <w:t>APVA</w:t>
            </w:r>
          </w:p>
          <w:p w:rsidR="006F2E6A" w:rsidRPr="00291BF5" w:rsidRDefault="006F2E6A" w:rsidP="007D34BF">
            <w:pPr>
              <w:pStyle w:val="tekstas"/>
              <w:spacing w:line="360" w:lineRule="auto"/>
              <w:ind w:firstLine="0"/>
              <w:rPr>
                <w:color w:val="7F7F7F" w:themeColor="text1" w:themeTint="80"/>
              </w:rPr>
            </w:pPr>
            <w:r w:rsidRPr="00291BF5">
              <w:rPr>
                <w:color w:val="7F7F7F" w:themeColor="text1" w:themeTint="80"/>
              </w:rPr>
              <w:t>CPVA</w:t>
            </w:r>
          </w:p>
          <w:p w:rsidR="00CA2B8C" w:rsidRDefault="00CA2B8C" w:rsidP="007D34BF">
            <w:pPr>
              <w:pStyle w:val="tekstas"/>
              <w:spacing w:line="360" w:lineRule="auto"/>
              <w:ind w:firstLine="0"/>
              <w:rPr>
                <w:color w:val="7F7F7F" w:themeColor="text1" w:themeTint="80"/>
              </w:rPr>
            </w:pPr>
            <w:r w:rsidRPr="00291BF5">
              <w:rPr>
                <w:color w:val="7F7F7F" w:themeColor="text1" w:themeTint="80"/>
              </w:rPr>
              <w:t>EK</w:t>
            </w:r>
          </w:p>
          <w:p w:rsidR="006B0C8E" w:rsidRPr="00291BF5" w:rsidRDefault="006B0C8E" w:rsidP="007D34BF">
            <w:pPr>
              <w:pStyle w:val="tekstas"/>
              <w:spacing w:line="360" w:lineRule="auto"/>
              <w:ind w:firstLine="0"/>
              <w:rPr>
                <w:color w:val="7F7F7F" w:themeColor="text1" w:themeTint="80"/>
              </w:rPr>
            </w:pPr>
            <w:r>
              <w:rPr>
                <w:color w:val="7F7F7F" w:themeColor="text1" w:themeTint="80"/>
              </w:rPr>
              <w:t>ENEF</w:t>
            </w:r>
          </w:p>
        </w:tc>
        <w:tc>
          <w:tcPr>
            <w:tcW w:w="7619" w:type="dxa"/>
          </w:tcPr>
          <w:p w:rsidR="00D634AC" w:rsidRPr="00291BF5" w:rsidRDefault="00D634AC" w:rsidP="00CA2B8C">
            <w:pPr>
              <w:pStyle w:val="tekstas"/>
              <w:spacing w:line="360" w:lineRule="auto"/>
              <w:ind w:firstLine="0"/>
              <w:rPr>
                <w:color w:val="7F7F7F" w:themeColor="text1" w:themeTint="80"/>
              </w:rPr>
            </w:pPr>
            <w:r w:rsidRPr="00291BF5">
              <w:rPr>
                <w:color w:val="7F7F7F" w:themeColor="text1" w:themeTint="80"/>
              </w:rPr>
              <w:t>– Aplinkos projektų valdymo agentūra</w:t>
            </w:r>
          </w:p>
          <w:p w:rsidR="006F2E6A" w:rsidRPr="00291BF5" w:rsidRDefault="006F2E6A" w:rsidP="00CA2B8C">
            <w:pPr>
              <w:pStyle w:val="tekstas"/>
              <w:spacing w:line="360" w:lineRule="auto"/>
              <w:ind w:firstLine="0"/>
              <w:rPr>
                <w:color w:val="7F7F7F" w:themeColor="text1" w:themeTint="80"/>
              </w:rPr>
            </w:pPr>
            <w:r w:rsidRPr="00291BF5">
              <w:rPr>
                <w:color w:val="7F7F7F" w:themeColor="text1" w:themeTint="80"/>
              </w:rPr>
              <w:t xml:space="preserve">– </w:t>
            </w:r>
            <w:proofErr w:type="spellStart"/>
            <w:r w:rsidRPr="00291BF5">
              <w:rPr>
                <w:color w:val="7F7F7F" w:themeColor="text1" w:themeTint="80"/>
              </w:rPr>
              <w:t>VšĮ</w:t>
            </w:r>
            <w:proofErr w:type="spellEnd"/>
            <w:r w:rsidRPr="00291BF5">
              <w:rPr>
                <w:color w:val="7F7F7F" w:themeColor="text1" w:themeTint="80"/>
              </w:rPr>
              <w:t xml:space="preserve"> Centrinė projektų valdymo agentūra</w:t>
            </w:r>
          </w:p>
          <w:p w:rsidR="00CA2B8C" w:rsidRDefault="00CA2B8C" w:rsidP="00CA2B8C">
            <w:pPr>
              <w:pStyle w:val="tekstas"/>
              <w:spacing w:line="360" w:lineRule="auto"/>
              <w:ind w:firstLine="0"/>
              <w:rPr>
                <w:color w:val="7F7F7F" w:themeColor="text1" w:themeTint="80"/>
              </w:rPr>
            </w:pPr>
            <w:r w:rsidRPr="00291BF5">
              <w:rPr>
                <w:color w:val="7F7F7F" w:themeColor="text1" w:themeTint="80"/>
              </w:rPr>
              <w:t>– Europos Komisija</w:t>
            </w:r>
          </w:p>
          <w:p w:rsidR="006B0C8E" w:rsidRPr="00291BF5" w:rsidRDefault="006B0C8E" w:rsidP="00CA2B8C">
            <w:pPr>
              <w:pStyle w:val="tekstas"/>
              <w:spacing w:line="360" w:lineRule="auto"/>
              <w:ind w:firstLine="0"/>
              <w:rPr>
                <w:color w:val="7F7F7F" w:themeColor="text1" w:themeTint="80"/>
              </w:rPr>
            </w:pPr>
            <w:r w:rsidRPr="00291BF5">
              <w:rPr>
                <w:color w:val="7F7F7F" w:themeColor="text1" w:themeTint="80"/>
              </w:rPr>
              <w:t>–</w:t>
            </w:r>
            <w:r>
              <w:rPr>
                <w:color w:val="7F7F7F" w:themeColor="text1" w:themeTint="80"/>
              </w:rPr>
              <w:t xml:space="preserve"> Energijos efektyvumo fondas</w:t>
            </w:r>
          </w:p>
        </w:tc>
      </w:tr>
      <w:tr w:rsidR="005A4426" w:rsidRPr="00291BF5" w:rsidTr="008B3725">
        <w:tc>
          <w:tcPr>
            <w:tcW w:w="2235" w:type="dxa"/>
          </w:tcPr>
          <w:p w:rsidR="007D34BF" w:rsidRPr="00291BF5" w:rsidRDefault="00E060F7" w:rsidP="007D34BF">
            <w:pPr>
              <w:pStyle w:val="tekstas"/>
              <w:spacing w:line="360" w:lineRule="auto"/>
              <w:ind w:firstLine="0"/>
              <w:rPr>
                <w:color w:val="7F7F7F" w:themeColor="text1" w:themeTint="80"/>
              </w:rPr>
            </w:pPr>
            <w:r w:rsidRPr="00291BF5">
              <w:rPr>
                <w:color w:val="7F7F7F" w:themeColor="text1" w:themeTint="80"/>
              </w:rPr>
              <w:t xml:space="preserve">ES </w:t>
            </w:r>
          </w:p>
        </w:tc>
        <w:tc>
          <w:tcPr>
            <w:tcW w:w="7619" w:type="dxa"/>
          </w:tcPr>
          <w:p w:rsidR="007D34BF" w:rsidRPr="00291BF5" w:rsidRDefault="007D34BF" w:rsidP="007D34BF">
            <w:pPr>
              <w:pStyle w:val="tekstas"/>
              <w:spacing w:line="360" w:lineRule="auto"/>
              <w:ind w:firstLine="0"/>
              <w:rPr>
                <w:color w:val="7F7F7F" w:themeColor="text1" w:themeTint="80"/>
              </w:rPr>
            </w:pPr>
            <w:r w:rsidRPr="00291BF5">
              <w:rPr>
                <w:color w:val="7F7F7F" w:themeColor="text1" w:themeTint="80"/>
              </w:rPr>
              <w:t>– Europos Sąjunga</w:t>
            </w:r>
          </w:p>
        </w:tc>
      </w:tr>
      <w:tr w:rsidR="005A4426" w:rsidRPr="00291BF5" w:rsidTr="008B3725">
        <w:tc>
          <w:tcPr>
            <w:tcW w:w="2235" w:type="dxa"/>
          </w:tcPr>
          <w:p w:rsidR="007D34BF" w:rsidRPr="00291BF5" w:rsidRDefault="00ED7123" w:rsidP="007D34BF">
            <w:pPr>
              <w:pStyle w:val="tekstas"/>
              <w:spacing w:line="360" w:lineRule="auto"/>
              <w:ind w:firstLine="0"/>
              <w:rPr>
                <w:color w:val="7F7F7F" w:themeColor="text1" w:themeTint="80"/>
              </w:rPr>
            </w:pPr>
            <w:r w:rsidRPr="00291BF5">
              <w:rPr>
                <w:color w:val="7F7F7F" w:themeColor="text1" w:themeTint="80"/>
              </w:rPr>
              <w:t>ES fondai</w:t>
            </w:r>
            <w:r w:rsidR="007D34BF" w:rsidRPr="00291BF5">
              <w:rPr>
                <w:color w:val="7F7F7F" w:themeColor="text1" w:themeTint="80"/>
              </w:rPr>
              <w:t xml:space="preserve"> </w:t>
            </w:r>
          </w:p>
        </w:tc>
        <w:tc>
          <w:tcPr>
            <w:tcW w:w="7619" w:type="dxa"/>
          </w:tcPr>
          <w:p w:rsidR="007D34BF" w:rsidRPr="00291BF5" w:rsidRDefault="007D34BF" w:rsidP="00ED7123">
            <w:pPr>
              <w:pStyle w:val="tekstas"/>
              <w:spacing w:line="360" w:lineRule="auto"/>
              <w:ind w:firstLine="0"/>
              <w:rPr>
                <w:color w:val="7F7F7F" w:themeColor="text1" w:themeTint="80"/>
              </w:rPr>
            </w:pPr>
            <w:r w:rsidRPr="00291BF5">
              <w:rPr>
                <w:color w:val="7F7F7F" w:themeColor="text1" w:themeTint="80"/>
              </w:rPr>
              <w:t>– Europos Sąjungos struktūriniai fondai (Europos socialinis fondas</w:t>
            </w:r>
            <w:r w:rsidR="00ED7123" w:rsidRPr="00291BF5">
              <w:rPr>
                <w:color w:val="7F7F7F" w:themeColor="text1" w:themeTint="80"/>
              </w:rPr>
              <w:t>, įskaitant „Jaunimo užimtumo iniciatyvą“</w:t>
            </w:r>
            <w:r w:rsidRPr="00291BF5">
              <w:rPr>
                <w:color w:val="7F7F7F" w:themeColor="text1" w:themeTint="80"/>
              </w:rPr>
              <w:t>, Europos regioninės pl</w:t>
            </w:r>
            <w:r w:rsidR="00ED7123" w:rsidRPr="00291BF5">
              <w:rPr>
                <w:color w:val="7F7F7F" w:themeColor="text1" w:themeTint="80"/>
              </w:rPr>
              <w:t>ėtros fondas, Sanglaudos fondas</w:t>
            </w:r>
            <w:r w:rsidRPr="00291BF5">
              <w:rPr>
                <w:color w:val="7F7F7F" w:themeColor="text1" w:themeTint="80"/>
              </w:rPr>
              <w:t>)</w:t>
            </w:r>
          </w:p>
        </w:tc>
      </w:tr>
      <w:tr w:rsidR="00867A63" w:rsidRPr="00291BF5" w:rsidTr="008B3725">
        <w:tc>
          <w:tcPr>
            <w:tcW w:w="2235" w:type="dxa"/>
          </w:tcPr>
          <w:p w:rsidR="00867A63" w:rsidRPr="00291BF5" w:rsidRDefault="00867A63" w:rsidP="007D34BF">
            <w:pPr>
              <w:pStyle w:val="tekstas"/>
              <w:spacing w:line="360" w:lineRule="auto"/>
              <w:ind w:firstLine="0"/>
              <w:rPr>
                <w:color w:val="7F7F7F" w:themeColor="text1" w:themeTint="80"/>
              </w:rPr>
            </w:pPr>
            <w:r w:rsidRPr="00291BF5">
              <w:rPr>
                <w:color w:val="7F7F7F" w:themeColor="text1" w:themeTint="80"/>
              </w:rPr>
              <w:t>ERPF</w:t>
            </w:r>
          </w:p>
        </w:tc>
        <w:tc>
          <w:tcPr>
            <w:tcW w:w="7619" w:type="dxa"/>
          </w:tcPr>
          <w:p w:rsidR="00867A63" w:rsidRPr="00291BF5" w:rsidRDefault="00867A63" w:rsidP="00ED7123">
            <w:pPr>
              <w:pStyle w:val="tekstas"/>
              <w:spacing w:line="360" w:lineRule="auto"/>
              <w:ind w:firstLine="0"/>
              <w:rPr>
                <w:color w:val="7F7F7F" w:themeColor="text1" w:themeTint="80"/>
              </w:rPr>
            </w:pPr>
            <w:r w:rsidRPr="00291BF5">
              <w:rPr>
                <w:color w:val="7F7F7F" w:themeColor="text1" w:themeTint="80"/>
              </w:rPr>
              <w:t>– Europos regioninės plėtros fondas</w:t>
            </w:r>
          </w:p>
        </w:tc>
      </w:tr>
      <w:tr w:rsidR="00867A63" w:rsidRPr="00291BF5" w:rsidTr="008B3725">
        <w:tc>
          <w:tcPr>
            <w:tcW w:w="2235" w:type="dxa"/>
          </w:tcPr>
          <w:p w:rsidR="00867A63" w:rsidRPr="00291BF5" w:rsidRDefault="00867A63" w:rsidP="007D34BF">
            <w:pPr>
              <w:pStyle w:val="tekstas"/>
              <w:spacing w:line="360" w:lineRule="auto"/>
              <w:ind w:firstLine="0"/>
              <w:rPr>
                <w:color w:val="7F7F7F" w:themeColor="text1" w:themeTint="80"/>
              </w:rPr>
            </w:pPr>
            <w:r w:rsidRPr="00291BF5">
              <w:rPr>
                <w:color w:val="7F7F7F" w:themeColor="text1" w:themeTint="80"/>
              </w:rPr>
              <w:t>ESF</w:t>
            </w:r>
          </w:p>
          <w:p w:rsidR="00CF5EBC" w:rsidRPr="00291BF5" w:rsidRDefault="00CF5EBC" w:rsidP="007D34BF">
            <w:pPr>
              <w:pStyle w:val="tekstas"/>
              <w:spacing w:line="360" w:lineRule="auto"/>
              <w:ind w:firstLine="0"/>
              <w:rPr>
                <w:color w:val="7F7F7F" w:themeColor="text1" w:themeTint="80"/>
              </w:rPr>
            </w:pPr>
            <w:r w:rsidRPr="00291BF5">
              <w:rPr>
                <w:color w:val="7F7F7F" w:themeColor="text1" w:themeTint="80"/>
              </w:rPr>
              <w:t>ESFA</w:t>
            </w:r>
          </w:p>
          <w:p w:rsidR="006F2E6A" w:rsidRDefault="00D634AC" w:rsidP="007D34BF">
            <w:pPr>
              <w:pStyle w:val="tekstas"/>
              <w:spacing w:line="360" w:lineRule="auto"/>
              <w:ind w:firstLine="0"/>
              <w:rPr>
                <w:color w:val="7F7F7F" w:themeColor="text1" w:themeTint="80"/>
              </w:rPr>
            </w:pPr>
            <w:r w:rsidRPr="00291BF5">
              <w:rPr>
                <w:color w:val="7F7F7F" w:themeColor="text1" w:themeTint="80"/>
              </w:rPr>
              <w:t>L</w:t>
            </w:r>
            <w:r w:rsidR="0094452E" w:rsidRPr="00291BF5">
              <w:rPr>
                <w:color w:val="7F7F7F" w:themeColor="text1" w:themeTint="80"/>
              </w:rPr>
              <w:t>VPA</w:t>
            </w:r>
          </w:p>
          <w:p w:rsidR="0020754E" w:rsidRPr="00291BF5" w:rsidRDefault="0020754E" w:rsidP="007D34BF">
            <w:pPr>
              <w:pStyle w:val="tekstas"/>
              <w:spacing w:line="360" w:lineRule="auto"/>
              <w:ind w:firstLine="0"/>
              <w:rPr>
                <w:color w:val="7F7F7F" w:themeColor="text1" w:themeTint="80"/>
              </w:rPr>
            </w:pPr>
            <w:r>
              <w:rPr>
                <w:color w:val="7F7F7F" w:themeColor="text1" w:themeTint="80"/>
              </w:rPr>
              <w:t>PFSA</w:t>
            </w:r>
          </w:p>
        </w:tc>
        <w:tc>
          <w:tcPr>
            <w:tcW w:w="7619" w:type="dxa"/>
          </w:tcPr>
          <w:p w:rsidR="00867A63" w:rsidRPr="00291BF5" w:rsidRDefault="00867A63" w:rsidP="00ED7123">
            <w:pPr>
              <w:pStyle w:val="tekstas"/>
              <w:spacing w:line="360" w:lineRule="auto"/>
              <w:ind w:firstLine="0"/>
              <w:rPr>
                <w:color w:val="7F7F7F" w:themeColor="text1" w:themeTint="80"/>
              </w:rPr>
            </w:pPr>
            <w:r w:rsidRPr="00291BF5">
              <w:rPr>
                <w:color w:val="7F7F7F" w:themeColor="text1" w:themeTint="80"/>
              </w:rPr>
              <w:t>– Europos socialinis fondas</w:t>
            </w:r>
          </w:p>
          <w:p w:rsidR="00CF5EBC" w:rsidRPr="00291BF5" w:rsidRDefault="00CF5EBC" w:rsidP="00CF5EBC">
            <w:pPr>
              <w:pStyle w:val="tekstas"/>
              <w:spacing w:line="360" w:lineRule="auto"/>
              <w:ind w:firstLine="0"/>
              <w:rPr>
                <w:color w:val="7F7F7F" w:themeColor="text1" w:themeTint="80"/>
              </w:rPr>
            </w:pPr>
            <w:r w:rsidRPr="00291BF5">
              <w:rPr>
                <w:color w:val="7F7F7F" w:themeColor="text1" w:themeTint="80"/>
              </w:rPr>
              <w:t>– Europos socialinio fondo agentūra</w:t>
            </w:r>
          </w:p>
          <w:p w:rsidR="006F2E6A" w:rsidRDefault="00D634AC" w:rsidP="00ED7123">
            <w:pPr>
              <w:pStyle w:val="tekstas"/>
              <w:spacing w:line="360" w:lineRule="auto"/>
              <w:ind w:firstLine="0"/>
              <w:rPr>
                <w:color w:val="7F7F7F" w:themeColor="text1" w:themeTint="80"/>
              </w:rPr>
            </w:pPr>
            <w:r w:rsidRPr="00291BF5">
              <w:rPr>
                <w:color w:val="7F7F7F" w:themeColor="text1" w:themeTint="80"/>
              </w:rPr>
              <w:t>– L</w:t>
            </w:r>
            <w:r w:rsidR="00291BF5" w:rsidRPr="00291BF5">
              <w:rPr>
                <w:color w:val="7F7F7F" w:themeColor="text1" w:themeTint="80"/>
              </w:rPr>
              <w:t>ietuvos verslo paramos agentūra</w:t>
            </w:r>
          </w:p>
          <w:p w:rsidR="0020754E" w:rsidRPr="00291BF5" w:rsidRDefault="0020754E" w:rsidP="0020754E">
            <w:pPr>
              <w:pStyle w:val="tekstas"/>
              <w:spacing w:line="360" w:lineRule="auto"/>
              <w:ind w:firstLine="0"/>
              <w:rPr>
                <w:color w:val="7F7F7F" w:themeColor="text1" w:themeTint="80"/>
              </w:rPr>
            </w:pPr>
            <w:r w:rsidRPr="00291BF5">
              <w:rPr>
                <w:color w:val="7F7F7F" w:themeColor="text1" w:themeTint="80"/>
              </w:rPr>
              <w:t xml:space="preserve">– </w:t>
            </w:r>
            <w:r>
              <w:rPr>
                <w:color w:val="7F7F7F" w:themeColor="text1" w:themeTint="80"/>
              </w:rPr>
              <w:t>Projektų finansavimo sąlygų aprašas</w:t>
            </w:r>
          </w:p>
        </w:tc>
      </w:tr>
      <w:tr w:rsidR="005A4426" w:rsidRPr="00291BF5" w:rsidTr="008B3725">
        <w:tc>
          <w:tcPr>
            <w:tcW w:w="2235" w:type="dxa"/>
          </w:tcPr>
          <w:p w:rsidR="007D34BF" w:rsidRPr="00291BF5" w:rsidRDefault="0020754E" w:rsidP="007D34BF">
            <w:pPr>
              <w:pStyle w:val="tekstas"/>
              <w:spacing w:line="360" w:lineRule="auto"/>
              <w:ind w:firstLine="0"/>
              <w:rPr>
                <w:color w:val="7F7F7F" w:themeColor="text1" w:themeTint="80"/>
              </w:rPr>
            </w:pPr>
            <w:r>
              <w:rPr>
                <w:color w:val="7F7F7F" w:themeColor="text1" w:themeTint="80"/>
              </w:rPr>
              <w:t>MTEP</w:t>
            </w:r>
          </w:p>
          <w:p w:rsidR="00CF5EBC" w:rsidRPr="00291BF5" w:rsidRDefault="0059698A" w:rsidP="007D34BF">
            <w:pPr>
              <w:pStyle w:val="tekstas"/>
              <w:spacing w:line="360" w:lineRule="auto"/>
              <w:ind w:firstLine="0"/>
              <w:rPr>
                <w:color w:val="7F7F7F" w:themeColor="text1" w:themeTint="80"/>
              </w:rPr>
            </w:pPr>
            <w:r w:rsidRPr="00291BF5">
              <w:rPr>
                <w:color w:val="7F7F7F" w:themeColor="text1" w:themeTint="80"/>
              </w:rPr>
              <w:t>VIPA</w:t>
            </w:r>
          </w:p>
        </w:tc>
        <w:tc>
          <w:tcPr>
            <w:tcW w:w="7619" w:type="dxa"/>
          </w:tcPr>
          <w:p w:rsidR="003322C3" w:rsidRPr="00291BF5" w:rsidRDefault="007D34BF" w:rsidP="00D361B1">
            <w:pPr>
              <w:pStyle w:val="tekstas"/>
              <w:spacing w:line="360" w:lineRule="auto"/>
              <w:ind w:firstLine="0"/>
              <w:rPr>
                <w:color w:val="7F7F7F" w:themeColor="text1" w:themeTint="80"/>
              </w:rPr>
            </w:pPr>
            <w:r w:rsidRPr="00291BF5">
              <w:rPr>
                <w:color w:val="7F7F7F" w:themeColor="text1" w:themeTint="80"/>
              </w:rPr>
              <w:t>– Moksl</w:t>
            </w:r>
            <w:r w:rsidR="00C35FD1" w:rsidRPr="00291BF5">
              <w:rPr>
                <w:color w:val="7F7F7F" w:themeColor="text1" w:themeTint="80"/>
              </w:rPr>
              <w:t>iniai tyrimai ir eksperimentinė</w:t>
            </w:r>
            <w:r w:rsidRPr="00291BF5">
              <w:rPr>
                <w:color w:val="7F7F7F" w:themeColor="text1" w:themeTint="80"/>
              </w:rPr>
              <w:t xml:space="preserve"> plėtra</w:t>
            </w:r>
          </w:p>
          <w:p w:rsidR="00CF5EBC" w:rsidRPr="00291BF5" w:rsidRDefault="00EA4458" w:rsidP="0059698A">
            <w:pPr>
              <w:pStyle w:val="tekstas"/>
              <w:spacing w:line="360" w:lineRule="auto"/>
              <w:ind w:firstLine="0"/>
              <w:rPr>
                <w:color w:val="7F7F7F" w:themeColor="text1" w:themeTint="80"/>
              </w:rPr>
            </w:pPr>
            <w:r w:rsidRPr="00291BF5">
              <w:rPr>
                <w:color w:val="7F7F7F" w:themeColor="text1" w:themeTint="80"/>
              </w:rPr>
              <w:t xml:space="preserve">– </w:t>
            </w:r>
            <w:r w:rsidR="0059698A" w:rsidRPr="00291BF5">
              <w:rPr>
                <w:color w:val="7F7F7F" w:themeColor="text1" w:themeTint="80"/>
              </w:rPr>
              <w:t>UAB Viešųjų investicijų plėtros agentūra</w:t>
            </w:r>
          </w:p>
        </w:tc>
      </w:tr>
      <w:tr w:rsidR="00867A63" w:rsidRPr="00291BF5" w:rsidTr="008B3725">
        <w:tc>
          <w:tcPr>
            <w:tcW w:w="2235" w:type="dxa"/>
          </w:tcPr>
          <w:p w:rsidR="00867A63" w:rsidRPr="00291BF5" w:rsidRDefault="00867A63" w:rsidP="007D34BF">
            <w:pPr>
              <w:pStyle w:val="tekstas"/>
              <w:spacing w:line="360" w:lineRule="auto"/>
              <w:ind w:firstLine="0"/>
              <w:rPr>
                <w:color w:val="7F7F7F" w:themeColor="text1" w:themeTint="80"/>
              </w:rPr>
            </w:pPr>
            <w:proofErr w:type="spellStart"/>
            <w:r w:rsidRPr="00291BF5">
              <w:rPr>
                <w:color w:val="7F7F7F" w:themeColor="text1" w:themeTint="80"/>
              </w:rPr>
              <w:t>SaF</w:t>
            </w:r>
            <w:proofErr w:type="spellEnd"/>
          </w:p>
        </w:tc>
        <w:tc>
          <w:tcPr>
            <w:tcW w:w="7619" w:type="dxa"/>
          </w:tcPr>
          <w:p w:rsidR="00867A63" w:rsidRPr="00291BF5" w:rsidRDefault="00867A63" w:rsidP="00D361B1">
            <w:pPr>
              <w:pStyle w:val="tekstas"/>
              <w:spacing w:line="360" w:lineRule="auto"/>
              <w:ind w:firstLine="0"/>
              <w:rPr>
                <w:color w:val="7F7F7F" w:themeColor="text1" w:themeTint="80"/>
              </w:rPr>
            </w:pPr>
            <w:r w:rsidRPr="00291BF5">
              <w:rPr>
                <w:color w:val="7F7F7F" w:themeColor="text1" w:themeTint="80"/>
              </w:rPr>
              <w:t>– Sanglaudos fondas</w:t>
            </w:r>
          </w:p>
        </w:tc>
      </w:tr>
      <w:tr w:rsidR="008B3725" w:rsidRPr="00291BF5" w:rsidTr="008B3725">
        <w:tc>
          <w:tcPr>
            <w:tcW w:w="2235" w:type="dxa"/>
          </w:tcPr>
          <w:p w:rsidR="008B3725" w:rsidRPr="00291BF5" w:rsidRDefault="008B3725" w:rsidP="007D34BF">
            <w:pPr>
              <w:pStyle w:val="tekstas"/>
              <w:spacing w:line="360" w:lineRule="auto"/>
              <w:ind w:firstLine="0"/>
              <w:rPr>
                <w:color w:val="7F7F7F" w:themeColor="text1" w:themeTint="80"/>
              </w:rPr>
            </w:pPr>
            <w:r w:rsidRPr="00291BF5">
              <w:rPr>
                <w:color w:val="7F7F7F" w:themeColor="text1" w:themeTint="80"/>
              </w:rPr>
              <w:t>Veiksmų programa</w:t>
            </w:r>
          </w:p>
          <w:p w:rsidR="0095114B" w:rsidRPr="00291BF5" w:rsidRDefault="0095114B" w:rsidP="007D34BF">
            <w:pPr>
              <w:pStyle w:val="tekstas"/>
              <w:spacing w:line="360" w:lineRule="auto"/>
              <w:ind w:firstLine="0"/>
              <w:rPr>
                <w:color w:val="7F7F7F" w:themeColor="text1" w:themeTint="80"/>
              </w:rPr>
            </w:pPr>
            <w:r w:rsidRPr="00291BF5">
              <w:rPr>
                <w:color w:val="7F7F7F" w:themeColor="text1" w:themeTint="80"/>
              </w:rPr>
              <w:t>Investicijų programa</w:t>
            </w:r>
          </w:p>
        </w:tc>
        <w:tc>
          <w:tcPr>
            <w:tcW w:w="7619" w:type="dxa"/>
          </w:tcPr>
          <w:p w:rsidR="008B3725" w:rsidRPr="00291BF5" w:rsidRDefault="008B3725" w:rsidP="00D361B1">
            <w:pPr>
              <w:pStyle w:val="tekstas"/>
              <w:spacing w:line="360" w:lineRule="auto"/>
              <w:ind w:firstLine="0"/>
              <w:rPr>
                <w:color w:val="7F7F7F" w:themeColor="text1" w:themeTint="80"/>
              </w:rPr>
            </w:pPr>
            <w:r w:rsidRPr="00291BF5">
              <w:rPr>
                <w:color w:val="7F7F7F" w:themeColor="text1" w:themeTint="80"/>
              </w:rPr>
              <w:t>– 2014–2020 m. ES fondų investicijų veiksmų programa</w:t>
            </w:r>
          </w:p>
          <w:p w:rsidR="0095114B" w:rsidRPr="00291BF5" w:rsidRDefault="0095114B" w:rsidP="0095114B">
            <w:pPr>
              <w:pStyle w:val="tekstas"/>
              <w:spacing w:line="360" w:lineRule="auto"/>
              <w:ind w:firstLine="0"/>
              <w:rPr>
                <w:color w:val="7F7F7F" w:themeColor="text1" w:themeTint="80"/>
              </w:rPr>
            </w:pPr>
            <w:r w:rsidRPr="00291BF5">
              <w:t>2021 –2027 m. ES struktūrinių fondų investicijų programa</w:t>
            </w:r>
          </w:p>
        </w:tc>
      </w:tr>
      <w:tr w:rsidR="00E810D4" w:rsidRPr="0012624E" w:rsidTr="008B3725">
        <w:tc>
          <w:tcPr>
            <w:tcW w:w="2235" w:type="dxa"/>
          </w:tcPr>
          <w:p w:rsidR="007F331B" w:rsidRPr="00291BF5" w:rsidRDefault="007F331B" w:rsidP="007D34BF">
            <w:pPr>
              <w:pStyle w:val="tekstas"/>
              <w:spacing w:line="360" w:lineRule="auto"/>
              <w:ind w:firstLine="0"/>
              <w:rPr>
                <w:color w:val="7F7F7F" w:themeColor="text1" w:themeTint="80"/>
              </w:rPr>
            </w:pPr>
            <w:r w:rsidRPr="00291BF5">
              <w:rPr>
                <w:color w:val="7F7F7F" w:themeColor="text1" w:themeTint="80"/>
              </w:rPr>
              <w:t>VVG</w:t>
            </w:r>
          </w:p>
        </w:tc>
        <w:tc>
          <w:tcPr>
            <w:tcW w:w="7619" w:type="dxa"/>
          </w:tcPr>
          <w:p w:rsidR="007F331B" w:rsidRPr="006F2E6A" w:rsidRDefault="007F331B" w:rsidP="006E446D">
            <w:pPr>
              <w:pStyle w:val="tekstas"/>
              <w:spacing w:line="360" w:lineRule="auto"/>
              <w:ind w:firstLine="0"/>
              <w:rPr>
                <w:color w:val="7F7F7F" w:themeColor="text1" w:themeTint="80"/>
              </w:rPr>
            </w:pPr>
            <w:r w:rsidRPr="00291BF5">
              <w:rPr>
                <w:color w:val="7F7F7F" w:themeColor="text1" w:themeTint="80"/>
              </w:rPr>
              <w:t>– Vietos veiklos grupės</w:t>
            </w:r>
          </w:p>
        </w:tc>
      </w:tr>
    </w:tbl>
    <w:p w:rsidR="003206B5" w:rsidRDefault="003206B5" w:rsidP="000C62AE">
      <w:pPr>
        <w:spacing w:after="200" w:line="276" w:lineRule="auto"/>
      </w:pPr>
    </w:p>
    <w:p w:rsidR="003206B5" w:rsidRDefault="003206B5">
      <w:pPr>
        <w:spacing w:after="200" w:line="276" w:lineRule="auto"/>
      </w:pPr>
      <w:r>
        <w:br w:type="page"/>
      </w:r>
    </w:p>
    <w:p w:rsidR="005A4426" w:rsidRDefault="003206B5" w:rsidP="003206B5">
      <w:pPr>
        <w:pStyle w:val="Pavadinimas"/>
      </w:pPr>
      <w:r>
        <w:lastRenderedPageBreak/>
        <w:t>SANTRAUKA</w:t>
      </w:r>
    </w:p>
    <w:p w:rsidR="00D12288" w:rsidRDefault="00D5753D" w:rsidP="00D12288">
      <w:pPr>
        <w:pStyle w:val="tekstas"/>
        <w:ind w:firstLine="425"/>
        <w:rPr>
          <w:lang w:eastAsia="lt-LT"/>
        </w:rPr>
      </w:pPr>
      <w:r>
        <w:rPr>
          <w:lang w:eastAsia="lt-LT"/>
        </w:rPr>
        <w:t xml:space="preserve">2019 m. III ketvirčio pabaigoje pagal ES išmokėtas šaliai lėšas Lietuva užima </w:t>
      </w:r>
      <w:r w:rsidR="000D09C5">
        <w:rPr>
          <w:lang w:eastAsia="lt-LT"/>
        </w:rPr>
        <w:t>9</w:t>
      </w:r>
      <w:r>
        <w:rPr>
          <w:lang w:eastAsia="lt-LT"/>
        </w:rPr>
        <w:t xml:space="preserve">-ąją vietą </w:t>
      </w:r>
      <w:r w:rsidR="00345711">
        <w:rPr>
          <w:lang w:eastAsia="lt-LT"/>
        </w:rPr>
        <w:t xml:space="preserve">tarp </w:t>
      </w:r>
      <w:r>
        <w:rPr>
          <w:lang w:eastAsia="lt-LT"/>
        </w:rPr>
        <w:t>visų šal</w:t>
      </w:r>
      <w:r w:rsidR="006C257C">
        <w:rPr>
          <w:lang w:eastAsia="lt-LT"/>
        </w:rPr>
        <w:t>ių narių ir viršija ES vidurkį.</w:t>
      </w:r>
    </w:p>
    <w:p w:rsidR="006C257C" w:rsidRPr="003B096D" w:rsidRDefault="006C257C" w:rsidP="006C257C">
      <w:pPr>
        <w:pStyle w:val="tekstas"/>
        <w:rPr>
          <w:lang w:eastAsia="lt-LT"/>
        </w:rPr>
      </w:pPr>
      <w:r w:rsidRPr="003B096D">
        <w:rPr>
          <w:lang w:eastAsia="lt-LT"/>
        </w:rPr>
        <w:t xml:space="preserve">Iki 2019 m. </w:t>
      </w:r>
      <w:r>
        <w:rPr>
          <w:lang w:eastAsia="lt-LT"/>
        </w:rPr>
        <w:t>rugsėjo</w:t>
      </w:r>
      <w:r w:rsidRPr="003B096D">
        <w:rPr>
          <w:lang w:eastAsia="lt-LT"/>
        </w:rPr>
        <w:t xml:space="preserve"> 30 d. </w:t>
      </w:r>
      <w:r>
        <w:rPr>
          <w:lang w:eastAsia="lt-LT"/>
        </w:rPr>
        <w:t xml:space="preserve">suplanuota 5,8 mlrd. eurų (87 proc.), </w:t>
      </w:r>
      <w:r w:rsidRPr="003B096D">
        <w:rPr>
          <w:lang w:eastAsia="lt-LT"/>
        </w:rPr>
        <w:t xml:space="preserve">projektams paskirstyta </w:t>
      </w:r>
      <w:r>
        <w:rPr>
          <w:lang w:eastAsia="lt-LT"/>
        </w:rPr>
        <w:t>5</w:t>
      </w:r>
      <w:r w:rsidRPr="003B096D">
        <w:rPr>
          <w:lang w:eastAsia="lt-LT"/>
        </w:rPr>
        <w:t xml:space="preserve"> </w:t>
      </w:r>
      <w:r>
        <w:rPr>
          <w:lang w:eastAsia="lt-LT"/>
        </w:rPr>
        <w:t>mlrd. eurų (75 proc.),</w:t>
      </w:r>
      <w:r w:rsidRPr="003B096D">
        <w:rPr>
          <w:lang w:eastAsia="lt-LT"/>
        </w:rPr>
        <w:t xml:space="preserve"> </w:t>
      </w:r>
      <w:r>
        <w:rPr>
          <w:lang w:eastAsia="lt-LT"/>
        </w:rPr>
        <w:t>investuota</w:t>
      </w:r>
      <w:r w:rsidRPr="003B096D">
        <w:rPr>
          <w:lang w:eastAsia="lt-LT"/>
        </w:rPr>
        <w:t xml:space="preserve"> </w:t>
      </w:r>
      <w:r>
        <w:rPr>
          <w:lang w:eastAsia="lt-LT"/>
        </w:rPr>
        <w:t>2,6 mlrd. eurų (39</w:t>
      </w:r>
      <w:r w:rsidRPr="003B096D">
        <w:rPr>
          <w:lang w:eastAsia="lt-LT"/>
        </w:rPr>
        <w:t xml:space="preserve"> proc</w:t>
      </w:r>
      <w:r>
        <w:rPr>
          <w:lang w:eastAsia="lt-LT"/>
        </w:rPr>
        <w:t>.) ES fondų lėšų.</w:t>
      </w:r>
    </w:p>
    <w:p w:rsidR="00D5753D" w:rsidRDefault="006C257C" w:rsidP="00D12288">
      <w:pPr>
        <w:pStyle w:val="tekstas"/>
        <w:ind w:firstLine="425"/>
        <w:rPr>
          <w:lang w:eastAsia="lt-LT"/>
        </w:rPr>
      </w:pPr>
      <w:r w:rsidRPr="0015062E">
        <w:rPr>
          <w:lang w:eastAsia="lt-LT"/>
        </w:rPr>
        <w:t>Per tris šių metų ketvirčius investuota 592 mln. eurų ES fondų lėšų ir tai sudaro 50 proc. 2019 m. asignavimų plano (per metus numatyta investuoti 1,2 mlrd. eurų).</w:t>
      </w:r>
    </w:p>
    <w:p w:rsidR="00AD3CE2" w:rsidRDefault="00AD3CE2" w:rsidP="00D12288">
      <w:pPr>
        <w:pStyle w:val="tekstas"/>
        <w:ind w:firstLine="425"/>
        <w:rPr>
          <w:lang w:eastAsia="lt-LT"/>
        </w:rPr>
      </w:pPr>
      <w:r w:rsidRPr="00DB182E">
        <w:rPr>
          <w:lang w:eastAsia="lt-LT"/>
        </w:rPr>
        <w:t xml:space="preserve">Įgyvendinant vieną iš ES investicijų valdymo ir kontrolės sistemos 2019 m. tikslų (užtikrinti investicijų į pokyčius strateginėse srityse spartą), iki III </w:t>
      </w:r>
      <w:proofErr w:type="spellStart"/>
      <w:r w:rsidRPr="00DB182E">
        <w:rPr>
          <w:lang w:eastAsia="lt-LT"/>
        </w:rPr>
        <w:t>ketv</w:t>
      </w:r>
      <w:proofErr w:type="spellEnd"/>
      <w:r w:rsidRPr="00DB182E">
        <w:rPr>
          <w:lang w:eastAsia="lt-LT"/>
        </w:rPr>
        <w:t>. pabaigos investuota 201 mln. eurų ES lėšų (65 proc. per 2019 m. tris ketvirčius į šias sritis planuotų investuoti lėšų).</w:t>
      </w:r>
    </w:p>
    <w:p w:rsidR="00291BF5" w:rsidRDefault="00291BF5" w:rsidP="00D12288">
      <w:pPr>
        <w:pStyle w:val="tekstas"/>
        <w:ind w:firstLine="425"/>
        <w:rPr>
          <w:lang w:eastAsia="lt-LT"/>
        </w:rPr>
      </w:pPr>
      <w:r>
        <w:t>Įpusėjus Veiksmų programos įgyvendinimą šioje ataskaitoje peržvelgiami svarbesnių stebėsenos rodiklių pasiekimai.</w:t>
      </w:r>
    </w:p>
    <w:p w:rsidR="00AD3CE2" w:rsidRDefault="00AD3CE2" w:rsidP="00AD3CE2">
      <w:pPr>
        <w:pStyle w:val="tekstas"/>
        <w:rPr>
          <w:lang w:eastAsia="lt-LT"/>
        </w:rPr>
      </w:pPr>
      <w:r>
        <w:rPr>
          <w:lang w:eastAsia="lt-LT"/>
        </w:rPr>
        <w:t xml:space="preserve">Ministerijos įgyvendino </w:t>
      </w:r>
      <w:r w:rsidR="00236573">
        <w:rPr>
          <w:lang w:eastAsia="lt-LT"/>
        </w:rPr>
        <w:t>70 proc. (7 iš 10</w:t>
      </w:r>
      <w:r>
        <w:rPr>
          <w:lang w:eastAsia="lt-LT"/>
        </w:rPr>
        <w:t xml:space="preserve">) 2019 m. II </w:t>
      </w:r>
      <w:proofErr w:type="spellStart"/>
      <w:r>
        <w:rPr>
          <w:lang w:eastAsia="lt-LT"/>
        </w:rPr>
        <w:t>ketv</w:t>
      </w:r>
      <w:proofErr w:type="spellEnd"/>
      <w:r>
        <w:rPr>
          <w:lang w:eastAsia="lt-LT"/>
        </w:rPr>
        <w:t>. ataskaitoje Finansų ministerijos pateiktų rekomendacijų. Taip pat ataskaitoje apžvelgiami kiekvieno prioriteto svarbesni pasiekimai, kliūtys, turinčios įtakos ES fondų investicijų konkrečiuose sektoriuose efektyvumui ir spartai bei pateikiami siūlymai ministerijoms ES fondų investicijų efektyvumui ir spartai užtikrinti.</w:t>
      </w:r>
    </w:p>
    <w:p w:rsidR="00AD3CE2" w:rsidRDefault="0049201F" w:rsidP="00AD3CE2">
      <w:pPr>
        <w:pStyle w:val="tekstas"/>
        <w:rPr>
          <w:lang w:eastAsia="lt-LT"/>
        </w:rPr>
      </w:pPr>
      <w:r>
        <w:rPr>
          <w:lang w:eastAsia="lt-LT"/>
        </w:rPr>
        <w:t xml:space="preserve">Šioje ataskaitoje pristatomas </w:t>
      </w:r>
      <w:r w:rsidRPr="0049201F">
        <w:rPr>
          <w:lang w:eastAsia="lt-LT"/>
        </w:rPr>
        <w:t>Europoje sparčiai populiarėja</w:t>
      </w:r>
      <w:r>
        <w:rPr>
          <w:lang w:eastAsia="lt-LT"/>
        </w:rPr>
        <w:t>ntis</w:t>
      </w:r>
      <w:r w:rsidRPr="0049201F">
        <w:rPr>
          <w:lang w:eastAsia="lt-LT"/>
        </w:rPr>
        <w:t xml:space="preserve"> poveikį turintis investavimas, kuomet tradicinis investavimas yra suderinamas su teigiamu poveikiu visuomenei, siekiant pakelti visuomenės gerovės lygį, taip pat pasitelkiant ir privačius investuotojus.</w:t>
      </w:r>
    </w:p>
    <w:p w:rsidR="00D86482" w:rsidRDefault="00D86482" w:rsidP="00CC3206">
      <w:pPr>
        <w:pStyle w:val="tekstas"/>
        <w:spacing w:line="276" w:lineRule="auto"/>
      </w:pPr>
      <w:r>
        <w:br w:type="page"/>
      </w:r>
    </w:p>
    <w:p w:rsidR="00BC54FE" w:rsidRPr="001E27E2" w:rsidRDefault="00BC54FE" w:rsidP="003A66E5">
      <w:pPr>
        <w:pStyle w:val="Antrat1"/>
        <w:spacing w:before="0" w:after="0"/>
      </w:pPr>
      <w:bookmarkStart w:id="1" w:name="_Toc508103860"/>
      <w:bookmarkStart w:id="2" w:name="_Toc508106019"/>
      <w:bookmarkStart w:id="3" w:name="_Toc508103861"/>
      <w:bookmarkStart w:id="4" w:name="_Toc508106020"/>
      <w:bookmarkStart w:id="5" w:name="_Toc24016870"/>
      <w:bookmarkStart w:id="6" w:name="_Toc480280394"/>
      <w:bookmarkStart w:id="7" w:name="_Toc481668445"/>
      <w:bookmarkEnd w:id="1"/>
      <w:bookmarkEnd w:id="2"/>
      <w:bookmarkEnd w:id="3"/>
      <w:bookmarkEnd w:id="4"/>
      <w:r w:rsidRPr="001E27E2">
        <w:lastRenderedPageBreak/>
        <w:t xml:space="preserve">Bendra </w:t>
      </w:r>
      <w:r w:rsidR="003A66E5">
        <w:t>Veiksmų programos</w:t>
      </w:r>
      <w:r w:rsidRPr="001E27E2">
        <w:t xml:space="preserve"> įgyvendinimo apžvalga</w:t>
      </w:r>
      <w:bookmarkEnd w:id="5"/>
    </w:p>
    <w:p w:rsidR="003A66E5" w:rsidRDefault="003A66E5" w:rsidP="00BC54FE">
      <w:pPr>
        <w:pStyle w:val="tekstas"/>
        <w:rPr>
          <w:lang w:eastAsia="lt-LT"/>
        </w:rPr>
      </w:pPr>
    </w:p>
    <w:p w:rsidR="00BC54FE" w:rsidRPr="00134D2C" w:rsidRDefault="00BC54FE" w:rsidP="00BC54FE">
      <w:pPr>
        <w:pStyle w:val="tekstas"/>
        <w:rPr>
          <w:lang w:eastAsia="lt-LT"/>
        </w:rPr>
      </w:pPr>
      <w:r w:rsidRPr="003B096D">
        <w:rPr>
          <w:lang w:eastAsia="lt-LT"/>
        </w:rPr>
        <w:t>Lietuva pagal ES išmokėtas Lietuvai lėšas (3</w:t>
      </w:r>
      <w:r w:rsidR="003B096D" w:rsidRPr="003B096D">
        <w:rPr>
          <w:lang w:eastAsia="lt-LT"/>
        </w:rPr>
        <w:t>7</w:t>
      </w:r>
      <w:r w:rsidRPr="003B096D">
        <w:rPr>
          <w:lang w:eastAsia="lt-LT"/>
        </w:rPr>
        <w:t xml:space="preserve"> proc. nuo 2014–2020 m. Lietuvai skirto finansavimo) užima </w:t>
      </w:r>
      <w:r w:rsidR="003B096D" w:rsidRPr="003B096D">
        <w:rPr>
          <w:lang w:eastAsia="lt-LT"/>
        </w:rPr>
        <w:t>9</w:t>
      </w:r>
      <w:r w:rsidRPr="003B096D">
        <w:rPr>
          <w:lang w:eastAsia="lt-LT"/>
        </w:rPr>
        <w:t xml:space="preserve">-ąją vietą tarp visų šalių narių ir viršija ES vidurkį, kuris yra </w:t>
      </w:r>
      <w:r w:rsidR="003B096D" w:rsidRPr="003B096D">
        <w:rPr>
          <w:lang w:eastAsia="lt-LT"/>
        </w:rPr>
        <w:t>32</w:t>
      </w:r>
      <w:r w:rsidRPr="003B096D">
        <w:rPr>
          <w:lang w:eastAsia="lt-LT"/>
        </w:rPr>
        <w:t xml:space="preserve"> proc. (1 grafikas).</w:t>
      </w:r>
    </w:p>
    <w:p w:rsidR="00BC54FE" w:rsidRPr="00134D2C" w:rsidRDefault="00BC54FE" w:rsidP="00BC54FE">
      <w:pPr>
        <w:ind w:firstLine="284"/>
        <w:jc w:val="both"/>
        <w:rPr>
          <w:rFonts w:asciiTheme="minorHAnsi" w:hAnsiTheme="minorHAnsi"/>
          <w:color w:val="FF0000"/>
          <w:sz w:val="14"/>
          <w:szCs w:val="24"/>
          <w:lang w:eastAsia="lt-LT"/>
        </w:rPr>
      </w:pPr>
    </w:p>
    <w:p w:rsidR="00BC54FE" w:rsidRDefault="00BC54FE" w:rsidP="00BC54FE">
      <w:pPr>
        <w:pStyle w:val="Antrat"/>
        <w:keepNext/>
        <w:spacing w:after="0"/>
        <w:jc w:val="center"/>
        <w:rPr>
          <w:noProof/>
          <w:color w:val="365F91" w:themeColor="accent1" w:themeShade="BF"/>
          <w:sz w:val="22"/>
          <w:szCs w:val="22"/>
        </w:rPr>
      </w:pPr>
      <w:r>
        <w:rPr>
          <w:noProof/>
          <w:color w:val="365F91" w:themeColor="accent1" w:themeShade="BF"/>
          <w:sz w:val="22"/>
          <w:szCs w:val="22"/>
        </w:rPr>
        <w:t>1 g</w:t>
      </w:r>
      <w:r w:rsidRPr="000628F2">
        <w:rPr>
          <w:noProof/>
          <w:color w:val="365F91" w:themeColor="accent1" w:themeShade="BF"/>
          <w:sz w:val="22"/>
          <w:szCs w:val="22"/>
        </w:rPr>
        <w:t xml:space="preserve">rafikas. </w:t>
      </w:r>
      <w:r>
        <w:rPr>
          <w:noProof/>
          <w:color w:val="365F91" w:themeColor="accent1" w:themeShade="BF"/>
          <w:sz w:val="22"/>
          <w:szCs w:val="22"/>
        </w:rPr>
        <w:t>ES išmokėjimai valstybėms narėms</w:t>
      </w:r>
      <w:r>
        <w:rPr>
          <w:rStyle w:val="Puslapioinaosnuoroda"/>
          <w:noProof/>
          <w:color w:val="365F91" w:themeColor="accent1" w:themeShade="BF"/>
          <w:sz w:val="22"/>
          <w:szCs w:val="22"/>
        </w:rPr>
        <w:footnoteReference w:id="1"/>
      </w:r>
      <w:r>
        <w:rPr>
          <w:noProof/>
          <w:color w:val="365F91" w:themeColor="accent1" w:themeShade="BF"/>
          <w:sz w:val="22"/>
          <w:szCs w:val="22"/>
        </w:rPr>
        <w:t xml:space="preserve"> iki 2019 m. </w:t>
      </w:r>
      <w:r w:rsidR="00AD0E5C">
        <w:rPr>
          <w:noProof/>
          <w:color w:val="365F91" w:themeColor="accent1" w:themeShade="BF"/>
          <w:sz w:val="22"/>
          <w:szCs w:val="22"/>
        </w:rPr>
        <w:t xml:space="preserve">rugsėjo </w:t>
      </w:r>
      <w:r w:rsidR="000B1B2F">
        <w:rPr>
          <w:noProof/>
          <w:color w:val="365F91" w:themeColor="accent1" w:themeShade="BF"/>
          <w:sz w:val="22"/>
          <w:szCs w:val="22"/>
        </w:rPr>
        <w:t>30</w:t>
      </w:r>
      <w:r>
        <w:rPr>
          <w:noProof/>
          <w:color w:val="365F91" w:themeColor="accent1" w:themeShade="BF"/>
          <w:sz w:val="22"/>
          <w:szCs w:val="22"/>
        </w:rPr>
        <w:t xml:space="preserve"> d. </w:t>
      </w:r>
    </w:p>
    <w:p w:rsidR="00BC54FE" w:rsidRDefault="00BC54FE" w:rsidP="00BC54FE">
      <w:pPr>
        <w:pStyle w:val="Antrat"/>
        <w:keepNext/>
        <w:spacing w:after="0"/>
        <w:jc w:val="center"/>
        <w:rPr>
          <w:noProof/>
          <w:color w:val="365F91" w:themeColor="accent1" w:themeShade="BF"/>
          <w:sz w:val="22"/>
          <w:szCs w:val="22"/>
        </w:rPr>
      </w:pPr>
      <w:r>
        <w:rPr>
          <w:noProof/>
          <w:color w:val="365F91" w:themeColor="accent1" w:themeShade="BF"/>
          <w:sz w:val="22"/>
          <w:szCs w:val="22"/>
        </w:rPr>
        <w:t>(proc. nuo valstybei narei skirtų lėšų).</w:t>
      </w:r>
    </w:p>
    <w:p w:rsidR="00BC54FE" w:rsidRDefault="006A09CE" w:rsidP="00BC54FE">
      <w:pPr>
        <w:jc w:val="center"/>
        <w:rPr>
          <w:rFonts w:asciiTheme="minorHAnsi" w:hAnsiTheme="minorHAnsi"/>
          <w:color w:val="666666"/>
          <w:szCs w:val="24"/>
          <w:lang w:eastAsia="lt-LT"/>
        </w:rPr>
      </w:pPr>
      <w:r>
        <w:rPr>
          <w:noProof/>
          <w:lang w:eastAsia="lt-LT"/>
        </w:rPr>
        <w:drawing>
          <wp:inline distT="0" distB="0" distL="0" distR="0" wp14:anchorId="06A5B1A9" wp14:editId="1D9D5AFE">
            <wp:extent cx="6120130" cy="4415184"/>
            <wp:effectExtent l="0" t="0" r="13970" b="2349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54FE" w:rsidRPr="00134D2C" w:rsidRDefault="00BC54FE" w:rsidP="00BC54FE">
      <w:pPr>
        <w:ind w:firstLine="567"/>
        <w:jc w:val="both"/>
        <w:rPr>
          <w:sz w:val="8"/>
          <w:lang w:eastAsia="lt-LT"/>
        </w:rPr>
      </w:pPr>
    </w:p>
    <w:p w:rsidR="00BC54FE" w:rsidRPr="001E0C1F" w:rsidRDefault="00BC54FE" w:rsidP="00BC54FE">
      <w:pPr>
        <w:ind w:firstLine="567"/>
        <w:jc w:val="both"/>
        <w:rPr>
          <w:rFonts w:asciiTheme="minorHAnsi" w:hAnsiTheme="minorHAnsi"/>
          <w:color w:val="666666"/>
          <w:sz w:val="20"/>
          <w:szCs w:val="24"/>
          <w:lang w:eastAsia="lt-LT"/>
        </w:rPr>
      </w:pPr>
      <w:r w:rsidRPr="001E0C1F">
        <w:rPr>
          <w:rFonts w:asciiTheme="minorHAnsi" w:hAnsiTheme="minorHAnsi"/>
          <w:color w:val="666666"/>
          <w:sz w:val="20"/>
          <w:szCs w:val="24"/>
          <w:lang w:eastAsia="lt-LT"/>
        </w:rPr>
        <w:t xml:space="preserve">Šaltinis: </w:t>
      </w:r>
      <w:proofErr w:type="spellStart"/>
      <w:r w:rsidRPr="001E0C1F">
        <w:rPr>
          <w:rFonts w:asciiTheme="minorHAnsi" w:hAnsiTheme="minorHAnsi"/>
          <w:color w:val="666666"/>
          <w:sz w:val="20"/>
          <w:szCs w:val="24"/>
          <w:lang w:eastAsia="lt-LT"/>
        </w:rPr>
        <w:t>Info</w:t>
      </w:r>
      <w:proofErr w:type="spellEnd"/>
      <w:r w:rsidRPr="001E0C1F">
        <w:rPr>
          <w:rFonts w:asciiTheme="minorHAnsi" w:hAnsiTheme="minorHAnsi"/>
          <w:color w:val="666666"/>
          <w:sz w:val="20"/>
          <w:szCs w:val="24"/>
          <w:lang w:eastAsia="lt-LT"/>
        </w:rPr>
        <w:t xml:space="preserve"> </w:t>
      </w:r>
      <w:proofErr w:type="spellStart"/>
      <w:r w:rsidRPr="001E0C1F">
        <w:rPr>
          <w:rFonts w:asciiTheme="minorHAnsi" w:hAnsiTheme="minorHAnsi"/>
          <w:color w:val="666666"/>
          <w:sz w:val="20"/>
          <w:szCs w:val="24"/>
          <w:lang w:eastAsia="lt-LT"/>
        </w:rPr>
        <w:t>Regio</w:t>
      </w:r>
      <w:proofErr w:type="spellEnd"/>
      <w:r w:rsidRPr="001E0C1F">
        <w:rPr>
          <w:rFonts w:asciiTheme="minorHAnsi" w:hAnsiTheme="minorHAnsi"/>
          <w:color w:val="666666"/>
          <w:sz w:val="20"/>
          <w:szCs w:val="24"/>
          <w:lang w:eastAsia="lt-LT"/>
        </w:rPr>
        <w:t xml:space="preserve">, </w:t>
      </w:r>
      <w:proofErr w:type="spellStart"/>
      <w:r w:rsidRPr="001E0C1F">
        <w:rPr>
          <w:rFonts w:asciiTheme="minorHAnsi" w:hAnsiTheme="minorHAnsi"/>
          <w:color w:val="666666"/>
          <w:sz w:val="20"/>
          <w:szCs w:val="24"/>
          <w:lang w:eastAsia="lt-LT"/>
        </w:rPr>
        <w:t>Open</w:t>
      </w:r>
      <w:proofErr w:type="spellEnd"/>
      <w:r w:rsidRPr="001E0C1F">
        <w:rPr>
          <w:rFonts w:asciiTheme="minorHAnsi" w:hAnsiTheme="minorHAnsi"/>
          <w:color w:val="666666"/>
          <w:sz w:val="20"/>
          <w:szCs w:val="24"/>
          <w:lang w:eastAsia="lt-LT"/>
        </w:rPr>
        <w:t xml:space="preserve"> Data platforma.</w:t>
      </w:r>
    </w:p>
    <w:p w:rsidR="00BC54FE" w:rsidRPr="00134D2C" w:rsidRDefault="00BC54FE" w:rsidP="00BC54FE">
      <w:pPr>
        <w:ind w:firstLine="567"/>
        <w:jc w:val="both"/>
        <w:rPr>
          <w:rFonts w:asciiTheme="minorHAnsi" w:hAnsiTheme="minorHAnsi"/>
          <w:color w:val="666666"/>
          <w:szCs w:val="24"/>
          <w:lang w:eastAsia="lt-LT"/>
        </w:rPr>
      </w:pPr>
    </w:p>
    <w:p w:rsidR="00BC54FE" w:rsidRPr="003B096D" w:rsidRDefault="00BC54FE" w:rsidP="00BC54FE">
      <w:pPr>
        <w:pStyle w:val="tekstas"/>
        <w:rPr>
          <w:lang w:eastAsia="lt-LT"/>
        </w:rPr>
      </w:pPr>
      <w:r w:rsidRPr="003B096D">
        <w:rPr>
          <w:lang w:eastAsia="lt-LT"/>
        </w:rPr>
        <w:t xml:space="preserve">Iki 2019 m. </w:t>
      </w:r>
      <w:r w:rsidR="003B096D">
        <w:rPr>
          <w:lang w:eastAsia="lt-LT"/>
        </w:rPr>
        <w:t>rugsėjo</w:t>
      </w:r>
      <w:r w:rsidR="001B68C7" w:rsidRPr="003B096D">
        <w:rPr>
          <w:lang w:eastAsia="lt-LT"/>
        </w:rPr>
        <w:t xml:space="preserve"> </w:t>
      </w:r>
      <w:r w:rsidRPr="003B096D">
        <w:rPr>
          <w:lang w:eastAsia="lt-LT"/>
        </w:rPr>
        <w:t>3</w:t>
      </w:r>
      <w:r w:rsidR="001B68C7" w:rsidRPr="003B096D">
        <w:rPr>
          <w:lang w:eastAsia="lt-LT"/>
        </w:rPr>
        <w:t xml:space="preserve">0 d. </w:t>
      </w:r>
      <w:r w:rsidR="006C257C">
        <w:rPr>
          <w:lang w:eastAsia="lt-LT"/>
        </w:rPr>
        <w:t>suplanuota 5,8 mlrd. e</w:t>
      </w:r>
      <w:r w:rsidR="003B096D">
        <w:rPr>
          <w:lang w:eastAsia="lt-LT"/>
        </w:rPr>
        <w:t xml:space="preserve">urų </w:t>
      </w:r>
      <w:r w:rsidR="000C7711">
        <w:rPr>
          <w:lang w:eastAsia="lt-LT"/>
        </w:rPr>
        <w:t>(87 proc.),</w:t>
      </w:r>
      <w:r w:rsidR="003B096D">
        <w:rPr>
          <w:lang w:eastAsia="lt-LT"/>
        </w:rPr>
        <w:t xml:space="preserve"> </w:t>
      </w:r>
      <w:r w:rsidR="001B68C7" w:rsidRPr="003B096D">
        <w:rPr>
          <w:lang w:eastAsia="lt-LT"/>
        </w:rPr>
        <w:t xml:space="preserve">projektams paskirstyta </w:t>
      </w:r>
      <w:r w:rsidR="003B096D">
        <w:rPr>
          <w:lang w:eastAsia="lt-LT"/>
        </w:rPr>
        <w:t>5</w:t>
      </w:r>
      <w:r w:rsidR="0065254C" w:rsidRPr="003B096D">
        <w:rPr>
          <w:lang w:eastAsia="lt-LT"/>
        </w:rPr>
        <w:t xml:space="preserve"> </w:t>
      </w:r>
      <w:r w:rsidR="003B096D">
        <w:rPr>
          <w:lang w:eastAsia="lt-LT"/>
        </w:rPr>
        <w:t>mlrd. eurų (75</w:t>
      </w:r>
      <w:r w:rsidRPr="003B096D">
        <w:rPr>
          <w:lang w:eastAsia="lt-LT"/>
        </w:rPr>
        <w:t xml:space="preserve"> proc.) ES fondų lėšų. Per 2019 metų I</w:t>
      </w:r>
      <w:r w:rsidR="001B68C7" w:rsidRPr="003B096D">
        <w:rPr>
          <w:lang w:eastAsia="lt-LT"/>
        </w:rPr>
        <w:t>I</w:t>
      </w:r>
      <w:r w:rsidR="003B096D">
        <w:rPr>
          <w:lang w:eastAsia="lt-LT"/>
        </w:rPr>
        <w:t>I</w:t>
      </w:r>
      <w:r w:rsidRPr="003B096D">
        <w:rPr>
          <w:lang w:eastAsia="lt-LT"/>
        </w:rPr>
        <w:t xml:space="preserve"> ketvirtį sudarytų sutarčių </w:t>
      </w:r>
      <w:r w:rsidR="001B68C7" w:rsidRPr="003B096D">
        <w:rPr>
          <w:lang w:eastAsia="lt-LT"/>
        </w:rPr>
        <w:t xml:space="preserve">suma (ES fondų lėšos) padidėjo </w:t>
      </w:r>
      <w:r w:rsidR="003B096D">
        <w:rPr>
          <w:lang w:eastAsia="lt-LT"/>
        </w:rPr>
        <w:t>3</w:t>
      </w:r>
      <w:r w:rsidRPr="003B096D">
        <w:rPr>
          <w:lang w:eastAsia="lt-LT"/>
        </w:rPr>
        <w:t xml:space="preserve"> proc. </w:t>
      </w:r>
    </w:p>
    <w:p w:rsidR="00BC54FE" w:rsidRPr="003B096D" w:rsidRDefault="003B096D" w:rsidP="00BC54FE">
      <w:pPr>
        <w:pStyle w:val="tekstas"/>
        <w:rPr>
          <w:lang w:eastAsia="lt-LT"/>
        </w:rPr>
      </w:pPr>
      <w:r>
        <w:rPr>
          <w:lang w:eastAsia="lt-LT"/>
        </w:rPr>
        <w:t>I</w:t>
      </w:r>
      <w:r w:rsidR="00D7174F" w:rsidRPr="003B096D">
        <w:rPr>
          <w:lang w:eastAsia="lt-LT"/>
        </w:rPr>
        <w:t>nvestuotų</w:t>
      </w:r>
      <w:r w:rsidR="001B68C7" w:rsidRPr="003B096D">
        <w:rPr>
          <w:lang w:eastAsia="lt-LT"/>
        </w:rPr>
        <w:t xml:space="preserve"> lėšų suma</w:t>
      </w:r>
      <w:r>
        <w:rPr>
          <w:lang w:eastAsia="lt-LT"/>
        </w:rPr>
        <w:t xml:space="preserve"> per ketvirtį paaugo 4 proc. ir sudaro 2,6 mlrd. eurų (39</w:t>
      </w:r>
      <w:r w:rsidR="00BC54FE" w:rsidRPr="003B096D">
        <w:rPr>
          <w:lang w:eastAsia="lt-LT"/>
        </w:rPr>
        <w:t xml:space="preserve"> proc.). </w:t>
      </w:r>
      <w:r w:rsidR="00AA3A64" w:rsidRPr="003B096D">
        <w:rPr>
          <w:lang w:eastAsia="lt-LT"/>
        </w:rPr>
        <w:t xml:space="preserve">Iki </w:t>
      </w:r>
      <w:r w:rsidR="00BC54FE" w:rsidRPr="003B096D">
        <w:rPr>
          <w:lang w:eastAsia="lt-LT"/>
        </w:rPr>
        <w:t xml:space="preserve">2019 m. </w:t>
      </w:r>
      <w:r>
        <w:rPr>
          <w:lang w:eastAsia="lt-LT"/>
        </w:rPr>
        <w:t>rugsėjo</w:t>
      </w:r>
      <w:r w:rsidR="001B68C7" w:rsidRPr="003B096D">
        <w:rPr>
          <w:lang w:eastAsia="lt-LT"/>
        </w:rPr>
        <w:t xml:space="preserve"> 30</w:t>
      </w:r>
      <w:r w:rsidR="00BC54FE" w:rsidRPr="003B096D">
        <w:rPr>
          <w:lang w:eastAsia="lt-LT"/>
        </w:rPr>
        <w:t xml:space="preserve"> d. </w:t>
      </w:r>
      <w:r w:rsidR="00682449" w:rsidRPr="003B096D">
        <w:rPr>
          <w:lang w:eastAsia="lt-LT"/>
        </w:rPr>
        <w:t xml:space="preserve">EK deklaruota </w:t>
      </w:r>
      <w:r w:rsidR="001B68C7" w:rsidRPr="003B096D">
        <w:rPr>
          <w:lang w:eastAsia="lt-LT"/>
        </w:rPr>
        <w:t>2</w:t>
      </w:r>
      <w:r>
        <w:rPr>
          <w:lang w:eastAsia="lt-LT"/>
        </w:rPr>
        <w:t>,2 mlrd. eurų (32</w:t>
      </w:r>
      <w:r w:rsidR="00BC54FE" w:rsidRPr="003B096D">
        <w:rPr>
          <w:lang w:eastAsia="lt-LT"/>
        </w:rPr>
        <w:t xml:space="preserve"> proc.) ES fondų lėšų. </w:t>
      </w:r>
    </w:p>
    <w:p w:rsidR="00BC54FE" w:rsidRPr="003B096D" w:rsidRDefault="00BC54FE" w:rsidP="00BC54FE">
      <w:pPr>
        <w:ind w:firstLine="567"/>
        <w:jc w:val="both"/>
        <w:rPr>
          <w:rFonts w:asciiTheme="minorHAnsi" w:hAnsiTheme="minorHAnsi"/>
          <w:color w:val="FF0000"/>
          <w:sz w:val="2"/>
          <w:szCs w:val="24"/>
          <w:lang w:eastAsia="lt-LT"/>
        </w:rPr>
      </w:pPr>
    </w:p>
    <w:p w:rsidR="00BC54FE" w:rsidRPr="00140EB5" w:rsidRDefault="00BC54FE" w:rsidP="00BC54FE">
      <w:pPr>
        <w:pStyle w:val="tekstas"/>
        <w:rPr>
          <w:lang w:eastAsia="lt-LT"/>
        </w:rPr>
      </w:pPr>
      <w:r w:rsidRPr="003B096D">
        <w:rPr>
          <w:lang w:eastAsia="lt-LT"/>
        </w:rPr>
        <w:t>Informacija apie finansinę pažangą ataskaitiniu laikotarpiu pateikiama 2 grafike.</w:t>
      </w:r>
      <w:r w:rsidRPr="00140EB5">
        <w:rPr>
          <w:lang w:eastAsia="lt-LT"/>
        </w:rPr>
        <w:t xml:space="preserve"> </w:t>
      </w:r>
    </w:p>
    <w:p w:rsidR="00BC54FE" w:rsidRPr="007C621A" w:rsidRDefault="00BC54FE" w:rsidP="00BC54FE">
      <w:pPr>
        <w:pStyle w:val="tekstas"/>
        <w:rPr>
          <w:color w:val="auto"/>
          <w:lang w:eastAsia="lt-LT"/>
        </w:rPr>
      </w:pPr>
    </w:p>
    <w:p w:rsidR="00BC54FE" w:rsidRPr="00140EB5" w:rsidRDefault="00BC54FE" w:rsidP="00BC54FE">
      <w:pPr>
        <w:pStyle w:val="tekstas"/>
        <w:rPr>
          <w:sz w:val="2"/>
          <w:lang w:eastAsia="lt-LT"/>
        </w:rPr>
      </w:pPr>
    </w:p>
    <w:p w:rsidR="00BC54FE" w:rsidRPr="00140EB5" w:rsidRDefault="00BC54FE" w:rsidP="00BC54FE">
      <w:pPr>
        <w:pStyle w:val="tekstas"/>
        <w:rPr>
          <w:sz w:val="2"/>
          <w:lang w:eastAsia="lt-LT"/>
        </w:rPr>
      </w:pPr>
    </w:p>
    <w:p w:rsidR="00BC54FE" w:rsidRDefault="00BC54FE" w:rsidP="00BC54FE">
      <w:pPr>
        <w:spacing w:after="200" w:line="276" w:lineRule="auto"/>
        <w:rPr>
          <w:rFonts w:ascii="Calibri" w:eastAsia="Calibri" w:hAnsi="Calibri"/>
          <w:b/>
          <w:bCs/>
          <w:color w:val="365F91" w:themeColor="accent1" w:themeShade="BF"/>
          <w:sz w:val="22"/>
          <w:szCs w:val="22"/>
        </w:rPr>
      </w:pPr>
      <w:r>
        <w:rPr>
          <w:color w:val="365F91" w:themeColor="accent1" w:themeShade="BF"/>
          <w:sz w:val="22"/>
          <w:szCs w:val="22"/>
        </w:rPr>
        <w:br w:type="page"/>
      </w:r>
    </w:p>
    <w:p w:rsidR="00BC54FE" w:rsidRDefault="00BC54FE" w:rsidP="00BC54FE">
      <w:pPr>
        <w:pStyle w:val="Antrat"/>
        <w:keepNext/>
        <w:spacing w:after="0"/>
        <w:jc w:val="center"/>
        <w:rPr>
          <w:color w:val="365F91" w:themeColor="accent1" w:themeShade="BF"/>
          <w:sz w:val="22"/>
          <w:szCs w:val="22"/>
        </w:rPr>
      </w:pPr>
      <w:r w:rsidRPr="001C6370">
        <w:rPr>
          <w:color w:val="365F91" w:themeColor="accent1" w:themeShade="BF"/>
          <w:sz w:val="22"/>
          <w:szCs w:val="22"/>
        </w:rPr>
        <w:lastRenderedPageBreak/>
        <w:t xml:space="preserve">2 grafikas. </w:t>
      </w:r>
      <w:r w:rsidR="003A66E5">
        <w:rPr>
          <w:color w:val="365F91" w:themeColor="accent1" w:themeShade="BF"/>
          <w:sz w:val="22"/>
          <w:szCs w:val="22"/>
        </w:rPr>
        <w:t>Veiksmų programos</w:t>
      </w:r>
      <w:r w:rsidRPr="001C6370">
        <w:rPr>
          <w:color w:val="365F91" w:themeColor="accent1" w:themeShade="BF"/>
          <w:sz w:val="22"/>
          <w:szCs w:val="22"/>
        </w:rPr>
        <w:t xml:space="preserve"> įgyvendinimas pagal etapus (mln. eurų ir % nuo ES fondų lėšų).</w:t>
      </w:r>
    </w:p>
    <w:p w:rsidR="001B68C7" w:rsidRPr="001B68C7" w:rsidRDefault="006A09CE" w:rsidP="001B68C7">
      <w:r>
        <w:rPr>
          <w:noProof/>
          <w:lang w:eastAsia="lt-LT"/>
        </w:rPr>
        <w:drawing>
          <wp:inline distT="0" distB="0" distL="0" distR="0" wp14:anchorId="38B87766" wp14:editId="17C95594">
            <wp:extent cx="6120130" cy="2867967"/>
            <wp:effectExtent l="0" t="0" r="13970" b="2794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4FE" w:rsidRPr="00494658" w:rsidRDefault="00BC54FE" w:rsidP="00BC54FE">
      <w:pPr>
        <w:ind w:firstLine="567"/>
        <w:jc w:val="both"/>
        <w:rPr>
          <w:rFonts w:asciiTheme="minorHAnsi" w:hAnsiTheme="minorHAnsi"/>
          <w:color w:val="666666"/>
          <w:sz w:val="2"/>
          <w:szCs w:val="24"/>
          <w:highlight w:val="yellow"/>
          <w:lang w:eastAsia="lt-LT"/>
        </w:rPr>
      </w:pPr>
    </w:p>
    <w:p w:rsidR="00BC54FE" w:rsidRPr="001E0C1F" w:rsidRDefault="00BC54FE" w:rsidP="00BC54FE">
      <w:pPr>
        <w:ind w:firstLine="567"/>
        <w:jc w:val="both"/>
        <w:rPr>
          <w:rFonts w:asciiTheme="minorHAnsi" w:hAnsiTheme="minorHAnsi"/>
          <w:color w:val="666666"/>
          <w:sz w:val="20"/>
          <w:szCs w:val="24"/>
          <w:lang w:eastAsia="lt-LT"/>
        </w:rPr>
      </w:pPr>
      <w:r w:rsidRPr="001E0C1F">
        <w:rPr>
          <w:rFonts w:asciiTheme="minorHAnsi" w:hAnsiTheme="minorHAnsi"/>
          <w:color w:val="666666"/>
          <w:sz w:val="20"/>
          <w:szCs w:val="24"/>
          <w:lang w:eastAsia="lt-LT"/>
        </w:rPr>
        <w:t>Šaltinis: 2014–2020 metų Europos Sąjungos struktūrinių fondų posistemis (SFMIS2014).</w:t>
      </w:r>
    </w:p>
    <w:p w:rsidR="00BC54FE" w:rsidRPr="00494658" w:rsidRDefault="00BC54FE" w:rsidP="00BC54FE">
      <w:pPr>
        <w:ind w:firstLine="567"/>
        <w:jc w:val="both"/>
        <w:rPr>
          <w:rFonts w:asciiTheme="minorHAnsi" w:hAnsiTheme="minorHAnsi"/>
          <w:color w:val="666666"/>
          <w:sz w:val="2"/>
          <w:szCs w:val="24"/>
          <w:highlight w:val="yellow"/>
          <w:lang w:eastAsia="lt-LT"/>
        </w:rPr>
      </w:pPr>
    </w:p>
    <w:p w:rsidR="00894BC1" w:rsidRDefault="00894BC1" w:rsidP="00BC54FE">
      <w:pPr>
        <w:pStyle w:val="Antrat"/>
        <w:keepNext/>
        <w:spacing w:after="0"/>
        <w:jc w:val="center"/>
        <w:rPr>
          <w:noProof/>
          <w:color w:val="365F91" w:themeColor="accent1" w:themeShade="BF"/>
          <w:sz w:val="22"/>
          <w:szCs w:val="22"/>
        </w:rPr>
      </w:pPr>
    </w:p>
    <w:p w:rsidR="00BC54FE" w:rsidRDefault="00BC54FE" w:rsidP="00894BC1">
      <w:pPr>
        <w:pStyle w:val="Antrat"/>
        <w:keepNext/>
        <w:spacing w:after="0"/>
        <w:jc w:val="center"/>
        <w:rPr>
          <w:noProof/>
          <w:color w:val="365F91" w:themeColor="accent1" w:themeShade="BF"/>
          <w:sz w:val="22"/>
          <w:szCs w:val="22"/>
        </w:rPr>
      </w:pPr>
      <w:r w:rsidRPr="00494658">
        <w:rPr>
          <w:noProof/>
          <w:color w:val="365F91" w:themeColor="accent1" w:themeShade="BF"/>
          <w:sz w:val="22"/>
          <w:szCs w:val="22"/>
        </w:rPr>
        <w:t xml:space="preserve">3 grafikas. </w:t>
      </w:r>
      <w:r w:rsidR="003A66E5">
        <w:rPr>
          <w:noProof/>
          <w:color w:val="365F91" w:themeColor="accent1" w:themeShade="BF"/>
          <w:sz w:val="22"/>
          <w:szCs w:val="22"/>
        </w:rPr>
        <w:t>Veiksmų programos</w:t>
      </w:r>
      <w:r w:rsidRPr="00494658">
        <w:rPr>
          <w:noProof/>
          <w:color w:val="365F91" w:themeColor="accent1" w:themeShade="BF"/>
          <w:sz w:val="22"/>
          <w:szCs w:val="22"/>
        </w:rPr>
        <w:t xml:space="preserve"> įgyvendinimas pagal etapus ir pagal ministerijas </w:t>
      </w:r>
      <w:r>
        <w:rPr>
          <w:noProof/>
          <w:color w:val="365F91" w:themeColor="accent1" w:themeShade="BF"/>
          <w:sz w:val="22"/>
          <w:szCs w:val="22"/>
        </w:rPr>
        <w:t>iki 2019</w:t>
      </w:r>
      <w:r w:rsidRPr="00494658">
        <w:rPr>
          <w:noProof/>
          <w:color w:val="365F91" w:themeColor="accent1" w:themeShade="BF"/>
          <w:sz w:val="22"/>
          <w:szCs w:val="22"/>
        </w:rPr>
        <w:t xml:space="preserve"> m. </w:t>
      </w:r>
      <w:r w:rsidR="00AD0E5C">
        <w:rPr>
          <w:noProof/>
          <w:color w:val="365F91" w:themeColor="accent1" w:themeShade="BF"/>
          <w:sz w:val="22"/>
          <w:szCs w:val="22"/>
        </w:rPr>
        <w:t>rugsėjo</w:t>
      </w:r>
      <w:r w:rsidR="000B1B2F">
        <w:rPr>
          <w:noProof/>
          <w:color w:val="365F91" w:themeColor="accent1" w:themeShade="BF"/>
          <w:sz w:val="22"/>
          <w:szCs w:val="22"/>
        </w:rPr>
        <w:t xml:space="preserve"> 30</w:t>
      </w:r>
      <w:r>
        <w:rPr>
          <w:noProof/>
          <w:color w:val="365F91" w:themeColor="accent1" w:themeShade="BF"/>
          <w:sz w:val="22"/>
          <w:szCs w:val="22"/>
        </w:rPr>
        <w:t xml:space="preserve"> </w:t>
      </w:r>
      <w:r w:rsidRPr="00494658">
        <w:rPr>
          <w:noProof/>
          <w:color w:val="365F91" w:themeColor="accent1" w:themeShade="BF"/>
          <w:sz w:val="22"/>
          <w:szCs w:val="22"/>
        </w:rPr>
        <w:t>d.</w:t>
      </w:r>
      <w:r>
        <w:rPr>
          <w:noProof/>
          <w:color w:val="365F91" w:themeColor="accent1" w:themeShade="BF"/>
          <w:sz w:val="22"/>
          <w:szCs w:val="22"/>
        </w:rPr>
        <w:t xml:space="preserve"> </w:t>
      </w:r>
      <w:r w:rsidRPr="00494658">
        <w:rPr>
          <w:noProof/>
          <w:color w:val="365F91" w:themeColor="accent1" w:themeShade="BF"/>
          <w:sz w:val="22"/>
          <w:szCs w:val="22"/>
        </w:rPr>
        <w:t>(% nuo administruojamų ES fondų lėšų)</w:t>
      </w:r>
      <w:r w:rsidRPr="00494658" w:rsidDel="00C26E7A">
        <w:rPr>
          <w:noProof/>
          <w:color w:val="365F91" w:themeColor="accent1" w:themeShade="BF"/>
          <w:sz w:val="22"/>
          <w:szCs w:val="22"/>
        </w:rPr>
        <w:t xml:space="preserve"> </w:t>
      </w:r>
    </w:p>
    <w:p w:rsidR="00894BC1" w:rsidRPr="00894BC1" w:rsidRDefault="00FD7058" w:rsidP="00894BC1">
      <w:r>
        <w:rPr>
          <w:noProof/>
          <w:lang w:eastAsia="lt-LT"/>
        </w:rPr>
        <w:drawing>
          <wp:inline distT="0" distB="0" distL="0" distR="0" wp14:anchorId="21E4DA38" wp14:editId="63946CCF">
            <wp:extent cx="6116128" cy="2751827"/>
            <wp:effectExtent l="0" t="0" r="18415" b="10795"/>
            <wp:docPr id="386" name="Diagrama 3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54FE" w:rsidRPr="001E0C1F" w:rsidRDefault="00BC54FE" w:rsidP="00894BC1">
      <w:pPr>
        <w:ind w:firstLine="567"/>
        <w:jc w:val="both"/>
        <w:rPr>
          <w:rFonts w:asciiTheme="minorHAnsi" w:hAnsiTheme="minorHAnsi"/>
          <w:color w:val="666666"/>
          <w:sz w:val="20"/>
          <w:szCs w:val="24"/>
          <w:lang w:eastAsia="lt-LT"/>
        </w:rPr>
      </w:pPr>
      <w:r w:rsidRPr="001E0C1F">
        <w:rPr>
          <w:rFonts w:asciiTheme="minorHAnsi" w:hAnsiTheme="minorHAnsi"/>
          <w:color w:val="666666"/>
          <w:sz w:val="20"/>
          <w:szCs w:val="24"/>
          <w:lang w:eastAsia="lt-LT"/>
        </w:rPr>
        <w:t>Šaltinis: 2014–2020 metų Europos Sąjungos struktūrinių fondų posistemis (SFMIS2014).</w:t>
      </w:r>
    </w:p>
    <w:p w:rsidR="00BC54FE" w:rsidRPr="00A750AA" w:rsidRDefault="00BC54FE" w:rsidP="00BC54FE">
      <w:pPr>
        <w:pStyle w:val="Antrat"/>
        <w:keepNext/>
        <w:spacing w:after="0"/>
        <w:jc w:val="center"/>
        <w:rPr>
          <w:noProof/>
          <w:color w:val="365F91" w:themeColor="accent1" w:themeShade="BF"/>
          <w:sz w:val="20"/>
          <w:szCs w:val="20"/>
        </w:rPr>
      </w:pPr>
    </w:p>
    <w:p w:rsidR="0036397D" w:rsidRPr="000C7711" w:rsidRDefault="00BC54FE" w:rsidP="00BC54FE">
      <w:pPr>
        <w:pStyle w:val="tekstas"/>
        <w:rPr>
          <w:lang w:eastAsia="lt-LT"/>
        </w:rPr>
      </w:pPr>
      <w:r w:rsidRPr="000C7711">
        <w:rPr>
          <w:lang w:eastAsia="lt-LT"/>
        </w:rPr>
        <w:t xml:space="preserve">Nuo periodo pradžios iki 2019 m. </w:t>
      </w:r>
      <w:r w:rsidR="000C7711" w:rsidRPr="000C7711">
        <w:rPr>
          <w:lang w:eastAsia="lt-LT"/>
        </w:rPr>
        <w:t>I</w:t>
      </w:r>
      <w:r w:rsidRPr="000C7711">
        <w:rPr>
          <w:lang w:eastAsia="lt-LT"/>
        </w:rPr>
        <w:t>I</w:t>
      </w:r>
      <w:r w:rsidR="00894BC1" w:rsidRPr="000C7711">
        <w:rPr>
          <w:lang w:eastAsia="lt-LT"/>
        </w:rPr>
        <w:t>I</w:t>
      </w:r>
      <w:r w:rsidRPr="000C7711">
        <w:rPr>
          <w:lang w:eastAsia="lt-LT"/>
        </w:rPr>
        <w:t xml:space="preserve"> ketvirčio pabaigos </w:t>
      </w:r>
      <w:r w:rsidR="0036397D" w:rsidRPr="000C7711">
        <w:rPr>
          <w:lang w:eastAsia="lt-LT"/>
        </w:rPr>
        <w:t xml:space="preserve">didžiausią dalį ministerijoms skirtų ES fondų lėšų </w:t>
      </w:r>
      <w:r w:rsidR="00D7174F" w:rsidRPr="000C7711">
        <w:rPr>
          <w:lang w:eastAsia="lt-LT"/>
        </w:rPr>
        <w:t>investavusios</w:t>
      </w:r>
      <w:r w:rsidR="00AA3A64" w:rsidRPr="000C7711">
        <w:rPr>
          <w:lang w:eastAsia="lt-LT"/>
        </w:rPr>
        <w:t xml:space="preserve"> </w:t>
      </w:r>
      <w:r w:rsidR="000C7711" w:rsidRPr="000C7711">
        <w:rPr>
          <w:lang w:eastAsia="lt-LT"/>
        </w:rPr>
        <w:t xml:space="preserve">išlieka </w:t>
      </w:r>
      <w:r w:rsidRPr="000C7711">
        <w:rPr>
          <w:lang w:eastAsia="lt-LT"/>
        </w:rPr>
        <w:t xml:space="preserve">Socialinės apsaugos ir darbo </w:t>
      </w:r>
      <w:r w:rsidR="000C7711" w:rsidRPr="000C7711">
        <w:rPr>
          <w:lang w:eastAsia="lt-LT"/>
        </w:rPr>
        <w:t>(57 proc.) bei Aplinkos (48</w:t>
      </w:r>
      <w:r w:rsidR="0036397D" w:rsidRPr="000C7711">
        <w:rPr>
          <w:lang w:eastAsia="lt-LT"/>
        </w:rPr>
        <w:t xml:space="preserve"> proc.) ministerijos</w:t>
      </w:r>
      <w:r w:rsidRPr="000C7711">
        <w:rPr>
          <w:lang w:eastAsia="lt-LT"/>
        </w:rPr>
        <w:t xml:space="preserve">. </w:t>
      </w:r>
      <w:r w:rsidR="0036397D" w:rsidRPr="000C7711">
        <w:rPr>
          <w:lang w:eastAsia="lt-LT"/>
        </w:rPr>
        <w:t xml:space="preserve">Tačiau, per ataskaitinį laikotarpį, lyginant su kitomis ministerijomis, </w:t>
      </w:r>
      <w:r w:rsidR="007F76B8" w:rsidRPr="000C7711">
        <w:rPr>
          <w:lang w:eastAsia="lt-LT"/>
        </w:rPr>
        <w:t>d</w:t>
      </w:r>
      <w:r w:rsidR="00D7174F" w:rsidRPr="000C7711">
        <w:rPr>
          <w:lang w:eastAsia="lt-LT"/>
        </w:rPr>
        <w:t>augiausia investuota</w:t>
      </w:r>
      <w:r w:rsidR="0025411B" w:rsidRPr="000C7711">
        <w:rPr>
          <w:lang w:eastAsia="lt-LT"/>
        </w:rPr>
        <w:t xml:space="preserve"> Svei</w:t>
      </w:r>
      <w:r w:rsidR="000C7711" w:rsidRPr="000C7711">
        <w:rPr>
          <w:lang w:eastAsia="lt-LT"/>
        </w:rPr>
        <w:t xml:space="preserve">katos apsaugos </w:t>
      </w:r>
      <w:r w:rsidR="0025411B" w:rsidRPr="000C7711">
        <w:rPr>
          <w:lang w:eastAsia="lt-LT"/>
        </w:rPr>
        <w:t xml:space="preserve">ir </w:t>
      </w:r>
      <w:r w:rsidR="000C7711" w:rsidRPr="000C7711">
        <w:rPr>
          <w:lang w:eastAsia="lt-LT"/>
        </w:rPr>
        <w:t>Energetikos ministerijų (5,4</w:t>
      </w:r>
      <w:r w:rsidR="0025411B" w:rsidRPr="000C7711">
        <w:rPr>
          <w:lang w:eastAsia="lt-LT"/>
        </w:rPr>
        <w:t xml:space="preserve"> proc.) administruojamose priemonėse.</w:t>
      </w:r>
    </w:p>
    <w:p w:rsidR="00613DFA" w:rsidRPr="00613DFA" w:rsidRDefault="000C7711" w:rsidP="00613DFA">
      <w:pPr>
        <w:pStyle w:val="tekstas"/>
        <w:rPr>
          <w:lang w:eastAsia="lt-LT"/>
        </w:rPr>
      </w:pPr>
      <w:r w:rsidRPr="0015062E">
        <w:rPr>
          <w:lang w:eastAsia="lt-LT"/>
        </w:rPr>
        <w:t>I</w:t>
      </w:r>
      <w:r w:rsidR="00BC54FE" w:rsidRPr="0015062E">
        <w:rPr>
          <w:lang w:eastAsia="lt-LT"/>
        </w:rPr>
        <w:t xml:space="preserve">ki 2019 m. </w:t>
      </w:r>
      <w:r w:rsidRPr="0015062E">
        <w:rPr>
          <w:lang w:eastAsia="lt-LT"/>
        </w:rPr>
        <w:t>rugsėjo</w:t>
      </w:r>
      <w:r w:rsidR="0025411B" w:rsidRPr="0015062E">
        <w:rPr>
          <w:lang w:eastAsia="lt-LT"/>
        </w:rPr>
        <w:t xml:space="preserve"> 30</w:t>
      </w:r>
      <w:r w:rsidR="00BC54FE" w:rsidRPr="0015062E">
        <w:rPr>
          <w:lang w:eastAsia="lt-LT"/>
        </w:rPr>
        <w:t xml:space="preserve"> d. </w:t>
      </w:r>
      <w:r w:rsidR="0025411B" w:rsidRPr="0015062E">
        <w:rPr>
          <w:lang w:eastAsia="lt-LT"/>
        </w:rPr>
        <w:t xml:space="preserve">didžiausias pasirašytų sutarčių procentas </w:t>
      </w:r>
      <w:r w:rsidR="00613DFA" w:rsidRPr="0015062E">
        <w:rPr>
          <w:lang w:eastAsia="lt-LT"/>
        </w:rPr>
        <w:t xml:space="preserve">yra </w:t>
      </w:r>
      <w:r w:rsidR="00BC54FE" w:rsidRPr="0015062E">
        <w:rPr>
          <w:lang w:eastAsia="lt-LT"/>
        </w:rPr>
        <w:t>Aplinkos ministerij</w:t>
      </w:r>
      <w:r w:rsidR="0025411B" w:rsidRPr="0015062E">
        <w:rPr>
          <w:lang w:eastAsia="lt-LT"/>
        </w:rPr>
        <w:t>os</w:t>
      </w:r>
      <w:r w:rsidRPr="0015062E">
        <w:rPr>
          <w:lang w:eastAsia="lt-LT"/>
        </w:rPr>
        <w:t xml:space="preserve"> (89</w:t>
      </w:r>
      <w:r w:rsidR="00BC54FE" w:rsidRPr="0015062E">
        <w:rPr>
          <w:lang w:eastAsia="lt-LT"/>
        </w:rPr>
        <w:t xml:space="preserve"> proc. jai skirtų lėšų) bei Socialin</w:t>
      </w:r>
      <w:r w:rsidR="0025411B" w:rsidRPr="0015062E">
        <w:rPr>
          <w:lang w:eastAsia="lt-LT"/>
        </w:rPr>
        <w:t>ės apsaugos ir darbo ministerijos</w:t>
      </w:r>
      <w:r w:rsidR="00BC54FE" w:rsidRPr="0015062E">
        <w:rPr>
          <w:lang w:eastAsia="lt-LT"/>
        </w:rPr>
        <w:t xml:space="preserve"> (</w:t>
      </w:r>
      <w:r w:rsidRPr="0015062E">
        <w:rPr>
          <w:lang w:eastAsia="lt-LT"/>
        </w:rPr>
        <w:t>84</w:t>
      </w:r>
      <w:r w:rsidR="00BC54FE" w:rsidRPr="0015062E">
        <w:rPr>
          <w:lang w:eastAsia="lt-LT"/>
        </w:rPr>
        <w:t xml:space="preserve"> proc.)</w:t>
      </w:r>
      <w:r w:rsidR="0025411B" w:rsidRPr="0015062E">
        <w:rPr>
          <w:lang w:eastAsia="lt-LT"/>
        </w:rPr>
        <w:t xml:space="preserve"> administruojamose priemonėse</w:t>
      </w:r>
      <w:r w:rsidR="00BC54FE" w:rsidRPr="0015062E">
        <w:rPr>
          <w:lang w:eastAsia="lt-LT"/>
        </w:rPr>
        <w:t xml:space="preserve">. </w:t>
      </w:r>
      <w:r w:rsidR="00613DFA" w:rsidRPr="0015062E">
        <w:rPr>
          <w:lang w:eastAsia="lt-LT"/>
        </w:rPr>
        <w:t xml:space="preserve">Šių metų </w:t>
      </w:r>
      <w:r w:rsidRPr="0015062E">
        <w:rPr>
          <w:lang w:eastAsia="lt-LT"/>
        </w:rPr>
        <w:t>trečią</w:t>
      </w:r>
      <w:r w:rsidR="00BC54FE" w:rsidRPr="0015062E">
        <w:rPr>
          <w:lang w:eastAsia="lt-LT"/>
        </w:rPr>
        <w:t xml:space="preserve"> ketvirtį daugiausia </w:t>
      </w:r>
      <w:r w:rsidR="00613DFA" w:rsidRPr="0015062E">
        <w:rPr>
          <w:lang w:eastAsia="lt-LT"/>
        </w:rPr>
        <w:t>sutarčių sudaryta</w:t>
      </w:r>
      <w:r w:rsidR="00676B8E" w:rsidRPr="0015062E">
        <w:rPr>
          <w:lang w:eastAsia="lt-LT"/>
        </w:rPr>
        <w:t xml:space="preserve"> </w:t>
      </w:r>
      <w:r w:rsidRPr="0015062E">
        <w:rPr>
          <w:lang w:eastAsia="lt-LT"/>
        </w:rPr>
        <w:t>Ekonomikos ir inovacijų</w:t>
      </w:r>
      <w:r w:rsidR="00613DFA" w:rsidRPr="0015062E">
        <w:rPr>
          <w:lang w:eastAsia="lt-LT"/>
        </w:rPr>
        <w:t xml:space="preserve"> ministerijos</w:t>
      </w:r>
      <w:r w:rsidR="0015062E" w:rsidRPr="0015062E">
        <w:rPr>
          <w:lang w:eastAsia="lt-LT"/>
        </w:rPr>
        <w:t xml:space="preserve"> (6</w:t>
      </w:r>
      <w:r w:rsidR="00BC54FE" w:rsidRPr="0015062E">
        <w:rPr>
          <w:lang w:eastAsia="lt-LT"/>
        </w:rPr>
        <w:t xml:space="preserve"> proc. nuo ministerijai skirtų ES fondų lėšų)</w:t>
      </w:r>
      <w:r w:rsidR="00676B8E" w:rsidRPr="0015062E">
        <w:rPr>
          <w:lang w:eastAsia="lt-LT"/>
        </w:rPr>
        <w:t xml:space="preserve">, </w:t>
      </w:r>
      <w:r w:rsidR="0015062E">
        <w:rPr>
          <w:lang w:eastAsia="lt-LT"/>
        </w:rPr>
        <w:t>Sveikatos apsaugos ir A</w:t>
      </w:r>
      <w:r w:rsidR="0015062E" w:rsidRPr="0015062E">
        <w:rPr>
          <w:lang w:eastAsia="lt-LT"/>
        </w:rPr>
        <w:t>plinkos</w:t>
      </w:r>
      <w:r w:rsidR="00676B8E" w:rsidRPr="0015062E">
        <w:rPr>
          <w:lang w:eastAsia="lt-LT"/>
        </w:rPr>
        <w:t xml:space="preserve"> ministeri</w:t>
      </w:r>
      <w:r w:rsidR="00613DFA" w:rsidRPr="0015062E">
        <w:rPr>
          <w:lang w:eastAsia="lt-LT"/>
        </w:rPr>
        <w:t>j</w:t>
      </w:r>
      <w:r w:rsidR="0015062E" w:rsidRPr="0015062E">
        <w:rPr>
          <w:lang w:eastAsia="lt-LT"/>
        </w:rPr>
        <w:t>ų</w:t>
      </w:r>
      <w:r w:rsidR="00676B8E" w:rsidRPr="0015062E">
        <w:rPr>
          <w:lang w:eastAsia="lt-LT"/>
        </w:rPr>
        <w:t xml:space="preserve"> (</w:t>
      </w:r>
      <w:r w:rsidR="0015062E" w:rsidRPr="0015062E">
        <w:rPr>
          <w:lang w:eastAsia="lt-LT"/>
        </w:rPr>
        <w:t>po 5</w:t>
      </w:r>
      <w:r w:rsidR="00676B8E" w:rsidRPr="0015062E">
        <w:rPr>
          <w:lang w:eastAsia="lt-LT"/>
        </w:rPr>
        <w:t xml:space="preserve"> proc.)</w:t>
      </w:r>
      <w:r w:rsidR="00BC54FE" w:rsidRPr="0015062E">
        <w:rPr>
          <w:lang w:eastAsia="lt-LT"/>
        </w:rPr>
        <w:t xml:space="preserve"> </w:t>
      </w:r>
      <w:r w:rsidR="00613DFA" w:rsidRPr="0015062E">
        <w:rPr>
          <w:lang w:eastAsia="lt-LT"/>
        </w:rPr>
        <w:t>administruojamose priemonėse</w:t>
      </w:r>
      <w:r w:rsidR="00676B8E" w:rsidRPr="0015062E">
        <w:rPr>
          <w:lang w:eastAsia="lt-LT"/>
        </w:rPr>
        <w:t>.</w:t>
      </w:r>
      <w:r w:rsidR="00676B8E" w:rsidRPr="00613DFA">
        <w:rPr>
          <w:lang w:eastAsia="lt-LT"/>
        </w:rPr>
        <w:t xml:space="preserve"> </w:t>
      </w:r>
    </w:p>
    <w:p w:rsidR="00BC54FE" w:rsidRPr="00140EB5" w:rsidRDefault="00BC54FE" w:rsidP="00BC54FE">
      <w:pPr>
        <w:pStyle w:val="tekstas"/>
        <w:rPr>
          <w:sz w:val="18"/>
          <w:lang w:eastAsia="lt-LT"/>
        </w:rPr>
      </w:pPr>
    </w:p>
    <w:p w:rsidR="00BC54FE" w:rsidRPr="00140EB5" w:rsidRDefault="00BC54FE" w:rsidP="00BC54FE">
      <w:pPr>
        <w:pStyle w:val="Antrat"/>
        <w:keepNext/>
        <w:spacing w:after="0"/>
        <w:jc w:val="center"/>
        <w:rPr>
          <w:noProof/>
          <w:color w:val="365F91" w:themeColor="accent1" w:themeShade="BF"/>
          <w:sz w:val="2"/>
          <w:szCs w:val="22"/>
        </w:rPr>
      </w:pPr>
    </w:p>
    <w:p w:rsidR="00BC54FE" w:rsidRPr="00140EB5" w:rsidRDefault="00BC54FE" w:rsidP="00BC54FE">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4 grafikas. 201</w:t>
      </w:r>
      <w:r>
        <w:rPr>
          <w:noProof/>
          <w:color w:val="365F91" w:themeColor="accent1" w:themeShade="BF"/>
          <w:sz w:val="22"/>
          <w:szCs w:val="22"/>
        </w:rPr>
        <w:t>9</w:t>
      </w:r>
      <w:r w:rsidRPr="00140EB5">
        <w:rPr>
          <w:noProof/>
          <w:color w:val="365F91" w:themeColor="accent1" w:themeShade="BF"/>
          <w:sz w:val="22"/>
          <w:szCs w:val="22"/>
        </w:rPr>
        <w:t xml:space="preserve"> m. asignavimų plano vykdymas iki 201</w:t>
      </w:r>
      <w:r>
        <w:rPr>
          <w:noProof/>
          <w:color w:val="365F91" w:themeColor="accent1" w:themeShade="BF"/>
          <w:sz w:val="22"/>
          <w:szCs w:val="22"/>
        </w:rPr>
        <w:t>9</w:t>
      </w:r>
      <w:r w:rsidRPr="00140EB5">
        <w:rPr>
          <w:noProof/>
          <w:color w:val="365F91" w:themeColor="accent1" w:themeShade="BF"/>
          <w:sz w:val="22"/>
          <w:szCs w:val="22"/>
        </w:rPr>
        <w:t xml:space="preserve"> m. </w:t>
      </w:r>
      <w:r w:rsidR="00FD7058">
        <w:rPr>
          <w:noProof/>
          <w:color w:val="365F91" w:themeColor="accent1" w:themeShade="BF"/>
          <w:sz w:val="22"/>
          <w:szCs w:val="22"/>
        </w:rPr>
        <w:t>rugsėjo</w:t>
      </w:r>
      <w:r w:rsidR="000B1B2F">
        <w:rPr>
          <w:noProof/>
          <w:color w:val="365F91" w:themeColor="accent1" w:themeShade="BF"/>
          <w:sz w:val="22"/>
          <w:szCs w:val="22"/>
        </w:rPr>
        <w:t xml:space="preserve"> 30</w:t>
      </w:r>
      <w:r w:rsidRPr="00140EB5">
        <w:rPr>
          <w:noProof/>
          <w:color w:val="365F91" w:themeColor="accent1" w:themeShade="BF"/>
          <w:sz w:val="22"/>
          <w:szCs w:val="22"/>
        </w:rPr>
        <w:t xml:space="preserve"> d.</w:t>
      </w:r>
    </w:p>
    <w:p w:rsidR="00BC54FE" w:rsidRPr="00200EAB" w:rsidRDefault="00BC54FE" w:rsidP="00200EAB">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 ir mln. eurų )</w:t>
      </w:r>
    </w:p>
    <w:p w:rsidR="00BC54FE" w:rsidRPr="00140EB5" w:rsidRDefault="00FD7058" w:rsidP="00BC54FE">
      <w:pPr>
        <w:spacing w:after="200" w:line="276" w:lineRule="auto"/>
        <w:jc w:val="center"/>
        <w:rPr>
          <w:noProof/>
          <w:color w:val="365F91" w:themeColor="accent1" w:themeShade="BF"/>
          <w:sz w:val="22"/>
          <w:szCs w:val="22"/>
        </w:rPr>
      </w:pPr>
      <w:r>
        <w:rPr>
          <w:noProof/>
          <w:lang w:eastAsia="lt-LT"/>
        </w:rPr>
        <w:drawing>
          <wp:inline distT="0" distB="0" distL="0" distR="0" wp14:anchorId="501F3291" wp14:editId="57E3B7B2">
            <wp:extent cx="5810250" cy="3390899"/>
            <wp:effectExtent l="0" t="0" r="19050" b="19685"/>
            <wp:docPr id="389" name="Diagrama 3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2324" w:rsidRPr="0015062E" w:rsidRDefault="009E2324" w:rsidP="00175078">
      <w:pPr>
        <w:pStyle w:val="tekstas"/>
        <w:rPr>
          <w:lang w:eastAsia="lt-LT"/>
        </w:rPr>
      </w:pPr>
      <w:r w:rsidRPr="0015062E">
        <w:rPr>
          <w:lang w:eastAsia="lt-LT"/>
        </w:rPr>
        <w:t xml:space="preserve">Per </w:t>
      </w:r>
      <w:r w:rsidR="0015062E" w:rsidRPr="0015062E">
        <w:rPr>
          <w:lang w:eastAsia="lt-LT"/>
        </w:rPr>
        <w:t>tris</w:t>
      </w:r>
      <w:r w:rsidRPr="0015062E">
        <w:rPr>
          <w:lang w:eastAsia="lt-LT"/>
        </w:rPr>
        <w:t xml:space="preserve"> šių metų </w:t>
      </w:r>
      <w:r w:rsidR="0015062E" w:rsidRPr="0015062E">
        <w:rPr>
          <w:lang w:eastAsia="lt-LT"/>
        </w:rPr>
        <w:t>ketvirčius</w:t>
      </w:r>
      <w:r w:rsidRPr="0015062E">
        <w:rPr>
          <w:lang w:eastAsia="lt-LT"/>
        </w:rPr>
        <w:t xml:space="preserve"> investuota </w:t>
      </w:r>
      <w:r w:rsidR="0015062E" w:rsidRPr="0015062E">
        <w:rPr>
          <w:lang w:eastAsia="lt-LT"/>
        </w:rPr>
        <w:t>592</w:t>
      </w:r>
      <w:r w:rsidRPr="0015062E">
        <w:rPr>
          <w:lang w:eastAsia="lt-LT"/>
        </w:rPr>
        <w:t xml:space="preserve"> mln. eurų ES fondų lėšų</w:t>
      </w:r>
      <w:r w:rsidR="00200EAB" w:rsidRPr="0015062E">
        <w:rPr>
          <w:lang w:eastAsia="lt-LT"/>
        </w:rPr>
        <w:t xml:space="preserve"> ir</w:t>
      </w:r>
      <w:r w:rsidRPr="0015062E">
        <w:rPr>
          <w:lang w:eastAsia="lt-LT"/>
        </w:rPr>
        <w:t xml:space="preserve"> tai sudaro </w:t>
      </w:r>
      <w:r w:rsidR="0015062E" w:rsidRPr="0015062E">
        <w:rPr>
          <w:lang w:eastAsia="lt-LT"/>
        </w:rPr>
        <w:t>50</w:t>
      </w:r>
      <w:r w:rsidRPr="0015062E">
        <w:rPr>
          <w:lang w:eastAsia="lt-LT"/>
        </w:rPr>
        <w:t xml:space="preserve"> proc. </w:t>
      </w:r>
      <w:r w:rsidR="00200EAB" w:rsidRPr="0015062E">
        <w:rPr>
          <w:lang w:eastAsia="lt-LT"/>
        </w:rPr>
        <w:t>2019 m. asignavimų plano (</w:t>
      </w:r>
      <w:r w:rsidR="004C224E" w:rsidRPr="0015062E">
        <w:rPr>
          <w:lang w:eastAsia="lt-LT"/>
        </w:rPr>
        <w:t xml:space="preserve">per metus </w:t>
      </w:r>
      <w:r w:rsidRPr="0015062E">
        <w:rPr>
          <w:lang w:eastAsia="lt-LT"/>
        </w:rPr>
        <w:t>numatyt</w:t>
      </w:r>
      <w:r w:rsidR="00200EAB" w:rsidRPr="0015062E">
        <w:rPr>
          <w:lang w:eastAsia="lt-LT"/>
        </w:rPr>
        <w:t>a</w:t>
      </w:r>
      <w:r w:rsidRPr="0015062E">
        <w:rPr>
          <w:lang w:eastAsia="lt-LT"/>
        </w:rPr>
        <w:t xml:space="preserve"> investuoti 1,2 mlrd. eurų</w:t>
      </w:r>
      <w:r w:rsidR="00200EAB" w:rsidRPr="0015062E">
        <w:rPr>
          <w:lang w:eastAsia="lt-LT"/>
        </w:rPr>
        <w:t>)</w:t>
      </w:r>
      <w:r w:rsidRPr="0015062E">
        <w:rPr>
          <w:lang w:eastAsia="lt-LT"/>
        </w:rPr>
        <w:t>.</w:t>
      </w:r>
      <w:r w:rsidR="00200EAB" w:rsidRPr="0015062E">
        <w:rPr>
          <w:lang w:eastAsia="lt-LT"/>
        </w:rPr>
        <w:t xml:space="preserve"> </w:t>
      </w:r>
      <w:r w:rsidR="0015062E" w:rsidRPr="0015062E">
        <w:rPr>
          <w:lang w:eastAsia="lt-LT"/>
        </w:rPr>
        <w:t>Beveik visas šiais metais ministerijai planuotas</w:t>
      </w:r>
      <w:r w:rsidR="000561BA">
        <w:rPr>
          <w:lang w:eastAsia="lt-LT"/>
        </w:rPr>
        <w:t xml:space="preserve"> lėšas</w:t>
      </w:r>
      <w:r w:rsidR="00200EAB" w:rsidRPr="0015062E">
        <w:rPr>
          <w:lang w:eastAsia="lt-LT"/>
        </w:rPr>
        <w:t xml:space="preserve"> jau investavo Ekonomi</w:t>
      </w:r>
      <w:r w:rsidR="0015062E" w:rsidRPr="0015062E">
        <w:rPr>
          <w:lang w:eastAsia="lt-LT"/>
        </w:rPr>
        <w:t>kos ir inovacijų ministerija (94</w:t>
      </w:r>
      <w:r w:rsidR="00200EAB" w:rsidRPr="0015062E">
        <w:rPr>
          <w:lang w:eastAsia="lt-LT"/>
        </w:rPr>
        <w:t xml:space="preserve"> proc.). </w:t>
      </w:r>
      <w:r w:rsidR="0015062E" w:rsidRPr="0015062E">
        <w:rPr>
          <w:lang w:eastAsia="lt-LT"/>
        </w:rPr>
        <w:t xml:space="preserve">Mažiausia suplanuotų asignavimų dalis investuota </w:t>
      </w:r>
      <w:r w:rsidR="00200EAB" w:rsidRPr="0015062E">
        <w:rPr>
          <w:lang w:eastAsia="lt-LT"/>
        </w:rPr>
        <w:t xml:space="preserve">Kultūros </w:t>
      </w:r>
      <w:r w:rsidR="0015062E" w:rsidRPr="0015062E">
        <w:rPr>
          <w:lang w:eastAsia="lt-LT"/>
        </w:rPr>
        <w:t xml:space="preserve">(30 proc.) </w:t>
      </w:r>
      <w:r w:rsidR="00200EAB" w:rsidRPr="0015062E">
        <w:rPr>
          <w:lang w:eastAsia="lt-LT"/>
        </w:rPr>
        <w:t>ir Aplinkos</w:t>
      </w:r>
      <w:r w:rsidR="0015062E" w:rsidRPr="0015062E">
        <w:rPr>
          <w:lang w:eastAsia="lt-LT"/>
        </w:rPr>
        <w:t xml:space="preserve"> (34 proc.)</w:t>
      </w:r>
      <w:r w:rsidR="00200EAB" w:rsidRPr="0015062E">
        <w:rPr>
          <w:lang w:eastAsia="lt-LT"/>
        </w:rPr>
        <w:t xml:space="preserve"> ministerij</w:t>
      </w:r>
      <w:r w:rsidR="0015062E" w:rsidRPr="0015062E">
        <w:rPr>
          <w:lang w:eastAsia="lt-LT"/>
        </w:rPr>
        <w:t>ų</w:t>
      </w:r>
      <w:r w:rsidR="00200EAB" w:rsidRPr="0015062E">
        <w:rPr>
          <w:lang w:eastAsia="lt-LT"/>
        </w:rPr>
        <w:t xml:space="preserve"> administruojamose priemonėse.</w:t>
      </w:r>
    </w:p>
    <w:bookmarkEnd w:id="6"/>
    <w:bookmarkEnd w:id="7"/>
    <w:p w:rsidR="00613DFA" w:rsidRPr="000B1B2F" w:rsidRDefault="00613DFA" w:rsidP="00175078">
      <w:pPr>
        <w:pStyle w:val="tekstas"/>
        <w:rPr>
          <w:highlight w:val="yellow"/>
          <w:lang w:eastAsia="lt-LT"/>
        </w:rPr>
      </w:pPr>
    </w:p>
    <w:p w:rsidR="00C63D44" w:rsidRDefault="00717784" w:rsidP="003A66E5">
      <w:pPr>
        <w:pStyle w:val="Antrat1"/>
        <w:spacing w:before="0" w:after="0"/>
      </w:pPr>
      <w:bookmarkStart w:id="8" w:name="_Toc512504075"/>
      <w:bookmarkStart w:id="9" w:name="_Toc24016871"/>
      <w:bookmarkStart w:id="10" w:name="_Toc508106024"/>
      <w:bookmarkEnd w:id="0"/>
      <w:bookmarkEnd w:id="8"/>
      <w:r>
        <w:t>Investavimo p</w:t>
      </w:r>
      <w:r w:rsidR="00C63D44">
        <w:t xml:space="preserve">ažanga </w:t>
      </w:r>
      <w:r w:rsidR="005056E7">
        <w:t>strateginėse</w:t>
      </w:r>
      <w:r w:rsidR="00C63D44">
        <w:t xml:space="preserve"> srityse</w:t>
      </w:r>
      <w:bookmarkEnd w:id="9"/>
    </w:p>
    <w:p w:rsidR="003A66E5" w:rsidRDefault="003A66E5" w:rsidP="00CB207E">
      <w:pPr>
        <w:pStyle w:val="tekstas"/>
        <w:rPr>
          <w:lang w:eastAsia="lt-LT"/>
        </w:rPr>
      </w:pPr>
    </w:p>
    <w:p w:rsidR="00BC4CDB" w:rsidRPr="00BC4CDB" w:rsidRDefault="00BC4CDB" w:rsidP="00CB207E">
      <w:pPr>
        <w:pStyle w:val="tekstas"/>
        <w:rPr>
          <w:lang w:eastAsia="lt-LT"/>
        </w:rPr>
      </w:pPr>
      <w:r w:rsidRPr="00DB182E">
        <w:rPr>
          <w:lang w:eastAsia="lt-LT"/>
        </w:rPr>
        <w:t>Įgyvendinant vieną</w:t>
      </w:r>
      <w:r w:rsidR="00CB207E" w:rsidRPr="00DB182E">
        <w:rPr>
          <w:lang w:eastAsia="lt-LT"/>
        </w:rPr>
        <w:t xml:space="preserve"> iš ES investicijų valdymo ir kontrolės sistemos 2019 m. tikslų </w:t>
      </w:r>
      <w:r w:rsidRPr="00DB182E">
        <w:rPr>
          <w:lang w:eastAsia="lt-LT"/>
        </w:rPr>
        <w:t>(</w:t>
      </w:r>
      <w:r w:rsidR="00CB207E" w:rsidRPr="00DB182E">
        <w:rPr>
          <w:lang w:eastAsia="lt-LT"/>
        </w:rPr>
        <w:t>užtikrinti investicijų į pokyčius strateginėse srityse</w:t>
      </w:r>
      <w:r w:rsidR="00CB207E" w:rsidRPr="00DB182E">
        <w:rPr>
          <w:rStyle w:val="Puslapioinaosnuoroda"/>
          <w:lang w:eastAsia="lt-LT"/>
        </w:rPr>
        <w:footnoteReference w:id="2"/>
      </w:r>
      <w:r w:rsidR="00CB207E" w:rsidRPr="00DB182E">
        <w:rPr>
          <w:lang w:eastAsia="lt-LT"/>
        </w:rPr>
        <w:t xml:space="preserve"> spartą</w:t>
      </w:r>
      <w:r w:rsidRPr="00DB182E">
        <w:rPr>
          <w:lang w:eastAsia="lt-LT"/>
        </w:rPr>
        <w:t xml:space="preserve">), </w:t>
      </w:r>
      <w:r w:rsidR="007A37C8" w:rsidRPr="00DB182E">
        <w:rPr>
          <w:lang w:eastAsia="lt-LT"/>
        </w:rPr>
        <w:t>iki</w:t>
      </w:r>
      <w:r w:rsidRPr="00DB182E">
        <w:rPr>
          <w:lang w:eastAsia="lt-LT"/>
        </w:rPr>
        <w:t xml:space="preserve"> </w:t>
      </w:r>
      <w:r w:rsidR="007A37C8" w:rsidRPr="00DB182E">
        <w:rPr>
          <w:lang w:eastAsia="lt-LT"/>
        </w:rPr>
        <w:t>II</w:t>
      </w:r>
      <w:r w:rsidRPr="00DB182E">
        <w:rPr>
          <w:lang w:eastAsia="lt-LT"/>
        </w:rPr>
        <w:t xml:space="preserve">I </w:t>
      </w:r>
      <w:proofErr w:type="spellStart"/>
      <w:r w:rsidR="007A37C8" w:rsidRPr="00DB182E">
        <w:rPr>
          <w:lang w:eastAsia="lt-LT"/>
        </w:rPr>
        <w:t>ketv</w:t>
      </w:r>
      <w:proofErr w:type="spellEnd"/>
      <w:r w:rsidR="007A37C8" w:rsidRPr="00DB182E">
        <w:rPr>
          <w:lang w:eastAsia="lt-LT"/>
        </w:rPr>
        <w:t>. pabaigos</w:t>
      </w:r>
      <w:r w:rsidRPr="00DB182E">
        <w:rPr>
          <w:lang w:eastAsia="lt-LT"/>
        </w:rPr>
        <w:t xml:space="preserve"> investuota </w:t>
      </w:r>
      <w:r w:rsidR="007A37C8" w:rsidRPr="00DB182E">
        <w:rPr>
          <w:lang w:eastAsia="lt-LT"/>
        </w:rPr>
        <w:t>201 mln. eurų ES lėšų (65</w:t>
      </w:r>
      <w:r w:rsidRPr="00DB182E">
        <w:rPr>
          <w:lang w:eastAsia="lt-LT"/>
        </w:rPr>
        <w:t xml:space="preserve"> proc. </w:t>
      </w:r>
      <w:r w:rsidR="00DB182E" w:rsidRPr="00DB182E">
        <w:rPr>
          <w:lang w:eastAsia="lt-LT"/>
        </w:rPr>
        <w:t xml:space="preserve">per </w:t>
      </w:r>
      <w:r w:rsidRPr="00DB182E">
        <w:rPr>
          <w:lang w:eastAsia="lt-LT"/>
        </w:rPr>
        <w:t xml:space="preserve">2019 m. </w:t>
      </w:r>
      <w:r w:rsidR="00DB182E" w:rsidRPr="00DB182E">
        <w:rPr>
          <w:lang w:eastAsia="lt-LT"/>
        </w:rPr>
        <w:t xml:space="preserve">tris ketvirčius </w:t>
      </w:r>
      <w:r w:rsidRPr="00DB182E">
        <w:rPr>
          <w:lang w:eastAsia="lt-LT"/>
        </w:rPr>
        <w:t>į šias sritis planuotų investuoti lėšų).</w:t>
      </w:r>
    </w:p>
    <w:p w:rsidR="00BC4CDB" w:rsidRDefault="00BC4CDB" w:rsidP="00CB207E">
      <w:pPr>
        <w:pStyle w:val="tekstas"/>
        <w:rPr>
          <w:highlight w:val="yellow"/>
          <w:lang w:eastAsia="lt-LT"/>
        </w:rPr>
      </w:pPr>
    </w:p>
    <w:p w:rsidR="00645F30" w:rsidRPr="00645F30" w:rsidRDefault="00645F30" w:rsidP="00645F30">
      <w:pPr>
        <w:pStyle w:val="Antrat"/>
        <w:keepNext/>
        <w:spacing w:after="0"/>
        <w:jc w:val="center"/>
        <w:rPr>
          <w:noProof/>
          <w:color w:val="365F91" w:themeColor="accent1" w:themeShade="BF"/>
          <w:sz w:val="22"/>
          <w:szCs w:val="22"/>
        </w:rPr>
      </w:pPr>
      <w:r>
        <w:rPr>
          <w:noProof/>
          <w:color w:val="365F91" w:themeColor="accent1" w:themeShade="BF"/>
          <w:sz w:val="22"/>
          <w:szCs w:val="22"/>
        </w:rPr>
        <w:lastRenderedPageBreak/>
        <w:t>5 grafikas</w:t>
      </w:r>
      <w:r w:rsidRPr="00645F30">
        <w:rPr>
          <w:noProof/>
          <w:color w:val="365F91" w:themeColor="accent1" w:themeShade="BF"/>
          <w:sz w:val="22"/>
          <w:szCs w:val="22"/>
        </w:rPr>
        <w:t xml:space="preserve">. Strateginių sričių plano pasiekimai </w:t>
      </w:r>
      <w:r w:rsidR="00F67968">
        <w:rPr>
          <w:noProof/>
          <w:color w:val="365F91" w:themeColor="accent1" w:themeShade="BF"/>
          <w:sz w:val="22"/>
          <w:szCs w:val="22"/>
        </w:rPr>
        <w:t xml:space="preserve">iki </w:t>
      </w:r>
      <w:r w:rsidR="00F67968" w:rsidRPr="00645F30">
        <w:rPr>
          <w:noProof/>
          <w:color w:val="365F91" w:themeColor="accent1" w:themeShade="BF"/>
          <w:sz w:val="22"/>
          <w:szCs w:val="22"/>
        </w:rPr>
        <w:t>2019 m. I</w:t>
      </w:r>
      <w:r w:rsidR="00FD7058">
        <w:rPr>
          <w:noProof/>
          <w:color w:val="365F91" w:themeColor="accent1" w:themeShade="BF"/>
          <w:sz w:val="22"/>
          <w:szCs w:val="22"/>
        </w:rPr>
        <w:t>II ketv.</w:t>
      </w:r>
      <w:r w:rsidR="00F67968" w:rsidRPr="00645F30">
        <w:rPr>
          <w:noProof/>
          <w:color w:val="365F91" w:themeColor="accent1" w:themeShade="BF"/>
          <w:sz w:val="22"/>
          <w:szCs w:val="22"/>
        </w:rPr>
        <w:t xml:space="preserve"> </w:t>
      </w:r>
      <w:r w:rsidR="00F67968">
        <w:rPr>
          <w:noProof/>
          <w:color w:val="365F91" w:themeColor="accent1" w:themeShade="BF"/>
          <w:sz w:val="22"/>
          <w:szCs w:val="22"/>
        </w:rPr>
        <w:t xml:space="preserve">pabaigos </w:t>
      </w:r>
      <w:r w:rsidRPr="00645F30">
        <w:rPr>
          <w:noProof/>
          <w:color w:val="365F91" w:themeColor="accent1" w:themeShade="BF"/>
          <w:sz w:val="22"/>
          <w:szCs w:val="22"/>
        </w:rPr>
        <w:t xml:space="preserve">(proc. nuo </w:t>
      </w:r>
      <w:r w:rsidR="00D7174F">
        <w:rPr>
          <w:noProof/>
          <w:color w:val="365F91" w:themeColor="accent1" w:themeShade="BF"/>
          <w:sz w:val="22"/>
          <w:szCs w:val="22"/>
        </w:rPr>
        <w:t>I</w:t>
      </w:r>
      <w:r w:rsidR="00FD7058">
        <w:rPr>
          <w:noProof/>
          <w:color w:val="365F91" w:themeColor="accent1" w:themeShade="BF"/>
          <w:sz w:val="22"/>
          <w:szCs w:val="22"/>
        </w:rPr>
        <w:t>II</w:t>
      </w:r>
      <w:r w:rsidR="00D7174F">
        <w:rPr>
          <w:noProof/>
          <w:color w:val="365F91" w:themeColor="accent1" w:themeShade="BF"/>
          <w:sz w:val="22"/>
          <w:szCs w:val="22"/>
        </w:rPr>
        <w:t xml:space="preserve"> </w:t>
      </w:r>
      <w:r w:rsidR="00FD7058">
        <w:rPr>
          <w:noProof/>
          <w:color w:val="365F91" w:themeColor="accent1" w:themeShade="BF"/>
          <w:sz w:val="22"/>
          <w:szCs w:val="22"/>
        </w:rPr>
        <w:t>ketv.</w:t>
      </w:r>
      <w:r w:rsidR="00DD12D0">
        <w:rPr>
          <w:noProof/>
          <w:color w:val="365F91" w:themeColor="accent1" w:themeShade="BF"/>
          <w:sz w:val="22"/>
          <w:szCs w:val="22"/>
        </w:rPr>
        <w:t xml:space="preserve"> pabaigai</w:t>
      </w:r>
      <w:r w:rsidR="00D7174F">
        <w:rPr>
          <w:noProof/>
          <w:color w:val="365F91" w:themeColor="accent1" w:themeShade="BF"/>
          <w:sz w:val="22"/>
          <w:szCs w:val="22"/>
        </w:rPr>
        <w:t xml:space="preserve"> </w:t>
      </w:r>
      <w:r w:rsidR="001004A9">
        <w:rPr>
          <w:noProof/>
          <w:color w:val="365F91" w:themeColor="accent1" w:themeShade="BF"/>
          <w:sz w:val="22"/>
          <w:szCs w:val="22"/>
        </w:rPr>
        <w:t>planuotų</w:t>
      </w:r>
      <w:r w:rsidR="001004A9" w:rsidRPr="00645F30">
        <w:rPr>
          <w:noProof/>
          <w:color w:val="365F91" w:themeColor="accent1" w:themeShade="BF"/>
          <w:sz w:val="22"/>
          <w:szCs w:val="22"/>
        </w:rPr>
        <w:t xml:space="preserve"> </w:t>
      </w:r>
      <w:r w:rsidRPr="00645F30">
        <w:rPr>
          <w:noProof/>
          <w:color w:val="365F91" w:themeColor="accent1" w:themeShade="BF"/>
          <w:sz w:val="22"/>
          <w:szCs w:val="22"/>
        </w:rPr>
        <w:t xml:space="preserve">ES fondų </w:t>
      </w:r>
      <w:r w:rsidR="001004A9">
        <w:rPr>
          <w:noProof/>
          <w:color w:val="365F91" w:themeColor="accent1" w:themeShade="BF"/>
          <w:sz w:val="22"/>
          <w:szCs w:val="22"/>
        </w:rPr>
        <w:t>investicijų</w:t>
      </w:r>
      <w:r w:rsidRPr="00645F30">
        <w:rPr>
          <w:noProof/>
          <w:color w:val="365F91" w:themeColor="accent1" w:themeShade="BF"/>
          <w:sz w:val="22"/>
          <w:szCs w:val="22"/>
        </w:rPr>
        <w:t>)</w:t>
      </w:r>
    </w:p>
    <w:p w:rsidR="005056E7" w:rsidRDefault="00FD7058" w:rsidP="005056E7">
      <w:pPr>
        <w:rPr>
          <w:lang w:eastAsia="lt-LT"/>
        </w:rPr>
      </w:pPr>
      <w:r>
        <w:rPr>
          <w:noProof/>
          <w:lang w:eastAsia="lt-LT"/>
        </w:rPr>
        <w:drawing>
          <wp:inline distT="0" distB="0" distL="0" distR="0" wp14:anchorId="0FCB4FCE" wp14:editId="05C1392D">
            <wp:extent cx="6120130" cy="2912146"/>
            <wp:effectExtent l="0" t="0" r="13970" b="2159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217EB" w:rsidRPr="00D7174F" w:rsidRDefault="00C47C28" w:rsidP="00C47C28">
      <w:pPr>
        <w:ind w:firstLine="426"/>
        <w:rPr>
          <w:rFonts w:asciiTheme="minorHAnsi" w:hAnsiTheme="minorHAnsi"/>
          <w:color w:val="666666"/>
          <w:sz w:val="22"/>
          <w:szCs w:val="24"/>
          <w:lang w:eastAsia="lt-LT"/>
        </w:rPr>
      </w:pPr>
      <w:r w:rsidRPr="00D7174F">
        <w:rPr>
          <w:rFonts w:asciiTheme="minorHAnsi" w:hAnsiTheme="minorHAnsi"/>
          <w:color w:val="666666"/>
          <w:sz w:val="22"/>
          <w:szCs w:val="24"/>
          <w:lang w:eastAsia="lt-LT"/>
        </w:rPr>
        <w:t>* Raudona spalva pažymėto</w:t>
      </w:r>
      <w:r w:rsidR="00113149" w:rsidRPr="00D7174F">
        <w:rPr>
          <w:rFonts w:asciiTheme="minorHAnsi" w:hAnsiTheme="minorHAnsi"/>
          <w:color w:val="666666"/>
          <w:sz w:val="22"/>
          <w:szCs w:val="24"/>
          <w:lang w:eastAsia="lt-LT"/>
        </w:rPr>
        <w:t>s</w:t>
      </w:r>
      <w:r w:rsidRPr="00D7174F">
        <w:rPr>
          <w:rFonts w:asciiTheme="minorHAnsi" w:hAnsiTheme="minorHAnsi"/>
          <w:color w:val="666666"/>
          <w:sz w:val="22"/>
          <w:szCs w:val="24"/>
          <w:lang w:eastAsia="lt-LT"/>
        </w:rPr>
        <w:t xml:space="preserve"> investicijos srityse, nepasiekusiose </w:t>
      </w:r>
      <w:r w:rsidR="004C224E" w:rsidRPr="00D7174F">
        <w:rPr>
          <w:rFonts w:asciiTheme="minorHAnsi" w:hAnsiTheme="minorHAnsi"/>
          <w:color w:val="666666"/>
          <w:sz w:val="22"/>
          <w:szCs w:val="24"/>
          <w:lang w:eastAsia="lt-LT"/>
        </w:rPr>
        <w:t xml:space="preserve">iki </w:t>
      </w:r>
      <w:r w:rsidRPr="00D7174F">
        <w:rPr>
          <w:rFonts w:asciiTheme="minorHAnsi" w:hAnsiTheme="minorHAnsi"/>
          <w:color w:val="666666"/>
          <w:sz w:val="22"/>
          <w:szCs w:val="24"/>
          <w:lang w:eastAsia="lt-LT"/>
        </w:rPr>
        <w:t>I</w:t>
      </w:r>
      <w:r w:rsidR="00FD7058">
        <w:rPr>
          <w:rFonts w:asciiTheme="minorHAnsi" w:hAnsiTheme="minorHAnsi"/>
          <w:color w:val="666666"/>
          <w:sz w:val="22"/>
          <w:szCs w:val="24"/>
          <w:lang w:eastAsia="lt-LT"/>
        </w:rPr>
        <w:t xml:space="preserve">II </w:t>
      </w:r>
      <w:proofErr w:type="spellStart"/>
      <w:r w:rsidR="00FD7058">
        <w:rPr>
          <w:rFonts w:asciiTheme="minorHAnsi" w:hAnsiTheme="minorHAnsi"/>
          <w:color w:val="666666"/>
          <w:sz w:val="22"/>
          <w:szCs w:val="24"/>
          <w:lang w:eastAsia="lt-LT"/>
        </w:rPr>
        <w:t>ketv</w:t>
      </w:r>
      <w:proofErr w:type="spellEnd"/>
      <w:r w:rsidRPr="00D7174F">
        <w:rPr>
          <w:rFonts w:asciiTheme="minorHAnsi" w:hAnsiTheme="minorHAnsi"/>
          <w:color w:val="666666"/>
          <w:sz w:val="22"/>
          <w:szCs w:val="24"/>
          <w:lang w:eastAsia="lt-LT"/>
        </w:rPr>
        <w:t xml:space="preserve">. </w:t>
      </w:r>
      <w:r w:rsidR="004C224E" w:rsidRPr="00D7174F">
        <w:rPr>
          <w:rFonts w:asciiTheme="minorHAnsi" w:hAnsiTheme="minorHAnsi"/>
          <w:color w:val="666666"/>
          <w:sz w:val="22"/>
          <w:szCs w:val="24"/>
          <w:lang w:eastAsia="lt-LT"/>
        </w:rPr>
        <w:t xml:space="preserve">pab. </w:t>
      </w:r>
      <w:r w:rsidRPr="00D7174F">
        <w:rPr>
          <w:rFonts w:asciiTheme="minorHAnsi" w:hAnsiTheme="minorHAnsi"/>
          <w:color w:val="666666"/>
          <w:sz w:val="22"/>
          <w:szCs w:val="24"/>
          <w:lang w:eastAsia="lt-LT"/>
        </w:rPr>
        <w:t>planuotų investicijų, žalia spalva – pasiekusiose planuotas reikšmes.</w:t>
      </w:r>
    </w:p>
    <w:p w:rsidR="00C47C28" w:rsidRDefault="00C47C28" w:rsidP="00C47C28">
      <w:pPr>
        <w:ind w:firstLine="426"/>
        <w:rPr>
          <w:lang w:eastAsia="lt-LT"/>
        </w:rPr>
      </w:pPr>
    </w:p>
    <w:p w:rsidR="00683F41" w:rsidRPr="008E52E9" w:rsidRDefault="00F67968" w:rsidP="005217EB">
      <w:pPr>
        <w:pStyle w:val="tekstas"/>
        <w:rPr>
          <w:lang w:eastAsia="lt-LT"/>
        </w:rPr>
      </w:pPr>
      <w:r w:rsidRPr="008E52E9">
        <w:rPr>
          <w:lang w:eastAsia="lt-LT"/>
        </w:rPr>
        <w:t>Vertinant</w:t>
      </w:r>
      <w:r w:rsidR="00DB182E" w:rsidRPr="008E52E9">
        <w:rPr>
          <w:lang w:eastAsia="lt-LT"/>
        </w:rPr>
        <w:t xml:space="preserve"> trijų ketvirčių </w:t>
      </w:r>
      <w:r w:rsidR="005217EB" w:rsidRPr="008E52E9">
        <w:rPr>
          <w:lang w:eastAsia="lt-LT"/>
        </w:rPr>
        <w:t>pažangą, pažymėti</w:t>
      </w:r>
      <w:r w:rsidR="00DB182E" w:rsidRPr="008E52E9">
        <w:rPr>
          <w:lang w:eastAsia="lt-LT"/>
        </w:rPr>
        <w:t>na</w:t>
      </w:r>
      <w:r w:rsidR="005217EB" w:rsidRPr="008E52E9">
        <w:rPr>
          <w:lang w:eastAsia="lt-LT"/>
        </w:rPr>
        <w:t xml:space="preserve">, kad </w:t>
      </w:r>
      <w:r w:rsidR="00DB182E" w:rsidRPr="008E52E9">
        <w:rPr>
          <w:lang w:eastAsia="lt-LT"/>
        </w:rPr>
        <w:t xml:space="preserve">pusėje prioritetinių sričių </w:t>
      </w:r>
      <w:r w:rsidR="005217EB" w:rsidRPr="008E52E9">
        <w:rPr>
          <w:lang w:eastAsia="lt-LT"/>
        </w:rPr>
        <w:t>i</w:t>
      </w:r>
      <w:r w:rsidR="005056E7" w:rsidRPr="008E52E9">
        <w:rPr>
          <w:lang w:eastAsia="lt-LT"/>
        </w:rPr>
        <w:t>nvestuojama pagal</w:t>
      </w:r>
      <w:r w:rsidR="005217EB" w:rsidRPr="008E52E9">
        <w:rPr>
          <w:lang w:eastAsia="lt-LT"/>
        </w:rPr>
        <w:t xml:space="preserve"> planą</w:t>
      </w:r>
      <w:r w:rsidR="00824AD9" w:rsidRPr="008E52E9">
        <w:rPr>
          <w:lang w:eastAsia="lt-LT"/>
        </w:rPr>
        <w:t>:</w:t>
      </w:r>
      <w:r w:rsidR="005217EB" w:rsidRPr="008E52E9">
        <w:rPr>
          <w:lang w:eastAsia="lt-LT"/>
        </w:rPr>
        <w:t xml:space="preserve"> Sveikatos (Sveikatos apsaugos ministerija</w:t>
      </w:r>
      <w:r w:rsidR="005056E7" w:rsidRPr="008E52E9">
        <w:rPr>
          <w:lang w:eastAsia="lt-LT"/>
        </w:rPr>
        <w:t>), Inst</w:t>
      </w:r>
      <w:r w:rsidR="005217EB" w:rsidRPr="008E52E9">
        <w:rPr>
          <w:lang w:eastAsia="lt-LT"/>
        </w:rPr>
        <w:t>itucinės globos pertvarkos (Socialinės apsaugos ir darbo ministerija</w:t>
      </w:r>
      <w:r w:rsidR="001E0C1F" w:rsidRPr="008E52E9">
        <w:rPr>
          <w:lang w:eastAsia="lt-LT"/>
        </w:rPr>
        <w:t>),</w:t>
      </w:r>
      <w:r w:rsidR="005056E7" w:rsidRPr="008E52E9">
        <w:rPr>
          <w:lang w:eastAsia="lt-LT"/>
        </w:rPr>
        <w:t xml:space="preserve"> </w:t>
      </w:r>
      <w:r w:rsidR="00DB182E" w:rsidRPr="008E52E9">
        <w:rPr>
          <w:lang w:eastAsia="lt-LT"/>
        </w:rPr>
        <w:t xml:space="preserve">Strateginės infrastruktūros plėtojimo (Susisiekimo ministerija), </w:t>
      </w:r>
      <w:r w:rsidR="005056E7" w:rsidRPr="008E52E9">
        <w:rPr>
          <w:lang w:eastAsia="lt-LT"/>
        </w:rPr>
        <w:t>Inovacij</w:t>
      </w:r>
      <w:r w:rsidR="005217EB" w:rsidRPr="008E52E9">
        <w:rPr>
          <w:lang w:eastAsia="lt-LT"/>
        </w:rPr>
        <w:t xml:space="preserve">ų ir </w:t>
      </w:r>
      <w:proofErr w:type="spellStart"/>
      <w:r w:rsidR="005217EB" w:rsidRPr="008E52E9">
        <w:rPr>
          <w:lang w:eastAsia="lt-LT"/>
        </w:rPr>
        <w:t>inovatyvios</w:t>
      </w:r>
      <w:proofErr w:type="spellEnd"/>
      <w:r w:rsidR="005217EB" w:rsidRPr="008E52E9">
        <w:rPr>
          <w:lang w:eastAsia="lt-LT"/>
        </w:rPr>
        <w:t xml:space="preserve"> ekonomikos (Ekonomikos ir inovacijų ministerija</w:t>
      </w:r>
      <w:r w:rsidR="005056E7" w:rsidRPr="008E52E9">
        <w:rPr>
          <w:lang w:eastAsia="lt-LT"/>
        </w:rPr>
        <w:t>)</w:t>
      </w:r>
      <w:r w:rsidR="001E0C1F" w:rsidRPr="008E52E9">
        <w:rPr>
          <w:lang w:eastAsia="lt-LT"/>
        </w:rPr>
        <w:t xml:space="preserve"> ir Finansų rinkų plėtros (Susisiekimo ir Aplinkos ministerijos)</w:t>
      </w:r>
      <w:r w:rsidR="005056E7" w:rsidRPr="008E52E9">
        <w:rPr>
          <w:lang w:eastAsia="lt-LT"/>
        </w:rPr>
        <w:t xml:space="preserve"> strateginėse srityse</w:t>
      </w:r>
      <w:r w:rsidR="00872F97" w:rsidRPr="008E52E9">
        <w:rPr>
          <w:lang w:eastAsia="lt-LT"/>
        </w:rPr>
        <w:t xml:space="preserve"> (žr. 5 grafiką)</w:t>
      </w:r>
      <w:r w:rsidR="005056E7" w:rsidRPr="008E52E9">
        <w:rPr>
          <w:lang w:eastAsia="lt-LT"/>
        </w:rPr>
        <w:t>.</w:t>
      </w:r>
      <w:r w:rsidR="005217EB" w:rsidRPr="008E52E9">
        <w:rPr>
          <w:lang w:eastAsia="lt-LT"/>
        </w:rPr>
        <w:t xml:space="preserve"> </w:t>
      </w:r>
    </w:p>
    <w:p w:rsidR="005056E7" w:rsidRPr="008E52E9" w:rsidRDefault="005217EB" w:rsidP="005217EB">
      <w:pPr>
        <w:pStyle w:val="tekstas"/>
        <w:rPr>
          <w:lang w:eastAsia="lt-LT"/>
        </w:rPr>
      </w:pPr>
      <w:r w:rsidRPr="008E52E9">
        <w:rPr>
          <w:lang w:eastAsia="lt-LT"/>
        </w:rPr>
        <w:t>I</w:t>
      </w:r>
      <w:r w:rsidR="005056E7" w:rsidRPr="008E52E9">
        <w:rPr>
          <w:lang w:eastAsia="lt-LT"/>
        </w:rPr>
        <w:t>nvesticijų sparta atsilieka:</w:t>
      </w:r>
    </w:p>
    <w:p w:rsidR="00E65943" w:rsidRPr="008E52E9" w:rsidRDefault="00E65943" w:rsidP="00E65943">
      <w:pPr>
        <w:pStyle w:val="tekstas"/>
        <w:numPr>
          <w:ilvl w:val="0"/>
          <w:numId w:val="20"/>
        </w:numPr>
      </w:pPr>
      <w:r w:rsidRPr="008E52E9">
        <w:t xml:space="preserve">Viešojo administravimo </w:t>
      </w:r>
      <w:r w:rsidR="00824AD9" w:rsidRPr="008E52E9">
        <w:t xml:space="preserve">srityje </w:t>
      </w:r>
      <w:r w:rsidRPr="008E52E9">
        <w:t>(</w:t>
      </w:r>
      <w:r w:rsidR="00824AD9" w:rsidRPr="008E52E9">
        <w:t>mažiausia pažanga</w:t>
      </w:r>
      <w:r w:rsidRPr="008E52E9">
        <w:t xml:space="preserve"> valstybės institucijų ir įstaigų vidaus administravimo </w:t>
      </w:r>
      <w:r w:rsidR="00DD110C" w:rsidRPr="008E52E9">
        <w:t>tobulinimo priemonė</w:t>
      </w:r>
      <w:r w:rsidR="00824AD9" w:rsidRPr="008E52E9">
        <w:t>je</w:t>
      </w:r>
      <w:r w:rsidRPr="008E52E9">
        <w:t>);</w:t>
      </w:r>
    </w:p>
    <w:p w:rsidR="00DD110C" w:rsidRPr="008E52E9" w:rsidRDefault="00DD110C" w:rsidP="00EA6992">
      <w:pPr>
        <w:pStyle w:val="tekstas"/>
        <w:numPr>
          <w:ilvl w:val="0"/>
          <w:numId w:val="20"/>
        </w:numPr>
      </w:pPr>
      <w:r w:rsidRPr="008E52E9">
        <w:t xml:space="preserve">Valstybės išteklių konsolidavimo ir duomenų atvėrimo srityje </w:t>
      </w:r>
      <w:proofErr w:type="gramStart"/>
      <w:r w:rsidRPr="008E52E9">
        <w:t>(</w:t>
      </w:r>
      <w:proofErr w:type="gramEnd"/>
      <w:r w:rsidR="008E52E9" w:rsidRPr="008E52E9">
        <w:t xml:space="preserve">labiausiai srities </w:t>
      </w:r>
      <w:r w:rsidR="008E52E9">
        <w:t xml:space="preserve">mažą </w:t>
      </w:r>
      <w:r w:rsidR="008E52E9" w:rsidRPr="008E52E9">
        <w:t>pasiekimą lemia</w:t>
      </w:r>
      <w:r w:rsidR="00D9708E" w:rsidRPr="008E52E9">
        <w:t xml:space="preserve"> </w:t>
      </w:r>
      <w:r w:rsidR="008E52E9" w:rsidRPr="008E52E9">
        <w:t xml:space="preserve">Valstybės </w:t>
      </w:r>
      <w:proofErr w:type="spellStart"/>
      <w:r w:rsidR="008E52E9" w:rsidRPr="008E52E9">
        <w:t>debesijos</w:t>
      </w:r>
      <w:proofErr w:type="spellEnd"/>
      <w:r w:rsidR="008E52E9" w:rsidRPr="008E52E9">
        <w:t xml:space="preserve"> paslaugų teikimo infrastruktūros sukūrimo projektas</w:t>
      </w:r>
      <w:r w:rsidR="00EA6992">
        <w:t>.</w:t>
      </w:r>
      <w:r w:rsidR="00EA6992" w:rsidRPr="00EA6992">
        <w:t xml:space="preserve"> </w:t>
      </w:r>
      <w:r w:rsidR="00EA6992">
        <w:t>Vėlavo</w:t>
      </w:r>
      <w:r w:rsidR="00EA6992" w:rsidRPr="00EA6992">
        <w:t xml:space="preserve"> pagrindinės įrangos pirkimo sutartys</w:t>
      </w:r>
      <w:r w:rsidR="00EA6992">
        <w:t>,</w:t>
      </w:r>
      <w:r w:rsidR="00EA6992" w:rsidRPr="00EA6992">
        <w:t xml:space="preserve"> įrangą planuojam</w:t>
      </w:r>
      <w:r w:rsidR="00EA6992">
        <w:t xml:space="preserve">a pristatyti 2019 m. IV </w:t>
      </w:r>
      <w:proofErr w:type="spellStart"/>
      <w:r w:rsidR="00EA6992">
        <w:t>ketv</w:t>
      </w:r>
      <w:proofErr w:type="spellEnd"/>
      <w:r w:rsidR="00EA6992">
        <w:t>.</w:t>
      </w:r>
      <w:r w:rsidR="008E52E9">
        <w:t>);</w:t>
      </w:r>
    </w:p>
    <w:p w:rsidR="00DD110C" w:rsidRPr="005B30C1" w:rsidRDefault="00DD110C" w:rsidP="004F750A">
      <w:pPr>
        <w:pStyle w:val="tekstas"/>
        <w:numPr>
          <w:ilvl w:val="0"/>
          <w:numId w:val="20"/>
        </w:numPr>
      </w:pPr>
      <w:r w:rsidRPr="005B30C1">
        <w:t>Švietimo srityje (</w:t>
      </w:r>
      <w:r w:rsidR="004F750A">
        <w:t xml:space="preserve">vėluoja investicijos </w:t>
      </w:r>
      <w:r w:rsidR="004F750A" w:rsidRPr="004F750A">
        <w:t>Švietimo prieinamu</w:t>
      </w:r>
      <w:r w:rsidR="004F750A">
        <w:t>mo didinimo, Profesinio mokymo</w:t>
      </w:r>
      <w:r w:rsidR="004F750A" w:rsidRPr="004F750A">
        <w:t xml:space="preserve"> ir mokymosi visą gyvenimą bei Neformaliojo vaikų švietimo įvairovės ir prieinamumo didinimo priemonėse</w:t>
      </w:r>
      <w:r w:rsidRPr="005B30C1">
        <w:t>);</w:t>
      </w:r>
    </w:p>
    <w:p w:rsidR="00F658D4" w:rsidRPr="00F658D4" w:rsidRDefault="00F658D4" w:rsidP="00F658D4">
      <w:pPr>
        <w:pStyle w:val="tekstas"/>
        <w:numPr>
          <w:ilvl w:val="0"/>
          <w:numId w:val="20"/>
        </w:numPr>
      </w:pPr>
      <w:r w:rsidRPr="00F658D4">
        <w:t>Energijos efektyvumo didinimo srityje (nepakankamas investavimo tempas Energetikos ministerijos administruojamos Valstybei nuosavybės teise priklausančių pastatų atnaujinimo priemonės, taip pat Aplinkos ministerijos administruojamos Daugiabučių namų modernizavimo techninė</w:t>
      </w:r>
      <w:r w:rsidR="00C53773">
        <w:t>s</w:t>
      </w:r>
      <w:r w:rsidRPr="00F658D4">
        <w:t xml:space="preserve"> paramos priemonės.);</w:t>
      </w:r>
    </w:p>
    <w:p w:rsidR="00F658D4" w:rsidRPr="00F658D4" w:rsidRDefault="00F658D4" w:rsidP="00F658D4">
      <w:pPr>
        <w:pStyle w:val="tekstas"/>
        <w:numPr>
          <w:ilvl w:val="0"/>
          <w:numId w:val="20"/>
        </w:numPr>
      </w:pPr>
      <w:r w:rsidRPr="00F658D4">
        <w:t xml:space="preserve">Kultūros paveldo </w:t>
      </w:r>
      <w:proofErr w:type="spellStart"/>
      <w:r w:rsidRPr="00F658D4">
        <w:t>įveiklinimo</w:t>
      </w:r>
      <w:proofErr w:type="spellEnd"/>
      <w:r w:rsidRPr="00F658D4">
        <w:t xml:space="preserve"> ir kultūrinio verslumo skatinimo srityje (lėta pažanga kultūros paveldo objektų aktualizavimo priemonėse).</w:t>
      </w:r>
    </w:p>
    <w:p w:rsidR="003A66E5" w:rsidRDefault="003A66E5" w:rsidP="003A66E5">
      <w:pPr>
        <w:pStyle w:val="tekstas"/>
        <w:ind w:firstLine="0"/>
      </w:pPr>
    </w:p>
    <w:p w:rsidR="00AD3CE2" w:rsidRDefault="004F5370" w:rsidP="00AD3CE2">
      <w:pPr>
        <w:pStyle w:val="Antrat1"/>
        <w:spacing w:before="0" w:after="0"/>
      </w:pPr>
      <w:bookmarkStart w:id="11" w:name="_Toc24016872"/>
      <w:r>
        <w:t>Svarbesni laikotarpio pasiekti rodikliai</w:t>
      </w:r>
      <w:bookmarkEnd w:id="11"/>
    </w:p>
    <w:p w:rsidR="00F83400" w:rsidRDefault="00F83400" w:rsidP="003A66E5">
      <w:pPr>
        <w:pStyle w:val="tekstas"/>
        <w:ind w:firstLine="0"/>
      </w:pPr>
    </w:p>
    <w:p w:rsidR="00F83400" w:rsidRDefault="00EE496F" w:rsidP="000E2D44">
      <w:pPr>
        <w:pStyle w:val="tekstas"/>
        <w:ind w:firstLine="357"/>
      </w:pPr>
      <w:r>
        <w:t>Įpusėjus Veiksmų programos įgyvendinimą</w:t>
      </w:r>
      <w:r w:rsidR="00814C77">
        <w:t xml:space="preserve"> </w:t>
      </w:r>
      <w:r w:rsidR="00F04C8D">
        <w:t xml:space="preserve">peržvelgiame svarbesnių </w:t>
      </w:r>
      <w:r w:rsidR="00814C77">
        <w:t xml:space="preserve">stebėsenos rodiklių </w:t>
      </w:r>
      <w:r w:rsidR="00F04C8D">
        <w:t>pasiekimus.</w:t>
      </w:r>
    </w:p>
    <w:p w:rsidR="00F04C8D" w:rsidRDefault="00F04C8D"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6429C7">
        <w:rPr>
          <w:rFonts w:asciiTheme="minorHAnsi" w:eastAsia="Times New Roman" w:hAnsiTheme="minorHAnsi"/>
          <w:b/>
          <w:color w:val="666666"/>
          <w:sz w:val="24"/>
          <w:szCs w:val="24"/>
        </w:rPr>
        <w:lastRenderedPageBreak/>
        <w:t>Mokslinių tyrimų ir inovacijų srityje</w:t>
      </w:r>
      <w:r w:rsidRPr="00F04C8D">
        <w:rPr>
          <w:rFonts w:asciiTheme="minorHAnsi" w:eastAsia="Times New Roman" w:hAnsiTheme="minorHAnsi"/>
          <w:color w:val="666666"/>
          <w:sz w:val="24"/>
          <w:szCs w:val="24"/>
        </w:rPr>
        <w:t xml:space="preserve"> pritraukta </w:t>
      </w:r>
      <w:r w:rsidR="00C12ED5">
        <w:rPr>
          <w:rFonts w:asciiTheme="minorHAnsi" w:eastAsia="Times New Roman" w:hAnsiTheme="minorHAnsi"/>
          <w:color w:val="666666"/>
          <w:sz w:val="24"/>
          <w:szCs w:val="24"/>
        </w:rPr>
        <w:t>47,3</w:t>
      </w:r>
      <w:r w:rsidRPr="00F04C8D">
        <w:rPr>
          <w:rFonts w:asciiTheme="minorHAnsi" w:eastAsia="Times New Roman" w:hAnsiTheme="minorHAnsi"/>
          <w:color w:val="666666"/>
          <w:sz w:val="24"/>
          <w:szCs w:val="24"/>
        </w:rPr>
        <w:t xml:space="preserve"> mln. eurų privačių investicijų inovacijoms arba </w:t>
      </w:r>
      <w:r w:rsidR="006429C7">
        <w:rPr>
          <w:rFonts w:asciiTheme="minorHAnsi" w:eastAsia="Times New Roman" w:hAnsiTheme="minorHAnsi"/>
          <w:color w:val="666666"/>
          <w:sz w:val="24"/>
          <w:szCs w:val="24"/>
        </w:rPr>
        <w:t>MTEP</w:t>
      </w:r>
      <w:r w:rsidRPr="00F04C8D">
        <w:rPr>
          <w:rFonts w:asciiTheme="minorHAnsi" w:eastAsia="Times New Roman" w:hAnsiTheme="minorHAnsi"/>
          <w:color w:val="666666"/>
          <w:sz w:val="24"/>
          <w:szCs w:val="24"/>
        </w:rPr>
        <w:t xml:space="preserve"> projektams, </w:t>
      </w:r>
      <w:r w:rsidR="005A3510">
        <w:rPr>
          <w:rFonts w:asciiTheme="minorHAnsi" w:eastAsia="Times New Roman" w:hAnsiTheme="minorHAnsi"/>
          <w:color w:val="666666"/>
          <w:sz w:val="24"/>
          <w:szCs w:val="24"/>
        </w:rPr>
        <w:t>1</w:t>
      </w:r>
      <w:r w:rsidR="004F6815">
        <w:rPr>
          <w:rFonts w:asciiTheme="minorHAnsi" w:eastAsia="Times New Roman" w:hAnsiTheme="minorHAnsi"/>
          <w:color w:val="666666"/>
          <w:sz w:val="24"/>
          <w:szCs w:val="24"/>
        </w:rPr>
        <w:t>88</w:t>
      </w:r>
      <w:r w:rsidR="005A3510">
        <w:rPr>
          <w:rFonts w:asciiTheme="minorHAnsi" w:eastAsia="Times New Roman" w:hAnsiTheme="minorHAnsi"/>
          <w:color w:val="666666"/>
          <w:sz w:val="24"/>
          <w:szCs w:val="24"/>
        </w:rPr>
        <w:t xml:space="preserve"> </w:t>
      </w:r>
      <w:r w:rsidR="00FD4186">
        <w:rPr>
          <w:rFonts w:asciiTheme="minorHAnsi" w:eastAsia="Times New Roman" w:hAnsiTheme="minorHAnsi"/>
          <w:color w:val="666666"/>
          <w:sz w:val="24"/>
          <w:szCs w:val="24"/>
        </w:rPr>
        <w:t>įmonėms</w:t>
      </w:r>
      <w:r w:rsidR="005A3510" w:rsidRPr="005A3510">
        <w:rPr>
          <w:rFonts w:asciiTheme="minorHAnsi" w:eastAsia="Times New Roman" w:hAnsiTheme="minorHAnsi"/>
          <w:color w:val="666666"/>
          <w:sz w:val="24"/>
          <w:szCs w:val="24"/>
        </w:rPr>
        <w:t xml:space="preserve"> skirtos investicijos projektams naujiems rinkos produktams pateikti, veiklų MTEP srityje vykdymo projektams subsidijos suteiktos </w:t>
      </w:r>
      <w:r w:rsidR="004F6815">
        <w:rPr>
          <w:rFonts w:asciiTheme="minorHAnsi" w:eastAsia="Times New Roman" w:hAnsiTheme="minorHAnsi"/>
          <w:color w:val="666666"/>
          <w:sz w:val="24"/>
          <w:szCs w:val="24"/>
        </w:rPr>
        <w:t>544</w:t>
      </w:r>
      <w:r w:rsidR="006373C7">
        <w:rPr>
          <w:rFonts w:asciiTheme="minorHAnsi" w:eastAsia="Times New Roman" w:hAnsiTheme="minorHAnsi"/>
          <w:color w:val="666666"/>
          <w:sz w:val="24"/>
          <w:szCs w:val="24"/>
        </w:rPr>
        <w:t xml:space="preserve"> įmonėms</w:t>
      </w:r>
      <w:r w:rsidR="005A3510" w:rsidRPr="005A3510">
        <w:rPr>
          <w:rFonts w:asciiTheme="minorHAnsi" w:eastAsia="Times New Roman" w:hAnsiTheme="minorHAnsi"/>
          <w:color w:val="666666"/>
          <w:sz w:val="24"/>
          <w:szCs w:val="24"/>
        </w:rPr>
        <w:t>.</w:t>
      </w:r>
    </w:p>
    <w:p w:rsidR="006429C7" w:rsidRPr="00F04C8D" w:rsidRDefault="006429C7"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6429C7">
        <w:rPr>
          <w:rFonts w:asciiTheme="minorHAnsi" w:eastAsia="Times New Roman" w:hAnsiTheme="minorHAnsi"/>
          <w:b/>
          <w:color w:val="666666"/>
          <w:sz w:val="24"/>
          <w:szCs w:val="24"/>
        </w:rPr>
        <w:t>Informacinės visuomenės skatinimo srityje</w:t>
      </w:r>
      <w:r>
        <w:rPr>
          <w:rFonts w:asciiTheme="minorHAnsi" w:eastAsia="Times New Roman" w:hAnsiTheme="minorHAnsi"/>
          <w:color w:val="666666"/>
          <w:sz w:val="24"/>
          <w:szCs w:val="24"/>
        </w:rPr>
        <w:t xml:space="preserve"> </w:t>
      </w:r>
      <w:r w:rsidRPr="00C12ED5">
        <w:rPr>
          <w:rFonts w:asciiTheme="minorHAnsi" w:eastAsia="Times New Roman" w:hAnsiTheme="minorHAnsi"/>
          <w:color w:val="666666"/>
          <w:sz w:val="24"/>
          <w:szCs w:val="24"/>
        </w:rPr>
        <w:t>sukurtos 7 elektroninės paslaugos, elektroniniu būdu teikiamomis viešosiomis paslaugomis naudojasi 50,80</w:t>
      </w:r>
      <w:r>
        <w:rPr>
          <w:rFonts w:asciiTheme="minorHAnsi" w:eastAsia="Times New Roman" w:hAnsiTheme="minorHAnsi"/>
          <w:color w:val="666666"/>
          <w:sz w:val="24"/>
          <w:szCs w:val="24"/>
        </w:rPr>
        <w:t xml:space="preserve"> proc. gyventojų. </w:t>
      </w:r>
    </w:p>
    <w:p w:rsidR="00F04C8D" w:rsidRPr="00F04C8D" w:rsidRDefault="006429C7"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6429C7">
        <w:rPr>
          <w:rFonts w:asciiTheme="minorHAnsi" w:eastAsia="Times New Roman" w:hAnsiTheme="minorHAnsi"/>
          <w:b/>
          <w:color w:val="666666"/>
          <w:sz w:val="24"/>
          <w:szCs w:val="24"/>
        </w:rPr>
        <w:t>Skatinant s</w:t>
      </w:r>
      <w:r w:rsidR="00F04C8D" w:rsidRPr="006429C7">
        <w:rPr>
          <w:rFonts w:asciiTheme="minorHAnsi" w:eastAsia="Times New Roman" w:hAnsiTheme="minorHAnsi"/>
          <w:b/>
          <w:color w:val="666666"/>
          <w:sz w:val="24"/>
          <w:szCs w:val="24"/>
        </w:rPr>
        <w:t xml:space="preserve">mulkiojo ir </w:t>
      </w:r>
      <w:r w:rsidRPr="006429C7">
        <w:rPr>
          <w:rFonts w:asciiTheme="minorHAnsi" w:eastAsia="Times New Roman" w:hAnsiTheme="minorHAnsi"/>
          <w:b/>
          <w:color w:val="666666"/>
          <w:sz w:val="24"/>
          <w:szCs w:val="24"/>
        </w:rPr>
        <w:t>vidutinio verslo konkurencingumą</w:t>
      </w:r>
      <w:r w:rsidR="00F04C8D" w:rsidRPr="00F04C8D">
        <w:rPr>
          <w:rFonts w:asciiTheme="minorHAnsi" w:eastAsia="Times New Roman" w:hAnsiTheme="minorHAnsi"/>
          <w:color w:val="666666"/>
          <w:sz w:val="24"/>
          <w:szCs w:val="24"/>
        </w:rPr>
        <w:t xml:space="preserve"> pritraukta </w:t>
      </w:r>
      <w:r w:rsidR="00C12ED5">
        <w:rPr>
          <w:rFonts w:asciiTheme="minorHAnsi" w:eastAsia="Times New Roman" w:hAnsiTheme="minorHAnsi"/>
          <w:color w:val="666666"/>
          <w:sz w:val="24"/>
          <w:szCs w:val="24"/>
        </w:rPr>
        <w:t>141,4</w:t>
      </w:r>
      <w:r w:rsidR="00F04C8D" w:rsidRPr="00F04C8D">
        <w:rPr>
          <w:rFonts w:asciiTheme="minorHAnsi" w:eastAsia="Times New Roman" w:hAnsiTheme="minorHAnsi"/>
          <w:color w:val="666666"/>
          <w:sz w:val="24"/>
          <w:szCs w:val="24"/>
        </w:rPr>
        <w:t xml:space="preserve"> mln. eurų privačių investicijų (subsidijų), investuota į </w:t>
      </w:r>
      <w:r>
        <w:rPr>
          <w:rFonts w:asciiTheme="minorHAnsi" w:eastAsia="Times New Roman" w:hAnsiTheme="minorHAnsi"/>
          <w:color w:val="666666"/>
          <w:sz w:val="24"/>
          <w:szCs w:val="24"/>
        </w:rPr>
        <w:t>1269</w:t>
      </w:r>
      <w:r w:rsidR="00F04C8D" w:rsidRPr="00F04C8D">
        <w:rPr>
          <w:rFonts w:asciiTheme="minorHAnsi" w:eastAsia="Times New Roman" w:hAnsiTheme="minorHAnsi"/>
          <w:color w:val="666666"/>
          <w:sz w:val="24"/>
          <w:szCs w:val="24"/>
        </w:rPr>
        <w:t xml:space="preserve"> naujas įmones. </w:t>
      </w:r>
      <w:r w:rsidR="000354C0" w:rsidRPr="00F27747">
        <w:rPr>
          <w:rFonts w:asciiTheme="minorHAnsi" w:eastAsia="Times New Roman" w:hAnsiTheme="minorHAnsi"/>
          <w:color w:val="666666"/>
          <w:sz w:val="24"/>
          <w:szCs w:val="24"/>
        </w:rPr>
        <w:t>Įgyve</w:t>
      </w:r>
      <w:r w:rsidR="00ED6665" w:rsidRPr="00F27747">
        <w:rPr>
          <w:rFonts w:asciiTheme="minorHAnsi" w:eastAsia="Times New Roman" w:hAnsiTheme="minorHAnsi"/>
          <w:color w:val="666666"/>
          <w:sz w:val="24"/>
          <w:szCs w:val="24"/>
        </w:rPr>
        <w:t>ndinant verslo finansavimo</w:t>
      </w:r>
      <w:r w:rsidR="000354C0" w:rsidRPr="00F27747">
        <w:rPr>
          <w:rFonts w:asciiTheme="minorHAnsi" w:eastAsia="Times New Roman" w:hAnsiTheme="minorHAnsi"/>
          <w:color w:val="666666"/>
          <w:sz w:val="24"/>
          <w:szCs w:val="24"/>
        </w:rPr>
        <w:t xml:space="preserve"> finansinę priemonę iš </w:t>
      </w:r>
      <w:r w:rsidR="00F27747" w:rsidRPr="00F27747">
        <w:rPr>
          <w:rFonts w:asciiTheme="minorHAnsi" w:eastAsia="Times New Roman" w:hAnsiTheme="minorHAnsi"/>
          <w:color w:val="666666"/>
          <w:sz w:val="24"/>
          <w:szCs w:val="24"/>
        </w:rPr>
        <w:t>371,2</w:t>
      </w:r>
      <w:r w:rsidR="000354C0" w:rsidRPr="00F27747">
        <w:rPr>
          <w:rFonts w:asciiTheme="minorHAnsi" w:eastAsia="Times New Roman" w:hAnsiTheme="minorHAnsi"/>
          <w:color w:val="666666"/>
          <w:sz w:val="24"/>
          <w:szCs w:val="24"/>
        </w:rPr>
        <w:t xml:space="preserve"> mln. eurų pritraukta </w:t>
      </w:r>
      <w:r w:rsidR="00F27747" w:rsidRPr="00F27747">
        <w:rPr>
          <w:rFonts w:asciiTheme="minorHAnsi" w:eastAsia="Times New Roman" w:hAnsiTheme="minorHAnsi"/>
          <w:color w:val="666666"/>
          <w:sz w:val="24"/>
          <w:szCs w:val="24"/>
        </w:rPr>
        <w:t>311</w:t>
      </w:r>
      <w:r w:rsidR="000354C0" w:rsidRPr="00F27747">
        <w:rPr>
          <w:rFonts w:asciiTheme="minorHAnsi" w:eastAsia="Times New Roman" w:hAnsiTheme="minorHAnsi"/>
          <w:color w:val="666666"/>
          <w:sz w:val="24"/>
          <w:szCs w:val="24"/>
        </w:rPr>
        <w:t xml:space="preserve"> mln. eurų privačių investicijų, investicijas gavo 1</w:t>
      </w:r>
      <w:r w:rsidR="00F27747" w:rsidRPr="00F27747">
        <w:rPr>
          <w:rFonts w:asciiTheme="minorHAnsi" w:eastAsia="Times New Roman" w:hAnsiTheme="minorHAnsi"/>
          <w:color w:val="666666"/>
          <w:sz w:val="24"/>
          <w:szCs w:val="24"/>
        </w:rPr>
        <w:t>44 naujos įmonės</w:t>
      </w:r>
      <w:r w:rsidR="000354C0" w:rsidRPr="00F27747">
        <w:rPr>
          <w:rFonts w:asciiTheme="minorHAnsi" w:eastAsia="Times New Roman" w:hAnsiTheme="minorHAnsi"/>
          <w:color w:val="666666"/>
          <w:sz w:val="24"/>
          <w:szCs w:val="24"/>
        </w:rPr>
        <w:t xml:space="preserve"> (iš planuotų 90), iš planuotų 1528 įmonių finansine parama pasinaudojo </w:t>
      </w:r>
      <w:r w:rsidR="00F27747" w:rsidRPr="00F27747">
        <w:rPr>
          <w:rFonts w:asciiTheme="minorHAnsi" w:eastAsia="Times New Roman" w:hAnsiTheme="minorHAnsi"/>
          <w:color w:val="666666"/>
          <w:sz w:val="24"/>
          <w:szCs w:val="24"/>
        </w:rPr>
        <w:t>1137 įmonės</w:t>
      </w:r>
      <w:r w:rsidR="000354C0" w:rsidRPr="00F27747">
        <w:rPr>
          <w:rFonts w:asciiTheme="minorHAnsi" w:eastAsia="Times New Roman" w:hAnsiTheme="minorHAnsi"/>
          <w:color w:val="666666"/>
          <w:sz w:val="24"/>
          <w:szCs w:val="24"/>
        </w:rPr>
        <w:t>.</w:t>
      </w:r>
    </w:p>
    <w:p w:rsidR="00F04C8D" w:rsidRDefault="000354C0"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0354C0">
        <w:rPr>
          <w:rFonts w:asciiTheme="minorHAnsi" w:eastAsia="Times New Roman" w:hAnsiTheme="minorHAnsi"/>
          <w:b/>
          <w:color w:val="666666"/>
          <w:sz w:val="24"/>
          <w:szCs w:val="24"/>
        </w:rPr>
        <w:t>Skatinant energijos efektyvumą bei atsinaujinančių išteklių energijos gamybą ir naudojimą</w:t>
      </w:r>
      <w:r>
        <w:rPr>
          <w:rFonts w:asciiTheme="minorHAnsi" w:eastAsia="Times New Roman" w:hAnsiTheme="minorHAnsi"/>
          <w:color w:val="666666"/>
          <w:sz w:val="24"/>
          <w:szCs w:val="24"/>
        </w:rPr>
        <w:t xml:space="preserve"> </w:t>
      </w:r>
      <w:r w:rsidR="008705F5" w:rsidRPr="00C12ED5">
        <w:rPr>
          <w:rFonts w:asciiTheme="minorHAnsi" w:eastAsia="Times New Roman" w:hAnsiTheme="minorHAnsi"/>
          <w:color w:val="666666"/>
          <w:sz w:val="24"/>
          <w:szCs w:val="24"/>
        </w:rPr>
        <w:t>294,6</w:t>
      </w:r>
      <w:r w:rsidR="00F04C8D" w:rsidRPr="00C12ED5">
        <w:rPr>
          <w:rFonts w:asciiTheme="minorHAnsi" w:eastAsia="Times New Roman" w:hAnsiTheme="minorHAnsi"/>
          <w:color w:val="666666"/>
          <w:sz w:val="24"/>
          <w:szCs w:val="24"/>
        </w:rPr>
        <w:t xml:space="preserve"> tūkst. šilumos vartotojų pagerėjo šilumos tiekimo kokybė,</w:t>
      </w:r>
      <w:r w:rsidR="008705F5" w:rsidRPr="00C12ED5">
        <w:rPr>
          <w:rFonts w:asciiTheme="minorHAnsi" w:eastAsia="Times New Roman" w:hAnsiTheme="minorHAnsi"/>
          <w:color w:val="666666"/>
          <w:sz w:val="24"/>
          <w:szCs w:val="24"/>
        </w:rPr>
        <w:t xml:space="preserve"> 33,7 tūkst</w:t>
      </w:r>
      <w:r w:rsidR="008705F5">
        <w:rPr>
          <w:rFonts w:asciiTheme="minorHAnsi" w:eastAsia="Times New Roman" w:hAnsiTheme="minorHAnsi"/>
          <w:color w:val="666666"/>
          <w:sz w:val="24"/>
          <w:szCs w:val="24"/>
        </w:rPr>
        <w:t xml:space="preserve">. namų ūkių priskirta geresnei energijos vartojimo </w:t>
      </w:r>
      <w:r w:rsidR="008705F5" w:rsidRPr="0041551E">
        <w:rPr>
          <w:rFonts w:asciiTheme="minorHAnsi" w:eastAsia="Times New Roman" w:hAnsiTheme="minorHAnsi"/>
          <w:color w:val="666666"/>
          <w:sz w:val="24"/>
          <w:szCs w:val="24"/>
        </w:rPr>
        <w:t>efektyvumo klasei</w:t>
      </w:r>
      <w:r w:rsidR="00A63445" w:rsidRPr="0041551E">
        <w:rPr>
          <w:rFonts w:asciiTheme="minorHAnsi" w:eastAsia="Times New Roman" w:hAnsiTheme="minorHAnsi"/>
          <w:color w:val="666666"/>
          <w:sz w:val="24"/>
          <w:szCs w:val="24"/>
        </w:rPr>
        <w:t>, o įgyvendinant finansinę priemonę suteikta 14</w:t>
      </w:r>
      <w:r w:rsidR="0041551E" w:rsidRPr="0041551E">
        <w:rPr>
          <w:rFonts w:asciiTheme="minorHAnsi" w:eastAsia="Times New Roman" w:hAnsiTheme="minorHAnsi"/>
          <w:color w:val="666666"/>
          <w:sz w:val="24"/>
          <w:szCs w:val="24"/>
        </w:rPr>
        <w:t>87</w:t>
      </w:r>
      <w:r w:rsidR="00A63445" w:rsidRPr="0041551E">
        <w:rPr>
          <w:rFonts w:asciiTheme="minorHAnsi" w:eastAsia="Times New Roman" w:hAnsiTheme="minorHAnsi"/>
          <w:color w:val="666666"/>
          <w:sz w:val="24"/>
          <w:szCs w:val="24"/>
        </w:rPr>
        <w:t xml:space="preserve"> (iš planuotų 982) paskolos/garantijos da</w:t>
      </w:r>
      <w:r w:rsidR="00A63445">
        <w:rPr>
          <w:rFonts w:asciiTheme="minorHAnsi" w:eastAsia="Times New Roman" w:hAnsiTheme="minorHAnsi"/>
          <w:color w:val="666666"/>
          <w:sz w:val="24"/>
          <w:szCs w:val="24"/>
        </w:rPr>
        <w:t xml:space="preserve">ugiabučių atnaujinimui. </w:t>
      </w:r>
    </w:p>
    <w:p w:rsidR="00A63445" w:rsidRDefault="00A63445"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ED6665">
        <w:rPr>
          <w:rFonts w:asciiTheme="minorHAnsi" w:eastAsia="Times New Roman" w:hAnsiTheme="minorHAnsi"/>
          <w:b/>
          <w:color w:val="666666"/>
          <w:sz w:val="24"/>
          <w:szCs w:val="24"/>
        </w:rPr>
        <w:t>Aplinkosaugos srityje</w:t>
      </w:r>
      <w:r>
        <w:rPr>
          <w:rFonts w:asciiTheme="minorHAnsi" w:eastAsia="Times New Roman" w:hAnsiTheme="minorHAnsi"/>
          <w:color w:val="666666"/>
          <w:sz w:val="24"/>
          <w:szCs w:val="24"/>
        </w:rPr>
        <w:t xml:space="preserve"> </w:t>
      </w:r>
      <w:r w:rsidRPr="00C12ED5">
        <w:rPr>
          <w:rFonts w:asciiTheme="minorHAnsi" w:eastAsia="Times New Roman" w:hAnsiTheme="minorHAnsi"/>
          <w:color w:val="666666"/>
          <w:sz w:val="24"/>
          <w:szCs w:val="24"/>
        </w:rPr>
        <w:t xml:space="preserve">papildomai 191,3 tūkst. gyventojų teikiamos geresnės </w:t>
      </w:r>
      <w:proofErr w:type="spellStart"/>
      <w:r w:rsidRPr="00C12ED5">
        <w:rPr>
          <w:rFonts w:asciiTheme="minorHAnsi" w:eastAsia="Times New Roman" w:hAnsiTheme="minorHAnsi"/>
          <w:color w:val="666666"/>
          <w:sz w:val="24"/>
          <w:szCs w:val="24"/>
        </w:rPr>
        <w:t>vandentiekos</w:t>
      </w:r>
      <w:proofErr w:type="spellEnd"/>
      <w:r w:rsidRPr="00C12ED5">
        <w:rPr>
          <w:rFonts w:asciiTheme="minorHAnsi" w:eastAsia="Times New Roman" w:hAnsiTheme="minorHAnsi"/>
          <w:color w:val="666666"/>
          <w:sz w:val="24"/>
          <w:szCs w:val="24"/>
        </w:rPr>
        <w:t xml:space="preserve"> paslaugos, o papildomai 327,8 tūkst. gyventojų</w:t>
      </w:r>
      <w:r w:rsidRPr="00A63445">
        <w:rPr>
          <w:rFonts w:asciiTheme="minorHAnsi" w:eastAsia="Times New Roman" w:hAnsiTheme="minorHAnsi"/>
          <w:color w:val="666666"/>
          <w:sz w:val="24"/>
          <w:szCs w:val="24"/>
        </w:rPr>
        <w:t xml:space="preserve"> naudojasi pagerintomis nuotekų valymo paslaugomis</w:t>
      </w:r>
      <w:r w:rsidR="00ED6665">
        <w:rPr>
          <w:rFonts w:asciiTheme="minorHAnsi" w:eastAsia="Times New Roman" w:hAnsiTheme="minorHAnsi"/>
          <w:color w:val="666666"/>
          <w:sz w:val="24"/>
          <w:szCs w:val="24"/>
        </w:rPr>
        <w:t xml:space="preserve">. Taip pat įgyvendintos </w:t>
      </w:r>
      <w:r w:rsidR="00C12ED5">
        <w:rPr>
          <w:rFonts w:asciiTheme="minorHAnsi" w:eastAsia="Times New Roman" w:hAnsiTheme="minorHAnsi"/>
          <w:color w:val="666666"/>
          <w:sz w:val="24"/>
          <w:szCs w:val="24"/>
        </w:rPr>
        <w:t>389</w:t>
      </w:r>
      <w:r w:rsidR="00ED6665">
        <w:rPr>
          <w:rFonts w:asciiTheme="minorHAnsi" w:eastAsia="Times New Roman" w:hAnsiTheme="minorHAnsi"/>
          <w:color w:val="666666"/>
          <w:sz w:val="24"/>
          <w:szCs w:val="24"/>
        </w:rPr>
        <w:t xml:space="preserve"> turizmo rinkodaros priemonės.</w:t>
      </w:r>
      <w:r w:rsidR="005554DB" w:rsidRPr="005554DB">
        <w:t xml:space="preserve"> </w:t>
      </w:r>
      <w:r w:rsidR="005554DB" w:rsidRPr="005554DB">
        <w:rPr>
          <w:rFonts w:asciiTheme="minorHAnsi" w:eastAsia="Times New Roman" w:hAnsiTheme="minorHAnsi"/>
          <w:color w:val="666666"/>
          <w:sz w:val="24"/>
          <w:szCs w:val="24"/>
        </w:rPr>
        <w:t>Gauta 21 paraiška</w:t>
      </w:r>
      <w:r w:rsidR="00701C37">
        <w:rPr>
          <w:rFonts w:asciiTheme="minorHAnsi" w:eastAsia="Times New Roman" w:hAnsiTheme="minorHAnsi"/>
          <w:color w:val="666666"/>
          <w:sz w:val="24"/>
          <w:szCs w:val="24"/>
        </w:rPr>
        <w:t xml:space="preserve"> (</w:t>
      </w:r>
      <w:r w:rsidR="00701C37" w:rsidRPr="005554DB">
        <w:rPr>
          <w:rFonts w:asciiTheme="minorHAnsi" w:eastAsia="Times New Roman" w:hAnsiTheme="minorHAnsi"/>
          <w:color w:val="666666"/>
          <w:sz w:val="24"/>
          <w:szCs w:val="24"/>
        </w:rPr>
        <w:t xml:space="preserve">20 mln. </w:t>
      </w:r>
      <w:r w:rsidR="00701C37">
        <w:rPr>
          <w:rFonts w:asciiTheme="minorHAnsi" w:eastAsia="Times New Roman" w:hAnsiTheme="minorHAnsi"/>
          <w:color w:val="666666"/>
          <w:sz w:val="24"/>
          <w:szCs w:val="24"/>
        </w:rPr>
        <w:t>eurų) iš viešųjų geriamojo vandens tiekėjų ir nuotekų tvarkytojų</w:t>
      </w:r>
      <w:r w:rsidR="005554DB" w:rsidRPr="005554DB">
        <w:rPr>
          <w:rFonts w:asciiTheme="minorHAnsi" w:eastAsia="Times New Roman" w:hAnsiTheme="minorHAnsi"/>
          <w:color w:val="666666"/>
          <w:sz w:val="24"/>
          <w:szCs w:val="24"/>
        </w:rPr>
        <w:t xml:space="preserve"> </w:t>
      </w:r>
      <w:r w:rsidR="00701C37">
        <w:rPr>
          <w:rFonts w:asciiTheme="minorHAnsi" w:eastAsia="Times New Roman" w:hAnsiTheme="minorHAnsi"/>
          <w:color w:val="666666"/>
          <w:sz w:val="24"/>
          <w:szCs w:val="24"/>
        </w:rPr>
        <w:t>(iš 14 savivaldybių), kurie</w:t>
      </w:r>
      <w:r w:rsidR="005554DB" w:rsidRPr="005554DB">
        <w:rPr>
          <w:rFonts w:asciiTheme="minorHAnsi" w:eastAsia="Times New Roman" w:hAnsiTheme="minorHAnsi"/>
          <w:color w:val="666666"/>
          <w:sz w:val="24"/>
          <w:szCs w:val="24"/>
        </w:rPr>
        <w:t xml:space="preserve"> pretenduoja gauti lengvatines paskolas bei grąžinamąsias subsidijas geriamojo vandens tiekimo ir (arba) nuotekų surinkimo tinklų plė</w:t>
      </w:r>
      <w:r w:rsidR="005554DB">
        <w:rPr>
          <w:rFonts w:asciiTheme="minorHAnsi" w:eastAsia="Times New Roman" w:hAnsiTheme="minorHAnsi"/>
          <w:color w:val="666666"/>
          <w:sz w:val="24"/>
          <w:szCs w:val="24"/>
        </w:rPr>
        <w:t>trai ir (arba) rekonstrukcijai.</w:t>
      </w:r>
    </w:p>
    <w:p w:rsidR="00ED6665" w:rsidRDefault="00ED6665"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ED6665">
        <w:rPr>
          <w:rFonts w:asciiTheme="minorHAnsi" w:eastAsia="Times New Roman" w:hAnsiTheme="minorHAnsi"/>
          <w:b/>
          <w:color w:val="666666"/>
          <w:sz w:val="24"/>
          <w:szCs w:val="24"/>
        </w:rPr>
        <w:t xml:space="preserve">Transporto </w:t>
      </w:r>
      <w:r w:rsidR="001346EF">
        <w:rPr>
          <w:rFonts w:asciiTheme="minorHAnsi" w:eastAsia="Times New Roman" w:hAnsiTheme="minorHAnsi"/>
          <w:b/>
          <w:color w:val="666666"/>
          <w:sz w:val="24"/>
          <w:szCs w:val="24"/>
        </w:rPr>
        <w:t>srityje</w:t>
      </w:r>
      <w:r>
        <w:rPr>
          <w:rFonts w:asciiTheme="minorHAnsi" w:eastAsia="Times New Roman" w:hAnsiTheme="minorHAnsi"/>
          <w:color w:val="666666"/>
          <w:sz w:val="24"/>
          <w:szCs w:val="24"/>
        </w:rPr>
        <w:t xml:space="preserve"> bendras rekonstruotų</w:t>
      </w:r>
      <w:r w:rsidRPr="00ED6665">
        <w:rPr>
          <w:rFonts w:asciiTheme="minorHAnsi" w:eastAsia="Times New Roman" w:hAnsiTheme="minorHAnsi"/>
          <w:color w:val="666666"/>
          <w:sz w:val="24"/>
          <w:szCs w:val="24"/>
        </w:rPr>
        <w:t>/atnaujintų kelių ilgis</w:t>
      </w:r>
      <w:r>
        <w:rPr>
          <w:rFonts w:asciiTheme="minorHAnsi" w:eastAsia="Times New Roman" w:hAnsiTheme="minorHAnsi"/>
          <w:color w:val="666666"/>
          <w:sz w:val="24"/>
          <w:szCs w:val="24"/>
        </w:rPr>
        <w:t xml:space="preserve"> sudaro 126,95 km, įrengta/rekonstruota </w:t>
      </w:r>
      <w:r w:rsidR="00C12ED5">
        <w:rPr>
          <w:rFonts w:asciiTheme="minorHAnsi" w:eastAsia="Times New Roman" w:hAnsiTheme="minorHAnsi"/>
          <w:color w:val="666666"/>
          <w:sz w:val="24"/>
          <w:szCs w:val="24"/>
        </w:rPr>
        <w:t>22,35</w:t>
      </w:r>
      <w:r w:rsidRPr="00ED6665">
        <w:rPr>
          <w:rFonts w:asciiTheme="minorHAnsi" w:eastAsia="Times New Roman" w:hAnsiTheme="minorHAnsi"/>
          <w:color w:val="666666"/>
          <w:sz w:val="24"/>
          <w:szCs w:val="24"/>
        </w:rPr>
        <w:t xml:space="preserve"> km dviračių/pėsčiųjų takų</w:t>
      </w:r>
      <w:r>
        <w:rPr>
          <w:rFonts w:asciiTheme="minorHAnsi" w:eastAsia="Times New Roman" w:hAnsiTheme="minorHAnsi"/>
          <w:color w:val="666666"/>
          <w:sz w:val="24"/>
          <w:szCs w:val="24"/>
        </w:rPr>
        <w:t>.</w:t>
      </w:r>
    </w:p>
    <w:p w:rsidR="00ED6665" w:rsidRPr="00F04C8D" w:rsidRDefault="00ED6665"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ED6665">
        <w:rPr>
          <w:rFonts w:asciiTheme="minorHAnsi" w:eastAsia="Times New Roman" w:hAnsiTheme="minorHAnsi"/>
          <w:b/>
          <w:color w:val="666666"/>
          <w:sz w:val="24"/>
          <w:szCs w:val="24"/>
        </w:rPr>
        <w:t>Skatinant užimtumą ir dalyvavimą darbo rinkoje</w:t>
      </w:r>
      <w:r>
        <w:rPr>
          <w:rFonts w:asciiTheme="minorHAnsi" w:eastAsia="Times New Roman" w:hAnsiTheme="minorHAnsi"/>
          <w:color w:val="666666"/>
          <w:sz w:val="24"/>
          <w:szCs w:val="24"/>
        </w:rPr>
        <w:t xml:space="preserve"> </w:t>
      </w:r>
      <w:r w:rsidRPr="00C12ED5">
        <w:rPr>
          <w:rFonts w:asciiTheme="minorHAnsi" w:eastAsia="Times New Roman" w:hAnsiTheme="minorHAnsi"/>
          <w:color w:val="666666"/>
          <w:sz w:val="24"/>
          <w:szCs w:val="24"/>
        </w:rPr>
        <w:t>18,6 tūkst. bedarbių dalyvių, baigę dalyvavimą pradėjo mokytis, įgijo kvalifikaciją arba pradėjo dirbti, taip pat veiklose dalyvavo 6,8</w:t>
      </w:r>
      <w:r>
        <w:rPr>
          <w:rFonts w:asciiTheme="minorHAnsi" w:eastAsia="Times New Roman" w:hAnsiTheme="minorHAnsi"/>
          <w:color w:val="666666"/>
          <w:sz w:val="24"/>
          <w:szCs w:val="24"/>
        </w:rPr>
        <w:t xml:space="preserve"> tūkst. neįgaliųjų. </w:t>
      </w:r>
      <w:r w:rsidRPr="00F27747">
        <w:rPr>
          <w:rFonts w:asciiTheme="minorHAnsi" w:eastAsia="Times New Roman" w:hAnsiTheme="minorHAnsi"/>
          <w:color w:val="666666"/>
          <w:sz w:val="24"/>
          <w:szCs w:val="24"/>
        </w:rPr>
        <w:t xml:space="preserve">Įgyvendinant verslumo skatinimo finansinę priemonę </w:t>
      </w:r>
      <w:r w:rsidR="00F27747" w:rsidRPr="00F27747">
        <w:rPr>
          <w:rFonts w:asciiTheme="minorHAnsi" w:eastAsia="Times New Roman" w:hAnsiTheme="minorHAnsi"/>
          <w:color w:val="666666"/>
          <w:sz w:val="24"/>
          <w:szCs w:val="24"/>
        </w:rPr>
        <w:t>716</w:t>
      </w:r>
      <w:r w:rsidR="0085020F" w:rsidRPr="00F27747">
        <w:rPr>
          <w:rFonts w:asciiTheme="minorHAnsi" w:eastAsia="Times New Roman" w:hAnsiTheme="minorHAnsi"/>
          <w:color w:val="666666"/>
          <w:sz w:val="24"/>
          <w:szCs w:val="24"/>
        </w:rPr>
        <w:t xml:space="preserve"> iš 1</w:t>
      </w:r>
      <w:r w:rsidRPr="00F27747">
        <w:rPr>
          <w:rFonts w:asciiTheme="minorHAnsi" w:eastAsia="Times New Roman" w:hAnsiTheme="minorHAnsi"/>
          <w:color w:val="666666"/>
          <w:sz w:val="24"/>
          <w:szCs w:val="24"/>
        </w:rPr>
        <w:t>000 asmenų ir įmonių pasinaudojo finansine priemone verslo pradžiai</w:t>
      </w:r>
      <w:r w:rsidR="0085020F" w:rsidRPr="00F27747">
        <w:rPr>
          <w:rFonts w:asciiTheme="minorHAnsi" w:eastAsia="Times New Roman" w:hAnsiTheme="minorHAnsi"/>
          <w:color w:val="666666"/>
          <w:sz w:val="24"/>
          <w:szCs w:val="24"/>
        </w:rPr>
        <w:t>, sukurta 1</w:t>
      </w:r>
      <w:r w:rsidR="00F27747" w:rsidRPr="00F27747">
        <w:rPr>
          <w:rFonts w:asciiTheme="minorHAnsi" w:eastAsia="Times New Roman" w:hAnsiTheme="minorHAnsi"/>
          <w:color w:val="666666"/>
          <w:sz w:val="24"/>
          <w:szCs w:val="24"/>
        </w:rPr>
        <w:t>468</w:t>
      </w:r>
      <w:r w:rsidR="0085020F" w:rsidRPr="00F27747">
        <w:rPr>
          <w:rFonts w:asciiTheme="minorHAnsi" w:eastAsia="Times New Roman" w:hAnsiTheme="minorHAnsi"/>
          <w:color w:val="666666"/>
          <w:sz w:val="24"/>
          <w:szCs w:val="24"/>
        </w:rPr>
        <w:t xml:space="preserve"> (iš planuotų 1800) naujų darbo vietų naujai įsteigtose įmonėse (versluose).</w:t>
      </w:r>
    </w:p>
    <w:p w:rsidR="00F04C8D" w:rsidRDefault="00F04C8D"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85020F">
        <w:rPr>
          <w:rFonts w:asciiTheme="minorHAnsi" w:eastAsia="Times New Roman" w:hAnsiTheme="minorHAnsi"/>
          <w:b/>
          <w:color w:val="666666"/>
          <w:sz w:val="24"/>
          <w:szCs w:val="24"/>
        </w:rPr>
        <w:t xml:space="preserve">Socialinės </w:t>
      </w:r>
      <w:proofErr w:type="spellStart"/>
      <w:r w:rsidRPr="0085020F">
        <w:rPr>
          <w:rFonts w:asciiTheme="minorHAnsi" w:eastAsia="Times New Roman" w:hAnsiTheme="minorHAnsi"/>
          <w:b/>
          <w:color w:val="666666"/>
          <w:sz w:val="24"/>
          <w:szCs w:val="24"/>
        </w:rPr>
        <w:t>įtraukties</w:t>
      </w:r>
      <w:proofErr w:type="spellEnd"/>
      <w:r w:rsidRPr="0085020F">
        <w:rPr>
          <w:rFonts w:asciiTheme="minorHAnsi" w:eastAsia="Times New Roman" w:hAnsiTheme="minorHAnsi"/>
          <w:b/>
          <w:color w:val="666666"/>
          <w:sz w:val="24"/>
          <w:szCs w:val="24"/>
        </w:rPr>
        <w:t xml:space="preserve"> didinim</w:t>
      </w:r>
      <w:r w:rsidR="00ED6665" w:rsidRPr="0085020F">
        <w:rPr>
          <w:rFonts w:asciiTheme="minorHAnsi" w:eastAsia="Times New Roman" w:hAnsiTheme="minorHAnsi"/>
          <w:b/>
          <w:color w:val="666666"/>
          <w:sz w:val="24"/>
          <w:szCs w:val="24"/>
        </w:rPr>
        <w:t>o ir kovos</w:t>
      </w:r>
      <w:r w:rsidRPr="0085020F">
        <w:rPr>
          <w:rFonts w:asciiTheme="minorHAnsi" w:eastAsia="Times New Roman" w:hAnsiTheme="minorHAnsi"/>
          <w:b/>
          <w:color w:val="666666"/>
          <w:sz w:val="24"/>
          <w:szCs w:val="24"/>
        </w:rPr>
        <w:t xml:space="preserve"> su skurdu</w:t>
      </w:r>
      <w:r w:rsidR="00ED6665" w:rsidRPr="0085020F">
        <w:rPr>
          <w:rFonts w:asciiTheme="minorHAnsi" w:eastAsia="Times New Roman" w:hAnsiTheme="minorHAnsi"/>
          <w:b/>
          <w:color w:val="666666"/>
          <w:sz w:val="24"/>
          <w:szCs w:val="24"/>
        </w:rPr>
        <w:t xml:space="preserve"> srityje</w:t>
      </w:r>
      <w:r w:rsidRPr="00F04C8D">
        <w:rPr>
          <w:rFonts w:asciiTheme="minorHAnsi" w:eastAsia="Times New Roman" w:hAnsiTheme="minorHAnsi"/>
          <w:color w:val="666666"/>
          <w:sz w:val="24"/>
          <w:szCs w:val="24"/>
        </w:rPr>
        <w:t xml:space="preserve"> </w:t>
      </w:r>
      <w:r w:rsidR="00C12ED5">
        <w:rPr>
          <w:rFonts w:asciiTheme="minorHAnsi" w:eastAsia="Times New Roman" w:hAnsiTheme="minorHAnsi"/>
          <w:color w:val="666666"/>
          <w:sz w:val="24"/>
          <w:szCs w:val="24"/>
        </w:rPr>
        <w:t>6,5</w:t>
      </w:r>
      <w:r w:rsidRPr="00F04C8D">
        <w:rPr>
          <w:rFonts w:asciiTheme="minorHAnsi" w:eastAsia="Times New Roman" w:hAnsiTheme="minorHAnsi"/>
          <w:color w:val="666666"/>
          <w:sz w:val="24"/>
          <w:szCs w:val="24"/>
        </w:rPr>
        <w:t xml:space="preserve"> tūkst. socialiai pažeidžiamų asmenų dalyvavo socialinei integracijai s</w:t>
      </w:r>
      <w:r w:rsidR="00FD4186">
        <w:rPr>
          <w:rFonts w:asciiTheme="minorHAnsi" w:eastAsia="Times New Roman" w:hAnsiTheme="minorHAnsi"/>
          <w:color w:val="666666"/>
          <w:sz w:val="24"/>
          <w:szCs w:val="24"/>
        </w:rPr>
        <w:t>kirtose veiklose, naujai įrengti</w:t>
      </w:r>
      <w:r w:rsidRPr="00F04C8D">
        <w:rPr>
          <w:rFonts w:asciiTheme="minorHAnsi" w:eastAsia="Times New Roman" w:hAnsiTheme="minorHAnsi"/>
          <w:color w:val="666666"/>
          <w:sz w:val="24"/>
          <w:szCs w:val="24"/>
        </w:rPr>
        <w:t xml:space="preserve"> arba </w:t>
      </w:r>
      <w:r w:rsidR="00FD4186">
        <w:rPr>
          <w:rFonts w:asciiTheme="minorHAnsi" w:eastAsia="Times New Roman" w:hAnsiTheme="minorHAnsi"/>
          <w:color w:val="666666"/>
          <w:sz w:val="24"/>
          <w:szCs w:val="24"/>
        </w:rPr>
        <w:t>įsigyti</w:t>
      </w:r>
      <w:r w:rsidRPr="00C12ED5">
        <w:rPr>
          <w:rFonts w:asciiTheme="minorHAnsi" w:eastAsia="Times New Roman" w:hAnsiTheme="minorHAnsi"/>
          <w:color w:val="666666"/>
          <w:sz w:val="24"/>
          <w:szCs w:val="24"/>
        </w:rPr>
        <w:t xml:space="preserve"> </w:t>
      </w:r>
      <w:r w:rsidR="0085020F" w:rsidRPr="00C12ED5">
        <w:rPr>
          <w:rFonts w:asciiTheme="minorHAnsi" w:eastAsia="Times New Roman" w:hAnsiTheme="minorHAnsi"/>
          <w:color w:val="666666"/>
          <w:sz w:val="24"/>
          <w:szCs w:val="24"/>
        </w:rPr>
        <w:t>1137</w:t>
      </w:r>
      <w:r w:rsidR="00FD4186">
        <w:rPr>
          <w:rFonts w:asciiTheme="minorHAnsi" w:eastAsia="Times New Roman" w:hAnsiTheme="minorHAnsi"/>
          <w:color w:val="666666"/>
          <w:sz w:val="24"/>
          <w:szCs w:val="24"/>
        </w:rPr>
        <w:t xml:space="preserve"> socialiniai būstai</w:t>
      </w:r>
      <w:r w:rsidRPr="00C12ED5">
        <w:rPr>
          <w:rFonts w:asciiTheme="minorHAnsi" w:eastAsia="Times New Roman" w:hAnsiTheme="minorHAnsi"/>
          <w:color w:val="666666"/>
          <w:sz w:val="24"/>
          <w:szCs w:val="24"/>
        </w:rPr>
        <w:t>,</w:t>
      </w:r>
      <w:r w:rsidR="0085020F" w:rsidRPr="00C12ED5">
        <w:rPr>
          <w:rFonts w:asciiTheme="minorHAnsi" w:eastAsia="Times New Roman" w:hAnsiTheme="minorHAnsi"/>
          <w:color w:val="666666"/>
          <w:sz w:val="24"/>
          <w:szCs w:val="24"/>
        </w:rPr>
        <w:t xml:space="preserve"> 68 viešosios sveikatos priežiūros įstaigose pagerinta paslaugų teikimo infrast</w:t>
      </w:r>
      <w:r w:rsidR="0085020F" w:rsidRPr="0085020F">
        <w:rPr>
          <w:rFonts w:asciiTheme="minorHAnsi" w:eastAsia="Times New Roman" w:hAnsiTheme="minorHAnsi"/>
          <w:color w:val="666666"/>
          <w:sz w:val="24"/>
          <w:szCs w:val="24"/>
        </w:rPr>
        <w:t>ruktūra</w:t>
      </w:r>
      <w:r w:rsidRPr="00F04C8D">
        <w:rPr>
          <w:rFonts w:asciiTheme="minorHAnsi" w:eastAsia="Times New Roman" w:hAnsiTheme="minorHAnsi"/>
          <w:color w:val="666666"/>
          <w:sz w:val="24"/>
          <w:szCs w:val="24"/>
        </w:rPr>
        <w:t>.</w:t>
      </w:r>
    </w:p>
    <w:p w:rsidR="0085020F" w:rsidRPr="00F04C8D" w:rsidRDefault="001346EF"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1346EF">
        <w:rPr>
          <w:rFonts w:asciiTheme="minorHAnsi" w:eastAsia="Times New Roman" w:hAnsiTheme="minorHAnsi"/>
          <w:b/>
          <w:color w:val="666666"/>
          <w:sz w:val="24"/>
          <w:szCs w:val="24"/>
        </w:rPr>
        <w:t>Švietimo srityje</w:t>
      </w:r>
      <w:r>
        <w:rPr>
          <w:rFonts w:asciiTheme="minorHAnsi" w:eastAsia="Times New Roman" w:hAnsiTheme="minorHAnsi"/>
          <w:color w:val="666666"/>
          <w:sz w:val="24"/>
          <w:szCs w:val="24"/>
        </w:rPr>
        <w:t xml:space="preserve"> </w:t>
      </w:r>
      <w:r w:rsidRPr="00C12ED5">
        <w:rPr>
          <w:rFonts w:asciiTheme="minorHAnsi" w:eastAsia="Times New Roman" w:hAnsiTheme="minorHAnsi"/>
          <w:color w:val="666666"/>
          <w:sz w:val="24"/>
          <w:szCs w:val="24"/>
        </w:rPr>
        <w:t>1334 socialiai jautrių grupių studentams skirta tikslinė išmoka studijų prieinamumui, 1206 studentai mokėsi užsienio aukštosiose mokyklose, 7186 švietimo įstaigų darbuotojai dalyvavo neformaliojo švietimo programų veiklose.</w:t>
      </w:r>
    </w:p>
    <w:p w:rsidR="00F04C8D" w:rsidRDefault="001346EF" w:rsidP="00F04C8D">
      <w:pPr>
        <w:pStyle w:val="Sraopastraipa"/>
        <w:shd w:val="clear" w:color="auto" w:fill="FFFFFF" w:themeFill="background1"/>
        <w:tabs>
          <w:tab w:val="left" w:pos="0"/>
        </w:tabs>
        <w:autoSpaceDE w:val="0"/>
        <w:autoSpaceDN w:val="0"/>
        <w:adjustRightInd w:val="0"/>
        <w:spacing w:after="0" w:line="240" w:lineRule="auto"/>
        <w:ind w:left="0" w:firstLine="567"/>
        <w:jc w:val="both"/>
        <w:rPr>
          <w:rFonts w:asciiTheme="minorHAnsi" w:eastAsia="Times New Roman" w:hAnsiTheme="minorHAnsi"/>
          <w:color w:val="666666"/>
          <w:sz w:val="24"/>
          <w:szCs w:val="24"/>
        </w:rPr>
      </w:pPr>
      <w:r w:rsidRPr="001346EF">
        <w:rPr>
          <w:rFonts w:asciiTheme="minorHAnsi" w:eastAsia="Times New Roman" w:hAnsiTheme="minorHAnsi"/>
          <w:b/>
          <w:color w:val="666666"/>
          <w:sz w:val="24"/>
          <w:szCs w:val="24"/>
        </w:rPr>
        <w:t>Viešojo valdymo srityje</w:t>
      </w:r>
      <w:r w:rsidR="00F04C8D" w:rsidRPr="00F04C8D">
        <w:rPr>
          <w:rFonts w:asciiTheme="minorHAnsi" w:eastAsia="Times New Roman" w:hAnsiTheme="minorHAnsi"/>
          <w:color w:val="666666"/>
          <w:sz w:val="24"/>
          <w:szCs w:val="24"/>
        </w:rPr>
        <w:t xml:space="preserve"> </w:t>
      </w:r>
      <w:r w:rsidR="00C12ED5">
        <w:rPr>
          <w:rFonts w:asciiTheme="minorHAnsi" w:eastAsia="Times New Roman" w:hAnsiTheme="minorHAnsi"/>
          <w:color w:val="666666"/>
          <w:sz w:val="24"/>
          <w:szCs w:val="24"/>
        </w:rPr>
        <w:t>1929</w:t>
      </w:r>
      <w:r w:rsidR="00F04C8D" w:rsidRPr="00F04C8D">
        <w:rPr>
          <w:rFonts w:asciiTheme="minorHAnsi" w:eastAsia="Times New Roman" w:hAnsiTheme="minorHAnsi"/>
          <w:color w:val="666666"/>
          <w:sz w:val="24"/>
          <w:szCs w:val="24"/>
        </w:rPr>
        <w:t xml:space="preserve"> viešojo</w:t>
      </w:r>
      <w:r w:rsidR="00FD4186">
        <w:rPr>
          <w:rFonts w:asciiTheme="minorHAnsi" w:eastAsia="Times New Roman" w:hAnsiTheme="minorHAnsi"/>
          <w:color w:val="666666"/>
          <w:sz w:val="24"/>
          <w:szCs w:val="24"/>
        </w:rPr>
        <w:t xml:space="preserve"> valdymo institucijų darbuotojai</w:t>
      </w:r>
      <w:r w:rsidR="00F04C8D" w:rsidRPr="00F04C8D">
        <w:rPr>
          <w:rFonts w:asciiTheme="minorHAnsi" w:eastAsia="Times New Roman" w:hAnsiTheme="minorHAnsi"/>
          <w:color w:val="666666"/>
          <w:sz w:val="24"/>
          <w:szCs w:val="24"/>
        </w:rPr>
        <w:t xml:space="preserve"> dalyvavo veiklose, skirtose stiprinti įrodymais grįsto valdymo priemonių taikymui ar institucijų veiklos valdymo tobuli</w:t>
      </w:r>
      <w:r w:rsidR="00C12ED5">
        <w:rPr>
          <w:rFonts w:asciiTheme="minorHAnsi" w:eastAsia="Times New Roman" w:hAnsiTheme="minorHAnsi"/>
          <w:color w:val="666666"/>
          <w:sz w:val="24"/>
          <w:szCs w:val="24"/>
        </w:rPr>
        <w:t>nimui reikalingas kompetencijas</w:t>
      </w:r>
      <w:r w:rsidR="00F04C8D" w:rsidRPr="00F04C8D">
        <w:rPr>
          <w:rFonts w:asciiTheme="minorHAnsi" w:eastAsia="Times New Roman" w:hAnsiTheme="minorHAnsi"/>
          <w:color w:val="666666"/>
          <w:sz w:val="24"/>
          <w:szCs w:val="24"/>
        </w:rPr>
        <w:t>.</w:t>
      </w:r>
      <w:r w:rsidR="0016076D">
        <w:rPr>
          <w:rFonts w:asciiTheme="minorHAnsi" w:eastAsia="Times New Roman" w:hAnsiTheme="minorHAnsi"/>
          <w:color w:val="666666"/>
          <w:sz w:val="24"/>
          <w:szCs w:val="24"/>
        </w:rPr>
        <w:t xml:space="preserve"> Taip pat </w:t>
      </w:r>
      <w:r w:rsidR="00C12ED5">
        <w:rPr>
          <w:rFonts w:asciiTheme="minorHAnsi" w:eastAsia="Times New Roman" w:hAnsiTheme="minorHAnsi"/>
          <w:color w:val="666666"/>
          <w:sz w:val="24"/>
          <w:szCs w:val="24"/>
        </w:rPr>
        <w:t>21,8</w:t>
      </w:r>
      <w:r w:rsidR="0016076D" w:rsidRPr="0016076D">
        <w:rPr>
          <w:rFonts w:asciiTheme="minorHAnsi" w:eastAsia="Times New Roman" w:hAnsiTheme="minorHAnsi"/>
          <w:color w:val="666666"/>
          <w:sz w:val="24"/>
          <w:szCs w:val="24"/>
        </w:rPr>
        <w:t xml:space="preserve"> tūkst. gyventojų dalyvavo veiklose, skirtose informuoti visuomenę apie viešojo valdymo</w:t>
      </w:r>
      <w:r w:rsidR="0016076D">
        <w:rPr>
          <w:rFonts w:asciiTheme="minorHAnsi" w:eastAsia="Times New Roman" w:hAnsiTheme="minorHAnsi"/>
          <w:color w:val="666666"/>
          <w:sz w:val="24"/>
          <w:szCs w:val="24"/>
        </w:rPr>
        <w:t xml:space="preserve"> </w:t>
      </w:r>
      <w:r w:rsidR="0016076D" w:rsidRPr="0016076D">
        <w:rPr>
          <w:rFonts w:asciiTheme="minorHAnsi" w:eastAsia="Times New Roman" w:hAnsiTheme="minorHAnsi"/>
          <w:color w:val="666666"/>
          <w:sz w:val="24"/>
          <w:szCs w:val="24"/>
        </w:rPr>
        <w:t>procesus ar skatinti juose dalyvauti</w:t>
      </w:r>
      <w:r w:rsidR="0016076D">
        <w:rPr>
          <w:rFonts w:asciiTheme="minorHAnsi" w:eastAsia="Times New Roman" w:hAnsiTheme="minorHAnsi"/>
          <w:color w:val="666666"/>
          <w:sz w:val="24"/>
          <w:szCs w:val="24"/>
        </w:rPr>
        <w:t>.</w:t>
      </w:r>
    </w:p>
    <w:p w:rsidR="00F83400" w:rsidRPr="000909CF" w:rsidRDefault="00F83400" w:rsidP="003A66E5">
      <w:pPr>
        <w:pStyle w:val="tekstas"/>
        <w:ind w:firstLine="0"/>
      </w:pPr>
    </w:p>
    <w:p w:rsidR="009C63C5" w:rsidRDefault="00C86895" w:rsidP="003A66E5">
      <w:pPr>
        <w:pStyle w:val="Antrat1"/>
        <w:spacing w:before="0" w:after="0"/>
      </w:pPr>
      <w:bookmarkStart w:id="12" w:name="_Toc24016873"/>
      <w:r>
        <w:t>Situacijos sektoriuose analizė</w:t>
      </w:r>
      <w:bookmarkEnd w:id="10"/>
      <w:r w:rsidR="00042FE6">
        <w:t xml:space="preserve"> ir siūlymai</w:t>
      </w:r>
      <w:bookmarkEnd w:id="12"/>
    </w:p>
    <w:p w:rsidR="00522DA0" w:rsidRDefault="00522DA0" w:rsidP="003A66E5">
      <w:pPr>
        <w:pStyle w:val="tekstas"/>
        <w:ind w:firstLine="0"/>
        <w:rPr>
          <w:lang w:eastAsia="lt-LT"/>
        </w:rPr>
      </w:pPr>
    </w:p>
    <w:p w:rsidR="00C53773" w:rsidRDefault="00C53773" w:rsidP="00C53773">
      <w:pPr>
        <w:pStyle w:val="tekstas"/>
        <w:rPr>
          <w:lang w:eastAsia="lt-LT"/>
        </w:rPr>
      </w:pPr>
      <w:r>
        <w:rPr>
          <w:lang w:eastAsia="lt-LT"/>
        </w:rPr>
        <w:t xml:space="preserve">Ministerijos įgyvendino </w:t>
      </w:r>
      <w:r w:rsidR="00236573">
        <w:rPr>
          <w:lang w:eastAsia="lt-LT"/>
        </w:rPr>
        <w:t>70</w:t>
      </w:r>
      <w:r>
        <w:rPr>
          <w:lang w:eastAsia="lt-LT"/>
        </w:rPr>
        <w:t xml:space="preserve"> proc. (</w:t>
      </w:r>
      <w:r w:rsidR="00B06DBE">
        <w:rPr>
          <w:lang w:eastAsia="lt-LT"/>
        </w:rPr>
        <w:t>7</w:t>
      </w:r>
      <w:r w:rsidR="003F3EFB">
        <w:rPr>
          <w:lang w:eastAsia="lt-LT"/>
        </w:rPr>
        <w:t xml:space="preserve"> </w:t>
      </w:r>
      <w:r>
        <w:rPr>
          <w:lang w:eastAsia="lt-LT"/>
        </w:rPr>
        <w:t xml:space="preserve">iš </w:t>
      </w:r>
      <w:r w:rsidR="00236573">
        <w:rPr>
          <w:lang w:eastAsia="lt-LT"/>
        </w:rPr>
        <w:t>10</w:t>
      </w:r>
      <w:r>
        <w:rPr>
          <w:lang w:eastAsia="lt-LT"/>
        </w:rPr>
        <w:t xml:space="preserve">) 2019 m. II </w:t>
      </w:r>
      <w:proofErr w:type="spellStart"/>
      <w:r>
        <w:rPr>
          <w:lang w:eastAsia="lt-LT"/>
        </w:rPr>
        <w:t>ketv</w:t>
      </w:r>
      <w:proofErr w:type="spellEnd"/>
      <w:r>
        <w:rPr>
          <w:lang w:eastAsia="lt-LT"/>
        </w:rPr>
        <w:t xml:space="preserve">. ataskaitoje Finansų ministerijos pateiktų rekomendacijų. </w:t>
      </w:r>
    </w:p>
    <w:p w:rsidR="00F83400" w:rsidRDefault="00C53773" w:rsidP="00C53773">
      <w:pPr>
        <w:pStyle w:val="tekstas"/>
        <w:ind w:firstLine="0"/>
        <w:rPr>
          <w:lang w:eastAsia="lt-LT"/>
        </w:rPr>
      </w:pPr>
      <w:r>
        <w:rPr>
          <w:lang w:eastAsia="lt-LT"/>
        </w:rPr>
        <w:t>Toliau šioje ataskaitos dalyje apžvelgiami kiekvieno prioriteto svarbesni pasiekimai, kliūtys, turinčios įtakos ES fondų investicijų konkrečiuose sektoriuose efektyvumui ir spartai bei pateikiami siūlymai ministerijoms ES fondų investicijų efektyvumui ir spartai užtikrinti.</w:t>
      </w:r>
    </w:p>
    <w:p w:rsidR="00F83400" w:rsidRDefault="00F83400" w:rsidP="007D4285">
      <w:pPr>
        <w:pStyle w:val="tekstas"/>
        <w:ind w:firstLine="0"/>
        <w:rPr>
          <w:lang w:eastAsia="lt-LT"/>
        </w:rPr>
      </w:pPr>
    </w:p>
    <w:p w:rsidR="000305AE" w:rsidRDefault="000305AE" w:rsidP="008807FF">
      <w:pPr>
        <w:pStyle w:val="antrat3zz"/>
        <w:spacing w:before="0"/>
        <w:jc w:val="both"/>
      </w:pPr>
      <w:bookmarkStart w:id="13" w:name="_Toc10104952"/>
      <w:bookmarkStart w:id="14" w:name="_Toc24016874"/>
      <w:r>
        <w:lastRenderedPageBreak/>
        <w:t xml:space="preserve">1 prioritetas. </w:t>
      </w:r>
      <w:r w:rsidRPr="001D3045">
        <w:t>Mokslinių tyrimų, eksperimentinės plėtros ir inovacijų skatinimas</w:t>
      </w:r>
      <w:bookmarkEnd w:id="13"/>
      <w:bookmarkEnd w:id="14"/>
    </w:p>
    <w:p w:rsidR="001A63BB" w:rsidRDefault="00DF1230" w:rsidP="006B2247">
      <w:pPr>
        <w:pStyle w:val="tekstas"/>
        <w:ind w:firstLine="0"/>
        <w:rPr>
          <w:lang w:eastAsia="lt-LT"/>
        </w:rPr>
      </w:pPr>
      <w:r>
        <w:rPr>
          <w:noProof/>
          <w:lang w:eastAsia="lt-LT"/>
        </w:rPr>
        <w:drawing>
          <wp:inline distT="0" distB="0" distL="0" distR="0" wp14:anchorId="60BB34AF" wp14:editId="08E10667">
            <wp:extent cx="6120130" cy="596223"/>
            <wp:effectExtent l="0" t="0" r="13970" b="1397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B2247" w:rsidRDefault="00E75F2C" w:rsidP="00E75F2C">
      <w:pPr>
        <w:pStyle w:val="tekstas"/>
        <w:rPr>
          <w:lang w:eastAsia="lt-LT"/>
        </w:rPr>
      </w:pPr>
      <w:r>
        <w:rPr>
          <w:lang w:eastAsia="lt-LT"/>
        </w:rPr>
        <w:t>Švietimo</w:t>
      </w:r>
      <w:r w:rsidR="00C53773">
        <w:rPr>
          <w:lang w:eastAsia="lt-LT"/>
        </w:rPr>
        <w:t>,</w:t>
      </w:r>
      <w:r>
        <w:rPr>
          <w:lang w:eastAsia="lt-LT"/>
        </w:rPr>
        <w:t xml:space="preserve"> mokslo ir sporto ministerijos 1 prioriteto administruojamų priemonių planavimas</w:t>
      </w:r>
      <w:r w:rsidR="002A4A40">
        <w:rPr>
          <w:lang w:eastAsia="lt-LT"/>
        </w:rPr>
        <w:t xml:space="preserve"> (82 proc.)</w:t>
      </w:r>
      <w:r>
        <w:rPr>
          <w:lang w:eastAsia="lt-LT"/>
        </w:rPr>
        <w:t xml:space="preserve"> nežymiai atsilieka nuo Veiksmų programos suplanuotų lėšų vidurkio</w:t>
      </w:r>
      <w:r w:rsidR="002A4A40">
        <w:rPr>
          <w:lang w:eastAsia="lt-LT"/>
        </w:rPr>
        <w:t xml:space="preserve"> (87 proc.)</w:t>
      </w:r>
      <w:r>
        <w:rPr>
          <w:lang w:eastAsia="lt-LT"/>
        </w:rPr>
        <w:t xml:space="preserve">. </w:t>
      </w:r>
      <w:r w:rsidR="002A4A40">
        <w:rPr>
          <w:lang w:eastAsia="lt-LT"/>
        </w:rPr>
        <w:t>Šiek tiek daugiau nuo vidurkio atsilieka sutarčių pasirašymas (67 proc. kai vidurkis 75 proc.) ir lėšų investavimas</w:t>
      </w:r>
      <w:r w:rsidR="003404D0">
        <w:rPr>
          <w:lang w:eastAsia="lt-LT"/>
        </w:rPr>
        <w:t xml:space="preserve"> </w:t>
      </w:r>
      <w:proofErr w:type="gramStart"/>
      <w:r w:rsidR="003404D0">
        <w:rPr>
          <w:lang w:eastAsia="lt-LT"/>
        </w:rPr>
        <w:t>(</w:t>
      </w:r>
      <w:proofErr w:type="gramEnd"/>
      <w:r w:rsidR="003404D0">
        <w:rPr>
          <w:lang w:eastAsia="lt-LT"/>
        </w:rPr>
        <w:t>22 proc. kai vidurkis 39 proc.)</w:t>
      </w:r>
      <w:r>
        <w:rPr>
          <w:lang w:eastAsia="lt-LT"/>
        </w:rPr>
        <w:t>.</w:t>
      </w:r>
    </w:p>
    <w:p w:rsidR="0018422D" w:rsidRDefault="0018422D" w:rsidP="0018422D">
      <w:pPr>
        <w:pStyle w:val="tekstas"/>
        <w:rPr>
          <w:lang w:eastAsia="lt-LT"/>
        </w:rPr>
      </w:pPr>
      <w:r>
        <w:rPr>
          <w:lang w:eastAsia="lt-LT"/>
        </w:rPr>
        <w:t xml:space="preserve">Finansų ministerija II </w:t>
      </w:r>
      <w:proofErr w:type="spellStart"/>
      <w:r>
        <w:rPr>
          <w:lang w:eastAsia="lt-LT"/>
        </w:rPr>
        <w:t>ketv</w:t>
      </w:r>
      <w:proofErr w:type="spellEnd"/>
      <w:r>
        <w:rPr>
          <w:lang w:eastAsia="lt-LT"/>
        </w:rPr>
        <w:t xml:space="preserve">. ataskaitoje pažymėjo, kad mokėjimų atsilikimą nulemia lėtas investavimas į MTEPI infrastruktūrą, nes dauguma projektų sutarčių sudaryta neseniai (per 2017–2018 m.), o projektų vykdytojai susiduria su ilgomis paruošiamosiomis projektų veiklomis ir nekokybiškai atliktu projektavimu. </w:t>
      </w:r>
      <w:r w:rsidR="00842959">
        <w:rPr>
          <w:lang w:eastAsia="lt-LT"/>
        </w:rPr>
        <w:t>D</w:t>
      </w:r>
      <w:r>
        <w:rPr>
          <w:lang w:eastAsia="lt-LT"/>
        </w:rPr>
        <w:t xml:space="preserve">idžiausioje </w:t>
      </w:r>
      <w:r w:rsidR="00842959">
        <w:rPr>
          <w:lang w:eastAsia="lt-LT"/>
        </w:rPr>
        <w:t xml:space="preserve">ministerijos administruojamoje </w:t>
      </w:r>
      <w:r>
        <w:rPr>
          <w:lang w:eastAsia="lt-LT"/>
        </w:rPr>
        <w:t xml:space="preserve">šio prioriteto </w:t>
      </w:r>
      <w:r w:rsidR="00842959">
        <w:rPr>
          <w:lang w:eastAsia="lt-LT"/>
        </w:rPr>
        <w:t xml:space="preserve">MTEPI infrastruktūros </w:t>
      </w:r>
      <w:r w:rsidR="00354584">
        <w:rPr>
          <w:lang w:eastAsia="lt-LT"/>
        </w:rPr>
        <w:t>priemonėje</w:t>
      </w:r>
      <w:r>
        <w:rPr>
          <w:lang w:eastAsia="lt-LT"/>
        </w:rPr>
        <w:t xml:space="preserve"> </w:t>
      </w:r>
      <w:r w:rsidR="00842959">
        <w:rPr>
          <w:lang w:eastAsia="lt-LT"/>
        </w:rPr>
        <w:t xml:space="preserve">ženklios pažangos neįvyko </w:t>
      </w:r>
      <w:proofErr w:type="gramStart"/>
      <w:r w:rsidR="00842959">
        <w:rPr>
          <w:lang w:eastAsia="lt-LT"/>
        </w:rPr>
        <w:t>-</w:t>
      </w:r>
      <w:proofErr w:type="gramEnd"/>
      <w:r w:rsidR="00842959">
        <w:rPr>
          <w:lang w:eastAsia="lt-LT"/>
        </w:rPr>
        <w:t xml:space="preserve"> </w:t>
      </w:r>
      <w:r>
        <w:rPr>
          <w:lang w:eastAsia="lt-LT"/>
        </w:rPr>
        <w:t xml:space="preserve">per 2019 m. III </w:t>
      </w:r>
      <w:proofErr w:type="spellStart"/>
      <w:r>
        <w:rPr>
          <w:lang w:eastAsia="lt-LT"/>
        </w:rPr>
        <w:t>ketv</w:t>
      </w:r>
      <w:proofErr w:type="spellEnd"/>
      <w:r>
        <w:rPr>
          <w:lang w:eastAsia="lt-LT"/>
        </w:rPr>
        <w:t xml:space="preserve">. išmokėta </w:t>
      </w:r>
      <w:r w:rsidR="003F3EFB">
        <w:rPr>
          <w:lang w:eastAsia="lt-LT"/>
        </w:rPr>
        <w:t>5</w:t>
      </w:r>
      <w:r>
        <w:rPr>
          <w:lang w:eastAsia="lt-LT"/>
        </w:rPr>
        <w:t xml:space="preserve"> mln. eurų</w:t>
      </w:r>
      <w:r w:rsidR="00842959">
        <w:rPr>
          <w:lang w:eastAsia="lt-LT"/>
        </w:rPr>
        <w:t xml:space="preserve"> iš priemonei skirtų 169 mln. eurų</w:t>
      </w:r>
      <w:r>
        <w:rPr>
          <w:lang w:eastAsia="lt-LT"/>
        </w:rPr>
        <w:t>. Pažymėtina</w:t>
      </w:r>
      <w:r w:rsidR="00842959">
        <w:rPr>
          <w:lang w:eastAsia="lt-LT"/>
        </w:rPr>
        <w:t xml:space="preserve">, kad net 6 projektų iš 10, kurių sutartys </w:t>
      </w:r>
      <w:r>
        <w:rPr>
          <w:lang w:eastAsia="lt-LT"/>
        </w:rPr>
        <w:t xml:space="preserve">buvo sudarytos 2018 metais, </w:t>
      </w:r>
      <w:r w:rsidR="004D5A89">
        <w:rPr>
          <w:lang w:eastAsia="lt-LT"/>
        </w:rPr>
        <w:t>lėšų investavimas nesiekia</w:t>
      </w:r>
      <w:r>
        <w:rPr>
          <w:lang w:eastAsia="lt-LT"/>
        </w:rPr>
        <w:t xml:space="preserve"> 10 proc.</w:t>
      </w:r>
    </w:p>
    <w:p w:rsidR="0018422D" w:rsidRDefault="0018422D" w:rsidP="0018422D">
      <w:pPr>
        <w:pStyle w:val="tekstas"/>
        <w:rPr>
          <w:lang w:eastAsia="lt-LT"/>
        </w:rPr>
      </w:pPr>
      <w:r>
        <w:rPr>
          <w:lang w:eastAsia="lt-LT"/>
        </w:rPr>
        <w:t xml:space="preserve">Per 2019 m. III </w:t>
      </w:r>
      <w:proofErr w:type="spellStart"/>
      <w:r>
        <w:rPr>
          <w:lang w:eastAsia="lt-LT"/>
        </w:rPr>
        <w:t>ketv</w:t>
      </w:r>
      <w:proofErr w:type="spellEnd"/>
      <w:r>
        <w:rPr>
          <w:lang w:eastAsia="lt-LT"/>
        </w:rPr>
        <w:t xml:space="preserve">. </w:t>
      </w:r>
      <w:r w:rsidR="00552D4F">
        <w:rPr>
          <w:lang w:eastAsia="lt-LT"/>
        </w:rPr>
        <w:t xml:space="preserve">infrastruktūros projektų </w:t>
      </w:r>
      <w:r>
        <w:rPr>
          <w:lang w:eastAsia="lt-LT"/>
        </w:rPr>
        <w:t xml:space="preserve">sutarčių </w:t>
      </w:r>
      <w:r w:rsidR="00552D4F">
        <w:rPr>
          <w:lang w:eastAsia="lt-LT"/>
        </w:rPr>
        <w:t xml:space="preserve">pasirašyta </w:t>
      </w:r>
      <w:r>
        <w:rPr>
          <w:lang w:eastAsia="lt-LT"/>
        </w:rPr>
        <w:t xml:space="preserve">už 8,9 mln. eurų, tačiau </w:t>
      </w:r>
      <w:r w:rsidR="00AE4207">
        <w:rPr>
          <w:lang w:eastAsia="lt-LT"/>
        </w:rPr>
        <w:t xml:space="preserve">dėl tebetaisomo investicijų projekto </w:t>
      </w:r>
      <w:r w:rsidR="00552D4F">
        <w:rPr>
          <w:lang w:eastAsia="lt-LT"/>
        </w:rPr>
        <w:t>Mokslo ir inovacijų sklaidos centro (Mokslo sala) projektas tebėra neįtrauktas į valstybės projektų sąrašą</w:t>
      </w:r>
      <w:r>
        <w:rPr>
          <w:lang w:eastAsia="lt-LT"/>
        </w:rPr>
        <w:t xml:space="preserve">. Nuo su Finansų ministerija suderinto ir vėliau koreguoto veiksmų plano atsiliekama 4 mėn. Todėl Švietimo, mokslo ir sporto ministerija turi įvertinti galimybes </w:t>
      </w:r>
      <w:r w:rsidR="00552D4F">
        <w:rPr>
          <w:lang w:eastAsia="lt-LT"/>
        </w:rPr>
        <w:t>šį</w:t>
      </w:r>
      <w:r>
        <w:rPr>
          <w:lang w:eastAsia="lt-LT"/>
        </w:rPr>
        <w:t xml:space="preserve"> projektą įgyvendinti iki finansavimo laikotarpio pabaigos ir nedelsiant apsispręsti dėl projekto finansavimo ar lėšų perskirstymo kitoms reikmėms.</w:t>
      </w:r>
    </w:p>
    <w:p w:rsidR="00AE4207" w:rsidRPr="00AE4207" w:rsidRDefault="00AE4207" w:rsidP="0018422D">
      <w:pPr>
        <w:pStyle w:val="tekstas"/>
        <w:rPr>
          <w:lang w:eastAsia="lt-LT"/>
        </w:rPr>
      </w:pPr>
      <w:r w:rsidRPr="00AE4207">
        <w:rPr>
          <w:lang w:eastAsia="lt-LT"/>
        </w:rPr>
        <w:t xml:space="preserve">Taip pat reikėtų pažymėti, kad Švietimo, mokslo ir sporto ministerija per III </w:t>
      </w:r>
      <w:proofErr w:type="spellStart"/>
      <w:r w:rsidRPr="00AE4207">
        <w:rPr>
          <w:lang w:eastAsia="lt-LT"/>
        </w:rPr>
        <w:t>ketv</w:t>
      </w:r>
      <w:proofErr w:type="spellEnd"/>
      <w:r w:rsidRPr="00AE4207">
        <w:rPr>
          <w:lang w:eastAsia="lt-LT"/>
        </w:rPr>
        <w:t>. nepaskelbė I</w:t>
      </w:r>
      <w:proofErr w:type="gramStart"/>
      <w:r w:rsidRPr="00AE4207">
        <w:rPr>
          <w:lang w:eastAsia="lt-LT"/>
        </w:rPr>
        <w:t>-</w:t>
      </w:r>
      <w:proofErr w:type="gramEnd"/>
      <w:r w:rsidRPr="00AE4207">
        <w:rPr>
          <w:lang w:eastAsia="lt-LT"/>
        </w:rPr>
        <w:t xml:space="preserve">III </w:t>
      </w:r>
      <w:proofErr w:type="spellStart"/>
      <w:r w:rsidRPr="00AE4207">
        <w:rPr>
          <w:lang w:eastAsia="lt-LT"/>
        </w:rPr>
        <w:t>ketv</w:t>
      </w:r>
      <w:proofErr w:type="spellEnd"/>
      <w:r w:rsidRPr="00AE4207">
        <w:rPr>
          <w:lang w:eastAsia="lt-LT"/>
        </w:rPr>
        <w:t xml:space="preserve">. planuotų kvietimų dėl tikslinių mokslinių tyrimų. Taip pat dar nėra </w:t>
      </w:r>
      <w:r w:rsidR="0037496E">
        <w:rPr>
          <w:lang w:eastAsia="lt-LT"/>
        </w:rPr>
        <w:t xml:space="preserve">priimti sprendimai dėl </w:t>
      </w:r>
      <w:r w:rsidRPr="00AE4207">
        <w:rPr>
          <w:lang w:eastAsia="lt-LT"/>
        </w:rPr>
        <w:t>lėš</w:t>
      </w:r>
      <w:r w:rsidR="0037496E">
        <w:rPr>
          <w:lang w:eastAsia="lt-LT"/>
        </w:rPr>
        <w:t>ų</w:t>
      </w:r>
      <w:r w:rsidRPr="00AE4207">
        <w:rPr>
          <w:lang w:eastAsia="lt-LT"/>
        </w:rPr>
        <w:t xml:space="preserve"> (21,6 mln.)</w:t>
      </w:r>
      <w:r w:rsidR="001B3690">
        <w:rPr>
          <w:lang w:eastAsia="lt-LT"/>
        </w:rPr>
        <w:t xml:space="preserve"> panaudojimo</w:t>
      </w:r>
      <w:r w:rsidRPr="00AE4207">
        <w:rPr>
          <w:lang w:eastAsia="lt-LT"/>
        </w:rPr>
        <w:t>, kurias ministerija planavo skirti „Horizontas 2020“ programos finansavimą gavusiems projektams,</w:t>
      </w:r>
      <w:r w:rsidR="0037496E">
        <w:rPr>
          <w:lang w:eastAsia="lt-LT"/>
        </w:rPr>
        <w:t xml:space="preserve"> </w:t>
      </w:r>
      <w:r w:rsidRPr="00AE4207">
        <w:rPr>
          <w:lang w:eastAsia="lt-LT"/>
        </w:rPr>
        <w:t xml:space="preserve">nors jau nuo II </w:t>
      </w:r>
      <w:proofErr w:type="spellStart"/>
      <w:r w:rsidRPr="00AE4207">
        <w:rPr>
          <w:lang w:eastAsia="lt-LT"/>
        </w:rPr>
        <w:t>ketv</w:t>
      </w:r>
      <w:proofErr w:type="spellEnd"/>
      <w:r w:rsidRPr="00AE4207">
        <w:rPr>
          <w:lang w:eastAsia="lt-LT"/>
        </w:rPr>
        <w:t>. pradžios žinoma, kad Lietuvos pr</w:t>
      </w:r>
      <w:r>
        <w:rPr>
          <w:lang w:eastAsia="lt-LT"/>
        </w:rPr>
        <w:t>ojektai šio finansavimo negavo.</w:t>
      </w:r>
      <w:r w:rsidR="001B3690">
        <w:rPr>
          <w:lang w:eastAsia="lt-LT"/>
        </w:rPr>
        <w:t xml:space="preserve"> Švietimo, mokslo ir sporto ministerija turi inicijuoti papildom</w:t>
      </w:r>
      <w:r w:rsidR="00654CB8">
        <w:rPr>
          <w:lang w:eastAsia="lt-LT"/>
        </w:rPr>
        <w:t>us veiksmus</w:t>
      </w:r>
      <w:r w:rsidR="001B3690">
        <w:rPr>
          <w:lang w:eastAsia="lt-LT"/>
        </w:rPr>
        <w:t xml:space="preserve"> </w:t>
      </w:r>
      <w:r w:rsidR="00654CB8">
        <w:rPr>
          <w:lang w:eastAsia="lt-LT"/>
        </w:rPr>
        <w:t>sudarančius</w:t>
      </w:r>
      <w:r w:rsidR="001B3690">
        <w:rPr>
          <w:lang w:eastAsia="lt-LT"/>
        </w:rPr>
        <w:t xml:space="preserve"> prielaidas Lietuvos mokslo ir studijų</w:t>
      </w:r>
      <w:r w:rsidR="006E53B6">
        <w:rPr>
          <w:lang w:eastAsia="lt-LT"/>
        </w:rPr>
        <w:t xml:space="preserve"> </w:t>
      </w:r>
      <w:r w:rsidR="001B3690">
        <w:rPr>
          <w:lang w:eastAsia="lt-LT"/>
        </w:rPr>
        <w:t xml:space="preserve">institucijų </w:t>
      </w:r>
      <w:r w:rsidR="00654CB8">
        <w:rPr>
          <w:lang w:eastAsia="lt-LT"/>
        </w:rPr>
        <w:t>sėkmingam</w:t>
      </w:r>
      <w:r w:rsidR="001B3690">
        <w:rPr>
          <w:lang w:eastAsia="lt-LT"/>
        </w:rPr>
        <w:t xml:space="preserve"> dalyvavi</w:t>
      </w:r>
      <w:r w:rsidR="00A352D2">
        <w:rPr>
          <w:lang w:eastAsia="lt-LT"/>
        </w:rPr>
        <w:t>mui</w:t>
      </w:r>
      <w:r w:rsidR="001B3690">
        <w:rPr>
          <w:lang w:eastAsia="lt-LT"/>
        </w:rPr>
        <w:t xml:space="preserve"> </w:t>
      </w:r>
      <w:r w:rsidR="00A352D2" w:rsidRPr="00A352D2">
        <w:rPr>
          <w:lang w:eastAsia="lt-LT"/>
        </w:rPr>
        <w:t>„Horizontas 2020“</w:t>
      </w:r>
      <w:r w:rsidR="00A352D2">
        <w:rPr>
          <w:lang w:eastAsia="lt-LT"/>
        </w:rPr>
        <w:t xml:space="preserve"> programoje. </w:t>
      </w:r>
    </w:p>
    <w:p w:rsidR="006B2247" w:rsidRDefault="00423F61" w:rsidP="0018422D">
      <w:pPr>
        <w:pStyle w:val="tekstas"/>
        <w:rPr>
          <w:lang w:eastAsia="lt-LT"/>
        </w:rPr>
      </w:pPr>
      <w:r>
        <w:rPr>
          <w:lang w:eastAsia="lt-LT"/>
        </w:rPr>
        <w:t>Be to, n</w:t>
      </w:r>
      <w:r w:rsidR="0018422D">
        <w:rPr>
          <w:lang w:eastAsia="lt-LT"/>
        </w:rPr>
        <w:t xml:space="preserve">eįgyvendinta I </w:t>
      </w:r>
      <w:proofErr w:type="spellStart"/>
      <w:r w:rsidR="0018422D">
        <w:rPr>
          <w:lang w:eastAsia="lt-LT"/>
        </w:rPr>
        <w:t>ketv</w:t>
      </w:r>
      <w:proofErr w:type="spellEnd"/>
      <w:r w:rsidR="0018422D">
        <w:rPr>
          <w:lang w:eastAsia="lt-LT"/>
        </w:rPr>
        <w:t xml:space="preserve">. Lietuvos Respublikos Vyriausybės ataskaitoje teikta rekomendacija sudaryti komunikavimo ir pareiškėjų aktyvumo skatinimo veiksmų planą pagal paskelbtus 1 prioriteto konkursinių priemonių kvietimus. Ministerija yra informavusi, kad skelbia informaciją apie paskelbtus ir planuojamus konkursinius kvietimus savo interneto svetainėje, esant poreikiui mokslo ir studijų institucijos el. paštu papildomai informuojamos apie paskelbtus kvietimus, vyksta informaciniai renginiai bei mokymai pareiškėjams. </w:t>
      </w:r>
      <w:r w:rsidR="002B7F48">
        <w:rPr>
          <w:lang w:eastAsia="lt-LT"/>
        </w:rPr>
        <w:t xml:space="preserve">Finansų ministerijos </w:t>
      </w:r>
      <w:r w:rsidR="00AA549D">
        <w:rPr>
          <w:lang w:eastAsia="lt-LT"/>
        </w:rPr>
        <w:t xml:space="preserve">nuomone rekomendacija nėra įgyvendinta, nes </w:t>
      </w:r>
      <w:r w:rsidR="00AE4207" w:rsidRPr="00AE4207">
        <w:rPr>
          <w:lang w:eastAsia="lt-LT"/>
        </w:rPr>
        <w:t>ministerija nurodo tik įprastus pagal taisykles privalomus informavimo veiksmus, o rekomendacijoje prašoma papildomų pastangų ir sistemiškesnės veiklos aktyvinant pareiškėjų dalyvavimą kvietimuose, kuriuose sulaukiama ypač mažai paraiškų.</w:t>
      </w:r>
    </w:p>
    <w:p w:rsidR="009D1BFB" w:rsidRPr="00272681" w:rsidRDefault="009D1BFB" w:rsidP="0018422D">
      <w:pPr>
        <w:pStyle w:val="tekstas"/>
        <w:rPr>
          <w:lang w:eastAsia="lt-LT"/>
        </w:rPr>
      </w:pPr>
      <w:r w:rsidRPr="00272681">
        <w:rPr>
          <w:lang w:eastAsia="lt-LT"/>
        </w:rPr>
        <w:t>Taip pat siekiant paskatinti finansinės priemonės „Ko</w:t>
      </w:r>
      <w:proofErr w:type="gramStart"/>
      <w:r w:rsidRPr="00272681">
        <w:rPr>
          <w:lang w:eastAsia="lt-LT"/>
        </w:rPr>
        <w:t>-</w:t>
      </w:r>
      <w:proofErr w:type="gramEnd"/>
      <w:r w:rsidRPr="00272681">
        <w:rPr>
          <w:lang w:eastAsia="lt-LT"/>
        </w:rPr>
        <w:t xml:space="preserve">investicinis fondas MTEPI“ įgyvendinimą 2019 m. birželio 18 d. pasitarimo pas Ministrą Pirmininką protokolu Nr. 2 buvo suformuotas pavedimas Švietimo mokslo ir sporto ministerijai patikslinti Kasmetinio universitetų ir mokslinių tyrimų institutų mokslinių tyrimų ir eksperimentinės plėtros ir meno veiklos vertinimo reglamentą, tačiau reglamentas nėra patikslintas, todėl universitetai ir mokslinių tyrimų institutai nėra vertinami </w:t>
      </w:r>
      <w:r w:rsidR="00105A8E" w:rsidRPr="00272681">
        <w:rPr>
          <w:lang w:eastAsia="lt-LT"/>
        </w:rPr>
        <w:t xml:space="preserve">ir finansiškai skatinami dėl </w:t>
      </w:r>
      <w:proofErr w:type="spellStart"/>
      <w:r w:rsidR="00105A8E" w:rsidRPr="00272681">
        <w:rPr>
          <w:lang w:eastAsia="lt-LT"/>
        </w:rPr>
        <w:t>atžalinių</w:t>
      </w:r>
      <w:proofErr w:type="spellEnd"/>
      <w:r w:rsidR="00105A8E" w:rsidRPr="00272681">
        <w:rPr>
          <w:lang w:eastAsia="lt-LT"/>
        </w:rPr>
        <w:t xml:space="preserve"> įmonių steigimo.</w:t>
      </w:r>
    </w:p>
    <w:p w:rsidR="00365B19" w:rsidRPr="009D1BFB" w:rsidRDefault="00365B19" w:rsidP="0018422D">
      <w:pPr>
        <w:pStyle w:val="tekstas"/>
        <w:rPr>
          <w:rFonts w:ascii="Times New Roman" w:hAnsi="Times New Roman"/>
          <w:lang w:val="en-US"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B2247" w:rsidRPr="00CA6C8A" w:rsidTr="00AB31B8">
        <w:tc>
          <w:tcPr>
            <w:tcW w:w="9638" w:type="dxa"/>
            <w:tcBorders>
              <w:top w:val="nil"/>
              <w:left w:val="nil"/>
              <w:bottom w:val="nil"/>
              <w:right w:val="nil"/>
            </w:tcBorders>
            <w:shd w:val="clear" w:color="auto" w:fill="D9D9D9" w:themeFill="background1" w:themeFillShade="D9"/>
          </w:tcPr>
          <w:p w:rsidR="006B2247" w:rsidRPr="007F76B8" w:rsidRDefault="003404D0" w:rsidP="00AB31B8">
            <w:pPr>
              <w:pStyle w:val="tekstas"/>
              <w:ind w:firstLine="0"/>
              <w:rPr>
                <w:b/>
                <w:color w:val="365F91" w:themeColor="accent1" w:themeShade="BF"/>
                <w:szCs w:val="20"/>
              </w:rPr>
            </w:pPr>
            <w:r>
              <w:rPr>
                <w:b/>
                <w:color w:val="365F91" w:themeColor="accent1" w:themeShade="BF"/>
                <w:szCs w:val="20"/>
              </w:rPr>
              <w:t>Siūlymai</w:t>
            </w:r>
            <w:r w:rsidR="006B2247" w:rsidRPr="007F76B8">
              <w:rPr>
                <w:b/>
                <w:color w:val="365F91" w:themeColor="accent1" w:themeShade="BF"/>
                <w:szCs w:val="20"/>
              </w:rPr>
              <w:t xml:space="preserve"> </w:t>
            </w:r>
            <w:r w:rsidRPr="003404D0">
              <w:rPr>
                <w:b/>
                <w:color w:val="365F91" w:themeColor="accent1" w:themeShade="BF"/>
                <w:szCs w:val="20"/>
              </w:rPr>
              <w:t>Švieti</w:t>
            </w:r>
            <w:r>
              <w:rPr>
                <w:b/>
                <w:color w:val="365F91" w:themeColor="accent1" w:themeShade="BF"/>
                <w:szCs w:val="20"/>
              </w:rPr>
              <w:t>mo mokslo ir sporto ministerijai</w:t>
            </w:r>
            <w:r w:rsidR="006B2247" w:rsidRPr="007F76B8">
              <w:rPr>
                <w:b/>
                <w:color w:val="365F91" w:themeColor="accent1" w:themeShade="BF"/>
                <w:szCs w:val="20"/>
              </w:rPr>
              <w:t>:</w:t>
            </w:r>
          </w:p>
          <w:p w:rsidR="00EA6992" w:rsidRDefault="00AE4207" w:rsidP="004A5364">
            <w:pPr>
              <w:pStyle w:val="tekstas"/>
              <w:ind w:firstLine="0"/>
              <w:rPr>
                <w:color w:val="365F91" w:themeColor="accent1" w:themeShade="BF"/>
                <w:szCs w:val="20"/>
              </w:rPr>
            </w:pPr>
            <w:r w:rsidRPr="00AE4207">
              <w:rPr>
                <w:color w:val="365F91" w:themeColor="accent1" w:themeShade="BF"/>
                <w:szCs w:val="20"/>
              </w:rPr>
              <w:t xml:space="preserve">- Iki 2019 m. lapkričio 15 d. baigti </w:t>
            </w:r>
            <w:r w:rsidR="0007282F">
              <w:rPr>
                <w:color w:val="365F91" w:themeColor="accent1" w:themeShade="BF"/>
                <w:szCs w:val="20"/>
              </w:rPr>
              <w:t xml:space="preserve">„Mokslo salos“ </w:t>
            </w:r>
            <w:r w:rsidRPr="00AE4207">
              <w:rPr>
                <w:color w:val="365F91" w:themeColor="accent1" w:themeShade="BF"/>
                <w:szCs w:val="20"/>
              </w:rPr>
              <w:t>investicijų projekto vertinimą ir sprendimą dėl projekto įtraukimo į projektų sąrašą priimti tik įsitikinus investicijų efektyvumu, atitikimu PFSA nustatytoms sąlygoms bei išanalizavus galimybes šį projektą įgyvendinti iki fi</w:t>
            </w:r>
            <w:r w:rsidR="00EA6992">
              <w:rPr>
                <w:color w:val="365F91" w:themeColor="accent1" w:themeShade="BF"/>
                <w:szCs w:val="20"/>
              </w:rPr>
              <w:t xml:space="preserve">nansavimo </w:t>
            </w:r>
            <w:r w:rsidR="00EA6992">
              <w:rPr>
                <w:color w:val="365F91" w:themeColor="accent1" w:themeShade="BF"/>
                <w:szCs w:val="20"/>
              </w:rPr>
              <w:lastRenderedPageBreak/>
              <w:t>laikotarpio pabaigos.</w:t>
            </w:r>
          </w:p>
          <w:p w:rsidR="00AE4207" w:rsidRPr="00AE4207" w:rsidRDefault="00AE4207" w:rsidP="004A5364">
            <w:pPr>
              <w:pStyle w:val="tekstas"/>
              <w:ind w:firstLine="0"/>
              <w:rPr>
                <w:color w:val="365F91" w:themeColor="accent1" w:themeShade="BF"/>
                <w:szCs w:val="20"/>
              </w:rPr>
            </w:pPr>
            <w:r w:rsidRPr="00AE4207">
              <w:rPr>
                <w:color w:val="365F91" w:themeColor="accent1" w:themeShade="BF"/>
                <w:szCs w:val="20"/>
              </w:rPr>
              <w:t xml:space="preserve">- Iki 2019 m. pabaigos paskelbti kvietimus pagal priemones tikslinių mokslinių tyrimų ir MTEP rezultatų </w:t>
            </w:r>
            <w:proofErr w:type="spellStart"/>
            <w:r w:rsidRPr="00AE4207">
              <w:rPr>
                <w:color w:val="365F91" w:themeColor="accent1" w:themeShade="BF"/>
                <w:szCs w:val="20"/>
              </w:rPr>
              <w:t>komercinimo</w:t>
            </w:r>
            <w:proofErr w:type="spellEnd"/>
            <w:r w:rsidRPr="00AE4207">
              <w:rPr>
                <w:color w:val="365F91" w:themeColor="accent1" w:themeShade="BF"/>
                <w:szCs w:val="20"/>
              </w:rPr>
              <w:t xml:space="preserve"> ir </w:t>
            </w:r>
            <w:proofErr w:type="spellStart"/>
            <w:r w:rsidRPr="00AE4207">
              <w:rPr>
                <w:color w:val="365F91" w:themeColor="accent1" w:themeShade="BF"/>
                <w:szCs w:val="20"/>
              </w:rPr>
              <w:t>tarptautiškumo</w:t>
            </w:r>
            <w:proofErr w:type="spellEnd"/>
            <w:r w:rsidRPr="00AE4207">
              <w:rPr>
                <w:color w:val="365F91" w:themeColor="accent1" w:themeShade="BF"/>
                <w:szCs w:val="20"/>
              </w:rPr>
              <w:t xml:space="preserve"> skatinimo priemonėse.</w:t>
            </w:r>
          </w:p>
          <w:p w:rsidR="006B2247" w:rsidRDefault="00AE4207" w:rsidP="00EA6992">
            <w:pPr>
              <w:pStyle w:val="tekstas"/>
              <w:ind w:firstLine="0"/>
              <w:rPr>
                <w:color w:val="365F91" w:themeColor="accent1" w:themeShade="BF"/>
                <w:szCs w:val="20"/>
              </w:rPr>
            </w:pPr>
            <w:r w:rsidRPr="00AE4207">
              <w:rPr>
                <w:color w:val="365F91" w:themeColor="accent1" w:themeShade="BF"/>
                <w:szCs w:val="20"/>
              </w:rPr>
              <w:t xml:space="preserve">- </w:t>
            </w:r>
            <w:r w:rsidR="004F58CF">
              <w:rPr>
                <w:color w:val="365F91" w:themeColor="accent1" w:themeShade="BF"/>
                <w:szCs w:val="20"/>
              </w:rPr>
              <w:t>Į</w:t>
            </w:r>
            <w:r w:rsidR="004F58CF" w:rsidRPr="004F58CF">
              <w:rPr>
                <w:color w:val="365F91" w:themeColor="accent1" w:themeShade="BF"/>
                <w:szCs w:val="20"/>
              </w:rPr>
              <w:t xml:space="preserve">vertinti </w:t>
            </w:r>
            <w:r w:rsidR="004F58CF" w:rsidRPr="00AE4207">
              <w:rPr>
                <w:color w:val="365F91" w:themeColor="accent1" w:themeShade="BF"/>
                <w:szCs w:val="20"/>
              </w:rPr>
              <w:t xml:space="preserve">„Horizontas 2020“ </w:t>
            </w:r>
            <w:r w:rsidR="004F58CF" w:rsidRPr="004F58CF">
              <w:rPr>
                <w:color w:val="365F91" w:themeColor="accent1" w:themeShade="BF"/>
                <w:szCs w:val="20"/>
              </w:rPr>
              <w:t>programos finansavimo negavusiems projektams rezervuotų lėšų perskirstymo poreikį</w:t>
            </w:r>
            <w:r w:rsidR="004F58CF">
              <w:rPr>
                <w:color w:val="365F91" w:themeColor="accent1" w:themeShade="BF"/>
                <w:szCs w:val="20"/>
              </w:rPr>
              <w:t xml:space="preserve"> ir</w:t>
            </w:r>
            <w:r w:rsidR="004F58CF" w:rsidRPr="004F58CF">
              <w:rPr>
                <w:color w:val="365F91" w:themeColor="accent1" w:themeShade="BF"/>
                <w:szCs w:val="20"/>
              </w:rPr>
              <w:t xml:space="preserve"> </w:t>
            </w:r>
            <w:r w:rsidR="004F58CF">
              <w:rPr>
                <w:color w:val="365F91" w:themeColor="accent1" w:themeShade="BF"/>
                <w:szCs w:val="20"/>
              </w:rPr>
              <w:t>i</w:t>
            </w:r>
            <w:r w:rsidRPr="00AE4207">
              <w:rPr>
                <w:color w:val="365F91" w:themeColor="accent1" w:themeShade="BF"/>
                <w:szCs w:val="20"/>
              </w:rPr>
              <w:t xml:space="preserve">ki 2019 m. </w:t>
            </w:r>
            <w:r w:rsidR="002D008F">
              <w:rPr>
                <w:color w:val="365F91" w:themeColor="accent1" w:themeShade="BF"/>
                <w:szCs w:val="20"/>
              </w:rPr>
              <w:t>pabaigos</w:t>
            </w:r>
            <w:r w:rsidRPr="00AE4207">
              <w:rPr>
                <w:color w:val="365F91" w:themeColor="accent1" w:themeShade="BF"/>
                <w:szCs w:val="20"/>
              </w:rPr>
              <w:t xml:space="preserve"> </w:t>
            </w:r>
            <w:r w:rsidR="004F58CF">
              <w:rPr>
                <w:color w:val="365F91" w:themeColor="accent1" w:themeShade="BF"/>
                <w:szCs w:val="20"/>
              </w:rPr>
              <w:t>priimti susijusius sprendimus</w:t>
            </w:r>
            <w:r w:rsidRPr="00AE4207">
              <w:rPr>
                <w:color w:val="365F91" w:themeColor="accent1" w:themeShade="BF"/>
                <w:szCs w:val="20"/>
              </w:rPr>
              <w:t>.</w:t>
            </w:r>
          </w:p>
          <w:p w:rsidR="00A352D2" w:rsidRDefault="00A352D2" w:rsidP="00EA6992">
            <w:pPr>
              <w:pStyle w:val="tekstas"/>
              <w:ind w:firstLine="0"/>
              <w:rPr>
                <w:color w:val="365F91" w:themeColor="accent1" w:themeShade="BF"/>
                <w:szCs w:val="20"/>
              </w:rPr>
            </w:pPr>
            <w:r>
              <w:rPr>
                <w:color w:val="365F91" w:themeColor="accent1" w:themeShade="BF"/>
                <w:szCs w:val="20"/>
              </w:rPr>
              <w:t xml:space="preserve">- </w:t>
            </w:r>
            <w:r w:rsidR="00272681">
              <w:rPr>
                <w:color w:val="365F91" w:themeColor="accent1" w:themeShade="BF"/>
                <w:szCs w:val="20"/>
              </w:rPr>
              <w:t>I</w:t>
            </w:r>
            <w:r w:rsidR="002D008F" w:rsidRPr="002D008F">
              <w:rPr>
                <w:color w:val="365F91" w:themeColor="accent1" w:themeShade="BF"/>
                <w:szCs w:val="20"/>
              </w:rPr>
              <w:t>ki 20</w:t>
            </w:r>
            <w:r w:rsidR="00E004AC">
              <w:rPr>
                <w:color w:val="365F91" w:themeColor="accent1" w:themeShade="BF"/>
                <w:szCs w:val="20"/>
              </w:rPr>
              <w:t>19 m.</w:t>
            </w:r>
            <w:r w:rsidR="002D008F" w:rsidRPr="002D008F">
              <w:rPr>
                <w:color w:val="365F91" w:themeColor="accent1" w:themeShade="BF"/>
                <w:szCs w:val="20"/>
              </w:rPr>
              <w:t xml:space="preserve"> pabaigos sudaryti sąlygas </w:t>
            </w:r>
            <w:r w:rsidR="0020754E">
              <w:rPr>
                <w:color w:val="365F91" w:themeColor="accent1" w:themeShade="BF"/>
                <w:szCs w:val="20"/>
              </w:rPr>
              <w:t>mokslo ir studijų institucijoms</w:t>
            </w:r>
            <w:r w:rsidR="002D008F" w:rsidRPr="002D008F">
              <w:rPr>
                <w:color w:val="365F91" w:themeColor="accent1" w:themeShade="BF"/>
                <w:szCs w:val="20"/>
              </w:rPr>
              <w:t xml:space="preserve"> pasirengti dalyvavimui „Horizontas 2020“ programoje, </w:t>
            </w:r>
            <w:r w:rsidR="00E004AC">
              <w:rPr>
                <w:color w:val="365F91" w:themeColor="accent1" w:themeShade="BF"/>
                <w:szCs w:val="20"/>
              </w:rPr>
              <w:t>patvirtinan</w:t>
            </w:r>
            <w:r w:rsidR="00E004AC" w:rsidRPr="00E004AC">
              <w:rPr>
                <w:color w:val="365F91" w:themeColor="accent1" w:themeShade="BF"/>
                <w:szCs w:val="20"/>
              </w:rPr>
              <w:t>t naują priemonę arba pakeičiant esamą</w:t>
            </w:r>
            <w:r w:rsidR="00A24601">
              <w:rPr>
                <w:color w:val="365F91" w:themeColor="accent1" w:themeShade="BF"/>
                <w:szCs w:val="20"/>
              </w:rPr>
              <w:t xml:space="preserve"> </w:t>
            </w:r>
            <w:r w:rsidR="00E004AC">
              <w:rPr>
                <w:color w:val="365F91" w:themeColor="accent1" w:themeShade="BF"/>
                <w:szCs w:val="20"/>
              </w:rPr>
              <w:t>,,</w:t>
            </w:r>
            <w:r w:rsidR="00A24601">
              <w:rPr>
                <w:color w:val="365F91" w:themeColor="accent1" w:themeShade="BF"/>
                <w:szCs w:val="20"/>
              </w:rPr>
              <w:t>Ekscelencijos centrų veiklos skatinimas sumanios specializacijos kryptyse</w:t>
            </w:r>
            <w:r w:rsidR="00E004AC">
              <w:rPr>
                <w:color w:val="365F91" w:themeColor="accent1" w:themeShade="BF"/>
                <w:szCs w:val="20"/>
              </w:rPr>
              <w:t xml:space="preserve">“, pagal kurią projektai atrenkami </w:t>
            </w:r>
            <w:r w:rsidR="002D008F" w:rsidRPr="002D008F">
              <w:rPr>
                <w:color w:val="365F91" w:themeColor="accent1" w:themeShade="BF"/>
                <w:szCs w:val="20"/>
              </w:rPr>
              <w:t>valstybės projektų planavimo būdu.</w:t>
            </w:r>
          </w:p>
          <w:p w:rsidR="00AF0AF2" w:rsidRPr="00272681" w:rsidRDefault="00AF0AF2" w:rsidP="00272681">
            <w:pPr>
              <w:pStyle w:val="Betarp"/>
              <w:jc w:val="both"/>
              <w:rPr>
                <w:rFonts w:asciiTheme="minorHAnsi" w:hAnsiTheme="minorHAnsi"/>
                <w:color w:val="365F91" w:themeColor="accent1" w:themeShade="BF"/>
              </w:rPr>
            </w:pPr>
            <w:r w:rsidRPr="00272681">
              <w:rPr>
                <w:rFonts w:asciiTheme="minorHAnsi" w:hAnsiTheme="minorHAnsi"/>
                <w:color w:val="365F91" w:themeColor="accent1" w:themeShade="BF"/>
              </w:rPr>
              <w:t xml:space="preserve">- </w:t>
            </w:r>
            <w:r w:rsidR="00272681">
              <w:rPr>
                <w:rFonts w:asciiTheme="minorHAnsi" w:hAnsiTheme="minorHAnsi"/>
                <w:color w:val="365F91" w:themeColor="accent1" w:themeShade="BF"/>
              </w:rPr>
              <w:t>P</w:t>
            </w:r>
            <w:r w:rsidR="00242661" w:rsidRPr="00272681">
              <w:rPr>
                <w:rFonts w:asciiTheme="minorHAnsi" w:hAnsiTheme="minorHAnsi"/>
                <w:color w:val="365F91" w:themeColor="accent1" w:themeShade="BF"/>
              </w:rPr>
              <w:t xml:space="preserve">atikslinti ir iki 2019 m. lapkričio 29 d. patvirtinti </w:t>
            </w:r>
            <w:r w:rsidRPr="00272681">
              <w:rPr>
                <w:rFonts w:asciiTheme="minorHAnsi" w:hAnsiTheme="minorHAnsi"/>
                <w:color w:val="365F91" w:themeColor="accent1" w:themeShade="BF"/>
              </w:rPr>
              <w:t xml:space="preserve">Kasmetinio universitetų ir mokslinių tyrimų institutų mokslinių tyrimų ir eksperimentinės plėtros ir meno veiklos vertinimo reglamentą, patvirtintą Lietuvos Respublikos </w:t>
            </w:r>
            <w:proofErr w:type="gramStart"/>
            <w:r w:rsidRPr="00272681">
              <w:rPr>
                <w:rFonts w:asciiTheme="minorHAnsi" w:hAnsiTheme="minorHAnsi"/>
                <w:color w:val="365F91" w:themeColor="accent1" w:themeShade="BF"/>
              </w:rPr>
              <w:t>švietimo ir mokslo ministro</w:t>
            </w:r>
            <w:proofErr w:type="gramEnd"/>
            <w:r w:rsidRPr="00272681">
              <w:rPr>
                <w:rFonts w:asciiTheme="minorHAnsi" w:hAnsiTheme="minorHAnsi"/>
                <w:color w:val="365F91" w:themeColor="accent1" w:themeShade="BF"/>
              </w:rPr>
              <w:t xml:space="preserve"> 2017 m. spalio 4 d. įsakymu Nr. V-747 „Dėl kasmetinio universitetų ir mokslinių tyrimų institutų mokslinių tyrimų ir eksperimentinės plėtros ir meno veiklos vertinimo reglamento patvirtinimo“ papildant jį vertinimo kriterijumi, kuris apimtų </w:t>
            </w:r>
            <w:proofErr w:type="spellStart"/>
            <w:r w:rsidRPr="00272681">
              <w:rPr>
                <w:rFonts w:asciiTheme="minorHAnsi" w:hAnsiTheme="minorHAnsi"/>
                <w:color w:val="365F91" w:themeColor="accent1" w:themeShade="BF"/>
              </w:rPr>
              <w:t>atžalinių</w:t>
            </w:r>
            <w:proofErr w:type="spellEnd"/>
            <w:r w:rsidRPr="00272681">
              <w:rPr>
                <w:rFonts w:asciiTheme="minorHAnsi" w:hAnsiTheme="minorHAnsi"/>
                <w:color w:val="365F91" w:themeColor="accent1" w:themeShade="BF"/>
              </w:rPr>
              <w:t xml:space="preserve"> įmonių kūrimą.</w:t>
            </w:r>
          </w:p>
        </w:tc>
      </w:tr>
    </w:tbl>
    <w:p w:rsidR="00AC2474" w:rsidRDefault="00AC2474" w:rsidP="003404D0">
      <w:pPr>
        <w:pStyle w:val="tekstas"/>
        <w:ind w:firstLine="0"/>
        <w:rPr>
          <w:lang w:eastAsia="lt-LT"/>
        </w:rPr>
      </w:pPr>
    </w:p>
    <w:p w:rsidR="003404D0" w:rsidRDefault="00DF1230" w:rsidP="003404D0">
      <w:pPr>
        <w:pStyle w:val="tekstas"/>
        <w:ind w:firstLine="0"/>
        <w:rPr>
          <w:lang w:eastAsia="lt-LT"/>
        </w:rPr>
      </w:pPr>
      <w:r>
        <w:rPr>
          <w:noProof/>
          <w:lang w:eastAsia="lt-LT"/>
        </w:rPr>
        <w:drawing>
          <wp:inline distT="0" distB="0" distL="0" distR="0" wp14:anchorId="706E9209" wp14:editId="5CE5692A">
            <wp:extent cx="6120130" cy="586749"/>
            <wp:effectExtent l="0" t="0" r="13970" b="2286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3087" w:rsidRDefault="0018422D" w:rsidP="00443A66">
      <w:pPr>
        <w:pStyle w:val="tekstas"/>
        <w:rPr>
          <w:lang w:eastAsia="lt-LT"/>
        </w:rPr>
      </w:pPr>
      <w:r>
        <w:rPr>
          <w:lang w:eastAsia="lt-LT"/>
        </w:rPr>
        <w:t xml:space="preserve">Ekonomikos ir inovacijų ministerijos 1 prioriteto administruojamų priemonių planavimas ir įgyvendinimas atsilieka nuo vidutinio Veiksmų programos planavimo ir įgyvendinimo tempo. Suplanuotas 78 proc. ministerijai skirtų ES fondų lėšų, sutarčių pasirašyta už </w:t>
      </w:r>
      <w:r w:rsidR="001F3087">
        <w:rPr>
          <w:lang w:eastAsia="lt-LT"/>
        </w:rPr>
        <w:t>63 proc., o investuota 23 proc.</w:t>
      </w:r>
      <w:r w:rsidR="002B7F48">
        <w:rPr>
          <w:lang w:eastAsia="lt-LT"/>
        </w:rPr>
        <w:t xml:space="preserve"> </w:t>
      </w:r>
    </w:p>
    <w:p w:rsidR="0018422D" w:rsidRDefault="0025505B" w:rsidP="00443A66">
      <w:pPr>
        <w:pStyle w:val="tekstas"/>
        <w:rPr>
          <w:lang w:eastAsia="lt-LT"/>
        </w:rPr>
      </w:pPr>
      <w:r>
        <w:rPr>
          <w:lang w:eastAsia="lt-LT"/>
        </w:rPr>
        <w:t>Nepaisant to</w:t>
      </w:r>
      <w:r w:rsidR="00BE25B0">
        <w:rPr>
          <w:lang w:eastAsia="lt-LT"/>
        </w:rPr>
        <w:t>, investicijos šioje srityje</w:t>
      </w:r>
      <w:r w:rsidR="0018422D">
        <w:rPr>
          <w:lang w:eastAsia="lt-LT"/>
        </w:rPr>
        <w:t xml:space="preserve"> nuosekliai auga, 2019 m. I</w:t>
      </w:r>
      <w:proofErr w:type="gramStart"/>
      <w:r w:rsidR="0018422D">
        <w:rPr>
          <w:lang w:eastAsia="lt-LT"/>
        </w:rPr>
        <w:t>-</w:t>
      </w:r>
      <w:proofErr w:type="gramEnd"/>
      <w:r w:rsidR="0018422D">
        <w:rPr>
          <w:lang w:eastAsia="lt-LT"/>
        </w:rPr>
        <w:t xml:space="preserve">III </w:t>
      </w:r>
      <w:proofErr w:type="spellStart"/>
      <w:r w:rsidR="0018422D">
        <w:rPr>
          <w:lang w:eastAsia="lt-LT"/>
        </w:rPr>
        <w:t>ketv</w:t>
      </w:r>
      <w:proofErr w:type="spellEnd"/>
      <w:r w:rsidR="0018422D">
        <w:rPr>
          <w:lang w:eastAsia="lt-LT"/>
        </w:rPr>
        <w:t xml:space="preserve">. </w:t>
      </w:r>
      <w:r w:rsidR="00BE25B0">
        <w:rPr>
          <w:lang w:eastAsia="lt-LT"/>
        </w:rPr>
        <w:t>investuota</w:t>
      </w:r>
      <w:r w:rsidR="0018422D">
        <w:rPr>
          <w:lang w:eastAsia="lt-LT"/>
        </w:rPr>
        <w:t xml:space="preserve"> daugiau nei 38 mln. eurų, kai tuo tarpu per visus 2018 m. buvo </w:t>
      </w:r>
      <w:r w:rsidR="00BE25B0">
        <w:rPr>
          <w:lang w:eastAsia="lt-LT"/>
        </w:rPr>
        <w:t>investuota</w:t>
      </w:r>
      <w:r w:rsidR="0018422D">
        <w:rPr>
          <w:lang w:eastAsia="lt-LT"/>
        </w:rPr>
        <w:t xml:space="preserve"> 33 mln. eurų. </w:t>
      </w:r>
      <w:r w:rsidR="001F3087">
        <w:rPr>
          <w:lang w:eastAsia="lt-LT"/>
        </w:rPr>
        <w:t>LVPA</w:t>
      </w:r>
      <w:r w:rsidR="0018422D">
        <w:rPr>
          <w:lang w:eastAsia="lt-LT"/>
        </w:rPr>
        <w:t xml:space="preserve"> vykdo aktyvią projektų įgyvendinimo stebėseną ir identifikavusi rizikas kiekvieną mėnesį organizuoja po 5</w:t>
      </w:r>
      <w:proofErr w:type="gramStart"/>
      <w:r w:rsidR="0018422D">
        <w:rPr>
          <w:lang w:eastAsia="lt-LT"/>
        </w:rPr>
        <w:t>-</w:t>
      </w:r>
      <w:proofErr w:type="gramEnd"/>
      <w:r w:rsidR="0018422D">
        <w:rPr>
          <w:lang w:eastAsia="lt-LT"/>
        </w:rPr>
        <w:t>6 tiesioginius s</w:t>
      </w:r>
      <w:r w:rsidR="001F3087">
        <w:rPr>
          <w:lang w:eastAsia="lt-LT"/>
        </w:rPr>
        <w:t>usitikimus su projektų vykdytojai</w:t>
      </w:r>
      <w:r w:rsidR="0018422D">
        <w:rPr>
          <w:lang w:eastAsia="lt-LT"/>
        </w:rPr>
        <w:t>s ir jų atstovais.</w:t>
      </w:r>
    </w:p>
    <w:p w:rsidR="00A44771" w:rsidRDefault="003C644A" w:rsidP="00443A66">
      <w:pPr>
        <w:pStyle w:val="tekstas"/>
        <w:rPr>
          <w:lang w:eastAsia="lt-LT"/>
        </w:rPr>
      </w:pPr>
      <w:r>
        <w:rPr>
          <w:lang w:eastAsia="lt-LT"/>
        </w:rPr>
        <w:t xml:space="preserve">Be to, </w:t>
      </w:r>
      <w:r w:rsidR="0018422D">
        <w:rPr>
          <w:lang w:eastAsia="lt-LT"/>
        </w:rPr>
        <w:t xml:space="preserve">Ekonomikos ir inovacijų ministerija </w:t>
      </w:r>
      <w:r w:rsidR="001F3087">
        <w:rPr>
          <w:lang w:eastAsia="lt-LT"/>
        </w:rPr>
        <w:t>š.</w:t>
      </w:r>
      <w:r w:rsidR="0018422D">
        <w:rPr>
          <w:lang w:eastAsia="lt-LT"/>
        </w:rPr>
        <w:t xml:space="preserve"> m. III </w:t>
      </w:r>
      <w:proofErr w:type="spellStart"/>
      <w:r w:rsidR="0018422D">
        <w:rPr>
          <w:lang w:eastAsia="lt-LT"/>
        </w:rPr>
        <w:t>ketv</w:t>
      </w:r>
      <w:proofErr w:type="spellEnd"/>
      <w:r w:rsidR="0018422D">
        <w:rPr>
          <w:lang w:eastAsia="lt-LT"/>
        </w:rPr>
        <w:t xml:space="preserve">. suaktyvino 1 prioriteto lėšų </w:t>
      </w:r>
      <w:r w:rsidR="00E065D9">
        <w:rPr>
          <w:lang w:eastAsia="lt-LT"/>
        </w:rPr>
        <w:t>planavimą</w:t>
      </w:r>
      <w:r>
        <w:t> </w:t>
      </w:r>
      <w:r w:rsidR="00A44771">
        <w:rPr>
          <w:lang w:eastAsia="lt-LT"/>
        </w:rPr>
        <w:t>–</w:t>
      </w:r>
      <w:r w:rsidR="0018422D">
        <w:rPr>
          <w:lang w:eastAsia="lt-LT"/>
        </w:rPr>
        <w:t xml:space="preserve"> </w:t>
      </w:r>
      <w:r w:rsidR="00A44771">
        <w:rPr>
          <w:lang w:eastAsia="lt-LT"/>
        </w:rPr>
        <w:t>atnaujinti ar paskelbti k</w:t>
      </w:r>
      <w:r>
        <w:rPr>
          <w:lang w:eastAsia="lt-LT"/>
        </w:rPr>
        <w:t>vietimai ir sudaryti projektų są</w:t>
      </w:r>
      <w:r w:rsidR="00A44771">
        <w:rPr>
          <w:lang w:eastAsia="lt-LT"/>
        </w:rPr>
        <w:t>rašai</w:t>
      </w:r>
      <w:r>
        <w:rPr>
          <w:lang w:eastAsia="lt-LT"/>
        </w:rPr>
        <w:t xml:space="preserve"> (26 mln. eurų) sudarant sąlygas jauniems ir perspektyviems </w:t>
      </w:r>
      <w:proofErr w:type="spellStart"/>
      <w:r>
        <w:rPr>
          <w:lang w:eastAsia="lt-LT"/>
        </w:rPr>
        <w:t>startuoliams</w:t>
      </w:r>
      <w:proofErr w:type="spellEnd"/>
      <w:r>
        <w:rPr>
          <w:lang w:eastAsia="lt-LT"/>
        </w:rPr>
        <w:t xml:space="preserve"> realizuoti savo idėjas, pritraukiant tiesiogines užsienio investicijas į MTEPI sritį, populiarinant inovacijas ir technologijas.</w:t>
      </w:r>
    </w:p>
    <w:p w:rsidR="002B7F48" w:rsidRDefault="002B7F48" w:rsidP="00443A66">
      <w:pPr>
        <w:pStyle w:val="tekstas"/>
        <w:rPr>
          <w:lang w:eastAsia="lt-LT"/>
        </w:rPr>
      </w:pPr>
      <w:r>
        <w:rPr>
          <w:lang w:eastAsia="lt-LT"/>
        </w:rPr>
        <w:t xml:space="preserve">Taip pat, ministerija </w:t>
      </w:r>
      <w:r w:rsidRPr="002B7F48">
        <w:rPr>
          <w:lang w:eastAsia="lt-LT"/>
        </w:rPr>
        <w:t xml:space="preserve">IV </w:t>
      </w:r>
      <w:proofErr w:type="spellStart"/>
      <w:r w:rsidRPr="002B7F48">
        <w:rPr>
          <w:lang w:eastAsia="lt-LT"/>
        </w:rPr>
        <w:t>ketv</w:t>
      </w:r>
      <w:proofErr w:type="spellEnd"/>
      <w:r w:rsidRPr="002B7F48">
        <w:rPr>
          <w:lang w:eastAsia="lt-LT"/>
        </w:rPr>
        <w:t xml:space="preserve">. planuoja skelbti kvietimus pagal priemones ,,Eksperimentas“ ir ,,Skaitmeninių inovacijų centrai“ </w:t>
      </w:r>
      <w:r>
        <w:rPr>
          <w:lang w:eastAsia="lt-LT"/>
        </w:rPr>
        <w:t>taip</w:t>
      </w:r>
      <w:r w:rsidRPr="002B7F48">
        <w:rPr>
          <w:lang w:eastAsia="lt-LT"/>
        </w:rPr>
        <w:t xml:space="preserve"> iki 2019 m.</w:t>
      </w:r>
      <w:r>
        <w:rPr>
          <w:lang w:eastAsia="lt-LT"/>
        </w:rPr>
        <w:t xml:space="preserve"> pabaigos suplanuojant 1 prioriteto administruojamas lėšas</w:t>
      </w:r>
      <w:r w:rsidRPr="002B7F48">
        <w:rPr>
          <w:lang w:eastAsia="lt-LT"/>
        </w:rPr>
        <w:t>.</w:t>
      </w:r>
    </w:p>
    <w:p w:rsidR="00227EAE" w:rsidRDefault="0018422D" w:rsidP="00443A66">
      <w:pPr>
        <w:pStyle w:val="tekstas"/>
        <w:rPr>
          <w:lang w:eastAsia="lt-LT"/>
        </w:rPr>
      </w:pPr>
      <w:r>
        <w:rPr>
          <w:lang w:eastAsia="lt-LT"/>
        </w:rPr>
        <w:t xml:space="preserve">Atsižvelgiant į </w:t>
      </w:r>
      <w:r w:rsidR="003C644A">
        <w:rPr>
          <w:lang w:eastAsia="lt-LT"/>
        </w:rPr>
        <w:t xml:space="preserve">ministerijos administruojamų priemonių </w:t>
      </w:r>
      <w:r>
        <w:rPr>
          <w:lang w:eastAsia="lt-LT"/>
        </w:rPr>
        <w:t>priori</w:t>
      </w:r>
      <w:r w:rsidR="003C644A">
        <w:rPr>
          <w:lang w:eastAsia="lt-LT"/>
        </w:rPr>
        <w:t>tete</w:t>
      </w:r>
      <w:r>
        <w:rPr>
          <w:lang w:eastAsia="lt-LT"/>
        </w:rPr>
        <w:t xml:space="preserve"> įgyvendinimo eigą, šioje ataskaitoje Ekonomikos ir inovacijų ministerijai siūlymai neteikiami.</w:t>
      </w:r>
    </w:p>
    <w:p w:rsidR="0018422D" w:rsidRDefault="0018422D" w:rsidP="007D4285">
      <w:pPr>
        <w:pStyle w:val="tekstas"/>
        <w:ind w:firstLine="709"/>
        <w:rPr>
          <w:lang w:eastAsia="lt-LT"/>
        </w:rPr>
      </w:pPr>
    </w:p>
    <w:p w:rsidR="000305AE" w:rsidRDefault="000305AE" w:rsidP="008807FF">
      <w:pPr>
        <w:pStyle w:val="antrat3zz"/>
        <w:spacing w:before="0"/>
        <w:jc w:val="both"/>
      </w:pPr>
      <w:bookmarkStart w:id="15" w:name="_Toc512504078"/>
      <w:bookmarkStart w:id="16" w:name="_Toc10104953"/>
      <w:bookmarkStart w:id="17" w:name="_Toc24016875"/>
      <w:r w:rsidRPr="00C119A5">
        <w:t>2 prioritetas. Informacinės visuomenės skatinimas</w:t>
      </w:r>
      <w:bookmarkEnd w:id="15"/>
      <w:bookmarkEnd w:id="16"/>
      <w:bookmarkEnd w:id="17"/>
    </w:p>
    <w:p w:rsidR="00C22692" w:rsidRDefault="00DF1230" w:rsidP="00DF1230">
      <w:pPr>
        <w:pStyle w:val="tekstas"/>
        <w:ind w:firstLine="0"/>
        <w:rPr>
          <w:lang w:eastAsia="lt-LT"/>
        </w:rPr>
      </w:pPr>
      <w:r>
        <w:rPr>
          <w:noProof/>
          <w:lang w:eastAsia="lt-LT"/>
        </w:rPr>
        <w:drawing>
          <wp:inline distT="0" distB="0" distL="0" distR="0" wp14:anchorId="680060DF" wp14:editId="71914B70">
            <wp:extent cx="6120130" cy="587381"/>
            <wp:effectExtent l="0" t="0" r="13970" b="22225"/>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2247" w:rsidRPr="00CE4B68" w:rsidRDefault="00DF1230" w:rsidP="00C22692">
      <w:pPr>
        <w:pStyle w:val="tekstas"/>
        <w:rPr>
          <w:lang w:eastAsia="lt-LT"/>
        </w:rPr>
      </w:pPr>
      <w:r>
        <w:rPr>
          <w:lang w:eastAsia="lt-LT"/>
        </w:rPr>
        <w:t>Susisiekimo ministerijos 2 prioriteto administruojamų priemonių planavimas (89 proc.) ir sutarčių pasirašymas</w:t>
      </w:r>
      <w:r w:rsidR="00406729">
        <w:rPr>
          <w:lang w:eastAsia="lt-LT"/>
        </w:rPr>
        <w:t xml:space="preserve">, įskaitant laikiną ES lėšų </w:t>
      </w:r>
      <w:proofErr w:type="spellStart"/>
      <w:r w:rsidR="00406729">
        <w:rPr>
          <w:lang w:eastAsia="lt-LT"/>
        </w:rPr>
        <w:t>virškontraktavimą</w:t>
      </w:r>
      <w:proofErr w:type="spellEnd"/>
      <w:r w:rsidR="00406729">
        <w:rPr>
          <w:lang w:eastAsia="lt-LT"/>
        </w:rPr>
        <w:t xml:space="preserve"> (96 proc.</w:t>
      </w:r>
      <w:r>
        <w:rPr>
          <w:lang w:eastAsia="lt-LT"/>
        </w:rPr>
        <w:t>) viršija Veiksmų programos vidurkį. Atsilieka šio prioriteto lėšų investavimas (</w:t>
      </w:r>
      <w:r w:rsidR="004F45EA">
        <w:rPr>
          <w:lang w:eastAsia="lt-LT"/>
        </w:rPr>
        <w:t>23 proc.).</w:t>
      </w:r>
      <w:r w:rsidR="00A76DB2">
        <w:rPr>
          <w:lang w:eastAsia="lt-LT"/>
        </w:rPr>
        <w:t xml:space="preserve"> </w:t>
      </w:r>
    </w:p>
    <w:p w:rsidR="00673572" w:rsidRPr="00E940D2" w:rsidRDefault="00673572" w:rsidP="00673572">
      <w:pPr>
        <w:ind w:firstLine="426"/>
        <w:jc w:val="both"/>
        <w:rPr>
          <w:rFonts w:asciiTheme="minorHAnsi" w:hAnsiTheme="minorHAnsi"/>
          <w:color w:val="666666"/>
          <w:szCs w:val="24"/>
          <w:lang w:eastAsia="lt-LT"/>
        </w:rPr>
      </w:pPr>
      <w:r w:rsidRPr="00E940D2">
        <w:rPr>
          <w:rFonts w:asciiTheme="minorHAnsi" w:hAnsiTheme="minorHAnsi"/>
          <w:color w:val="666666"/>
          <w:szCs w:val="24"/>
          <w:lang w:eastAsia="lt-LT"/>
        </w:rPr>
        <w:t xml:space="preserve">Investavimas prioritete atsilieka, </w:t>
      </w:r>
      <w:r w:rsidR="00E940D2">
        <w:rPr>
          <w:rFonts w:asciiTheme="minorHAnsi" w:hAnsiTheme="minorHAnsi"/>
          <w:color w:val="666666"/>
          <w:szCs w:val="24"/>
          <w:lang w:eastAsia="lt-LT"/>
        </w:rPr>
        <w:t>dėl to, kad</w:t>
      </w:r>
      <w:r w:rsidRPr="00E940D2">
        <w:rPr>
          <w:rFonts w:asciiTheme="minorHAnsi" w:hAnsiTheme="minorHAnsi"/>
          <w:color w:val="666666"/>
          <w:szCs w:val="24"/>
          <w:lang w:eastAsia="lt-LT"/>
        </w:rPr>
        <w:t xml:space="preserve"> didžiausios vertės projektai pradėti įgyvendinti tik 2018 m. pabaigoje, šiuo metu dalis projektų viešųjų pirkimų jau įvykę, dalis dar vyksta.</w:t>
      </w:r>
    </w:p>
    <w:p w:rsidR="00673572" w:rsidRPr="00E940D2" w:rsidRDefault="00E940D2" w:rsidP="00673572">
      <w:pPr>
        <w:ind w:firstLine="426"/>
        <w:jc w:val="both"/>
        <w:rPr>
          <w:rFonts w:asciiTheme="minorHAnsi" w:hAnsiTheme="minorHAnsi"/>
          <w:color w:val="666666"/>
          <w:szCs w:val="24"/>
          <w:lang w:eastAsia="lt-LT"/>
        </w:rPr>
      </w:pPr>
      <w:r>
        <w:rPr>
          <w:rFonts w:asciiTheme="minorHAnsi" w:hAnsiTheme="minorHAnsi"/>
          <w:color w:val="666666"/>
          <w:szCs w:val="24"/>
          <w:lang w:eastAsia="lt-LT"/>
        </w:rPr>
        <w:lastRenderedPageBreak/>
        <w:t>Į</w:t>
      </w:r>
      <w:r w:rsidR="00673572" w:rsidRPr="00E940D2">
        <w:rPr>
          <w:rFonts w:asciiTheme="minorHAnsi" w:hAnsiTheme="minorHAnsi"/>
          <w:color w:val="666666"/>
          <w:szCs w:val="24"/>
          <w:lang w:eastAsia="lt-LT"/>
        </w:rPr>
        <w:t xml:space="preserve">gyvendinant IT infrastruktūros konsolidavimo projektą „Valstybės </w:t>
      </w:r>
      <w:proofErr w:type="spellStart"/>
      <w:r w:rsidR="00673572" w:rsidRPr="00E940D2">
        <w:rPr>
          <w:rFonts w:asciiTheme="minorHAnsi" w:hAnsiTheme="minorHAnsi"/>
          <w:color w:val="666666"/>
          <w:szCs w:val="24"/>
          <w:lang w:eastAsia="lt-LT"/>
        </w:rPr>
        <w:t>debesijos</w:t>
      </w:r>
      <w:proofErr w:type="spellEnd"/>
      <w:r w:rsidR="00673572" w:rsidRPr="00E940D2">
        <w:rPr>
          <w:rFonts w:asciiTheme="minorHAnsi" w:hAnsiTheme="minorHAnsi"/>
          <w:color w:val="666666"/>
          <w:szCs w:val="24"/>
          <w:lang w:eastAsia="lt-LT"/>
        </w:rPr>
        <w:t xml:space="preserve"> paslaugų teikimo infrastruktūros sukūrimas” </w:t>
      </w:r>
      <w:r w:rsidR="007B65ED">
        <w:rPr>
          <w:rFonts w:asciiTheme="minorHAnsi" w:hAnsiTheme="minorHAnsi"/>
          <w:color w:val="666666"/>
          <w:szCs w:val="24"/>
          <w:lang w:eastAsia="lt-LT"/>
        </w:rPr>
        <w:t>šiuo metu</w:t>
      </w:r>
      <w:r>
        <w:rPr>
          <w:rFonts w:asciiTheme="minorHAnsi" w:hAnsiTheme="minorHAnsi"/>
          <w:color w:val="666666"/>
          <w:szCs w:val="24"/>
          <w:lang w:eastAsia="lt-LT"/>
        </w:rPr>
        <w:t xml:space="preserve"> </w:t>
      </w:r>
      <w:r w:rsidRPr="00E940D2">
        <w:rPr>
          <w:rFonts w:asciiTheme="minorHAnsi" w:hAnsiTheme="minorHAnsi"/>
          <w:color w:val="666666"/>
          <w:szCs w:val="24"/>
          <w:lang w:eastAsia="lt-LT"/>
        </w:rPr>
        <w:t>pasiraš</w:t>
      </w:r>
      <w:r>
        <w:rPr>
          <w:rFonts w:asciiTheme="minorHAnsi" w:hAnsiTheme="minorHAnsi"/>
          <w:color w:val="666666"/>
          <w:szCs w:val="24"/>
          <w:lang w:eastAsia="lt-LT"/>
        </w:rPr>
        <w:t>o</w:t>
      </w:r>
      <w:r w:rsidRPr="00E940D2">
        <w:rPr>
          <w:rFonts w:asciiTheme="minorHAnsi" w:hAnsiTheme="minorHAnsi"/>
          <w:color w:val="666666"/>
          <w:szCs w:val="24"/>
          <w:lang w:eastAsia="lt-LT"/>
        </w:rPr>
        <w:t xml:space="preserve">mos </w:t>
      </w:r>
      <w:r w:rsidR="00673572" w:rsidRPr="00E940D2">
        <w:rPr>
          <w:rFonts w:asciiTheme="minorHAnsi" w:hAnsiTheme="minorHAnsi"/>
          <w:color w:val="666666"/>
          <w:szCs w:val="24"/>
          <w:lang w:eastAsia="lt-LT"/>
        </w:rPr>
        <w:t xml:space="preserve">I etapo pagrindinės įrangos pirkimo sutartys </w:t>
      </w:r>
      <w:r w:rsidR="00633856">
        <w:rPr>
          <w:rFonts w:asciiTheme="minorHAnsi" w:hAnsiTheme="minorHAnsi"/>
          <w:color w:val="666666"/>
          <w:szCs w:val="24"/>
          <w:lang w:eastAsia="lt-LT"/>
        </w:rPr>
        <w:t>ir įrangos</w:t>
      </w:r>
      <w:r w:rsidR="007B65ED">
        <w:rPr>
          <w:rFonts w:asciiTheme="minorHAnsi" w:hAnsiTheme="minorHAnsi"/>
          <w:color w:val="666666"/>
          <w:szCs w:val="24"/>
          <w:lang w:eastAsia="lt-LT"/>
        </w:rPr>
        <w:t xml:space="preserve"> </w:t>
      </w:r>
      <w:r w:rsidR="000B3D46">
        <w:rPr>
          <w:rFonts w:asciiTheme="minorHAnsi" w:hAnsiTheme="minorHAnsi"/>
          <w:color w:val="666666"/>
          <w:szCs w:val="24"/>
          <w:lang w:eastAsia="lt-LT"/>
        </w:rPr>
        <w:t>pristatymas numatomas nuo</w:t>
      </w:r>
      <w:r w:rsidR="00673572" w:rsidRPr="00E940D2">
        <w:rPr>
          <w:rFonts w:asciiTheme="minorHAnsi" w:hAnsiTheme="minorHAnsi"/>
          <w:color w:val="666666"/>
          <w:szCs w:val="24"/>
          <w:lang w:eastAsia="lt-LT"/>
        </w:rPr>
        <w:t xml:space="preserve"> 2019 m. spalio mėn., todėl būtina užtikrinti, kad laiku būtų paruoštos I etapo įrangos talpinimui reikalingos dviejų duomenų centrų patalpos. Patalpos Vyriausybės pastate šiuo metu baigiamos įrengti</w:t>
      </w:r>
      <w:r w:rsidR="007B65ED">
        <w:rPr>
          <w:rFonts w:asciiTheme="minorHAnsi" w:hAnsiTheme="minorHAnsi"/>
          <w:color w:val="666666"/>
          <w:szCs w:val="24"/>
          <w:lang w:eastAsia="lt-LT"/>
        </w:rPr>
        <w:t>,</w:t>
      </w:r>
      <w:r w:rsidR="00673572" w:rsidRPr="00E940D2">
        <w:rPr>
          <w:rFonts w:asciiTheme="minorHAnsi" w:hAnsiTheme="minorHAnsi"/>
          <w:color w:val="666666"/>
          <w:szCs w:val="24"/>
          <w:lang w:eastAsia="lt-LT"/>
        </w:rPr>
        <w:t xml:space="preserve"> tačiau antrojo duomenų centro patalpos, reikalingos rezerviniam duomenų kopijavimui, dar neparengtos naudojimui. </w:t>
      </w:r>
      <w:r w:rsidR="007B65ED">
        <w:rPr>
          <w:rFonts w:asciiTheme="minorHAnsi" w:hAnsiTheme="minorHAnsi"/>
          <w:color w:val="666666"/>
          <w:szCs w:val="24"/>
          <w:lang w:eastAsia="lt-LT"/>
        </w:rPr>
        <w:t xml:space="preserve">Kadangi antrasis duomenų centras planuojamas Lietuvos radijo ir televizijos centro patalpose, būtina </w:t>
      </w:r>
      <w:r w:rsidR="00F70F2A">
        <w:rPr>
          <w:rFonts w:asciiTheme="minorHAnsi" w:hAnsiTheme="minorHAnsi"/>
          <w:color w:val="666666"/>
          <w:szCs w:val="24"/>
          <w:lang w:eastAsia="lt-LT"/>
        </w:rPr>
        <w:t xml:space="preserve">išspręsti </w:t>
      </w:r>
      <w:r w:rsidR="00365B19">
        <w:rPr>
          <w:rFonts w:asciiTheme="minorHAnsi" w:hAnsiTheme="minorHAnsi"/>
          <w:color w:val="666666"/>
          <w:szCs w:val="24"/>
          <w:lang w:eastAsia="lt-LT"/>
        </w:rPr>
        <w:t xml:space="preserve">klausimą dėl </w:t>
      </w:r>
      <w:r w:rsidR="00062E17">
        <w:rPr>
          <w:rFonts w:asciiTheme="minorHAnsi" w:hAnsiTheme="minorHAnsi"/>
          <w:color w:val="666666"/>
          <w:szCs w:val="24"/>
          <w:lang w:eastAsia="lt-LT"/>
        </w:rPr>
        <w:t>valstybinio duomenų centro galimo</w:t>
      </w:r>
      <w:r w:rsidR="00365B19">
        <w:rPr>
          <w:rFonts w:asciiTheme="minorHAnsi" w:hAnsiTheme="minorHAnsi"/>
          <w:color w:val="666666"/>
          <w:szCs w:val="24"/>
          <w:lang w:eastAsia="lt-LT"/>
        </w:rPr>
        <w:t xml:space="preserve"> juridinio statuso.</w:t>
      </w:r>
      <w:r w:rsidR="007B65ED">
        <w:rPr>
          <w:rFonts w:asciiTheme="minorHAnsi" w:hAnsiTheme="minorHAnsi"/>
          <w:color w:val="666666"/>
          <w:szCs w:val="24"/>
          <w:lang w:eastAsia="lt-LT"/>
        </w:rPr>
        <w:t xml:space="preserve"> Dėl to</w:t>
      </w:r>
      <w:r w:rsidR="00673572" w:rsidRPr="00E940D2">
        <w:rPr>
          <w:rFonts w:asciiTheme="minorHAnsi" w:hAnsiTheme="minorHAnsi"/>
          <w:color w:val="666666"/>
          <w:szCs w:val="24"/>
          <w:lang w:eastAsia="lt-LT"/>
        </w:rPr>
        <w:t xml:space="preserve"> Ekonomikos ir inovacijų ministerija skubos tvarka inicijavo Informacinių išteklių valdymo įstatymo pakeitimą. Taip pat Ekonomikos ir inovacijų ministerija jau dabar turėtų rengtis tolesnei IT konsolidavimo plėtrai, visų pirma spręsti klausimą dėl trečiojo duomenų centro Kaune įrengimo, kadangi šiame periode finansuojamas projektas numato konsoliduoti tik apie 20 proc. įstaigų, kurių duomenys ir infrast</w:t>
      </w:r>
      <w:r w:rsidR="00365B19">
        <w:rPr>
          <w:rFonts w:asciiTheme="minorHAnsi" w:hAnsiTheme="minorHAnsi"/>
          <w:color w:val="666666"/>
          <w:szCs w:val="24"/>
          <w:lang w:eastAsia="lt-LT"/>
        </w:rPr>
        <w:t>ruktūra turi būti konsoliduoti.</w:t>
      </w:r>
    </w:p>
    <w:p w:rsidR="00DF1230" w:rsidRDefault="00DF1230" w:rsidP="00673572">
      <w:pPr>
        <w:pStyle w:val="tekstas"/>
        <w:ind w:firstLine="0"/>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0305AE" w:rsidRPr="00CA6C8A" w:rsidTr="00A548E6">
        <w:tc>
          <w:tcPr>
            <w:tcW w:w="9638" w:type="dxa"/>
            <w:tcBorders>
              <w:top w:val="nil"/>
              <w:left w:val="nil"/>
              <w:bottom w:val="nil"/>
              <w:right w:val="nil"/>
            </w:tcBorders>
            <w:shd w:val="clear" w:color="auto" w:fill="D9D9D9" w:themeFill="background1" w:themeFillShade="D9"/>
          </w:tcPr>
          <w:p w:rsidR="00673572" w:rsidRPr="00E940D2" w:rsidRDefault="00673572" w:rsidP="00673572">
            <w:pPr>
              <w:jc w:val="both"/>
              <w:rPr>
                <w:rFonts w:asciiTheme="minorHAnsi" w:hAnsiTheme="minorHAnsi"/>
                <w:b/>
                <w:color w:val="365F91" w:themeColor="accent1" w:themeShade="BF"/>
                <w:szCs w:val="24"/>
              </w:rPr>
            </w:pPr>
            <w:r w:rsidRPr="00E940D2">
              <w:rPr>
                <w:rFonts w:asciiTheme="minorHAnsi" w:hAnsiTheme="minorHAnsi"/>
                <w:b/>
                <w:color w:val="365F91" w:themeColor="accent1" w:themeShade="BF"/>
                <w:szCs w:val="24"/>
              </w:rPr>
              <w:t>Siūlymas Ekonomikos ir inovacijų ministerijai:</w:t>
            </w:r>
          </w:p>
          <w:p w:rsidR="007F76B8" w:rsidRPr="00E940D2" w:rsidRDefault="00673572" w:rsidP="007F76B8">
            <w:pPr>
              <w:pStyle w:val="tekstas"/>
              <w:ind w:firstLine="0"/>
              <w:rPr>
                <w:color w:val="365F91" w:themeColor="accent1" w:themeShade="BF"/>
                <w:szCs w:val="20"/>
              </w:rPr>
            </w:pPr>
            <w:r w:rsidRPr="00E940D2">
              <w:rPr>
                <w:color w:val="365F91" w:themeColor="accent1" w:themeShade="BF"/>
              </w:rPr>
              <w:t>- Užtikrinti, kad iki 2019 m. gruodžio 31 d. būtų paruoštos IT konsolidavimo projekto įrangos talpinimui reikalingos antrojo duomenų centro patalpos.</w:t>
            </w:r>
          </w:p>
        </w:tc>
      </w:tr>
    </w:tbl>
    <w:p w:rsidR="000305AE" w:rsidRDefault="000305AE" w:rsidP="007D4285">
      <w:pPr>
        <w:pStyle w:val="tekstas"/>
        <w:ind w:firstLine="0"/>
        <w:rPr>
          <w:lang w:eastAsia="lt-LT"/>
        </w:rPr>
      </w:pPr>
    </w:p>
    <w:p w:rsidR="000305AE" w:rsidRDefault="000305AE" w:rsidP="008807FF">
      <w:pPr>
        <w:pStyle w:val="antrat3zz"/>
        <w:spacing w:before="0"/>
        <w:jc w:val="both"/>
      </w:pPr>
      <w:bookmarkStart w:id="18" w:name="_Toc10104954"/>
      <w:bookmarkStart w:id="19" w:name="_Toc24016876"/>
      <w:r>
        <w:t>3 prioritetas. Smulkiojo ir vidutinio verslo konkurencingumo skatinimas</w:t>
      </w:r>
      <w:bookmarkEnd w:id="18"/>
      <w:bookmarkEnd w:id="19"/>
    </w:p>
    <w:p w:rsidR="006B2247" w:rsidRDefault="004F45EA" w:rsidP="004F45EA">
      <w:pPr>
        <w:pStyle w:val="tekstas"/>
        <w:ind w:firstLine="0"/>
        <w:rPr>
          <w:lang w:eastAsia="lt-LT"/>
        </w:rPr>
      </w:pPr>
      <w:bookmarkStart w:id="20" w:name="_Toc10104955"/>
      <w:r>
        <w:rPr>
          <w:noProof/>
          <w:lang w:eastAsia="lt-LT"/>
        </w:rPr>
        <w:drawing>
          <wp:inline distT="0" distB="0" distL="0" distR="0" wp14:anchorId="6E07EE43" wp14:editId="414C73CE">
            <wp:extent cx="6120130" cy="549485"/>
            <wp:effectExtent l="0" t="0" r="13970" b="22225"/>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2086" w:rsidRDefault="008E2086" w:rsidP="008E2086">
      <w:pPr>
        <w:pStyle w:val="tekstas"/>
        <w:rPr>
          <w:lang w:eastAsia="lt-LT"/>
        </w:rPr>
      </w:pPr>
      <w:r>
        <w:rPr>
          <w:lang w:eastAsia="lt-LT"/>
        </w:rPr>
        <w:t>Ekonomikos ir inovacijų ministerijos 3 prioriteto administruojamų priemonių planavimas (96 proc.) ir sutarčių pasirašymas (84 proc.) yra pakankamai spartūs. Investavimo tempas (38 proc.) atitinka Veiksmų programos vidurkį.</w:t>
      </w:r>
    </w:p>
    <w:p w:rsidR="00733204" w:rsidRDefault="008E2086" w:rsidP="008E2086">
      <w:pPr>
        <w:pStyle w:val="tekstas"/>
        <w:rPr>
          <w:lang w:eastAsia="lt-LT"/>
        </w:rPr>
      </w:pPr>
      <w:r w:rsidRPr="00363740">
        <w:rPr>
          <w:lang w:eastAsia="lt-LT"/>
        </w:rPr>
        <w:t xml:space="preserve">Toliau sėkmingai investuojama į verslumo, produktyvumo bei </w:t>
      </w:r>
      <w:proofErr w:type="spellStart"/>
      <w:r w:rsidRPr="00363740">
        <w:rPr>
          <w:lang w:eastAsia="lt-LT"/>
        </w:rPr>
        <w:t>tarptautiš</w:t>
      </w:r>
      <w:r w:rsidR="00733204">
        <w:rPr>
          <w:lang w:eastAsia="lt-LT"/>
        </w:rPr>
        <w:t>kumo</w:t>
      </w:r>
      <w:proofErr w:type="spellEnd"/>
      <w:r w:rsidR="00733204">
        <w:rPr>
          <w:lang w:eastAsia="lt-LT"/>
        </w:rPr>
        <w:t xml:space="preserve"> skatinimui skirtas priemone</w:t>
      </w:r>
      <w:r w:rsidRPr="00363740">
        <w:rPr>
          <w:lang w:eastAsia="lt-LT"/>
        </w:rPr>
        <w:t xml:space="preserve">s. </w:t>
      </w:r>
      <w:r w:rsidR="00733204">
        <w:rPr>
          <w:lang w:eastAsia="lt-LT"/>
        </w:rPr>
        <w:t>29,1 mln. eurų</w:t>
      </w:r>
      <w:r w:rsidR="00733204" w:rsidRPr="00363740">
        <w:rPr>
          <w:lang w:eastAsia="lt-LT"/>
        </w:rPr>
        <w:t xml:space="preserve"> finansavimas skirtas 128</w:t>
      </w:r>
      <w:r w:rsidR="00733204" w:rsidRPr="00733204">
        <w:rPr>
          <w:lang w:eastAsia="lt-LT"/>
        </w:rPr>
        <w:t xml:space="preserve"> </w:t>
      </w:r>
      <w:r w:rsidR="00733204">
        <w:rPr>
          <w:lang w:eastAsia="lt-LT"/>
        </w:rPr>
        <w:t>regionuose veikiančių mažų ir vidutinių įmonių projektams, investicijoms</w:t>
      </w:r>
      <w:r w:rsidR="00733204" w:rsidRPr="00733204">
        <w:rPr>
          <w:lang w:eastAsia="lt-LT"/>
        </w:rPr>
        <w:t xml:space="preserve"> į modernių technologijų diegimą ir modernizavimą regionuose</w:t>
      </w:r>
      <w:r w:rsidR="00733204">
        <w:rPr>
          <w:lang w:eastAsia="lt-LT"/>
        </w:rPr>
        <w:t>.</w:t>
      </w:r>
    </w:p>
    <w:p w:rsidR="00823E75" w:rsidRDefault="00823E75" w:rsidP="008E2086">
      <w:pPr>
        <w:pStyle w:val="tekstas"/>
        <w:rPr>
          <w:lang w:eastAsia="lt-LT"/>
        </w:rPr>
      </w:pPr>
      <w:r>
        <w:rPr>
          <w:lang w:eastAsia="lt-LT"/>
        </w:rPr>
        <w:t>D</w:t>
      </w:r>
      <w:r w:rsidR="008E2086" w:rsidRPr="00363740">
        <w:rPr>
          <w:lang w:eastAsia="lt-LT"/>
        </w:rPr>
        <w:t xml:space="preserve">idinti verslo konkurencingumą ir sudaryti prielaidas spartesniam ekonomikos augimui </w:t>
      </w:r>
      <w:r w:rsidR="00733204">
        <w:rPr>
          <w:lang w:eastAsia="lt-LT"/>
        </w:rPr>
        <w:t>taip pat padeda</w:t>
      </w:r>
      <w:r w:rsidR="008E2086" w:rsidRPr="00363740">
        <w:rPr>
          <w:lang w:eastAsia="lt-LT"/>
        </w:rPr>
        <w:t xml:space="preserve"> viena populiariausių ES investicijų priemonių smulkiajam ir vidutiniam verslui „Naujos galimybės LT“</w:t>
      </w:r>
      <w:r>
        <w:rPr>
          <w:lang w:eastAsia="lt-LT"/>
        </w:rPr>
        <w:t xml:space="preserve">. Pasirašytos </w:t>
      </w:r>
      <w:r w:rsidRPr="00823E75">
        <w:rPr>
          <w:lang w:eastAsia="lt-LT"/>
        </w:rPr>
        <w:t xml:space="preserve">297 </w:t>
      </w:r>
      <w:r>
        <w:rPr>
          <w:lang w:eastAsia="lt-LT"/>
        </w:rPr>
        <w:t>mažų ir vidutinių įmonių</w:t>
      </w:r>
      <w:r w:rsidRPr="00823E75">
        <w:rPr>
          <w:lang w:eastAsia="lt-LT"/>
        </w:rPr>
        <w:t xml:space="preserve"> projekt</w:t>
      </w:r>
      <w:r>
        <w:rPr>
          <w:lang w:eastAsia="lt-LT"/>
        </w:rPr>
        <w:t>ų sutarty</w:t>
      </w:r>
      <w:r w:rsidRPr="00823E75">
        <w:rPr>
          <w:lang w:eastAsia="lt-LT"/>
        </w:rPr>
        <w:t>s</w:t>
      </w:r>
      <w:r>
        <w:rPr>
          <w:lang w:eastAsia="lt-LT"/>
        </w:rPr>
        <w:t xml:space="preserve"> (12,5 mln. eurų ES lėšų) </w:t>
      </w:r>
      <w:r w:rsidRPr="00823E75">
        <w:rPr>
          <w:lang w:eastAsia="lt-LT"/>
        </w:rPr>
        <w:t>fin</w:t>
      </w:r>
      <w:r>
        <w:rPr>
          <w:lang w:eastAsia="lt-LT"/>
        </w:rPr>
        <w:t>ansuoti</w:t>
      </w:r>
      <w:r w:rsidRPr="00823E75">
        <w:rPr>
          <w:lang w:eastAsia="lt-LT"/>
        </w:rPr>
        <w:t xml:space="preserve"> įmonių ir j</w:t>
      </w:r>
      <w:r>
        <w:rPr>
          <w:lang w:eastAsia="lt-LT"/>
        </w:rPr>
        <w:t>ų produkcijos pristatymą</w:t>
      </w:r>
      <w:r w:rsidRPr="00823E75">
        <w:rPr>
          <w:lang w:eastAsia="lt-LT"/>
        </w:rPr>
        <w:t xml:space="preserve"> užsienyje vykstančiose tarptautinėse parodose</w:t>
      </w:r>
      <w:r>
        <w:rPr>
          <w:lang w:eastAsia="lt-LT"/>
        </w:rPr>
        <w:t xml:space="preserve"> taip skatinant įmones </w:t>
      </w:r>
      <w:r w:rsidRPr="00823E75">
        <w:rPr>
          <w:lang w:eastAsia="lt-LT"/>
        </w:rPr>
        <w:t>ieškoti naujų užsienio rinkų ir plėtoti esamas</w:t>
      </w:r>
      <w:r>
        <w:rPr>
          <w:lang w:eastAsia="lt-LT"/>
        </w:rPr>
        <w:t>.</w:t>
      </w:r>
    </w:p>
    <w:p w:rsidR="008E2086" w:rsidRPr="00363740" w:rsidRDefault="008E2086" w:rsidP="008E2086">
      <w:pPr>
        <w:pStyle w:val="tekstas"/>
        <w:rPr>
          <w:lang w:eastAsia="lt-LT"/>
        </w:rPr>
      </w:pPr>
      <w:r w:rsidRPr="00363740">
        <w:rPr>
          <w:lang w:eastAsia="lt-LT"/>
        </w:rPr>
        <w:t>Atsižvelgiant į prioriteto įgyvendinimo eigą šioje ataskaitoje Ekonomikos ir inovacijų ministerijai siūlym</w:t>
      </w:r>
      <w:r>
        <w:rPr>
          <w:lang w:eastAsia="lt-LT"/>
        </w:rPr>
        <w:t>ai</w:t>
      </w:r>
      <w:r w:rsidRPr="00363740">
        <w:rPr>
          <w:lang w:eastAsia="lt-LT"/>
        </w:rPr>
        <w:t xml:space="preserve"> neteikiam</w:t>
      </w:r>
      <w:r>
        <w:rPr>
          <w:lang w:eastAsia="lt-LT"/>
        </w:rPr>
        <w:t>i</w:t>
      </w:r>
      <w:r w:rsidRPr="00363740">
        <w:rPr>
          <w:lang w:eastAsia="lt-LT"/>
        </w:rPr>
        <w:t xml:space="preserve">. </w:t>
      </w:r>
    </w:p>
    <w:p w:rsidR="00AC2474" w:rsidRDefault="00AC2474" w:rsidP="006B2247">
      <w:pPr>
        <w:pStyle w:val="tekstas"/>
        <w:rPr>
          <w:lang w:eastAsia="lt-LT"/>
        </w:rPr>
      </w:pPr>
    </w:p>
    <w:p w:rsidR="000305AE" w:rsidRDefault="000305AE" w:rsidP="008807FF">
      <w:pPr>
        <w:pStyle w:val="antrat3zz"/>
        <w:spacing w:before="0"/>
        <w:jc w:val="both"/>
      </w:pPr>
      <w:bookmarkStart w:id="21" w:name="_Toc24016877"/>
      <w:r>
        <w:t>4 prioritetas. Energijos efektyvumo ir atsinaujinančių išteklių energijos gamybos ir naudojimo skatinimas</w:t>
      </w:r>
      <w:bookmarkEnd w:id="20"/>
      <w:bookmarkEnd w:id="21"/>
    </w:p>
    <w:p w:rsidR="00AC2474" w:rsidRDefault="00AC2474" w:rsidP="00AC2474">
      <w:pPr>
        <w:pStyle w:val="tekstas"/>
        <w:ind w:firstLine="0"/>
        <w:rPr>
          <w:lang w:eastAsia="lt-LT"/>
        </w:rPr>
      </w:pPr>
      <w:bookmarkStart w:id="22" w:name="_Toc10104956"/>
      <w:r>
        <w:rPr>
          <w:noProof/>
          <w:lang w:eastAsia="lt-LT"/>
        </w:rPr>
        <w:drawing>
          <wp:inline distT="0" distB="0" distL="0" distR="0" wp14:anchorId="2D037C3B" wp14:editId="79C1A777">
            <wp:extent cx="6120130" cy="805280"/>
            <wp:effectExtent l="0" t="0" r="13970" b="1397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2474" w:rsidRDefault="00AC2474" w:rsidP="006B2247">
      <w:pPr>
        <w:pStyle w:val="tekstas"/>
        <w:rPr>
          <w:lang w:eastAsia="lt-LT"/>
        </w:rPr>
      </w:pPr>
      <w:r>
        <w:rPr>
          <w:lang w:eastAsia="lt-LT"/>
        </w:rPr>
        <w:t xml:space="preserve">Energetikos ministerijos 4 prioriteto administruojamų priemonių finansuojamų ERPF lėšomis planavimas (78 proc.) ir sutarčių pasirašymas (70 proc.) </w:t>
      </w:r>
      <w:r w:rsidR="00EE7C11">
        <w:rPr>
          <w:lang w:eastAsia="lt-LT"/>
        </w:rPr>
        <w:t xml:space="preserve">šiek tiek atsilieka nuo Veiksmų programos vidurkio. Ženkliai atsilieka lėšų investavimas (16 proc.). </w:t>
      </w:r>
      <w:proofErr w:type="spellStart"/>
      <w:r w:rsidR="00EE7C11">
        <w:rPr>
          <w:lang w:eastAsia="lt-LT"/>
        </w:rPr>
        <w:t>SaF</w:t>
      </w:r>
      <w:proofErr w:type="spellEnd"/>
      <w:r w:rsidR="00EE7C11">
        <w:rPr>
          <w:lang w:eastAsia="lt-LT"/>
        </w:rPr>
        <w:t xml:space="preserve"> lėšų planavimo (99 proc.) ir sutarčių pasirašymo (83 proc.) tempas yra pakankamas, nuo vidurkio atsilieka lėšų investavimo (32 proc.) tempas.</w:t>
      </w:r>
    </w:p>
    <w:p w:rsidR="00DE7810" w:rsidRPr="00272681" w:rsidRDefault="004E4C2F" w:rsidP="00CF541B">
      <w:pPr>
        <w:ind w:firstLine="357"/>
        <w:jc w:val="both"/>
        <w:rPr>
          <w:rFonts w:asciiTheme="minorHAnsi" w:hAnsiTheme="minorHAnsi"/>
          <w:color w:val="666666"/>
          <w:szCs w:val="24"/>
          <w:lang w:eastAsia="lt-LT"/>
        </w:rPr>
      </w:pPr>
      <w:r w:rsidRPr="00272681">
        <w:rPr>
          <w:rFonts w:asciiTheme="minorHAnsi" w:hAnsiTheme="minorHAnsi"/>
          <w:color w:val="666666"/>
          <w:szCs w:val="24"/>
          <w:lang w:eastAsia="lt-LT"/>
        </w:rPr>
        <w:lastRenderedPageBreak/>
        <w:t xml:space="preserve">Energetikos ministerijos administruojamų ERPF priemonių </w:t>
      </w:r>
      <w:r w:rsidR="004F58CF">
        <w:rPr>
          <w:rFonts w:asciiTheme="minorHAnsi" w:hAnsiTheme="minorHAnsi"/>
          <w:color w:val="666666"/>
          <w:szCs w:val="24"/>
          <w:lang w:eastAsia="lt-LT"/>
        </w:rPr>
        <w:t>nepakankamai įgyvendinimo spartai</w:t>
      </w:r>
      <w:r w:rsidRPr="00272681">
        <w:rPr>
          <w:rFonts w:asciiTheme="minorHAnsi" w:hAnsiTheme="minorHAnsi"/>
          <w:color w:val="666666"/>
          <w:szCs w:val="24"/>
          <w:lang w:eastAsia="lt-LT"/>
        </w:rPr>
        <w:t xml:space="preserve"> </w:t>
      </w:r>
      <w:r w:rsidR="004F58CF">
        <w:rPr>
          <w:rFonts w:asciiTheme="minorHAnsi" w:hAnsiTheme="minorHAnsi"/>
          <w:color w:val="666666"/>
          <w:szCs w:val="24"/>
          <w:lang w:eastAsia="lt-LT"/>
        </w:rPr>
        <w:t>įtakos turi</w:t>
      </w:r>
      <w:r w:rsidRPr="00272681">
        <w:rPr>
          <w:rFonts w:asciiTheme="minorHAnsi" w:hAnsiTheme="minorHAnsi"/>
          <w:color w:val="666666"/>
          <w:szCs w:val="24"/>
          <w:lang w:eastAsia="lt-LT"/>
        </w:rPr>
        <w:t xml:space="preserve"> lėtas</w:t>
      </w:r>
      <w:r w:rsidR="00DE7810" w:rsidRPr="00272681">
        <w:rPr>
          <w:rFonts w:asciiTheme="minorHAnsi" w:hAnsiTheme="minorHAnsi"/>
          <w:color w:val="666666"/>
          <w:szCs w:val="24"/>
          <w:lang w:eastAsia="lt-LT"/>
        </w:rPr>
        <w:t xml:space="preserve"> energijos efektyvumo didinimui viešuosiuose pastatuose skirtų grąžinamosios subsidijos bei finansinės priemonių ir Viešųjų pastatų energinio efektyvumo didinimo programos (toliau – Programa) įgyvendinimas. Atsižvelgiant į lėtą viešųjų pastatų atnaujinimo procesą, siekiant padidinti finansavimo patrauklumą ir spręsti kitas Programos įgyvendinimo problemas</w:t>
      </w:r>
      <w:r w:rsidR="00283B51" w:rsidRPr="00272681">
        <w:rPr>
          <w:rFonts w:asciiTheme="minorHAnsi" w:hAnsiTheme="minorHAnsi"/>
          <w:color w:val="666666"/>
          <w:szCs w:val="24"/>
          <w:lang w:eastAsia="lt-LT"/>
        </w:rPr>
        <w:t>, paskatinti viešųjų pastatų valdytojus dalyvauti pastatų atnaujinimo programoje ir prisidėti prie Direktyvos 2012/27/EU reikalavimo iki 2020 m. renovuoti 3 proc. centrinė</w:t>
      </w:r>
      <w:r w:rsidR="00272681" w:rsidRPr="00272681">
        <w:rPr>
          <w:rFonts w:asciiTheme="minorHAnsi" w:hAnsiTheme="minorHAnsi"/>
          <w:color w:val="666666"/>
          <w:szCs w:val="24"/>
          <w:lang w:eastAsia="lt-LT"/>
        </w:rPr>
        <w:t>s valdžios pastatų įgyvendinimo</w:t>
      </w:r>
      <w:r w:rsidR="00283B51">
        <w:rPr>
          <w:rFonts w:asciiTheme="minorHAnsi" w:hAnsiTheme="minorHAnsi"/>
          <w:color w:val="666666"/>
          <w:szCs w:val="24"/>
          <w:lang w:eastAsia="lt-LT"/>
        </w:rPr>
        <w:t xml:space="preserve">, </w:t>
      </w:r>
      <w:r w:rsidR="006373C7">
        <w:rPr>
          <w:rFonts w:asciiTheme="minorHAnsi" w:hAnsiTheme="minorHAnsi"/>
          <w:color w:val="666666"/>
          <w:szCs w:val="24"/>
          <w:lang w:eastAsia="lt-LT"/>
        </w:rPr>
        <w:t>Energetikos ministerijos</w:t>
      </w:r>
      <w:r w:rsidR="00DE7810" w:rsidRPr="00272681">
        <w:rPr>
          <w:rFonts w:asciiTheme="minorHAnsi" w:hAnsiTheme="minorHAnsi"/>
          <w:color w:val="666666"/>
          <w:szCs w:val="24"/>
          <w:lang w:eastAsia="lt-LT"/>
        </w:rPr>
        <w:t xml:space="preserve"> ir </w:t>
      </w:r>
      <w:r w:rsidR="006B0C8E">
        <w:rPr>
          <w:rFonts w:asciiTheme="minorHAnsi" w:hAnsiTheme="minorHAnsi"/>
          <w:color w:val="666666"/>
          <w:szCs w:val="24"/>
          <w:lang w:eastAsia="lt-LT"/>
        </w:rPr>
        <w:t>F</w:t>
      </w:r>
      <w:r w:rsidR="00272681">
        <w:rPr>
          <w:rFonts w:asciiTheme="minorHAnsi" w:hAnsiTheme="minorHAnsi"/>
          <w:color w:val="666666"/>
          <w:szCs w:val="24"/>
          <w:lang w:eastAsia="lt-LT"/>
        </w:rPr>
        <w:t>inansų ministerijos iniciatyva buvo:</w:t>
      </w:r>
    </w:p>
    <w:p w:rsidR="00DE7810" w:rsidRPr="00CF541B" w:rsidRDefault="00DE7810"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 xml:space="preserve">pakeista </w:t>
      </w:r>
      <w:r w:rsidR="006B0C8E" w:rsidRPr="00CF541B">
        <w:rPr>
          <w:rFonts w:asciiTheme="minorHAnsi" w:eastAsia="Times New Roman" w:hAnsiTheme="minorHAnsi"/>
          <w:color w:val="666666"/>
          <w:sz w:val="24"/>
          <w:szCs w:val="24"/>
          <w:lang w:eastAsia="lt-LT"/>
        </w:rPr>
        <w:t>ENEF</w:t>
      </w:r>
      <w:r w:rsidRPr="00CF541B">
        <w:rPr>
          <w:rFonts w:asciiTheme="minorHAnsi" w:eastAsia="Times New Roman" w:hAnsiTheme="minorHAnsi"/>
          <w:color w:val="666666"/>
          <w:sz w:val="24"/>
          <w:szCs w:val="24"/>
          <w:lang w:eastAsia="lt-LT"/>
        </w:rPr>
        <w:t xml:space="preserve"> projektų finansavimo schema, sukuriant galimybę paskolą derinti su grąžinamąją subsidija bei technine parama dokumentacijos parengimo išlaidoms padengti „vieno langelio“ principu</w:t>
      </w:r>
      <w:r w:rsidR="00272681" w:rsidRPr="00CF541B">
        <w:rPr>
          <w:rFonts w:asciiTheme="minorHAnsi" w:eastAsia="Times New Roman" w:hAnsiTheme="minorHAnsi"/>
          <w:color w:val="666666"/>
          <w:sz w:val="24"/>
          <w:szCs w:val="24"/>
          <w:lang w:eastAsia="lt-LT"/>
        </w:rPr>
        <w:t>. Tačiau net ir pradėjus</w:t>
      </w:r>
      <w:r w:rsidR="006B0C8E" w:rsidRPr="00CF541B">
        <w:rPr>
          <w:rFonts w:asciiTheme="minorHAnsi" w:eastAsia="Times New Roman" w:hAnsiTheme="minorHAnsi"/>
          <w:color w:val="666666"/>
          <w:sz w:val="24"/>
          <w:szCs w:val="24"/>
          <w:lang w:eastAsia="lt-LT"/>
        </w:rPr>
        <w:t xml:space="preserve"> naują finansinę</w:t>
      </w:r>
      <w:r w:rsidRPr="00CF541B">
        <w:rPr>
          <w:rFonts w:asciiTheme="minorHAnsi" w:eastAsia="Times New Roman" w:hAnsiTheme="minorHAnsi"/>
          <w:color w:val="666666"/>
          <w:sz w:val="24"/>
          <w:szCs w:val="24"/>
          <w:lang w:eastAsia="lt-LT"/>
        </w:rPr>
        <w:t xml:space="preserve"> </w:t>
      </w:r>
      <w:r w:rsidR="006B0C8E" w:rsidRPr="00CF541B">
        <w:rPr>
          <w:rFonts w:asciiTheme="minorHAnsi" w:eastAsia="Times New Roman" w:hAnsiTheme="minorHAnsi"/>
          <w:color w:val="666666"/>
          <w:sz w:val="24"/>
          <w:szCs w:val="24"/>
          <w:lang w:eastAsia="lt-LT"/>
        </w:rPr>
        <w:t>schemą</w:t>
      </w:r>
      <w:r w:rsidRPr="00CF541B">
        <w:rPr>
          <w:rFonts w:asciiTheme="minorHAnsi" w:eastAsia="Times New Roman" w:hAnsiTheme="minorHAnsi"/>
          <w:color w:val="666666"/>
          <w:sz w:val="24"/>
          <w:szCs w:val="24"/>
          <w:lang w:eastAsia="lt-LT"/>
        </w:rPr>
        <w:t>, paraiškų srautas iki 2019 m</w:t>
      </w:r>
      <w:r w:rsidR="00283B51" w:rsidRPr="00CF541B">
        <w:rPr>
          <w:rFonts w:asciiTheme="minorHAnsi" w:eastAsia="Times New Roman" w:hAnsiTheme="minorHAnsi"/>
          <w:color w:val="666666"/>
          <w:sz w:val="24"/>
          <w:szCs w:val="24"/>
          <w:lang w:eastAsia="lt-LT"/>
        </w:rPr>
        <w:t xml:space="preserve">. </w:t>
      </w:r>
      <w:r w:rsidRPr="00CF541B">
        <w:rPr>
          <w:rFonts w:asciiTheme="minorHAnsi" w:eastAsia="Times New Roman" w:hAnsiTheme="minorHAnsi"/>
          <w:color w:val="666666"/>
          <w:sz w:val="24"/>
          <w:szCs w:val="24"/>
          <w:lang w:eastAsia="lt-LT"/>
        </w:rPr>
        <w:t>buvo mažas;</w:t>
      </w:r>
    </w:p>
    <w:p w:rsidR="00DE7810" w:rsidRPr="00CF541B" w:rsidRDefault="00DE7810"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ministerijos (asignavimų valdytojai) įpareigotos suinventorizuoti jų valdomus pastatus ir pateikti sprendimus dėl planuojamų atnaujinti pastatų plotų;</w:t>
      </w:r>
    </w:p>
    <w:p w:rsidR="00B94DB1" w:rsidRPr="00CF541B" w:rsidRDefault="006B0C8E"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s</w:t>
      </w:r>
      <w:r w:rsidR="005D3AAB" w:rsidRPr="00CF541B">
        <w:rPr>
          <w:rFonts w:asciiTheme="minorHAnsi" w:eastAsia="Times New Roman" w:hAnsiTheme="minorHAnsi"/>
          <w:color w:val="666666"/>
          <w:sz w:val="24"/>
          <w:szCs w:val="24"/>
          <w:lang w:eastAsia="lt-LT"/>
        </w:rPr>
        <w:t xml:space="preserve">iekiant paspartinti ENEF įgyvendinimą, </w:t>
      </w:r>
      <w:r w:rsidR="006373C7">
        <w:rPr>
          <w:rFonts w:asciiTheme="minorHAnsi" w:eastAsia="Times New Roman" w:hAnsiTheme="minorHAnsi"/>
          <w:color w:val="666666"/>
          <w:sz w:val="24"/>
          <w:szCs w:val="24"/>
          <w:lang w:eastAsia="lt-LT"/>
        </w:rPr>
        <w:t>vyko</w:t>
      </w:r>
      <w:r w:rsidR="005D3AAB" w:rsidRPr="00CF541B">
        <w:rPr>
          <w:rFonts w:asciiTheme="minorHAnsi" w:eastAsia="Times New Roman" w:hAnsiTheme="minorHAnsi"/>
          <w:color w:val="666666"/>
          <w:sz w:val="24"/>
          <w:szCs w:val="24"/>
          <w:lang w:eastAsia="lt-LT"/>
        </w:rPr>
        <w:t xml:space="preserve"> susitikimai su </w:t>
      </w:r>
      <w:r w:rsidRPr="00CF541B">
        <w:rPr>
          <w:rFonts w:asciiTheme="minorHAnsi" w:eastAsia="Times New Roman" w:hAnsiTheme="minorHAnsi"/>
          <w:color w:val="666666"/>
          <w:sz w:val="24"/>
          <w:szCs w:val="24"/>
          <w:lang w:eastAsia="lt-LT"/>
        </w:rPr>
        <w:t>Lietuvos Respublikos Vyriausybės kanceliarijos</w:t>
      </w:r>
      <w:r w:rsidR="005D3AAB" w:rsidRPr="00CF541B">
        <w:rPr>
          <w:rFonts w:asciiTheme="minorHAnsi" w:eastAsia="Times New Roman" w:hAnsiTheme="minorHAnsi"/>
          <w:color w:val="666666"/>
          <w:sz w:val="24"/>
          <w:szCs w:val="24"/>
          <w:lang w:eastAsia="lt-LT"/>
        </w:rPr>
        <w:t xml:space="preserve">, </w:t>
      </w:r>
      <w:r w:rsidR="006373C7">
        <w:rPr>
          <w:rFonts w:asciiTheme="minorHAnsi" w:eastAsia="Times New Roman" w:hAnsiTheme="minorHAnsi"/>
          <w:color w:val="666666"/>
          <w:sz w:val="24"/>
          <w:szCs w:val="24"/>
          <w:lang w:eastAsia="lt-LT"/>
        </w:rPr>
        <w:t>Finansų ministerijos</w:t>
      </w:r>
      <w:r w:rsidR="001F254E">
        <w:rPr>
          <w:rFonts w:asciiTheme="minorHAnsi" w:eastAsia="Times New Roman" w:hAnsiTheme="minorHAnsi"/>
          <w:color w:val="666666"/>
          <w:sz w:val="24"/>
          <w:szCs w:val="24"/>
          <w:lang w:eastAsia="lt-LT"/>
        </w:rPr>
        <w:t xml:space="preserve"> </w:t>
      </w:r>
      <w:r w:rsidRPr="00CF541B">
        <w:rPr>
          <w:rFonts w:asciiTheme="minorHAnsi" w:eastAsia="Times New Roman" w:hAnsiTheme="minorHAnsi"/>
          <w:color w:val="666666"/>
          <w:sz w:val="24"/>
          <w:szCs w:val="24"/>
          <w:lang w:eastAsia="lt-LT"/>
        </w:rPr>
        <w:t>Energetikos ministerijos, VIPA, CPVA atstovais,</w:t>
      </w:r>
      <w:r w:rsidR="005D3AAB" w:rsidRPr="00CF541B">
        <w:rPr>
          <w:rFonts w:asciiTheme="minorHAnsi" w:eastAsia="Times New Roman" w:hAnsiTheme="minorHAnsi"/>
          <w:color w:val="666666"/>
          <w:sz w:val="24"/>
          <w:szCs w:val="24"/>
          <w:lang w:eastAsia="lt-LT"/>
        </w:rPr>
        <w:t xml:space="preserve"> kurių metu suderinti bei iki II </w:t>
      </w:r>
      <w:proofErr w:type="spellStart"/>
      <w:r w:rsidR="005D3AAB" w:rsidRPr="00CF541B">
        <w:rPr>
          <w:rFonts w:asciiTheme="minorHAnsi" w:eastAsia="Times New Roman" w:hAnsiTheme="minorHAnsi"/>
          <w:color w:val="666666"/>
          <w:sz w:val="24"/>
          <w:szCs w:val="24"/>
          <w:lang w:eastAsia="lt-LT"/>
        </w:rPr>
        <w:t>ketv</w:t>
      </w:r>
      <w:proofErr w:type="spellEnd"/>
      <w:r w:rsidR="005D3AAB" w:rsidRPr="00CF541B">
        <w:rPr>
          <w:rFonts w:asciiTheme="minorHAnsi" w:eastAsia="Times New Roman" w:hAnsiTheme="minorHAnsi"/>
          <w:color w:val="666666"/>
          <w:sz w:val="24"/>
          <w:szCs w:val="24"/>
          <w:lang w:eastAsia="lt-LT"/>
        </w:rPr>
        <w:t xml:space="preserve">. pab. patvirtinti papildomi </w:t>
      </w:r>
      <w:r w:rsidRPr="00CF541B">
        <w:rPr>
          <w:rFonts w:asciiTheme="minorHAnsi" w:eastAsia="Times New Roman" w:hAnsiTheme="minorHAnsi"/>
          <w:color w:val="666666"/>
          <w:sz w:val="24"/>
          <w:szCs w:val="24"/>
          <w:lang w:eastAsia="lt-LT"/>
        </w:rPr>
        <w:t>Lietuvos Respublikos Vyriausybės</w:t>
      </w:r>
      <w:r w:rsidR="005D3AAB" w:rsidRPr="00CF541B">
        <w:rPr>
          <w:rFonts w:asciiTheme="minorHAnsi" w:eastAsia="Times New Roman" w:hAnsiTheme="minorHAnsi"/>
          <w:color w:val="666666"/>
          <w:sz w:val="24"/>
          <w:szCs w:val="24"/>
          <w:lang w:eastAsia="lt-LT"/>
        </w:rPr>
        <w:t xml:space="preserve"> pavedimai potencialiems pareiškėjams (viešųjų pastatų savininkams), po kurių sulaukta didesnio projektų srauto, tačiau proveržio nepastebėta;</w:t>
      </w:r>
    </w:p>
    <w:p w:rsidR="00283B51" w:rsidRPr="00CF541B" w:rsidRDefault="00B94DB1"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Finansų ministerijos iniciatyva užtikrinta, kad tvirtinant 2020 m. asignavimus ministerijoms, būtų atsižvelgta į Programoje nustatytų įpareigojimų vykdymo pažangą, o už įpareigojimų nevykdymą derybų metu mažinti asignavimų, kasmet skiriamų lėšų valdomo turto (viešųjų pastatų) priežiūra</w:t>
      </w:r>
      <w:r w:rsidR="00CF541B" w:rsidRPr="00CF541B">
        <w:rPr>
          <w:rFonts w:asciiTheme="minorHAnsi" w:eastAsia="Times New Roman" w:hAnsiTheme="minorHAnsi"/>
          <w:color w:val="666666"/>
          <w:sz w:val="24"/>
          <w:szCs w:val="24"/>
          <w:lang w:eastAsia="lt-LT"/>
        </w:rPr>
        <w:t>i, išlaikymui ir remontui, dalį;</w:t>
      </w:r>
    </w:p>
    <w:p w:rsidR="005D3AAB" w:rsidRPr="00CF541B" w:rsidRDefault="005D3AAB"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Finansų ministerijos inic</w:t>
      </w:r>
      <w:r w:rsidR="00CF541B" w:rsidRPr="00CF541B">
        <w:rPr>
          <w:rFonts w:asciiTheme="minorHAnsi" w:eastAsia="Times New Roman" w:hAnsiTheme="minorHAnsi"/>
          <w:color w:val="666666"/>
          <w:sz w:val="24"/>
          <w:szCs w:val="24"/>
          <w:lang w:eastAsia="lt-LT"/>
        </w:rPr>
        <w:t xml:space="preserve">iatyva vykdyti reguliarūs VIPA </w:t>
      </w:r>
      <w:r w:rsidRPr="00CF541B">
        <w:rPr>
          <w:rFonts w:asciiTheme="minorHAnsi" w:eastAsia="Times New Roman" w:hAnsiTheme="minorHAnsi"/>
          <w:color w:val="666666"/>
          <w:sz w:val="24"/>
          <w:szCs w:val="24"/>
          <w:lang w:eastAsia="lt-LT"/>
        </w:rPr>
        <w:t>ir Turto banko techniniai susitikimai siekiant paspartinti jų rengiamų p</w:t>
      </w:r>
      <w:r w:rsidR="00CF541B" w:rsidRPr="00CF541B">
        <w:rPr>
          <w:rFonts w:asciiTheme="minorHAnsi" w:eastAsia="Times New Roman" w:hAnsiTheme="minorHAnsi"/>
          <w:color w:val="666666"/>
          <w:sz w:val="24"/>
          <w:szCs w:val="24"/>
          <w:lang w:eastAsia="lt-LT"/>
        </w:rPr>
        <w:t>araiškų rengimą ir teikimą VIPA</w:t>
      </w:r>
      <w:r w:rsidRPr="00CF541B">
        <w:rPr>
          <w:rFonts w:asciiTheme="minorHAnsi" w:eastAsia="Times New Roman" w:hAnsiTheme="minorHAnsi"/>
          <w:color w:val="666666"/>
          <w:sz w:val="24"/>
          <w:szCs w:val="24"/>
          <w:lang w:eastAsia="lt-LT"/>
        </w:rPr>
        <w:t>; VIPA taip pat aktyviai bendravo su potencialiais projektų vykdytojais;</w:t>
      </w:r>
    </w:p>
    <w:p w:rsidR="00283B51" w:rsidRPr="00CF541B" w:rsidRDefault="00CF541B"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s</w:t>
      </w:r>
      <w:r w:rsidR="00B94DB1" w:rsidRPr="00CF541B">
        <w:rPr>
          <w:rFonts w:asciiTheme="minorHAnsi" w:eastAsia="Times New Roman" w:hAnsiTheme="minorHAnsi"/>
          <w:color w:val="666666"/>
          <w:sz w:val="24"/>
          <w:szCs w:val="24"/>
          <w:lang w:eastAsia="lt-LT"/>
        </w:rPr>
        <w:t>iekiant supaprastinti energijos efektyvumo didinimo projektų investicinių projektų vertinimą, b</w:t>
      </w:r>
      <w:r w:rsidR="00DE7810" w:rsidRPr="00CF541B">
        <w:rPr>
          <w:rFonts w:asciiTheme="minorHAnsi" w:eastAsia="Times New Roman" w:hAnsiTheme="minorHAnsi"/>
          <w:color w:val="666666"/>
          <w:sz w:val="24"/>
          <w:szCs w:val="24"/>
          <w:lang w:eastAsia="lt-LT"/>
        </w:rPr>
        <w:t>endradarbiaujant su VIPA ir CPVA buvo</w:t>
      </w:r>
      <w:r w:rsidR="00B94DB1" w:rsidRPr="00CF541B">
        <w:rPr>
          <w:rFonts w:asciiTheme="minorHAnsi" w:eastAsia="Times New Roman" w:hAnsiTheme="minorHAnsi"/>
          <w:color w:val="666666"/>
          <w:sz w:val="24"/>
          <w:szCs w:val="24"/>
          <w:lang w:eastAsia="lt-LT"/>
        </w:rPr>
        <w:t xml:space="preserve"> </w:t>
      </w:r>
      <w:r w:rsidR="00283B51" w:rsidRPr="00CF541B">
        <w:rPr>
          <w:rFonts w:asciiTheme="minorHAnsi" w:eastAsia="Times New Roman" w:hAnsiTheme="minorHAnsi"/>
          <w:color w:val="666666"/>
          <w:sz w:val="24"/>
          <w:szCs w:val="24"/>
          <w:lang w:eastAsia="lt-LT"/>
        </w:rPr>
        <w:t xml:space="preserve">atnaujinta </w:t>
      </w:r>
      <w:r w:rsidRPr="00CF541B">
        <w:rPr>
          <w:rFonts w:asciiTheme="minorHAnsi" w:eastAsia="Times New Roman" w:hAnsiTheme="minorHAnsi"/>
          <w:color w:val="666666"/>
          <w:sz w:val="24"/>
          <w:szCs w:val="24"/>
          <w:lang w:eastAsia="lt-LT"/>
        </w:rPr>
        <w:t>sąnaudų veiksmingumo analizės</w:t>
      </w:r>
      <w:r w:rsidR="00283B51" w:rsidRPr="00CF541B">
        <w:rPr>
          <w:rFonts w:asciiTheme="minorHAnsi" w:eastAsia="Times New Roman" w:hAnsiTheme="minorHAnsi"/>
          <w:color w:val="666666"/>
          <w:sz w:val="24"/>
          <w:szCs w:val="24"/>
          <w:lang w:eastAsia="lt-LT"/>
        </w:rPr>
        <w:t xml:space="preserve"> skaičiuoklė bei patikslinta Optimalios alternatyvos pasirinkimo ir vertinimo m</w:t>
      </w:r>
      <w:r w:rsidRPr="00CF541B">
        <w:rPr>
          <w:rFonts w:asciiTheme="minorHAnsi" w:eastAsia="Times New Roman" w:hAnsiTheme="minorHAnsi"/>
          <w:color w:val="666666"/>
          <w:sz w:val="24"/>
          <w:szCs w:val="24"/>
          <w:lang w:eastAsia="lt-LT"/>
        </w:rPr>
        <w:t>etodika.</w:t>
      </w:r>
    </w:p>
    <w:p w:rsidR="001569C0" w:rsidRPr="00CF541B" w:rsidRDefault="00CF541B" w:rsidP="00CF541B">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t</w:t>
      </w:r>
      <w:r w:rsidR="005D3AAB" w:rsidRPr="00CF541B">
        <w:rPr>
          <w:rFonts w:asciiTheme="minorHAnsi" w:eastAsia="Times New Roman" w:hAnsiTheme="minorHAnsi"/>
          <w:color w:val="666666"/>
          <w:sz w:val="24"/>
          <w:szCs w:val="24"/>
          <w:lang w:eastAsia="lt-LT"/>
        </w:rPr>
        <w:t xml:space="preserve">aip pat </w:t>
      </w:r>
      <w:r w:rsidRPr="00CF541B">
        <w:rPr>
          <w:rFonts w:asciiTheme="minorHAnsi" w:eastAsia="Times New Roman" w:hAnsiTheme="minorHAnsi"/>
          <w:color w:val="666666"/>
          <w:sz w:val="24"/>
          <w:szCs w:val="24"/>
          <w:lang w:eastAsia="lt-LT"/>
        </w:rPr>
        <w:t>Energetikos ministerija</w:t>
      </w:r>
      <w:r w:rsidR="005D3AAB" w:rsidRPr="00CF541B">
        <w:rPr>
          <w:rFonts w:asciiTheme="minorHAnsi" w:eastAsia="Times New Roman" w:hAnsiTheme="minorHAnsi"/>
          <w:color w:val="666666"/>
          <w:sz w:val="24"/>
          <w:szCs w:val="24"/>
          <w:lang w:eastAsia="lt-LT"/>
        </w:rPr>
        <w:t xml:space="preserve"> </w:t>
      </w:r>
      <w:r w:rsidR="001569C0" w:rsidRPr="00CF541B">
        <w:rPr>
          <w:rFonts w:asciiTheme="minorHAnsi" w:eastAsia="Times New Roman" w:hAnsiTheme="minorHAnsi"/>
          <w:color w:val="666666"/>
          <w:sz w:val="24"/>
          <w:szCs w:val="24"/>
          <w:lang w:eastAsia="lt-LT"/>
        </w:rPr>
        <w:t>inicij</w:t>
      </w:r>
      <w:r w:rsidR="005D3AAB" w:rsidRPr="00CF541B">
        <w:rPr>
          <w:rFonts w:asciiTheme="minorHAnsi" w:eastAsia="Times New Roman" w:hAnsiTheme="minorHAnsi"/>
          <w:color w:val="666666"/>
          <w:sz w:val="24"/>
          <w:szCs w:val="24"/>
          <w:lang w:eastAsia="lt-LT"/>
        </w:rPr>
        <w:t>avo</w:t>
      </w:r>
      <w:r w:rsidR="001569C0" w:rsidRPr="00CF541B">
        <w:rPr>
          <w:rFonts w:asciiTheme="minorHAnsi" w:eastAsia="Times New Roman" w:hAnsiTheme="minorHAnsi"/>
          <w:color w:val="666666"/>
          <w:sz w:val="24"/>
          <w:szCs w:val="24"/>
          <w:lang w:eastAsia="lt-LT"/>
        </w:rPr>
        <w:t xml:space="preserve"> Programos</w:t>
      </w:r>
      <w:r w:rsidR="00283B51" w:rsidRPr="00CF541B">
        <w:rPr>
          <w:rFonts w:asciiTheme="minorHAnsi" w:eastAsia="Times New Roman" w:hAnsiTheme="minorHAnsi"/>
          <w:color w:val="666666"/>
          <w:sz w:val="24"/>
          <w:szCs w:val="24"/>
          <w:lang w:eastAsia="lt-LT"/>
        </w:rPr>
        <w:t xml:space="preserve"> keitim</w:t>
      </w:r>
      <w:r w:rsidR="005D3AAB" w:rsidRPr="00CF541B">
        <w:rPr>
          <w:rFonts w:asciiTheme="minorHAnsi" w:eastAsia="Times New Roman" w:hAnsiTheme="minorHAnsi"/>
          <w:color w:val="666666"/>
          <w:sz w:val="24"/>
          <w:szCs w:val="24"/>
          <w:lang w:eastAsia="lt-LT"/>
        </w:rPr>
        <w:t>ą</w:t>
      </w:r>
      <w:r w:rsidRPr="00CF541B">
        <w:rPr>
          <w:rFonts w:asciiTheme="minorHAnsi" w:eastAsia="Times New Roman" w:hAnsiTheme="minorHAnsi"/>
          <w:color w:val="666666"/>
          <w:sz w:val="24"/>
          <w:szCs w:val="24"/>
          <w:lang w:eastAsia="lt-LT"/>
        </w:rPr>
        <w:t>,</w:t>
      </w:r>
      <w:r w:rsidR="00283B51" w:rsidRPr="00CF541B">
        <w:rPr>
          <w:rFonts w:asciiTheme="minorHAnsi" w:eastAsia="Times New Roman" w:hAnsiTheme="minorHAnsi"/>
          <w:color w:val="666666"/>
          <w:sz w:val="24"/>
          <w:szCs w:val="24"/>
          <w:lang w:eastAsia="lt-LT"/>
        </w:rPr>
        <w:t xml:space="preserve"> numat</w:t>
      </w:r>
      <w:r w:rsidR="001569C0" w:rsidRPr="00CF541B">
        <w:rPr>
          <w:rFonts w:asciiTheme="minorHAnsi" w:eastAsia="Times New Roman" w:hAnsiTheme="minorHAnsi"/>
          <w:color w:val="666666"/>
          <w:sz w:val="24"/>
          <w:szCs w:val="24"/>
          <w:lang w:eastAsia="lt-LT"/>
        </w:rPr>
        <w:t>ant</w:t>
      </w:r>
      <w:r w:rsidR="00283B51" w:rsidRPr="00CF541B">
        <w:rPr>
          <w:rFonts w:asciiTheme="minorHAnsi" w:eastAsia="Times New Roman" w:hAnsiTheme="minorHAnsi"/>
          <w:color w:val="666666"/>
          <w:sz w:val="24"/>
          <w:szCs w:val="24"/>
          <w:lang w:eastAsia="lt-LT"/>
        </w:rPr>
        <w:t xml:space="preserve"> minimal</w:t>
      </w:r>
      <w:r w:rsidR="001569C0" w:rsidRPr="00CF541B">
        <w:rPr>
          <w:rFonts w:asciiTheme="minorHAnsi" w:eastAsia="Times New Roman" w:hAnsiTheme="minorHAnsi"/>
          <w:color w:val="666666"/>
          <w:sz w:val="24"/>
          <w:szCs w:val="24"/>
          <w:lang w:eastAsia="lt-LT"/>
        </w:rPr>
        <w:t xml:space="preserve">ius siektinus energijos efektyvumo </w:t>
      </w:r>
      <w:r w:rsidR="00283B51" w:rsidRPr="00CF541B">
        <w:rPr>
          <w:rFonts w:asciiTheme="minorHAnsi" w:eastAsia="Times New Roman" w:hAnsiTheme="minorHAnsi"/>
          <w:color w:val="666666"/>
          <w:sz w:val="24"/>
          <w:szCs w:val="24"/>
          <w:lang w:eastAsia="lt-LT"/>
        </w:rPr>
        <w:t>reikalavim</w:t>
      </w:r>
      <w:r w:rsidR="001569C0" w:rsidRPr="00CF541B">
        <w:rPr>
          <w:rFonts w:asciiTheme="minorHAnsi" w:eastAsia="Times New Roman" w:hAnsiTheme="minorHAnsi"/>
          <w:color w:val="666666"/>
          <w:sz w:val="24"/>
          <w:szCs w:val="24"/>
          <w:lang w:eastAsia="lt-LT"/>
        </w:rPr>
        <w:t xml:space="preserve">us </w:t>
      </w:r>
      <w:r w:rsidR="00283B51" w:rsidRPr="00CF541B">
        <w:rPr>
          <w:rFonts w:asciiTheme="minorHAnsi" w:eastAsia="Times New Roman" w:hAnsiTheme="minorHAnsi"/>
          <w:color w:val="666666"/>
          <w:sz w:val="24"/>
          <w:szCs w:val="24"/>
          <w:lang w:eastAsia="lt-LT"/>
        </w:rPr>
        <w:t>atnaujinamiems pastatams</w:t>
      </w:r>
      <w:r w:rsidR="005D3AAB" w:rsidRPr="00CF541B">
        <w:rPr>
          <w:rFonts w:asciiTheme="minorHAnsi" w:eastAsia="Times New Roman" w:hAnsiTheme="minorHAnsi"/>
          <w:color w:val="666666"/>
          <w:sz w:val="24"/>
          <w:szCs w:val="24"/>
          <w:lang w:eastAsia="lt-LT"/>
        </w:rPr>
        <w:t xml:space="preserve"> siekiant aiškumo vertinant investiciniuose projektuose pate</w:t>
      </w:r>
      <w:r w:rsidR="001F254E">
        <w:rPr>
          <w:rFonts w:asciiTheme="minorHAnsi" w:eastAsia="Times New Roman" w:hAnsiTheme="minorHAnsi"/>
          <w:color w:val="666666"/>
          <w:sz w:val="24"/>
          <w:szCs w:val="24"/>
          <w:lang w:eastAsia="lt-LT"/>
        </w:rPr>
        <w:t>ikiamas sprendinių alternatyvas;</w:t>
      </w:r>
    </w:p>
    <w:p w:rsidR="001F254E" w:rsidRPr="00CF541B" w:rsidRDefault="001F254E" w:rsidP="001F254E">
      <w:pPr>
        <w:pStyle w:val="Sraopastraipa"/>
        <w:numPr>
          <w:ilvl w:val="0"/>
          <w:numId w:val="39"/>
        </w:numPr>
        <w:spacing w:after="0" w:line="240" w:lineRule="auto"/>
        <w:ind w:left="284" w:hanging="284"/>
        <w:jc w:val="both"/>
        <w:rPr>
          <w:rFonts w:asciiTheme="minorHAnsi" w:eastAsia="Times New Roman" w:hAnsiTheme="minorHAnsi"/>
          <w:color w:val="666666"/>
          <w:sz w:val="24"/>
          <w:szCs w:val="24"/>
          <w:lang w:eastAsia="lt-LT"/>
        </w:rPr>
      </w:pPr>
      <w:r w:rsidRPr="00CF541B">
        <w:rPr>
          <w:rFonts w:asciiTheme="minorHAnsi" w:eastAsia="Times New Roman" w:hAnsiTheme="minorHAnsi"/>
          <w:color w:val="666666"/>
          <w:sz w:val="24"/>
          <w:szCs w:val="24"/>
          <w:lang w:eastAsia="lt-LT"/>
        </w:rPr>
        <w:t xml:space="preserve">vykdyti reguliarūs techniniai susitikimai tarp Energetikos ministerijos, Finansų ministerijos, CPVA, VIPA </w:t>
      </w:r>
      <w:r>
        <w:rPr>
          <w:rFonts w:asciiTheme="minorHAnsi" w:eastAsia="Times New Roman" w:hAnsiTheme="minorHAnsi"/>
          <w:color w:val="666666"/>
          <w:sz w:val="24"/>
          <w:szCs w:val="24"/>
          <w:lang w:eastAsia="lt-LT"/>
        </w:rPr>
        <w:t>įgyvendinimo klausimams spręsti.</w:t>
      </w:r>
    </w:p>
    <w:p w:rsidR="005D3AAB" w:rsidRPr="00272681" w:rsidRDefault="005D3AAB" w:rsidP="00CF541B">
      <w:pPr>
        <w:ind w:firstLine="426"/>
        <w:jc w:val="both"/>
        <w:rPr>
          <w:rFonts w:asciiTheme="minorHAnsi" w:hAnsiTheme="minorHAnsi"/>
          <w:color w:val="666666"/>
          <w:szCs w:val="24"/>
          <w:lang w:eastAsia="lt-LT"/>
        </w:rPr>
      </w:pPr>
      <w:r w:rsidRPr="00272681">
        <w:rPr>
          <w:rFonts w:asciiTheme="minorHAnsi" w:hAnsiTheme="minorHAnsi"/>
          <w:color w:val="666666"/>
          <w:szCs w:val="24"/>
          <w:lang w:eastAsia="lt-LT"/>
        </w:rPr>
        <w:t xml:space="preserve">Atsižvelgiant į tai, kad </w:t>
      </w:r>
      <w:r w:rsidR="00FF77EA" w:rsidRPr="00272681">
        <w:rPr>
          <w:rFonts w:asciiTheme="minorHAnsi" w:hAnsiTheme="minorHAnsi"/>
          <w:color w:val="666666"/>
          <w:szCs w:val="24"/>
          <w:lang w:eastAsia="lt-LT"/>
        </w:rPr>
        <w:t xml:space="preserve">po </w:t>
      </w:r>
      <w:r w:rsidR="00CF541B">
        <w:rPr>
          <w:rFonts w:asciiTheme="minorHAnsi" w:hAnsiTheme="minorHAnsi"/>
          <w:color w:val="666666"/>
          <w:szCs w:val="24"/>
          <w:lang w:eastAsia="lt-LT"/>
        </w:rPr>
        <w:t>Finansų ministerijos</w:t>
      </w:r>
      <w:r w:rsidRPr="00272681">
        <w:rPr>
          <w:rFonts w:asciiTheme="minorHAnsi" w:hAnsiTheme="minorHAnsi"/>
          <w:color w:val="666666"/>
          <w:szCs w:val="24"/>
          <w:lang w:eastAsia="lt-LT"/>
        </w:rPr>
        <w:t xml:space="preserve">, </w:t>
      </w:r>
      <w:r w:rsidR="00CF541B">
        <w:rPr>
          <w:rFonts w:asciiTheme="minorHAnsi" w:hAnsiTheme="minorHAnsi"/>
          <w:color w:val="666666"/>
          <w:szCs w:val="24"/>
          <w:lang w:eastAsia="lt-LT"/>
        </w:rPr>
        <w:t>Energetikos ministerijos</w:t>
      </w:r>
      <w:r w:rsidRPr="00272681">
        <w:rPr>
          <w:rFonts w:asciiTheme="minorHAnsi" w:hAnsiTheme="minorHAnsi"/>
          <w:color w:val="666666"/>
          <w:szCs w:val="24"/>
          <w:lang w:eastAsia="lt-LT"/>
        </w:rPr>
        <w:t xml:space="preserve"> ir VIPA vykdy</w:t>
      </w:r>
      <w:r w:rsidR="00FF77EA" w:rsidRPr="00272681">
        <w:rPr>
          <w:rFonts w:asciiTheme="minorHAnsi" w:hAnsiTheme="minorHAnsi"/>
          <w:color w:val="666666"/>
          <w:szCs w:val="24"/>
          <w:lang w:eastAsia="lt-LT"/>
        </w:rPr>
        <w:t>tų</w:t>
      </w:r>
      <w:r w:rsidRPr="00272681">
        <w:rPr>
          <w:rFonts w:asciiTheme="minorHAnsi" w:hAnsiTheme="minorHAnsi"/>
          <w:color w:val="666666"/>
          <w:szCs w:val="24"/>
          <w:lang w:eastAsia="lt-LT"/>
        </w:rPr>
        <w:t xml:space="preserve"> investicijų </w:t>
      </w:r>
      <w:r w:rsidR="00FF77EA" w:rsidRPr="00272681">
        <w:rPr>
          <w:rFonts w:asciiTheme="minorHAnsi" w:hAnsiTheme="minorHAnsi"/>
          <w:color w:val="666666"/>
          <w:szCs w:val="24"/>
          <w:lang w:eastAsia="lt-LT"/>
        </w:rPr>
        <w:t>spartinimo</w:t>
      </w:r>
      <w:r w:rsidRPr="00272681">
        <w:rPr>
          <w:rFonts w:asciiTheme="minorHAnsi" w:hAnsiTheme="minorHAnsi"/>
          <w:color w:val="666666"/>
          <w:szCs w:val="24"/>
          <w:lang w:eastAsia="lt-LT"/>
        </w:rPr>
        <w:t xml:space="preserve"> veiksm</w:t>
      </w:r>
      <w:r w:rsidR="00FF77EA" w:rsidRPr="00272681">
        <w:rPr>
          <w:rFonts w:asciiTheme="minorHAnsi" w:hAnsiTheme="minorHAnsi"/>
          <w:color w:val="666666"/>
          <w:szCs w:val="24"/>
          <w:lang w:eastAsia="lt-LT"/>
        </w:rPr>
        <w:t xml:space="preserve">ų, projektų srauto proveržis nėra matomas, VIPA, atsižvelgdama į paskutinius </w:t>
      </w:r>
      <w:r w:rsidR="00CF541B">
        <w:rPr>
          <w:rFonts w:asciiTheme="minorHAnsi" w:hAnsiTheme="minorHAnsi"/>
          <w:color w:val="666666"/>
          <w:szCs w:val="24"/>
          <w:lang w:eastAsia="lt-LT"/>
        </w:rPr>
        <w:t>Energetikos ministerijos</w:t>
      </w:r>
      <w:r w:rsidR="00FF77EA" w:rsidRPr="00272681">
        <w:rPr>
          <w:rFonts w:asciiTheme="minorHAnsi" w:hAnsiTheme="minorHAnsi"/>
          <w:color w:val="666666"/>
          <w:szCs w:val="24"/>
          <w:lang w:eastAsia="lt-LT"/>
        </w:rPr>
        <w:t xml:space="preserve"> inicijuotus Programos pakeitimus, iki spalio 31 d. </w:t>
      </w:r>
      <w:r w:rsidR="001F254E">
        <w:rPr>
          <w:rFonts w:asciiTheme="minorHAnsi" w:hAnsiTheme="minorHAnsi"/>
          <w:color w:val="666666"/>
          <w:szCs w:val="24"/>
          <w:lang w:eastAsia="lt-LT"/>
        </w:rPr>
        <w:t>atnaujina</w:t>
      </w:r>
      <w:r w:rsidR="00CF541B">
        <w:rPr>
          <w:rFonts w:asciiTheme="minorHAnsi" w:hAnsiTheme="minorHAnsi"/>
          <w:color w:val="666666"/>
          <w:szCs w:val="24"/>
          <w:lang w:eastAsia="lt-LT"/>
        </w:rPr>
        <w:t xml:space="preserve"> esamo ir potencialaus projektų</w:t>
      </w:r>
      <w:r w:rsidR="00FF77EA" w:rsidRPr="00272681">
        <w:rPr>
          <w:rFonts w:asciiTheme="minorHAnsi" w:hAnsiTheme="minorHAnsi"/>
          <w:color w:val="666666"/>
          <w:szCs w:val="24"/>
          <w:lang w:eastAsia="lt-LT"/>
        </w:rPr>
        <w:t xml:space="preserve"> srauto inventorizaciją. Atsižvelgiant į jos </w:t>
      </w:r>
      <w:r w:rsidR="001F254E">
        <w:rPr>
          <w:rFonts w:asciiTheme="minorHAnsi" w:hAnsiTheme="minorHAnsi"/>
          <w:color w:val="666666"/>
          <w:szCs w:val="24"/>
          <w:lang w:eastAsia="lt-LT"/>
        </w:rPr>
        <w:t xml:space="preserve">preliminarius </w:t>
      </w:r>
      <w:r w:rsidR="00FF77EA" w:rsidRPr="00272681">
        <w:rPr>
          <w:rFonts w:asciiTheme="minorHAnsi" w:hAnsiTheme="minorHAnsi"/>
          <w:color w:val="666666"/>
          <w:szCs w:val="24"/>
          <w:lang w:eastAsia="lt-LT"/>
        </w:rPr>
        <w:t xml:space="preserve">rezultatus bei į 2019 spalio 28 d. vykusiame </w:t>
      </w:r>
      <w:r w:rsidR="00CF541B">
        <w:rPr>
          <w:rFonts w:asciiTheme="minorHAnsi" w:hAnsiTheme="minorHAnsi"/>
          <w:color w:val="666666"/>
          <w:szCs w:val="24"/>
          <w:lang w:eastAsia="lt-LT"/>
        </w:rPr>
        <w:t>Finansų ministerijos ir</w:t>
      </w:r>
      <w:r w:rsidR="00CF541B" w:rsidRPr="00272681">
        <w:rPr>
          <w:rFonts w:asciiTheme="minorHAnsi" w:hAnsiTheme="minorHAnsi"/>
          <w:color w:val="666666"/>
          <w:szCs w:val="24"/>
          <w:lang w:eastAsia="lt-LT"/>
        </w:rPr>
        <w:t xml:space="preserve"> </w:t>
      </w:r>
      <w:r w:rsidR="00CF541B">
        <w:rPr>
          <w:rFonts w:asciiTheme="minorHAnsi" w:hAnsiTheme="minorHAnsi"/>
          <w:color w:val="666666"/>
          <w:szCs w:val="24"/>
          <w:lang w:eastAsia="lt-LT"/>
        </w:rPr>
        <w:t>Energetikos ministerijos</w:t>
      </w:r>
      <w:r w:rsidR="00CF541B" w:rsidRPr="00272681">
        <w:rPr>
          <w:rFonts w:asciiTheme="minorHAnsi" w:hAnsiTheme="minorHAnsi"/>
          <w:color w:val="666666"/>
          <w:szCs w:val="24"/>
          <w:lang w:eastAsia="lt-LT"/>
        </w:rPr>
        <w:t xml:space="preserve"> </w:t>
      </w:r>
      <w:r w:rsidR="00FF77EA" w:rsidRPr="00272681">
        <w:rPr>
          <w:rFonts w:asciiTheme="minorHAnsi" w:hAnsiTheme="minorHAnsi"/>
          <w:color w:val="666666"/>
          <w:szCs w:val="24"/>
          <w:lang w:eastAsia="lt-LT"/>
        </w:rPr>
        <w:t>techniniame susitikime aptartą informaciją, sutarta priimti sprendimus dėl lėšų dalies perskirstymo tarp prie</w:t>
      </w:r>
      <w:r w:rsidR="00CF541B">
        <w:rPr>
          <w:rFonts w:asciiTheme="minorHAnsi" w:hAnsiTheme="minorHAnsi"/>
          <w:color w:val="666666"/>
          <w:szCs w:val="24"/>
          <w:lang w:eastAsia="lt-LT"/>
        </w:rPr>
        <w:t>monių.</w:t>
      </w:r>
      <w:r w:rsidR="001F254E">
        <w:rPr>
          <w:rFonts w:asciiTheme="minorHAnsi" w:hAnsiTheme="minorHAnsi"/>
          <w:color w:val="666666"/>
          <w:szCs w:val="24"/>
          <w:lang w:eastAsia="lt-LT"/>
        </w:rPr>
        <w:t xml:space="preserve"> </w:t>
      </w:r>
    </w:p>
    <w:p w:rsidR="004E4C2F" w:rsidRPr="004E4C2F" w:rsidRDefault="004E4C2F" w:rsidP="004E4C2F">
      <w:pPr>
        <w:pStyle w:val="tekstas"/>
        <w:rPr>
          <w:lang w:eastAsia="lt-LT"/>
        </w:rPr>
      </w:pPr>
      <w:r w:rsidRPr="004E4C2F">
        <w:rPr>
          <w:lang w:eastAsia="lt-LT"/>
        </w:rPr>
        <w:t xml:space="preserve">Energetikos ministerijos </w:t>
      </w:r>
      <w:proofErr w:type="spellStart"/>
      <w:r w:rsidRPr="004E4C2F">
        <w:rPr>
          <w:lang w:eastAsia="lt-LT"/>
        </w:rPr>
        <w:t>SaF</w:t>
      </w:r>
      <w:proofErr w:type="spellEnd"/>
      <w:r w:rsidRPr="004E4C2F">
        <w:rPr>
          <w:lang w:eastAsia="lt-LT"/>
        </w:rPr>
        <w:t xml:space="preserve"> lėšų investavimas atsilieka dėl kelių priežasčių. Vėliau nei planuota prasidėjusio 91 mln. eurų vertės Vilniaus </w:t>
      </w:r>
      <w:proofErr w:type="spellStart"/>
      <w:r w:rsidRPr="004E4C2F">
        <w:rPr>
          <w:lang w:eastAsia="lt-LT"/>
        </w:rPr>
        <w:t>kogeneracinės</w:t>
      </w:r>
      <w:proofErr w:type="spellEnd"/>
      <w:r w:rsidRPr="004E4C2F">
        <w:rPr>
          <w:lang w:eastAsia="lt-LT"/>
        </w:rPr>
        <w:t xml:space="preserve"> jėgainės projekto (vėlavo techninio projektavimo darbai ir statybos leidimo išdavimas), tačiau, pažymėtina, kad 2019 m. pabaigoje šiame projekte planuojami dideli išmokėjimai. Kita lėto lėšų investavimo priežastis </w:t>
      </w:r>
      <w:proofErr w:type="gramStart"/>
      <w:r w:rsidR="0059698A">
        <w:rPr>
          <w:lang w:eastAsia="lt-LT"/>
        </w:rPr>
        <w:t>-</w:t>
      </w:r>
      <w:proofErr w:type="gramEnd"/>
      <w:r w:rsidR="0059698A">
        <w:rPr>
          <w:lang w:eastAsia="lt-LT"/>
        </w:rPr>
        <w:t xml:space="preserve"> didelę </w:t>
      </w:r>
      <w:proofErr w:type="spellStart"/>
      <w:r w:rsidR="0059698A">
        <w:rPr>
          <w:lang w:eastAsia="lt-LT"/>
        </w:rPr>
        <w:t>SaF</w:t>
      </w:r>
      <w:proofErr w:type="spellEnd"/>
      <w:r w:rsidR="0059698A">
        <w:rPr>
          <w:lang w:eastAsia="lt-LT"/>
        </w:rPr>
        <w:t xml:space="preserve"> lėšų dalį</w:t>
      </w:r>
      <w:r w:rsidRPr="004E4C2F">
        <w:rPr>
          <w:lang w:eastAsia="lt-LT"/>
        </w:rPr>
        <w:t xml:space="preserve"> (89 mln. eurų) </w:t>
      </w:r>
      <w:r w:rsidR="0059698A">
        <w:rPr>
          <w:lang w:eastAsia="lt-LT"/>
        </w:rPr>
        <w:t>sudaro</w:t>
      </w:r>
      <w:r w:rsidRPr="004E4C2F">
        <w:rPr>
          <w:lang w:eastAsia="lt-LT"/>
        </w:rPr>
        <w:t xml:space="preserve"> šilumos tiekimo tinklų mod</w:t>
      </w:r>
      <w:r w:rsidR="0059698A">
        <w:rPr>
          <w:lang w:eastAsia="lt-LT"/>
        </w:rPr>
        <w:t>ernizavimo ir plėtros projektai,</w:t>
      </w:r>
      <w:r w:rsidRPr="004E4C2F">
        <w:rPr>
          <w:lang w:eastAsia="lt-LT"/>
        </w:rPr>
        <w:t xml:space="preserve"> kurių tru</w:t>
      </w:r>
      <w:r w:rsidR="00095317">
        <w:rPr>
          <w:lang w:eastAsia="lt-LT"/>
        </w:rPr>
        <w:t>kmė</w:t>
      </w:r>
      <w:r w:rsidRPr="004E4C2F">
        <w:rPr>
          <w:lang w:eastAsia="lt-LT"/>
        </w:rPr>
        <w:t xml:space="preserve"> nuo 24 iki 40 mėn. ir </w:t>
      </w:r>
      <w:r w:rsidR="00095317">
        <w:rPr>
          <w:lang w:eastAsia="lt-LT"/>
        </w:rPr>
        <w:t>jie priklauso nuo sezoniškumo t.y.</w:t>
      </w:r>
      <w:r w:rsidRPr="004E4C2F">
        <w:rPr>
          <w:lang w:eastAsia="lt-LT"/>
        </w:rPr>
        <w:t xml:space="preserve"> projektai gali būti įgyvendinami tik pasibaigus šildymo sezonui.</w:t>
      </w:r>
    </w:p>
    <w:p w:rsidR="00AC2474" w:rsidRDefault="004E4C2F" w:rsidP="004E4C2F">
      <w:pPr>
        <w:pStyle w:val="tekstas"/>
        <w:rPr>
          <w:lang w:eastAsia="lt-LT"/>
        </w:rPr>
      </w:pPr>
      <w:r w:rsidRPr="004E4C2F">
        <w:rPr>
          <w:lang w:eastAsia="lt-LT"/>
        </w:rPr>
        <w:lastRenderedPageBreak/>
        <w:t xml:space="preserve">Energetikos ministerija, siekdama ES </w:t>
      </w:r>
      <w:proofErr w:type="spellStart"/>
      <w:r w:rsidRPr="004E4C2F">
        <w:rPr>
          <w:lang w:eastAsia="lt-LT"/>
        </w:rPr>
        <w:t>SaF</w:t>
      </w:r>
      <w:proofErr w:type="spellEnd"/>
      <w:r w:rsidRPr="004E4C2F">
        <w:rPr>
          <w:lang w:eastAsia="lt-LT"/>
        </w:rPr>
        <w:t xml:space="preserve"> investicijomis prisidėti prie vieno iš NENS tikslų – iki 2020 m. sukūrus palankią investicijų aplinką, būtų ne mažiau kaip 34 tūkst. elektros energijos vartotojų, naudojančių gaminančio vartotojo schemą, 2019 m. rugsėjo 2 d. Lietuvos Respublikos energetikos ministro įsakymu Nr. 1–246 patvirtino naują 8 mln. eurų vertės priemonę „AIE namų ūkiams“, skirtą finansuoti fizinius asmenis, įsirengiančius elektrines namų ūkio reikmėms geografiškai nutolusiose nuo elektros suvartojimo vietose. Be to, įgyvendindama praeitoje ataskaitoje teiktą rekomendaciją iki 2019 m. spalio 30 d. pakeisti Nacionalinę šilumos ūkio plėtros 2015–2021 m. programą ir siekiant padidinti konkursinės nedidelės galios biokuro </w:t>
      </w:r>
      <w:proofErr w:type="spellStart"/>
      <w:r w:rsidRPr="004E4C2F">
        <w:rPr>
          <w:lang w:eastAsia="lt-LT"/>
        </w:rPr>
        <w:t>kogeneracijos</w:t>
      </w:r>
      <w:proofErr w:type="spellEnd"/>
      <w:r w:rsidRPr="004E4C2F">
        <w:rPr>
          <w:lang w:eastAsia="lt-LT"/>
        </w:rPr>
        <w:t xml:space="preserve"> skatinimo priemonės patrauklumą bei pagreitinti įgyvendinimą, pakoreguoti finansavimo sąlygas, ministerija inicijavo šios programos keitimą ir konkursinės nedidelės galios biokuro </w:t>
      </w:r>
      <w:proofErr w:type="spellStart"/>
      <w:r w:rsidRPr="004E4C2F">
        <w:rPr>
          <w:lang w:eastAsia="lt-LT"/>
        </w:rPr>
        <w:t>kogeneracijos</w:t>
      </w:r>
      <w:proofErr w:type="spellEnd"/>
      <w:r w:rsidRPr="004E4C2F">
        <w:rPr>
          <w:lang w:eastAsia="lt-LT"/>
        </w:rPr>
        <w:t xml:space="preserve"> skatinimo priemonės projektų atrankos kriterijų keitimą. Pakeitus šiuos dokumentus, dar 2019 m. IV ketvirtį bus paskelbtas kvietimas teikti paraiškas.</w:t>
      </w:r>
    </w:p>
    <w:p w:rsidR="004E4C2F" w:rsidRDefault="004E4C2F" w:rsidP="004E4C2F">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EE7C11" w:rsidRPr="00CA6C8A" w:rsidTr="00AB31B8">
        <w:tc>
          <w:tcPr>
            <w:tcW w:w="9638" w:type="dxa"/>
            <w:tcBorders>
              <w:top w:val="nil"/>
              <w:left w:val="nil"/>
              <w:bottom w:val="nil"/>
              <w:right w:val="nil"/>
            </w:tcBorders>
            <w:shd w:val="clear" w:color="auto" w:fill="D9D9D9" w:themeFill="background1" w:themeFillShade="D9"/>
          </w:tcPr>
          <w:p w:rsidR="00EE7C11" w:rsidRPr="007F76B8" w:rsidRDefault="00EE7C11" w:rsidP="00AB31B8">
            <w:pPr>
              <w:pStyle w:val="tekstas"/>
              <w:ind w:firstLine="0"/>
              <w:rPr>
                <w:b/>
                <w:color w:val="365F91" w:themeColor="accent1" w:themeShade="BF"/>
                <w:szCs w:val="20"/>
              </w:rPr>
            </w:pPr>
            <w:r>
              <w:rPr>
                <w:b/>
                <w:color w:val="365F91" w:themeColor="accent1" w:themeShade="BF"/>
                <w:szCs w:val="20"/>
              </w:rPr>
              <w:t>Siūlymai</w:t>
            </w:r>
            <w:r w:rsidRPr="007F76B8">
              <w:rPr>
                <w:b/>
                <w:color w:val="365F91" w:themeColor="accent1" w:themeShade="BF"/>
                <w:szCs w:val="20"/>
              </w:rPr>
              <w:t xml:space="preserve"> </w:t>
            </w:r>
            <w:r>
              <w:rPr>
                <w:b/>
                <w:color w:val="365F91" w:themeColor="accent1" w:themeShade="BF"/>
                <w:szCs w:val="20"/>
              </w:rPr>
              <w:t>Energetikos ministerijai</w:t>
            </w:r>
            <w:r w:rsidRPr="007F76B8">
              <w:rPr>
                <w:b/>
                <w:color w:val="365F91" w:themeColor="accent1" w:themeShade="BF"/>
                <w:szCs w:val="20"/>
              </w:rPr>
              <w:t>:</w:t>
            </w:r>
          </w:p>
          <w:p w:rsidR="00EE7C11" w:rsidRDefault="00204A82" w:rsidP="0025505B">
            <w:pPr>
              <w:pStyle w:val="tekstas"/>
              <w:ind w:firstLine="0"/>
              <w:rPr>
                <w:color w:val="365F91" w:themeColor="accent1" w:themeShade="BF"/>
                <w:szCs w:val="20"/>
              </w:rPr>
            </w:pPr>
            <w:r w:rsidRPr="00D445CE">
              <w:rPr>
                <w:color w:val="365F91" w:themeColor="accent1" w:themeShade="BF"/>
                <w:szCs w:val="20"/>
              </w:rPr>
              <w:t xml:space="preserve">- Iki 2019 m. </w:t>
            </w:r>
            <w:r w:rsidR="0025505B">
              <w:rPr>
                <w:color w:val="365F91" w:themeColor="accent1" w:themeShade="BF"/>
                <w:szCs w:val="20"/>
              </w:rPr>
              <w:t xml:space="preserve">gruodžio 31 d. </w:t>
            </w:r>
            <w:r w:rsidRPr="00D445CE">
              <w:rPr>
                <w:color w:val="365F91" w:themeColor="accent1" w:themeShade="BF"/>
                <w:szCs w:val="20"/>
              </w:rPr>
              <w:t xml:space="preserve">paskelbti kvietimą teikti paraiškas pagal </w:t>
            </w:r>
            <w:r w:rsidR="004E4C2F" w:rsidRPr="00D445CE">
              <w:rPr>
                <w:color w:val="365F91" w:themeColor="accent1" w:themeShade="BF"/>
                <w:szCs w:val="20"/>
              </w:rPr>
              <w:t xml:space="preserve">atnaujintas nedidelės galios biokuro </w:t>
            </w:r>
            <w:proofErr w:type="spellStart"/>
            <w:r w:rsidR="004E4C2F" w:rsidRPr="00D445CE">
              <w:rPr>
                <w:color w:val="365F91" w:themeColor="accent1" w:themeShade="BF"/>
                <w:szCs w:val="20"/>
              </w:rPr>
              <w:t>kogeneracijos</w:t>
            </w:r>
            <w:proofErr w:type="spellEnd"/>
            <w:r w:rsidR="004E4C2F" w:rsidRPr="00D445CE">
              <w:rPr>
                <w:color w:val="365F91" w:themeColor="accent1" w:themeShade="BF"/>
                <w:szCs w:val="20"/>
              </w:rPr>
              <w:t xml:space="preserve"> skatinimo priemonės finansavimo sąlygas.</w:t>
            </w:r>
          </w:p>
          <w:p w:rsidR="00F90D5D" w:rsidRPr="00D445CE" w:rsidRDefault="00F90D5D" w:rsidP="001F254E">
            <w:pPr>
              <w:pStyle w:val="tekstas"/>
              <w:ind w:firstLine="0"/>
              <w:rPr>
                <w:color w:val="365F91" w:themeColor="accent1" w:themeShade="BF"/>
                <w:szCs w:val="20"/>
              </w:rPr>
            </w:pPr>
            <w:r>
              <w:rPr>
                <w:color w:val="365F91" w:themeColor="accent1" w:themeShade="BF"/>
                <w:szCs w:val="20"/>
              </w:rPr>
              <w:t>-</w:t>
            </w:r>
            <w:r w:rsidRPr="00D445CE">
              <w:rPr>
                <w:color w:val="365F91" w:themeColor="accent1" w:themeShade="BF"/>
                <w:szCs w:val="20"/>
              </w:rPr>
              <w:t xml:space="preserve"> Iki 2019 m. </w:t>
            </w:r>
            <w:r>
              <w:rPr>
                <w:color w:val="365F91" w:themeColor="accent1" w:themeShade="BF"/>
                <w:szCs w:val="20"/>
              </w:rPr>
              <w:t xml:space="preserve">gruodžio 31 d. darbine tvarka </w:t>
            </w:r>
            <w:r w:rsidR="00CF541B">
              <w:rPr>
                <w:color w:val="365F91" w:themeColor="accent1" w:themeShade="BF"/>
                <w:szCs w:val="20"/>
              </w:rPr>
              <w:t xml:space="preserve">suderinus </w:t>
            </w:r>
            <w:r>
              <w:rPr>
                <w:color w:val="365F91" w:themeColor="accent1" w:themeShade="BF"/>
                <w:szCs w:val="20"/>
              </w:rPr>
              <w:t xml:space="preserve">su Finansų ministerija ir VIPA inicijuoti </w:t>
            </w:r>
            <w:r w:rsidR="001F254E">
              <w:rPr>
                <w:color w:val="365F91" w:themeColor="accent1" w:themeShade="BF"/>
                <w:szCs w:val="20"/>
              </w:rPr>
              <w:t>veiksmus</w:t>
            </w:r>
            <w:r w:rsidR="000826EE">
              <w:rPr>
                <w:color w:val="365F91" w:themeColor="accent1" w:themeShade="BF"/>
                <w:szCs w:val="20"/>
              </w:rPr>
              <w:t xml:space="preserve"> </w:t>
            </w:r>
            <w:r w:rsidR="001F254E">
              <w:rPr>
                <w:color w:val="365F91" w:themeColor="accent1" w:themeShade="BF"/>
                <w:szCs w:val="20"/>
              </w:rPr>
              <w:t xml:space="preserve">dėl konkrečios lėšų sumos įgyvendinant </w:t>
            </w:r>
            <w:r w:rsidR="001F254E" w:rsidRPr="001F254E">
              <w:rPr>
                <w:color w:val="365F91" w:themeColor="accent1" w:themeShade="BF"/>
                <w:szCs w:val="20"/>
              </w:rPr>
              <w:t>energijos efektyvumo didinimo viešuosiuose pastatuose priemonę perskirstymo</w:t>
            </w:r>
            <w:r w:rsidR="001F254E">
              <w:rPr>
                <w:color w:val="365F91" w:themeColor="accent1" w:themeShade="BF"/>
                <w:szCs w:val="20"/>
              </w:rPr>
              <w:t xml:space="preserve"> </w:t>
            </w:r>
            <w:r w:rsidR="000826EE">
              <w:rPr>
                <w:color w:val="365F91" w:themeColor="accent1" w:themeShade="BF"/>
                <w:szCs w:val="20"/>
              </w:rPr>
              <w:t>ir pateikti siūlymus</w:t>
            </w:r>
            <w:r>
              <w:rPr>
                <w:color w:val="365F91" w:themeColor="accent1" w:themeShade="BF"/>
                <w:szCs w:val="20"/>
              </w:rPr>
              <w:t xml:space="preserve"> dėl tolimesnio grąžinamosios subsidijos bei finansinės priemonių įgyvendinimo.</w:t>
            </w:r>
          </w:p>
        </w:tc>
      </w:tr>
    </w:tbl>
    <w:p w:rsidR="00EE7C11" w:rsidRDefault="00EE7C11" w:rsidP="00EE7C11">
      <w:pPr>
        <w:pStyle w:val="tekstas"/>
        <w:ind w:firstLine="0"/>
        <w:rPr>
          <w:lang w:eastAsia="lt-LT"/>
        </w:rPr>
      </w:pPr>
    </w:p>
    <w:p w:rsidR="00EE7C11" w:rsidRDefault="00EE7C11" w:rsidP="00EE7C11">
      <w:pPr>
        <w:pStyle w:val="tekstas"/>
        <w:ind w:firstLine="0"/>
        <w:rPr>
          <w:lang w:eastAsia="lt-LT"/>
        </w:rPr>
      </w:pPr>
      <w:r>
        <w:rPr>
          <w:noProof/>
          <w:lang w:eastAsia="lt-LT"/>
        </w:rPr>
        <w:drawing>
          <wp:inline distT="0" distB="0" distL="0" distR="0" wp14:anchorId="15427DBD" wp14:editId="32DE78BA">
            <wp:extent cx="6120130" cy="738963"/>
            <wp:effectExtent l="0" t="0" r="13970" b="23495"/>
            <wp:docPr id="23" name="Diagra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383F" w:rsidRDefault="0033383F" w:rsidP="0033383F">
      <w:pPr>
        <w:pStyle w:val="tekstas"/>
        <w:rPr>
          <w:lang w:eastAsia="lt-LT"/>
        </w:rPr>
      </w:pPr>
      <w:r>
        <w:rPr>
          <w:lang w:eastAsia="lt-LT"/>
        </w:rPr>
        <w:t>Susisiekimo</w:t>
      </w:r>
      <w:r w:rsidRPr="0033383F">
        <w:rPr>
          <w:lang w:eastAsia="lt-LT"/>
        </w:rPr>
        <w:t xml:space="preserve"> ministerijos 4 prioriteto administruojamų priemonių finansuojamų </w:t>
      </w:r>
      <w:proofErr w:type="spellStart"/>
      <w:r>
        <w:rPr>
          <w:lang w:eastAsia="lt-LT"/>
        </w:rPr>
        <w:t>SaF</w:t>
      </w:r>
      <w:proofErr w:type="spellEnd"/>
      <w:r>
        <w:rPr>
          <w:lang w:eastAsia="lt-LT"/>
        </w:rPr>
        <w:t xml:space="preserve"> lėšomis planavimo (70 proc.), sutarčių pasirašymo (61 proc.) ir investavimo (32 proc.) pažanga atsilieka nuo Veiksmų programos vidurkio. Žymiau atsilieka </w:t>
      </w:r>
      <w:r w:rsidRPr="0033383F">
        <w:rPr>
          <w:lang w:eastAsia="lt-LT"/>
        </w:rPr>
        <w:t xml:space="preserve">ERPF lėšomis </w:t>
      </w:r>
      <w:r>
        <w:rPr>
          <w:lang w:eastAsia="lt-LT"/>
        </w:rPr>
        <w:t>finansuojamų projektų įgyvendinimas: su</w:t>
      </w:r>
      <w:r w:rsidRPr="0033383F">
        <w:rPr>
          <w:lang w:eastAsia="lt-LT"/>
        </w:rPr>
        <w:t>plan</w:t>
      </w:r>
      <w:r>
        <w:rPr>
          <w:lang w:eastAsia="lt-LT"/>
        </w:rPr>
        <w:t>uota 61 proc., pasirašyta sutarčių už 21 proc. ir investuota 13 proc. ministerijai skirtų ES lėšų.</w:t>
      </w:r>
    </w:p>
    <w:p w:rsidR="00E40B89" w:rsidRDefault="00E40B89" w:rsidP="00E40B89">
      <w:pPr>
        <w:pStyle w:val="tekstas"/>
        <w:rPr>
          <w:lang w:eastAsia="lt-LT"/>
        </w:rPr>
      </w:pPr>
      <w:r>
        <w:rPr>
          <w:lang w:eastAsia="lt-LT"/>
        </w:rPr>
        <w:t>Atsižvelgdama į priemonių įgyvendinimo spartą, Susisiekimo ministerija dalį nesuplanuotų lėšų perskirstė strategiškai svarbioms sritims turinčioms didelę pridėtinę vertę finansuoti: pėsčiųjų ir dviračių takų rekonstrukcijai ir plėtrai bei miesto viešojo transporto priemonių parko atnaujinimui.</w:t>
      </w:r>
    </w:p>
    <w:p w:rsidR="00C51545" w:rsidRDefault="00C51545" w:rsidP="00C51545">
      <w:pPr>
        <w:pStyle w:val="tekstas"/>
      </w:pPr>
      <w:r w:rsidRPr="00D07FC3">
        <w:t xml:space="preserve">Vykdydama </w:t>
      </w:r>
      <w:r>
        <w:t xml:space="preserve">2019 m. I ketvirčio </w:t>
      </w:r>
      <w:r w:rsidRPr="00D07FC3">
        <w:t>ataskaitoje nurodytą rekomendaciją,</w:t>
      </w:r>
      <w:r>
        <w:t xml:space="preserve"> </w:t>
      </w:r>
      <w:r w:rsidRPr="00D07FC3">
        <w:t xml:space="preserve">ministerija </w:t>
      </w:r>
      <w:r w:rsidR="00D5029A">
        <w:t xml:space="preserve">turėtų imtis </w:t>
      </w:r>
      <w:r w:rsidRPr="00B57FFD">
        <w:t>aktyv</w:t>
      </w:r>
      <w:r w:rsidR="00D5029A">
        <w:t>esnių</w:t>
      </w:r>
      <w:r w:rsidRPr="00B57FFD">
        <w:t xml:space="preserve"> priemonių, kad iki 2019 m. gruodžio 15 d. būtų sudaryti regionų projektų sąrašai visai darnaus </w:t>
      </w:r>
      <w:proofErr w:type="spellStart"/>
      <w:r w:rsidRPr="00B57FFD">
        <w:t>judumo</w:t>
      </w:r>
      <w:proofErr w:type="spellEnd"/>
      <w:r w:rsidRPr="00B57FFD">
        <w:t xml:space="preserve"> priemonių diegimui numatytai lėšų sumai</w:t>
      </w:r>
      <w:r w:rsidRPr="00D07FC3">
        <w:t>.</w:t>
      </w:r>
      <w:r>
        <w:t xml:space="preserve"> </w:t>
      </w:r>
    </w:p>
    <w:p w:rsidR="00EC586C" w:rsidRDefault="00B57FFD" w:rsidP="00EC586C">
      <w:pPr>
        <w:pStyle w:val="tekstas"/>
        <w:rPr>
          <w:lang w:eastAsia="lt-LT"/>
        </w:rPr>
      </w:pPr>
      <w:r w:rsidRPr="00D07FC3">
        <w:t>Pagal sutarčių sudarymo statistiką atsilieka priemonės, skirtos</w:t>
      </w:r>
      <w:r w:rsidR="00C51545">
        <w:t xml:space="preserve"> vietinio susisiekimo ekologiškų transporto priemonių įsigijimui bei pėsčiųjų ir dviračių takų plėtrai, </w:t>
      </w:r>
      <w:r w:rsidRPr="00D07FC3">
        <w:t xml:space="preserve">kurių sudarytų sutarčių suma sudaro mažiau </w:t>
      </w:r>
      <w:r w:rsidR="00D445CE">
        <w:t>nei</w:t>
      </w:r>
      <w:r w:rsidRPr="00D07FC3">
        <w:t xml:space="preserve"> </w:t>
      </w:r>
      <w:r w:rsidR="00C51545">
        <w:t>40</w:t>
      </w:r>
      <w:r w:rsidRPr="00D07FC3">
        <w:t xml:space="preserve"> proc. finansavimo sumos.</w:t>
      </w:r>
      <w:r w:rsidR="00EC586C">
        <w:rPr>
          <w:lang w:eastAsia="lt-LT"/>
        </w:rPr>
        <w:t xml:space="preserve"> Siekiant paspartinti visų 4 prioriteto projektų įgyvendinimą, Susisiekimo ministerija kartu su </w:t>
      </w:r>
      <w:r w:rsidR="00D445CE">
        <w:rPr>
          <w:lang w:eastAsia="lt-LT"/>
        </w:rPr>
        <w:t>CPVA</w:t>
      </w:r>
      <w:r w:rsidR="00EC586C">
        <w:rPr>
          <w:lang w:eastAsia="lt-LT"/>
        </w:rPr>
        <w:t xml:space="preserve"> nuolat stebi projek</w:t>
      </w:r>
      <w:r w:rsidR="00D5029A">
        <w:rPr>
          <w:lang w:eastAsia="lt-LT"/>
        </w:rPr>
        <w:t>tų įgyvendinimo eigą, organizuoja</w:t>
      </w:r>
      <w:r w:rsidR="00EC586C">
        <w:rPr>
          <w:lang w:eastAsia="lt-LT"/>
        </w:rPr>
        <w:t xml:space="preserve"> susitikimus su </w:t>
      </w:r>
      <w:r w:rsidR="00D445CE">
        <w:rPr>
          <w:lang w:eastAsia="lt-LT"/>
        </w:rPr>
        <w:t>lėčiausiai įgyvendinamų projektų</w:t>
      </w:r>
      <w:r w:rsidR="00EC586C">
        <w:rPr>
          <w:lang w:eastAsia="lt-LT"/>
        </w:rPr>
        <w:t xml:space="preserve"> vykdytojais (savivaldybių administracijų atstovais), </w:t>
      </w:r>
      <w:r w:rsidR="00D5029A">
        <w:rPr>
          <w:lang w:eastAsia="lt-LT"/>
        </w:rPr>
        <w:t>todėl labai svarbu laiku</w:t>
      </w:r>
      <w:r w:rsidR="00EC586C">
        <w:rPr>
          <w:lang w:eastAsia="lt-LT"/>
        </w:rPr>
        <w:t xml:space="preserve"> identifikuoti projektų nepakankamai spartaus įgyvendinimo problemas, teikti konsultacijas, kaip tas problemas būtų galima išsp</w:t>
      </w:r>
      <w:r w:rsidR="002D3956">
        <w:rPr>
          <w:lang w:eastAsia="lt-LT"/>
        </w:rPr>
        <w:t>r</w:t>
      </w:r>
      <w:r w:rsidR="00EC586C">
        <w:rPr>
          <w:lang w:eastAsia="lt-LT"/>
        </w:rPr>
        <w:t xml:space="preserve">ęsti ir paspartinti projektų įgyvendinimą. </w:t>
      </w:r>
    </w:p>
    <w:p w:rsidR="00EE7C11" w:rsidRDefault="00EE7C11" w:rsidP="00EE7C11">
      <w:pPr>
        <w:pStyle w:val="tekstas"/>
        <w:ind w:firstLine="0"/>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33383F" w:rsidRPr="00CA6C8A" w:rsidTr="00AB31B8">
        <w:tc>
          <w:tcPr>
            <w:tcW w:w="9638" w:type="dxa"/>
            <w:tcBorders>
              <w:top w:val="nil"/>
              <w:left w:val="nil"/>
              <w:bottom w:val="nil"/>
              <w:right w:val="nil"/>
            </w:tcBorders>
            <w:shd w:val="clear" w:color="auto" w:fill="D9D9D9" w:themeFill="background1" w:themeFillShade="D9"/>
          </w:tcPr>
          <w:p w:rsidR="0033383F" w:rsidRPr="007F76B8" w:rsidRDefault="00D5029A" w:rsidP="00AB31B8">
            <w:pPr>
              <w:pStyle w:val="tekstas"/>
              <w:ind w:firstLine="0"/>
              <w:rPr>
                <w:b/>
                <w:color w:val="365F91" w:themeColor="accent1" w:themeShade="BF"/>
                <w:szCs w:val="20"/>
              </w:rPr>
            </w:pPr>
            <w:r>
              <w:rPr>
                <w:b/>
                <w:color w:val="365F91" w:themeColor="accent1" w:themeShade="BF"/>
                <w:szCs w:val="20"/>
              </w:rPr>
              <w:t>Siūlymas</w:t>
            </w:r>
            <w:r w:rsidR="0033383F" w:rsidRPr="007F76B8">
              <w:rPr>
                <w:b/>
                <w:color w:val="365F91" w:themeColor="accent1" w:themeShade="BF"/>
                <w:szCs w:val="20"/>
              </w:rPr>
              <w:t xml:space="preserve"> </w:t>
            </w:r>
            <w:r w:rsidR="0033383F">
              <w:rPr>
                <w:b/>
                <w:color w:val="365F91" w:themeColor="accent1" w:themeShade="BF"/>
                <w:szCs w:val="20"/>
              </w:rPr>
              <w:t>Susisiekimo ministerijai</w:t>
            </w:r>
            <w:r w:rsidR="0033383F" w:rsidRPr="007F76B8">
              <w:rPr>
                <w:b/>
                <w:color w:val="365F91" w:themeColor="accent1" w:themeShade="BF"/>
                <w:szCs w:val="20"/>
              </w:rPr>
              <w:t>:</w:t>
            </w:r>
          </w:p>
          <w:p w:rsidR="0033383F" w:rsidRPr="00D445CE" w:rsidRDefault="0033383F" w:rsidP="00C51545">
            <w:pPr>
              <w:pStyle w:val="tekstas"/>
              <w:ind w:firstLine="0"/>
              <w:rPr>
                <w:color w:val="365F91" w:themeColor="accent1" w:themeShade="BF"/>
                <w:szCs w:val="20"/>
              </w:rPr>
            </w:pPr>
            <w:r w:rsidRPr="00D445CE">
              <w:rPr>
                <w:color w:val="365F91" w:themeColor="accent1" w:themeShade="BF"/>
                <w:szCs w:val="20"/>
              </w:rPr>
              <w:t xml:space="preserve">- </w:t>
            </w:r>
            <w:r w:rsidR="00AA61D5" w:rsidRPr="00AA61D5">
              <w:rPr>
                <w:color w:val="365F91" w:themeColor="accent1" w:themeShade="BF"/>
                <w:szCs w:val="20"/>
              </w:rPr>
              <w:t xml:space="preserve">Imtis aktyvių priemonių siekiant paspartinti vietinio susisiekimo ekologiškų transporto priemonių įsigijimo bei pėsčiųjų ir dviračių takų plėtros priemonių projektų sutarčių sudarymo </w:t>
            </w:r>
            <w:r w:rsidR="00AA61D5" w:rsidRPr="00AA61D5">
              <w:rPr>
                <w:color w:val="365F91" w:themeColor="accent1" w:themeShade="BF"/>
                <w:szCs w:val="20"/>
              </w:rPr>
              <w:lastRenderedPageBreak/>
              <w:t>terminus ir iki 2019 m. gruodžio 10 d. informuoti Finansų ministeriją apie atliktus veiksmus.</w:t>
            </w:r>
          </w:p>
        </w:tc>
      </w:tr>
    </w:tbl>
    <w:p w:rsidR="00EE7C11" w:rsidRDefault="00EE7C11" w:rsidP="00EE7C11">
      <w:pPr>
        <w:pStyle w:val="tekstas"/>
        <w:ind w:firstLine="0"/>
        <w:rPr>
          <w:lang w:eastAsia="lt-LT"/>
        </w:rPr>
      </w:pPr>
    </w:p>
    <w:p w:rsidR="000305AE" w:rsidRDefault="000305AE" w:rsidP="008807FF">
      <w:pPr>
        <w:pStyle w:val="antrat3zz"/>
        <w:spacing w:before="0"/>
        <w:jc w:val="both"/>
      </w:pPr>
      <w:bookmarkStart w:id="23" w:name="_Toc24016878"/>
      <w:r>
        <w:t>5 prioritetas. Aplinkosauga, gamtos išteklių darnus naudojimas ir prisitaikymas prie klimato kaitos</w:t>
      </w:r>
      <w:bookmarkEnd w:id="22"/>
      <w:bookmarkEnd w:id="23"/>
    </w:p>
    <w:p w:rsidR="006B2247" w:rsidRDefault="00542E1E" w:rsidP="00542E1E">
      <w:pPr>
        <w:pStyle w:val="tekstas"/>
        <w:ind w:firstLine="0"/>
        <w:rPr>
          <w:lang w:eastAsia="lt-LT"/>
        </w:rPr>
      </w:pPr>
      <w:r>
        <w:rPr>
          <w:noProof/>
          <w:lang w:eastAsia="lt-LT"/>
        </w:rPr>
        <w:drawing>
          <wp:inline distT="0" distB="0" distL="0" distR="0" wp14:anchorId="6FC94D67" wp14:editId="18AB5D02">
            <wp:extent cx="6120130" cy="795806"/>
            <wp:effectExtent l="0" t="0" r="13970" b="23495"/>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E4C2F" w:rsidRDefault="00542E1E" w:rsidP="004E4C2F">
      <w:pPr>
        <w:pStyle w:val="tekstas"/>
        <w:rPr>
          <w:lang w:eastAsia="lt-LT"/>
        </w:rPr>
      </w:pPr>
      <w:r>
        <w:rPr>
          <w:lang w:eastAsia="lt-LT"/>
        </w:rPr>
        <w:t>Aplinkos</w:t>
      </w:r>
      <w:r w:rsidRPr="0033383F">
        <w:rPr>
          <w:lang w:eastAsia="lt-LT"/>
        </w:rPr>
        <w:t xml:space="preserve"> ministerijos </w:t>
      </w:r>
      <w:r>
        <w:rPr>
          <w:lang w:eastAsia="lt-LT"/>
        </w:rPr>
        <w:t>5</w:t>
      </w:r>
      <w:r w:rsidRPr="0033383F">
        <w:rPr>
          <w:lang w:eastAsia="lt-LT"/>
        </w:rPr>
        <w:t xml:space="preserve"> prioriteto administruojamų priemonių</w:t>
      </w:r>
      <w:r>
        <w:rPr>
          <w:lang w:eastAsia="lt-LT"/>
        </w:rPr>
        <w:t xml:space="preserve"> bendras planavimo (</w:t>
      </w:r>
      <w:r w:rsidR="00C247F5">
        <w:rPr>
          <w:lang w:eastAsia="lt-LT"/>
        </w:rPr>
        <w:t>84 proc.) ir investavimo (34 proc.) procentas beveik atitinka Veiksmų programos vidurkį, o sutarčių pasirašymo (87 proc.) – viršija.</w:t>
      </w:r>
      <w:r w:rsidR="004E4C2F">
        <w:rPr>
          <w:lang w:eastAsia="lt-LT"/>
        </w:rPr>
        <w:t xml:space="preserve"> Siekdama visiškai suplanuoti administruojamų priemonių lėšas, AM aktyviai perskirto jų likučius ir planuoja jų panaudojimą.</w:t>
      </w:r>
    </w:p>
    <w:p w:rsidR="004E4C2F" w:rsidRDefault="00E40B89" w:rsidP="004E4C2F">
      <w:pPr>
        <w:pStyle w:val="tekstas"/>
        <w:rPr>
          <w:lang w:eastAsia="lt-LT"/>
        </w:rPr>
      </w:pPr>
      <w:r>
        <w:rPr>
          <w:lang w:eastAsia="lt-LT"/>
        </w:rPr>
        <w:t>Paminėtina, kad stebimas</w:t>
      </w:r>
      <w:r w:rsidR="004E4C2F">
        <w:rPr>
          <w:lang w:eastAsia="lt-LT"/>
        </w:rPr>
        <w:t xml:space="preserve"> teigiam</w:t>
      </w:r>
      <w:r>
        <w:rPr>
          <w:lang w:eastAsia="lt-LT"/>
        </w:rPr>
        <w:t>as postūmis</w:t>
      </w:r>
      <w:r w:rsidR="004E4C2F">
        <w:rPr>
          <w:lang w:eastAsia="lt-LT"/>
        </w:rPr>
        <w:t xml:space="preserve"> vandentvarkos srityje – iki spalio 1 d. gautos pirmosios paraiškos pagal naują finansavimo modelį (jungtinį finansavimą paskola ir grąžinamąja subsidija). Aplinkos ministerija surinko ir apibendrino tikslesnius duomenis apie gyventojų, kuriuos būtina prijungti prie vandens tiekimo ir nuotekų surinkimo tinklų, skaičių ir reikalingus finansavimo šaltinius. Tačiau siekiant </w:t>
      </w:r>
      <w:r w:rsidR="00D95D02">
        <w:rPr>
          <w:lang w:eastAsia="lt-LT"/>
        </w:rPr>
        <w:t>visiškai</w:t>
      </w:r>
      <w:r w:rsidR="004E4C2F">
        <w:rPr>
          <w:lang w:eastAsia="lt-LT"/>
        </w:rPr>
        <w:t xml:space="preserve"> išvengti rizikos dėl pažeidimo Lietuvai, susijusios su direktyvos nuostatų įgyvendinimu, Aplinkos ministerija ir VIPA turi užtikrinti kokybišką projektų įgyvendinimą ir juose numatytų rodiklių pasiekimą. </w:t>
      </w:r>
    </w:p>
    <w:p w:rsidR="00542E1E" w:rsidRPr="00CE4B68" w:rsidRDefault="004E4C2F" w:rsidP="006B2247">
      <w:pPr>
        <w:pStyle w:val="tekstas"/>
        <w:rPr>
          <w:lang w:eastAsia="lt-LT"/>
        </w:rPr>
      </w:pPr>
      <w:r>
        <w:rPr>
          <w:lang w:eastAsia="lt-LT"/>
        </w:rPr>
        <w:t>Nemažėja rizika dėl kito visai Lietuvai svarbaus objekto – Lietuvos zoologijos sodo rekonstrukcijos. Pasikeitus įstaigos vadovui ir rangovui susidūrus su finansiniais sunkumais, Aplinkos ministerija kartu su APVA turi dar labiau sustiprinti projekto stebėseną ir laiku imtis veiksmų, kad nebūtų nukrypta nuo rekonstrukcijos įgyvendinimo plano.</w:t>
      </w:r>
    </w:p>
    <w:p w:rsidR="006B2247" w:rsidRDefault="006B2247" w:rsidP="006B2247">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B2247" w:rsidRPr="00CA6C8A" w:rsidTr="00AB31B8">
        <w:tc>
          <w:tcPr>
            <w:tcW w:w="9638" w:type="dxa"/>
            <w:tcBorders>
              <w:top w:val="nil"/>
              <w:left w:val="nil"/>
              <w:bottom w:val="nil"/>
              <w:right w:val="nil"/>
            </w:tcBorders>
            <w:shd w:val="clear" w:color="auto" w:fill="D9D9D9" w:themeFill="background1" w:themeFillShade="D9"/>
          </w:tcPr>
          <w:p w:rsidR="006B2247" w:rsidRPr="007F76B8" w:rsidRDefault="004E4C2F" w:rsidP="00AB31B8">
            <w:pPr>
              <w:pStyle w:val="tekstas"/>
              <w:ind w:firstLine="0"/>
              <w:rPr>
                <w:b/>
                <w:color w:val="365F91" w:themeColor="accent1" w:themeShade="BF"/>
                <w:szCs w:val="20"/>
              </w:rPr>
            </w:pPr>
            <w:r>
              <w:rPr>
                <w:b/>
                <w:color w:val="365F91" w:themeColor="accent1" w:themeShade="BF"/>
                <w:szCs w:val="20"/>
              </w:rPr>
              <w:t>Siūlymas</w:t>
            </w:r>
            <w:r w:rsidR="00C247F5">
              <w:rPr>
                <w:b/>
                <w:color w:val="365F91" w:themeColor="accent1" w:themeShade="BF"/>
                <w:szCs w:val="20"/>
              </w:rPr>
              <w:t xml:space="preserve"> Aplinkos ministerijai</w:t>
            </w:r>
            <w:r w:rsidR="006B2247" w:rsidRPr="007F76B8">
              <w:rPr>
                <w:b/>
                <w:color w:val="365F91" w:themeColor="accent1" w:themeShade="BF"/>
                <w:szCs w:val="20"/>
              </w:rPr>
              <w:t>:</w:t>
            </w:r>
          </w:p>
          <w:p w:rsidR="006B2247" w:rsidRPr="00D95D02" w:rsidRDefault="006B2247" w:rsidP="004E4C2F">
            <w:pPr>
              <w:pStyle w:val="tekstas"/>
              <w:ind w:firstLine="0"/>
              <w:rPr>
                <w:color w:val="365F91" w:themeColor="accent1" w:themeShade="BF"/>
                <w:szCs w:val="20"/>
              </w:rPr>
            </w:pPr>
            <w:r w:rsidRPr="00D95D02">
              <w:rPr>
                <w:color w:val="365F91" w:themeColor="accent1" w:themeShade="BF"/>
                <w:szCs w:val="20"/>
              </w:rPr>
              <w:t xml:space="preserve">- </w:t>
            </w:r>
            <w:r w:rsidR="00D95D02" w:rsidRPr="00D95D02">
              <w:rPr>
                <w:color w:val="365F91" w:themeColor="accent1" w:themeShade="BF"/>
                <w:szCs w:val="20"/>
              </w:rPr>
              <w:t>K</w:t>
            </w:r>
            <w:r w:rsidR="004E4C2F" w:rsidRPr="00D95D02">
              <w:rPr>
                <w:color w:val="365F91" w:themeColor="accent1" w:themeShade="BF"/>
                <w:szCs w:val="20"/>
              </w:rPr>
              <w:t>artu su APVA sustiprinti Lietuvos zoologijos sodo projekto stebėseną ir laiku imtis veiksmų, kad nebūtų nukrypta nuo rekonstrukcijos įgyvendinimo plano.</w:t>
            </w:r>
          </w:p>
        </w:tc>
      </w:tr>
    </w:tbl>
    <w:p w:rsidR="006B2247" w:rsidRDefault="006B2247" w:rsidP="006B2247">
      <w:pPr>
        <w:pStyle w:val="tekstas"/>
        <w:rPr>
          <w:lang w:eastAsia="lt-LT"/>
        </w:rPr>
      </w:pPr>
    </w:p>
    <w:p w:rsidR="003A1A3C" w:rsidRDefault="00F658D4" w:rsidP="00450F0C">
      <w:pPr>
        <w:jc w:val="both"/>
        <w:rPr>
          <w:rFonts w:asciiTheme="minorHAnsi" w:hAnsiTheme="minorHAnsi"/>
          <w:color w:val="666666"/>
          <w:szCs w:val="24"/>
        </w:rPr>
      </w:pPr>
      <w:r>
        <w:rPr>
          <w:noProof/>
          <w:lang w:eastAsia="lt-LT"/>
        </w:rPr>
        <w:drawing>
          <wp:inline distT="0" distB="0" distL="0" distR="0" wp14:anchorId="011BE17C" wp14:editId="25A5F7AA">
            <wp:extent cx="6120130" cy="587381"/>
            <wp:effectExtent l="0" t="0" r="13970" b="22225"/>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247F5" w:rsidRDefault="00C247F5" w:rsidP="00C247F5">
      <w:pPr>
        <w:ind w:firstLine="426"/>
        <w:jc w:val="both"/>
        <w:rPr>
          <w:rFonts w:asciiTheme="minorHAnsi" w:hAnsiTheme="minorHAnsi"/>
          <w:color w:val="666666"/>
          <w:szCs w:val="24"/>
        </w:rPr>
      </w:pPr>
      <w:r>
        <w:rPr>
          <w:rFonts w:asciiTheme="minorHAnsi" w:hAnsiTheme="minorHAnsi"/>
          <w:color w:val="666666"/>
          <w:szCs w:val="24"/>
        </w:rPr>
        <w:t>Kultūros</w:t>
      </w:r>
      <w:r w:rsidRPr="00C247F5">
        <w:rPr>
          <w:rFonts w:asciiTheme="minorHAnsi" w:hAnsiTheme="minorHAnsi"/>
          <w:color w:val="666666"/>
          <w:szCs w:val="24"/>
        </w:rPr>
        <w:t xml:space="preserve"> ministerijos 5 prioriteto administruojamų priemonių</w:t>
      </w:r>
      <w:r>
        <w:rPr>
          <w:rFonts w:asciiTheme="minorHAnsi" w:hAnsiTheme="minorHAnsi"/>
          <w:color w:val="666666"/>
          <w:szCs w:val="24"/>
        </w:rPr>
        <w:t xml:space="preserve"> investavimas (30 proc.) nesiekia Veiksmų programos vidurkio, tačiau planavimo</w:t>
      </w:r>
      <w:r w:rsidR="00F658D4">
        <w:rPr>
          <w:rFonts w:asciiTheme="minorHAnsi" w:hAnsiTheme="minorHAnsi"/>
          <w:color w:val="666666"/>
          <w:szCs w:val="24"/>
        </w:rPr>
        <w:t xml:space="preserve"> (97 proc.)</w:t>
      </w:r>
      <w:r>
        <w:rPr>
          <w:rFonts w:asciiTheme="minorHAnsi" w:hAnsiTheme="minorHAnsi"/>
          <w:color w:val="666666"/>
          <w:szCs w:val="24"/>
        </w:rPr>
        <w:t xml:space="preserve"> ir sutarčių pasirašymo (85 proc.) rodikliai viršija vidurkį.</w:t>
      </w:r>
    </w:p>
    <w:p w:rsidR="007005F0" w:rsidRPr="00D95D02" w:rsidRDefault="007005F0" w:rsidP="00C247F5">
      <w:pPr>
        <w:ind w:firstLine="426"/>
        <w:jc w:val="both"/>
        <w:rPr>
          <w:rFonts w:asciiTheme="minorHAnsi" w:hAnsiTheme="minorHAnsi"/>
          <w:color w:val="666666"/>
          <w:szCs w:val="24"/>
        </w:rPr>
      </w:pPr>
      <w:r w:rsidRPr="00D95D02">
        <w:rPr>
          <w:rFonts w:asciiTheme="minorHAnsi" w:hAnsiTheme="minorHAnsi"/>
          <w:color w:val="666666"/>
          <w:szCs w:val="24"/>
        </w:rPr>
        <w:t>K</w:t>
      </w:r>
      <w:r w:rsidR="00D95D02">
        <w:rPr>
          <w:rFonts w:asciiTheme="minorHAnsi" w:hAnsiTheme="minorHAnsi"/>
          <w:color w:val="666666"/>
          <w:szCs w:val="24"/>
        </w:rPr>
        <w:t>ultūros ministerija</w:t>
      </w:r>
      <w:r w:rsidRPr="00D95D02">
        <w:rPr>
          <w:rFonts w:asciiTheme="minorHAnsi" w:hAnsiTheme="minorHAnsi"/>
          <w:color w:val="666666"/>
          <w:szCs w:val="24"/>
        </w:rPr>
        <w:t xml:space="preserve"> 2019 m. III </w:t>
      </w:r>
      <w:proofErr w:type="spellStart"/>
      <w:r w:rsidRPr="00D95D02">
        <w:rPr>
          <w:rFonts w:asciiTheme="minorHAnsi" w:hAnsiTheme="minorHAnsi"/>
          <w:color w:val="666666"/>
          <w:szCs w:val="24"/>
        </w:rPr>
        <w:t>ketv</w:t>
      </w:r>
      <w:proofErr w:type="spellEnd"/>
      <w:r w:rsidRPr="00D95D02">
        <w:rPr>
          <w:rFonts w:asciiTheme="minorHAnsi" w:hAnsiTheme="minorHAnsi"/>
          <w:color w:val="666666"/>
          <w:szCs w:val="24"/>
        </w:rPr>
        <w:t xml:space="preserve">. priėmusi sprendimus skirti papildomą finansavimą </w:t>
      </w:r>
      <w:r w:rsidR="004A5364">
        <w:rPr>
          <w:rFonts w:asciiTheme="minorHAnsi" w:hAnsiTheme="minorHAnsi"/>
          <w:color w:val="666666"/>
          <w:szCs w:val="24"/>
        </w:rPr>
        <w:t>trims</w:t>
      </w:r>
      <w:r w:rsidRPr="00D95D02">
        <w:rPr>
          <w:rFonts w:asciiTheme="minorHAnsi" w:hAnsiTheme="minorHAnsi"/>
          <w:color w:val="666666"/>
          <w:szCs w:val="24"/>
        </w:rPr>
        <w:t xml:space="preserve"> jau įgyvendinamiems projektams (</w:t>
      </w:r>
      <w:r w:rsidR="00B23337" w:rsidRPr="00D95D02">
        <w:rPr>
          <w:rFonts w:asciiTheme="minorHAnsi" w:hAnsiTheme="minorHAnsi"/>
          <w:color w:val="666666"/>
          <w:szCs w:val="24"/>
        </w:rPr>
        <w:t>Rasų kapinių tvarkymo</w:t>
      </w:r>
      <w:r w:rsidR="008F692D">
        <w:rPr>
          <w:rFonts w:asciiTheme="minorHAnsi" w:hAnsiTheme="minorHAnsi"/>
          <w:color w:val="666666"/>
          <w:szCs w:val="24"/>
        </w:rPr>
        <w:t xml:space="preserve">, </w:t>
      </w:r>
      <w:proofErr w:type="gramStart"/>
      <w:r w:rsidR="008F692D">
        <w:rPr>
          <w:rFonts w:asciiTheme="minorHAnsi" w:hAnsiTheme="minorHAnsi"/>
          <w:color w:val="666666"/>
          <w:szCs w:val="24"/>
        </w:rPr>
        <w:t>Trakų p</w:t>
      </w:r>
      <w:r w:rsidRPr="00D95D02">
        <w:rPr>
          <w:rFonts w:asciiTheme="minorHAnsi" w:hAnsiTheme="minorHAnsi"/>
          <w:color w:val="666666"/>
          <w:szCs w:val="24"/>
        </w:rPr>
        <w:t>usiasalio pilies</w:t>
      </w:r>
      <w:proofErr w:type="gramEnd"/>
      <w:r w:rsidRPr="00D95D02">
        <w:rPr>
          <w:rFonts w:asciiTheme="minorHAnsi" w:hAnsiTheme="minorHAnsi"/>
          <w:color w:val="666666"/>
          <w:szCs w:val="24"/>
        </w:rPr>
        <w:t xml:space="preserve"> aktual</w:t>
      </w:r>
      <w:r w:rsidR="008F692D">
        <w:rPr>
          <w:rFonts w:asciiTheme="minorHAnsi" w:hAnsiTheme="minorHAnsi"/>
          <w:color w:val="666666"/>
          <w:szCs w:val="24"/>
        </w:rPr>
        <w:t>izavimo bei Kauno Š</w:t>
      </w:r>
      <w:r w:rsidRPr="00D95D02">
        <w:rPr>
          <w:rFonts w:asciiTheme="minorHAnsi" w:hAnsiTheme="minorHAnsi"/>
          <w:color w:val="666666"/>
          <w:szCs w:val="24"/>
        </w:rPr>
        <w:t xml:space="preserve">v. Jurgio konvento sutvarkymo projektams, iš viso apie 1,3 mln. </w:t>
      </w:r>
      <w:proofErr w:type="spellStart"/>
      <w:r w:rsidRPr="00D95D02">
        <w:rPr>
          <w:rFonts w:asciiTheme="minorHAnsi" w:hAnsiTheme="minorHAnsi"/>
          <w:color w:val="666666"/>
          <w:szCs w:val="24"/>
        </w:rPr>
        <w:t>Eur</w:t>
      </w:r>
      <w:proofErr w:type="spellEnd"/>
      <w:r w:rsidRPr="00D95D02">
        <w:rPr>
          <w:rFonts w:asciiTheme="minorHAnsi" w:hAnsiTheme="minorHAnsi"/>
          <w:color w:val="666666"/>
          <w:szCs w:val="24"/>
        </w:rPr>
        <w:t xml:space="preserve">) bei į valstybės projektų sąrašą įtraukdama vieną iš Gedimino kalno kompleksinio sutvarkymo etapų – Gedimino kalno aikštelės ir pietrytinio šlaito rekonstrukcijos projektą (vertė 7,4 mln. </w:t>
      </w:r>
      <w:proofErr w:type="spellStart"/>
      <w:r w:rsidRPr="00D95D02">
        <w:rPr>
          <w:rFonts w:asciiTheme="minorHAnsi" w:hAnsiTheme="minorHAnsi"/>
          <w:color w:val="666666"/>
          <w:szCs w:val="24"/>
        </w:rPr>
        <w:t>Eur</w:t>
      </w:r>
      <w:proofErr w:type="spellEnd"/>
      <w:r w:rsidRPr="00D95D02">
        <w:rPr>
          <w:rFonts w:asciiTheme="minorHAnsi" w:hAnsiTheme="minorHAnsi"/>
          <w:color w:val="666666"/>
          <w:szCs w:val="24"/>
        </w:rPr>
        <w:t>.), suplanavo beveik 100 proc. 5 prioritetui skirtų ES lėšų. Nežiūrint to, kad projektų įgyvendinimas įsibėgėja, baigtų projektų daugėja (š.m. rugsėjo pab. baigta 11 projektų, iki 2018 m. pabaigos buvo baigti 2 projektai), tačiau lėšų išmokama mažai. To priežastys yra ilgai nepradedamas projekto įgyvendinimas dėl užtrukusių kultūros paveldo tyrimų, neįvykę pirkimai, teismai dėl viešųjų pirkimų, vėluoja projektavimo paslaugų teikimas, rangovai lėtai vykdo darbus (nes turi daug objektų ir prioritetą tei</w:t>
      </w:r>
      <w:r w:rsidR="00DE021B">
        <w:rPr>
          <w:rFonts w:asciiTheme="minorHAnsi" w:hAnsiTheme="minorHAnsi"/>
          <w:color w:val="666666"/>
          <w:szCs w:val="24"/>
        </w:rPr>
        <w:t xml:space="preserve">kia pelningesniems objektams), </w:t>
      </w:r>
      <w:r w:rsidRPr="00D95D02">
        <w:rPr>
          <w:rFonts w:asciiTheme="minorHAnsi" w:hAnsiTheme="minorHAnsi"/>
          <w:color w:val="666666"/>
          <w:szCs w:val="24"/>
        </w:rPr>
        <w:t>darbai stabdomi dėl darbų pakeitimų ir papildomo finansavimo prašymų.</w:t>
      </w:r>
      <w:r w:rsidR="00936843" w:rsidRPr="00936843">
        <w:rPr>
          <w:rFonts w:asciiTheme="minorHAnsi" w:hAnsiTheme="minorHAnsi"/>
          <w:color w:val="666666"/>
          <w:szCs w:val="24"/>
        </w:rPr>
        <w:t xml:space="preserve"> Siekdami spartinti </w:t>
      </w:r>
      <w:r w:rsidR="00936843">
        <w:rPr>
          <w:rFonts w:asciiTheme="minorHAnsi" w:hAnsiTheme="minorHAnsi"/>
          <w:color w:val="666666"/>
          <w:szCs w:val="24"/>
        </w:rPr>
        <w:t xml:space="preserve">investicijas CPVA vykdo stebėseną </w:t>
      </w:r>
      <w:r w:rsidR="00936843" w:rsidRPr="00936843">
        <w:rPr>
          <w:rFonts w:asciiTheme="minorHAnsi" w:hAnsiTheme="minorHAnsi"/>
          <w:color w:val="666666"/>
          <w:szCs w:val="24"/>
        </w:rPr>
        <w:t xml:space="preserve">projektų </w:t>
      </w:r>
      <w:r w:rsidR="00936843">
        <w:rPr>
          <w:rFonts w:asciiTheme="minorHAnsi" w:hAnsiTheme="minorHAnsi"/>
          <w:color w:val="666666"/>
          <w:szCs w:val="24"/>
        </w:rPr>
        <w:t xml:space="preserve">bei pirkimų sutarčių lygyje, </w:t>
      </w:r>
      <w:r w:rsidR="00936843" w:rsidRPr="00936843">
        <w:rPr>
          <w:rFonts w:asciiTheme="minorHAnsi" w:hAnsiTheme="minorHAnsi"/>
          <w:color w:val="666666"/>
          <w:szCs w:val="24"/>
        </w:rPr>
        <w:t xml:space="preserve">komunikuoja su projektų vykdytojais, kartu su Kultūros ministerija </w:t>
      </w:r>
      <w:r w:rsidR="00936843" w:rsidRPr="00936843">
        <w:rPr>
          <w:rFonts w:asciiTheme="minorHAnsi" w:hAnsiTheme="minorHAnsi"/>
          <w:color w:val="666666"/>
          <w:szCs w:val="24"/>
        </w:rPr>
        <w:lastRenderedPageBreak/>
        <w:t>vykdo proje</w:t>
      </w:r>
      <w:r w:rsidR="00936843">
        <w:rPr>
          <w:rFonts w:asciiTheme="minorHAnsi" w:hAnsiTheme="minorHAnsi"/>
          <w:color w:val="666666"/>
          <w:szCs w:val="24"/>
        </w:rPr>
        <w:t xml:space="preserve">ktų monitoringus, nustatę, kad </w:t>
      </w:r>
      <w:r w:rsidR="00936843" w:rsidRPr="00936843">
        <w:rPr>
          <w:rFonts w:asciiTheme="minorHAnsi" w:hAnsiTheme="minorHAnsi"/>
          <w:color w:val="666666"/>
          <w:szCs w:val="24"/>
        </w:rPr>
        <w:t>dalis projektų vėlavimų yra susiję su darbų pakeitimais ir siekdami sumažinti šių pak</w:t>
      </w:r>
      <w:r w:rsidR="00936843">
        <w:rPr>
          <w:rFonts w:asciiTheme="minorHAnsi" w:hAnsiTheme="minorHAnsi"/>
          <w:color w:val="666666"/>
          <w:szCs w:val="24"/>
        </w:rPr>
        <w:t xml:space="preserve">eitimų įtaką lėšų išmokėjimui, </w:t>
      </w:r>
      <w:r w:rsidR="00936843" w:rsidRPr="00936843">
        <w:rPr>
          <w:rFonts w:asciiTheme="minorHAnsi" w:hAnsiTheme="minorHAnsi"/>
          <w:color w:val="666666"/>
          <w:szCs w:val="24"/>
        </w:rPr>
        <w:t>CPVA organizuos projektų vykdytojams mokymus apie darbų pakeitimus.</w:t>
      </w:r>
    </w:p>
    <w:p w:rsidR="00D7306B" w:rsidRPr="00F53DA4" w:rsidRDefault="00D7306B" w:rsidP="00450F0C">
      <w:pPr>
        <w:jc w:val="both"/>
        <w:rPr>
          <w:rFonts w:asciiTheme="minorHAnsi" w:hAnsiTheme="minorHAnsi"/>
          <w:color w:val="666666"/>
          <w:szCs w:val="24"/>
        </w:rPr>
      </w:pPr>
    </w:p>
    <w:p w:rsidR="000305AE" w:rsidRDefault="000305AE" w:rsidP="003A1A3C">
      <w:pPr>
        <w:pStyle w:val="antrat3zz"/>
        <w:spacing w:before="0"/>
      </w:pPr>
      <w:bookmarkStart w:id="24" w:name="_Toc10104957"/>
      <w:bookmarkStart w:id="25" w:name="_Toc24016879"/>
      <w:r>
        <w:t>6 prioritetas. Darnaus transporto ir pagrindinių tinklų infrastruktūros plėtra</w:t>
      </w:r>
      <w:bookmarkEnd w:id="24"/>
      <w:bookmarkEnd w:id="25"/>
    </w:p>
    <w:p w:rsidR="006B2247" w:rsidRDefault="002315BE" w:rsidP="00D7306B">
      <w:pPr>
        <w:pStyle w:val="tekstas"/>
        <w:ind w:firstLine="0"/>
        <w:rPr>
          <w:lang w:eastAsia="lt-LT"/>
        </w:rPr>
      </w:pPr>
      <w:bookmarkStart w:id="26" w:name="_Toc10104958"/>
      <w:r>
        <w:rPr>
          <w:noProof/>
          <w:lang w:eastAsia="lt-LT"/>
        </w:rPr>
        <w:drawing>
          <wp:inline distT="0" distB="0" distL="0" distR="0" wp14:anchorId="6B1AEF47" wp14:editId="035A56D1">
            <wp:extent cx="6120130" cy="577907"/>
            <wp:effectExtent l="0" t="0" r="13970" b="1270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315BE" w:rsidRPr="002315BE" w:rsidRDefault="002315BE" w:rsidP="002315BE">
      <w:pPr>
        <w:pStyle w:val="tekstas"/>
        <w:spacing w:after="120"/>
        <w:ind w:firstLine="425"/>
        <w:rPr>
          <w:sz w:val="20"/>
        </w:rPr>
      </w:pPr>
      <w:r w:rsidRPr="002315BE">
        <w:rPr>
          <w:sz w:val="20"/>
        </w:rPr>
        <w:t>* EM pasiekimai skaičiuojami įvertinus planuojamą 16 mln. eurų sumažinimą</w:t>
      </w:r>
    </w:p>
    <w:p w:rsidR="006B2247" w:rsidRDefault="00D7306B" w:rsidP="006B2247">
      <w:pPr>
        <w:pStyle w:val="tekstas"/>
        <w:rPr>
          <w:lang w:eastAsia="lt-LT"/>
        </w:rPr>
      </w:pPr>
      <w:r>
        <w:t>Energetikos ministerijos 6</w:t>
      </w:r>
      <w:r w:rsidRPr="00C247F5">
        <w:t xml:space="preserve"> prioriteto administruojamų priemonių</w:t>
      </w:r>
      <w:r>
        <w:t xml:space="preserve"> planavimas ir įgyvendinimas atsilieka nuo Veiksmų programos </w:t>
      </w:r>
      <w:r w:rsidR="00AB31B8">
        <w:t xml:space="preserve">lygmens </w:t>
      </w:r>
      <w:r>
        <w:t>vidurkių</w:t>
      </w:r>
      <w:r w:rsidR="002D3956">
        <w:t xml:space="preserve">, iki 2019 m. III </w:t>
      </w:r>
      <w:proofErr w:type="spellStart"/>
      <w:r w:rsidR="002D3956">
        <w:t>ketv</w:t>
      </w:r>
      <w:proofErr w:type="spellEnd"/>
      <w:r w:rsidR="002D3956">
        <w:t>. pab. i</w:t>
      </w:r>
      <w:r w:rsidR="00AB31B8">
        <w:t>nvestuota 2</w:t>
      </w:r>
      <w:r w:rsidR="002315BE">
        <w:t>9 proc., sudaryta sutarčių už 66</w:t>
      </w:r>
      <w:r w:rsidR="00AB31B8">
        <w:t xml:space="preserve"> proc. ir nesuplanuota dar </w:t>
      </w:r>
      <w:r w:rsidR="002315BE">
        <w:t>20 proc.</w:t>
      </w:r>
      <w:r w:rsidR="00AB31B8">
        <w:t xml:space="preserve"> ministerijai skirtų ES lėšų.</w:t>
      </w:r>
    </w:p>
    <w:p w:rsidR="00204A82" w:rsidRDefault="00204A82" w:rsidP="00204A82">
      <w:pPr>
        <w:pStyle w:val="tekstas"/>
      </w:pPr>
      <w:r>
        <w:rPr>
          <w:lang w:eastAsia="lt-LT"/>
        </w:rPr>
        <w:t xml:space="preserve">Energetikos ministerija, </w:t>
      </w:r>
      <w:r w:rsidR="00962906">
        <w:rPr>
          <w:lang w:eastAsia="lt-LT"/>
        </w:rPr>
        <w:t>ketina</w:t>
      </w:r>
      <w:r>
        <w:rPr>
          <w:lang w:eastAsia="lt-LT"/>
        </w:rPr>
        <w:t xml:space="preserve"> iki 2019 m. pabaigos valstybės projektų sąrašus papildyti projektais už 15,4 mln. eurų. Tačiau apie 10 proc. lėšų bus suplanuota iki 2020 m. II </w:t>
      </w:r>
      <w:proofErr w:type="spellStart"/>
      <w:r>
        <w:rPr>
          <w:lang w:eastAsia="lt-LT"/>
        </w:rPr>
        <w:t>ketv</w:t>
      </w:r>
      <w:proofErr w:type="spellEnd"/>
      <w:r>
        <w:rPr>
          <w:lang w:eastAsia="lt-LT"/>
        </w:rPr>
        <w:t xml:space="preserve">. pabaigos, kadangi </w:t>
      </w:r>
      <w:r>
        <w:t>p</w:t>
      </w:r>
      <w:r w:rsidRPr="00665127">
        <w:t>lan</w:t>
      </w:r>
      <w:r>
        <w:t xml:space="preserve">avimo būdu įgyvendinamų </w:t>
      </w:r>
      <w:r w:rsidRPr="00665127">
        <w:t>elektros ir du</w:t>
      </w:r>
      <w:r>
        <w:t xml:space="preserve">jų perdavimo priemonių projektų planavimas ir įgyvendinimas </w:t>
      </w:r>
      <w:r w:rsidRPr="00665127">
        <w:t xml:space="preserve">priklauso nuo AB </w:t>
      </w:r>
      <w:proofErr w:type="spellStart"/>
      <w:r w:rsidRPr="00665127">
        <w:t>Litgrid</w:t>
      </w:r>
      <w:proofErr w:type="spellEnd"/>
      <w:r w:rsidRPr="00665127">
        <w:t xml:space="preserve"> ir </w:t>
      </w:r>
      <w:proofErr w:type="spellStart"/>
      <w:r w:rsidRPr="00665127">
        <w:t>Ambergrid</w:t>
      </w:r>
      <w:proofErr w:type="spellEnd"/>
      <w:r w:rsidRPr="00665127">
        <w:t xml:space="preserve"> infrastruktūros planų (projektai išdėstyti laike pagal pajėgumus ir prioritetiškumą). </w:t>
      </w:r>
    </w:p>
    <w:p w:rsidR="006B2247" w:rsidRDefault="006B2247" w:rsidP="006B2247">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B2247" w:rsidRPr="00CA6C8A" w:rsidTr="00AB31B8">
        <w:tc>
          <w:tcPr>
            <w:tcW w:w="9638" w:type="dxa"/>
            <w:tcBorders>
              <w:top w:val="nil"/>
              <w:left w:val="nil"/>
              <w:bottom w:val="nil"/>
              <w:right w:val="nil"/>
            </w:tcBorders>
            <w:shd w:val="clear" w:color="auto" w:fill="D9D9D9" w:themeFill="background1" w:themeFillShade="D9"/>
          </w:tcPr>
          <w:p w:rsidR="006B2247" w:rsidRPr="007F76B8" w:rsidRDefault="002D3956" w:rsidP="00AB31B8">
            <w:pPr>
              <w:pStyle w:val="tekstas"/>
              <w:ind w:firstLine="0"/>
              <w:rPr>
                <w:b/>
                <w:color w:val="365F91" w:themeColor="accent1" w:themeShade="BF"/>
                <w:szCs w:val="20"/>
              </w:rPr>
            </w:pPr>
            <w:r>
              <w:rPr>
                <w:b/>
                <w:color w:val="365F91" w:themeColor="accent1" w:themeShade="BF"/>
                <w:szCs w:val="20"/>
              </w:rPr>
              <w:t xml:space="preserve">Siūlymas </w:t>
            </w:r>
            <w:r w:rsidR="00AB31B8">
              <w:rPr>
                <w:b/>
                <w:color w:val="365F91" w:themeColor="accent1" w:themeShade="BF"/>
                <w:szCs w:val="20"/>
              </w:rPr>
              <w:t>Energetikos ministerijai</w:t>
            </w:r>
            <w:r w:rsidR="006B2247" w:rsidRPr="007F76B8">
              <w:rPr>
                <w:b/>
                <w:color w:val="365F91" w:themeColor="accent1" w:themeShade="BF"/>
                <w:szCs w:val="20"/>
              </w:rPr>
              <w:t>:</w:t>
            </w:r>
          </w:p>
          <w:p w:rsidR="00AB31B8" w:rsidRPr="00962906" w:rsidRDefault="006B2247" w:rsidP="00AB31B8">
            <w:pPr>
              <w:pStyle w:val="tekstas"/>
              <w:ind w:firstLine="0"/>
              <w:rPr>
                <w:color w:val="365F91" w:themeColor="accent1" w:themeShade="BF"/>
                <w:szCs w:val="20"/>
              </w:rPr>
            </w:pPr>
            <w:r w:rsidRPr="00962906">
              <w:rPr>
                <w:color w:val="365F91" w:themeColor="accent1" w:themeShade="BF"/>
                <w:szCs w:val="20"/>
              </w:rPr>
              <w:t xml:space="preserve">- </w:t>
            </w:r>
            <w:r w:rsidR="00204A82" w:rsidRPr="00962906">
              <w:rPr>
                <w:color w:val="365F91" w:themeColor="accent1" w:themeShade="BF"/>
                <w:szCs w:val="20"/>
              </w:rPr>
              <w:t>Iki 2019 m. pabaigos į planavimo būdu įgyvendinamų elektros ir dujų perdavimo priemonių valstybės projektų sąrašus įtraukti projektų už 15,4 mln. eurų.</w:t>
            </w:r>
          </w:p>
        </w:tc>
      </w:tr>
    </w:tbl>
    <w:p w:rsidR="006B2247" w:rsidRDefault="006B2247" w:rsidP="006B2247">
      <w:pPr>
        <w:pStyle w:val="tekstas"/>
        <w:rPr>
          <w:lang w:eastAsia="lt-LT"/>
        </w:rPr>
      </w:pPr>
    </w:p>
    <w:p w:rsidR="00AB31B8" w:rsidRDefault="00AB31B8" w:rsidP="00AB31B8">
      <w:pPr>
        <w:pStyle w:val="tekstas"/>
        <w:ind w:firstLine="0"/>
        <w:rPr>
          <w:lang w:eastAsia="lt-LT"/>
        </w:rPr>
      </w:pPr>
      <w:r>
        <w:rPr>
          <w:noProof/>
          <w:lang w:eastAsia="lt-LT"/>
        </w:rPr>
        <w:drawing>
          <wp:inline distT="0" distB="0" distL="0" distR="0" wp14:anchorId="3BC14DE4" wp14:editId="01D605FD">
            <wp:extent cx="6120130" cy="786332"/>
            <wp:effectExtent l="0" t="0" r="13970" b="13970"/>
            <wp:docPr id="30" name="Diagra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B31B8" w:rsidRDefault="00AB31B8" w:rsidP="00AB31B8">
      <w:pPr>
        <w:pStyle w:val="tekstas"/>
        <w:rPr>
          <w:lang w:eastAsia="lt-LT"/>
        </w:rPr>
      </w:pPr>
      <w:r>
        <w:t>Susisiekimo ministerijos 6</w:t>
      </w:r>
      <w:r w:rsidRPr="00C247F5">
        <w:t xml:space="preserve"> prioriteto administruojamų priemonių</w:t>
      </w:r>
      <w:r>
        <w:t xml:space="preserve"> bendras lėšų investavimas (44 proc.) viršija Veiksmų programos investavimo vidurkį, planavimas (88 proc.) atitinka vidurkį, o sutarčių pasirašymas (53 proc.) atsilieka.</w:t>
      </w:r>
    </w:p>
    <w:p w:rsidR="002A437F" w:rsidRDefault="002A437F" w:rsidP="002A437F">
      <w:pPr>
        <w:pStyle w:val="tekstas"/>
      </w:pPr>
      <w:r>
        <w:rPr>
          <w:lang w:eastAsia="lt-LT"/>
        </w:rPr>
        <w:t>Susisiekimo ministerija</w:t>
      </w:r>
      <w:r w:rsidRPr="003A2413">
        <w:rPr>
          <w:lang w:eastAsia="lt-LT"/>
        </w:rPr>
        <w:t xml:space="preserve"> suplanavo</w:t>
      </w:r>
      <w:r>
        <w:rPr>
          <w:lang w:eastAsia="lt-LT"/>
        </w:rPr>
        <w:t xml:space="preserve"> visas investicijas į TEN</w:t>
      </w:r>
      <w:proofErr w:type="gramStart"/>
      <w:r>
        <w:rPr>
          <w:lang w:eastAsia="lt-LT"/>
        </w:rPr>
        <w:t>-</w:t>
      </w:r>
      <w:proofErr w:type="gramEnd"/>
      <w:r>
        <w:rPr>
          <w:lang w:eastAsia="lt-LT"/>
        </w:rPr>
        <w:t>T geležinkelio tinklo atnaujinimą</w:t>
      </w:r>
      <w:r>
        <w:rPr>
          <w:rStyle w:val="Puslapioinaosnuoroda"/>
          <w:lang w:eastAsia="lt-LT"/>
        </w:rPr>
        <w:footnoteReference w:id="3"/>
      </w:r>
      <w:r>
        <w:rPr>
          <w:lang w:eastAsia="lt-LT"/>
        </w:rPr>
        <w:t xml:space="preserve">, tačiau sudaryta projektų sutarčių tik už 30 proc. skirtų ES investicijų. </w:t>
      </w:r>
      <w:r>
        <w:t>Europos Komisija šalies ataskaitoje</w:t>
      </w:r>
      <w:r>
        <w:rPr>
          <w:rStyle w:val="Puslapioinaosnuoroda"/>
          <w:b/>
        </w:rPr>
        <w:footnoteReference w:id="4"/>
      </w:r>
      <w:r>
        <w:t xml:space="preserve"> Lietuvai nurodė, kad </w:t>
      </w:r>
      <w:r w:rsidRPr="00E57ADE">
        <w:t xml:space="preserve">Lietuvos geležinkelių tinklas mažiausiai elektrifikuotas Europos Sąjungoje – elektrifikuota tik 6,4 </w:t>
      </w:r>
      <w:r>
        <w:t xml:space="preserve">proc. </w:t>
      </w:r>
      <w:r w:rsidRPr="00E57ADE">
        <w:t>geležinkelio linijų</w:t>
      </w:r>
      <w:r>
        <w:t xml:space="preserve"> (ES vidurkis – 52,7 proc.). </w:t>
      </w:r>
      <w:r w:rsidRPr="00753970">
        <w:rPr>
          <w:lang w:eastAsia="lt-LT"/>
        </w:rPr>
        <w:t xml:space="preserve">Įvairiais skaičiavimais geležinkelių transportas į aplinką išmeta nuo 3,5 iki 19 kartų mažiau </w:t>
      </w:r>
      <w:r>
        <w:rPr>
          <w:lang w:eastAsia="lt-LT"/>
        </w:rPr>
        <w:t>šiltnamio efektą sukeliančių dujų</w:t>
      </w:r>
      <w:r w:rsidRPr="00753970">
        <w:rPr>
          <w:lang w:eastAsia="lt-LT"/>
        </w:rPr>
        <w:t xml:space="preserve"> už kelių transportą. Šis skirtumas priklauso nuo įvairių faktorių, tačiau mažiausias skirtumas fiksuojamas lyginant vilkikus su dyzeliniais traukiniais, didžiausias – su elektra varomais krovininiais traukiniais.</w:t>
      </w:r>
      <w:r>
        <w:rPr>
          <w:lang w:eastAsia="lt-LT"/>
        </w:rPr>
        <w:t xml:space="preserve"> Kadangi</w:t>
      </w:r>
      <w:r>
        <w:t xml:space="preserve"> neigiamos įtakos aplinkos kokybei </w:t>
      </w:r>
      <w:r w:rsidRPr="00A96E01">
        <w:t xml:space="preserve">mažinimas transporto sektoriuje išlieka aktualus, </w:t>
      </w:r>
      <w:r>
        <w:t>Lietuvai ypatingai svarbu plėtoti</w:t>
      </w:r>
      <w:r w:rsidRPr="007129D0">
        <w:t xml:space="preserve"> aplinkai </w:t>
      </w:r>
      <w:r>
        <w:t>draugišką transportą ir mažinti</w:t>
      </w:r>
      <w:r w:rsidRPr="007129D0">
        <w:t xml:space="preserve"> anglies dioksido išmetimus, </w:t>
      </w:r>
      <w:r>
        <w:t xml:space="preserve">todėl </w:t>
      </w:r>
      <w:r w:rsidRPr="007129D0">
        <w:t>siūloma spartinti investicijas į</w:t>
      </w:r>
      <w:r>
        <w:t xml:space="preserve"> geležinkelių elektrifikaciją</w:t>
      </w:r>
      <w:r w:rsidRPr="007129D0">
        <w:t>.</w:t>
      </w:r>
    </w:p>
    <w:p w:rsidR="002A437F" w:rsidRDefault="00B71A41" w:rsidP="002A437F">
      <w:pPr>
        <w:pStyle w:val="tekstas"/>
        <w:rPr>
          <w:lang w:eastAsia="lt-LT"/>
        </w:rPr>
      </w:pPr>
      <w:r>
        <w:t xml:space="preserve">Ypač svarbu, kad būtų sėkmingai įgyvendinamas didelės apimties projektas ,,Ruožo Kaišiadorys–Klaipėda (Draugystės st.) elektrifikavimas“, kurio pradžia užsitęsė dėl viešųjų pirkimų procedūrų. </w:t>
      </w:r>
      <w:r>
        <w:rPr>
          <w:lang w:eastAsia="lt-LT"/>
        </w:rPr>
        <w:t>S</w:t>
      </w:r>
      <w:r w:rsidRPr="0001493B">
        <w:rPr>
          <w:lang w:eastAsia="lt-LT"/>
        </w:rPr>
        <w:t>iekiant valdyti projekt</w:t>
      </w:r>
      <w:r>
        <w:rPr>
          <w:lang w:eastAsia="lt-LT"/>
        </w:rPr>
        <w:t>o įgyvendinimo</w:t>
      </w:r>
      <w:r w:rsidRPr="0001493B">
        <w:rPr>
          <w:lang w:eastAsia="lt-LT"/>
        </w:rPr>
        <w:t xml:space="preserve"> vėlavimo riziką</w:t>
      </w:r>
      <w:r>
        <w:rPr>
          <w:lang w:eastAsia="lt-LT"/>
        </w:rPr>
        <w:t>,</w:t>
      </w:r>
      <w:r w:rsidRPr="0001493B">
        <w:rPr>
          <w:lang w:eastAsia="lt-LT"/>
        </w:rPr>
        <w:t xml:space="preserve"> svarbu tol</w:t>
      </w:r>
      <w:r>
        <w:rPr>
          <w:lang w:eastAsia="lt-LT"/>
        </w:rPr>
        <w:t xml:space="preserve">iau bendradarbiauti </w:t>
      </w:r>
      <w:r>
        <w:rPr>
          <w:lang w:eastAsia="lt-LT"/>
        </w:rPr>
        <w:lastRenderedPageBreak/>
        <w:t xml:space="preserve">su projekto vykdytoju – AB ,,Lietuvos geležinkeliai“, </w:t>
      </w:r>
      <w:r w:rsidRPr="0001493B">
        <w:rPr>
          <w:lang w:eastAsia="lt-LT"/>
        </w:rPr>
        <w:t>sprendžiant suplanuotų inve</w:t>
      </w:r>
      <w:r>
        <w:rPr>
          <w:lang w:eastAsia="lt-LT"/>
        </w:rPr>
        <w:t>sticijų įgyvendinimo problemas.</w:t>
      </w:r>
    </w:p>
    <w:p w:rsidR="002A437F" w:rsidRDefault="002A437F" w:rsidP="002A437F">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A437F" w:rsidRPr="00CA6C8A" w:rsidTr="00365B19">
        <w:tc>
          <w:tcPr>
            <w:tcW w:w="9638" w:type="dxa"/>
            <w:tcBorders>
              <w:top w:val="nil"/>
              <w:left w:val="nil"/>
              <w:bottom w:val="nil"/>
              <w:right w:val="nil"/>
            </w:tcBorders>
            <w:shd w:val="clear" w:color="auto" w:fill="D9D9D9" w:themeFill="background1" w:themeFillShade="D9"/>
          </w:tcPr>
          <w:p w:rsidR="002A437F" w:rsidRPr="007F76B8" w:rsidRDefault="0012290C" w:rsidP="00365B19">
            <w:pPr>
              <w:pStyle w:val="tekstas"/>
              <w:ind w:firstLine="0"/>
              <w:rPr>
                <w:b/>
                <w:color w:val="365F91" w:themeColor="accent1" w:themeShade="BF"/>
                <w:szCs w:val="20"/>
              </w:rPr>
            </w:pPr>
            <w:r>
              <w:rPr>
                <w:b/>
                <w:color w:val="365F91" w:themeColor="accent1" w:themeShade="BF"/>
                <w:szCs w:val="20"/>
              </w:rPr>
              <w:t>Siūlymas</w:t>
            </w:r>
            <w:r w:rsidR="002A437F" w:rsidRPr="007F76B8">
              <w:rPr>
                <w:b/>
                <w:color w:val="365F91" w:themeColor="accent1" w:themeShade="BF"/>
                <w:szCs w:val="20"/>
              </w:rPr>
              <w:t xml:space="preserve"> </w:t>
            </w:r>
            <w:r w:rsidR="002A437F">
              <w:rPr>
                <w:b/>
                <w:color w:val="365F91" w:themeColor="accent1" w:themeShade="BF"/>
                <w:szCs w:val="20"/>
              </w:rPr>
              <w:t>Susisiekimo ministerijai</w:t>
            </w:r>
            <w:r w:rsidR="002A437F" w:rsidRPr="007F76B8">
              <w:rPr>
                <w:b/>
                <w:color w:val="365F91" w:themeColor="accent1" w:themeShade="BF"/>
                <w:szCs w:val="20"/>
              </w:rPr>
              <w:t>:</w:t>
            </w:r>
          </w:p>
          <w:p w:rsidR="002A437F" w:rsidRPr="00962906" w:rsidRDefault="002A437F" w:rsidP="00365B19">
            <w:pPr>
              <w:pStyle w:val="tekstas"/>
              <w:ind w:firstLine="0"/>
              <w:rPr>
                <w:color w:val="365F91" w:themeColor="accent1" w:themeShade="BF"/>
                <w:szCs w:val="20"/>
              </w:rPr>
            </w:pPr>
            <w:r w:rsidRPr="00962906">
              <w:rPr>
                <w:color w:val="365F91" w:themeColor="accent1" w:themeShade="BF"/>
                <w:szCs w:val="20"/>
              </w:rPr>
              <w:t xml:space="preserve">- </w:t>
            </w:r>
            <w:r w:rsidRPr="00962906">
              <w:rPr>
                <w:color w:val="365F91" w:themeColor="accent1" w:themeShade="BF"/>
              </w:rPr>
              <w:t>Iki 2019 m. gruodžio 10 d. Finansų ministerijai pateikti veiksmų planą dėl TEN</w:t>
            </w:r>
            <w:proofErr w:type="gramStart"/>
            <w:r w:rsidRPr="00962906">
              <w:rPr>
                <w:color w:val="365F91" w:themeColor="accent1" w:themeShade="BF"/>
              </w:rPr>
              <w:t>-</w:t>
            </w:r>
            <w:proofErr w:type="gramEnd"/>
            <w:r w:rsidRPr="00962906">
              <w:rPr>
                <w:color w:val="365F91" w:themeColor="accent1" w:themeShade="BF"/>
              </w:rPr>
              <w:t>T geležinkelio tinklo atnaujinimo priemonės, numatant projektų sutarčių sudarymo terminus.</w:t>
            </w:r>
          </w:p>
        </w:tc>
      </w:tr>
    </w:tbl>
    <w:p w:rsidR="00AB31B8" w:rsidRDefault="00AB31B8" w:rsidP="006B2247">
      <w:pPr>
        <w:pStyle w:val="tekstas"/>
        <w:rPr>
          <w:lang w:eastAsia="lt-LT"/>
        </w:rPr>
      </w:pPr>
    </w:p>
    <w:p w:rsidR="000305AE" w:rsidRDefault="000305AE" w:rsidP="0056570B">
      <w:pPr>
        <w:pStyle w:val="antrat3zz"/>
        <w:spacing w:before="0"/>
      </w:pPr>
      <w:bookmarkStart w:id="27" w:name="_Toc24016880"/>
      <w:r>
        <w:t>7 prioritetas. Kokybiško užimtumo ir dalyvavimo darbo rinkoje skatinimas</w:t>
      </w:r>
      <w:bookmarkEnd w:id="26"/>
      <w:bookmarkEnd w:id="27"/>
    </w:p>
    <w:p w:rsidR="006B2247" w:rsidRDefault="00F658D4" w:rsidP="00AB31B8">
      <w:pPr>
        <w:pStyle w:val="tekstas"/>
        <w:ind w:firstLine="0"/>
        <w:rPr>
          <w:lang w:eastAsia="lt-LT"/>
        </w:rPr>
      </w:pPr>
      <w:bookmarkStart w:id="28" w:name="_Toc512504084"/>
      <w:bookmarkStart w:id="29" w:name="_Toc10104959"/>
      <w:r>
        <w:rPr>
          <w:noProof/>
          <w:lang w:eastAsia="lt-LT"/>
        </w:rPr>
        <w:drawing>
          <wp:inline distT="0" distB="0" distL="0" distR="0" wp14:anchorId="47015AE1" wp14:editId="1A083FFC">
            <wp:extent cx="6120130" cy="540011"/>
            <wp:effectExtent l="0" t="0" r="13970" b="12700"/>
            <wp:docPr id="385" name="Diagrama 3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B2247" w:rsidRDefault="0029781C" w:rsidP="006B2247">
      <w:pPr>
        <w:pStyle w:val="tekstas"/>
        <w:rPr>
          <w:lang w:eastAsia="lt-LT"/>
        </w:rPr>
      </w:pPr>
      <w:r>
        <w:t>Kultūros ministerijos 7</w:t>
      </w:r>
      <w:r w:rsidRPr="00C247F5">
        <w:t xml:space="preserve"> prioriteto a</w:t>
      </w:r>
      <w:r>
        <w:t>dministruojamose priemonėse suplanuotos beveik visos ministerijai skirtos ES lėšos, sutarčių pasirašymo rodiklis</w:t>
      </w:r>
      <w:r w:rsidR="00F658D4">
        <w:t xml:space="preserve"> (78 proc.)</w:t>
      </w:r>
      <w:r>
        <w:t xml:space="preserve"> atitinka vidurkį, tačiau investavimo (28 proc.) pažanga atsilieka.</w:t>
      </w:r>
    </w:p>
    <w:p w:rsidR="006B6766" w:rsidRDefault="00AA0DB1" w:rsidP="00906D07">
      <w:pPr>
        <w:widowControl w:val="0"/>
        <w:shd w:val="clear" w:color="auto" w:fill="FFFFFF"/>
        <w:ind w:firstLine="426"/>
        <w:jc w:val="both"/>
        <w:textAlignment w:val="baseline"/>
        <w:rPr>
          <w:rFonts w:asciiTheme="minorHAnsi" w:hAnsiTheme="minorHAnsi"/>
          <w:color w:val="666666"/>
          <w:szCs w:val="24"/>
        </w:rPr>
      </w:pPr>
      <w:r w:rsidRPr="00906D07">
        <w:rPr>
          <w:rFonts w:asciiTheme="minorHAnsi" w:hAnsiTheme="minorHAnsi"/>
          <w:color w:val="666666"/>
          <w:szCs w:val="24"/>
        </w:rPr>
        <w:t xml:space="preserve">2019 m. III </w:t>
      </w:r>
      <w:proofErr w:type="spellStart"/>
      <w:r w:rsidRPr="00906D07">
        <w:rPr>
          <w:rFonts w:asciiTheme="minorHAnsi" w:hAnsiTheme="minorHAnsi"/>
          <w:color w:val="666666"/>
          <w:szCs w:val="24"/>
        </w:rPr>
        <w:t>ketv</w:t>
      </w:r>
      <w:proofErr w:type="spellEnd"/>
      <w:r w:rsidRPr="00906D07">
        <w:rPr>
          <w:rFonts w:asciiTheme="minorHAnsi" w:hAnsiTheme="minorHAnsi"/>
          <w:color w:val="666666"/>
          <w:szCs w:val="24"/>
        </w:rPr>
        <w:t>. į K</w:t>
      </w:r>
      <w:r w:rsidR="00906D07">
        <w:rPr>
          <w:rFonts w:asciiTheme="minorHAnsi" w:hAnsiTheme="minorHAnsi"/>
          <w:color w:val="666666"/>
          <w:szCs w:val="24"/>
        </w:rPr>
        <w:t>ultūros ministerijos</w:t>
      </w:r>
      <w:r w:rsidRPr="00906D07">
        <w:rPr>
          <w:rFonts w:asciiTheme="minorHAnsi" w:hAnsiTheme="minorHAnsi"/>
          <w:color w:val="666666"/>
          <w:szCs w:val="24"/>
        </w:rPr>
        <w:t xml:space="preserve"> valstybės projektų sąrašą įtraukus Kauno apskrities viešosios bibliotekos, Klaipėdos valstybinio muzikinio teatro bei Lietuvos aklųjų bibliotekos projektus (bendra projektų vertė apie 20,4 mln. eurų), buvo suplanuota beveik 100 proc. 7 prioritetui skirtų lėšų. Dėl </w:t>
      </w:r>
      <w:r w:rsidR="006B6766">
        <w:rPr>
          <w:rFonts w:asciiTheme="minorHAnsi" w:hAnsiTheme="minorHAnsi"/>
          <w:color w:val="666666"/>
          <w:szCs w:val="24"/>
        </w:rPr>
        <w:t xml:space="preserve">ribotų ES fondų </w:t>
      </w:r>
      <w:r w:rsidRPr="00906D07">
        <w:rPr>
          <w:rFonts w:asciiTheme="minorHAnsi" w:hAnsiTheme="minorHAnsi"/>
          <w:color w:val="666666"/>
          <w:szCs w:val="24"/>
        </w:rPr>
        <w:t>lėšų nebuvo pritarta Lietuvos rusų dramos teatro ir Panevėžio apskrities G. P. Bitės bibliotekos papildomo finansavimo prašymams (viso apie 4, 8 mln. eurų). Taip pat yra žinomas papildomo finansavimo poreikis Vilniaus kongresų rūmų (a</w:t>
      </w:r>
      <w:r w:rsidR="006B6766">
        <w:rPr>
          <w:rFonts w:asciiTheme="minorHAnsi" w:hAnsiTheme="minorHAnsi"/>
          <w:color w:val="666666"/>
          <w:szCs w:val="24"/>
        </w:rPr>
        <w:t>pie 5,2 mln. eurų) ir Lietuvos N</w:t>
      </w:r>
      <w:r w:rsidRPr="00906D07">
        <w:rPr>
          <w:rFonts w:asciiTheme="minorHAnsi" w:hAnsiTheme="minorHAnsi"/>
          <w:color w:val="666666"/>
          <w:szCs w:val="24"/>
        </w:rPr>
        <w:t>acionalinio dramos teatro (apie 5,9 mln. eurų) projektams</w:t>
      </w:r>
      <w:r w:rsidR="00906D07">
        <w:rPr>
          <w:rFonts w:asciiTheme="minorHAnsi" w:hAnsiTheme="minorHAnsi"/>
          <w:color w:val="666666"/>
          <w:szCs w:val="24"/>
        </w:rPr>
        <w:t>, Kultūros ministerija</w:t>
      </w:r>
      <w:r w:rsidRPr="00906D07">
        <w:rPr>
          <w:rFonts w:asciiTheme="minorHAnsi" w:hAnsiTheme="minorHAnsi"/>
          <w:color w:val="666666"/>
          <w:szCs w:val="24"/>
        </w:rPr>
        <w:t xml:space="preserve"> dar svarsto, kokiomis lėšomis šį poreikį </w:t>
      </w:r>
      <w:r w:rsidR="00906D07">
        <w:rPr>
          <w:rFonts w:asciiTheme="minorHAnsi" w:hAnsiTheme="minorHAnsi"/>
          <w:color w:val="666666"/>
          <w:szCs w:val="24"/>
        </w:rPr>
        <w:t>finansuoti</w:t>
      </w:r>
      <w:r w:rsidRPr="00906D07">
        <w:rPr>
          <w:rFonts w:asciiTheme="minorHAnsi" w:hAnsiTheme="minorHAnsi"/>
          <w:color w:val="666666"/>
          <w:szCs w:val="24"/>
        </w:rPr>
        <w:t xml:space="preserve">. </w:t>
      </w:r>
    </w:p>
    <w:p w:rsidR="006B6766" w:rsidRDefault="00AA0DB1" w:rsidP="00906D07">
      <w:pPr>
        <w:widowControl w:val="0"/>
        <w:shd w:val="clear" w:color="auto" w:fill="FFFFFF"/>
        <w:ind w:firstLine="426"/>
        <w:jc w:val="both"/>
        <w:textAlignment w:val="baseline"/>
        <w:rPr>
          <w:rFonts w:asciiTheme="minorHAnsi" w:hAnsiTheme="minorHAnsi"/>
          <w:color w:val="666666"/>
          <w:szCs w:val="24"/>
        </w:rPr>
      </w:pPr>
      <w:r w:rsidRPr="00906D07">
        <w:rPr>
          <w:rFonts w:asciiTheme="minorHAnsi" w:hAnsiTheme="minorHAnsi"/>
          <w:color w:val="666666"/>
          <w:szCs w:val="24"/>
        </w:rPr>
        <w:t xml:space="preserve">Atsižvelgiant į </w:t>
      </w:r>
      <w:r w:rsidR="00906D07">
        <w:rPr>
          <w:rFonts w:asciiTheme="minorHAnsi" w:hAnsiTheme="minorHAnsi"/>
          <w:color w:val="666666"/>
          <w:szCs w:val="24"/>
        </w:rPr>
        <w:t xml:space="preserve">ribotą </w:t>
      </w:r>
      <w:r w:rsidRPr="00906D07">
        <w:rPr>
          <w:rFonts w:asciiTheme="minorHAnsi" w:hAnsiTheme="minorHAnsi"/>
          <w:color w:val="666666"/>
          <w:szCs w:val="24"/>
        </w:rPr>
        <w:t xml:space="preserve">ES lėšų </w:t>
      </w:r>
      <w:r w:rsidR="00906D07">
        <w:rPr>
          <w:rFonts w:asciiTheme="minorHAnsi" w:hAnsiTheme="minorHAnsi"/>
          <w:color w:val="666666"/>
          <w:szCs w:val="24"/>
        </w:rPr>
        <w:t>kiekį</w:t>
      </w:r>
      <w:r w:rsidRPr="00906D07">
        <w:rPr>
          <w:rFonts w:asciiTheme="minorHAnsi" w:hAnsiTheme="minorHAnsi"/>
          <w:color w:val="666666"/>
          <w:szCs w:val="24"/>
        </w:rPr>
        <w:t>, vertindama gautus projektų papildomo finansavimo prašymus K</w:t>
      </w:r>
      <w:r w:rsidR="00906D07">
        <w:rPr>
          <w:rFonts w:asciiTheme="minorHAnsi" w:hAnsiTheme="minorHAnsi"/>
          <w:color w:val="666666"/>
          <w:szCs w:val="24"/>
        </w:rPr>
        <w:t>ultūros ministerija</w:t>
      </w:r>
      <w:r w:rsidRPr="00906D07">
        <w:rPr>
          <w:rFonts w:asciiTheme="minorHAnsi" w:hAnsiTheme="minorHAnsi"/>
          <w:color w:val="666666"/>
          <w:szCs w:val="24"/>
        </w:rPr>
        <w:t xml:space="preserve"> prioritetą turėtų teikti jau pradėtų darbų užbaigimui bei </w:t>
      </w:r>
      <w:r w:rsidR="00906D07">
        <w:rPr>
          <w:rFonts w:asciiTheme="minorHAnsi" w:hAnsiTheme="minorHAnsi"/>
          <w:color w:val="666666"/>
          <w:szCs w:val="24"/>
        </w:rPr>
        <w:t>projektuose</w:t>
      </w:r>
      <w:r w:rsidRPr="00906D07">
        <w:rPr>
          <w:rFonts w:asciiTheme="minorHAnsi" w:hAnsiTheme="minorHAnsi"/>
          <w:color w:val="666666"/>
          <w:szCs w:val="24"/>
        </w:rPr>
        <w:t xml:space="preserve"> sukurt</w:t>
      </w:r>
      <w:r w:rsidR="00906D07">
        <w:rPr>
          <w:rFonts w:asciiTheme="minorHAnsi" w:hAnsiTheme="minorHAnsi"/>
          <w:color w:val="666666"/>
          <w:szCs w:val="24"/>
        </w:rPr>
        <w:t>os</w:t>
      </w:r>
      <w:r w:rsidRPr="00906D07">
        <w:rPr>
          <w:rFonts w:asciiTheme="minorHAnsi" w:hAnsiTheme="minorHAnsi"/>
          <w:color w:val="666666"/>
          <w:szCs w:val="24"/>
        </w:rPr>
        <w:t xml:space="preserve"> infrastruktūr</w:t>
      </w:r>
      <w:r w:rsidR="00906D07">
        <w:rPr>
          <w:rFonts w:asciiTheme="minorHAnsi" w:hAnsiTheme="minorHAnsi"/>
          <w:color w:val="666666"/>
          <w:szCs w:val="24"/>
        </w:rPr>
        <w:t>os</w:t>
      </w:r>
      <w:r w:rsidRPr="00906D07">
        <w:rPr>
          <w:rFonts w:asciiTheme="minorHAnsi" w:hAnsiTheme="minorHAnsi"/>
          <w:color w:val="666666"/>
          <w:szCs w:val="24"/>
        </w:rPr>
        <w:t xml:space="preserve"> tinkama</w:t>
      </w:r>
      <w:r w:rsidR="00906D07">
        <w:rPr>
          <w:rFonts w:asciiTheme="minorHAnsi" w:hAnsiTheme="minorHAnsi"/>
          <w:color w:val="666666"/>
          <w:szCs w:val="24"/>
        </w:rPr>
        <w:t>m funkcionavimui</w:t>
      </w:r>
      <w:r w:rsidRPr="00906D07">
        <w:rPr>
          <w:rFonts w:asciiTheme="minorHAnsi" w:hAnsiTheme="minorHAnsi"/>
          <w:color w:val="666666"/>
          <w:szCs w:val="24"/>
        </w:rPr>
        <w:t xml:space="preserve">. </w:t>
      </w:r>
    </w:p>
    <w:p w:rsidR="00AA0DB1" w:rsidRPr="00906D07" w:rsidRDefault="00AA0DB1" w:rsidP="00906D07">
      <w:pPr>
        <w:widowControl w:val="0"/>
        <w:shd w:val="clear" w:color="auto" w:fill="FFFFFF"/>
        <w:ind w:firstLine="426"/>
        <w:jc w:val="both"/>
        <w:textAlignment w:val="baseline"/>
        <w:rPr>
          <w:rFonts w:asciiTheme="minorHAnsi" w:hAnsiTheme="minorHAnsi"/>
          <w:color w:val="666666"/>
          <w:szCs w:val="24"/>
        </w:rPr>
      </w:pPr>
      <w:r w:rsidRPr="00906D07">
        <w:rPr>
          <w:rFonts w:asciiTheme="minorHAnsi" w:hAnsiTheme="minorHAnsi"/>
          <w:color w:val="666666"/>
          <w:szCs w:val="24"/>
        </w:rPr>
        <w:t xml:space="preserve">Nors beveik visos </w:t>
      </w:r>
      <w:r w:rsidR="006B6766">
        <w:rPr>
          <w:rFonts w:asciiTheme="minorHAnsi" w:hAnsiTheme="minorHAnsi"/>
          <w:color w:val="666666"/>
          <w:szCs w:val="24"/>
        </w:rPr>
        <w:t>ministerijos</w:t>
      </w:r>
      <w:r w:rsidRPr="00906D07">
        <w:rPr>
          <w:rFonts w:asciiTheme="minorHAnsi" w:hAnsiTheme="minorHAnsi"/>
          <w:color w:val="666666"/>
          <w:szCs w:val="24"/>
        </w:rPr>
        <w:t xml:space="preserve"> 7 priorit</w:t>
      </w:r>
      <w:r w:rsidR="00A95357">
        <w:rPr>
          <w:rFonts w:asciiTheme="minorHAnsi" w:hAnsiTheme="minorHAnsi"/>
          <w:color w:val="666666"/>
          <w:szCs w:val="24"/>
        </w:rPr>
        <w:t>eto lėšos suplanuotos</w:t>
      </w:r>
      <w:r w:rsidR="00633856">
        <w:rPr>
          <w:rFonts w:asciiTheme="minorHAnsi" w:hAnsiTheme="minorHAnsi"/>
          <w:color w:val="666666"/>
          <w:szCs w:val="24"/>
        </w:rPr>
        <w:t xml:space="preserve"> ir</w:t>
      </w:r>
      <w:r w:rsidR="00A95357">
        <w:rPr>
          <w:rFonts w:asciiTheme="minorHAnsi" w:hAnsiTheme="minorHAnsi"/>
          <w:color w:val="666666"/>
          <w:szCs w:val="24"/>
        </w:rPr>
        <w:t xml:space="preserve"> projektų</w:t>
      </w:r>
      <w:r w:rsidRPr="00906D07">
        <w:rPr>
          <w:rFonts w:asciiTheme="minorHAnsi" w:hAnsiTheme="minorHAnsi"/>
          <w:color w:val="666666"/>
          <w:szCs w:val="24"/>
        </w:rPr>
        <w:t xml:space="preserve"> įgyvendini</w:t>
      </w:r>
      <w:r w:rsidR="00A95357">
        <w:rPr>
          <w:rFonts w:asciiTheme="minorHAnsi" w:hAnsiTheme="minorHAnsi"/>
          <w:color w:val="666666"/>
          <w:szCs w:val="24"/>
        </w:rPr>
        <w:t>mas įsibėgėja</w:t>
      </w:r>
      <w:r w:rsidRPr="00906D07">
        <w:rPr>
          <w:rFonts w:asciiTheme="minorHAnsi" w:hAnsiTheme="minorHAnsi"/>
          <w:color w:val="666666"/>
          <w:szCs w:val="24"/>
        </w:rPr>
        <w:t xml:space="preserve">, </w:t>
      </w:r>
      <w:r w:rsidR="00A95357">
        <w:rPr>
          <w:rFonts w:asciiTheme="minorHAnsi" w:hAnsiTheme="minorHAnsi"/>
          <w:color w:val="666666"/>
          <w:szCs w:val="24"/>
        </w:rPr>
        <w:t xml:space="preserve">(baigta įgyvendinti </w:t>
      </w:r>
      <w:r w:rsidRPr="00906D07">
        <w:rPr>
          <w:rFonts w:asciiTheme="minorHAnsi" w:hAnsiTheme="minorHAnsi"/>
          <w:color w:val="666666"/>
          <w:szCs w:val="24"/>
        </w:rPr>
        <w:t>11 projektų</w:t>
      </w:r>
      <w:r w:rsidR="00A95357">
        <w:rPr>
          <w:rFonts w:asciiTheme="minorHAnsi" w:hAnsiTheme="minorHAnsi"/>
          <w:color w:val="666666"/>
          <w:szCs w:val="24"/>
        </w:rPr>
        <w:t xml:space="preserve">, kai </w:t>
      </w:r>
      <w:r w:rsidRPr="00906D07">
        <w:rPr>
          <w:rFonts w:asciiTheme="minorHAnsi" w:hAnsiTheme="minorHAnsi"/>
          <w:color w:val="666666"/>
          <w:szCs w:val="24"/>
        </w:rPr>
        <w:t>iki 2018 m. buvo baigti 3 projektai), lėšų išmokėjimas atsilieka nuo planuoto grafiko. Lėto lėšų išmokėjimo priežastys – ilgai trunkantis projektavimas, neįvykę pirkimai, teismai dėl viešųjų pirkimų, darbai stabdomi dėl darbų pakeitimų ir papildomai atsiradusių darbų.</w:t>
      </w:r>
      <w:r w:rsidR="00A86722">
        <w:rPr>
          <w:rFonts w:asciiTheme="minorHAnsi" w:hAnsiTheme="minorHAnsi"/>
          <w:color w:val="666666"/>
          <w:szCs w:val="24"/>
        </w:rPr>
        <w:t xml:space="preserve"> </w:t>
      </w:r>
      <w:r w:rsidR="00A86722" w:rsidRPr="00936843">
        <w:rPr>
          <w:rFonts w:asciiTheme="minorHAnsi" w:hAnsiTheme="minorHAnsi"/>
          <w:color w:val="666666"/>
          <w:szCs w:val="24"/>
        </w:rPr>
        <w:t xml:space="preserve">Siekdami spartinti </w:t>
      </w:r>
      <w:r w:rsidR="00A86722">
        <w:rPr>
          <w:rFonts w:asciiTheme="minorHAnsi" w:hAnsiTheme="minorHAnsi"/>
          <w:color w:val="666666"/>
          <w:szCs w:val="24"/>
        </w:rPr>
        <w:t xml:space="preserve">investicijas CPVA vykdo stebėseną </w:t>
      </w:r>
      <w:r w:rsidR="00A86722" w:rsidRPr="00936843">
        <w:rPr>
          <w:rFonts w:asciiTheme="minorHAnsi" w:hAnsiTheme="minorHAnsi"/>
          <w:color w:val="666666"/>
          <w:szCs w:val="24"/>
        </w:rPr>
        <w:t xml:space="preserve">projektų </w:t>
      </w:r>
      <w:r w:rsidR="00A86722">
        <w:rPr>
          <w:rFonts w:asciiTheme="minorHAnsi" w:hAnsiTheme="minorHAnsi"/>
          <w:color w:val="666666"/>
          <w:szCs w:val="24"/>
        </w:rPr>
        <w:t xml:space="preserve">bei pirkimų sutarčių lygyje, </w:t>
      </w:r>
      <w:r w:rsidR="00A86722" w:rsidRPr="00936843">
        <w:rPr>
          <w:rFonts w:asciiTheme="minorHAnsi" w:hAnsiTheme="minorHAnsi"/>
          <w:color w:val="666666"/>
          <w:szCs w:val="24"/>
        </w:rPr>
        <w:t>komunikuoja su projektų vykdytojais, kartu su Kultūros ministerija vykdo proje</w:t>
      </w:r>
      <w:r w:rsidR="00A86722">
        <w:rPr>
          <w:rFonts w:asciiTheme="minorHAnsi" w:hAnsiTheme="minorHAnsi"/>
          <w:color w:val="666666"/>
          <w:szCs w:val="24"/>
        </w:rPr>
        <w:t xml:space="preserve">ktų monitoringus, nustatę, kad </w:t>
      </w:r>
      <w:r w:rsidR="00A86722" w:rsidRPr="00936843">
        <w:rPr>
          <w:rFonts w:asciiTheme="minorHAnsi" w:hAnsiTheme="minorHAnsi"/>
          <w:color w:val="666666"/>
          <w:szCs w:val="24"/>
        </w:rPr>
        <w:t>dalis projektų vėlavimų yra susiję su darbų pakeitimais ir siekdami sumažinti šių pak</w:t>
      </w:r>
      <w:r w:rsidR="00A86722">
        <w:rPr>
          <w:rFonts w:asciiTheme="minorHAnsi" w:hAnsiTheme="minorHAnsi"/>
          <w:color w:val="666666"/>
          <w:szCs w:val="24"/>
        </w:rPr>
        <w:t xml:space="preserve">eitimų įtaką lėšų išmokėjimui, </w:t>
      </w:r>
      <w:r w:rsidR="00A86722" w:rsidRPr="00936843">
        <w:rPr>
          <w:rFonts w:asciiTheme="minorHAnsi" w:hAnsiTheme="minorHAnsi"/>
          <w:color w:val="666666"/>
          <w:szCs w:val="24"/>
        </w:rPr>
        <w:t>CPVA organizuos projektų vykdytojams mokymus apie darbų pakeitimus</w:t>
      </w:r>
      <w:r w:rsidR="006D2270">
        <w:rPr>
          <w:rFonts w:asciiTheme="minorHAnsi" w:hAnsiTheme="minorHAnsi"/>
          <w:color w:val="666666"/>
          <w:szCs w:val="24"/>
        </w:rPr>
        <w:t>.</w:t>
      </w:r>
    </w:p>
    <w:p w:rsidR="006B2247" w:rsidRDefault="006B2247" w:rsidP="006B2247">
      <w:pPr>
        <w:pStyle w:val="tekstas"/>
        <w:rPr>
          <w:lang w:eastAsia="lt-LT"/>
        </w:rPr>
      </w:pPr>
    </w:p>
    <w:p w:rsidR="005C6B81" w:rsidRDefault="005C6B81" w:rsidP="005C6B81">
      <w:pPr>
        <w:pStyle w:val="tekstas"/>
        <w:ind w:firstLine="0"/>
        <w:rPr>
          <w:lang w:eastAsia="lt-LT"/>
        </w:rPr>
      </w:pPr>
      <w:r>
        <w:rPr>
          <w:noProof/>
          <w:lang w:eastAsia="lt-LT"/>
        </w:rPr>
        <w:drawing>
          <wp:inline distT="0" distB="0" distL="0" distR="0" wp14:anchorId="498B5CA5" wp14:editId="026E0554">
            <wp:extent cx="6120130" cy="1089497"/>
            <wp:effectExtent l="0" t="0" r="13970" b="15875"/>
            <wp:docPr id="392" name="Diagrama 3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A4E24" w:rsidRPr="00AB0A50" w:rsidRDefault="00FA4E24" w:rsidP="00FA4E24">
      <w:pPr>
        <w:pStyle w:val="tekstas"/>
      </w:pPr>
      <w:r>
        <w:t>Socialinės apsaugos ir darbo ministerijos 7</w:t>
      </w:r>
      <w:r w:rsidRPr="00C247F5">
        <w:t xml:space="preserve"> prioriteto a</w:t>
      </w:r>
      <w:r>
        <w:t xml:space="preserve">dministruojamų ESF lėšomis finansuojamų priemonių planavimas atitinka, o įgyvendinimas viršija Veiksmų programos lygmens vidurkius, iki III </w:t>
      </w:r>
      <w:proofErr w:type="spellStart"/>
      <w:r>
        <w:t>ketv</w:t>
      </w:r>
      <w:proofErr w:type="spellEnd"/>
      <w:r>
        <w:t>. pabaigos suplanuota 85 proc., sutarčių pasirašyta</w:t>
      </w:r>
      <w:r w:rsidR="00A95357" w:rsidRPr="00A95357">
        <w:rPr>
          <w:lang w:eastAsia="lt-LT"/>
        </w:rPr>
        <w:t xml:space="preserve"> </w:t>
      </w:r>
      <w:r w:rsidR="00A95357">
        <w:rPr>
          <w:lang w:eastAsia="lt-LT"/>
        </w:rPr>
        <w:t xml:space="preserve">(įskaitant laikiną ES lėšų </w:t>
      </w:r>
      <w:proofErr w:type="spellStart"/>
      <w:r w:rsidR="00A95357">
        <w:rPr>
          <w:lang w:eastAsia="lt-LT"/>
        </w:rPr>
        <w:t>virškontraktavimą</w:t>
      </w:r>
      <w:proofErr w:type="spellEnd"/>
      <w:r w:rsidR="00A95357">
        <w:rPr>
          <w:lang w:eastAsia="lt-LT"/>
        </w:rPr>
        <w:t>)</w:t>
      </w:r>
      <w:r>
        <w:t xml:space="preserve"> 91 proc., investuota 59 proc. ministerijai skirtų ES lėšų. Dar nepradėtas investavimas ERPF lėšomis finansuojamoje priemonėje</w:t>
      </w:r>
      <w:r w:rsidR="00DB1375">
        <w:t xml:space="preserve"> (Vilniaus teritorinės darbo biržos infrastruktūros plėtros projektas)</w:t>
      </w:r>
      <w:r>
        <w:t xml:space="preserve">, tačiau jau sudaryta projekto sutartis dėl visų planuojamų panaudoti ERPF lėšų </w:t>
      </w:r>
      <w:r w:rsidRPr="00AB0A50">
        <w:t>(daugiau projektų neplanuojama, o nesuplanuotų lėšų likutį</w:t>
      </w:r>
      <w:r>
        <w:t xml:space="preserve">, </w:t>
      </w:r>
      <w:r w:rsidR="00633856" w:rsidRPr="002D3956">
        <w:rPr>
          <w:lang w:eastAsia="lt-LT"/>
        </w:rPr>
        <w:t xml:space="preserve">Lietuvos </w:t>
      </w:r>
      <w:r w:rsidR="00633856" w:rsidRPr="002D3956">
        <w:rPr>
          <w:lang w:eastAsia="lt-LT"/>
        </w:rPr>
        <w:lastRenderedPageBreak/>
        <w:t>Respublikos Vyriausybės</w:t>
      </w:r>
      <w:r>
        <w:t xml:space="preserve"> 2019 m. birželio 5 d. pasitarimo protokolo Nr. 24 sprendimu, </w:t>
      </w:r>
      <w:r w:rsidRPr="00AB0A50">
        <w:t>buvo apsispręsta skirti Sveikatos apsaugos ministerijos 8 prioriteto finansavimui</w:t>
      </w:r>
      <w:r w:rsidRPr="00AB0A50">
        <w:rPr>
          <w:rFonts w:cstheme="minorHAnsi"/>
          <w:color w:val="595959" w:themeColor="text1" w:themeTint="A6"/>
        </w:rPr>
        <w:t xml:space="preserve">, jas numatant planuojamam projektui </w:t>
      </w:r>
      <w:r w:rsidRPr="00AB0A50">
        <w:rPr>
          <w:rFonts w:eastAsia="Calibri"/>
        </w:rPr>
        <w:t>„Telemedicinos paslaugų, nuotolinių konsultacijų teikimas priėmimo-skubiosios pagalbos skyriuose“</w:t>
      </w:r>
      <w:r>
        <w:rPr>
          <w:rFonts w:eastAsia="Calibri"/>
        </w:rPr>
        <w:t>)</w:t>
      </w:r>
      <w:r w:rsidR="00A95357">
        <w:rPr>
          <w:rFonts w:cstheme="minorHAnsi"/>
          <w:color w:val="595959" w:themeColor="text1" w:themeTint="A6"/>
        </w:rPr>
        <w:t>.</w:t>
      </w:r>
    </w:p>
    <w:p w:rsidR="006F2D91" w:rsidRDefault="006F2D91" w:rsidP="006F2D91">
      <w:pPr>
        <w:pStyle w:val="tekstas"/>
        <w:ind w:firstLine="0"/>
        <w:rPr>
          <w:lang w:eastAsia="lt-LT"/>
        </w:rPr>
      </w:pPr>
    </w:p>
    <w:p w:rsidR="006F2D91" w:rsidRDefault="006F2D91" w:rsidP="006F2D91">
      <w:pPr>
        <w:pStyle w:val="tekstas"/>
        <w:ind w:firstLine="0"/>
        <w:rPr>
          <w:lang w:eastAsia="lt-LT"/>
        </w:rPr>
      </w:pPr>
      <w:r>
        <w:rPr>
          <w:noProof/>
          <w:lang w:eastAsia="lt-LT"/>
        </w:rPr>
        <w:drawing>
          <wp:inline distT="0" distB="0" distL="0" distR="0" wp14:anchorId="51CF23C2" wp14:editId="129BA4D2">
            <wp:extent cx="6120130" cy="729489"/>
            <wp:effectExtent l="0" t="0" r="13970" b="13970"/>
            <wp:docPr id="393" name="Diagrama 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C6B81" w:rsidRDefault="006F2D91" w:rsidP="00434CA5">
      <w:pPr>
        <w:pStyle w:val="tekstas"/>
        <w:rPr>
          <w:lang w:eastAsia="lt-LT"/>
        </w:rPr>
      </w:pPr>
      <w:r>
        <w:t>Vidaus reikalų ministerijos 7</w:t>
      </w:r>
      <w:r w:rsidRPr="00C247F5">
        <w:t xml:space="preserve"> prioriteto a</w:t>
      </w:r>
      <w:r>
        <w:t>dministruojamų ERPF lėšomis finansuojamų priemonių projektų planavimas ir įgyvendinimas atsilieka nuo visos Veiksmų programos įgyvendinimo vidurkių (suplanuota 80 proc., pasirašyta sutarčių 66 proc., investuota 28 proc.).</w:t>
      </w:r>
    </w:p>
    <w:p w:rsidR="002D3956" w:rsidRPr="002D3956" w:rsidRDefault="002D3956" w:rsidP="002D3956">
      <w:pPr>
        <w:pStyle w:val="tekstas"/>
        <w:rPr>
          <w:lang w:eastAsia="lt-LT"/>
        </w:rPr>
      </w:pPr>
      <w:r w:rsidRPr="002D3956">
        <w:rPr>
          <w:lang w:eastAsia="lt-LT"/>
        </w:rPr>
        <w:t xml:space="preserve">Vidaus reikalų ministerijos ERPF lėšomis finansuojamų priemonių projektų </w:t>
      </w:r>
      <w:r w:rsidR="009752E3">
        <w:rPr>
          <w:lang w:eastAsia="lt-LT"/>
        </w:rPr>
        <w:t>lėtą</w:t>
      </w:r>
      <w:r w:rsidRPr="002D3956">
        <w:rPr>
          <w:lang w:eastAsia="lt-LT"/>
        </w:rPr>
        <w:t xml:space="preserve"> planavimą ir įgyvendinimą lemia didžiųjų miestų, kompleksinės paslaugų plėtros integruotų teritorijų vystymo programų tikslinėse teritorijose, miesto inžinerinės infrastruktūros, svarbios verslui, atnaujinimo ir plėtros priemonių komplikuotas įgyvendinimas.</w:t>
      </w:r>
    </w:p>
    <w:p w:rsidR="002D3956" w:rsidRPr="002D3956" w:rsidRDefault="002D3956" w:rsidP="002D3956">
      <w:pPr>
        <w:pStyle w:val="tekstas"/>
        <w:rPr>
          <w:lang w:eastAsia="lt-LT"/>
        </w:rPr>
      </w:pPr>
      <w:r w:rsidRPr="002D3956">
        <w:rPr>
          <w:lang w:eastAsia="lt-LT"/>
        </w:rPr>
        <w:t xml:space="preserve">Siekdama paspartinti visų 7 prioriteto projektų įgyvendinimą, Vidaus reikalų ministerija kartu su </w:t>
      </w:r>
      <w:r w:rsidR="009752E3">
        <w:rPr>
          <w:lang w:eastAsia="lt-LT"/>
        </w:rPr>
        <w:t>CPVA</w:t>
      </w:r>
      <w:r w:rsidRPr="002D3956">
        <w:rPr>
          <w:lang w:eastAsia="lt-LT"/>
        </w:rPr>
        <w:t xml:space="preserve"> nuolat stebi projektų įgyvendinimo eigą, organizuoja susitikimus su </w:t>
      </w:r>
      <w:r w:rsidR="009752E3">
        <w:rPr>
          <w:lang w:eastAsia="lt-LT"/>
        </w:rPr>
        <w:t>lėčiausiai įgyvendinamų</w:t>
      </w:r>
      <w:r w:rsidR="009752E3" w:rsidRPr="002D3956">
        <w:rPr>
          <w:lang w:eastAsia="lt-LT"/>
        </w:rPr>
        <w:t xml:space="preserve"> p</w:t>
      </w:r>
      <w:r w:rsidR="009752E3">
        <w:rPr>
          <w:lang w:eastAsia="lt-LT"/>
        </w:rPr>
        <w:t>rojektų</w:t>
      </w:r>
      <w:r w:rsidRPr="002D3956">
        <w:rPr>
          <w:lang w:eastAsia="lt-LT"/>
        </w:rPr>
        <w:t xml:space="preserve"> vykdytojais (savivald</w:t>
      </w:r>
      <w:r w:rsidR="009752E3">
        <w:rPr>
          <w:lang w:eastAsia="lt-LT"/>
        </w:rPr>
        <w:t xml:space="preserve">ybių administracijų atstovais), </w:t>
      </w:r>
      <w:r w:rsidRPr="002D3956">
        <w:rPr>
          <w:lang w:eastAsia="lt-LT"/>
        </w:rPr>
        <w:t>kurių metu identifikuoja projektų nepakankamai spartaus įgyvendinimo problemas ir teikia konsultacijas, kaip tas problemas būtų galima išsp</w:t>
      </w:r>
      <w:r>
        <w:rPr>
          <w:lang w:eastAsia="lt-LT"/>
        </w:rPr>
        <w:t>r</w:t>
      </w:r>
      <w:r w:rsidRPr="002D3956">
        <w:rPr>
          <w:lang w:eastAsia="lt-LT"/>
        </w:rPr>
        <w:t>ęsti ir pas</w:t>
      </w:r>
      <w:r w:rsidR="009752E3">
        <w:rPr>
          <w:lang w:eastAsia="lt-LT"/>
        </w:rPr>
        <w:t>partinti projektų įgyvendinimą.</w:t>
      </w:r>
    </w:p>
    <w:p w:rsidR="002D3956" w:rsidRPr="002D3956" w:rsidRDefault="009752E3" w:rsidP="002D3956">
      <w:pPr>
        <w:pStyle w:val="tekstas"/>
        <w:rPr>
          <w:lang w:eastAsia="lt-LT"/>
        </w:rPr>
      </w:pPr>
      <w:r>
        <w:rPr>
          <w:lang w:eastAsia="lt-LT"/>
        </w:rPr>
        <w:t>Taip pat, s</w:t>
      </w:r>
      <w:r w:rsidR="002D3956" w:rsidRPr="002D3956">
        <w:rPr>
          <w:lang w:eastAsia="lt-LT"/>
        </w:rPr>
        <w:t xml:space="preserve">iekdama suvaldyti </w:t>
      </w:r>
      <w:r>
        <w:rPr>
          <w:lang w:eastAsia="lt-LT"/>
        </w:rPr>
        <w:t>ES fondų lėšų panaudojimo</w:t>
      </w:r>
      <w:r w:rsidR="002D3956" w:rsidRPr="002D3956">
        <w:rPr>
          <w:lang w:eastAsia="lt-LT"/>
        </w:rPr>
        <w:t xml:space="preserve"> laiku</w:t>
      </w:r>
      <w:r w:rsidRPr="009752E3">
        <w:rPr>
          <w:lang w:eastAsia="lt-LT"/>
        </w:rPr>
        <w:t xml:space="preserve"> </w:t>
      </w:r>
      <w:r w:rsidRPr="002D3956">
        <w:rPr>
          <w:lang w:eastAsia="lt-LT"/>
        </w:rPr>
        <w:t>rizikas</w:t>
      </w:r>
      <w:r w:rsidR="002D3956" w:rsidRPr="002D3956">
        <w:rPr>
          <w:lang w:eastAsia="lt-LT"/>
        </w:rPr>
        <w:t>, Vidaus reikalų ministerija 2019 m. spalio 1 d. sumažino priemonėje „Didžiųjų miestų kompleksinė plėtra“ Vilniaus regionui numatytą ES fondų lėšų limitą 4,7 mln. eurų, Kauno regionui – 3,5 mln. eurų ir Klaipėdos regionui – 2,8 mln. eurų, šias lėšas skirdama pilotinių iniciatyvų įgyvendinimui.</w:t>
      </w:r>
    </w:p>
    <w:p w:rsidR="002D3956" w:rsidRPr="002D3956" w:rsidRDefault="002D3956" w:rsidP="002D3956">
      <w:pPr>
        <w:pStyle w:val="tekstas"/>
        <w:rPr>
          <w:lang w:eastAsia="lt-LT"/>
        </w:rPr>
      </w:pPr>
      <w:r w:rsidRPr="002D3956">
        <w:rPr>
          <w:lang w:eastAsia="lt-LT"/>
        </w:rPr>
        <w:t xml:space="preserve">Vidaus reikalų ministerija vėluodama įgyvendino 2019 m. I </w:t>
      </w:r>
      <w:proofErr w:type="spellStart"/>
      <w:r w:rsidRPr="002D3956">
        <w:rPr>
          <w:lang w:eastAsia="lt-LT"/>
        </w:rPr>
        <w:t>ketv</w:t>
      </w:r>
      <w:proofErr w:type="spellEnd"/>
      <w:r w:rsidRPr="002D3956">
        <w:rPr>
          <w:lang w:eastAsia="lt-LT"/>
        </w:rPr>
        <w:t xml:space="preserve">. Lietuvos Respublikos Vyriausybės ataskaitoje teiktą rekomendaciją iki 2019 m. birželio 30 d. sudaryti valstybės projektų sąrašą pagal priemonės „Miesto inžinerinės infrastruktūros, svarbios verslui, atnaujinimas ir plėtra“ finansavimo sąlygų aprašą Nr. 1 – 2019 m. rugsėjo 16 d. valstybės projektų sąrašas papildytas 300 tūkst. eurų vertės projektu Kupiškyje, kuriuo planuojama pritraukti privačias investicijas, sukuriant apie 25 naujas darbo vietas. Tačiau tai labai nedidelis postūmis ir ministerija turi spartinti šios priemonės projektų finansavimo sąlygų aprašo Nr. 2 tvirtinimą ir projektų planavimo procedūras. </w:t>
      </w:r>
    </w:p>
    <w:p w:rsidR="006F2D91" w:rsidRDefault="006F2D91" w:rsidP="00361177">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F2D91" w:rsidRPr="00CA6C8A" w:rsidTr="00FD20A2">
        <w:tc>
          <w:tcPr>
            <w:tcW w:w="9638" w:type="dxa"/>
            <w:tcBorders>
              <w:top w:val="nil"/>
              <w:left w:val="nil"/>
              <w:bottom w:val="nil"/>
              <w:right w:val="nil"/>
            </w:tcBorders>
            <w:shd w:val="clear" w:color="auto" w:fill="D9D9D9" w:themeFill="background1" w:themeFillShade="D9"/>
          </w:tcPr>
          <w:p w:rsidR="006F2D91" w:rsidRPr="007F76B8" w:rsidRDefault="002D3956" w:rsidP="00FD20A2">
            <w:pPr>
              <w:pStyle w:val="tekstas"/>
              <w:ind w:firstLine="0"/>
              <w:rPr>
                <w:b/>
                <w:color w:val="365F91" w:themeColor="accent1" w:themeShade="BF"/>
                <w:szCs w:val="20"/>
              </w:rPr>
            </w:pPr>
            <w:r>
              <w:rPr>
                <w:b/>
                <w:color w:val="365F91" w:themeColor="accent1" w:themeShade="BF"/>
                <w:szCs w:val="20"/>
              </w:rPr>
              <w:t>Siūlymas</w:t>
            </w:r>
            <w:r w:rsidR="006F2D91">
              <w:rPr>
                <w:b/>
                <w:color w:val="365F91" w:themeColor="accent1" w:themeShade="BF"/>
                <w:szCs w:val="20"/>
              </w:rPr>
              <w:t xml:space="preserve"> Vidaus reikalų ministerijai</w:t>
            </w:r>
            <w:r w:rsidR="006F2D91" w:rsidRPr="007F76B8">
              <w:rPr>
                <w:b/>
                <w:color w:val="365F91" w:themeColor="accent1" w:themeShade="BF"/>
                <w:szCs w:val="20"/>
              </w:rPr>
              <w:t>:</w:t>
            </w:r>
          </w:p>
          <w:p w:rsidR="006F2D91" w:rsidRPr="00C734D3" w:rsidRDefault="006F2D91" w:rsidP="005A2B4A">
            <w:pPr>
              <w:pStyle w:val="tekstas"/>
              <w:ind w:firstLine="0"/>
              <w:rPr>
                <w:color w:val="365F91" w:themeColor="accent1" w:themeShade="BF"/>
                <w:szCs w:val="20"/>
              </w:rPr>
            </w:pPr>
            <w:r w:rsidRPr="00C734D3">
              <w:rPr>
                <w:color w:val="365F91" w:themeColor="accent1" w:themeShade="BF"/>
                <w:szCs w:val="20"/>
              </w:rPr>
              <w:t xml:space="preserve">- </w:t>
            </w:r>
            <w:r w:rsidR="004C2D1D" w:rsidRPr="00C734D3">
              <w:rPr>
                <w:color w:val="365F91" w:themeColor="accent1" w:themeShade="BF"/>
                <w:szCs w:val="20"/>
              </w:rPr>
              <w:t xml:space="preserve">Iki 2020 m. </w:t>
            </w:r>
            <w:r w:rsidR="005A2B4A" w:rsidRPr="00C734D3">
              <w:rPr>
                <w:color w:val="365F91" w:themeColor="accent1" w:themeShade="BF"/>
                <w:szCs w:val="20"/>
              </w:rPr>
              <w:t>balandžio 30 d.</w:t>
            </w:r>
            <w:r w:rsidR="00885562" w:rsidRPr="00C734D3">
              <w:rPr>
                <w:color w:val="365F91" w:themeColor="accent1" w:themeShade="BF"/>
                <w:szCs w:val="20"/>
              </w:rPr>
              <w:t xml:space="preserve"> pabaigos</w:t>
            </w:r>
            <w:r w:rsidR="004C2D1D" w:rsidRPr="00C734D3">
              <w:rPr>
                <w:color w:val="365F91" w:themeColor="accent1" w:themeShade="BF"/>
                <w:szCs w:val="20"/>
              </w:rPr>
              <w:t xml:space="preserve"> sudaryti valstybės projektų sąrašą pagal </w:t>
            </w:r>
            <w:r w:rsidR="00361177" w:rsidRPr="00C734D3">
              <w:rPr>
                <w:color w:val="365F91" w:themeColor="accent1" w:themeShade="BF"/>
                <w:szCs w:val="20"/>
              </w:rPr>
              <w:t>priemonės „Miesto inžinerinės infrastruktūros, svarbios v</w:t>
            </w:r>
            <w:r w:rsidR="00DE0E07" w:rsidRPr="00C734D3">
              <w:rPr>
                <w:color w:val="365F91" w:themeColor="accent1" w:themeShade="BF"/>
                <w:szCs w:val="20"/>
              </w:rPr>
              <w:t>erslui, atnaujinimas ir plėtra“ projektų finansavimo sąlygų aprašą Nr.</w:t>
            </w:r>
            <w:r w:rsidR="002D3956" w:rsidRPr="00C734D3">
              <w:rPr>
                <w:color w:val="365F91" w:themeColor="accent1" w:themeShade="BF"/>
                <w:szCs w:val="20"/>
              </w:rPr>
              <w:t xml:space="preserve"> </w:t>
            </w:r>
            <w:r w:rsidR="00DE0E07" w:rsidRPr="00C734D3">
              <w:rPr>
                <w:color w:val="365F91" w:themeColor="accent1" w:themeShade="BF"/>
                <w:szCs w:val="20"/>
              </w:rPr>
              <w:t xml:space="preserve">2. </w:t>
            </w:r>
          </w:p>
        </w:tc>
      </w:tr>
    </w:tbl>
    <w:p w:rsidR="00C947CC" w:rsidRPr="00E97B94" w:rsidRDefault="00C947CC" w:rsidP="00C947CC">
      <w:pPr>
        <w:pStyle w:val="tekstas"/>
        <w:ind w:firstLine="0"/>
        <w:rPr>
          <w:rFonts w:eastAsiaTheme="minorHAnsi"/>
        </w:rPr>
      </w:pPr>
    </w:p>
    <w:p w:rsidR="000305AE" w:rsidRPr="00B72730" w:rsidRDefault="000305AE" w:rsidP="00C52F5D">
      <w:pPr>
        <w:pStyle w:val="antrat3zz"/>
        <w:spacing w:before="0"/>
      </w:pPr>
      <w:bookmarkStart w:id="30" w:name="_Toc24016881"/>
      <w:r w:rsidRPr="00B72730">
        <w:t xml:space="preserve">8 prioritetas. Socialinės </w:t>
      </w:r>
      <w:proofErr w:type="spellStart"/>
      <w:r w:rsidRPr="00B72730">
        <w:t>įtraukties</w:t>
      </w:r>
      <w:proofErr w:type="spellEnd"/>
      <w:r w:rsidRPr="00B72730">
        <w:t xml:space="preserve"> didinimas ir kova su skurdu</w:t>
      </w:r>
      <w:bookmarkEnd w:id="28"/>
      <w:bookmarkEnd w:id="29"/>
      <w:bookmarkEnd w:id="30"/>
      <w:r w:rsidRPr="00B72730">
        <w:t xml:space="preserve"> </w:t>
      </w:r>
    </w:p>
    <w:p w:rsidR="00B010CE" w:rsidRPr="00CE4B68" w:rsidRDefault="00B010CE" w:rsidP="00B010CE">
      <w:pPr>
        <w:pStyle w:val="tekstas"/>
        <w:ind w:firstLine="0"/>
        <w:rPr>
          <w:lang w:eastAsia="lt-LT"/>
        </w:rPr>
      </w:pPr>
      <w:bookmarkStart w:id="31" w:name="_Toc10104960"/>
      <w:r>
        <w:rPr>
          <w:noProof/>
          <w:lang w:eastAsia="lt-LT"/>
        </w:rPr>
        <w:drawing>
          <wp:inline distT="0" distB="0" distL="0" distR="0" wp14:anchorId="0BDAD766" wp14:editId="65862A43">
            <wp:extent cx="6120130" cy="776859"/>
            <wp:effectExtent l="0" t="0" r="13970" b="2349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B2247" w:rsidRDefault="00B010CE" w:rsidP="006B2247">
      <w:pPr>
        <w:pStyle w:val="tekstas"/>
      </w:pPr>
      <w:r>
        <w:t>Socialinės apsaugos ir darbo ministerijos 8</w:t>
      </w:r>
      <w:r w:rsidRPr="00C247F5">
        <w:t xml:space="preserve"> prioriteto a</w:t>
      </w:r>
      <w:r>
        <w:t>dministruojamų priemonių bendras planavimo procentas (80 proc.) atsilieka nuo Veiksmų programos vidurio, sudarytų sutarčių (73 proc.) – atitinka vidurkį, o investavimas (45 proc.) – vidurkį viršija.</w:t>
      </w:r>
    </w:p>
    <w:p w:rsidR="007B2DB9" w:rsidRDefault="001C7954" w:rsidP="001C7954">
      <w:pPr>
        <w:pStyle w:val="tekstas"/>
      </w:pPr>
      <w:r w:rsidRPr="00034619">
        <w:lastRenderedPageBreak/>
        <w:t>Socialinė</w:t>
      </w:r>
      <w:r w:rsidR="007B2DB9">
        <w:t>s apsaugos ir darbo ministerija</w:t>
      </w:r>
      <w:r w:rsidRPr="00034619">
        <w:t xml:space="preserve"> pateik</w:t>
      </w:r>
      <w:r w:rsidR="00F01904">
        <w:t>ė</w:t>
      </w:r>
      <w:r w:rsidRPr="00034619">
        <w:t xml:space="preserve"> veiksmų planą dėl </w:t>
      </w:r>
      <w:r w:rsidR="00F01904">
        <w:t xml:space="preserve">ESF nesuplanuotų lėšų. </w:t>
      </w:r>
      <w:r w:rsidR="007B2DB9">
        <w:t xml:space="preserve">Priemonėse bus perskirstyta </w:t>
      </w:r>
      <w:r w:rsidR="00F01904">
        <w:t xml:space="preserve">13,6 </w:t>
      </w:r>
      <w:r w:rsidR="00F01904" w:rsidRPr="00034619">
        <w:t>mln. eurų ES lėšų</w:t>
      </w:r>
      <w:r w:rsidR="007B2DB9">
        <w:t xml:space="preserve">. Iš konkursinės </w:t>
      </w:r>
      <w:r w:rsidR="007B2DB9" w:rsidRPr="00034619">
        <w:t>priemonės „Socialinę atskirtį patiriančių asmenų integracija į darbo rinką“</w:t>
      </w:r>
      <w:r w:rsidR="007B2DB9">
        <w:t xml:space="preserve"> lėšos perskirstomos </w:t>
      </w:r>
      <w:r w:rsidR="007B2DB9" w:rsidRPr="00034619">
        <w:rPr>
          <w:rFonts w:cstheme="minorHAnsi"/>
        </w:rPr>
        <w:t xml:space="preserve">psichosocialinės </w:t>
      </w:r>
      <w:r w:rsidR="007B2DB9">
        <w:rPr>
          <w:rFonts w:cstheme="minorHAnsi"/>
        </w:rPr>
        <w:t xml:space="preserve">reabilitacijos paslaugų teikimo iki </w:t>
      </w:r>
      <w:r w:rsidR="007B2DB9" w:rsidRPr="00034619">
        <w:rPr>
          <w:rFonts w:cstheme="minorHAnsi"/>
        </w:rPr>
        <w:t xml:space="preserve">2023 m. </w:t>
      </w:r>
      <w:r w:rsidR="007B2DB9">
        <w:rPr>
          <w:rFonts w:cstheme="minorHAnsi"/>
        </w:rPr>
        <w:t>v</w:t>
      </w:r>
      <w:r w:rsidR="007B2DB9" w:rsidRPr="00034619">
        <w:rPr>
          <w:rFonts w:cstheme="minorHAnsi"/>
        </w:rPr>
        <w:t>idurio</w:t>
      </w:r>
      <w:r w:rsidR="007B2DB9">
        <w:rPr>
          <w:rFonts w:cstheme="minorHAnsi"/>
        </w:rPr>
        <w:t xml:space="preserve"> </w:t>
      </w:r>
      <w:r w:rsidR="00515371">
        <w:rPr>
          <w:rFonts w:cstheme="minorHAnsi"/>
        </w:rPr>
        <w:t>ir</w:t>
      </w:r>
      <w:r w:rsidR="007B2DB9">
        <w:rPr>
          <w:rFonts w:cstheme="minorHAnsi"/>
        </w:rPr>
        <w:t xml:space="preserve"> </w:t>
      </w:r>
      <w:r w:rsidR="007B2DB9" w:rsidRPr="00034619">
        <w:rPr>
          <w:rFonts w:cstheme="minorHAnsi"/>
        </w:rPr>
        <w:t>integralios pagalbos į namus paslaugų</w:t>
      </w:r>
      <w:r w:rsidR="007B2DB9">
        <w:rPr>
          <w:rFonts w:cstheme="minorHAnsi"/>
        </w:rPr>
        <w:t xml:space="preserve"> teikimo iki 2022 m. </w:t>
      </w:r>
      <w:r w:rsidR="00515371">
        <w:rPr>
          <w:rFonts w:cstheme="minorHAnsi"/>
        </w:rPr>
        <w:t>v</w:t>
      </w:r>
      <w:r w:rsidR="007B2DB9">
        <w:rPr>
          <w:rFonts w:cstheme="minorHAnsi"/>
        </w:rPr>
        <w:t>idurio užtikrinimui bei</w:t>
      </w:r>
      <w:r w:rsidR="007B2DB9" w:rsidRPr="007B2DB9">
        <w:rPr>
          <w:rFonts w:cstheme="minorHAnsi"/>
        </w:rPr>
        <w:t xml:space="preserve"> </w:t>
      </w:r>
      <w:r w:rsidR="007B2DB9">
        <w:rPr>
          <w:rFonts w:cstheme="minorHAnsi"/>
        </w:rPr>
        <w:t>naujai v</w:t>
      </w:r>
      <w:r w:rsidR="007B2DB9" w:rsidRPr="00034619">
        <w:rPr>
          <w:rFonts w:cstheme="minorHAnsi"/>
        </w:rPr>
        <w:t>alstybės planavimo priemonei,</w:t>
      </w:r>
      <w:r w:rsidR="007B2DB9">
        <w:rPr>
          <w:rFonts w:cstheme="minorHAnsi"/>
        </w:rPr>
        <w:t xml:space="preserve"> skirtai socialinę atskirtį patiriančių asmenų integracijai į darbo rinką.</w:t>
      </w:r>
    </w:p>
    <w:p w:rsidR="0067069F" w:rsidRPr="00034619" w:rsidRDefault="0067069F" w:rsidP="0067069F">
      <w:pPr>
        <w:pStyle w:val="tekstas"/>
      </w:pPr>
      <w:r>
        <w:t>D</w:t>
      </w:r>
      <w:r w:rsidRPr="00034619">
        <w:t xml:space="preserve">ar nėra suplanuota </w:t>
      </w:r>
      <w:r>
        <w:t xml:space="preserve">ir vėluoja </w:t>
      </w:r>
      <w:r w:rsidRPr="00034619">
        <w:t>neįgaliųjų globos pertvarkai skirtų ERPF lėšų dalies (24,5 mln. eurų) planavimo veiksmai. Socialinės apsaugos ir darbo ministerija</w:t>
      </w:r>
      <w:r>
        <w:t xml:space="preserve"> rengia priemonės I</w:t>
      </w:r>
      <w:r w:rsidRPr="00034619">
        <w:t xml:space="preserve">nvesticinį projektą. </w:t>
      </w:r>
      <w:r w:rsidR="00515371">
        <w:t xml:space="preserve">Investicinio projekto </w:t>
      </w:r>
      <w:proofErr w:type="spellStart"/>
      <w:r w:rsidR="00515371">
        <w:t>dalį(apie</w:t>
      </w:r>
      <w:proofErr w:type="spellEnd"/>
      <w:r w:rsidR="00515371">
        <w:t xml:space="preserve"> 15 mln. eurų), apimančią</w:t>
      </w:r>
      <w:r w:rsidRPr="001647B3">
        <w:t xml:space="preserve"> Telšių, Tauragės ir Marijampolės regionus</w:t>
      </w:r>
      <w:r>
        <w:t xml:space="preserve">, planuojama užbaigti š. m. spalio mėn. </w:t>
      </w:r>
      <w:r w:rsidR="00693A83">
        <w:t>Kitą dalį</w:t>
      </w:r>
      <w:r>
        <w:t xml:space="preserve">, </w:t>
      </w:r>
      <w:r w:rsidR="00693A83">
        <w:t>apimančią</w:t>
      </w:r>
      <w:r>
        <w:t xml:space="preserve"> Vilniaus, Šiaulių ir Kaun</w:t>
      </w:r>
      <w:r w:rsidR="00693A83">
        <w:t xml:space="preserve">o regionus, planuojama baigti rengti </w:t>
      </w:r>
      <w:r>
        <w:t xml:space="preserve">lapkričio mėn. </w:t>
      </w:r>
      <w:r w:rsidR="00693A83">
        <w:t>Siekiant spėti investuoti ES fondų lėšas laiku ir a</w:t>
      </w:r>
      <w:r>
        <w:t xml:space="preserve">tsižvelgiant į tai, kad kai kurių projektų įgyvendinimas </w:t>
      </w:r>
      <w:r w:rsidR="00693A83">
        <w:t>truks iki 36 mėnesių</w:t>
      </w:r>
      <w:r>
        <w:t xml:space="preserve">, svarbu </w:t>
      </w:r>
      <w:r w:rsidR="00693A83">
        <w:t>nedelsiant, pagal pasirengimo etapus</w:t>
      </w:r>
      <w:r>
        <w:t xml:space="preserve"> pradėti vykdyti numatytus</w:t>
      </w:r>
      <w:r w:rsidR="006D2270">
        <w:t xml:space="preserve"> darbus</w:t>
      </w:r>
      <w:r w:rsidR="00693A83">
        <w:t>.</w:t>
      </w:r>
      <w:r>
        <w:t xml:space="preserve"> P</w:t>
      </w:r>
      <w:r w:rsidRPr="00034619">
        <w:t>rojektų finansavimo sąlyg</w:t>
      </w:r>
      <w:r>
        <w:t>os</w:t>
      </w:r>
      <w:r w:rsidRPr="00034619">
        <w:t xml:space="preserve"> </w:t>
      </w:r>
      <w:r>
        <w:t>pradėtos derinti</w:t>
      </w:r>
      <w:r w:rsidRPr="00034619">
        <w:t xml:space="preserve"> </w:t>
      </w:r>
      <w:r>
        <w:t>su</w:t>
      </w:r>
      <w:r w:rsidRPr="00034619">
        <w:t xml:space="preserve"> </w:t>
      </w:r>
      <w:r w:rsidR="00693A83">
        <w:t>CPVA</w:t>
      </w:r>
      <w:r w:rsidRPr="00034619">
        <w:t>.</w:t>
      </w:r>
    </w:p>
    <w:p w:rsidR="001C7954" w:rsidRDefault="001C7954" w:rsidP="001C7954">
      <w:pPr>
        <w:autoSpaceDE w:val="0"/>
        <w:autoSpaceDN w:val="0"/>
        <w:adjustRightInd w:val="0"/>
        <w:ind w:firstLine="426"/>
        <w:jc w:val="both"/>
        <w:rPr>
          <w:rFonts w:asciiTheme="minorHAnsi" w:hAnsiTheme="minorHAnsi" w:cstheme="minorHAnsi"/>
          <w:color w:val="595959" w:themeColor="text1" w:themeTint="A6"/>
          <w:szCs w:val="24"/>
        </w:rPr>
      </w:pPr>
      <w:r w:rsidRPr="00034619">
        <w:rPr>
          <w:rFonts w:asciiTheme="minorHAnsi" w:hAnsiTheme="minorHAnsi" w:cstheme="minorHAnsi"/>
          <w:color w:val="595959" w:themeColor="text1" w:themeTint="A6"/>
          <w:szCs w:val="24"/>
          <w:lang w:eastAsia="lt-LT"/>
        </w:rPr>
        <w:t xml:space="preserve">Paminėtina, kad </w:t>
      </w:r>
      <w:r w:rsidRPr="00034619">
        <w:rPr>
          <w:rFonts w:asciiTheme="minorHAnsi" w:hAnsiTheme="minorHAnsi" w:cstheme="minorHAnsi"/>
          <w:color w:val="595959" w:themeColor="text1" w:themeTint="A6"/>
          <w:szCs w:val="24"/>
        </w:rPr>
        <w:t>pradėta teikti asmeninio asistento paslauga fizinę ir (ar) kompleksi</w:t>
      </w:r>
      <w:r>
        <w:rPr>
          <w:rFonts w:asciiTheme="minorHAnsi" w:hAnsiTheme="minorHAnsi" w:cstheme="minorHAnsi"/>
          <w:color w:val="595959" w:themeColor="text1" w:themeTint="A6"/>
          <w:szCs w:val="24"/>
        </w:rPr>
        <w:t xml:space="preserve">nę negalią turintiems asmenims. </w:t>
      </w:r>
      <w:r w:rsidRPr="00034619">
        <w:rPr>
          <w:rFonts w:asciiTheme="minorHAnsi" w:hAnsiTheme="minorHAnsi" w:cstheme="minorHAnsi"/>
          <w:color w:val="595959" w:themeColor="text1" w:themeTint="A6"/>
          <w:szCs w:val="24"/>
        </w:rPr>
        <w:t>Paslauga bus teikiama visoje Lietuvoje, išskyrus Širvintų ir Neringos savivaldybes, kurios informavo neturinčios šios paslaugos poreikio.</w:t>
      </w:r>
    </w:p>
    <w:p w:rsidR="00B010CE" w:rsidRDefault="00B010CE" w:rsidP="006B2247">
      <w:pPr>
        <w:pStyle w:val="tekstas"/>
      </w:pPr>
    </w:p>
    <w:p w:rsidR="00B010CE" w:rsidRDefault="00B010CE" w:rsidP="00B010CE">
      <w:pPr>
        <w:pStyle w:val="tekstas"/>
        <w:ind w:firstLine="0"/>
        <w:rPr>
          <w:lang w:eastAsia="lt-LT"/>
        </w:rPr>
      </w:pPr>
      <w:r>
        <w:rPr>
          <w:noProof/>
          <w:lang w:eastAsia="lt-LT"/>
        </w:rPr>
        <w:drawing>
          <wp:inline distT="0" distB="0" distL="0" distR="0" wp14:anchorId="67102DBF" wp14:editId="72B7D751">
            <wp:extent cx="6120130" cy="776859"/>
            <wp:effectExtent l="0" t="0" r="13970" b="2349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010CE" w:rsidRDefault="00B010CE" w:rsidP="00B010CE">
      <w:pPr>
        <w:pStyle w:val="tekstas"/>
        <w:rPr>
          <w:lang w:eastAsia="lt-LT"/>
        </w:rPr>
      </w:pPr>
      <w:r>
        <w:t xml:space="preserve">Sveikatos </w:t>
      </w:r>
      <w:r w:rsidR="00EE50D1">
        <w:t xml:space="preserve">apsaugos </w:t>
      </w:r>
      <w:r>
        <w:t>ministerijos 8</w:t>
      </w:r>
      <w:r w:rsidRPr="00C247F5">
        <w:t xml:space="preserve"> prioriteto</w:t>
      </w:r>
      <w:r>
        <w:t xml:space="preserve"> </w:t>
      </w:r>
      <w:r w:rsidR="008423A2">
        <w:t xml:space="preserve">ERPF lėšomis finansuojamų priemonių </w:t>
      </w:r>
      <w:r w:rsidR="00EE50D1">
        <w:t>į</w:t>
      </w:r>
      <w:r w:rsidR="008423A2">
        <w:t>gyvendinimas viršija Veiksmų programos lygio vidurkius: suplanuota 89 proc., sudaryta sutarčių 85 proc., investuota 41 proc. ES lėšų. Tačiau ESF lėšomis finansuojamų priemonių įgyvendinimas žymiai atsilieka: suplanuota 69 proc., sudaryta sutarčių 57 proc., investuota 20 proc. ES lėšų.</w:t>
      </w:r>
    </w:p>
    <w:p w:rsidR="0002759C" w:rsidRDefault="0002759C" w:rsidP="0002759C">
      <w:pPr>
        <w:pStyle w:val="tekstas"/>
        <w:rPr>
          <w:lang w:eastAsia="lt-LT"/>
        </w:rPr>
      </w:pPr>
      <w:r>
        <w:rPr>
          <w:lang w:eastAsia="lt-LT"/>
        </w:rPr>
        <w:t xml:space="preserve">Pažymėtina, kad sveikatos apsaugos srityje pasiekta pažanga planuojant ir skiriant ES fondų lėšas </w:t>
      </w:r>
      <w:proofErr w:type="spellStart"/>
      <w:r>
        <w:rPr>
          <w:lang w:eastAsia="lt-LT"/>
        </w:rPr>
        <w:t>geriatrijos</w:t>
      </w:r>
      <w:proofErr w:type="spellEnd"/>
      <w:r>
        <w:rPr>
          <w:lang w:eastAsia="lt-LT"/>
        </w:rPr>
        <w:t xml:space="preserve"> ir priklausomybių ligų srities projektams (vertė – 11,2 mln. eurų): pradėtas įgyvendinti Kauno klinikinės ligoninės </w:t>
      </w:r>
      <w:proofErr w:type="spellStart"/>
      <w:r>
        <w:rPr>
          <w:lang w:eastAsia="lt-LT"/>
        </w:rPr>
        <w:t>geriatrijos</w:t>
      </w:r>
      <w:proofErr w:type="spellEnd"/>
      <w:r>
        <w:rPr>
          <w:lang w:eastAsia="lt-LT"/>
        </w:rPr>
        <w:t xml:space="preserve"> centro įsteigimo projek</w:t>
      </w:r>
      <w:r w:rsidR="00633856">
        <w:rPr>
          <w:lang w:eastAsia="lt-LT"/>
        </w:rPr>
        <w:t>tas, planuojami kiti stacionar</w:t>
      </w:r>
      <w:r>
        <w:rPr>
          <w:lang w:eastAsia="lt-LT"/>
        </w:rPr>
        <w:t xml:space="preserve">ių </w:t>
      </w:r>
      <w:proofErr w:type="spellStart"/>
      <w:r>
        <w:rPr>
          <w:lang w:eastAsia="lt-LT"/>
        </w:rPr>
        <w:t>geriatrijos</w:t>
      </w:r>
      <w:proofErr w:type="spellEnd"/>
      <w:r>
        <w:rPr>
          <w:lang w:eastAsia="lt-LT"/>
        </w:rPr>
        <w:t xml:space="preserve"> paslaugų plėtros projektai; pradėtas įgyvendinti Respublikinio priklausomybės ligų centro infrastruktūros atnaujinimo projektas ir suplanuoti visi žemo slenksčio paslaugų plėtros projektai. </w:t>
      </w:r>
    </w:p>
    <w:p w:rsidR="0002759C" w:rsidRDefault="0002759C" w:rsidP="0002759C">
      <w:pPr>
        <w:pStyle w:val="tekstas"/>
        <w:rPr>
          <w:lang w:eastAsia="lt-LT"/>
        </w:rPr>
      </w:pPr>
      <w:r>
        <w:rPr>
          <w:lang w:eastAsia="lt-LT"/>
        </w:rPr>
        <w:t xml:space="preserve">Vis dėlto, </w:t>
      </w:r>
      <w:r w:rsidR="00AA61D5">
        <w:rPr>
          <w:lang w:eastAsia="lt-LT"/>
        </w:rPr>
        <w:t>vertinant didelį planuojamų projektų skaičių</w:t>
      </w:r>
      <w:r w:rsidR="00693A83">
        <w:rPr>
          <w:lang w:eastAsia="lt-LT"/>
        </w:rPr>
        <w:t xml:space="preserve"> iki 2019 m. pabaigos </w:t>
      </w:r>
      <w:r>
        <w:rPr>
          <w:lang w:eastAsia="lt-LT"/>
        </w:rPr>
        <w:t xml:space="preserve">nebus suplanuotos visos investicijos į </w:t>
      </w:r>
      <w:proofErr w:type="spellStart"/>
      <w:r>
        <w:rPr>
          <w:lang w:eastAsia="lt-LT"/>
        </w:rPr>
        <w:t>geriatrijos</w:t>
      </w:r>
      <w:proofErr w:type="spellEnd"/>
      <w:r>
        <w:rPr>
          <w:lang w:eastAsia="lt-LT"/>
        </w:rPr>
        <w:t xml:space="preserve"> ambulatorinių paslaugų plėtrą. Taip pat vėluoja investicijų į onkologinių ligų prevencinių programų infrastruktūros sukūrimą bei ,,žaliųjų koridorių“ modelio sukūrimą onkologijoje, planavimas. Sveikatos apsaugos ministerijoje </w:t>
      </w:r>
      <w:r w:rsidR="00AA61D5">
        <w:rPr>
          <w:lang w:eastAsia="lt-LT"/>
        </w:rPr>
        <w:t>baigiamos</w:t>
      </w:r>
      <w:r>
        <w:rPr>
          <w:lang w:eastAsia="lt-LT"/>
        </w:rPr>
        <w:t xml:space="preserve"> diskusijos</w:t>
      </w:r>
      <w:r w:rsidR="00AA61D5">
        <w:rPr>
          <w:lang w:eastAsia="lt-LT"/>
        </w:rPr>
        <w:t xml:space="preserve"> dėl nesuplanuotų</w:t>
      </w:r>
      <w:r>
        <w:rPr>
          <w:lang w:eastAsia="lt-LT"/>
        </w:rPr>
        <w:t xml:space="preserve"> 6,5 mln. eurų planuot</w:t>
      </w:r>
      <w:r w:rsidR="00AA61D5">
        <w:rPr>
          <w:lang w:eastAsia="lt-LT"/>
        </w:rPr>
        <w:t>ų skirti</w:t>
      </w:r>
      <w:r>
        <w:rPr>
          <w:lang w:eastAsia="lt-LT"/>
        </w:rPr>
        <w:t xml:space="preserve"> gydytojų rezidentų ir gydytojų skatinimui vykti dirbti į regionus, </w:t>
      </w:r>
      <w:r w:rsidR="00AA61D5" w:rsidRPr="00AA61D5">
        <w:rPr>
          <w:lang w:eastAsia="lt-LT"/>
        </w:rPr>
        <w:t>tačiau dar neparengti reikalingi investicijų planavimo dokumentai naujoms veikloms finansuoti,</w:t>
      </w:r>
      <w:r w:rsidR="00AA61D5">
        <w:rPr>
          <w:lang w:eastAsia="lt-LT"/>
        </w:rPr>
        <w:t xml:space="preserve"> </w:t>
      </w:r>
      <w:r>
        <w:rPr>
          <w:lang w:eastAsia="lt-LT"/>
        </w:rPr>
        <w:t xml:space="preserve">rengiamos finansavimo sąlygos </w:t>
      </w:r>
      <w:proofErr w:type="spellStart"/>
      <w:r>
        <w:rPr>
          <w:lang w:eastAsia="lt-LT"/>
        </w:rPr>
        <w:t>inovatyviems</w:t>
      </w:r>
      <w:proofErr w:type="spellEnd"/>
      <w:r>
        <w:rPr>
          <w:lang w:eastAsia="lt-LT"/>
        </w:rPr>
        <w:t xml:space="preserve"> ir efektyviems sveikatos priežiūros paslaugų teikimo modeliams įgyvendinti. </w:t>
      </w:r>
    </w:p>
    <w:p w:rsidR="0002759C" w:rsidRDefault="0002759C" w:rsidP="0002759C">
      <w:pPr>
        <w:pStyle w:val="tekstas"/>
        <w:rPr>
          <w:lang w:eastAsia="lt-LT"/>
        </w:rPr>
      </w:pPr>
      <w:r>
        <w:rPr>
          <w:lang w:eastAsia="lt-LT"/>
        </w:rPr>
        <w:t xml:space="preserve">Dalį nesuplanuotų ar sutaupytų lėšų </w:t>
      </w:r>
      <w:r w:rsidR="0037502A" w:rsidRPr="0037502A">
        <w:rPr>
          <w:lang w:eastAsia="lt-LT"/>
        </w:rPr>
        <w:t>(apie 3,7 mln. eurų)</w:t>
      </w:r>
      <w:r w:rsidR="0037502A">
        <w:rPr>
          <w:lang w:eastAsia="lt-LT"/>
        </w:rPr>
        <w:t xml:space="preserve"> </w:t>
      </w:r>
      <w:r>
        <w:rPr>
          <w:lang w:eastAsia="lt-LT"/>
        </w:rPr>
        <w:t>Sveikato</w:t>
      </w:r>
      <w:r w:rsidR="0037502A">
        <w:rPr>
          <w:lang w:eastAsia="lt-LT"/>
        </w:rPr>
        <w:t>s apsaugos ministerija perskirstė infrastruktūros</w:t>
      </w:r>
      <w:r>
        <w:rPr>
          <w:lang w:eastAsia="lt-LT"/>
        </w:rPr>
        <w:t xml:space="preserve"> projektams</w:t>
      </w:r>
      <w:r w:rsidR="0037502A" w:rsidRPr="0037502A">
        <w:t xml:space="preserve"> </w:t>
      </w:r>
      <w:r w:rsidR="0037502A" w:rsidRPr="0037502A">
        <w:rPr>
          <w:lang w:eastAsia="lt-LT"/>
        </w:rPr>
        <w:t>tuberkuliozės, insultų, vaikų ligų, skubios pagalbos srityse</w:t>
      </w:r>
      <w:r>
        <w:rPr>
          <w:lang w:eastAsia="lt-LT"/>
        </w:rPr>
        <w:t>, kuriems būtinas papildomas finansavimas sėkmingam projektų įgyvendinimui užtikrinti</w:t>
      </w:r>
      <w:r w:rsidR="0037502A">
        <w:rPr>
          <w:lang w:eastAsia="lt-LT"/>
        </w:rPr>
        <w:t>,</w:t>
      </w:r>
      <w:r>
        <w:rPr>
          <w:lang w:eastAsia="lt-LT"/>
        </w:rPr>
        <w:t xml:space="preserve"> </w:t>
      </w:r>
      <w:r w:rsidR="0037502A" w:rsidRPr="0037502A">
        <w:rPr>
          <w:lang w:eastAsia="lt-LT"/>
        </w:rPr>
        <w:t xml:space="preserve">4,6 mln. eurų planuojama perskirstyti </w:t>
      </w:r>
      <w:r>
        <w:rPr>
          <w:lang w:eastAsia="lt-LT"/>
        </w:rPr>
        <w:t xml:space="preserve">papildomoms </w:t>
      </w:r>
      <w:r w:rsidR="0037502A" w:rsidRPr="0037502A">
        <w:rPr>
          <w:lang w:eastAsia="lt-LT"/>
        </w:rPr>
        <w:t xml:space="preserve">visuomenės sveikatos biurų vykdomoms </w:t>
      </w:r>
      <w:r>
        <w:rPr>
          <w:lang w:eastAsia="lt-LT"/>
        </w:rPr>
        <w:t>veikloms, duodančioms dide</w:t>
      </w:r>
      <w:r w:rsidR="0037502A">
        <w:rPr>
          <w:lang w:eastAsia="lt-LT"/>
        </w:rPr>
        <w:t>lę pridėtinę vertę, finansuoti.</w:t>
      </w:r>
    </w:p>
    <w:p w:rsidR="00B010CE" w:rsidRDefault="0002759C" w:rsidP="0002759C">
      <w:pPr>
        <w:pStyle w:val="tekstas"/>
        <w:rPr>
          <w:lang w:eastAsia="lt-LT"/>
        </w:rPr>
      </w:pPr>
      <w:r>
        <w:rPr>
          <w:lang w:eastAsia="lt-LT"/>
        </w:rPr>
        <w:t xml:space="preserve">Sveikatos apsaugos ministerijai Vyriausybės nutarimu 8 prioritete (ERPF) planuojama numatyti </w:t>
      </w:r>
      <w:proofErr w:type="spellStart"/>
      <w:r>
        <w:rPr>
          <w:lang w:eastAsia="lt-LT"/>
        </w:rPr>
        <w:t>virškontraktavimo</w:t>
      </w:r>
      <w:proofErr w:type="spellEnd"/>
      <w:r>
        <w:rPr>
          <w:lang w:eastAsia="lt-LT"/>
        </w:rPr>
        <w:t xml:space="preserve"> galimybę (1,85 proc. ministerijai skirto finansavimo) projektui „Telemedicinos paslaugų, nuotolinių konsultacijų teikimas priėmimo</w:t>
      </w:r>
      <w:proofErr w:type="gramStart"/>
      <w:r>
        <w:rPr>
          <w:lang w:eastAsia="lt-LT"/>
        </w:rPr>
        <w:t>-</w:t>
      </w:r>
      <w:proofErr w:type="gramEnd"/>
      <w:r>
        <w:rPr>
          <w:lang w:eastAsia="lt-LT"/>
        </w:rPr>
        <w:t xml:space="preserve">skubiosios pagalbos skyriuose“ finansuoti. </w:t>
      </w:r>
      <w:r>
        <w:rPr>
          <w:lang w:eastAsia="lt-LT"/>
        </w:rPr>
        <w:lastRenderedPageBreak/>
        <w:t>Todėl Sveikatos apsaugos ministerija turėtų pradėti imtis veiksmų reikalingiems investicijų planavimo dokumentams parengti, kad projekto sutartį būtų galima pasirašyti iki 2020 m. pab.</w:t>
      </w:r>
    </w:p>
    <w:p w:rsidR="00B010CE" w:rsidRDefault="00B010CE" w:rsidP="00B010CE">
      <w:pPr>
        <w:pStyle w:val="tekstas"/>
        <w:ind w:firstLine="0"/>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423A2" w:rsidRPr="00CA6C8A" w:rsidTr="00FD20A2">
        <w:tc>
          <w:tcPr>
            <w:tcW w:w="9638" w:type="dxa"/>
            <w:tcBorders>
              <w:top w:val="nil"/>
              <w:left w:val="nil"/>
              <w:bottom w:val="nil"/>
              <w:right w:val="nil"/>
            </w:tcBorders>
            <w:shd w:val="clear" w:color="auto" w:fill="D9D9D9" w:themeFill="background1" w:themeFillShade="D9"/>
          </w:tcPr>
          <w:p w:rsidR="008423A2" w:rsidRPr="007F76B8" w:rsidRDefault="008423A2" w:rsidP="00FD20A2">
            <w:pPr>
              <w:pStyle w:val="tekstas"/>
              <w:ind w:firstLine="0"/>
              <w:rPr>
                <w:b/>
                <w:color w:val="365F91" w:themeColor="accent1" w:themeShade="BF"/>
                <w:szCs w:val="20"/>
              </w:rPr>
            </w:pPr>
            <w:r>
              <w:rPr>
                <w:b/>
                <w:color w:val="365F91" w:themeColor="accent1" w:themeShade="BF"/>
                <w:szCs w:val="20"/>
              </w:rPr>
              <w:t>Siūlymai Sveikatos</w:t>
            </w:r>
            <w:r w:rsidRPr="00B010CE">
              <w:rPr>
                <w:b/>
                <w:color w:val="365F91" w:themeColor="accent1" w:themeShade="BF"/>
                <w:szCs w:val="20"/>
              </w:rPr>
              <w:t xml:space="preserve"> </w:t>
            </w:r>
            <w:r w:rsidR="00EE50D1">
              <w:rPr>
                <w:b/>
                <w:color w:val="365F91" w:themeColor="accent1" w:themeShade="BF"/>
                <w:szCs w:val="20"/>
              </w:rPr>
              <w:t xml:space="preserve">apsaugos </w:t>
            </w:r>
            <w:r>
              <w:rPr>
                <w:b/>
                <w:color w:val="365F91" w:themeColor="accent1" w:themeShade="BF"/>
                <w:szCs w:val="20"/>
              </w:rPr>
              <w:t>ministerijai</w:t>
            </w:r>
            <w:r w:rsidRPr="007F76B8">
              <w:rPr>
                <w:b/>
                <w:color w:val="365F91" w:themeColor="accent1" w:themeShade="BF"/>
                <w:szCs w:val="20"/>
              </w:rPr>
              <w:t>:</w:t>
            </w:r>
          </w:p>
          <w:p w:rsidR="0002759C" w:rsidRPr="000D7777" w:rsidRDefault="0002759C" w:rsidP="0002759C">
            <w:pPr>
              <w:pStyle w:val="tekstas"/>
              <w:ind w:firstLine="0"/>
              <w:rPr>
                <w:color w:val="365F91" w:themeColor="accent1" w:themeShade="BF"/>
                <w:szCs w:val="20"/>
              </w:rPr>
            </w:pPr>
            <w:r w:rsidRPr="000D7777">
              <w:rPr>
                <w:color w:val="365F91" w:themeColor="accent1" w:themeShade="BF"/>
                <w:szCs w:val="20"/>
              </w:rPr>
              <w:t xml:space="preserve">- Iki š. m. lapkričio 30 d. suderinus su visomis suinteresuotomis institucijomis patvirtinti finansavimo sąlygas </w:t>
            </w:r>
            <w:proofErr w:type="spellStart"/>
            <w:r w:rsidRPr="000D7777">
              <w:rPr>
                <w:color w:val="365F91" w:themeColor="accent1" w:themeShade="BF"/>
                <w:szCs w:val="20"/>
              </w:rPr>
              <w:t>inovatyviems</w:t>
            </w:r>
            <w:proofErr w:type="spellEnd"/>
            <w:r w:rsidRPr="000D7777">
              <w:rPr>
                <w:color w:val="365F91" w:themeColor="accent1" w:themeShade="BF"/>
                <w:szCs w:val="20"/>
              </w:rPr>
              <w:t xml:space="preserve"> ir efektyviems sveikatos priežiūros paslaugų teikimo modeliams įgyvendinti </w:t>
            </w:r>
            <w:r w:rsidR="00EE4247">
              <w:rPr>
                <w:color w:val="365F91" w:themeColor="accent1" w:themeShade="BF"/>
                <w:szCs w:val="20"/>
              </w:rPr>
              <w:t>bei</w:t>
            </w:r>
            <w:r w:rsidRPr="000D7777">
              <w:rPr>
                <w:color w:val="365F91" w:themeColor="accent1" w:themeShade="BF"/>
                <w:szCs w:val="20"/>
              </w:rPr>
              <w:t xml:space="preserve"> užtikrinti, kad kvietimas teikti paraiškas būtų paskelbtas per š. m. gruodžio mėn.</w:t>
            </w:r>
          </w:p>
          <w:p w:rsidR="0002759C" w:rsidRPr="000D7777" w:rsidRDefault="0002759C" w:rsidP="0002759C">
            <w:pPr>
              <w:pStyle w:val="tekstas"/>
              <w:ind w:firstLine="0"/>
              <w:rPr>
                <w:color w:val="365F91" w:themeColor="accent1" w:themeShade="BF"/>
                <w:szCs w:val="20"/>
              </w:rPr>
            </w:pPr>
            <w:r w:rsidRPr="000D7777">
              <w:rPr>
                <w:color w:val="365F91" w:themeColor="accent1" w:themeShade="BF"/>
                <w:szCs w:val="20"/>
              </w:rPr>
              <w:t xml:space="preserve">- Bendradarbiaujant su galimais projektų vykdytojais ir teikiant jiems metodinę pagalbą, užtikrinti, kad visi </w:t>
            </w:r>
            <w:proofErr w:type="spellStart"/>
            <w:r w:rsidRPr="000D7777">
              <w:rPr>
                <w:color w:val="365F91" w:themeColor="accent1" w:themeShade="BF"/>
                <w:szCs w:val="20"/>
              </w:rPr>
              <w:t>geriatrijos</w:t>
            </w:r>
            <w:proofErr w:type="spellEnd"/>
            <w:r w:rsidRPr="000D7777">
              <w:rPr>
                <w:color w:val="365F91" w:themeColor="accent1" w:themeShade="BF"/>
                <w:szCs w:val="20"/>
              </w:rPr>
              <w:t xml:space="preserve"> srities projektai būtų suplanuoti iki 2020 m. I</w:t>
            </w:r>
            <w:r w:rsidR="00670ACD" w:rsidRPr="000D7777">
              <w:rPr>
                <w:color w:val="365F91" w:themeColor="accent1" w:themeShade="BF"/>
                <w:szCs w:val="20"/>
              </w:rPr>
              <w:t>I</w:t>
            </w:r>
            <w:r w:rsidR="000D7777">
              <w:rPr>
                <w:color w:val="365F91" w:themeColor="accent1" w:themeShade="BF"/>
                <w:szCs w:val="20"/>
              </w:rPr>
              <w:t xml:space="preserve"> </w:t>
            </w:r>
            <w:proofErr w:type="spellStart"/>
            <w:r w:rsidR="000D7777">
              <w:rPr>
                <w:color w:val="365F91" w:themeColor="accent1" w:themeShade="BF"/>
                <w:szCs w:val="20"/>
              </w:rPr>
              <w:t>ketv</w:t>
            </w:r>
            <w:proofErr w:type="spellEnd"/>
            <w:r w:rsidR="000D7777">
              <w:rPr>
                <w:color w:val="365F91" w:themeColor="accent1" w:themeShade="BF"/>
                <w:szCs w:val="20"/>
              </w:rPr>
              <w:t>. pabaigos.</w:t>
            </w:r>
          </w:p>
          <w:p w:rsidR="008423A2" w:rsidRPr="00CE4B68" w:rsidRDefault="0002759C" w:rsidP="00FD20A2">
            <w:pPr>
              <w:pStyle w:val="tekstas"/>
              <w:ind w:firstLine="0"/>
              <w:rPr>
                <w:color w:val="365F91" w:themeColor="accent1" w:themeShade="BF"/>
                <w:szCs w:val="20"/>
              </w:rPr>
            </w:pPr>
            <w:r w:rsidRPr="000D7777">
              <w:rPr>
                <w:color w:val="365F91" w:themeColor="accent1" w:themeShade="BF"/>
                <w:szCs w:val="20"/>
              </w:rPr>
              <w:t xml:space="preserve">- Iki 2020 m. II </w:t>
            </w:r>
            <w:proofErr w:type="spellStart"/>
            <w:r w:rsidRPr="000D7777">
              <w:rPr>
                <w:color w:val="365F91" w:themeColor="accent1" w:themeShade="BF"/>
                <w:szCs w:val="20"/>
              </w:rPr>
              <w:t>ketv</w:t>
            </w:r>
            <w:proofErr w:type="spellEnd"/>
            <w:r w:rsidRPr="000D7777">
              <w:rPr>
                <w:color w:val="365F91" w:themeColor="accent1" w:themeShade="BF"/>
                <w:szCs w:val="20"/>
              </w:rPr>
              <w:t xml:space="preserve">. pabaigos į valstybės projektų sąrašą įtraukti telemedicinos projektą, kurį planuojama finansuoti iš 8 prioritetui (ERPF) skirto </w:t>
            </w:r>
            <w:proofErr w:type="spellStart"/>
            <w:r w:rsidRPr="000D7777">
              <w:rPr>
                <w:color w:val="365F91" w:themeColor="accent1" w:themeShade="BF"/>
                <w:szCs w:val="20"/>
              </w:rPr>
              <w:t>virškontraktavimo</w:t>
            </w:r>
            <w:proofErr w:type="spellEnd"/>
            <w:r w:rsidRPr="000D7777">
              <w:rPr>
                <w:color w:val="365F91" w:themeColor="accent1" w:themeShade="BF"/>
                <w:szCs w:val="20"/>
              </w:rPr>
              <w:t>.</w:t>
            </w:r>
          </w:p>
        </w:tc>
      </w:tr>
    </w:tbl>
    <w:p w:rsidR="00B010CE" w:rsidRDefault="00B010CE" w:rsidP="00B010CE">
      <w:pPr>
        <w:pStyle w:val="tekstas"/>
        <w:ind w:firstLine="0"/>
        <w:rPr>
          <w:lang w:eastAsia="lt-LT"/>
        </w:rPr>
      </w:pPr>
    </w:p>
    <w:p w:rsidR="008423A2" w:rsidRDefault="008423A2" w:rsidP="00B010CE">
      <w:pPr>
        <w:pStyle w:val="tekstas"/>
        <w:ind w:firstLine="0"/>
        <w:rPr>
          <w:lang w:eastAsia="lt-LT"/>
        </w:rPr>
      </w:pPr>
      <w:r>
        <w:rPr>
          <w:noProof/>
          <w:lang w:eastAsia="lt-LT"/>
        </w:rPr>
        <w:drawing>
          <wp:inline distT="0" distB="0" distL="0" distR="0" wp14:anchorId="11CC43F3" wp14:editId="64578EFA">
            <wp:extent cx="6120130" cy="748437"/>
            <wp:effectExtent l="0" t="0" r="13970" b="1397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E50D1" w:rsidRDefault="00EE50D1" w:rsidP="00EE50D1">
      <w:pPr>
        <w:pStyle w:val="tekstas"/>
        <w:rPr>
          <w:lang w:eastAsia="lt-LT"/>
        </w:rPr>
      </w:pPr>
      <w:r>
        <w:t>Vidaus reikalų ministerijos 8</w:t>
      </w:r>
      <w:r w:rsidRPr="00C247F5">
        <w:t xml:space="preserve"> prioriteto</w:t>
      </w:r>
      <w:r>
        <w:t xml:space="preserve"> ERPF lėšomis finansuojamų priemonių įgyvendinimo rodikliai viršija Veiksmų programos lygio vidurkius: suplanuota 93 proc., sudaryta sutarčių 90 proc., investuota 42 proc. ES lėšų. ESF lėšomis finansuojamų priemonių planavimo rodiklis (87 proc.) atitinka vidurkį, tačiau įgyvendinimo sparta yra nepakankama </w:t>
      </w:r>
      <w:proofErr w:type="gramStart"/>
      <w:r>
        <w:t>(</w:t>
      </w:r>
      <w:proofErr w:type="gramEnd"/>
      <w:r>
        <w:t>sudaryta sutarčių 42 proc., investuota 23 proc. ES lėšų</w:t>
      </w:r>
      <w:r w:rsidR="00633856">
        <w:t>)</w:t>
      </w:r>
      <w:r>
        <w:t>.</w:t>
      </w:r>
    </w:p>
    <w:p w:rsidR="005621EE" w:rsidRPr="000D7777" w:rsidRDefault="005621EE" w:rsidP="005621EE">
      <w:pPr>
        <w:ind w:firstLine="426"/>
        <w:jc w:val="both"/>
        <w:rPr>
          <w:rFonts w:asciiTheme="minorHAnsi" w:hAnsiTheme="minorHAnsi"/>
          <w:color w:val="666666"/>
          <w:szCs w:val="24"/>
        </w:rPr>
      </w:pPr>
      <w:r w:rsidRPr="000D7777">
        <w:rPr>
          <w:rFonts w:asciiTheme="minorHAnsi" w:hAnsiTheme="minorHAnsi"/>
          <w:color w:val="666666"/>
          <w:szCs w:val="24"/>
        </w:rPr>
        <w:t xml:space="preserve">Įgyvendinant miesto bendruomenių inicijuotą vietos plėtrą šiuo metu miesto </w:t>
      </w:r>
      <w:r w:rsidR="00291BF5">
        <w:rPr>
          <w:rFonts w:asciiTheme="minorHAnsi" w:hAnsiTheme="minorHAnsi"/>
          <w:color w:val="666666"/>
          <w:szCs w:val="24"/>
        </w:rPr>
        <w:t>VVG</w:t>
      </w:r>
      <w:r w:rsidRPr="000D7777">
        <w:rPr>
          <w:rFonts w:asciiTheme="minorHAnsi" w:hAnsiTheme="minorHAnsi"/>
          <w:color w:val="666666"/>
          <w:szCs w:val="24"/>
        </w:rPr>
        <w:t xml:space="preserve"> yra pradėjusios įgyvendinti vietos plėtros projektus už 6,3 mln. eurų ES ir valstybės biudžeto lėšų. Iki 2019 m. spalio vidurio į vietos plėtros projektų sąrašus jau įtraukta vietos plėtros projektinių pasiūlymų už 13,6 mln. eur</w:t>
      </w:r>
      <w:r w:rsidR="002F5D29">
        <w:rPr>
          <w:rFonts w:asciiTheme="minorHAnsi" w:hAnsiTheme="minorHAnsi"/>
          <w:color w:val="666666"/>
          <w:szCs w:val="24"/>
        </w:rPr>
        <w:t>ų</w:t>
      </w:r>
      <w:r w:rsidRPr="000D7777">
        <w:rPr>
          <w:rFonts w:asciiTheme="minorHAnsi" w:hAnsiTheme="minorHAnsi"/>
          <w:color w:val="666666"/>
          <w:szCs w:val="24"/>
        </w:rPr>
        <w:t xml:space="preserve">. Įgyvendinant </w:t>
      </w:r>
      <w:r w:rsidR="00B541BC" w:rsidRPr="000D7777">
        <w:rPr>
          <w:rFonts w:asciiTheme="minorHAnsi" w:hAnsiTheme="minorHAnsi"/>
          <w:color w:val="666666"/>
          <w:szCs w:val="24"/>
        </w:rPr>
        <w:t>strategijas</w:t>
      </w:r>
      <w:r w:rsidRPr="000D7777">
        <w:rPr>
          <w:rFonts w:asciiTheme="minorHAnsi" w:hAnsiTheme="minorHAnsi"/>
          <w:color w:val="666666"/>
          <w:szCs w:val="24"/>
        </w:rPr>
        <w:t xml:space="preserve"> VVG vėluoja atrinkti projektus ir sudaryti vietos plėtros projektų sąrašus, todėl Vidaus reikalų ministerija turėtų tęsti veiksmus siekiant valdyti vėluojančio strategijų įgyvendinimo riziką ir paspartinti projektų atranką bei sutarčių sudarymą.</w:t>
      </w:r>
    </w:p>
    <w:p w:rsidR="00EE50D1" w:rsidRDefault="00EE50D1" w:rsidP="00B010CE">
      <w:pPr>
        <w:pStyle w:val="tekstas"/>
        <w:ind w:firstLine="0"/>
      </w:pPr>
    </w:p>
    <w:p w:rsidR="000305AE" w:rsidRDefault="000305AE" w:rsidP="001C0373">
      <w:pPr>
        <w:pStyle w:val="antrat3zz"/>
        <w:spacing w:before="0"/>
      </w:pPr>
      <w:bookmarkStart w:id="32" w:name="_Toc24016882"/>
      <w:r w:rsidRPr="00EA50AE">
        <w:t>9 prioritetas. Visuomenės švietimas ir žmogiškųjų išteklių potencialo didinimas</w:t>
      </w:r>
      <w:bookmarkEnd w:id="31"/>
      <w:bookmarkEnd w:id="32"/>
    </w:p>
    <w:p w:rsidR="006B2247" w:rsidRDefault="00EE50D1" w:rsidP="00EE50D1">
      <w:pPr>
        <w:pStyle w:val="tekstas"/>
        <w:ind w:firstLine="0"/>
        <w:rPr>
          <w:lang w:eastAsia="lt-LT"/>
        </w:rPr>
      </w:pPr>
      <w:r>
        <w:rPr>
          <w:noProof/>
          <w:lang w:eastAsia="lt-LT"/>
        </w:rPr>
        <w:drawing>
          <wp:inline distT="0" distB="0" distL="0" distR="0" wp14:anchorId="5332C200" wp14:editId="5D4965E5">
            <wp:extent cx="6120130" cy="786332"/>
            <wp:effectExtent l="0" t="0" r="13970" b="1397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B2247" w:rsidRDefault="00EE50D1" w:rsidP="006B2247">
      <w:pPr>
        <w:pStyle w:val="tekstas"/>
        <w:rPr>
          <w:lang w:eastAsia="lt-LT"/>
        </w:rPr>
      </w:pPr>
      <w:r>
        <w:t>Švietimo mokslo ir sporto ministerijos 9</w:t>
      </w:r>
      <w:r w:rsidRPr="00C247F5">
        <w:t xml:space="preserve"> prioriteto</w:t>
      </w:r>
      <w:r>
        <w:t xml:space="preserve"> ERPF lėšomis finansuojamų priemonių</w:t>
      </w:r>
      <w:r w:rsidR="00FD20A2">
        <w:t xml:space="preserve"> planavimo (86 proc.) ir sutarčių pasirašymo (81 proc.) sparta yra pakankama, tačiau investavimo tempas atsilieka (30 proc.) nuo Veiksmų programos lygio vidurkių. ESF lėšomis finansuojamų priemonių planavimo ir įgyvendinimo tempas neatsilieka nuo vidutinio (suplanuota 84 proc., pasirašyta sutarčių 82 proc., investuota 41 proc.)</w:t>
      </w:r>
    </w:p>
    <w:p w:rsidR="00BE4B81" w:rsidRPr="00BE4B81" w:rsidRDefault="00BE4B81" w:rsidP="00BE4B81">
      <w:pPr>
        <w:ind w:firstLine="426"/>
        <w:jc w:val="both"/>
        <w:rPr>
          <w:rFonts w:asciiTheme="minorHAnsi" w:hAnsiTheme="minorHAnsi"/>
          <w:color w:val="666666"/>
          <w:szCs w:val="24"/>
          <w:lang w:eastAsia="lt-LT"/>
        </w:rPr>
      </w:pPr>
      <w:r w:rsidRPr="00BE4B81">
        <w:rPr>
          <w:rFonts w:asciiTheme="minorHAnsi" w:hAnsiTheme="minorHAnsi"/>
          <w:color w:val="666666"/>
          <w:szCs w:val="24"/>
          <w:lang w:eastAsia="lt-LT"/>
        </w:rPr>
        <w:t xml:space="preserve">2018 m. IV ketvirtį </w:t>
      </w:r>
      <w:r w:rsidR="002F5D29" w:rsidRPr="002F5D29">
        <w:rPr>
          <w:rFonts w:asciiTheme="minorHAnsi" w:hAnsiTheme="minorHAnsi"/>
          <w:color w:val="666666"/>
          <w:szCs w:val="24"/>
          <w:lang w:eastAsia="lt-LT"/>
        </w:rPr>
        <w:t>Švieti</w:t>
      </w:r>
      <w:r w:rsidR="002F5D29">
        <w:rPr>
          <w:rFonts w:asciiTheme="minorHAnsi" w:hAnsiTheme="minorHAnsi"/>
          <w:color w:val="666666"/>
          <w:szCs w:val="24"/>
          <w:lang w:eastAsia="lt-LT"/>
        </w:rPr>
        <w:t>mo mokslo ir sporto ministerijai</w:t>
      </w:r>
      <w:r w:rsidRPr="00BE4B81">
        <w:rPr>
          <w:rFonts w:asciiTheme="minorHAnsi" w:hAnsiTheme="minorHAnsi"/>
          <w:color w:val="666666"/>
          <w:szCs w:val="24"/>
          <w:lang w:eastAsia="lt-LT"/>
        </w:rPr>
        <w:t xml:space="preserve"> buvo teikta rekomendacija siekti, kad iki 2019 m. pabaigos būtų suplanuotos visos likusios investicijos, tačiau dėl </w:t>
      </w:r>
      <w:r w:rsidR="00491631">
        <w:rPr>
          <w:rFonts w:asciiTheme="minorHAnsi" w:hAnsiTheme="minorHAnsi"/>
          <w:color w:val="666666"/>
          <w:szCs w:val="24"/>
          <w:lang w:eastAsia="lt-LT"/>
        </w:rPr>
        <w:t>priemonių specifikos</w:t>
      </w:r>
      <w:r w:rsidR="00491631" w:rsidRPr="00BE4B81">
        <w:rPr>
          <w:rFonts w:asciiTheme="minorHAnsi" w:hAnsiTheme="minorHAnsi"/>
          <w:color w:val="666666"/>
          <w:szCs w:val="24"/>
          <w:lang w:eastAsia="lt-LT"/>
        </w:rPr>
        <w:t xml:space="preserve"> </w:t>
      </w:r>
      <w:r w:rsidR="00491631">
        <w:rPr>
          <w:rFonts w:asciiTheme="minorHAnsi" w:hAnsiTheme="minorHAnsi"/>
          <w:color w:val="666666"/>
          <w:szCs w:val="24"/>
          <w:lang w:eastAsia="lt-LT"/>
        </w:rPr>
        <w:t xml:space="preserve">ir </w:t>
      </w:r>
      <w:r w:rsidRPr="00BE4B81">
        <w:rPr>
          <w:rFonts w:asciiTheme="minorHAnsi" w:hAnsiTheme="minorHAnsi"/>
          <w:color w:val="666666"/>
          <w:szCs w:val="24"/>
          <w:lang w:eastAsia="lt-LT"/>
        </w:rPr>
        <w:t xml:space="preserve">nepakankamai koordinuoto priemonių portfelio valdymo, sąrašų/kvietimų sudarymas už daugiau kaip </w:t>
      </w:r>
      <w:r w:rsidR="00491631">
        <w:rPr>
          <w:rFonts w:asciiTheme="minorHAnsi" w:hAnsiTheme="minorHAnsi"/>
          <w:color w:val="666666"/>
          <w:szCs w:val="24"/>
          <w:lang w:eastAsia="lt-LT"/>
        </w:rPr>
        <w:t>31 mln. eurų nukeltas į 2020 m.</w:t>
      </w:r>
    </w:p>
    <w:p w:rsidR="00BE4B81" w:rsidRPr="00BE4B81" w:rsidRDefault="00BE4B81" w:rsidP="00BE4B81">
      <w:pPr>
        <w:ind w:firstLine="426"/>
        <w:jc w:val="both"/>
        <w:rPr>
          <w:rFonts w:asciiTheme="minorHAnsi" w:hAnsiTheme="minorHAnsi"/>
          <w:color w:val="666666"/>
          <w:szCs w:val="24"/>
          <w:lang w:eastAsia="lt-LT"/>
        </w:rPr>
      </w:pPr>
      <w:r w:rsidRPr="00BE4B81">
        <w:rPr>
          <w:rFonts w:asciiTheme="minorHAnsi" w:hAnsiTheme="minorHAnsi"/>
          <w:color w:val="666666"/>
          <w:szCs w:val="24"/>
          <w:lang w:eastAsia="lt-LT"/>
        </w:rPr>
        <w:t xml:space="preserve">Aukštojo mokslo srityje į valstybės projektų sąrašą įtraukti Šiaulių universiteto Ugdymo mokslų ir socialinės gerovės studijų infrastruktūros, Klaipėdos universiteto Socialinių ir </w:t>
      </w:r>
      <w:proofErr w:type="gramStart"/>
      <w:r w:rsidRPr="00BE4B81">
        <w:rPr>
          <w:rFonts w:asciiTheme="minorHAnsi" w:hAnsiTheme="minorHAnsi"/>
          <w:color w:val="666666"/>
          <w:szCs w:val="24"/>
          <w:lang w:eastAsia="lt-LT"/>
        </w:rPr>
        <w:t>humanitarinių mokslų fakulteto</w:t>
      </w:r>
      <w:proofErr w:type="gramEnd"/>
      <w:r w:rsidRPr="00BE4B81">
        <w:rPr>
          <w:rFonts w:asciiTheme="minorHAnsi" w:hAnsiTheme="minorHAnsi"/>
          <w:color w:val="666666"/>
          <w:szCs w:val="24"/>
          <w:lang w:eastAsia="lt-LT"/>
        </w:rPr>
        <w:t xml:space="preserve"> infrastruktūros projektai bei aukštųjų mokyklų tinklo optimizavimo ir studijų kokybės gerinimo Šiaulių universitetą prijungiant prie Vilniaus universiteto projektai</w:t>
      </w:r>
      <w:r w:rsidR="002F5D29">
        <w:rPr>
          <w:rFonts w:asciiTheme="minorHAnsi" w:hAnsiTheme="minorHAnsi"/>
          <w:color w:val="666666"/>
          <w:szCs w:val="24"/>
          <w:lang w:eastAsia="lt-LT"/>
        </w:rPr>
        <w:t xml:space="preserve">. Įtrauktų </w:t>
      </w:r>
      <w:r w:rsidR="002F5D29">
        <w:rPr>
          <w:rFonts w:asciiTheme="minorHAnsi" w:hAnsiTheme="minorHAnsi"/>
          <w:color w:val="666666"/>
          <w:szCs w:val="24"/>
          <w:lang w:eastAsia="lt-LT"/>
        </w:rPr>
        <w:lastRenderedPageBreak/>
        <w:t>projektų vertė 5,9 mln. eurų</w:t>
      </w:r>
      <w:r w:rsidRPr="00BE4B81">
        <w:rPr>
          <w:rFonts w:asciiTheme="minorHAnsi" w:hAnsiTheme="minorHAnsi"/>
          <w:color w:val="666666"/>
          <w:szCs w:val="24"/>
          <w:lang w:eastAsia="lt-LT"/>
        </w:rPr>
        <w:t>, tačiau išlieka nesuplanuota 13,4 mln. eurų ERPF lėšų, skirtų studijų aplinkos ir infrastruktūros koncentravimui bei 7,7 mln. eurų ESF lėšų, skirtų studijų kokybės gerinimui ir stebėsenos sistemos sukūrimui. Teb</w:t>
      </w:r>
      <w:r>
        <w:rPr>
          <w:rFonts w:asciiTheme="minorHAnsi" w:hAnsiTheme="minorHAnsi"/>
          <w:color w:val="666666"/>
          <w:szCs w:val="24"/>
          <w:lang w:eastAsia="lt-LT"/>
        </w:rPr>
        <w:t xml:space="preserve">ėra </w:t>
      </w:r>
      <w:r w:rsidRPr="00BE4B81">
        <w:rPr>
          <w:rFonts w:asciiTheme="minorHAnsi" w:hAnsiTheme="minorHAnsi"/>
          <w:color w:val="666666"/>
          <w:szCs w:val="24"/>
          <w:lang w:eastAsia="lt-LT"/>
        </w:rPr>
        <w:t>aktuali ir ankste</w:t>
      </w:r>
      <w:r w:rsidR="002F5D29">
        <w:rPr>
          <w:rFonts w:asciiTheme="minorHAnsi" w:hAnsiTheme="minorHAnsi"/>
          <w:color w:val="666666"/>
          <w:szCs w:val="24"/>
          <w:lang w:eastAsia="lt-LT"/>
        </w:rPr>
        <w:t>snėje ataskaitoje identifikuota</w:t>
      </w:r>
      <w:r w:rsidRPr="00BE4B81">
        <w:rPr>
          <w:rFonts w:asciiTheme="minorHAnsi" w:hAnsiTheme="minorHAnsi"/>
          <w:color w:val="666666"/>
          <w:szCs w:val="24"/>
          <w:lang w:eastAsia="lt-LT"/>
        </w:rPr>
        <w:t xml:space="preserve"> rizika dėl nepakankamos investicijų sąsajos su aukštųjų mokyklų tinklo optimizavimu ir koncentravimu, </w:t>
      </w:r>
      <w:r w:rsidR="002F5D29">
        <w:rPr>
          <w:rFonts w:asciiTheme="minorHAnsi" w:hAnsiTheme="minorHAnsi"/>
          <w:color w:val="666666"/>
          <w:szCs w:val="24"/>
          <w:lang w:eastAsia="lt-LT"/>
        </w:rPr>
        <w:t xml:space="preserve">dėl kurios Finansų ministerija </w:t>
      </w:r>
      <w:r w:rsidRPr="00BE4B81">
        <w:rPr>
          <w:rFonts w:asciiTheme="minorHAnsi" w:hAnsiTheme="minorHAnsi"/>
          <w:color w:val="666666"/>
          <w:szCs w:val="24"/>
          <w:lang w:eastAsia="lt-LT"/>
        </w:rPr>
        <w:t>2019 m. rugpjūčio 5 d. raštu</w:t>
      </w:r>
      <w:r w:rsidRPr="00BE4B81">
        <w:rPr>
          <w:rFonts w:asciiTheme="minorHAnsi" w:hAnsiTheme="minorHAnsi"/>
          <w:color w:val="666666"/>
          <w:szCs w:val="24"/>
          <w:vertAlign w:val="superscript"/>
          <w:lang w:eastAsia="lt-LT"/>
        </w:rPr>
        <w:footnoteReference w:id="5"/>
      </w:r>
      <w:r w:rsidRPr="00BE4B81">
        <w:rPr>
          <w:rFonts w:asciiTheme="minorHAnsi" w:hAnsiTheme="minorHAnsi"/>
          <w:color w:val="666666"/>
          <w:szCs w:val="24"/>
          <w:lang w:eastAsia="lt-LT"/>
        </w:rPr>
        <w:t xml:space="preserve"> kreipėsi į Švietim</w:t>
      </w:r>
      <w:r w:rsidR="002F5D29">
        <w:rPr>
          <w:rFonts w:asciiTheme="minorHAnsi" w:hAnsiTheme="minorHAnsi"/>
          <w:color w:val="666666"/>
          <w:szCs w:val="24"/>
          <w:lang w:eastAsia="lt-LT"/>
        </w:rPr>
        <w:t>o mokslo ir sporto ministeriją.</w:t>
      </w:r>
    </w:p>
    <w:p w:rsidR="00BE4B81" w:rsidRPr="00BE4B81" w:rsidRDefault="00BE4B81" w:rsidP="00BE4B81">
      <w:pPr>
        <w:ind w:firstLine="426"/>
        <w:jc w:val="both"/>
        <w:rPr>
          <w:rFonts w:asciiTheme="minorHAnsi" w:hAnsiTheme="minorHAnsi"/>
          <w:color w:val="666666"/>
          <w:szCs w:val="24"/>
          <w:lang w:eastAsia="lt-LT"/>
        </w:rPr>
      </w:pPr>
      <w:r w:rsidRPr="00BE4B81">
        <w:rPr>
          <w:rFonts w:asciiTheme="minorHAnsi" w:hAnsiTheme="minorHAnsi"/>
          <w:color w:val="666666"/>
          <w:szCs w:val="24"/>
          <w:lang w:eastAsia="lt-LT"/>
        </w:rPr>
        <w:t>Bendrojo ugdymo srityje per 3-čiąjį šių metų ketvirtį neįvyko ženklesnių pokyčių. Reformos eigą lėtina reikiamų teisės</w:t>
      </w:r>
      <w:r w:rsidR="002F5D29">
        <w:rPr>
          <w:rFonts w:asciiTheme="minorHAnsi" w:hAnsiTheme="minorHAnsi"/>
          <w:color w:val="666666"/>
          <w:szCs w:val="24"/>
          <w:lang w:eastAsia="lt-LT"/>
        </w:rPr>
        <w:t xml:space="preserve"> aktų ir sprendimų nepriėmimas.</w:t>
      </w:r>
      <w:r w:rsidRPr="00BE4B81">
        <w:rPr>
          <w:rFonts w:asciiTheme="minorHAnsi" w:hAnsiTheme="minorHAnsi"/>
          <w:color w:val="666666"/>
          <w:szCs w:val="24"/>
          <w:lang w:eastAsia="lt-LT"/>
        </w:rPr>
        <w:t xml:space="preserve"> Iki šiol nepatvirtintos bendrojo ugdymo gairės, todėl </w:t>
      </w:r>
      <w:r w:rsidR="00491631">
        <w:rPr>
          <w:rFonts w:asciiTheme="minorHAnsi" w:hAnsiTheme="minorHAnsi"/>
          <w:color w:val="666666"/>
          <w:szCs w:val="24"/>
          <w:lang w:eastAsia="lt-LT"/>
        </w:rPr>
        <w:t xml:space="preserve">kol kas </w:t>
      </w:r>
      <w:r w:rsidRPr="00BE4B81">
        <w:rPr>
          <w:rFonts w:asciiTheme="minorHAnsi" w:hAnsiTheme="minorHAnsi"/>
          <w:color w:val="666666"/>
          <w:szCs w:val="24"/>
          <w:lang w:eastAsia="lt-LT"/>
        </w:rPr>
        <w:t>neįgyvendinta dar 2017 m. IV ketvirtį teikta rekomendacija užtikrinti, kad visi su reformomis susiję procesai ir įgyvendinamos priemonės būtų suderintos viena su kita ir papildytų jau atliktas arba planuojamas skirti investicijas (bendrojo ugdymo srityje kvalifikacijos tobulinimo veiklos būtų susijusios su atnaujintomis ugdymo programomis</w:t>
      </w:r>
      <w:r w:rsidR="00914814">
        <w:rPr>
          <w:rFonts w:asciiTheme="minorHAnsi" w:hAnsiTheme="minorHAnsi"/>
          <w:color w:val="666666"/>
          <w:szCs w:val="24"/>
          <w:lang w:eastAsia="lt-LT"/>
        </w:rPr>
        <w:t>). Taip pat neįgyvendinta</w:t>
      </w:r>
      <w:r w:rsidRPr="00BE4B81">
        <w:rPr>
          <w:rFonts w:asciiTheme="minorHAnsi" w:hAnsiTheme="minorHAnsi"/>
          <w:color w:val="666666"/>
          <w:szCs w:val="24"/>
          <w:lang w:eastAsia="lt-LT"/>
        </w:rPr>
        <w:t xml:space="preserve"> 2019 m. I ketvirčio rekomendacija iki 2019/2020 mokslų metų pradžios priimti sprendimą dėl bendrojo ugdymo programų </w:t>
      </w:r>
      <w:r w:rsidR="00914814">
        <w:rPr>
          <w:rFonts w:asciiTheme="minorHAnsi" w:hAnsiTheme="minorHAnsi"/>
          <w:color w:val="666666"/>
          <w:szCs w:val="24"/>
          <w:lang w:eastAsia="lt-LT"/>
        </w:rPr>
        <w:t>atnaujinimo terminų ir tvarkos.</w:t>
      </w:r>
    </w:p>
    <w:p w:rsidR="00BE4B81" w:rsidRPr="00BE4B81" w:rsidRDefault="00914814" w:rsidP="00BE4B81">
      <w:pPr>
        <w:ind w:firstLine="426"/>
        <w:jc w:val="both"/>
        <w:rPr>
          <w:rFonts w:asciiTheme="minorHAnsi" w:hAnsiTheme="minorHAnsi"/>
          <w:color w:val="666666"/>
          <w:szCs w:val="24"/>
          <w:lang w:eastAsia="lt-LT"/>
        </w:rPr>
      </w:pPr>
      <w:r>
        <w:rPr>
          <w:rFonts w:asciiTheme="minorHAnsi" w:hAnsiTheme="minorHAnsi"/>
          <w:color w:val="666666"/>
          <w:szCs w:val="24"/>
          <w:lang w:eastAsia="lt-LT"/>
        </w:rPr>
        <w:t>Pažymėtina, kad į</w:t>
      </w:r>
      <w:r w:rsidR="00BE4B81" w:rsidRPr="00BE4B81">
        <w:rPr>
          <w:rFonts w:asciiTheme="minorHAnsi" w:hAnsiTheme="minorHAnsi"/>
          <w:color w:val="666666"/>
          <w:szCs w:val="24"/>
          <w:lang w:eastAsia="lt-LT"/>
        </w:rPr>
        <w:t xml:space="preserve">gyvendinant bendrojo ugdymo pertvarką iki šiol </w:t>
      </w:r>
      <w:r w:rsidR="00491631">
        <w:rPr>
          <w:rFonts w:asciiTheme="minorHAnsi" w:hAnsiTheme="minorHAnsi"/>
          <w:color w:val="666666"/>
          <w:szCs w:val="24"/>
          <w:lang w:eastAsia="lt-LT"/>
        </w:rPr>
        <w:t>nepatvirtintas</w:t>
      </w:r>
      <w:r>
        <w:rPr>
          <w:rFonts w:asciiTheme="minorHAnsi" w:hAnsiTheme="minorHAnsi"/>
          <w:color w:val="666666"/>
          <w:szCs w:val="24"/>
          <w:lang w:eastAsia="lt-LT"/>
        </w:rPr>
        <w:t xml:space="preserve"> įsakymas dėl mokinių pasiekimų</w:t>
      </w:r>
      <w:r w:rsidR="00BE4B81" w:rsidRPr="00BE4B81">
        <w:rPr>
          <w:rFonts w:asciiTheme="minorHAnsi" w:hAnsiTheme="minorHAnsi"/>
          <w:color w:val="666666"/>
          <w:szCs w:val="24"/>
          <w:lang w:eastAsia="lt-LT"/>
        </w:rPr>
        <w:t xml:space="preserve"> kaupiamojo vertinimo sampratos</w:t>
      </w:r>
      <w:r w:rsidR="00491631">
        <w:rPr>
          <w:rFonts w:asciiTheme="minorHAnsi" w:hAnsiTheme="minorHAnsi"/>
          <w:color w:val="666666"/>
          <w:szCs w:val="24"/>
          <w:lang w:eastAsia="lt-LT"/>
        </w:rPr>
        <w:t>,</w:t>
      </w:r>
      <w:r w:rsidR="00BE4B81" w:rsidRPr="00BE4B81">
        <w:rPr>
          <w:rFonts w:asciiTheme="minorHAnsi" w:hAnsiTheme="minorHAnsi"/>
          <w:color w:val="666666"/>
          <w:szCs w:val="24"/>
          <w:lang w:eastAsia="lt-LT"/>
        </w:rPr>
        <w:t xml:space="preserve"> </w:t>
      </w:r>
      <w:r w:rsidR="00491631">
        <w:rPr>
          <w:rFonts w:asciiTheme="minorHAnsi" w:hAnsiTheme="minorHAnsi"/>
          <w:color w:val="666666"/>
          <w:szCs w:val="24"/>
          <w:lang w:eastAsia="lt-LT"/>
        </w:rPr>
        <w:t>kas</w:t>
      </w:r>
      <w:r w:rsidR="00BE4B81" w:rsidRPr="00BE4B81">
        <w:rPr>
          <w:rFonts w:asciiTheme="minorHAnsi" w:hAnsiTheme="minorHAnsi"/>
          <w:color w:val="666666"/>
          <w:szCs w:val="24"/>
          <w:lang w:eastAsia="lt-LT"/>
        </w:rPr>
        <w:t xml:space="preserve"> kelia riziką sėkmingam ES lėšomis finansuojamos švietimo reformos tikslų </w:t>
      </w:r>
      <w:r>
        <w:rPr>
          <w:rFonts w:asciiTheme="minorHAnsi" w:hAnsiTheme="minorHAnsi"/>
          <w:color w:val="666666"/>
          <w:szCs w:val="24"/>
          <w:lang w:eastAsia="lt-LT"/>
        </w:rPr>
        <w:t>pasiekimui bei veiklų tvarumui.</w:t>
      </w:r>
    </w:p>
    <w:p w:rsidR="00BE4B81" w:rsidRPr="00BE4B81" w:rsidRDefault="00BE4B81" w:rsidP="00BE4B81">
      <w:pPr>
        <w:ind w:firstLine="426"/>
        <w:jc w:val="both"/>
        <w:rPr>
          <w:rFonts w:asciiTheme="minorHAnsi" w:hAnsiTheme="minorHAnsi"/>
          <w:color w:val="666666"/>
          <w:szCs w:val="24"/>
          <w:lang w:eastAsia="lt-LT"/>
        </w:rPr>
      </w:pPr>
      <w:r w:rsidRPr="00BE4B81">
        <w:rPr>
          <w:rFonts w:asciiTheme="minorHAnsi" w:hAnsiTheme="minorHAnsi"/>
          <w:color w:val="666666"/>
          <w:szCs w:val="24"/>
          <w:lang w:eastAsia="lt-LT"/>
        </w:rPr>
        <w:t>Profesinio mokymo srityje pradėtas įgyvendinti 2,1 mln. eurų vertės Nacionalinės švietimo agentūros projektas „Turi profesiją – turi ateitį!“, kurio veiklomis siekiama mokiniams iš socialiai jautrių grupių suteikti profesinę kvalifikaciją bei padėti įgyti praktinių įgūdžių. Nors ataskaitiniu laikotarpiu ir stebima nežymi pažanga investuojant į profesinį mokymą, tačiau vis dar stringa profesinio mokymo įstaigų mokinių mokym</w:t>
      </w:r>
      <w:r>
        <w:rPr>
          <w:rFonts w:asciiTheme="minorHAnsi" w:hAnsiTheme="minorHAnsi"/>
          <w:color w:val="666666"/>
          <w:szCs w:val="24"/>
          <w:lang w:eastAsia="lt-LT"/>
        </w:rPr>
        <w:t>o</w:t>
      </w:r>
      <w:r w:rsidRPr="00BE4B81">
        <w:rPr>
          <w:rFonts w:asciiTheme="minorHAnsi" w:hAnsiTheme="minorHAnsi"/>
          <w:color w:val="666666"/>
          <w:szCs w:val="24"/>
          <w:lang w:eastAsia="lt-LT"/>
        </w:rPr>
        <w:t xml:space="preserve"> pameistrystės būdu veiklos įgyvendinimas.</w:t>
      </w:r>
    </w:p>
    <w:p w:rsidR="00BE4B81" w:rsidRPr="00BE4B81" w:rsidRDefault="00BE4B81" w:rsidP="00BE4B81">
      <w:pPr>
        <w:ind w:firstLine="426"/>
        <w:jc w:val="both"/>
        <w:rPr>
          <w:rFonts w:asciiTheme="minorHAnsi" w:hAnsiTheme="minorHAnsi"/>
          <w:color w:val="66666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BE4B81" w:rsidRPr="00BE4B81" w:rsidTr="00365B19">
        <w:tc>
          <w:tcPr>
            <w:tcW w:w="9638" w:type="dxa"/>
            <w:tcBorders>
              <w:top w:val="nil"/>
              <w:left w:val="nil"/>
              <w:bottom w:val="nil"/>
              <w:right w:val="nil"/>
            </w:tcBorders>
            <w:shd w:val="clear" w:color="auto" w:fill="D9D9D9" w:themeFill="background1" w:themeFillShade="D9"/>
          </w:tcPr>
          <w:p w:rsidR="00BE4B81" w:rsidRPr="00BE4B81" w:rsidRDefault="00BE4B81" w:rsidP="00BE4B81">
            <w:pPr>
              <w:jc w:val="both"/>
              <w:rPr>
                <w:rFonts w:asciiTheme="minorHAnsi" w:hAnsiTheme="minorHAnsi"/>
                <w:b/>
                <w:color w:val="365F91" w:themeColor="accent1" w:themeShade="BF"/>
              </w:rPr>
            </w:pPr>
            <w:r w:rsidRPr="00BE4B81">
              <w:rPr>
                <w:rFonts w:asciiTheme="minorHAnsi" w:hAnsiTheme="minorHAnsi"/>
                <w:b/>
                <w:color w:val="365F91" w:themeColor="accent1" w:themeShade="BF"/>
              </w:rPr>
              <w:t>Siūlymai Švietimo mokslo ir sporto ministerijai:</w:t>
            </w:r>
          </w:p>
          <w:p w:rsidR="00BE4B81" w:rsidRPr="00962639" w:rsidRDefault="00962639" w:rsidP="00BE4B81">
            <w:pPr>
              <w:jc w:val="both"/>
              <w:rPr>
                <w:rFonts w:asciiTheme="minorHAnsi" w:hAnsiTheme="minorHAnsi"/>
                <w:color w:val="365F91" w:themeColor="accent1" w:themeShade="BF"/>
              </w:rPr>
            </w:pPr>
            <w:r>
              <w:rPr>
                <w:rFonts w:asciiTheme="minorHAnsi" w:hAnsiTheme="minorHAnsi"/>
                <w:color w:val="365F91" w:themeColor="accent1" w:themeShade="BF"/>
              </w:rPr>
              <w:t>- Iki 2019 m. gruodžio</w:t>
            </w:r>
            <w:r w:rsidR="00BE4B81" w:rsidRPr="00962639">
              <w:rPr>
                <w:rFonts w:asciiTheme="minorHAnsi" w:hAnsiTheme="minorHAnsi"/>
                <w:color w:val="365F91" w:themeColor="accent1" w:themeShade="BF"/>
              </w:rPr>
              <w:t xml:space="preserve"> 1 d. pateikti bendrojo ugdymo gairių ir bendrojo ugdymo programų atnaujinimo planą, nurodant konkrečius terminus.</w:t>
            </w:r>
          </w:p>
          <w:p w:rsidR="00BE4B81" w:rsidRPr="00962639" w:rsidRDefault="00BE4B81" w:rsidP="00814C77">
            <w:pPr>
              <w:jc w:val="both"/>
              <w:rPr>
                <w:rFonts w:asciiTheme="minorHAnsi" w:hAnsiTheme="minorHAnsi"/>
                <w:color w:val="365F91" w:themeColor="accent1" w:themeShade="BF"/>
              </w:rPr>
            </w:pPr>
            <w:r w:rsidRPr="00962639">
              <w:rPr>
                <w:rFonts w:asciiTheme="minorHAnsi" w:hAnsiTheme="minorHAnsi"/>
                <w:color w:val="365F91" w:themeColor="accent1" w:themeShade="BF"/>
              </w:rPr>
              <w:t xml:space="preserve"> - Iki 2019 m. </w:t>
            </w:r>
            <w:r w:rsidR="00814C77">
              <w:rPr>
                <w:rFonts w:asciiTheme="minorHAnsi" w:hAnsiTheme="minorHAnsi"/>
                <w:color w:val="365F91" w:themeColor="accent1" w:themeShade="BF"/>
              </w:rPr>
              <w:t>gruodžio</w:t>
            </w:r>
            <w:r w:rsidRPr="00962639">
              <w:rPr>
                <w:rFonts w:asciiTheme="minorHAnsi" w:hAnsiTheme="minorHAnsi"/>
                <w:color w:val="365F91" w:themeColor="accent1" w:themeShade="BF"/>
              </w:rPr>
              <w:t xml:space="preserve"> 1 d. pateikti konkrečius pasiūlymus aukštojo mokslo srityje ES lėšomis įgyvendinamų priemonių finansavimo sąlygų tobulinimui pagal Finansų ministerijos 2019 m. rugpjūčio 5 d. raštą.</w:t>
            </w:r>
          </w:p>
        </w:tc>
      </w:tr>
    </w:tbl>
    <w:p w:rsidR="00FD20A2" w:rsidRDefault="00FD20A2" w:rsidP="006B2247">
      <w:pPr>
        <w:pStyle w:val="tekstas"/>
        <w:rPr>
          <w:lang w:eastAsia="lt-LT"/>
        </w:rPr>
      </w:pPr>
    </w:p>
    <w:p w:rsidR="00FD20A2" w:rsidRDefault="00FD20A2" w:rsidP="00FD20A2">
      <w:pPr>
        <w:pStyle w:val="tekstas"/>
        <w:ind w:firstLine="0"/>
        <w:rPr>
          <w:lang w:eastAsia="lt-LT"/>
        </w:rPr>
      </w:pPr>
      <w:r>
        <w:rPr>
          <w:noProof/>
          <w:lang w:eastAsia="lt-LT"/>
        </w:rPr>
        <w:drawing>
          <wp:inline distT="0" distB="0" distL="0" distR="0" wp14:anchorId="63D6F19C" wp14:editId="47FFCB55">
            <wp:extent cx="6120130" cy="558959"/>
            <wp:effectExtent l="0" t="0" r="13970" b="1270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25D38" w:rsidRDefault="00125D38" w:rsidP="00125D38">
      <w:pPr>
        <w:pStyle w:val="tekstas"/>
        <w:rPr>
          <w:lang w:eastAsia="lt-LT"/>
        </w:rPr>
      </w:pPr>
      <w:r>
        <w:rPr>
          <w:lang w:eastAsia="lt-LT"/>
        </w:rPr>
        <w:t>Ekonomikos ir inovacijų ministerijos administruojamos 9 prioriteto priemonės sutarčių sudarymo pažanga (71 proc.) atitinka Veiksmų programos vidurkį</w:t>
      </w:r>
      <w:r w:rsidRPr="00C077A0">
        <w:rPr>
          <w:lang w:eastAsia="lt-LT"/>
        </w:rPr>
        <w:t xml:space="preserve">, </w:t>
      </w:r>
      <w:r>
        <w:rPr>
          <w:lang w:eastAsia="lt-LT"/>
        </w:rPr>
        <w:t>labiau</w:t>
      </w:r>
      <w:r w:rsidRPr="00C077A0">
        <w:rPr>
          <w:lang w:eastAsia="lt-LT"/>
        </w:rPr>
        <w:t xml:space="preserve"> nuo vidutinio </w:t>
      </w:r>
      <w:r>
        <w:rPr>
          <w:lang w:eastAsia="lt-LT"/>
        </w:rPr>
        <w:t>Veiksmų programos</w:t>
      </w:r>
      <w:r w:rsidRPr="00C077A0">
        <w:rPr>
          <w:lang w:eastAsia="lt-LT"/>
        </w:rPr>
        <w:t xml:space="preserve"> įgyvendinimo vidurkio atsilieka </w:t>
      </w:r>
      <w:r>
        <w:rPr>
          <w:lang w:eastAsia="lt-LT"/>
        </w:rPr>
        <w:t>investavimas, kuris</w:t>
      </w:r>
      <w:r w:rsidRPr="00C077A0">
        <w:rPr>
          <w:lang w:eastAsia="lt-LT"/>
        </w:rPr>
        <w:t xml:space="preserve"> iki 2019 m. </w:t>
      </w:r>
      <w:r>
        <w:rPr>
          <w:lang w:eastAsia="lt-LT"/>
        </w:rPr>
        <w:t>III</w:t>
      </w:r>
      <w:r w:rsidRPr="00C077A0">
        <w:rPr>
          <w:lang w:eastAsia="lt-LT"/>
        </w:rPr>
        <w:t xml:space="preserve"> </w:t>
      </w:r>
      <w:proofErr w:type="spellStart"/>
      <w:r w:rsidRPr="00C077A0">
        <w:rPr>
          <w:lang w:eastAsia="lt-LT"/>
        </w:rPr>
        <w:t>ketv</w:t>
      </w:r>
      <w:proofErr w:type="spellEnd"/>
      <w:r w:rsidRPr="00C077A0">
        <w:rPr>
          <w:lang w:eastAsia="lt-LT"/>
        </w:rPr>
        <w:t xml:space="preserve">. pabaigos sudarė tik </w:t>
      </w:r>
      <w:r>
        <w:rPr>
          <w:lang w:eastAsia="lt-LT"/>
        </w:rPr>
        <w:t>23</w:t>
      </w:r>
      <w:r w:rsidRPr="00C077A0">
        <w:rPr>
          <w:lang w:eastAsia="lt-LT"/>
        </w:rPr>
        <w:t xml:space="preserve"> proc.</w:t>
      </w:r>
      <w:r>
        <w:rPr>
          <w:lang w:eastAsia="lt-LT"/>
        </w:rPr>
        <w:t xml:space="preserve"> Investicijos</w:t>
      </w:r>
      <w:r w:rsidRPr="00C077A0">
        <w:rPr>
          <w:lang w:eastAsia="lt-LT"/>
        </w:rPr>
        <w:t xml:space="preserve"> prioritete atsilieka, nes </w:t>
      </w:r>
      <w:r>
        <w:rPr>
          <w:lang w:eastAsia="lt-LT"/>
        </w:rPr>
        <w:t>nesulaukus projektų vykdytojų susidomėjimo ir siekiant atliepti rinkos poreikius buvo koreguojami priemonėse nustatyti projektų įgyvendinimo reikalavimai ir sąlygos, dėl to projektai prasidėjo vėliau.</w:t>
      </w:r>
    </w:p>
    <w:p w:rsidR="00832D57" w:rsidRPr="00363740" w:rsidRDefault="00125D38" w:rsidP="00832D57">
      <w:pPr>
        <w:pStyle w:val="tekstas"/>
        <w:rPr>
          <w:lang w:eastAsia="lt-LT"/>
        </w:rPr>
      </w:pPr>
      <w:r>
        <w:rPr>
          <w:lang w:eastAsia="lt-LT"/>
        </w:rPr>
        <w:t>Atsižvelgiant</w:t>
      </w:r>
      <w:r w:rsidR="00EE5D32">
        <w:rPr>
          <w:lang w:eastAsia="lt-LT"/>
        </w:rPr>
        <w:t xml:space="preserve"> į </w:t>
      </w:r>
      <w:r w:rsidR="00491631">
        <w:rPr>
          <w:lang w:eastAsia="lt-LT"/>
        </w:rPr>
        <w:t>prioriteto eigą</w:t>
      </w:r>
      <w:r w:rsidR="002E1F96">
        <w:rPr>
          <w:lang w:eastAsia="lt-LT"/>
        </w:rPr>
        <w:t xml:space="preserve"> bei į </w:t>
      </w:r>
      <w:r w:rsidR="00EE5D32">
        <w:rPr>
          <w:lang w:eastAsia="lt-LT"/>
        </w:rPr>
        <w:t xml:space="preserve">tai, kad </w:t>
      </w:r>
      <w:r w:rsidR="002E1F96">
        <w:rPr>
          <w:lang w:eastAsia="lt-LT"/>
        </w:rPr>
        <w:t xml:space="preserve">rekomendacija </w:t>
      </w:r>
      <w:r w:rsidR="00EE5D32">
        <w:rPr>
          <w:lang w:eastAsia="lt-LT"/>
        </w:rPr>
        <w:t>i</w:t>
      </w:r>
      <w:r w:rsidR="00EE5D32" w:rsidRPr="00EE5D32">
        <w:rPr>
          <w:lang w:eastAsia="lt-LT"/>
        </w:rPr>
        <w:t>ki 2019 m. spalio 30 d. pateikti Finansų ministerijai informaciją apie tai, kas jau atlikta, kuriant žmogiškųjų išteklių stebėsenos, prognozavimo ir plėtros mechanizmus ir ką dar planuojama atnaujinti/sukurti 2014–2020 m. finansavimo periodu</w:t>
      </w:r>
      <w:r w:rsidR="00832D57">
        <w:rPr>
          <w:lang w:eastAsia="lt-LT"/>
        </w:rPr>
        <w:t xml:space="preserve"> </w:t>
      </w:r>
      <w:r w:rsidR="002E1F96">
        <w:rPr>
          <w:lang w:eastAsia="lt-LT"/>
        </w:rPr>
        <w:t>yra įgyvendinama</w:t>
      </w:r>
      <w:r w:rsidR="00896A56">
        <w:rPr>
          <w:lang w:eastAsia="lt-LT"/>
        </w:rPr>
        <w:t>,</w:t>
      </w:r>
      <w:r w:rsidR="00832D57" w:rsidRPr="00363740">
        <w:rPr>
          <w:lang w:eastAsia="lt-LT"/>
        </w:rPr>
        <w:t xml:space="preserve"> šioje ataskaitoje Ekonomikos ir inovacijų ministerijai siūlym</w:t>
      </w:r>
      <w:r w:rsidR="00832D57">
        <w:rPr>
          <w:lang w:eastAsia="lt-LT"/>
        </w:rPr>
        <w:t>ai dėl 9 prioriteto administruojamų priemonių</w:t>
      </w:r>
      <w:r w:rsidR="00832D57" w:rsidRPr="00363740">
        <w:rPr>
          <w:lang w:eastAsia="lt-LT"/>
        </w:rPr>
        <w:t xml:space="preserve"> neteikiam</w:t>
      </w:r>
      <w:r w:rsidR="00832D57">
        <w:rPr>
          <w:lang w:eastAsia="lt-LT"/>
        </w:rPr>
        <w:t>i</w:t>
      </w:r>
      <w:r w:rsidR="00832D57" w:rsidRPr="00363740">
        <w:rPr>
          <w:lang w:eastAsia="lt-LT"/>
        </w:rPr>
        <w:t xml:space="preserve">. </w:t>
      </w:r>
    </w:p>
    <w:p w:rsidR="00FD20A2" w:rsidRDefault="00FD20A2" w:rsidP="00340EEA">
      <w:pPr>
        <w:pStyle w:val="tekstas"/>
        <w:rPr>
          <w:lang w:eastAsia="lt-LT"/>
        </w:rPr>
      </w:pPr>
    </w:p>
    <w:p w:rsidR="000305AE" w:rsidRDefault="000305AE" w:rsidP="001B7517">
      <w:pPr>
        <w:pStyle w:val="antrat3zz"/>
        <w:spacing w:before="0"/>
      </w:pPr>
      <w:bookmarkStart w:id="33" w:name="_Toc10104961"/>
      <w:bookmarkStart w:id="34" w:name="_Toc24016883"/>
      <w:r w:rsidRPr="00344226">
        <w:rPr>
          <w:rStyle w:val="antrat2ZZDiagrama"/>
          <w:b/>
          <w:bCs/>
          <w:color w:val="595959" w:themeColor="text1" w:themeTint="A6"/>
          <w:sz w:val="24"/>
          <w:szCs w:val="24"/>
        </w:rPr>
        <w:lastRenderedPageBreak/>
        <w:t>10 prioritetas. Visuomenės</w:t>
      </w:r>
      <w:r w:rsidRPr="00344226">
        <w:t xml:space="preserve"> poreikius atitinkantis ir pažangus viešasis valdymas</w:t>
      </w:r>
      <w:bookmarkEnd w:id="33"/>
      <w:bookmarkEnd w:id="34"/>
    </w:p>
    <w:p w:rsidR="006B2247" w:rsidRDefault="00FD20A2" w:rsidP="00FD20A2">
      <w:pPr>
        <w:pStyle w:val="tekstas"/>
        <w:ind w:firstLine="0"/>
        <w:rPr>
          <w:lang w:eastAsia="lt-LT"/>
        </w:rPr>
      </w:pPr>
      <w:bookmarkStart w:id="35" w:name="_Toc473644133"/>
      <w:r>
        <w:rPr>
          <w:noProof/>
          <w:lang w:eastAsia="lt-LT"/>
        </w:rPr>
        <w:drawing>
          <wp:inline distT="0" distB="0" distL="0" distR="0" wp14:anchorId="3B2857AB" wp14:editId="15B80228">
            <wp:extent cx="6120130" cy="568433"/>
            <wp:effectExtent l="0" t="0" r="13970" b="22225"/>
            <wp:docPr id="384" name="Diagrama 3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B2247" w:rsidRPr="00CE4B68" w:rsidRDefault="0000367F" w:rsidP="006B2247">
      <w:pPr>
        <w:pStyle w:val="tekstas"/>
        <w:rPr>
          <w:lang w:eastAsia="lt-LT"/>
        </w:rPr>
      </w:pPr>
      <w:r>
        <w:t>Vidaus reikalų ministerijos 10</w:t>
      </w:r>
      <w:r w:rsidR="00FD20A2">
        <w:t xml:space="preserve"> </w:t>
      </w:r>
      <w:r w:rsidR="00FD20A2" w:rsidRPr="00C247F5">
        <w:t>prioriteto</w:t>
      </w:r>
      <w:r w:rsidR="00FD20A2">
        <w:t xml:space="preserve"> administruojamų priemonių</w:t>
      </w:r>
      <w:r>
        <w:t xml:space="preserve"> planavimas (91 proc.) ir sutarčių pasirašymas</w:t>
      </w:r>
      <w:r w:rsidR="00962639" w:rsidRPr="00962639">
        <w:t xml:space="preserve">, įskaitant ES lėšų </w:t>
      </w:r>
      <w:proofErr w:type="spellStart"/>
      <w:r w:rsidR="00962639" w:rsidRPr="00962639">
        <w:t>virškontraktavimą</w:t>
      </w:r>
      <w:proofErr w:type="spellEnd"/>
      <w:r>
        <w:t xml:space="preserve"> (94 proc.) viršija Veiksmų programos lygio vidurkius, tačiau investavimo sparta (23 proc.) yra nepakankama.</w:t>
      </w:r>
    </w:p>
    <w:p w:rsidR="00963DAE" w:rsidRPr="00962639" w:rsidRDefault="00963DAE" w:rsidP="00963DAE">
      <w:pPr>
        <w:ind w:firstLine="426"/>
        <w:jc w:val="both"/>
        <w:rPr>
          <w:rFonts w:asciiTheme="minorHAnsi" w:hAnsiTheme="minorHAnsi"/>
          <w:color w:val="666666"/>
          <w:szCs w:val="24"/>
        </w:rPr>
      </w:pPr>
      <w:r w:rsidRPr="00962639">
        <w:rPr>
          <w:rFonts w:asciiTheme="minorHAnsi" w:hAnsiTheme="minorHAnsi"/>
          <w:color w:val="666666"/>
          <w:szCs w:val="24"/>
        </w:rPr>
        <w:t>2019 m. III ketvirtį 10 prioritete pasirašytos</w:t>
      </w:r>
      <w:r w:rsidR="004D27B9">
        <w:rPr>
          <w:rFonts w:asciiTheme="minorHAnsi" w:hAnsiTheme="minorHAnsi"/>
          <w:color w:val="666666"/>
          <w:szCs w:val="24"/>
        </w:rPr>
        <w:t xml:space="preserve"> dvi </w:t>
      </w:r>
      <w:r w:rsidRPr="00962639">
        <w:rPr>
          <w:rFonts w:asciiTheme="minorHAnsi" w:hAnsiTheme="minorHAnsi"/>
          <w:color w:val="666666"/>
          <w:szCs w:val="24"/>
        </w:rPr>
        <w:t>reikšmingai prie viešojo valdymo reformų įgyvendinimo</w:t>
      </w:r>
      <w:r w:rsidR="004D27B9">
        <w:rPr>
          <w:rFonts w:asciiTheme="minorHAnsi" w:hAnsiTheme="minorHAnsi"/>
          <w:color w:val="666666"/>
          <w:szCs w:val="24"/>
        </w:rPr>
        <w:t xml:space="preserve"> prisidedančių</w:t>
      </w:r>
      <w:r w:rsidRPr="00962639">
        <w:rPr>
          <w:rFonts w:asciiTheme="minorHAnsi" w:hAnsiTheme="minorHAnsi"/>
          <w:color w:val="666666"/>
          <w:szCs w:val="24"/>
        </w:rPr>
        <w:t xml:space="preserve"> </w:t>
      </w:r>
      <w:r w:rsidR="004D27B9" w:rsidRPr="00962639">
        <w:rPr>
          <w:rFonts w:asciiTheme="minorHAnsi" w:hAnsiTheme="minorHAnsi"/>
          <w:color w:val="666666"/>
          <w:szCs w:val="24"/>
        </w:rPr>
        <w:t xml:space="preserve">projektų </w:t>
      </w:r>
      <w:r w:rsidRPr="00962639">
        <w:rPr>
          <w:rFonts w:asciiTheme="minorHAnsi" w:hAnsiTheme="minorHAnsi"/>
          <w:color w:val="666666"/>
          <w:szCs w:val="24"/>
        </w:rPr>
        <w:t>sutartys</w:t>
      </w:r>
      <w:r w:rsidR="004D27B9">
        <w:rPr>
          <w:rFonts w:asciiTheme="minorHAnsi" w:hAnsiTheme="minorHAnsi"/>
          <w:color w:val="666666"/>
          <w:szCs w:val="24"/>
        </w:rPr>
        <w:t xml:space="preserve">: </w:t>
      </w:r>
      <w:r w:rsidRPr="00962639">
        <w:rPr>
          <w:rFonts w:asciiTheme="minorHAnsi" w:hAnsiTheme="minorHAnsi"/>
          <w:color w:val="666666"/>
          <w:szCs w:val="24"/>
        </w:rPr>
        <w:t>Finansų ministerijos projektas „Bendros informacinės sistemos valstybės įstaigų buhalterinei apskaitai tvarkyti sukūrimas</w:t>
      </w:r>
      <w:r w:rsidR="004D27B9">
        <w:rPr>
          <w:rFonts w:asciiTheme="minorHAnsi" w:hAnsiTheme="minorHAnsi"/>
          <w:color w:val="666666"/>
          <w:szCs w:val="24"/>
        </w:rPr>
        <w:t>“ ir</w:t>
      </w:r>
      <w:r w:rsidRPr="00962639">
        <w:rPr>
          <w:rFonts w:asciiTheme="minorHAnsi" w:hAnsiTheme="minorHAnsi"/>
          <w:color w:val="666666"/>
          <w:szCs w:val="24"/>
        </w:rPr>
        <w:t xml:space="preserve"> Vidaus reikalų ministerijos projektas „Pasirengimas regioninio lygmens viešojo transporto paslaugų o</w:t>
      </w:r>
      <w:r w:rsidR="004D27B9">
        <w:rPr>
          <w:rFonts w:asciiTheme="minorHAnsi" w:hAnsiTheme="minorHAnsi"/>
          <w:color w:val="666666"/>
          <w:szCs w:val="24"/>
        </w:rPr>
        <w:t>rganizavimo sistemos sukūrimui“</w:t>
      </w:r>
      <w:r w:rsidRPr="00962639">
        <w:rPr>
          <w:rFonts w:asciiTheme="minorHAnsi" w:hAnsiTheme="minorHAnsi"/>
          <w:color w:val="666666"/>
          <w:szCs w:val="24"/>
        </w:rPr>
        <w:t>.</w:t>
      </w:r>
    </w:p>
    <w:p w:rsidR="00963DAE" w:rsidRPr="00962639" w:rsidRDefault="004D27B9" w:rsidP="00963DAE">
      <w:pPr>
        <w:ind w:firstLine="426"/>
        <w:jc w:val="both"/>
        <w:rPr>
          <w:rFonts w:asciiTheme="minorHAnsi" w:hAnsiTheme="minorHAnsi"/>
          <w:color w:val="666666"/>
          <w:szCs w:val="24"/>
        </w:rPr>
      </w:pPr>
      <w:r>
        <w:rPr>
          <w:rFonts w:asciiTheme="minorHAnsi" w:hAnsiTheme="minorHAnsi"/>
          <w:color w:val="666666"/>
          <w:szCs w:val="24"/>
        </w:rPr>
        <w:t xml:space="preserve">Taip pat, </w:t>
      </w:r>
      <w:r w:rsidR="00963DAE" w:rsidRPr="00962639">
        <w:rPr>
          <w:rFonts w:asciiTheme="minorHAnsi" w:hAnsiTheme="minorHAnsi"/>
          <w:color w:val="666666"/>
          <w:szCs w:val="24"/>
        </w:rPr>
        <w:t>Vidaus reikalų ministerija per 2019 m. III ketvirtį suplanavo projektų už 8,6 mln. eurų iš likusių nesuplanuotų 10 prioritetui skirtų ES ir valstybės biudžeto lėšų, tačiau iki šių metų pabaigos vis dar turi būti suplanuota projektų arba skirtas papildomas finansavimas už 9,7 mln. eurų.</w:t>
      </w:r>
    </w:p>
    <w:p w:rsidR="00963DAE" w:rsidRPr="00962639" w:rsidRDefault="007E0323" w:rsidP="00963DAE">
      <w:pPr>
        <w:ind w:firstLine="426"/>
        <w:jc w:val="both"/>
        <w:rPr>
          <w:rFonts w:asciiTheme="minorHAnsi" w:hAnsiTheme="minorHAnsi"/>
          <w:color w:val="666666"/>
          <w:szCs w:val="24"/>
        </w:rPr>
      </w:pPr>
      <w:r>
        <w:rPr>
          <w:rFonts w:asciiTheme="minorHAnsi" w:hAnsiTheme="minorHAnsi"/>
          <w:color w:val="666666"/>
          <w:szCs w:val="24"/>
        </w:rPr>
        <w:t>įgyvendindama</w:t>
      </w:r>
      <w:r w:rsidR="004D27B9">
        <w:rPr>
          <w:rFonts w:asciiTheme="minorHAnsi" w:hAnsiTheme="minorHAnsi"/>
          <w:color w:val="666666"/>
          <w:szCs w:val="24"/>
        </w:rPr>
        <w:t xml:space="preserve"> praeitoje ataskaitoje teiktą rekomendaciją </w:t>
      </w:r>
      <w:r w:rsidR="007527A5">
        <w:rPr>
          <w:rFonts w:asciiTheme="minorHAnsi" w:hAnsiTheme="minorHAnsi"/>
          <w:color w:val="666666"/>
          <w:szCs w:val="24"/>
        </w:rPr>
        <w:t xml:space="preserve">ministerija </w:t>
      </w:r>
      <w:r w:rsidR="004D27B9">
        <w:rPr>
          <w:rFonts w:asciiTheme="minorHAnsi" w:hAnsiTheme="minorHAnsi"/>
          <w:color w:val="666666"/>
          <w:szCs w:val="24"/>
        </w:rPr>
        <w:t>i</w:t>
      </w:r>
      <w:r w:rsidR="004D27B9" w:rsidRPr="004D27B9">
        <w:rPr>
          <w:rFonts w:asciiTheme="minorHAnsi" w:hAnsiTheme="minorHAnsi"/>
          <w:color w:val="666666"/>
          <w:szCs w:val="24"/>
        </w:rPr>
        <w:t xml:space="preserve">ki 2020 m. II </w:t>
      </w:r>
      <w:proofErr w:type="spellStart"/>
      <w:r w:rsidR="004D27B9" w:rsidRPr="004D27B9">
        <w:rPr>
          <w:rFonts w:asciiTheme="minorHAnsi" w:hAnsiTheme="minorHAnsi"/>
          <w:color w:val="666666"/>
          <w:szCs w:val="24"/>
        </w:rPr>
        <w:t>ketv</w:t>
      </w:r>
      <w:proofErr w:type="spellEnd"/>
      <w:r w:rsidR="004D27B9" w:rsidRPr="004D27B9">
        <w:rPr>
          <w:rFonts w:asciiTheme="minorHAnsi" w:hAnsiTheme="minorHAnsi"/>
          <w:color w:val="666666"/>
          <w:szCs w:val="24"/>
        </w:rPr>
        <w:t xml:space="preserve">. pabaigos į valstybės projektų sąrašus </w:t>
      </w:r>
      <w:r w:rsidR="00633856">
        <w:rPr>
          <w:rFonts w:asciiTheme="minorHAnsi" w:hAnsiTheme="minorHAnsi"/>
          <w:color w:val="666666"/>
          <w:szCs w:val="24"/>
        </w:rPr>
        <w:t>turėjo</w:t>
      </w:r>
      <w:r w:rsidR="007527A5">
        <w:rPr>
          <w:rFonts w:asciiTheme="minorHAnsi" w:hAnsiTheme="minorHAnsi"/>
          <w:color w:val="666666"/>
          <w:szCs w:val="24"/>
        </w:rPr>
        <w:t xml:space="preserve"> </w:t>
      </w:r>
      <w:r w:rsidR="004D27B9" w:rsidRPr="004D27B9">
        <w:rPr>
          <w:rFonts w:asciiTheme="minorHAnsi" w:hAnsiTheme="minorHAnsi"/>
          <w:color w:val="666666"/>
          <w:szCs w:val="24"/>
        </w:rPr>
        <w:t xml:space="preserve">įtraukti visus projektus, kurie bus finansuojami iš 10 prioritetui skirto </w:t>
      </w:r>
      <w:proofErr w:type="spellStart"/>
      <w:r w:rsidR="004D27B9" w:rsidRPr="004D27B9">
        <w:rPr>
          <w:rFonts w:asciiTheme="minorHAnsi" w:hAnsiTheme="minorHAnsi"/>
          <w:color w:val="666666"/>
          <w:szCs w:val="24"/>
        </w:rPr>
        <w:t>virškontraktavimo</w:t>
      </w:r>
      <w:proofErr w:type="spellEnd"/>
      <w:r w:rsidR="004D27B9">
        <w:rPr>
          <w:rFonts w:asciiTheme="minorHAnsi" w:hAnsiTheme="minorHAnsi"/>
          <w:color w:val="666666"/>
          <w:szCs w:val="24"/>
        </w:rPr>
        <w:t>.</w:t>
      </w:r>
      <w:r w:rsidR="00963DAE" w:rsidRPr="00962639">
        <w:rPr>
          <w:rFonts w:asciiTheme="minorHAnsi" w:hAnsiTheme="minorHAnsi"/>
          <w:color w:val="666666"/>
          <w:szCs w:val="24"/>
        </w:rPr>
        <w:t xml:space="preserve"> Šiuo metu rengiami projektiniai pasiūlymai (ir susiję investiciniai projektai), ministerijos prašymu projektų vykdytojai jau pateikė prašymus dėl papildomo finansavimo skyrimo siekiant įgyvendinti projektus II-</w:t>
      </w:r>
      <w:proofErr w:type="spellStart"/>
      <w:r w:rsidR="00963DAE" w:rsidRPr="00962639">
        <w:rPr>
          <w:rFonts w:asciiTheme="minorHAnsi" w:hAnsiTheme="minorHAnsi"/>
          <w:color w:val="666666"/>
          <w:szCs w:val="24"/>
        </w:rPr>
        <w:t>uoju</w:t>
      </w:r>
      <w:proofErr w:type="spellEnd"/>
      <w:r w:rsidR="00963DAE" w:rsidRPr="00962639">
        <w:rPr>
          <w:rFonts w:asciiTheme="minorHAnsi" w:hAnsiTheme="minorHAnsi"/>
          <w:color w:val="666666"/>
          <w:szCs w:val="24"/>
        </w:rPr>
        <w:t xml:space="preserve"> etapu. </w:t>
      </w:r>
    </w:p>
    <w:p w:rsidR="006B2247" w:rsidRDefault="006B2247" w:rsidP="006B2247">
      <w:pPr>
        <w:pStyle w:val="tekstas"/>
        <w:rPr>
          <w:lang w:eastAsia="lt-LT"/>
        </w:rPr>
      </w:pPr>
    </w:p>
    <w:p w:rsidR="004F7027" w:rsidRDefault="00135619" w:rsidP="006E47DA">
      <w:pPr>
        <w:pStyle w:val="Antrat1"/>
        <w:spacing w:before="0" w:after="0"/>
      </w:pPr>
      <w:bookmarkStart w:id="36" w:name="_Toc24016884"/>
      <w:r>
        <w:t>Pasirengimas 2021–</w:t>
      </w:r>
      <w:r w:rsidR="002760BA">
        <w:t>2027 m. periodui</w:t>
      </w:r>
      <w:bookmarkEnd w:id="36"/>
    </w:p>
    <w:p w:rsidR="006E47DA" w:rsidRDefault="006E47DA" w:rsidP="006A22FD">
      <w:pPr>
        <w:pStyle w:val="tekstas"/>
      </w:pPr>
    </w:p>
    <w:p w:rsidR="00291BF5" w:rsidRDefault="006B6766" w:rsidP="00291BF5">
      <w:pPr>
        <w:ind w:firstLine="357"/>
        <w:jc w:val="both"/>
        <w:rPr>
          <w:rFonts w:asciiTheme="minorHAnsi" w:hAnsiTheme="minorHAnsi"/>
          <w:color w:val="666666"/>
          <w:szCs w:val="24"/>
        </w:rPr>
      </w:pPr>
      <w:r w:rsidRPr="0095114B">
        <w:rPr>
          <w:rFonts w:asciiTheme="minorHAnsi" w:hAnsiTheme="minorHAnsi"/>
          <w:color w:val="666666"/>
          <w:szCs w:val="24"/>
        </w:rPr>
        <w:t xml:space="preserve">2019 m. rugsėjo 10–11 d., įvyko antrosios neformalios derybos su EK atstovais dėl naujos </w:t>
      </w:r>
      <w:r w:rsidR="0095114B">
        <w:rPr>
          <w:rFonts w:asciiTheme="minorHAnsi" w:hAnsiTheme="minorHAnsi"/>
          <w:color w:val="666666"/>
          <w:szCs w:val="24"/>
        </w:rPr>
        <w:t>Investicijų programos</w:t>
      </w:r>
      <w:r w:rsidRPr="0095114B">
        <w:rPr>
          <w:rFonts w:asciiTheme="minorHAnsi" w:hAnsiTheme="minorHAnsi"/>
          <w:color w:val="666666"/>
          <w:szCs w:val="24"/>
        </w:rPr>
        <w:t xml:space="preserve"> 4 prioriteto „Socialiai atsakingesnė Lietuva“ investicijų ir finansavimo krypčių (dalyvavo Švietimo, mokslo ir sporto, Sveikatos apsaugos, Socialinės apsaugos ir darbo, Vidaus reikalų, Kultūros ir Ekonomikos ir inovacijų ministerijos). EK atstovai išreiškė labai aiškią poziciją dėl svarbos ir būtinybės parengti kokybišką investicijų poreikio analizę, siejant ją su siekiamais tikslais (intervencijų logika) ir situacijos konkrečioje viešosios politikos srityje analize (angl. </w:t>
      </w:r>
      <w:proofErr w:type="spellStart"/>
      <w:r w:rsidRPr="0095114B">
        <w:rPr>
          <w:rFonts w:asciiTheme="minorHAnsi" w:hAnsiTheme="minorHAnsi"/>
          <w:color w:val="666666"/>
          <w:szCs w:val="24"/>
        </w:rPr>
        <w:t>mapping</w:t>
      </w:r>
      <w:proofErr w:type="spellEnd"/>
      <w:r w:rsidRPr="0095114B">
        <w:rPr>
          <w:rFonts w:asciiTheme="minorHAnsi" w:hAnsiTheme="minorHAnsi"/>
          <w:color w:val="666666"/>
          <w:szCs w:val="24"/>
        </w:rPr>
        <w:t>). Šis dokumentas turi apimti paslaugų, infrastruktūros, personalo ir paslaugų vartotojų poreikių analizę sveikatos apsaugos ir ilgalaikės priežiūros, švietimo</w:t>
      </w:r>
      <w:r w:rsidR="00AA61D5">
        <w:rPr>
          <w:rFonts w:asciiTheme="minorHAnsi" w:hAnsiTheme="minorHAnsi"/>
          <w:color w:val="666666"/>
          <w:szCs w:val="24"/>
        </w:rPr>
        <w:t>,</w:t>
      </w:r>
      <w:r w:rsidRPr="0095114B">
        <w:rPr>
          <w:rFonts w:asciiTheme="minorHAnsi" w:hAnsiTheme="minorHAnsi"/>
          <w:color w:val="666666"/>
          <w:szCs w:val="24"/>
        </w:rPr>
        <w:t xml:space="preserve"> institucinės globos pertvarkos (</w:t>
      </w:r>
      <w:proofErr w:type="spellStart"/>
      <w:r w:rsidRPr="0095114B">
        <w:rPr>
          <w:rFonts w:asciiTheme="minorHAnsi" w:hAnsiTheme="minorHAnsi"/>
          <w:color w:val="666666"/>
          <w:szCs w:val="24"/>
        </w:rPr>
        <w:t>deinstitucionalizacijos</w:t>
      </w:r>
      <w:proofErr w:type="spellEnd"/>
      <w:r w:rsidRPr="0095114B">
        <w:rPr>
          <w:rFonts w:asciiTheme="minorHAnsi" w:hAnsiTheme="minorHAnsi"/>
          <w:color w:val="666666"/>
          <w:szCs w:val="24"/>
        </w:rPr>
        <w:t>) srityse ir turi būti įvertintas nacionaliniu ir regioniniu (savivaldybių</w:t>
      </w:r>
      <w:r w:rsidR="0095114B">
        <w:rPr>
          <w:rFonts w:asciiTheme="minorHAnsi" w:hAnsiTheme="minorHAnsi"/>
          <w:color w:val="666666"/>
          <w:szCs w:val="24"/>
        </w:rPr>
        <w:t>) lygiu</w:t>
      </w:r>
      <w:r w:rsidRPr="0095114B">
        <w:rPr>
          <w:rFonts w:asciiTheme="minorHAnsi" w:hAnsiTheme="minorHAnsi"/>
          <w:color w:val="666666"/>
          <w:szCs w:val="24"/>
        </w:rPr>
        <w:t xml:space="preserve">. </w:t>
      </w:r>
      <w:r w:rsidR="00BE0B9A" w:rsidRPr="00BE0B9A">
        <w:rPr>
          <w:rFonts w:asciiTheme="minorHAnsi" w:hAnsiTheme="minorHAnsi"/>
          <w:color w:val="666666"/>
          <w:szCs w:val="24"/>
        </w:rPr>
        <w:t>Taip pat</w:t>
      </w:r>
      <w:r w:rsidR="00BE0B9A">
        <w:rPr>
          <w:rFonts w:asciiTheme="minorHAnsi" w:hAnsiTheme="minorHAnsi"/>
          <w:color w:val="666666"/>
          <w:szCs w:val="24"/>
        </w:rPr>
        <w:t>,</w:t>
      </w:r>
      <w:r w:rsidR="00BE0B9A" w:rsidRPr="00BE0B9A">
        <w:rPr>
          <w:rFonts w:asciiTheme="minorHAnsi" w:hAnsiTheme="minorHAnsi"/>
          <w:color w:val="666666"/>
          <w:szCs w:val="24"/>
        </w:rPr>
        <w:t xml:space="preserve"> tokį pat dokumentą reikia parengti ir mokslinių tyrimų, eksperimentinės plėtros ir inovacijų srityje dėl naujos Investicijų programos 1 prioriteto „Pažangesnė Lietuva“.</w:t>
      </w:r>
    </w:p>
    <w:p w:rsidR="004D7496" w:rsidRDefault="00291BF5" w:rsidP="00291BF5">
      <w:pPr>
        <w:ind w:firstLine="357"/>
        <w:jc w:val="both"/>
        <w:rPr>
          <w:rFonts w:asciiTheme="minorHAnsi" w:hAnsiTheme="minorHAnsi"/>
          <w:color w:val="666666"/>
          <w:szCs w:val="24"/>
        </w:rPr>
      </w:pPr>
      <w:r>
        <w:rPr>
          <w:rFonts w:asciiTheme="minorHAnsi" w:hAnsiTheme="minorHAnsi"/>
          <w:color w:val="666666"/>
          <w:szCs w:val="24"/>
        </w:rPr>
        <w:t xml:space="preserve">Svarbu paminėti, kad </w:t>
      </w:r>
      <w:r w:rsidR="006B6766" w:rsidRPr="0095114B">
        <w:rPr>
          <w:rFonts w:asciiTheme="minorHAnsi" w:hAnsiTheme="minorHAnsi"/>
          <w:color w:val="666666"/>
          <w:szCs w:val="24"/>
        </w:rPr>
        <w:t>EK atstovams didelį susirūpinimą kelia</w:t>
      </w:r>
      <w:r>
        <w:rPr>
          <w:rFonts w:asciiTheme="minorHAnsi" w:hAnsiTheme="minorHAnsi"/>
          <w:color w:val="666666"/>
          <w:szCs w:val="24"/>
        </w:rPr>
        <w:t xml:space="preserve"> nevykstanti švietimo reforma, kurios įgyvendinimui</w:t>
      </w:r>
      <w:r w:rsidR="006B6766" w:rsidRPr="0095114B">
        <w:rPr>
          <w:rFonts w:asciiTheme="minorHAnsi" w:hAnsiTheme="minorHAnsi"/>
          <w:color w:val="666666"/>
          <w:szCs w:val="24"/>
        </w:rPr>
        <w:t xml:space="preserve"> yra skirtos šio periodo ES struktūrinių fondų lėšos. Taip pat EK atstovai pažymėjo, kad jiems trūksta aiškios informacijos apie tai, kokie yra Lietuvoje švietimo srities iššūkiai ir kaip jie bus išspręsti pasitelkiant naujojo laikotarpio ES s</w:t>
      </w:r>
      <w:r w:rsidR="004D7496">
        <w:rPr>
          <w:rFonts w:asciiTheme="minorHAnsi" w:hAnsiTheme="minorHAnsi"/>
          <w:color w:val="666666"/>
          <w:szCs w:val="24"/>
        </w:rPr>
        <w:t>truktūrinių fondų investicijas.</w:t>
      </w:r>
    </w:p>
    <w:p w:rsidR="004D7496" w:rsidRDefault="004D7496" w:rsidP="00291BF5">
      <w:pPr>
        <w:ind w:firstLine="357"/>
        <w:jc w:val="both"/>
        <w:rPr>
          <w:rFonts w:asciiTheme="minorHAnsi" w:hAnsiTheme="minorHAnsi"/>
          <w:color w:val="666666"/>
          <w:szCs w:val="24"/>
        </w:rPr>
      </w:pPr>
      <w:r>
        <w:rPr>
          <w:rFonts w:asciiTheme="minorHAnsi" w:hAnsiTheme="minorHAnsi"/>
          <w:color w:val="666666"/>
          <w:szCs w:val="24"/>
        </w:rPr>
        <w:t xml:space="preserve">Taip pat </w:t>
      </w:r>
      <w:r w:rsidR="006B6766" w:rsidRPr="0095114B">
        <w:rPr>
          <w:rFonts w:asciiTheme="minorHAnsi" w:hAnsiTheme="minorHAnsi"/>
          <w:color w:val="666666"/>
          <w:szCs w:val="24"/>
        </w:rPr>
        <w:t xml:space="preserve">EK atstovai akcentavo, kad visos susijusios ministerijos privalo kryptingai bendradarbiauti, rengdamos bendrą įgūdžių (angl. </w:t>
      </w:r>
      <w:proofErr w:type="spellStart"/>
      <w:r w:rsidR="006B6766" w:rsidRPr="0095114B">
        <w:rPr>
          <w:rFonts w:asciiTheme="minorHAnsi" w:hAnsiTheme="minorHAnsi"/>
          <w:color w:val="666666"/>
          <w:szCs w:val="24"/>
        </w:rPr>
        <w:t>skills</w:t>
      </w:r>
      <w:proofErr w:type="spellEnd"/>
      <w:r w:rsidR="006B6766" w:rsidRPr="0095114B">
        <w:rPr>
          <w:rFonts w:asciiTheme="minorHAnsi" w:hAnsiTheme="minorHAnsi"/>
          <w:color w:val="666666"/>
          <w:szCs w:val="24"/>
        </w:rPr>
        <w:t xml:space="preserve">) tobulinimo strategiją. Atsižvelgiant į tai, kad ES struktūrinių fondų investicijos mažėja (apie 24 proc.), EK atstovai akcentavo veiklų </w:t>
      </w:r>
      <w:proofErr w:type="spellStart"/>
      <w:r w:rsidR="006B6766" w:rsidRPr="0095114B">
        <w:rPr>
          <w:rFonts w:asciiTheme="minorHAnsi" w:hAnsiTheme="minorHAnsi"/>
          <w:color w:val="666666"/>
          <w:szCs w:val="24"/>
        </w:rPr>
        <w:t>prioritetizavimą</w:t>
      </w:r>
      <w:proofErr w:type="spellEnd"/>
      <w:r w:rsidR="006B6766" w:rsidRPr="0095114B">
        <w:rPr>
          <w:rFonts w:asciiTheme="minorHAnsi" w:hAnsiTheme="minorHAnsi"/>
          <w:color w:val="666666"/>
          <w:szCs w:val="24"/>
        </w:rPr>
        <w:t xml:space="preserve">. Pažymėtina, kad </w:t>
      </w:r>
      <w:proofErr w:type="spellStart"/>
      <w:r w:rsidR="006B6766" w:rsidRPr="0095114B">
        <w:rPr>
          <w:rFonts w:asciiTheme="minorHAnsi" w:hAnsiTheme="minorHAnsi"/>
          <w:color w:val="666666"/>
          <w:szCs w:val="24"/>
        </w:rPr>
        <w:t>prioritetizuojant</w:t>
      </w:r>
      <w:proofErr w:type="spellEnd"/>
      <w:r w:rsidR="006B6766" w:rsidRPr="0095114B">
        <w:rPr>
          <w:rFonts w:asciiTheme="minorHAnsi" w:hAnsiTheme="minorHAnsi"/>
          <w:color w:val="666666"/>
          <w:szCs w:val="24"/>
        </w:rPr>
        <w:t xml:space="preserve"> veiklas svarbu atsižvelgti į tai, su kokiais iššūkiais susiduriama konkrečioje viešosios politikos srityje ir kokius re</w:t>
      </w:r>
      <w:r>
        <w:rPr>
          <w:rFonts w:asciiTheme="minorHAnsi" w:hAnsiTheme="minorHAnsi"/>
          <w:color w:val="666666"/>
          <w:szCs w:val="24"/>
        </w:rPr>
        <w:t>zultatus yra norima pasiekti.</w:t>
      </w:r>
    </w:p>
    <w:p w:rsidR="006B6766" w:rsidRPr="0095114B" w:rsidRDefault="006B6766" w:rsidP="00DB1375">
      <w:pPr>
        <w:ind w:firstLine="357"/>
        <w:jc w:val="both"/>
        <w:rPr>
          <w:rFonts w:asciiTheme="minorHAnsi" w:hAnsiTheme="minorHAnsi"/>
          <w:color w:val="666666"/>
          <w:szCs w:val="24"/>
        </w:rPr>
      </w:pPr>
      <w:r w:rsidRPr="0095114B">
        <w:rPr>
          <w:rFonts w:asciiTheme="minorHAnsi" w:hAnsiTheme="minorHAnsi"/>
          <w:color w:val="666666"/>
          <w:szCs w:val="24"/>
        </w:rPr>
        <w:t xml:space="preserve">Neformalių derybų metu EK atstovai atkreipė dėmesį, kad Investicijų programos 4 prioritete „Socialiai atsakingesnė Lietuva" yra numatoma finansuoti socialines paslaugas, tačiau tam reikia užtikrinti šių paslaugų ir infrastruktūros efektyvumą ir tvarumą, kai ateityje nebebus finansuojama </w:t>
      </w:r>
      <w:r w:rsidRPr="0095114B">
        <w:rPr>
          <w:rFonts w:asciiTheme="minorHAnsi" w:hAnsiTheme="minorHAnsi"/>
          <w:color w:val="666666"/>
          <w:szCs w:val="24"/>
        </w:rPr>
        <w:lastRenderedPageBreak/>
        <w:t xml:space="preserve">iš ES struktūrinių fondų. EK siūlo finansuoti reformas, </w:t>
      </w:r>
      <w:proofErr w:type="spellStart"/>
      <w:r w:rsidRPr="0095114B">
        <w:rPr>
          <w:rFonts w:asciiTheme="minorHAnsi" w:hAnsiTheme="minorHAnsi"/>
          <w:color w:val="666666"/>
          <w:szCs w:val="24"/>
        </w:rPr>
        <w:t>inovatyvius</w:t>
      </w:r>
      <w:proofErr w:type="spellEnd"/>
      <w:r w:rsidRPr="0095114B">
        <w:rPr>
          <w:rFonts w:asciiTheme="minorHAnsi" w:hAnsiTheme="minorHAnsi"/>
          <w:color w:val="666666"/>
          <w:szCs w:val="24"/>
        </w:rPr>
        <w:t xml:space="preserve"> ar pilotinius projektus, o ne tiesiog socialines paslaugas ar kitas einamąsias paslaugas. </w:t>
      </w:r>
    </w:p>
    <w:p w:rsidR="006B6766" w:rsidRDefault="006B6766" w:rsidP="006B6766">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B6766" w:rsidRPr="00CA6C8A" w:rsidTr="004F5370">
        <w:tc>
          <w:tcPr>
            <w:tcW w:w="9638" w:type="dxa"/>
            <w:tcBorders>
              <w:top w:val="nil"/>
              <w:left w:val="nil"/>
              <w:bottom w:val="nil"/>
              <w:right w:val="nil"/>
            </w:tcBorders>
            <w:shd w:val="clear" w:color="auto" w:fill="D9D9D9" w:themeFill="background1" w:themeFillShade="D9"/>
          </w:tcPr>
          <w:p w:rsidR="006B6766" w:rsidRPr="00E078DE" w:rsidRDefault="006B6766" w:rsidP="006A19B2">
            <w:pPr>
              <w:pStyle w:val="tekstas"/>
              <w:ind w:firstLine="0"/>
              <w:rPr>
                <w:b/>
                <w:color w:val="365F91" w:themeColor="accent1" w:themeShade="BF"/>
                <w:szCs w:val="20"/>
              </w:rPr>
            </w:pPr>
            <w:r w:rsidRPr="00E078DE">
              <w:rPr>
                <w:b/>
                <w:color w:val="365F91" w:themeColor="accent1" w:themeShade="BF"/>
                <w:szCs w:val="20"/>
              </w:rPr>
              <w:t>Siūlymas Ekonomikos ir inovacijų, Švietimo, mokslo ir sporto, Socialinės apsaugos ir darbo, Sveikatos apsaugos ministerijoms:</w:t>
            </w:r>
          </w:p>
          <w:p w:rsidR="006B6766" w:rsidRPr="006A19B2" w:rsidRDefault="001018C0" w:rsidP="006A19B2">
            <w:pPr>
              <w:pStyle w:val="tekstas"/>
              <w:ind w:firstLine="0"/>
              <w:rPr>
                <w:color w:val="365F91" w:themeColor="accent1" w:themeShade="BF"/>
                <w:szCs w:val="20"/>
              </w:rPr>
            </w:pPr>
            <w:r>
              <w:rPr>
                <w:color w:val="365F91" w:themeColor="accent1" w:themeShade="BF"/>
                <w:szCs w:val="20"/>
              </w:rPr>
              <w:t>- I</w:t>
            </w:r>
            <w:r w:rsidR="006B6766" w:rsidRPr="006A19B2">
              <w:rPr>
                <w:color w:val="365F91" w:themeColor="accent1" w:themeShade="BF"/>
                <w:szCs w:val="20"/>
              </w:rPr>
              <w:t>ki š. m. lapkričio 30 d. parengti kokybišką investicijų poreikio sveikatos apsaugos ir ilgalaikės priežiūros, švietimo, mokslinių tyrimų, eksperimentinės plėtros ir inovacijų, institucinės globos pertvarkos (</w:t>
            </w:r>
            <w:proofErr w:type="spellStart"/>
            <w:r w:rsidR="006B6766" w:rsidRPr="006A19B2">
              <w:rPr>
                <w:color w:val="365F91" w:themeColor="accent1" w:themeShade="BF"/>
                <w:szCs w:val="20"/>
              </w:rPr>
              <w:t>deinstitucionalizacijos</w:t>
            </w:r>
            <w:proofErr w:type="spellEnd"/>
            <w:r w:rsidR="006B6766" w:rsidRPr="006A19B2">
              <w:rPr>
                <w:color w:val="365F91" w:themeColor="accent1" w:themeShade="BF"/>
                <w:szCs w:val="20"/>
              </w:rPr>
              <w:t xml:space="preserve">) srityse analizę (angl. </w:t>
            </w:r>
            <w:proofErr w:type="spellStart"/>
            <w:r w:rsidR="006B6766" w:rsidRPr="006A19B2">
              <w:rPr>
                <w:color w:val="365F91" w:themeColor="accent1" w:themeShade="BF"/>
                <w:szCs w:val="20"/>
              </w:rPr>
              <w:t>mapping</w:t>
            </w:r>
            <w:proofErr w:type="spellEnd"/>
            <w:r w:rsidR="006B6766" w:rsidRPr="006A19B2">
              <w:rPr>
                <w:color w:val="365F91" w:themeColor="accent1" w:themeShade="BF"/>
                <w:szCs w:val="20"/>
              </w:rPr>
              <w:t>).</w:t>
            </w:r>
          </w:p>
          <w:p w:rsidR="006B6766" w:rsidRPr="00E078DE" w:rsidRDefault="006B6766" w:rsidP="00C361BC">
            <w:pPr>
              <w:pStyle w:val="tekstas"/>
              <w:tabs>
                <w:tab w:val="left" w:pos="7499"/>
              </w:tabs>
              <w:ind w:firstLine="0"/>
              <w:rPr>
                <w:b/>
                <w:color w:val="365F91" w:themeColor="accent1" w:themeShade="BF"/>
                <w:szCs w:val="20"/>
              </w:rPr>
            </w:pPr>
          </w:p>
          <w:p w:rsidR="006B6766" w:rsidRPr="00E078DE" w:rsidRDefault="006B6766" w:rsidP="006A19B2">
            <w:pPr>
              <w:pStyle w:val="tekstas"/>
              <w:ind w:firstLine="0"/>
              <w:rPr>
                <w:b/>
                <w:color w:val="365F91" w:themeColor="accent1" w:themeShade="BF"/>
                <w:szCs w:val="20"/>
              </w:rPr>
            </w:pPr>
            <w:r w:rsidRPr="00E078DE">
              <w:rPr>
                <w:b/>
                <w:color w:val="365F91" w:themeColor="accent1" w:themeShade="BF"/>
                <w:szCs w:val="20"/>
              </w:rPr>
              <w:t>Siūlymas Vidaus reikalų ministerijai:</w:t>
            </w:r>
          </w:p>
          <w:p w:rsidR="006B6766" w:rsidRPr="006A19B2" w:rsidRDefault="006B6766" w:rsidP="006A19B2">
            <w:pPr>
              <w:pStyle w:val="tekstas"/>
              <w:ind w:firstLine="0"/>
              <w:rPr>
                <w:color w:val="365F91" w:themeColor="accent1" w:themeShade="BF"/>
                <w:szCs w:val="20"/>
              </w:rPr>
            </w:pPr>
            <w:r w:rsidRPr="006A19B2">
              <w:rPr>
                <w:color w:val="365F91" w:themeColor="accent1" w:themeShade="BF"/>
                <w:szCs w:val="20"/>
              </w:rPr>
              <w:t xml:space="preserve">- </w:t>
            </w:r>
            <w:r w:rsidR="001018C0">
              <w:rPr>
                <w:color w:val="365F91" w:themeColor="accent1" w:themeShade="BF"/>
                <w:szCs w:val="20"/>
              </w:rPr>
              <w:t>I</w:t>
            </w:r>
            <w:r w:rsidRPr="006A19B2">
              <w:rPr>
                <w:color w:val="365F91" w:themeColor="accent1" w:themeShade="BF"/>
                <w:szCs w:val="20"/>
              </w:rPr>
              <w:t>ki š. m. lapkričio 30 d., suderinus su kitomis susijusiomis ministerijomis, parengti kokybišką analizę, kokiose</w:t>
            </w:r>
            <w:r w:rsidR="00AD3CE2">
              <w:rPr>
                <w:color w:val="365F91" w:themeColor="accent1" w:themeShade="BF"/>
                <w:szCs w:val="20"/>
              </w:rPr>
              <w:t xml:space="preserve"> srityse</w:t>
            </w:r>
            <w:r w:rsidRPr="006A19B2">
              <w:rPr>
                <w:color w:val="365F91" w:themeColor="accent1" w:themeShade="BF"/>
                <w:szCs w:val="20"/>
              </w:rPr>
              <w:t xml:space="preserve"> įgyvendinamos veiklos bendruomenės inicijuotos vietos plėtros būdu bei kaip užtikrinamas papildomumas su regioninėmis ir nacionalinėmis politikomis.</w:t>
            </w:r>
          </w:p>
          <w:p w:rsidR="006B6766" w:rsidRPr="006A19B2" w:rsidRDefault="006B6766" w:rsidP="006A19B2">
            <w:pPr>
              <w:pStyle w:val="tekstas"/>
              <w:ind w:firstLine="0"/>
              <w:rPr>
                <w:color w:val="365F91" w:themeColor="accent1" w:themeShade="BF"/>
                <w:szCs w:val="20"/>
              </w:rPr>
            </w:pPr>
          </w:p>
          <w:p w:rsidR="006B6766" w:rsidRPr="00E078DE" w:rsidRDefault="006B6766" w:rsidP="006A19B2">
            <w:pPr>
              <w:pStyle w:val="tekstas"/>
              <w:ind w:firstLine="0"/>
              <w:rPr>
                <w:b/>
                <w:color w:val="365F91" w:themeColor="accent1" w:themeShade="BF"/>
                <w:szCs w:val="20"/>
              </w:rPr>
            </w:pPr>
            <w:r w:rsidRPr="00E078DE">
              <w:rPr>
                <w:b/>
                <w:color w:val="365F91" w:themeColor="accent1" w:themeShade="BF"/>
                <w:szCs w:val="20"/>
              </w:rPr>
              <w:t>Siūlymas Švietimo, mokslo ir sporto ministerijai</w:t>
            </w:r>
            <w:r w:rsidR="006721D2">
              <w:rPr>
                <w:b/>
                <w:color w:val="365F91" w:themeColor="accent1" w:themeShade="BF"/>
                <w:szCs w:val="20"/>
              </w:rPr>
              <w:t>, Sveikatos apsaugos ministerijai</w:t>
            </w:r>
            <w:r w:rsidRPr="00E078DE">
              <w:rPr>
                <w:b/>
                <w:color w:val="365F91" w:themeColor="accent1" w:themeShade="BF"/>
                <w:szCs w:val="20"/>
              </w:rPr>
              <w:t>:</w:t>
            </w:r>
          </w:p>
          <w:p w:rsidR="006B6766" w:rsidRPr="006A19B2" w:rsidRDefault="006B6766" w:rsidP="006A19B2">
            <w:pPr>
              <w:pStyle w:val="tekstas"/>
              <w:ind w:firstLine="0"/>
              <w:rPr>
                <w:color w:val="365F91" w:themeColor="accent1" w:themeShade="BF"/>
                <w:szCs w:val="20"/>
              </w:rPr>
            </w:pPr>
            <w:r w:rsidRPr="006A19B2">
              <w:rPr>
                <w:color w:val="365F91" w:themeColor="accent1" w:themeShade="BF"/>
                <w:szCs w:val="20"/>
              </w:rPr>
              <w:t xml:space="preserve">- </w:t>
            </w:r>
            <w:r w:rsidR="001018C0">
              <w:rPr>
                <w:color w:val="365F91" w:themeColor="accent1" w:themeShade="BF"/>
                <w:szCs w:val="20"/>
              </w:rPr>
              <w:t>I</w:t>
            </w:r>
            <w:r w:rsidRPr="006A19B2">
              <w:rPr>
                <w:color w:val="365F91" w:themeColor="accent1" w:themeShade="BF"/>
                <w:szCs w:val="20"/>
              </w:rPr>
              <w:t>ki š. m. gruodžio 20 d. pristatyti EK atstovams švietimo reformos (aukštojo mokslo ir bendrojo ugdymo)</w:t>
            </w:r>
            <w:r w:rsidR="006721D2">
              <w:rPr>
                <w:color w:val="365F91" w:themeColor="accent1" w:themeShade="BF"/>
                <w:szCs w:val="20"/>
              </w:rPr>
              <w:t xml:space="preserve">, sveikatos reformos </w:t>
            </w:r>
            <w:r w:rsidRPr="006A19B2">
              <w:rPr>
                <w:color w:val="365F91" w:themeColor="accent1" w:themeShade="BF"/>
                <w:szCs w:val="20"/>
              </w:rPr>
              <w:t>įgyvendinimo eigą ir šiai sričiai 2014–2020 m. finansiniu laikotarpiu skirtų ES struktūrinių fondų investicijų įgyvendinimą.</w:t>
            </w:r>
          </w:p>
          <w:p w:rsidR="006B6766" w:rsidRPr="00E078DE" w:rsidRDefault="006B6766" w:rsidP="00C43882">
            <w:pPr>
              <w:pStyle w:val="tekstas"/>
              <w:ind w:firstLine="0"/>
              <w:rPr>
                <w:b/>
                <w:color w:val="365F91" w:themeColor="accent1" w:themeShade="BF"/>
                <w:szCs w:val="20"/>
              </w:rPr>
            </w:pPr>
          </w:p>
          <w:p w:rsidR="006B6766" w:rsidRPr="00E078DE" w:rsidRDefault="006B6766" w:rsidP="00C43882">
            <w:pPr>
              <w:pStyle w:val="tekstas"/>
              <w:ind w:firstLine="0"/>
              <w:rPr>
                <w:b/>
                <w:color w:val="365F91" w:themeColor="accent1" w:themeShade="BF"/>
                <w:szCs w:val="20"/>
              </w:rPr>
            </w:pPr>
            <w:r w:rsidRPr="00E078DE">
              <w:rPr>
                <w:b/>
                <w:color w:val="365F91" w:themeColor="accent1" w:themeShade="BF"/>
                <w:szCs w:val="20"/>
              </w:rPr>
              <w:t>Siūlymas Ekonomikos ir inovacijų, Švietimo, mokslo ir sporto bei Socialinės apsaugos ir darbo ministerijoms:</w:t>
            </w:r>
          </w:p>
          <w:p w:rsidR="006B6766" w:rsidRPr="00CE4B68" w:rsidRDefault="006B6766" w:rsidP="001018C0">
            <w:pPr>
              <w:pStyle w:val="tekstas"/>
              <w:ind w:firstLine="0"/>
              <w:rPr>
                <w:color w:val="365F91" w:themeColor="accent1" w:themeShade="BF"/>
                <w:szCs w:val="20"/>
              </w:rPr>
            </w:pPr>
            <w:r w:rsidRPr="00C43882">
              <w:rPr>
                <w:color w:val="365F91" w:themeColor="accent1" w:themeShade="BF"/>
                <w:szCs w:val="20"/>
              </w:rPr>
              <w:t xml:space="preserve">- </w:t>
            </w:r>
            <w:r w:rsidR="001018C0">
              <w:rPr>
                <w:color w:val="365F91" w:themeColor="accent1" w:themeShade="BF"/>
                <w:szCs w:val="20"/>
              </w:rPr>
              <w:t>K</w:t>
            </w:r>
            <w:r w:rsidRPr="00C43882">
              <w:rPr>
                <w:color w:val="365F91" w:themeColor="accent1" w:themeShade="BF"/>
                <w:szCs w:val="20"/>
              </w:rPr>
              <w:t>artu su Ekonominio bendradarbiavimo ir plėtros organizacija (EBPO) parengti bendrą įgūdžių strategiją, kuri reikalinga, siekiant įgyvendinti 2021–2027 m. Reglamento projekto IV priede nustatytas temines reikiamas sąlygas.</w:t>
            </w:r>
          </w:p>
        </w:tc>
      </w:tr>
    </w:tbl>
    <w:p w:rsidR="006B6766" w:rsidRPr="00E3258C" w:rsidRDefault="006B6766" w:rsidP="006B6766"/>
    <w:p w:rsidR="006B6766" w:rsidRDefault="006B6766" w:rsidP="006B6766">
      <w:pPr>
        <w:pStyle w:val="Antrat"/>
        <w:keepNext/>
        <w:spacing w:after="0"/>
        <w:ind w:firstLine="1296"/>
        <w:rPr>
          <w:noProof/>
          <w:color w:val="365F91" w:themeColor="accent1" w:themeShade="BF"/>
          <w:sz w:val="22"/>
          <w:szCs w:val="22"/>
        </w:rPr>
      </w:pPr>
      <w:r>
        <w:rPr>
          <w:noProof/>
          <w:color w:val="365F91" w:themeColor="accent1" w:themeShade="BF"/>
          <w:sz w:val="22"/>
          <w:szCs w:val="22"/>
        </w:rPr>
        <w:t>1</w:t>
      </w:r>
      <w:r w:rsidRPr="00807D99">
        <w:rPr>
          <w:noProof/>
          <w:color w:val="365F91" w:themeColor="accent1" w:themeShade="BF"/>
          <w:sz w:val="22"/>
          <w:szCs w:val="22"/>
        </w:rPr>
        <w:t xml:space="preserve"> lentelė. Investicijų programos </w:t>
      </w:r>
      <w:r>
        <w:rPr>
          <w:noProof/>
          <w:color w:val="365F91" w:themeColor="accent1" w:themeShade="BF"/>
          <w:sz w:val="22"/>
          <w:szCs w:val="22"/>
        </w:rPr>
        <w:t xml:space="preserve">neformalių derybų </w:t>
      </w:r>
      <w:r w:rsidRPr="00807D99">
        <w:rPr>
          <w:noProof/>
          <w:color w:val="365F91" w:themeColor="accent1" w:themeShade="BF"/>
          <w:sz w:val="22"/>
          <w:szCs w:val="22"/>
        </w:rPr>
        <w:t>grafikas.</w:t>
      </w:r>
    </w:p>
    <w:tbl>
      <w:tblPr>
        <w:tblStyle w:val="viesustinklelis1parykinimas"/>
        <w:tblW w:w="0" w:type="auto"/>
        <w:jc w:val="center"/>
        <w:tblLook w:val="04A0" w:firstRow="1" w:lastRow="0" w:firstColumn="1" w:lastColumn="0" w:noHBand="0" w:noVBand="1"/>
      </w:tblPr>
      <w:tblGrid>
        <w:gridCol w:w="4591"/>
        <w:gridCol w:w="2464"/>
      </w:tblGrid>
      <w:tr w:rsidR="006B6766" w:rsidRPr="00375E1C" w:rsidTr="004F53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6B6766" w:rsidRPr="00375E1C" w:rsidRDefault="006B6766" w:rsidP="004F5370">
            <w:pPr>
              <w:pStyle w:val="tekstas"/>
              <w:ind w:firstLine="0"/>
              <w:jc w:val="center"/>
            </w:pPr>
            <w:r w:rsidRPr="00375E1C">
              <w:t>2021–2027 m. Investicijų programos prioritetas</w:t>
            </w:r>
          </w:p>
        </w:tc>
        <w:tc>
          <w:tcPr>
            <w:tcW w:w="2464" w:type="dxa"/>
          </w:tcPr>
          <w:p w:rsidR="006B6766" w:rsidRPr="00375E1C" w:rsidRDefault="006B6766" w:rsidP="004F5370">
            <w:pPr>
              <w:pStyle w:val="tekstas"/>
              <w:ind w:firstLine="0"/>
              <w:jc w:val="center"/>
              <w:cnfStyle w:val="100000000000" w:firstRow="1" w:lastRow="0" w:firstColumn="0" w:lastColumn="0" w:oddVBand="0" w:evenVBand="0" w:oddHBand="0" w:evenHBand="0" w:firstRowFirstColumn="0" w:firstRowLastColumn="0" w:lastRowFirstColumn="0" w:lastRowLastColumn="0"/>
            </w:pPr>
            <w:r w:rsidRPr="00375E1C">
              <w:t>Preliminari neformalių derybų su EK data</w:t>
            </w:r>
          </w:p>
        </w:tc>
      </w:tr>
      <w:tr w:rsidR="006B6766" w:rsidRPr="00375E1C" w:rsidTr="004F53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6B6766" w:rsidRPr="00915C9A" w:rsidRDefault="006B6766" w:rsidP="004F5370">
            <w:pPr>
              <w:pStyle w:val="tekstas"/>
              <w:ind w:firstLine="0"/>
              <w:jc w:val="left"/>
              <w:rPr>
                <w:b w:val="0"/>
                <w:lang w:eastAsia="lt-LT"/>
              </w:rPr>
            </w:pPr>
            <w:r w:rsidRPr="00915C9A">
              <w:rPr>
                <w:b w:val="0"/>
                <w:lang w:eastAsia="lt-LT"/>
              </w:rPr>
              <w:t>1 prioritetas „Pažangesnė Lietuva“</w:t>
            </w:r>
          </w:p>
        </w:tc>
        <w:tc>
          <w:tcPr>
            <w:tcW w:w="2464" w:type="dxa"/>
          </w:tcPr>
          <w:p w:rsidR="006B6766" w:rsidRDefault="006B6766" w:rsidP="004F5370">
            <w:pPr>
              <w:pStyle w:val="tekstas"/>
              <w:ind w:firstLine="0"/>
              <w:jc w:val="center"/>
              <w:cnfStyle w:val="000000100000" w:firstRow="0" w:lastRow="0" w:firstColumn="0" w:lastColumn="0" w:oddVBand="0" w:evenVBand="0" w:oddHBand="1" w:evenHBand="0" w:firstRowFirstColumn="0" w:firstRowLastColumn="0" w:lastRowFirstColumn="0" w:lastRowLastColumn="0"/>
              <w:rPr>
                <w:bCs/>
                <w:lang w:eastAsia="lt-LT"/>
              </w:rPr>
            </w:pPr>
            <w:r w:rsidRPr="00915C9A">
              <w:rPr>
                <w:bCs/>
                <w:lang w:eastAsia="lt-LT"/>
              </w:rPr>
              <w:t xml:space="preserve">2019-06-27 </w:t>
            </w:r>
          </w:p>
          <w:p w:rsidR="006B6766" w:rsidRPr="00915C9A" w:rsidRDefault="006B6766" w:rsidP="004F5370">
            <w:pPr>
              <w:pStyle w:val="tekstas"/>
              <w:ind w:firstLine="0"/>
              <w:jc w:val="center"/>
              <w:cnfStyle w:val="000000100000" w:firstRow="0" w:lastRow="0" w:firstColumn="0" w:lastColumn="0" w:oddVBand="0" w:evenVBand="0" w:oddHBand="1" w:evenHBand="0" w:firstRowFirstColumn="0" w:firstRowLastColumn="0" w:lastRowFirstColumn="0" w:lastRowLastColumn="0"/>
              <w:rPr>
                <w:bCs/>
                <w:lang w:eastAsia="lt-LT"/>
              </w:rPr>
            </w:pPr>
            <w:r w:rsidRPr="00915C9A">
              <w:rPr>
                <w:bCs/>
                <w:lang w:eastAsia="lt-LT"/>
              </w:rPr>
              <w:t>(jau įvykęs)</w:t>
            </w:r>
          </w:p>
        </w:tc>
      </w:tr>
      <w:tr w:rsidR="006B6766" w:rsidRPr="00375E1C" w:rsidTr="004F537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6B6766" w:rsidRPr="00375E1C" w:rsidRDefault="006B6766" w:rsidP="004F5370">
            <w:pPr>
              <w:pStyle w:val="tekstas"/>
              <w:ind w:firstLine="0"/>
              <w:jc w:val="left"/>
            </w:pPr>
            <w:r w:rsidRPr="00375E1C">
              <w:rPr>
                <w:lang w:eastAsia="lt-LT"/>
              </w:rPr>
              <w:t>2 prioritetas „Žalesnė Lietuva“</w:t>
            </w:r>
          </w:p>
        </w:tc>
        <w:tc>
          <w:tcPr>
            <w:tcW w:w="2464" w:type="dxa"/>
          </w:tcPr>
          <w:p w:rsidR="006B6766" w:rsidRPr="00915C9A" w:rsidRDefault="006B6766" w:rsidP="004F5370">
            <w:pPr>
              <w:pStyle w:val="tekstas"/>
              <w:jc w:val="center"/>
              <w:cnfStyle w:val="000000010000" w:firstRow="0" w:lastRow="0" w:firstColumn="0" w:lastColumn="0" w:oddVBand="0" w:evenVBand="0" w:oddHBand="0" w:evenHBand="1" w:firstRowFirstColumn="0" w:firstRowLastColumn="0" w:lastRowFirstColumn="0" w:lastRowLastColumn="0"/>
              <w:rPr>
                <w:b/>
                <w:bCs/>
                <w:lang w:eastAsia="lt-LT"/>
              </w:rPr>
            </w:pPr>
            <w:r>
              <w:rPr>
                <w:b/>
                <w:bCs/>
                <w:lang w:eastAsia="lt-LT"/>
              </w:rPr>
              <w:t>2019-10-18</w:t>
            </w:r>
          </w:p>
        </w:tc>
      </w:tr>
      <w:tr w:rsidR="006B6766" w:rsidRPr="00375E1C" w:rsidTr="004F53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6B6766" w:rsidRPr="00375E1C" w:rsidRDefault="006B6766" w:rsidP="004F5370">
            <w:pPr>
              <w:pStyle w:val="tekstas"/>
              <w:ind w:firstLine="0"/>
              <w:jc w:val="left"/>
            </w:pPr>
            <w:r>
              <w:rPr>
                <w:lang w:eastAsia="lt-LT"/>
              </w:rPr>
              <w:t>3 prioritetas</w:t>
            </w:r>
            <w:r w:rsidRPr="00375E1C">
              <w:rPr>
                <w:lang w:eastAsia="lt-LT"/>
              </w:rPr>
              <w:t xml:space="preserve"> „Geriau sujungta Lietuva“</w:t>
            </w:r>
          </w:p>
        </w:tc>
        <w:tc>
          <w:tcPr>
            <w:tcW w:w="2464" w:type="dxa"/>
          </w:tcPr>
          <w:p w:rsidR="006B6766" w:rsidRPr="00375E1C" w:rsidRDefault="006B6766" w:rsidP="004F5370">
            <w:pPr>
              <w:pStyle w:val="tekstas"/>
              <w:jc w:val="center"/>
              <w:cnfStyle w:val="000000100000" w:firstRow="0" w:lastRow="0" w:firstColumn="0" w:lastColumn="0" w:oddVBand="0" w:evenVBand="0" w:oddHBand="1" w:evenHBand="0" w:firstRowFirstColumn="0" w:firstRowLastColumn="0" w:lastRowFirstColumn="0" w:lastRowLastColumn="0"/>
            </w:pPr>
            <w:r w:rsidRPr="00915C9A">
              <w:rPr>
                <w:b/>
                <w:bCs/>
                <w:lang w:eastAsia="lt-LT"/>
              </w:rPr>
              <w:t>2019-10-17</w:t>
            </w:r>
          </w:p>
        </w:tc>
      </w:tr>
      <w:tr w:rsidR="006B6766" w:rsidRPr="00375E1C" w:rsidTr="004F537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6B6766" w:rsidRPr="00F65830" w:rsidRDefault="006B6766" w:rsidP="004F5370">
            <w:pPr>
              <w:pStyle w:val="tekstas"/>
              <w:ind w:firstLine="0"/>
              <w:jc w:val="left"/>
              <w:rPr>
                <w:b w:val="0"/>
              </w:rPr>
            </w:pPr>
            <w:r w:rsidRPr="00F65830">
              <w:rPr>
                <w:b w:val="0"/>
                <w:lang w:eastAsia="lt-LT"/>
              </w:rPr>
              <w:t>4 prioritetas „Socialiai atsakingesnė Lietuva“</w:t>
            </w:r>
          </w:p>
        </w:tc>
        <w:tc>
          <w:tcPr>
            <w:tcW w:w="2464" w:type="dxa"/>
          </w:tcPr>
          <w:p w:rsidR="006B6766" w:rsidRDefault="006B6766" w:rsidP="004F5370">
            <w:pPr>
              <w:pStyle w:val="tekstas"/>
              <w:jc w:val="center"/>
              <w:cnfStyle w:val="000000010000" w:firstRow="0" w:lastRow="0" w:firstColumn="0" w:lastColumn="0" w:oddVBand="0" w:evenVBand="0" w:oddHBand="0" w:evenHBand="1" w:firstRowFirstColumn="0" w:firstRowLastColumn="0" w:lastRowFirstColumn="0" w:lastRowLastColumn="0"/>
              <w:rPr>
                <w:bCs/>
                <w:lang w:eastAsia="lt-LT"/>
              </w:rPr>
            </w:pPr>
            <w:r w:rsidRPr="00F65830">
              <w:rPr>
                <w:bCs/>
                <w:lang w:eastAsia="lt-LT"/>
              </w:rPr>
              <w:t>2019</w:t>
            </w:r>
            <w:proofErr w:type="gramStart"/>
            <w:r w:rsidRPr="00F65830">
              <w:rPr>
                <w:bCs/>
                <w:lang w:eastAsia="lt-LT"/>
              </w:rPr>
              <w:t>-</w:t>
            </w:r>
            <w:proofErr w:type="gramEnd"/>
            <w:r w:rsidRPr="00F65830">
              <w:rPr>
                <w:bCs/>
                <w:lang w:eastAsia="lt-LT"/>
              </w:rPr>
              <w:t>09-10/11</w:t>
            </w:r>
          </w:p>
          <w:p w:rsidR="006B6766" w:rsidRPr="00F65830" w:rsidRDefault="006B6766" w:rsidP="004F5370">
            <w:pPr>
              <w:pStyle w:val="tekstas"/>
              <w:jc w:val="center"/>
              <w:cnfStyle w:val="000000010000" w:firstRow="0" w:lastRow="0" w:firstColumn="0" w:lastColumn="0" w:oddVBand="0" w:evenVBand="0" w:oddHBand="0" w:evenHBand="1" w:firstRowFirstColumn="0" w:firstRowLastColumn="0" w:lastRowFirstColumn="0" w:lastRowLastColumn="0"/>
            </w:pPr>
            <w:r w:rsidRPr="00915C9A">
              <w:rPr>
                <w:bCs/>
                <w:lang w:eastAsia="lt-LT"/>
              </w:rPr>
              <w:t>(jau įvykęs)</w:t>
            </w:r>
          </w:p>
        </w:tc>
      </w:tr>
      <w:tr w:rsidR="006B6766" w:rsidRPr="00375E1C" w:rsidTr="004F53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6B6766" w:rsidRPr="00375E1C" w:rsidRDefault="006B6766" w:rsidP="004F5370">
            <w:pPr>
              <w:pStyle w:val="tekstas"/>
              <w:ind w:firstLine="0"/>
              <w:jc w:val="left"/>
            </w:pPr>
            <w:r w:rsidRPr="00375E1C">
              <w:rPr>
                <w:lang w:eastAsia="lt-LT"/>
              </w:rPr>
              <w:t>5 priorite</w:t>
            </w:r>
            <w:r>
              <w:rPr>
                <w:lang w:eastAsia="lt-LT"/>
              </w:rPr>
              <w:t>tas</w:t>
            </w:r>
            <w:r w:rsidRPr="00375E1C">
              <w:rPr>
                <w:lang w:eastAsia="lt-LT"/>
              </w:rPr>
              <w:t xml:space="preserve"> „Piliečiams artimesnė Lietuva“</w:t>
            </w:r>
          </w:p>
        </w:tc>
        <w:tc>
          <w:tcPr>
            <w:tcW w:w="2464" w:type="dxa"/>
          </w:tcPr>
          <w:p w:rsidR="006B6766" w:rsidRPr="00375E1C" w:rsidRDefault="006B6766" w:rsidP="004F5370">
            <w:pPr>
              <w:pStyle w:val="tekstas"/>
              <w:jc w:val="center"/>
              <w:cnfStyle w:val="000000100000" w:firstRow="0" w:lastRow="0" w:firstColumn="0" w:lastColumn="0" w:oddVBand="0" w:evenVBand="0" w:oddHBand="1" w:evenHBand="0" w:firstRowFirstColumn="0" w:firstRowLastColumn="0" w:lastRowFirstColumn="0" w:lastRowLastColumn="0"/>
            </w:pPr>
            <w:r>
              <w:rPr>
                <w:b/>
                <w:bCs/>
                <w:lang w:eastAsia="lt-LT"/>
              </w:rPr>
              <w:t>2019-10-17</w:t>
            </w:r>
          </w:p>
        </w:tc>
      </w:tr>
    </w:tbl>
    <w:p w:rsidR="006B6766" w:rsidRDefault="006B6766" w:rsidP="006B6766">
      <w:pPr>
        <w:pStyle w:val="tekstas"/>
      </w:pPr>
    </w:p>
    <w:p w:rsidR="006B6766" w:rsidRDefault="006B6766" w:rsidP="006B6766">
      <w:pPr>
        <w:pStyle w:val="tekstas"/>
      </w:pPr>
      <w:r>
        <w:t>Visa informacija, susijusi</w:t>
      </w:r>
      <w:r w:rsidRPr="00CD5C0D">
        <w:t xml:space="preserve"> su naujojo laikotarpio Sanglaudos politikos</w:t>
      </w:r>
      <w:r>
        <w:t xml:space="preserve"> </w:t>
      </w:r>
      <w:r w:rsidRPr="00CD5C0D">
        <w:t>investicijų programavimu</w:t>
      </w:r>
      <w:r>
        <w:t>,</w:t>
      </w:r>
      <w:r w:rsidRPr="00CD5C0D">
        <w:t xml:space="preserve"> skelbiama internetinės svetainės skiltyje </w:t>
      </w:r>
      <w:r w:rsidRPr="0055607B">
        <w:rPr>
          <w:i/>
        </w:rPr>
        <w:t>Pasirengimas 2021–2027</w:t>
      </w:r>
      <w:r>
        <w:rPr>
          <w:i/>
        </w:rPr>
        <w:t xml:space="preserve"> (</w:t>
      </w:r>
      <w:hyperlink r:id="rId36" w:history="1">
        <w:r w:rsidRPr="00081864">
          <w:rPr>
            <w:rStyle w:val="Hipersaitas"/>
          </w:rPr>
          <w:t>https://www.esinvesticijos.lt/lt/pasirengimas-2021-2027</w:t>
        </w:r>
      </w:hyperlink>
      <w:r>
        <w:t>), kuriame visos institucijos bei socialiniai–ekonominiai partneriai gali</w:t>
      </w:r>
      <w:r w:rsidRPr="00CD5C0D">
        <w:t xml:space="preserve"> rasti visą kon</w:t>
      </w:r>
      <w:r>
        <w:t>centruotą, aktualią informaciją.</w:t>
      </w:r>
    </w:p>
    <w:p w:rsidR="006324E2" w:rsidRDefault="006324E2" w:rsidP="006324E2">
      <w:pPr>
        <w:pStyle w:val="tekstas"/>
      </w:pPr>
    </w:p>
    <w:p w:rsidR="00D5753D" w:rsidRDefault="00D5753D" w:rsidP="00D5753D">
      <w:pPr>
        <w:pStyle w:val="Antrat1"/>
        <w:spacing w:before="0" w:after="0"/>
      </w:pPr>
      <w:bookmarkStart w:id="37" w:name="_Toc24016885"/>
      <w:r>
        <w:t>Socialinio poveikio investicijos</w:t>
      </w:r>
      <w:bookmarkEnd w:id="37"/>
    </w:p>
    <w:p w:rsidR="00D5753D" w:rsidRDefault="00D5753D" w:rsidP="00D5753D">
      <w:pPr>
        <w:pStyle w:val="tekstas"/>
        <w:ind w:firstLine="0"/>
      </w:pPr>
    </w:p>
    <w:p w:rsidR="00406966" w:rsidRDefault="00406966" w:rsidP="00406966">
      <w:pPr>
        <w:pStyle w:val="tekstas"/>
      </w:pPr>
      <w:r>
        <w:t xml:space="preserve">Nuo 2010 m. Europoje ir globaliai sparčiai populiarėja poveikį turintis investavimas (angl. </w:t>
      </w:r>
      <w:proofErr w:type="spellStart"/>
      <w:r>
        <w:t>social</w:t>
      </w:r>
      <w:proofErr w:type="spellEnd"/>
      <w:r>
        <w:t xml:space="preserve"> </w:t>
      </w:r>
      <w:proofErr w:type="spellStart"/>
      <w:r>
        <w:t>impact</w:t>
      </w:r>
      <w:proofErr w:type="spellEnd"/>
      <w:r>
        <w:t xml:space="preserve"> </w:t>
      </w:r>
      <w:proofErr w:type="spellStart"/>
      <w:r>
        <w:t>investing</w:t>
      </w:r>
      <w:proofErr w:type="spellEnd"/>
      <w:r>
        <w:t xml:space="preserve">). Investicijos į socialinį poveikį </w:t>
      </w:r>
      <w:proofErr w:type="gramStart"/>
      <w:r>
        <w:t>-</w:t>
      </w:r>
      <w:proofErr w:type="gramEnd"/>
      <w:r>
        <w:t xml:space="preserve"> tai lėšų teikimas socialiniams poreikiams patenkinti, aiškiai tikintis išmatuojamos socialinės ir finansinės grąžos bei pasitelkiant aktyvų valstybės institucijų ir privačių investuotojų bendradarbiavimą. Pastebima, kad vis daugiau </w:t>
      </w:r>
      <w:r>
        <w:lastRenderedPageBreak/>
        <w:t>privataus sektoriaus dalyvių sutelkia dėmesį į investicijas, siekdami konkrečių socialinių, aplinkos apsaugos ar ekonominių rezultatų. Poveikio investicijos yra nukreiptos į naujų privataus sektoriaus finansavimo modelių bandymą, siekiant visuomenei svarbaus socialinio poveikio efektyvesniais būdais. Orientacija į poveikį ir rezultatus, viešojo ir privataus sektoriaus bendradarbiavimas investuojant į ša</w:t>
      </w:r>
      <w:r>
        <w:t>lies socialinės gerovės sritis,</w:t>
      </w:r>
      <w:r>
        <w:t xml:space="preserve"> investicijoms gali suteikti didesnio efektyvumo, </w:t>
      </w:r>
      <w:proofErr w:type="spellStart"/>
      <w:r>
        <w:t>inovatyvumo</w:t>
      </w:r>
      <w:proofErr w:type="spellEnd"/>
      <w:r>
        <w:t>, atskaitomybės ir masto taip pat padidinti jų ekonominę, social</w:t>
      </w:r>
      <w:r>
        <w:t>inę ir aplinkos apsaugos grąžą.</w:t>
      </w:r>
    </w:p>
    <w:p w:rsidR="00406966" w:rsidRDefault="00406966" w:rsidP="00406966">
      <w:pPr>
        <w:pStyle w:val="tekstas"/>
      </w:pPr>
      <w:r>
        <w:t>Valstybės investicijomis į visuomenės gerovę siekiama socialinio poveikio. Dėl įvairių priežas</w:t>
      </w:r>
      <w:r w:rsidR="000719C4">
        <w:t>čių ne visos investicijos yra efek</w:t>
      </w:r>
      <w:r>
        <w:t xml:space="preserve">tyvios ir atneša gerų rezultatų. Skurdo, recidyvizmo, benamystės, nedarbo ir kitų neginčijamų </w:t>
      </w:r>
      <w:r>
        <w:t>socialinių problemų ilgalaikė</w:t>
      </w:r>
      <w:r>
        <w:t xml:space="preserve"> prigimtis rodo, kad naujas požiūris į šių problemų sprendimą gali būti naudingas. Šiuo atžvilgiu investuojant į socialinį poveikį siekiama, kad socialinė</w:t>
      </w:r>
      <w:r w:rsidR="000719C4">
        <w:t>s</w:t>
      </w:r>
      <w:r>
        <w:t xml:space="preserve"> naudos būtų siekiama kartu su finansine grąža (EPBO, 2014a). </w:t>
      </w:r>
    </w:p>
    <w:p w:rsidR="00406966" w:rsidRDefault="00406966" w:rsidP="00406966">
      <w:pPr>
        <w:pStyle w:val="tekstas"/>
      </w:pPr>
      <w:r>
        <w:t>Socialinis poveikio investav</w:t>
      </w:r>
      <w:r w:rsidR="000719C4">
        <w:t xml:space="preserve">imas, kurio vienas pavyzdžių </w:t>
      </w:r>
      <w:proofErr w:type="gramStart"/>
      <w:r w:rsidR="000719C4">
        <w:t>-</w:t>
      </w:r>
      <w:proofErr w:type="gramEnd"/>
      <w:r w:rsidR="000719C4">
        <w:t xml:space="preserve"> </w:t>
      </w:r>
      <w:r>
        <w:t xml:space="preserve">socialinės poveikio obligacijos (angl. </w:t>
      </w:r>
      <w:proofErr w:type="spellStart"/>
      <w:r>
        <w:t>Social</w:t>
      </w:r>
      <w:proofErr w:type="spellEnd"/>
      <w:r>
        <w:t xml:space="preserve"> </w:t>
      </w:r>
      <w:proofErr w:type="spellStart"/>
      <w:r>
        <w:t>impact</w:t>
      </w:r>
      <w:proofErr w:type="spellEnd"/>
      <w:r>
        <w:t xml:space="preserve"> </w:t>
      </w:r>
      <w:proofErr w:type="spellStart"/>
      <w:r>
        <w:t>bonds</w:t>
      </w:r>
      <w:proofErr w:type="spellEnd"/>
      <w:r>
        <w:t xml:space="preserve"> (SIB</w:t>
      </w:r>
      <w:proofErr w:type="gramStart"/>
      <w:r>
        <w:t>))</w:t>
      </w:r>
      <w:proofErr w:type="gramEnd"/>
      <w:r>
        <w:t xml:space="preserve"> - atveria socialinio poveikio sritį privataus sektoriaus investuotojams ir kitiems finansuotojams ir suteikia galimybę socialinėms įmonėms ir pilietinės visuomenės organizacijoms tapti reikšmingesne valstybės socialinių paslaugų teikimo sistemos dalimi. </w:t>
      </w:r>
    </w:p>
    <w:p w:rsidR="00406966" w:rsidRDefault="000719C4" w:rsidP="00406966">
      <w:pPr>
        <w:pStyle w:val="tekstas"/>
      </w:pPr>
      <w:r>
        <w:t>S</w:t>
      </w:r>
      <w:r>
        <w:t>ocialinės poveikio obligacijos</w:t>
      </w:r>
      <w:r>
        <w:t xml:space="preserve"> gali būti apibrėžto</w:t>
      </w:r>
      <w:r w:rsidR="00406966">
        <w:t>s kaip „sutartis su viešuoju sektoriumi ar valdančiąja institucija, pagal kurią ji moka už geresnius socialinius rezultatus tam tikrose srityse ir dalį sutaupytų lėšų perveda investuotojams“ (EPBO). „</w:t>
      </w:r>
      <w:proofErr w:type="spellStart"/>
      <w:r w:rsidR="00406966">
        <w:t>Brookings</w:t>
      </w:r>
      <w:proofErr w:type="spellEnd"/>
      <w:r w:rsidR="00406966">
        <w:t xml:space="preserve"> </w:t>
      </w:r>
      <w:proofErr w:type="spellStart"/>
      <w:r w:rsidR="00406966">
        <w:t>Institution</w:t>
      </w:r>
      <w:proofErr w:type="spellEnd"/>
      <w:r w:rsidR="00406966">
        <w:t xml:space="preserve">“ pagrindiniame </w:t>
      </w:r>
      <w:r>
        <w:t>socialinių</w:t>
      </w:r>
      <w:r>
        <w:t xml:space="preserve"> poveikio obligacij</w:t>
      </w:r>
      <w:r>
        <w:t>ų</w:t>
      </w:r>
      <w:r w:rsidR="00406966">
        <w:t xml:space="preserve"> tyrime (</w:t>
      </w:r>
      <w:proofErr w:type="spellStart"/>
      <w:r w:rsidR="00406966">
        <w:t>Gustaffson</w:t>
      </w:r>
      <w:proofErr w:type="spellEnd"/>
      <w:r w:rsidR="00406966">
        <w:t xml:space="preserve"> –</w:t>
      </w:r>
      <w:proofErr w:type="spellStart"/>
      <w:r w:rsidR="00406966">
        <w:t>Wright</w:t>
      </w:r>
      <w:proofErr w:type="spellEnd"/>
      <w:r w:rsidR="00406966">
        <w:t xml:space="preserve"> et al., 2015) jas apibrėžia kaip: „mechanizmą, kuris pasitelkia privatų kapitalą socialinėms paslaugoms ir skatina siekti rezultatų, nustatydamas, kad grąžinimas priklauso nuo sėkmės“. Taip pat ši investavimo kryptis mažėjant valstybių biudžetams po krizės leidžia mažinti viešojo sektoriaus riziką investuojant į socialines problemas, pagerinti investicijų ir jomis siekiamo poveikio rezultatus, sumokėti už socialines paslaugas privataus kapitalo lėšomis dabar, reikalaujant valstybės įmokų vėliau, kai pasiekiami sutarti rezultatai.</w:t>
      </w:r>
    </w:p>
    <w:p w:rsidR="00406966" w:rsidRDefault="000719C4" w:rsidP="00406966">
      <w:pPr>
        <w:pStyle w:val="tekstas"/>
      </w:pPr>
      <w:r>
        <w:t>Nuo pirmųjų</w:t>
      </w:r>
      <w:r w:rsidR="00406966">
        <w:t xml:space="preserve"> </w:t>
      </w:r>
      <w:r>
        <w:t>socialinių</w:t>
      </w:r>
      <w:r>
        <w:t xml:space="preserve"> poveikio obligacij</w:t>
      </w:r>
      <w:r>
        <w:t>ų</w:t>
      </w:r>
      <w:r w:rsidR="00406966">
        <w:t xml:space="preserve"> sukūrimo Jungtinėje ka</w:t>
      </w:r>
      <w:r>
        <w:t>ralystėje 2010 m., buvo įsteigtos</w:t>
      </w:r>
      <w:r w:rsidR="00406966">
        <w:t xml:space="preserve"> 137 </w:t>
      </w:r>
      <w:r>
        <w:t>šios obligacijos</w:t>
      </w:r>
      <w:r w:rsidR="00406966">
        <w:t xml:space="preserve"> 25 pasau</w:t>
      </w:r>
      <w:r>
        <w:t xml:space="preserve">lio šalyse, kurių investicijos </w:t>
      </w:r>
      <w:r w:rsidR="00406966">
        <w:t xml:space="preserve">siekia 400 milijonų </w:t>
      </w:r>
      <w:r>
        <w:t>eurų</w:t>
      </w:r>
      <w:r w:rsidR="00406966">
        <w:t xml:space="preserve">. </w:t>
      </w:r>
      <w:r>
        <w:t>S</w:t>
      </w:r>
      <w:r>
        <w:t>ocialinės poveikio obligacijos</w:t>
      </w:r>
      <w:r w:rsidR="00406966">
        <w:t xml:space="preserve"> bu</w:t>
      </w:r>
      <w:r>
        <w:t xml:space="preserve">vo sukurtos </w:t>
      </w:r>
      <w:r w:rsidR="00406966">
        <w:t xml:space="preserve">nedarbo mažinimo ir socialiai atskirtų žmonių grupių integravimo į darbo rinką, socialinio būsto ir benamystės mažinimo, sveikatos apsaugos, vaikų ir šeimų gerovės didinimo, kriminalinio teisingumo, skurdo ir aplinkosaugos srityse. </w:t>
      </w:r>
      <w:r w:rsidR="00277806">
        <w:t>Daugiau informacijos</w:t>
      </w:r>
      <w:r w:rsidR="00406966">
        <w:t xml:space="preserve"> apie detalius sektorių pavyzdžius gali</w:t>
      </w:r>
      <w:r w:rsidR="00277806">
        <w:t>ma rasti</w:t>
      </w:r>
      <w:r w:rsidR="00406966">
        <w:t xml:space="preserve"> el. svetainėje adresu</w:t>
      </w:r>
      <w:r w:rsidR="00277806">
        <w:t>:</w:t>
      </w:r>
      <w:r w:rsidR="00406966">
        <w:t xml:space="preserve"> https:</w:t>
      </w:r>
      <w:proofErr w:type="gramStart"/>
      <w:r w:rsidR="00406966">
        <w:t>//sibdatabase.socialfinance.org.uk/ .</w:t>
      </w:r>
      <w:proofErr w:type="gramEnd"/>
    </w:p>
    <w:p w:rsidR="00406966" w:rsidRDefault="00406966" w:rsidP="00406966">
      <w:pPr>
        <w:pStyle w:val="tekstas"/>
        <w:ind w:firstLine="0"/>
      </w:pPr>
      <w:r w:rsidRPr="00132D70">
        <w:rPr>
          <w:noProof/>
          <w:lang w:eastAsia="lt-LT"/>
        </w:rPr>
        <w:drawing>
          <wp:inline distT="0" distB="0" distL="0" distR="0" wp14:anchorId="4D492C4A" wp14:editId="0B34E203">
            <wp:extent cx="6120130" cy="2644140"/>
            <wp:effectExtent l="0" t="0" r="0" b="381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2644140"/>
                    </a:xfrm>
                    <a:prstGeom prst="rect">
                      <a:avLst/>
                    </a:prstGeom>
                    <a:noFill/>
                    <a:ln>
                      <a:noFill/>
                    </a:ln>
                    <a:extLst/>
                  </pic:spPr>
                </pic:pic>
              </a:graphicData>
            </a:graphic>
          </wp:inline>
        </w:drawing>
      </w:r>
    </w:p>
    <w:p w:rsidR="00406966" w:rsidRPr="00277806" w:rsidRDefault="00277806" w:rsidP="00406966">
      <w:pPr>
        <w:pStyle w:val="tekstas"/>
        <w:rPr>
          <w:rFonts w:ascii="Calibri" w:eastAsia="Calibri" w:hAnsi="Calibri"/>
          <w:b/>
          <w:bCs/>
          <w:noProof/>
          <w:color w:val="365F91" w:themeColor="accent1" w:themeShade="BF"/>
          <w:sz w:val="22"/>
          <w:szCs w:val="22"/>
        </w:rPr>
      </w:pPr>
      <w:r w:rsidRPr="00277806">
        <w:rPr>
          <w:rFonts w:ascii="Calibri" w:eastAsia="Calibri" w:hAnsi="Calibri"/>
          <w:b/>
          <w:bCs/>
          <w:noProof/>
          <w:color w:val="365F91" w:themeColor="accent1" w:themeShade="BF"/>
          <w:sz w:val="22"/>
          <w:szCs w:val="22"/>
        </w:rPr>
        <w:t>SIB modelio pavyzdys</w:t>
      </w:r>
    </w:p>
    <w:p w:rsidR="00406966" w:rsidRDefault="00406966" w:rsidP="00406966">
      <w:pPr>
        <w:pStyle w:val="tekstas"/>
      </w:pPr>
      <w:r>
        <w:lastRenderedPageBreak/>
        <w:t>Modelis veikia taip: investuotojai sumoka už projektą ir jei iš anksto susitarti išmatuojami rezultatai pasiekiami, vyriausybė finansuoja projektą pagal jų pasiektus rezultatus. Taigi Vyriausybė moka už sėkmę. Šis modelis siekia užtikrinti socialinį pokytį ir pagerinti teikiamų paslaugų kok</w:t>
      </w:r>
      <w:r w:rsidR="00277806">
        <w:t>ybę. Įgyvendinamas socialinis, ne tik ekonominis pokytis.</w:t>
      </w:r>
    </w:p>
    <w:p w:rsidR="00406966" w:rsidRDefault="00406966" w:rsidP="00277806">
      <w:pPr>
        <w:pStyle w:val="tekstas"/>
        <w:tabs>
          <w:tab w:val="left" w:pos="709"/>
        </w:tabs>
      </w:pPr>
      <w:r>
        <w:t>1.</w:t>
      </w:r>
      <w:r>
        <w:tab/>
        <w:t>Visuomenė susiduria su tam tikra socialine problema. Valdžios institucijos identifikuoja problemą, kurią norima spręsti. Yra įvertinama, kiek šiandien ji kainuoja visuomenei, kokio rezultato, poveikio yra tikim</w:t>
      </w:r>
      <w:r w:rsidR="00277806">
        <w:t>asi, kiek būtų galima sutaupyti ir kokią dalis</w:t>
      </w:r>
      <w:r>
        <w:t xml:space="preserve"> sutaupytų lėšų būtų sumokama už pasiektą rezultatą, poveikį. Yra sukuriamas SIB modelis, kuriam valdyti ieškomas fondo valdytojas, kuris prisiima atsakomybę už modelio įgyv</w:t>
      </w:r>
      <w:r w:rsidR="00277806">
        <w:t>endinimą, investuotojų paiešką.</w:t>
      </w:r>
    </w:p>
    <w:p w:rsidR="00406966" w:rsidRDefault="00277806" w:rsidP="00277806">
      <w:pPr>
        <w:pStyle w:val="tekstas"/>
        <w:tabs>
          <w:tab w:val="left" w:pos="709"/>
        </w:tabs>
      </w:pPr>
      <w:r>
        <w:t>2.</w:t>
      </w:r>
      <w:r>
        <w:tab/>
        <w:t>Investuotojas įneša/</w:t>
      </w:r>
      <w:proofErr w:type="gramStart"/>
      <w:r>
        <w:t>“</w:t>
      </w:r>
      <w:r w:rsidR="00406966">
        <w:t>užaugina“</w:t>
      </w:r>
      <w:proofErr w:type="gramEnd"/>
      <w:r w:rsidR="00406966">
        <w:t xml:space="preserve"> reikiamą kapitalą. Socialiai motyvuotas investuotojas teikia pradinio kapitalo finansavimą. Investuotojas gali būti tiek privatus, tiek viešas subjektas, kuris prisiima riziką už siūlomą finansinę grąžą modeliui pasiteisinus. Investuotojai nedaro įtakos paslaugų tiekimo modeliui. </w:t>
      </w:r>
    </w:p>
    <w:p w:rsidR="00406966" w:rsidRDefault="00406966" w:rsidP="00277806">
      <w:pPr>
        <w:pStyle w:val="tekstas"/>
        <w:tabs>
          <w:tab w:val="left" w:pos="709"/>
        </w:tabs>
      </w:pPr>
      <w:r>
        <w:t>3.</w:t>
      </w:r>
      <w:r>
        <w:tab/>
        <w:t>Finansinis kapitalas paskirstomas paslaugų teikėjams, siekiant padengti jų veiklos išlaidas, t.y. naudojamas praktiniam reikiamų paslaugų įgyvendinimui.</w:t>
      </w:r>
    </w:p>
    <w:p w:rsidR="00406966" w:rsidRDefault="00406966" w:rsidP="00277806">
      <w:pPr>
        <w:pStyle w:val="tekstas"/>
        <w:tabs>
          <w:tab w:val="left" w:pos="709"/>
        </w:tabs>
      </w:pPr>
      <w:r>
        <w:t>4.</w:t>
      </w:r>
      <w:r>
        <w:tab/>
        <w:t>Paslaugų teikėjai teikia socialines paslaugas tikslinei visuomenės grupei.</w:t>
      </w:r>
    </w:p>
    <w:p w:rsidR="00406966" w:rsidRDefault="00406966" w:rsidP="00277806">
      <w:pPr>
        <w:pStyle w:val="tekstas"/>
        <w:tabs>
          <w:tab w:val="left" w:pos="709"/>
        </w:tabs>
      </w:pPr>
      <w:r>
        <w:t>5.</w:t>
      </w:r>
      <w:r>
        <w:tab/>
        <w:t>Nepriklausomas vertinimas/tyrimas analizuoja, ar buvo pasiekti sutarti rezultatai. Gali būti sutartas vertinimo periodiškumas.</w:t>
      </w:r>
    </w:p>
    <w:p w:rsidR="00406966" w:rsidRDefault="00406966" w:rsidP="00277806">
      <w:pPr>
        <w:pStyle w:val="tekstas"/>
        <w:tabs>
          <w:tab w:val="left" w:pos="709"/>
        </w:tabs>
      </w:pPr>
      <w:r>
        <w:t>6.</w:t>
      </w:r>
      <w:r>
        <w:tab/>
        <w:t xml:space="preserve">Jei sutarti rezultatai buvo pasiekti, yra grąžinamos investuotos lėšos + sumokamas atlygis (sutartos palūkanos). </w:t>
      </w:r>
    </w:p>
    <w:p w:rsidR="00406966" w:rsidRDefault="00406966" w:rsidP="00406966">
      <w:pPr>
        <w:pStyle w:val="tekstas"/>
      </w:pPr>
      <w:r>
        <w:t>Pasak Suomijos, sukurti individualų socialinio poveikio obligacijų modelį vidutiniškai užtrunka nuo 1 iki 6 metų. Suomijoje SIB projektų vidutinė numatoma finansinė grąža – apie 7 proc.</w:t>
      </w:r>
    </w:p>
    <w:p w:rsidR="00406966" w:rsidRDefault="00277806" w:rsidP="00406966">
      <w:pPr>
        <w:pStyle w:val="tekstas"/>
      </w:pPr>
      <w:r>
        <w:t>SIB investuotojai</w:t>
      </w:r>
      <w:r w:rsidR="00406966">
        <w:t xml:space="preserve"> gali būti nuo tų, kurie nori teikti nuolaidų finansavimą, iki tradicinių investuotojų, siekiančių rinkos grąžos kartu su socialiniu poveikiu.</w:t>
      </w:r>
    </w:p>
    <w:p w:rsidR="00406966" w:rsidRPr="00277806" w:rsidRDefault="00406966" w:rsidP="00406966">
      <w:pPr>
        <w:pStyle w:val="tekstas"/>
        <w:rPr>
          <w:b/>
        </w:rPr>
      </w:pPr>
      <w:r w:rsidRPr="00277806">
        <w:rPr>
          <w:b/>
        </w:rPr>
        <w:t>Finansų ministerijos iniciatyvos</w:t>
      </w:r>
    </w:p>
    <w:p w:rsidR="00406966" w:rsidRDefault="00406966" w:rsidP="00406966">
      <w:pPr>
        <w:pStyle w:val="tekstas"/>
      </w:pPr>
      <w:r>
        <w:t>Atsižvelgiant į tai, kad Finansų ministerija nuolat ieško galimybių padidinti valstybės investicijų efektyvumą bei pritraukti privataus kapitalo lėšų Valstybei svarbiems projektams finansuoti, 2018 m. siekiant įgyti patirties socialinio poveikio investavimo srityje, Finansų ministerijos iniciatyva buvo užmegzti kontaktai su Suomijos inovacijų fondo „</w:t>
      </w:r>
      <w:proofErr w:type="spellStart"/>
      <w:r>
        <w:t>Sitra</w:t>
      </w:r>
      <w:proofErr w:type="spellEnd"/>
      <w:r>
        <w:t xml:space="preserve">“ atstovais ir organizuotas Lietuvos delegacijos vizitas į Suomiją, siekiant pasinaudoti Suomijos patirtimi investuojant socialinėje ar panašioje srityje, o įgytas žinias pritaikyti Lietuvoje. Taip pat organizuotas renginys Lietuvoje apie poveikio investavimą Lietuvoje, remiantis šiaurės šalių patirtimi. Susitikimo metu įgytos žinios buvo pristatytos Socialinės apsaugos ir darbo ministerijos susitikime 2019 m. sausio 10 d. </w:t>
      </w:r>
    </w:p>
    <w:p w:rsidR="00406966" w:rsidRDefault="00406966" w:rsidP="00406966">
      <w:pPr>
        <w:pStyle w:val="tekstas"/>
      </w:pPr>
      <w:r>
        <w:t>Š.m. sausio 31- vasario 1 d. Liuksemburge vyko pirmasis EK kartu su Suomijos inovacijų fondo „</w:t>
      </w:r>
      <w:proofErr w:type="spellStart"/>
      <w:r>
        <w:t>Sitra</w:t>
      </w:r>
      <w:proofErr w:type="spellEnd"/>
      <w:r>
        <w:t xml:space="preserve">“ atstovais inicijuotas Socialinio poveikio investavimo platformos susitikimas su 10 ES valstybių narių (tarp jų dalyvavo ir Lietuva), kuriame buvo dalijamasi gerąja </w:t>
      </w:r>
      <w:proofErr w:type="spellStart"/>
      <w:r>
        <w:t>inovatyvaus</w:t>
      </w:r>
      <w:proofErr w:type="spellEnd"/>
      <w:r>
        <w:t xml:space="preserve"> investavimo socialinėje ar panašiose srityse patirtimi.</w:t>
      </w:r>
    </w:p>
    <w:p w:rsidR="00406966" w:rsidRDefault="00406966" w:rsidP="00406966">
      <w:pPr>
        <w:pStyle w:val="tekstas"/>
      </w:pPr>
      <w:r>
        <w:t xml:space="preserve">2019 m. balandžio 15 d. Finansų ministerijos iniciatyva organizuotas renginys „Poveikio investavimas: </w:t>
      </w:r>
      <w:proofErr w:type="spellStart"/>
      <w:r>
        <w:t>inovatyvūs</w:t>
      </w:r>
      <w:proofErr w:type="spellEnd"/>
      <w:r>
        <w:t xml:space="preserve"> įrankiai“, kurio metu idėja buvo pristatyta ministerijų atstovams, taip pat inicijuotos diskusijos su Sveikatos apsaugos ministerija dėl galimybių šioje srityje taikyti socialinio poveikio rezultatais grįstą finansavimo modelį, įskaitant tvarius viešuosius pirkimus, kai pirkimo objektu tampa rezultatai.</w:t>
      </w:r>
    </w:p>
    <w:p w:rsidR="00D5753D" w:rsidRDefault="00406966" w:rsidP="00406966">
      <w:pPr>
        <w:pStyle w:val="tekstas"/>
        <w:ind w:firstLine="0"/>
      </w:pPr>
      <w:r>
        <w:t xml:space="preserve">Siekiant investicinio požiūrio, taip pat investicijų efektyvumo didinimo sprendžiant valstybei svarbias problemas bei investicijų orientavimą į problemų prevenciją, o ne pasekmių šalinimą, taip pat norint pritaikyti įgytas žinias bei sukurti pilotinių poveikio investavimo modelių pavyzdžių Lietuvoje, labai svarbus </w:t>
      </w:r>
      <w:proofErr w:type="spellStart"/>
      <w:r>
        <w:t>proaktyvus</w:t>
      </w:r>
      <w:proofErr w:type="spellEnd"/>
      <w:r>
        <w:t xml:space="preserve"> ministerijų vaidmuo sprendžiant dėl konkrečios srities (problemos), kurioje toks modelis galėtų būti sukurtas bei nustatant tolimesnius veiksmus dėl šios iniciatyvos įgyvendinimo Lietuvoje 2019-2020 m.</w:t>
      </w:r>
    </w:p>
    <w:p w:rsidR="00C60C4F" w:rsidRDefault="00C60C4F" w:rsidP="006324E2">
      <w:pPr>
        <w:pStyle w:val="tekstas"/>
      </w:pPr>
      <w:r>
        <w:br w:type="page"/>
      </w:r>
      <w:bookmarkStart w:id="38" w:name="_GoBack"/>
      <w:bookmarkEnd w:id="38"/>
      <w:r w:rsidR="006324E2">
        <w:lastRenderedPageBreak/>
        <w:t xml:space="preserve"> </w:t>
      </w:r>
    </w:p>
    <w:p w:rsidR="00007F90" w:rsidRPr="00007F90" w:rsidRDefault="00007F90" w:rsidP="00007F90">
      <w:pPr>
        <w:jc w:val="both"/>
        <w:rPr>
          <w:rFonts w:asciiTheme="minorHAnsi" w:hAnsiTheme="minorHAnsi"/>
          <w:color w:val="666666"/>
          <w:szCs w:val="24"/>
        </w:rPr>
      </w:pPr>
    </w:p>
    <w:p w:rsidR="00007F90" w:rsidRPr="00007F90" w:rsidRDefault="00007F90" w:rsidP="00007F90">
      <w:pPr>
        <w:jc w:val="center"/>
        <w:rPr>
          <w:rFonts w:asciiTheme="minorHAnsi" w:eastAsia="Calibri" w:hAnsiTheme="minorHAnsi"/>
          <w:b/>
          <w:noProof/>
          <w:color w:val="0070C0"/>
          <w:szCs w:val="24"/>
          <w:lang w:eastAsia="lt-LT"/>
        </w:rPr>
      </w:pPr>
      <w:r w:rsidRPr="00007F90">
        <w:rPr>
          <w:rFonts w:asciiTheme="minorHAnsi" w:eastAsia="Calibri" w:hAnsiTheme="minorHAnsi"/>
          <w:b/>
          <w:noProof/>
          <w:color w:val="0070C0"/>
          <w:szCs w:val="24"/>
          <w:lang w:eastAsia="lt-LT"/>
        </w:rPr>
        <w:drawing>
          <wp:inline distT="0" distB="0" distL="0" distR="0" wp14:anchorId="4F377380" wp14:editId="1D56CD78">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007F90">
        <w:rPr>
          <w:rFonts w:asciiTheme="minorHAnsi" w:eastAsia="Calibri" w:hAnsiTheme="minorHAnsi"/>
          <w:b/>
          <w:noProof/>
          <w:color w:val="0070C0"/>
          <w:szCs w:val="24"/>
          <w:lang w:eastAsia="lt-LT"/>
        </w:rPr>
        <w:drawing>
          <wp:inline distT="0" distB="0" distL="0" distR="0" wp14:anchorId="26153183" wp14:editId="16193BEB">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r w:rsidRPr="00007F90">
        <w:rPr>
          <w:rFonts w:asciiTheme="minorHAnsi" w:eastAsia="Calibri" w:hAnsiTheme="minorHAnsi"/>
          <w:b/>
          <w:noProof/>
          <w:color w:val="0070C0"/>
          <w:szCs w:val="24"/>
          <w:lang w:eastAsia="lt-LT"/>
        </w:rPr>
        <w:drawing>
          <wp:inline distT="0" distB="0" distL="0" distR="0" wp14:anchorId="611C6B3A" wp14:editId="1A4A8D81">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hAnsiTheme="minorHAnsi"/>
          <w:color w:val="666666"/>
          <w:szCs w:val="24"/>
        </w:rPr>
      </w:pPr>
      <w:r w:rsidRPr="00007F90">
        <w:rPr>
          <w:rFonts w:asciiTheme="minorHAnsi" w:eastAsia="Calibri" w:hAnsiTheme="minorHAnsi"/>
          <w:b/>
          <w:noProof/>
          <w:color w:val="0070C0"/>
          <w:szCs w:val="24"/>
          <w:lang w:eastAsia="lt-LT"/>
        </w:rPr>
        <w:drawing>
          <wp:inline distT="0" distB="0" distL="0" distR="0" wp14:anchorId="392343E3" wp14:editId="18F033E2">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5"/>
    <w:p w:rsidR="009F53D9" w:rsidRPr="00D65621" w:rsidRDefault="009F53D9" w:rsidP="00A429C5">
      <w:pPr>
        <w:spacing w:after="200" w:line="276" w:lineRule="auto"/>
        <w:rPr>
          <w:rFonts w:asciiTheme="minorHAnsi" w:hAnsiTheme="minorHAnsi"/>
          <w:color w:val="666666"/>
          <w:szCs w:val="24"/>
        </w:rPr>
      </w:pPr>
    </w:p>
    <w:sectPr w:rsidR="009F53D9" w:rsidRPr="00D65621" w:rsidSect="00807D99">
      <w:headerReference w:type="default" r:id="rId41"/>
      <w:footerReference w:type="default" r:id="rId42"/>
      <w:type w:val="continuous"/>
      <w:pgSz w:w="11906" w:h="16838"/>
      <w:pgMar w:top="110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1B" w:rsidRDefault="00CF541B" w:rsidP="00885DE2">
      <w:r>
        <w:separator/>
      </w:r>
    </w:p>
    <w:p w:rsidR="00CF541B" w:rsidRDefault="00CF541B"/>
  </w:endnote>
  <w:endnote w:type="continuationSeparator" w:id="0">
    <w:p w:rsidR="00CF541B" w:rsidRDefault="00CF541B" w:rsidP="00885DE2">
      <w:r>
        <w:continuationSeparator/>
      </w:r>
    </w:p>
    <w:p w:rsidR="00CF541B" w:rsidRDefault="00CF5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7423"/>
      <w:docPartObj>
        <w:docPartGallery w:val="Page Numbers (Bottom of Page)"/>
        <w:docPartUnique/>
      </w:docPartObj>
    </w:sdtPr>
    <w:sdtEndPr/>
    <w:sdtContent>
      <w:p w:rsidR="00CF541B" w:rsidRDefault="00CF541B">
        <w:pPr>
          <w:pStyle w:val="Porat"/>
          <w:jc w:val="center"/>
        </w:pPr>
      </w:p>
      <w:p w:rsidR="00CF541B" w:rsidRDefault="00CF541B">
        <w:pPr>
          <w:pStyle w:val="Porat"/>
          <w:jc w:val="center"/>
        </w:pPr>
        <w:r>
          <w:fldChar w:fldCharType="begin"/>
        </w:r>
        <w:r>
          <w:instrText>PAGE   \* MERGEFORMAT</w:instrText>
        </w:r>
        <w:r>
          <w:fldChar w:fldCharType="separate"/>
        </w:r>
        <w:r w:rsidR="00D02AAA">
          <w:rPr>
            <w:noProof/>
          </w:rPr>
          <w:t>25</w:t>
        </w:r>
        <w:r>
          <w:fldChar w:fldCharType="end"/>
        </w:r>
      </w:p>
    </w:sdtContent>
  </w:sdt>
  <w:p w:rsidR="00CF541B" w:rsidRDefault="00CF54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1B" w:rsidRDefault="00CF541B" w:rsidP="00885DE2">
      <w:r>
        <w:separator/>
      </w:r>
    </w:p>
    <w:p w:rsidR="00CF541B" w:rsidRDefault="00CF541B"/>
  </w:footnote>
  <w:footnote w:type="continuationSeparator" w:id="0">
    <w:p w:rsidR="00CF541B" w:rsidRDefault="00CF541B" w:rsidP="00885DE2">
      <w:r>
        <w:continuationSeparator/>
      </w:r>
    </w:p>
    <w:p w:rsidR="00CF541B" w:rsidRDefault="00CF541B"/>
  </w:footnote>
  <w:footnote w:id="1">
    <w:p w:rsidR="00CF541B" w:rsidRDefault="00CF541B" w:rsidP="00BC54FE">
      <w:pPr>
        <w:pStyle w:val="Puslapioinaostekstas"/>
      </w:pPr>
      <w:r>
        <w:rPr>
          <w:rStyle w:val="Puslapioinaosnuoroda"/>
        </w:rPr>
        <w:footnoteRef/>
      </w:r>
      <w:r>
        <w:t xml:space="preserve"> Į rodiklį įsiskaičiuoja bendri grynieji išmokėjimai (angl. </w:t>
      </w:r>
      <w:proofErr w:type="spellStart"/>
      <w:r w:rsidRPr="001E27E2">
        <w:rPr>
          <w:i/>
        </w:rPr>
        <w:t>total</w:t>
      </w:r>
      <w:proofErr w:type="spellEnd"/>
      <w:r w:rsidRPr="001E27E2">
        <w:rPr>
          <w:i/>
        </w:rPr>
        <w:t xml:space="preserve"> net </w:t>
      </w:r>
      <w:proofErr w:type="spellStart"/>
      <w:r w:rsidRPr="001E27E2">
        <w:rPr>
          <w:i/>
        </w:rPr>
        <w:t>payments</w:t>
      </w:r>
      <w:proofErr w:type="spellEnd"/>
      <w:r>
        <w:t xml:space="preserve">), t. y. pirminiai avansai, grynieji papildomi pirminiai avansai (papildomi pirminiai avansai be grąžintos dalies), grynieji metiniai avansai (metiniai avansai be grąžintos dalies), taip pat grynieji tarpiniai mokėjimai </w:t>
      </w:r>
      <w:proofErr w:type="gramStart"/>
      <w:r>
        <w:t>(</w:t>
      </w:r>
      <w:proofErr w:type="gramEnd"/>
      <w:r>
        <w:t>tarpiniai mokėjimai be grąžintos dalies ir metiniai avansai, padengti išlaidų).</w:t>
      </w:r>
    </w:p>
  </w:footnote>
  <w:footnote w:id="2">
    <w:p w:rsidR="00CF541B" w:rsidRDefault="00CF541B">
      <w:pPr>
        <w:pStyle w:val="Puslapioinaostekstas"/>
      </w:pPr>
      <w:r>
        <w:rPr>
          <w:rStyle w:val="Puslapioinaosnuoroda"/>
        </w:rPr>
        <w:footnoteRef/>
      </w:r>
      <w:r>
        <w:t xml:space="preserve"> Finansų rinkų plėtra, sveikata, institucinės globos pertvarka, viešasis administravimas, valstybės išteklių konsolidavimas ir duomenų atvėrimas, strateginės infrastruktūros plėtojimas, švietimas, inovacijos ir </w:t>
      </w:r>
      <w:proofErr w:type="spellStart"/>
      <w:r>
        <w:t>inovatyvi</w:t>
      </w:r>
      <w:proofErr w:type="spellEnd"/>
      <w:r>
        <w:t xml:space="preserve"> ekonomika, energijos efektyvumo didinimas, kultūros paveldo </w:t>
      </w:r>
      <w:proofErr w:type="spellStart"/>
      <w:r>
        <w:t>įveiklinimas</w:t>
      </w:r>
      <w:proofErr w:type="spellEnd"/>
      <w:r>
        <w:t xml:space="preserve"> ir kultūrinio verslumo skatinimas.</w:t>
      </w:r>
    </w:p>
  </w:footnote>
  <w:footnote w:id="3">
    <w:p w:rsidR="00CF541B" w:rsidRPr="00A00910" w:rsidRDefault="00CF541B" w:rsidP="002A437F">
      <w:pPr>
        <w:pStyle w:val="Puslapioinaostekstas"/>
        <w:rPr>
          <w:rFonts w:asciiTheme="minorHAnsi" w:hAnsiTheme="minorHAnsi" w:cstheme="minorHAnsi"/>
          <w:color w:val="595959" w:themeColor="text1" w:themeTint="A6"/>
        </w:rPr>
      </w:pPr>
      <w:r>
        <w:rPr>
          <w:rStyle w:val="Puslapioinaosnuoroda"/>
        </w:rPr>
        <w:footnoteRef/>
      </w:r>
      <w:r>
        <w:t xml:space="preserve">   </w:t>
      </w:r>
      <w:r w:rsidRPr="00A00910">
        <w:rPr>
          <w:rFonts w:asciiTheme="minorHAnsi" w:hAnsiTheme="minorHAnsi" w:cstheme="minorHAnsi"/>
          <w:color w:val="595959" w:themeColor="text1" w:themeTint="A6"/>
        </w:rPr>
        <w:t>Priemonė ,,</w:t>
      </w:r>
      <w:r>
        <w:rPr>
          <w:rFonts w:asciiTheme="minorHAnsi" w:hAnsiTheme="minorHAnsi" w:cstheme="minorHAnsi"/>
          <w:color w:val="595959" w:themeColor="text1" w:themeTint="A6"/>
        </w:rPr>
        <w:t>TEN-T</w:t>
      </w:r>
      <w:proofErr w:type="gramStart"/>
      <w:r>
        <w:rPr>
          <w:rFonts w:asciiTheme="minorHAnsi" w:hAnsiTheme="minorHAnsi" w:cstheme="minorHAnsi"/>
          <w:color w:val="595959" w:themeColor="text1" w:themeTint="A6"/>
        </w:rPr>
        <w:t xml:space="preserve">  </w:t>
      </w:r>
      <w:proofErr w:type="gramEnd"/>
      <w:r>
        <w:rPr>
          <w:rFonts w:asciiTheme="minorHAnsi" w:hAnsiTheme="minorHAnsi" w:cstheme="minorHAnsi"/>
          <w:color w:val="595959" w:themeColor="text1" w:themeTint="A6"/>
        </w:rPr>
        <w:t>geležinkelių tinklo atnaujinimas ir patobulinimas, skirtingų rūšių transporto sąveikos gerinimas</w:t>
      </w:r>
      <w:r w:rsidRPr="00A00910">
        <w:rPr>
          <w:rFonts w:asciiTheme="minorHAnsi" w:hAnsiTheme="minorHAnsi" w:cstheme="minorHAnsi"/>
          <w:color w:val="595959" w:themeColor="text1" w:themeTint="A6"/>
        </w:rPr>
        <w:t>“</w:t>
      </w:r>
    </w:p>
  </w:footnote>
  <w:footnote w:id="4">
    <w:p w:rsidR="00CF541B" w:rsidRPr="00E57ADE" w:rsidRDefault="00CF541B" w:rsidP="002A437F">
      <w:pPr>
        <w:pStyle w:val="Puslapioinaostekstas"/>
        <w:rPr>
          <w:rFonts w:asciiTheme="minorHAnsi" w:hAnsiTheme="minorHAnsi" w:cstheme="minorHAnsi"/>
          <w:color w:val="595959" w:themeColor="text1" w:themeTint="A6"/>
        </w:rPr>
      </w:pPr>
      <w:r w:rsidRPr="00E57ADE">
        <w:rPr>
          <w:rStyle w:val="Puslapioinaosnuoroda"/>
          <w:color w:val="595959" w:themeColor="text1" w:themeTint="A6"/>
        </w:rPr>
        <w:footnoteRef/>
      </w:r>
      <w:r w:rsidRPr="00E57ADE">
        <w:rPr>
          <w:color w:val="595959" w:themeColor="text1" w:themeTint="A6"/>
        </w:rPr>
        <w:t xml:space="preserve"> </w:t>
      </w:r>
      <w:r w:rsidRPr="00E57ADE">
        <w:rPr>
          <w:rFonts w:asciiTheme="minorHAnsi" w:hAnsiTheme="minorHAnsi" w:cstheme="minorHAnsi"/>
          <w:color w:val="595959" w:themeColor="text1" w:themeTint="A6"/>
        </w:rPr>
        <w:t xml:space="preserve">Europos Komisija, Šalies ataskaita. Lietuva 2019 </w:t>
      </w:r>
    </w:p>
    <w:p w:rsidR="00CF541B" w:rsidRDefault="00D02AAA" w:rsidP="002A437F">
      <w:pPr>
        <w:pStyle w:val="Puslapioinaostekstas"/>
      </w:pPr>
      <w:hyperlink r:id="rId1" w:history="1">
        <w:r w:rsidR="00CF541B" w:rsidRPr="00B16A2E">
          <w:rPr>
            <w:rStyle w:val="Hipersaitas"/>
          </w:rPr>
          <w:t>https://ec.europa.eu/info/sites/info/files/file_import/2019-european-semester-country-report-lithuania_lt.pdf</w:t>
        </w:r>
      </w:hyperlink>
      <w:r w:rsidR="00CF541B">
        <w:t xml:space="preserve"> </w:t>
      </w:r>
    </w:p>
  </w:footnote>
  <w:footnote w:id="5">
    <w:p w:rsidR="00CF541B" w:rsidRDefault="00CF541B" w:rsidP="00BE4B81">
      <w:pPr>
        <w:pStyle w:val="Puslapioinaostekstas"/>
      </w:pPr>
      <w:r>
        <w:rPr>
          <w:rStyle w:val="Puslapioinaosnuoroda"/>
        </w:rPr>
        <w:footnoteRef/>
      </w:r>
      <w:r>
        <w:t xml:space="preserve"> Lietuvos Respublikos finansų ministerijos 2019 m. rugpjūčio 5 d. raštas Nr. </w:t>
      </w:r>
      <w:r w:rsidRPr="00051F96">
        <w:t>6K-1904129</w:t>
      </w:r>
      <w:r>
        <w:t xml:space="preserve"> „Dėl </w:t>
      </w:r>
      <w:r w:rsidRPr="00051F96">
        <w:t>investicijų efektyvumo, finansuojant universitetų tinklo optimizavimą</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1B" w:rsidRDefault="00CF541B" w:rsidP="00B86403">
    <w:pPr>
      <w:pStyle w:val="Antrats"/>
      <w:jc w:val="center"/>
    </w:pPr>
  </w:p>
  <w:p w:rsidR="00CF541B" w:rsidRDefault="00CF5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39B"/>
    <w:multiLevelType w:val="hybridMultilevel"/>
    <w:tmpl w:val="5D3C5A1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nsid w:val="07EB699A"/>
    <w:multiLevelType w:val="hybridMultilevel"/>
    <w:tmpl w:val="108A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5C3433"/>
    <w:multiLevelType w:val="hybridMultilevel"/>
    <w:tmpl w:val="5C7A19FC"/>
    <w:lvl w:ilvl="0" w:tplc="55C0041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F0688D"/>
    <w:multiLevelType w:val="hybridMultilevel"/>
    <w:tmpl w:val="931E496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nsid w:val="12741DAA"/>
    <w:multiLevelType w:val="hybridMultilevel"/>
    <w:tmpl w:val="755E0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B1D6C17"/>
    <w:multiLevelType w:val="hybridMultilevel"/>
    <w:tmpl w:val="E710D4F4"/>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nsid w:val="1B3D2E45"/>
    <w:multiLevelType w:val="hybridMultilevel"/>
    <w:tmpl w:val="99F82BB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nsid w:val="1D2A021D"/>
    <w:multiLevelType w:val="hybridMultilevel"/>
    <w:tmpl w:val="62A8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71E6FC9"/>
    <w:multiLevelType w:val="hybridMultilevel"/>
    <w:tmpl w:val="7E6ED5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88F1E5E"/>
    <w:multiLevelType w:val="hybridMultilevel"/>
    <w:tmpl w:val="55A2844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nsid w:val="2CED31D9"/>
    <w:multiLevelType w:val="hybridMultilevel"/>
    <w:tmpl w:val="2884CF82"/>
    <w:lvl w:ilvl="0" w:tplc="12301B6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E245E01"/>
    <w:multiLevelType w:val="hybridMultilevel"/>
    <w:tmpl w:val="45A08C6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nsid w:val="2FB61FB5"/>
    <w:multiLevelType w:val="hybridMultilevel"/>
    <w:tmpl w:val="152A5988"/>
    <w:lvl w:ilvl="0" w:tplc="67385D50">
      <w:start w:val="1"/>
      <w:numFmt w:val="bullet"/>
      <w:lvlText w:val="-"/>
      <w:lvlJc w:val="left"/>
      <w:pPr>
        <w:ind w:left="1146" w:hanging="360"/>
      </w:pPr>
      <w:rPr>
        <w:rFonts w:ascii="Calibri" w:eastAsia="Times New Roman" w:hAnsi="Calibri" w:cs="Calibri"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nsid w:val="33482061"/>
    <w:multiLevelType w:val="hybridMultilevel"/>
    <w:tmpl w:val="B2E48724"/>
    <w:lvl w:ilvl="0" w:tplc="FF38AAA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3BC6ABA"/>
    <w:multiLevelType w:val="hybridMultilevel"/>
    <w:tmpl w:val="EEF4956A"/>
    <w:lvl w:ilvl="0" w:tplc="0BC256C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40C6CDA"/>
    <w:multiLevelType w:val="hybridMultilevel"/>
    <w:tmpl w:val="3418E6EA"/>
    <w:lvl w:ilvl="0" w:tplc="F5A0951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44C7919"/>
    <w:multiLevelType w:val="hybridMultilevel"/>
    <w:tmpl w:val="26CCD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88D3120"/>
    <w:multiLevelType w:val="hybridMultilevel"/>
    <w:tmpl w:val="789C9304"/>
    <w:lvl w:ilvl="0" w:tplc="0BB442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AC27661"/>
    <w:multiLevelType w:val="hybridMultilevel"/>
    <w:tmpl w:val="8AC4F4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nsid w:val="3E4B11B0"/>
    <w:multiLevelType w:val="hybridMultilevel"/>
    <w:tmpl w:val="61A8C188"/>
    <w:lvl w:ilvl="0" w:tplc="67385D50">
      <w:start w:val="1"/>
      <w:numFmt w:val="bullet"/>
      <w:lvlText w:val="-"/>
      <w:lvlJc w:val="left"/>
      <w:pPr>
        <w:ind w:left="502" w:hanging="360"/>
      </w:pPr>
      <w:rPr>
        <w:rFonts w:ascii="Calibri" w:eastAsia="Times New Roman" w:hAnsi="Calibri" w:cs="Calibri"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0">
    <w:nsid w:val="42916B38"/>
    <w:multiLevelType w:val="hybridMultilevel"/>
    <w:tmpl w:val="49F813B6"/>
    <w:lvl w:ilvl="0" w:tplc="799E16AC">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4A36260"/>
    <w:multiLevelType w:val="hybridMultilevel"/>
    <w:tmpl w:val="928434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2">
    <w:nsid w:val="4BE72550"/>
    <w:multiLevelType w:val="multilevel"/>
    <w:tmpl w:val="A6A0EC1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51F4765"/>
    <w:multiLevelType w:val="hybridMultilevel"/>
    <w:tmpl w:val="41607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5F852C9"/>
    <w:multiLevelType w:val="hybridMultilevel"/>
    <w:tmpl w:val="0ABC1B7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nsid w:val="57505177"/>
    <w:multiLevelType w:val="hybridMultilevel"/>
    <w:tmpl w:val="059ED73E"/>
    <w:lvl w:ilvl="0" w:tplc="C8A87438">
      <w:start w:val="15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77E4354"/>
    <w:multiLevelType w:val="hybridMultilevel"/>
    <w:tmpl w:val="A2087B98"/>
    <w:lvl w:ilvl="0" w:tplc="6A2CB4EE">
      <w:start w:val="9"/>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8C30AA4"/>
    <w:multiLevelType w:val="hybridMultilevel"/>
    <w:tmpl w:val="E326E486"/>
    <w:lvl w:ilvl="0" w:tplc="67385D5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95149F6"/>
    <w:multiLevelType w:val="hybridMultilevel"/>
    <w:tmpl w:val="B4A24EA4"/>
    <w:lvl w:ilvl="0" w:tplc="3552ECCA">
      <w:start w:val="1"/>
      <w:numFmt w:val="bullet"/>
      <w:lvlText w:val="-"/>
      <w:lvlJc w:val="left"/>
      <w:pPr>
        <w:ind w:left="720" w:hanging="360"/>
      </w:pPr>
      <w:rPr>
        <w:rFonts w:ascii="Calibri" w:eastAsia="Times New Roman" w:hAnsi="Calibri" w:cs="Calibr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C77782B"/>
    <w:multiLevelType w:val="hybridMultilevel"/>
    <w:tmpl w:val="6052B306"/>
    <w:lvl w:ilvl="0" w:tplc="862AA4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nsid w:val="5CD8060A"/>
    <w:multiLevelType w:val="hybridMultilevel"/>
    <w:tmpl w:val="6052B306"/>
    <w:lvl w:ilvl="0" w:tplc="862AA4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nsid w:val="5E1B7C00"/>
    <w:multiLevelType w:val="hybridMultilevel"/>
    <w:tmpl w:val="9CB65AB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3">
    <w:nsid w:val="5EC87C58"/>
    <w:multiLevelType w:val="hybridMultilevel"/>
    <w:tmpl w:val="1CDECA6E"/>
    <w:lvl w:ilvl="0" w:tplc="9F94705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7716D9"/>
    <w:multiLevelType w:val="hybridMultilevel"/>
    <w:tmpl w:val="E37A7E62"/>
    <w:lvl w:ilvl="0" w:tplc="862AA4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nsid w:val="6BD64547"/>
    <w:multiLevelType w:val="hybridMultilevel"/>
    <w:tmpl w:val="F376A730"/>
    <w:lvl w:ilvl="0" w:tplc="A91C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1052E22"/>
    <w:multiLevelType w:val="hybridMultilevel"/>
    <w:tmpl w:val="58029E66"/>
    <w:lvl w:ilvl="0" w:tplc="54DA918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603181E"/>
    <w:multiLevelType w:val="hybridMultilevel"/>
    <w:tmpl w:val="87E84D82"/>
    <w:lvl w:ilvl="0" w:tplc="7528E6C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8FF1666"/>
    <w:multiLevelType w:val="hybridMultilevel"/>
    <w:tmpl w:val="9D8472E6"/>
    <w:lvl w:ilvl="0" w:tplc="08C263A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420DF2"/>
    <w:multiLevelType w:val="hybridMultilevel"/>
    <w:tmpl w:val="14CAD568"/>
    <w:lvl w:ilvl="0" w:tplc="F04C2140">
      <w:start w:val="2019"/>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3"/>
  </w:num>
  <w:num w:numId="4">
    <w:abstractNumId w:val="15"/>
  </w:num>
  <w:num w:numId="5">
    <w:abstractNumId w:val="5"/>
  </w:num>
  <w:num w:numId="6">
    <w:abstractNumId w:val="31"/>
  </w:num>
  <w:num w:numId="7">
    <w:abstractNumId w:val="9"/>
  </w:num>
  <w:num w:numId="8">
    <w:abstractNumId w:val="11"/>
  </w:num>
  <w:num w:numId="9">
    <w:abstractNumId w:val="25"/>
  </w:num>
  <w:num w:numId="10">
    <w:abstractNumId w:val="30"/>
  </w:num>
  <w:num w:numId="11">
    <w:abstractNumId w:val="32"/>
  </w:num>
  <w:num w:numId="12">
    <w:abstractNumId w:val="34"/>
  </w:num>
  <w:num w:numId="13">
    <w:abstractNumId w:val="21"/>
  </w:num>
  <w:num w:numId="14">
    <w:abstractNumId w:val="6"/>
  </w:num>
  <w:num w:numId="15">
    <w:abstractNumId w:val="36"/>
  </w:num>
  <w:num w:numId="16">
    <w:abstractNumId w:val="2"/>
  </w:num>
  <w:num w:numId="17">
    <w:abstractNumId w:val="20"/>
  </w:num>
  <w:num w:numId="18">
    <w:abstractNumId w:val="37"/>
  </w:num>
  <w:num w:numId="19">
    <w:abstractNumId w:val="38"/>
  </w:num>
  <w:num w:numId="20">
    <w:abstractNumId w:val="18"/>
  </w:num>
  <w:num w:numId="21">
    <w:abstractNumId w:val="24"/>
  </w:num>
  <w:num w:numId="22">
    <w:abstractNumId w:val="16"/>
  </w:num>
  <w:num w:numId="23">
    <w:abstractNumId w:val="0"/>
  </w:num>
  <w:num w:numId="24">
    <w:abstractNumId w:val="8"/>
  </w:num>
  <w:num w:numId="25">
    <w:abstractNumId w:val="28"/>
  </w:num>
  <w:num w:numId="26">
    <w:abstractNumId w:val="12"/>
  </w:num>
  <w:num w:numId="27">
    <w:abstractNumId w:val="39"/>
  </w:num>
  <w:num w:numId="28">
    <w:abstractNumId w:val="29"/>
  </w:num>
  <w:num w:numId="29">
    <w:abstractNumId w:val="35"/>
  </w:num>
  <w:num w:numId="30">
    <w:abstractNumId w:val="13"/>
  </w:num>
  <w:num w:numId="31">
    <w:abstractNumId w:val="14"/>
  </w:num>
  <w:num w:numId="32">
    <w:abstractNumId w:val="4"/>
  </w:num>
  <w:num w:numId="33">
    <w:abstractNumId w:val="7"/>
  </w:num>
  <w:num w:numId="34">
    <w:abstractNumId w:val="23"/>
  </w:num>
  <w:num w:numId="35">
    <w:abstractNumId w:val="26"/>
  </w:num>
  <w:num w:numId="36">
    <w:abstractNumId w:val="17"/>
  </w:num>
  <w:num w:numId="37">
    <w:abstractNumId w:val="33"/>
  </w:num>
  <w:num w:numId="38">
    <w:abstractNumId w:val="22"/>
  </w:num>
  <w:num w:numId="39">
    <w:abstractNumId w:val="1"/>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36"/>
    <w:rsid w:val="00000A8B"/>
    <w:rsid w:val="00001867"/>
    <w:rsid w:val="00001905"/>
    <w:rsid w:val="0000192D"/>
    <w:rsid w:val="00001A53"/>
    <w:rsid w:val="0000262B"/>
    <w:rsid w:val="0000367F"/>
    <w:rsid w:val="000038D6"/>
    <w:rsid w:val="00004454"/>
    <w:rsid w:val="000058CC"/>
    <w:rsid w:val="0000592B"/>
    <w:rsid w:val="00005D87"/>
    <w:rsid w:val="000061AD"/>
    <w:rsid w:val="0000643A"/>
    <w:rsid w:val="00007F90"/>
    <w:rsid w:val="000102C5"/>
    <w:rsid w:val="00010C7F"/>
    <w:rsid w:val="00010CFA"/>
    <w:rsid w:val="00010F32"/>
    <w:rsid w:val="00011121"/>
    <w:rsid w:val="0001113C"/>
    <w:rsid w:val="00011729"/>
    <w:rsid w:val="0001197F"/>
    <w:rsid w:val="0001198C"/>
    <w:rsid w:val="00011E10"/>
    <w:rsid w:val="00012338"/>
    <w:rsid w:val="0001242D"/>
    <w:rsid w:val="00012D02"/>
    <w:rsid w:val="0001301A"/>
    <w:rsid w:val="00013643"/>
    <w:rsid w:val="0001398C"/>
    <w:rsid w:val="0001517B"/>
    <w:rsid w:val="000153B4"/>
    <w:rsid w:val="00015444"/>
    <w:rsid w:val="00015BAD"/>
    <w:rsid w:val="00016210"/>
    <w:rsid w:val="000164B1"/>
    <w:rsid w:val="000165E2"/>
    <w:rsid w:val="00016996"/>
    <w:rsid w:val="0001708F"/>
    <w:rsid w:val="0001737F"/>
    <w:rsid w:val="000175D7"/>
    <w:rsid w:val="0001784F"/>
    <w:rsid w:val="00017AE5"/>
    <w:rsid w:val="00020BAB"/>
    <w:rsid w:val="00020BE0"/>
    <w:rsid w:val="00020D31"/>
    <w:rsid w:val="00021951"/>
    <w:rsid w:val="00022531"/>
    <w:rsid w:val="000226EE"/>
    <w:rsid w:val="00022718"/>
    <w:rsid w:val="00022B97"/>
    <w:rsid w:val="0002379C"/>
    <w:rsid w:val="00023E5E"/>
    <w:rsid w:val="00024153"/>
    <w:rsid w:val="0002426C"/>
    <w:rsid w:val="000245F8"/>
    <w:rsid w:val="00024CF4"/>
    <w:rsid w:val="0002540D"/>
    <w:rsid w:val="00025633"/>
    <w:rsid w:val="00025986"/>
    <w:rsid w:val="00026181"/>
    <w:rsid w:val="00026605"/>
    <w:rsid w:val="00026979"/>
    <w:rsid w:val="00026A23"/>
    <w:rsid w:val="00026DCF"/>
    <w:rsid w:val="00026E21"/>
    <w:rsid w:val="000270EE"/>
    <w:rsid w:val="0002759C"/>
    <w:rsid w:val="000277AC"/>
    <w:rsid w:val="00027B58"/>
    <w:rsid w:val="00027DC5"/>
    <w:rsid w:val="000305AE"/>
    <w:rsid w:val="00030B2B"/>
    <w:rsid w:val="00030E87"/>
    <w:rsid w:val="000319F9"/>
    <w:rsid w:val="00031D09"/>
    <w:rsid w:val="00031E0B"/>
    <w:rsid w:val="000326F4"/>
    <w:rsid w:val="00033060"/>
    <w:rsid w:val="00033398"/>
    <w:rsid w:val="00033C1B"/>
    <w:rsid w:val="00033DA1"/>
    <w:rsid w:val="0003408E"/>
    <w:rsid w:val="0003449B"/>
    <w:rsid w:val="0003478D"/>
    <w:rsid w:val="00034A12"/>
    <w:rsid w:val="00034BB3"/>
    <w:rsid w:val="00035123"/>
    <w:rsid w:val="000354C0"/>
    <w:rsid w:val="0003583B"/>
    <w:rsid w:val="00035A9F"/>
    <w:rsid w:val="00035C9C"/>
    <w:rsid w:val="00035E4D"/>
    <w:rsid w:val="00036131"/>
    <w:rsid w:val="000361F4"/>
    <w:rsid w:val="000372DD"/>
    <w:rsid w:val="00037E5E"/>
    <w:rsid w:val="000406F5"/>
    <w:rsid w:val="000408D4"/>
    <w:rsid w:val="00042FE6"/>
    <w:rsid w:val="000433B6"/>
    <w:rsid w:val="000435B9"/>
    <w:rsid w:val="00044E0F"/>
    <w:rsid w:val="00044F50"/>
    <w:rsid w:val="00045D29"/>
    <w:rsid w:val="00045F66"/>
    <w:rsid w:val="00046004"/>
    <w:rsid w:val="0004611B"/>
    <w:rsid w:val="0004665E"/>
    <w:rsid w:val="000466F5"/>
    <w:rsid w:val="000468BB"/>
    <w:rsid w:val="000471B8"/>
    <w:rsid w:val="0004739D"/>
    <w:rsid w:val="0004758C"/>
    <w:rsid w:val="000500A6"/>
    <w:rsid w:val="00050A45"/>
    <w:rsid w:val="00050C53"/>
    <w:rsid w:val="000514FF"/>
    <w:rsid w:val="00051619"/>
    <w:rsid w:val="00051BE5"/>
    <w:rsid w:val="00051CA2"/>
    <w:rsid w:val="00051F96"/>
    <w:rsid w:val="00052893"/>
    <w:rsid w:val="00053130"/>
    <w:rsid w:val="0005332A"/>
    <w:rsid w:val="000534E5"/>
    <w:rsid w:val="00053534"/>
    <w:rsid w:val="00053645"/>
    <w:rsid w:val="0005370A"/>
    <w:rsid w:val="00053C6A"/>
    <w:rsid w:val="000540BD"/>
    <w:rsid w:val="000548EF"/>
    <w:rsid w:val="00054913"/>
    <w:rsid w:val="00054C4D"/>
    <w:rsid w:val="000561BA"/>
    <w:rsid w:val="000562E8"/>
    <w:rsid w:val="000564EB"/>
    <w:rsid w:val="00056557"/>
    <w:rsid w:val="00056949"/>
    <w:rsid w:val="00056DC0"/>
    <w:rsid w:val="000575C5"/>
    <w:rsid w:val="00057D22"/>
    <w:rsid w:val="00060F38"/>
    <w:rsid w:val="000617F5"/>
    <w:rsid w:val="00061C76"/>
    <w:rsid w:val="00061EB0"/>
    <w:rsid w:val="0006214E"/>
    <w:rsid w:val="000628F2"/>
    <w:rsid w:val="00062E17"/>
    <w:rsid w:val="00063419"/>
    <w:rsid w:val="000635ED"/>
    <w:rsid w:val="00063EF4"/>
    <w:rsid w:val="00064037"/>
    <w:rsid w:val="000644F2"/>
    <w:rsid w:val="000648A5"/>
    <w:rsid w:val="00065231"/>
    <w:rsid w:val="000652F9"/>
    <w:rsid w:val="0006540D"/>
    <w:rsid w:val="00065EBA"/>
    <w:rsid w:val="000663F5"/>
    <w:rsid w:val="00066926"/>
    <w:rsid w:val="00066F8D"/>
    <w:rsid w:val="000672AC"/>
    <w:rsid w:val="0007040F"/>
    <w:rsid w:val="000704F3"/>
    <w:rsid w:val="00070DE6"/>
    <w:rsid w:val="00071373"/>
    <w:rsid w:val="000719C4"/>
    <w:rsid w:val="000719D4"/>
    <w:rsid w:val="000722AF"/>
    <w:rsid w:val="0007282F"/>
    <w:rsid w:val="00072883"/>
    <w:rsid w:val="00072EA2"/>
    <w:rsid w:val="00073427"/>
    <w:rsid w:val="00073432"/>
    <w:rsid w:val="000734D2"/>
    <w:rsid w:val="00073F49"/>
    <w:rsid w:val="0007415C"/>
    <w:rsid w:val="0007544B"/>
    <w:rsid w:val="00075889"/>
    <w:rsid w:val="000758EC"/>
    <w:rsid w:val="00076115"/>
    <w:rsid w:val="00076C3E"/>
    <w:rsid w:val="00077876"/>
    <w:rsid w:val="00077B70"/>
    <w:rsid w:val="00080B81"/>
    <w:rsid w:val="00080EFF"/>
    <w:rsid w:val="00081321"/>
    <w:rsid w:val="000813C4"/>
    <w:rsid w:val="00081B8D"/>
    <w:rsid w:val="000826EE"/>
    <w:rsid w:val="00082902"/>
    <w:rsid w:val="00082E20"/>
    <w:rsid w:val="00083426"/>
    <w:rsid w:val="00083900"/>
    <w:rsid w:val="00084269"/>
    <w:rsid w:val="000844C6"/>
    <w:rsid w:val="0008477E"/>
    <w:rsid w:val="00084B53"/>
    <w:rsid w:val="00084F7F"/>
    <w:rsid w:val="000852CA"/>
    <w:rsid w:val="00085A1E"/>
    <w:rsid w:val="00085CCF"/>
    <w:rsid w:val="0008601D"/>
    <w:rsid w:val="000868D4"/>
    <w:rsid w:val="00086AA8"/>
    <w:rsid w:val="00086CF9"/>
    <w:rsid w:val="0008720D"/>
    <w:rsid w:val="00087DEF"/>
    <w:rsid w:val="0009043F"/>
    <w:rsid w:val="000904FD"/>
    <w:rsid w:val="000909CF"/>
    <w:rsid w:val="00090C5D"/>
    <w:rsid w:val="00091124"/>
    <w:rsid w:val="00091548"/>
    <w:rsid w:val="00091716"/>
    <w:rsid w:val="00091A08"/>
    <w:rsid w:val="00091CB0"/>
    <w:rsid w:val="00091D81"/>
    <w:rsid w:val="000924FC"/>
    <w:rsid w:val="00092B25"/>
    <w:rsid w:val="00092E74"/>
    <w:rsid w:val="000930DD"/>
    <w:rsid w:val="00093918"/>
    <w:rsid w:val="000939BB"/>
    <w:rsid w:val="00093FBE"/>
    <w:rsid w:val="000947E8"/>
    <w:rsid w:val="000948C9"/>
    <w:rsid w:val="00094ABF"/>
    <w:rsid w:val="00095032"/>
    <w:rsid w:val="000950EE"/>
    <w:rsid w:val="0009510C"/>
    <w:rsid w:val="00095317"/>
    <w:rsid w:val="000954B9"/>
    <w:rsid w:val="00095E81"/>
    <w:rsid w:val="00095F43"/>
    <w:rsid w:val="00097180"/>
    <w:rsid w:val="00097564"/>
    <w:rsid w:val="00097652"/>
    <w:rsid w:val="0009776B"/>
    <w:rsid w:val="00097D5D"/>
    <w:rsid w:val="000A0269"/>
    <w:rsid w:val="000A04A2"/>
    <w:rsid w:val="000A0541"/>
    <w:rsid w:val="000A0917"/>
    <w:rsid w:val="000A0C09"/>
    <w:rsid w:val="000A0C4D"/>
    <w:rsid w:val="000A0D10"/>
    <w:rsid w:val="000A0E2E"/>
    <w:rsid w:val="000A1574"/>
    <w:rsid w:val="000A17E4"/>
    <w:rsid w:val="000A1C84"/>
    <w:rsid w:val="000A221E"/>
    <w:rsid w:val="000A23FE"/>
    <w:rsid w:val="000A2415"/>
    <w:rsid w:val="000A2CCA"/>
    <w:rsid w:val="000A31B8"/>
    <w:rsid w:val="000A3260"/>
    <w:rsid w:val="000A335F"/>
    <w:rsid w:val="000A336F"/>
    <w:rsid w:val="000A3A87"/>
    <w:rsid w:val="000A3CEE"/>
    <w:rsid w:val="000A4A70"/>
    <w:rsid w:val="000A563F"/>
    <w:rsid w:val="000A5838"/>
    <w:rsid w:val="000A5C43"/>
    <w:rsid w:val="000A5D83"/>
    <w:rsid w:val="000A63E6"/>
    <w:rsid w:val="000A68B8"/>
    <w:rsid w:val="000A71BF"/>
    <w:rsid w:val="000A788A"/>
    <w:rsid w:val="000A7929"/>
    <w:rsid w:val="000B00FE"/>
    <w:rsid w:val="000B0356"/>
    <w:rsid w:val="000B0A89"/>
    <w:rsid w:val="000B0E1B"/>
    <w:rsid w:val="000B117F"/>
    <w:rsid w:val="000B1A94"/>
    <w:rsid w:val="000B1B2F"/>
    <w:rsid w:val="000B20A1"/>
    <w:rsid w:val="000B2202"/>
    <w:rsid w:val="000B2663"/>
    <w:rsid w:val="000B285E"/>
    <w:rsid w:val="000B2B31"/>
    <w:rsid w:val="000B3A28"/>
    <w:rsid w:val="000B3D46"/>
    <w:rsid w:val="000B3E6F"/>
    <w:rsid w:val="000B5082"/>
    <w:rsid w:val="000B549E"/>
    <w:rsid w:val="000B59A2"/>
    <w:rsid w:val="000B6072"/>
    <w:rsid w:val="000B6579"/>
    <w:rsid w:val="000B66F2"/>
    <w:rsid w:val="000B695A"/>
    <w:rsid w:val="000B6BCB"/>
    <w:rsid w:val="000B7133"/>
    <w:rsid w:val="000B725C"/>
    <w:rsid w:val="000B7F6C"/>
    <w:rsid w:val="000C00AF"/>
    <w:rsid w:val="000C0722"/>
    <w:rsid w:val="000C0CDE"/>
    <w:rsid w:val="000C0EE7"/>
    <w:rsid w:val="000C1001"/>
    <w:rsid w:val="000C1074"/>
    <w:rsid w:val="000C23B5"/>
    <w:rsid w:val="000C34C8"/>
    <w:rsid w:val="000C3B29"/>
    <w:rsid w:val="000C3F66"/>
    <w:rsid w:val="000C43A6"/>
    <w:rsid w:val="000C44F4"/>
    <w:rsid w:val="000C45F4"/>
    <w:rsid w:val="000C4B38"/>
    <w:rsid w:val="000C4C16"/>
    <w:rsid w:val="000C51D2"/>
    <w:rsid w:val="000C558A"/>
    <w:rsid w:val="000C58BB"/>
    <w:rsid w:val="000C593A"/>
    <w:rsid w:val="000C5DE1"/>
    <w:rsid w:val="000C60E5"/>
    <w:rsid w:val="000C61CC"/>
    <w:rsid w:val="000C62AE"/>
    <w:rsid w:val="000C7211"/>
    <w:rsid w:val="000C7298"/>
    <w:rsid w:val="000C7711"/>
    <w:rsid w:val="000D0954"/>
    <w:rsid w:val="000D09C5"/>
    <w:rsid w:val="000D0C33"/>
    <w:rsid w:val="000D107D"/>
    <w:rsid w:val="000D1308"/>
    <w:rsid w:val="000D13DF"/>
    <w:rsid w:val="000D13F9"/>
    <w:rsid w:val="000D19A0"/>
    <w:rsid w:val="000D1A53"/>
    <w:rsid w:val="000D1AA2"/>
    <w:rsid w:val="000D1AA6"/>
    <w:rsid w:val="000D1D56"/>
    <w:rsid w:val="000D1D7C"/>
    <w:rsid w:val="000D209E"/>
    <w:rsid w:val="000D3113"/>
    <w:rsid w:val="000D31EC"/>
    <w:rsid w:val="000D3F84"/>
    <w:rsid w:val="000D3FD5"/>
    <w:rsid w:val="000D40CB"/>
    <w:rsid w:val="000D43A9"/>
    <w:rsid w:val="000D45E0"/>
    <w:rsid w:val="000D4928"/>
    <w:rsid w:val="000D4CEA"/>
    <w:rsid w:val="000D4DF9"/>
    <w:rsid w:val="000D4E4B"/>
    <w:rsid w:val="000D6638"/>
    <w:rsid w:val="000D68A8"/>
    <w:rsid w:val="000D691B"/>
    <w:rsid w:val="000D6BBE"/>
    <w:rsid w:val="000D7106"/>
    <w:rsid w:val="000D7777"/>
    <w:rsid w:val="000D7D76"/>
    <w:rsid w:val="000E05AC"/>
    <w:rsid w:val="000E134F"/>
    <w:rsid w:val="000E19F5"/>
    <w:rsid w:val="000E20AC"/>
    <w:rsid w:val="000E2D43"/>
    <w:rsid w:val="000E2D44"/>
    <w:rsid w:val="000E300B"/>
    <w:rsid w:val="000E3183"/>
    <w:rsid w:val="000E3377"/>
    <w:rsid w:val="000E378A"/>
    <w:rsid w:val="000E4034"/>
    <w:rsid w:val="000E531D"/>
    <w:rsid w:val="000E58EE"/>
    <w:rsid w:val="000E5A3A"/>
    <w:rsid w:val="000E5DB0"/>
    <w:rsid w:val="000E6459"/>
    <w:rsid w:val="000E6900"/>
    <w:rsid w:val="000E6F6A"/>
    <w:rsid w:val="000E73BB"/>
    <w:rsid w:val="000E78EE"/>
    <w:rsid w:val="000E78F3"/>
    <w:rsid w:val="000E7D08"/>
    <w:rsid w:val="000E7F29"/>
    <w:rsid w:val="000F090C"/>
    <w:rsid w:val="000F0E27"/>
    <w:rsid w:val="000F2185"/>
    <w:rsid w:val="000F22B7"/>
    <w:rsid w:val="000F2C09"/>
    <w:rsid w:val="000F34CA"/>
    <w:rsid w:val="000F353C"/>
    <w:rsid w:val="000F3F41"/>
    <w:rsid w:val="000F40E3"/>
    <w:rsid w:val="000F4230"/>
    <w:rsid w:val="000F4483"/>
    <w:rsid w:val="000F46ED"/>
    <w:rsid w:val="000F5159"/>
    <w:rsid w:val="000F648D"/>
    <w:rsid w:val="000F6A28"/>
    <w:rsid w:val="000F6A97"/>
    <w:rsid w:val="000F6C44"/>
    <w:rsid w:val="000F6D24"/>
    <w:rsid w:val="000F6F26"/>
    <w:rsid w:val="000F7101"/>
    <w:rsid w:val="000F750E"/>
    <w:rsid w:val="000F75A7"/>
    <w:rsid w:val="000F7AA4"/>
    <w:rsid w:val="001004A9"/>
    <w:rsid w:val="001007A9"/>
    <w:rsid w:val="00100C9D"/>
    <w:rsid w:val="00100D2D"/>
    <w:rsid w:val="00100F76"/>
    <w:rsid w:val="0010181F"/>
    <w:rsid w:val="001018C0"/>
    <w:rsid w:val="0010258D"/>
    <w:rsid w:val="001026EE"/>
    <w:rsid w:val="001026FD"/>
    <w:rsid w:val="00102707"/>
    <w:rsid w:val="00102DE8"/>
    <w:rsid w:val="00102E65"/>
    <w:rsid w:val="00102FF0"/>
    <w:rsid w:val="00103021"/>
    <w:rsid w:val="00103ACF"/>
    <w:rsid w:val="0010403D"/>
    <w:rsid w:val="00104118"/>
    <w:rsid w:val="001046F3"/>
    <w:rsid w:val="0010470F"/>
    <w:rsid w:val="00104CB5"/>
    <w:rsid w:val="00105616"/>
    <w:rsid w:val="00105A8E"/>
    <w:rsid w:val="00106330"/>
    <w:rsid w:val="00106792"/>
    <w:rsid w:val="0010694A"/>
    <w:rsid w:val="001074AE"/>
    <w:rsid w:val="00107D56"/>
    <w:rsid w:val="00107F5E"/>
    <w:rsid w:val="00110367"/>
    <w:rsid w:val="00110664"/>
    <w:rsid w:val="0011075C"/>
    <w:rsid w:val="00110AD0"/>
    <w:rsid w:val="00110F88"/>
    <w:rsid w:val="00110FD8"/>
    <w:rsid w:val="00111FAD"/>
    <w:rsid w:val="00112326"/>
    <w:rsid w:val="00112979"/>
    <w:rsid w:val="00112D87"/>
    <w:rsid w:val="00112FA7"/>
    <w:rsid w:val="00113149"/>
    <w:rsid w:val="00113171"/>
    <w:rsid w:val="0011343C"/>
    <w:rsid w:val="0011385C"/>
    <w:rsid w:val="00113CD6"/>
    <w:rsid w:val="00113DB8"/>
    <w:rsid w:val="00113F16"/>
    <w:rsid w:val="001149EE"/>
    <w:rsid w:val="0011505C"/>
    <w:rsid w:val="001154C4"/>
    <w:rsid w:val="00115610"/>
    <w:rsid w:val="001159B4"/>
    <w:rsid w:val="00115EFF"/>
    <w:rsid w:val="00117707"/>
    <w:rsid w:val="001179A8"/>
    <w:rsid w:val="00117B40"/>
    <w:rsid w:val="00117BBF"/>
    <w:rsid w:val="0012087B"/>
    <w:rsid w:val="00120A6E"/>
    <w:rsid w:val="00120F5A"/>
    <w:rsid w:val="00120F6E"/>
    <w:rsid w:val="00121504"/>
    <w:rsid w:val="00121F18"/>
    <w:rsid w:val="001222E3"/>
    <w:rsid w:val="00122388"/>
    <w:rsid w:val="0012290C"/>
    <w:rsid w:val="0012319B"/>
    <w:rsid w:val="00123380"/>
    <w:rsid w:val="00123C75"/>
    <w:rsid w:val="0012414F"/>
    <w:rsid w:val="00124292"/>
    <w:rsid w:val="00124404"/>
    <w:rsid w:val="00124E34"/>
    <w:rsid w:val="00124F7F"/>
    <w:rsid w:val="00125045"/>
    <w:rsid w:val="00125571"/>
    <w:rsid w:val="001259A4"/>
    <w:rsid w:val="00125D21"/>
    <w:rsid w:val="00125D38"/>
    <w:rsid w:val="00126130"/>
    <w:rsid w:val="0012624E"/>
    <w:rsid w:val="00126CF4"/>
    <w:rsid w:val="00126D4B"/>
    <w:rsid w:val="00126FF6"/>
    <w:rsid w:val="0013060F"/>
    <w:rsid w:val="00130924"/>
    <w:rsid w:val="001325CE"/>
    <w:rsid w:val="001326D9"/>
    <w:rsid w:val="00132EE5"/>
    <w:rsid w:val="001333FD"/>
    <w:rsid w:val="00133FBD"/>
    <w:rsid w:val="001343CE"/>
    <w:rsid w:val="00134448"/>
    <w:rsid w:val="00134509"/>
    <w:rsid w:val="0013455D"/>
    <w:rsid w:val="00134652"/>
    <w:rsid w:val="001346EF"/>
    <w:rsid w:val="00134A9D"/>
    <w:rsid w:val="00134D2C"/>
    <w:rsid w:val="00135619"/>
    <w:rsid w:val="00135F30"/>
    <w:rsid w:val="0013679D"/>
    <w:rsid w:val="0013704D"/>
    <w:rsid w:val="00137994"/>
    <w:rsid w:val="001400E4"/>
    <w:rsid w:val="001409D4"/>
    <w:rsid w:val="00140EB5"/>
    <w:rsid w:val="00141359"/>
    <w:rsid w:val="00141755"/>
    <w:rsid w:val="001419F4"/>
    <w:rsid w:val="0014204A"/>
    <w:rsid w:val="0014307F"/>
    <w:rsid w:val="0014330F"/>
    <w:rsid w:val="00143839"/>
    <w:rsid w:val="00143ACE"/>
    <w:rsid w:val="001448F5"/>
    <w:rsid w:val="00144B76"/>
    <w:rsid w:val="00144C56"/>
    <w:rsid w:val="00144DA5"/>
    <w:rsid w:val="00145365"/>
    <w:rsid w:val="0014577B"/>
    <w:rsid w:val="0014597B"/>
    <w:rsid w:val="00145E6F"/>
    <w:rsid w:val="00146642"/>
    <w:rsid w:val="00146705"/>
    <w:rsid w:val="00146EED"/>
    <w:rsid w:val="00147884"/>
    <w:rsid w:val="0014795B"/>
    <w:rsid w:val="00147DCD"/>
    <w:rsid w:val="0015005B"/>
    <w:rsid w:val="0015062E"/>
    <w:rsid w:val="001508A6"/>
    <w:rsid w:val="00150BA3"/>
    <w:rsid w:val="00150C17"/>
    <w:rsid w:val="001515A3"/>
    <w:rsid w:val="001515AC"/>
    <w:rsid w:val="001519FB"/>
    <w:rsid w:val="00151FAE"/>
    <w:rsid w:val="001525C4"/>
    <w:rsid w:val="001526C0"/>
    <w:rsid w:val="00152910"/>
    <w:rsid w:val="001529E2"/>
    <w:rsid w:val="0015338C"/>
    <w:rsid w:val="0015343C"/>
    <w:rsid w:val="001539CD"/>
    <w:rsid w:val="00154001"/>
    <w:rsid w:val="00154700"/>
    <w:rsid w:val="001547CA"/>
    <w:rsid w:val="001550C6"/>
    <w:rsid w:val="00155125"/>
    <w:rsid w:val="0015531C"/>
    <w:rsid w:val="001554A6"/>
    <w:rsid w:val="00155832"/>
    <w:rsid w:val="00155C15"/>
    <w:rsid w:val="00156342"/>
    <w:rsid w:val="00156662"/>
    <w:rsid w:val="00156832"/>
    <w:rsid w:val="001569C0"/>
    <w:rsid w:val="00156A0C"/>
    <w:rsid w:val="00156DD9"/>
    <w:rsid w:val="001574D0"/>
    <w:rsid w:val="00160412"/>
    <w:rsid w:val="00160494"/>
    <w:rsid w:val="0016076D"/>
    <w:rsid w:val="00160D9B"/>
    <w:rsid w:val="0016138C"/>
    <w:rsid w:val="001617B3"/>
    <w:rsid w:val="00161843"/>
    <w:rsid w:val="00161BE8"/>
    <w:rsid w:val="00162012"/>
    <w:rsid w:val="001622F6"/>
    <w:rsid w:val="001624C7"/>
    <w:rsid w:val="00162867"/>
    <w:rsid w:val="00162A74"/>
    <w:rsid w:val="00162BAD"/>
    <w:rsid w:val="00162F14"/>
    <w:rsid w:val="00163257"/>
    <w:rsid w:val="001638D4"/>
    <w:rsid w:val="001639F6"/>
    <w:rsid w:val="00163CC0"/>
    <w:rsid w:val="0016457F"/>
    <w:rsid w:val="001647B3"/>
    <w:rsid w:val="00164BCB"/>
    <w:rsid w:val="00164CED"/>
    <w:rsid w:val="00164DAF"/>
    <w:rsid w:val="0016561A"/>
    <w:rsid w:val="00165BAD"/>
    <w:rsid w:val="00166266"/>
    <w:rsid w:val="001664F0"/>
    <w:rsid w:val="00166C68"/>
    <w:rsid w:val="00166D77"/>
    <w:rsid w:val="001673DE"/>
    <w:rsid w:val="0016744A"/>
    <w:rsid w:val="001677B0"/>
    <w:rsid w:val="00170590"/>
    <w:rsid w:val="0017075D"/>
    <w:rsid w:val="001711BE"/>
    <w:rsid w:val="00171769"/>
    <w:rsid w:val="001717B0"/>
    <w:rsid w:val="00171C63"/>
    <w:rsid w:val="0017241C"/>
    <w:rsid w:val="001726AE"/>
    <w:rsid w:val="001727E6"/>
    <w:rsid w:val="0017297C"/>
    <w:rsid w:val="00172E0E"/>
    <w:rsid w:val="001741B6"/>
    <w:rsid w:val="00174A8C"/>
    <w:rsid w:val="00174CA1"/>
    <w:rsid w:val="00174D8E"/>
    <w:rsid w:val="00175078"/>
    <w:rsid w:val="00175FF2"/>
    <w:rsid w:val="001761B3"/>
    <w:rsid w:val="001762F6"/>
    <w:rsid w:val="00176970"/>
    <w:rsid w:val="00176A64"/>
    <w:rsid w:val="00176AB9"/>
    <w:rsid w:val="00176B4A"/>
    <w:rsid w:val="00176C75"/>
    <w:rsid w:val="00176D2A"/>
    <w:rsid w:val="0017737D"/>
    <w:rsid w:val="00180117"/>
    <w:rsid w:val="001803D3"/>
    <w:rsid w:val="00180694"/>
    <w:rsid w:val="00180CB0"/>
    <w:rsid w:val="00181662"/>
    <w:rsid w:val="001818E0"/>
    <w:rsid w:val="001821E6"/>
    <w:rsid w:val="0018247A"/>
    <w:rsid w:val="001832C0"/>
    <w:rsid w:val="0018397A"/>
    <w:rsid w:val="0018406B"/>
    <w:rsid w:val="0018422D"/>
    <w:rsid w:val="0018477F"/>
    <w:rsid w:val="00185654"/>
    <w:rsid w:val="00185743"/>
    <w:rsid w:val="00185F34"/>
    <w:rsid w:val="0018613E"/>
    <w:rsid w:val="0018660C"/>
    <w:rsid w:val="001868F2"/>
    <w:rsid w:val="00187028"/>
    <w:rsid w:val="00187059"/>
    <w:rsid w:val="0018714C"/>
    <w:rsid w:val="001871EE"/>
    <w:rsid w:val="00187496"/>
    <w:rsid w:val="001876D9"/>
    <w:rsid w:val="00187C30"/>
    <w:rsid w:val="001909EC"/>
    <w:rsid w:val="001910CE"/>
    <w:rsid w:val="00191B70"/>
    <w:rsid w:val="00191CB1"/>
    <w:rsid w:val="0019264E"/>
    <w:rsid w:val="00192BEC"/>
    <w:rsid w:val="001930E9"/>
    <w:rsid w:val="00193104"/>
    <w:rsid w:val="00193AEC"/>
    <w:rsid w:val="00193C82"/>
    <w:rsid w:val="00194115"/>
    <w:rsid w:val="001957F8"/>
    <w:rsid w:val="0019629E"/>
    <w:rsid w:val="00196426"/>
    <w:rsid w:val="00197829"/>
    <w:rsid w:val="00197952"/>
    <w:rsid w:val="00197C63"/>
    <w:rsid w:val="001A00DC"/>
    <w:rsid w:val="001A06A7"/>
    <w:rsid w:val="001A07C5"/>
    <w:rsid w:val="001A1048"/>
    <w:rsid w:val="001A19A8"/>
    <w:rsid w:val="001A1EC3"/>
    <w:rsid w:val="001A2101"/>
    <w:rsid w:val="001A2317"/>
    <w:rsid w:val="001A23B9"/>
    <w:rsid w:val="001A27F2"/>
    <w:rsid w:val="001A2B7B"/>
    <w:rsid w:val="001A301D"/>
    <w:rsid w:val="001A30F7"/>
    <w:rsid w:val="001A3418"/>
    <w:rsid w:val="001A365A"/>
    <w:rsid w:val="001A48EC"/>
    <w:rsid w:val="001A4D04"/>
    <w:rsid w:val="001A4D29"/>
    <w:rsid w:val="001A4D77"/>
    <w:rsid w:val="001A4E4D"/>
    <w:rsid w:val="001A51A9"/>
    <w:rsid w:val="001A534B"/>
    <w:rsid w:val="001A6299"/>
    <w:rsid w:val="001A63BB"/>
    <w:rsid w:val="001A63D4"/>
    <w:rsid w:val="001A7051"/>
    <w:rsid w:val="001A7174"/>
    <w:rsid w:val="001B0BE9"/>
    <w:rsid w:val="001B10D8"/>
    <w:rsid w:val="001B11A6"/>
    <w:rsid w:val="001B1456"/>
    <w:rsid w:val="001B1655"/>
    <w:rsid w:val="001B181B"/>
    <w:rsid w:val="001B1A7C"/>
    <w:rsid w:val="001B1D69"/>
    <w:rsid w:val="001B2278"/>
    <w:rsid w:val="001B245A"/>
    <w:rsid w:val="001B26EA"/>
    <w:rsid w:val="001B2A46"/>
    <w:rsid w:val="001B3690"/>
    <w:rsid w:val="001B3DDC"/>
    <w:rsid w:val="001B3F92"/>
    <w:rsid w:val="001B4313"/>
    <w:rsid w:val="001B4771"/>
    <w:rsid w:val="001B4A8D"/>
    <w:rsid w:val="001B4D96"/>
    <w:rsid w:val="001B4DDA"/>
    <w:rsid w:val="001B4EAA"/>
    <w:rsid w:val="001B60BE"/>
    <w:rsid w:val="001B61CB"/>
    <w:rsid w:val="001B62DA"/>
    <w:rsid w:val="001B643B"/>
    <w:rsid w:val="001B66B4"/>
    <w:rsid w:val="001B68C7"/>
    <w:rsid w:val="001B68D6"/>
    <w:rsid w:val="001B6988"/>
    <w:rsid w:val="001B70E9"/>
    <w:rsid w:val="001B7517"/>
    <w:rsid w:val="001C0373"/>
    <w:rsid w:val="001C03DD"/>
    <w:rsid w:val="001C0904"/>
    <w:rsid w:val="001C0D00"/>
    <w:rsid w:val="001C147F"/>
    <w:rsid w:val="001C15CE"/>
    <w:rsid w:val="001C1872"/>
    <w:rsid w:val="001C2944"/>
    <w:rsid w:val="001C2F3C"/>
    <w:rsid w:val="001C383D"/>
    <w:rsid w:val="001C3D79"/>
    <w:rsid w:val="001C3F22"/>
    <w:rsid w:val="001C4325"/>
    <w:rsid w:val="001C4977"/>
    <w:rsid w:val="001C4A10"/>
    <w:rsid w:val="001C4C98"/>
    <w:rsid w:val="001C4F2F"/>
    <w:rsid w:val="001C52A0"/>
    <w:rsid w:val="001C52A1"/>
    <w:rsid w:val="001C554F"/>
    <w:rsid w:val="001C5C85"/>
    <w:rsid w:val="001C6370"/>
    <w:rsid w:val="001C6B5A"/>
    <w:rsid w:val="001C74DC"/>
    <w:rsid w:val="001C7605"/>
    <w:rsid w:val="001C7954"/>
    <w:rsid w:val="001C7DF6"/>
    <w:rsid w:val="001D01B4"/>
    <w:rsid w:val="001D0325"/>
    <w:rsid w:val="001D075C"/>
    <w:rsid w:val="001D080D"/>
    <w:rsid w:val="001D0859"/>
    <w:rsid w:val="001D0EC0"/>
    <w:rsid w:val="001D0F90"/>
    <w:rsid w:val="001D1A2B"/>
    <w:rsid w:val="001D2187"/>
    <w:rsid w:val="001D3045"/>
    <w:rsid w:val="001D3241"/>
    <w:rsid w:val="001D3246"/>
    <w:rsid w:val="001D3B23"/>
    <w:rsid w:val="001D3E5C"/>
    <w:rsid w:val="001D45D6"/>
    <w:rsid w:val="001D495D"/>
    <w:rsid w:val="001D4F93"/>
    <w:rsid w:val="001D52BA"/>
    <w:rsid w:val="001D572F"/>
    <w:rsid w:val="001D5EA8"/>
    <w:rsid w:val="001D5FD3"/>
    <w:rsid w:val="001D679F"/>
    <w:rsid w:val="001D70E5"/>
    <w:rsid w:val="001D7532"/>
    <w:rsid w:val="001D757F"/>
    <w:rsid w:val="001D7D43"/>
    <w:rsid w:val="001E0188"/>
    <w:rsid w:val="001E034E"/>
    <w:rsid w:val="001E0C1F"/>
    <w:rsid w:val="001E0E9B"/>
    <w:rsid w:val="001E1465"/>
    <w:rsid w:val="001E1E22"/>
    <w:rsid w:val="001E1ECD"/>
    <w:rsid w:val="001E201D"/>
    <w:rsid w:val="001E27E2"/>
    <w:rsid w:val="001E2A30"/>
    <w:rsid w:val="001E35E9"/>
    <w:rsid w:val="001E3784"/>
    <w:rsid w:val="001E44F9"/>
    <w:rsid w:val="001E46E9"/>
    <w:rsid w:val="001E48D5"/>
    <w:rsid w:val="001E4ACE"/>
    <w:rsid w:val="001E53AA"/>
    <w:rsid w:val="001E5415"/>
    <w:rsid w:val="001E5468"/>
    <w:rsid w:val="001E5FDE"/>
    <w:rsid w:val="001E60CB"/>
    <w:rsid w:val="001E6672"/>
    <w:rsid w:val="001E66F8"/>
    <w:rsid w:val="001E6876"/>
    <w:rsid w:val="001E716C"/>
    <w:rsid w:val="001E7F51"/>
    <w:rsid w:val="001F0005"/>
    <w:rsid w:val="001F0260"/>
    <w:rsid w:val="001F06FB"/>
    <w:rsid w:val="001F11B0"/>
    <w:rsid w:val="001F1302"/>
    <w:rsid w:val="001F211F"/>
    <w:rsid w:val="001F215A"/>
    <w:rsid w:val="001F241F"/>
    <w:rsid w:val="001F254E"/>
    <w:rsid w:val="001F2585"/>
    <w:rsid w:val="001F2C3B"/>
    <w:rsid w:val="001F2F5E"/>
    <w:rsid w:val="001F3087"/>
    <w:rsid w:val="001F3196"/>
    <w:rsid w:val="001F32FF"/>
    <w:rsid w:val="001F345D"/>
    <w:rsid w:val="001F3594"/>
    <w:rsid w:val="001F36FD"/>
    <w:rsid w:val="001F4269"/>
    <w:rsid w:val="001F48E5"/>
    <w:rsid w:val="001F52AB"/>
    <w:rsid w:val="001F5670"/>
    <w:rsid w:val="001F6149"/>
    <w:rsid w:val="001F71CA"/>
    <w:rsid w:val="001F745A"/>
    <w:rsid w:val="001F798F"/>
    <w:rsid w:val="001F7AFD"/>
    <w:rsid w:val="001F7C7A"/>
    <w:rsid w:val="001F7C83"/>
    <w:rsid w:val="001F7F6F"/>
    <w:rsid w:val="0020012D"/>
    <w:rsid w:val="00200217"/>
    <w:rsid w:val="00200324"/>
    <w:rsid w:val="002004D0"/>
    <w:rsid w:val="00200B79"/>
    <w:rsid w:val="00200CF0"/>
    <w:rsid w:val="00200E31"/>
    <w:rsid w:val="00200EAB"/>
    <w:rsid w:val="002010C0"/>
    <w:rsid w:val="002011B7"/>
    <w:rsid w:val="0020179B"/>
    <w:rsid w:val="00201E6B"/>
    <w:rsid w:val="0020212F"/>
    <w:rsid w:val="00202925"/>
    <w:rsid w:val="00202CA1"/>
    <w:rsid w:val="0020402F"/>
    <w:rsid w:val="002040B5"/>
    <w:rsid w:val="00204A82"/>
    <w:rsid w:val="00205638"/>
    <w:rsid w:val="00205776"/>
    <w:rsid w:val="00205E86"/>
    <w:rsid w:val="0020704C"/>
    <w:rsid w:val="0020754E"/>
    <w:rsid w:val="00207F4E"/>
    <w:rsid w:val="00207F62"/>
    <w:rsid w:val="00210639"/>
    <w:rsid w:val="00210876"/>
    <w:rsid w:val="00210B4D"/>
    <w:rsid w:val="00211C85"/>
    <w:rsid w:val="00211C98"/>
    <w:rsid w:val="00212068"/>
    <w:rsid w:val="0021213A"/>
    <w:rsid w:val="002121E2"/>
    <w:rsid w:val="002122CC"/>
    <w:rsid w:val="00212C9D"/>
    <w:rsid w:val="00212E55"/>
    <w:rsid w:val="00212E66"/>
    <w:rsid w:val="00213176"/>
    <w:rsid w:val="002132B0"/>
    <w:rsid w:val="0021339C"/>
    <w:rsid w:val="00213F14"/>
    <w:rsid w:val="00214032"/>
    <w:rsid w:val="002147D9"/>
    <w:rsid w:val="0021483E"/>
    <w:rsid w:val="002148A2"/>
    <w:rsid w:val="002157D9"/>
    <w:rsid w:val="00215B56"/>
    <w:rsid w:val="00215B8B"/>
    <w:rsid w:val="0021694B"/>
    <w:rsid w:val="0021699C"/>
    <w:rsid w:val="00216D3C"/>
    <w:rsid w:val="00217253"/>
    <w:rsid w:val="0021773D"/>
    <w:rsid w:val="00217C67"/>
    <w:rsid w:val="00217CE3"/>
    <w:rsid w:val="00217E7C"/>
    <w:rsid w:val="00220BEA"/>
    <w:rsid w:val="00220C24"/>
    <w:rsid w:val="00221E5F"/>
    <w:rsid w:val="00221FB6"/>
    <w:rsid w:val="0022302E"/>
    <w:rsid w:val="0022377F"/>
    <w:rsid w:val="002239B8"/>
    <w:rsid w:val="00223DF0"/>
    <w:rsid w:val="002241CB"/>
    <w:rsid w:val="00224241"/>
    <w:rsid w:val="002246DF"/>
    <w:rsid w:val="002246FA"/>
    <w:rsid w:val="00224955"/>
    <w:rsid w:val="00224B58"/>
    <w:rsid w:val="002250E1"/>
    <w:rsid w:val="0022547C"/>
    <w:rsid w:val="002254A0"/>
    <w:rsid w:val="002255C3"/>
    <w:rsid w:val="0022571A"/>
    <w:rsid w:val="002257F8"/>
    <w:rsid w:val="00225BE9"/>
    <w:rsid w:val="00225CA0"/>
    <w:rsid w:val="00226791"/>
    <w:rsid w:val="0022746C"/>
    <w:rsid w:val="00227751"/>
    <w:rsid w:val="00227CC3"/>
    <w:rsid w:val="00227DB8"/>
    <w:rsid w:val="00227EAE"/>
    <w:rsid w:val="0023024D"/>
    <w:rsid w:val="002302BC"/>
    <w:rsid w:val="00230C27"/>
    <w:rsid w:val="00231145"/>
    <w:rsid w:val="002315BE"/>
    <w:rsid w:val="00231775"/>
    <w:rsid w:val="002322AD"/>
    <w:rsid w:val="00232F80"/>
    <w:rsid w:val="0023589A"/>
    <w:rsid w:val="00235966"/>
    <w:rsid w:val="00235A38"/>
    <w:rsid w:val="00235BAA"/>
    <w:rsid w:val="00235DE7"/>
    <w:rsid w:val="002362BC"/>
    <w:rsid w:val="00236573"/>
    <w:rsid w:val="00237527"/>
    <w:rsid w:val="00240304"/>
    <w:rsid w:val="00240584"/>
    <w:rsid w:val="00240753"/>
    <w:rsid w:val="00240980"/>
    <w:rsid w:val="00240D0B"/>
    <w:rsid w:val="0024152D"/>
    <w:rsid w:val="002417E9"/>
    <w:rsid w:val="002419EC"/>
    <w:rsid w:val="00241A57"/>
    <w:rsid w:val="00241B30"/>
    <w:rsid w:val="00241D3E"/>
    <w:rsid w:val="00241FE1"/>
    <w:rsid w:val="00242404"/>
    <w:rsid w:val="00242661"/>
    <w:rsid w:val="00242795"/>
    <w:rsid w:val="00242A8C"/>
    <w:rsid w:val="00242D6C"/>
    <w:rsid w:val="00243E04"/>
    <w:rsid w:val="0024472B"/>
    <w:rsid w:val="00244A15"/>
    <w:rsid w:val="00244B2A"/>
    <w:rsid w:val="00244F4E"/>
    <w:rsid w:val="002452D7"/>
    <w:rsid w:val="0024536B"/>
    <w:rsid w:val="0024566C"/>
    <w:rsid w:val="00245CF8"/>
    <w:rsid w:val="00245FF1"/>
    <w:rsid w:val="00246040"/>
    <w:rsid w:val="00246140"/>
    <w:rsid w:val="00246567"/>
    <w:rsid w:val="002465E2"/>
    <w:rsid w:val="002468A1"/>
    <w:rsid w:val="00246F54"/>
    <w:rsid w:val="00247047"/>
    <w:rsid w:val="00247841"/>
    <w:rsid w:val="002502A6"/>
    <w:rsid w:val="00250E1A"/>
    <w:rsid w:val="00250E40"/>
    <w:rsid w:val="0025104F"/>
    <w:rsid w:val="0025111E"/>
    <w:rsid w:val="00251559"/>
    <w:rsid w:val="00251717"/>
    <w:rsid w:val="00251AA5"/>
    <w:rsid w:val="00251D94"/>
    <w:rsid w:val="00251E77"/>
    <w:rsid w:val="002525F6"/>
    <w:rsid w:val="0025297E"/>
    <w:rsid w:val="00252C86"/>
    <w:rsid w:val="00252FF3"/>
    <w:rsid w:val="002536AE"/>
    <w:rsid w:val="00253966"/>
    <w:rsid w:val="00254019"/>
    <w:rsid w:val="0025411B"/>
    <w:rsid w:val="00254506"/>
    <w:rsid w:val="002546F8"/>
    <w:rsid w:val="00254CA7"/>
    <w:rsid w:val="00255044"/>
    <w:rsid w:val="0025505B"/>
    <w:rsid w:val="0025505F"/>
    <w:rsid w:val="00255415"/>
    <w:rsid w:val="002562D7"/>
    <w:rsid w:val="00256661"/>
    <w:rsid w:val="00256AB7"/>
    <w:rsid w:val="00256BDD"/>
    <w:rsid w:val="00256EB1"/>
    <w:rsid w:val="0025721E"/>
    <w:rsid w:val="0025754A"/>
    <w:rsid w:val="00257657"/>
    <w:rsid w:val="00257A74"/>
    <w:rsid w:val="00257FEA"/>
    <w:rsid w:val="0026015A"/>
    <w:rsid w:val="0026041A"/>
    <w:rsid w:val="00260659"/>
    <w:rsid w:val="0026070E"/>
    <w:rsid w:val="00260AF8"/>
    <w:rsid w:val="00260D7C"/>
    <w:rsid w:val="002613DA"/>
    <w:rsid w:val="00261D00"/>
    <w:rsid w:val="00261DFE"/>
    <w:rsid w:val="00262765"/>
    <w:rsid w:val="0026300D"/>
    <w:rsid w:val="002633B5"/>
    <w:rsid w:val="002636E7"/>
    <w:rsid w:val="002638CD"/>
    <w:rsid w:val="00263AB1"/>
    <w:rsid w:val="00263EA1"/>
    <w:rsid w:val="00264870"/>
    <w:rsid w:val="00264F29"/>
    <w:rsid w:val="00265A85"/>
    <w:rsid w:val="00265ACA"/>
    <w:rsid w:val="00266A96"/>
    <w:rsid w:val="00266B4C"/>
    <w:rsid w:val="00266EC8"/>
    <w:rsid w:val="00267084"/>
    <w:rsid w:val="00267F8A"/>
    <w:rsid w:val="00270B59"/>
    <w:rsid w:val="002715CF"/>
    <w:rsid w:val="002717C5"/>
    <w:rsid w:val="00272219"/>
    <w:rsid w:val="00272681"/>
    <w:rsid w:val="002729BE"/>
    <w:rsid w:val="00272A88"/>
    <w:rsid w:val="00273324"/>
    <w:rsid w:val="002743FE"/>
    <w:rsid w:val="002747E4"/>
    <w:rsid w:val="002749FF"/>
    <w:rsid w:val="00274C90"/>
    <w:rsid w:val="002750B5"/>
    <w:rsid w:val="0027536F"/>
    <w:rsid w:val="0027573C"/>
    <w:rsid w:val="00275CA2"/>
    <w:rsid w:val="002760BA"/>
    <w:rsid w:val="00276F89"/>
    <w:rsid w:val="00277806"/>
    <w:rsid w:val="00277858"/>
    <w:rsid w:val="00277932"/>
    <w:rsid w:val="00277A0C"/>
    <w:rsid w:val="00277B87"/>
    <w:rsid w:val="002801DC"/>
    <w:rsid w:val="00280855"/>
    <w:rsid w:val="00280C71"/>
    <w:rsid w:val="00280D29"/>
    <w:rsid w:val="00280FF5"/>
    <w:rsid w:val="0028102C"/>
    <w:rsid w:val="002810F2"/>
    <w:rsid w:val="00281664"/>
    <w:rsid w:val="002816FA"/>
    <w:rsid w:val="00281736"/>
    <w:rsid w:val="00281BF2"/>
    <w:rsid w:val="00282DFA"/>
    <w:rsid w:val="002830B5"/>
    <w:rsid w:val="00283223"/>
    <w:rsid w:val="00283A8F"/>
    <w:rsid w:val="00283B51"/>
    <w:rsid w:val="00283C07"/>
    <w:rsid w:val="00283CF0"/>
    <w:rsid w:val="0028409F"/>
    <w:rsid w:val="00284507"/>
    <w:rsid w:val="00284927"/>
    <w:rsid w:val="002856C0"/>
    <w:rsid w:val="00285916"/>
    <w:rsid w:val="00285CC0"/>
    <w:rsid w:val="0028606E"/>
    <w:rsid w:val="00286A1B"/>
    <w:rsid w:val="00286C0F"/>
    <w:rsid w:val="00286FAB"/>
    <w:rsid w:val="00287BEF"/>
    <w:rsid w:val="00287D37"/>
    <w:rsid w:val="0029086D"/>
    <w:rsid w:val="00290E3A"/>
    <w:rsid w:val="0029162C"/>
    <w:rsid w:val="002916C4"/>
    <w:rsid w:val="00291BF5"/>
    <w:rsid w:val="00291EB9"/>
    <w:rsid w:val="00292D89"/>
    <w:rsid w:val="00292E19"/>
    <w:rsid w:val="00292FB9"/>
    <w:rsid w:val="00293B58"/>
    <w:rsid w:val="00293BE2"/>
    <w:rsid w:val="00293F36"/>
    <w:rsid w:val="0029437D"/>
    <w:rsid w:val="002944A8"/>
    <w:rsid w:val="00294930"/>
    <w:rsid w:val="002952F0"/>
    <w:rsid w:val="00295ECB"/>
    <w:rsid w:val="00296332"/>
    <w:rsid w:val="00296850"/>
    <w:rsid w:val="0029781C"/>
    <w:rsid w:val="002A0070"/>
    <w:rsid w:val="002A0208"/>
    <w:rsid w:val="002A02A3"/>
    <w:rsid w:val="002A03D5"/>
    <w:rsid w:val="002A0973"/>
    <w:rsid w:val="002A0D84"/>
    <w:rsid w:val="002A1B6A"/>
    <w:rsid w:val="002A1F88"/>
    <w:rsid w:val="002A2A51"/>
    <w:rsid w:val="002A30F7"/>
    <w:rsid w:val="002A3CC0"/>
    <w:rsid w:val="002A3E0C"/>
    <w:rsid w:val="002A407C"/>
    <w:rsid w:val="002A437F"/>
    <w:rsid w:val="002A49B9"/>
    <w:rsid w:val="002A4A40"/>
    <w:rsid w:val="002A4B79"/>
    <w:rsid w:val="002A4E7F"/>
    <w:rsid w:val="002A5825"/>
    <w:rsid w:val="002A5E6F"/>
    <w:rsid w:val="002A6017"/>
    <w:rsid w:val="002A6108"/>
    <w:rsid w:val="002A69D6"/>
    <w:rsid w:val="002A7760"/>
    <w:rsid w:val="002B056D"/>
    <w:rsid w:val="002B0B74"/>
    <w:rsid w:val="002B0CEC"/>
    <w:rsid w:val="002B11B9"/>
    <w:rsid w:val="002B1433"/>
    <w:rsid w:val="002B149C"/>
    <w:rsid w:val="002B1727"/>
    <w:rsid w:val="002B1A87"/>
    <w:rsid w:val="002B2445"/>
    <w:rsid w:val="002B276B"/>
    <w:rsid w:val="002B3830"/>
    <w:rsid w:val="002B3B27"/>
    <w:rsid w:val="002B3B4F"/>
    <w:rsid w:val="002B40B5"/>
    <w:rsid w:val="002B43F5"/>
    <w:rsid w:val="002B467F"/>
    <w:rsid w:val="002B4B4D"/>
    <w:rsid w:val="002B4D00"/>
    <w:rsid w:val="002B587B"/>
    <w:rsid w:val="002B58A9"/>
    <w:rsid w:val="002B5A81"/>
    <w:rsid w:val="002B66CE"/>
    <w:rsid w:val="002B6E33"/>
    <w:rsid w:val="002B7968"/>
    <w:rsid w:val="002B7F48"/>
    <w:rsid w:val="002C0D17"/>
    <w:rsid w:val="002C13DD"/>
    <w:rsid w:val="002C1D2A"/>
    <w:rsid w:val="002C1E96"/>
    <w:rsid w:val="002C214D"/>
    <w:rsid w:val="002C26DE"/>
    <w:rsid w:val="002C2940"/>
    <w:rsid w:val="002C2E64"/>
    <w:rsid w:val="002C3009"/>
    <w:rsid w:val="002C37F4"/>
    <w:rsid w:val="002C38AC"/>
    <w:rsid w:val="002C3DB6"/>
    <w:rsid w:val="002C3E2D"/>
    <w:rsid w:val="002C3F06"/>
    <w:rsid w:val="002C3FB4"/>
    <w:rsid w:val="002C4D76"/>
    <w:rsid w:val="002C51F5"/>
    <w:rsid w:val="002C6099"/>
    <w:rsid w:val="002C636B"/>
    <w:rsid w:val="002C7543"/>
    <w:rsid w:val="002C75BD"/>
    <w:rsid w:val="002C789D"/>
    <w:rsid w:val="002C7F15"/>
    <w:rsid w:val="002D008F"/>
    <w:rsid w:val="002D0A51"/>
    <w:rsid w:val="002D0C55"/>
    <w:rsid w:val="002D1084"/>
    <w:rsid w:val="002D1347"/>
    <w:rsid w:val="002D1D9A"/>
    <w:rsid w:val="002D23F0"/>
    <w:rsid w:val="002D27A6"/>
    <w:rsid w:val="002D2A87"/>
    <w:rsid w:val="002D2C9E"/>
    <w:rsid w:val="002D3120"/>
    <w:rsid w:val="002D326D"/>
    <w:rsid w:val="002D32F2"/>
    <w:rsid w:val="002D3956"/>
    <w:rsid w:val="002D3D45"/>
    <w:rsid w:val="002D3F49"/>
    <w:rsid w:val="002D43D9"/>
    <w:rsid w:val="002D4D02"/>
    <w:rsid w:val="002D4DB3"/>
    <w:rsid w:val="002D4E35"/>
    <w:rsid w:val="002D52C5"/>
    <w:rsid w:val="002D58EE"/>
    <w:rsid w:val="002D5972"/>
    <w:rsid w:val="002D59C3"/>
    <w:rsid w:val="002D6066"/>
    <w:rsid w:val="002D6BD9"/>
    <w:rsid w:val="002D6DCA"/>
    <w:rsid w:val="002D6E41"/>
    <w:rsid w:val="002D6EF7"/>
    <w:rsid w:val="002D75E0"/>
    <w:rsid w:val="002D7D3F"/>
    <w:rsid w:val="002E05C1"/>
    <w:rsid w:val="002E08E2"/>
    <w:rsid w:val="002E09D8"/>
    <w:rsid w:val="002E12CE"/>
    <w:rsid w:val="002E12F5"/>
    <w:rsid w:val="002E1F96"/>
    <w:rsid w:val="002E2B46"/>
    <w:rsid w:val="002E2FBC"/>
    <w:rsid w:val="002E356D"/>
    <w:rsid w:val="002E3A12"/>
    <w:rsid w:val="002E3B59"/>
    <w:rsid w:val="002E3D4F"/>
    <w:rsid w:val="002E3FD5"/>
    <w:rsid w:val="002E411D"/>
    <w:rsid w:val="002E4FFD"/>
    <w:rsid w:val="002E51B6"/>
    <w:rsid w:val="002E553D"/>
    <w:rsid w:val="002E588D"/>
    <w:rsid w:val="002E58C9"/>
    <w:rsid w:val="002E5B8A"/>
    <w:rsid w:val="002E64FA"/>
    <w:rsid w:val="002E6890"/>
    <w:rsid w:val="002E6EB9"/>
    <w:rsid w:val="002E7440"/>
    <w:rsid w:val="002E7769"/>
    <w:rsid w:val="002E7FB3"/>
    <w:rsid w:val="002F0AE3"/>
    <w:rsid w:val="002F0E62"/>
    <w:rsid w:val="002F1702"/>
    <w:rsid w:val="002F1EB2"/>
    <w:rsid w:val="002F2A7D"/>
    <w:rsid w:val="002F3011"/>
    <w:rsid w:val="002F37BD"/>
    <w:rsid w:val="002F39C2"/>
    <w:rsid w:val="002F39D9"/>
    <w:rsid w:val="002F3DDB"/>
    <w:rsid w:val="002F414B"/>
    <w:rsid w:val="002F455C"/>
    <w:rsid w:val="002F571F"/>
    <w:rsid w:val="002F584B"/>
    <w:rsid w:val="002F5A4E"/>
    <w:rsid w:val="002F5D29"/>
    <w:rsid w:val="002F6102"/>
    <w:rsid w:val="002F625A"/>
    <w:rsid w:val="002F650B"/>
    <w:rsid w:val="002F7281"/>
    <w:rsid w:val="00300694"/>
    <w:rsid w:val="00300A76"/>
    <w:rsid w:val="00300CDF"/>
    <w:rsid w:val="00301671"/>
    <w:rsid w:val="003016C7"/>
    <w:rsid w:val="00301B2F"/>
    <w:rsid w:val="00301DB5"/>
    <w:rsid w:val="00301E0F"/>
    <w:rsid w:val="00302465"/>
    <w:rsid w:val="00303D19"/>
    <w:rsid w:val="00304160"/>
    <w:rsid w:val="003041B0"/>
    <w:rsid w:val="003043F4"/>
    <w:rsid w:val="0030462D"/>
    <w:rsid w:val="00304924"/>
    <w:rsid w:val="00304941"/>
    <w:rsid w:val="00304E76"/>
    <w:rsid w:val="00305097"/>
    <w:rsid w:val="00305103"/>
    <w:rsid w:val="00305455"/>
    <w:rsid w:val="00305AD4"/>
    <w:rsid w:val="003061F0"/>
    <w:rsid w:val="003062BD"/>
    <w:rsid w:val="00307066"/>
    <w:rsid w:val="003073CD"/>
    <w:rsid w:val="0030744A"/>
    <w:rsid w:val="00307857"/>
    <w:rsid w:val="00307F64"/>
    <w:rsid w:val="00310841"/>
    <w:rsid w:val="00310BB5"/>
    <w:rsid w:val="00310D66"/>
    <w:rsid w:val="0031171B"/>
    <w:rsid w:val="00311860"/>
    <w:rsid w:val="003120FA"/>
    <w:rsid w:val="00312AD7"/>
    <w:rsid w:val="00312BE0"/>
    <w:rsid w:val="00312C78"/>
    <w:rsid w:val="00313028"/>
    <w:rsid w:val="003130CA"/>
    <w:rsid w:val="003138B6"/>
    <w:rsid w:val="00313B4E"/>
    <w:rsid w:val="00314318"/>
    <w:rsid w:val="003143EF"/>
    <w:rsid w:val="0031447F"/>
    <w:rsid w:val="00314522"/>
    <w:rsid w:val="00314679"/>
    <w:rsid w:val="00314A41"/>
    <w:rsid w:val="00314B63"/>
    <w:rsid w:val="00315F53"/>
    <w:rsid w:val="00316544"/>
    <w:rsid w:val="003169B5"/>
    <w:rsid w:val="00316F01"/>
    <w:rsid w:val="00316FA0"/>
    <w:rsid w:val="00317686"/>
    <w:rsid w:val="00317770"/>
    <w:rsid w:val="00317F55"/>
    <w:rsid w:val="003206B5"/>
    <w:rsid w:val="003207A3"/>
    <w:rsid w:val="0032086D"/>
    <w:rsid w:val="00320926"/>
    <w:rsid w:val="00320B35"/>
    <w:rsid w:val="00321647"/>
    <w:rsid w:val="00322D0E"/>
    <w:rsid w:val="00323E21"/>
    <w:rsid w:val="00324019"/>
    <w:rsid w:val="003241CF"/>
    <w:rsid w:val="00324223"/>
    <w:rsid w:val="00324376"/>
    <w:rsid w:val="00324F9B"/>
    <w:rsid w:val="003250FA"/>
    <w:rsid w:val="003252C2"/>
    <w:rsid w:val="00325C0A"/>
    <w:rsid w:val="0032619B"/>
    <w:rsid w:val="003261FB"/>
    <w:rsid w:val="003262DF"/>
    <w:rsid w:val="00326408"/>
    <w:rsid w:val="003266E1"/>
    <w:rsid w:val="00327D9A"/>
    <w:rsid w:val="00327F66"/>
    <w:rsid w:val="00330FBD"/>
    <w:rsid w:val="00332258"/>
    <w:rsid w:val="003322C3"/>
    <w:rsid w:val="0033293D"/>
    <w:rsid w:val="00332AC2"/>
    <w:rsid w:val="00333038"/>
    <w:rsid w:val="0033383F"/>
    <w:rsid w:val="00333E36"/>
    <w:rsid w:val="00333FC2"/>
    <w:rsid w:val="003342A0"/>
    <w:rsid w:val="00334584"/>
    <w:rsid w:val="00334AD3"/>
    <w:rsid w:val="00334DB0"/>
    <w:rsid w:val="00335ACD"/>
    <w:rsid w:val="00335BBA"/>
    <w:rsid w:val="00335E22"/>
    <w:rsid w:val="00336264"/>
    <w:rsid w:val="00336780"/>
    <w:rsid w:val="0033694F"/>
    <w:rsid w:val="00336BBB"/>
    <w:rsid w:val="00336BE4"/>
    <w:rsid w:val="0033758C"/>
    <w:rsid w:val="0033774C"/>
    <w:rsid w:val="00340010"/>
    <w:rsid w:val="003400EB"/>
    <w:rsid w:val="0034049F"/>
    <w:rsid w:val="003404D0"/>
    <w:rsid w:val="00340EEA"/>
    <w:rsid w:val="00341541"/>
    <w:rsid w:val="00341602"/>
    <w:rsid w:val="0034168F"/>
    <w:rsid w:val="0034172B"/>
    <w:rsid w:val="00341F6A"/>
    <w:rsid w:val="00342CDC"/>
    <w:rsid w:val="00342DA3"/>
    <w:rsid w:val="00343017"/>
    <w:rsid w:val="003438D1"/>
    <w:rsid w:val="003439E7"/>
    <w:rsid w:val="00343B86"/>
    <w:rsid w:val="00343DFE"/>
    <w:rsid w:val="00344226"/>
    <w:rsid w:val="003442FE"/>
    <w:rsid w:val="00344320"/>
    <w:rsid w:val="003446B6"/>
    <w:rsid w:val="00344CE5"/>
    <w:rsid w:val="003454CC"/>
    <w:rsid w:val="00345553"/>
    <w:rsid w:val="00345711"/>
    <w:rsid w:val="0034599B"/>
    <w:rsid w:val="00345CB1"/>
    <w:rsid w:val="0034606C"/>
    <w:rsid w:val="0034693A"/>
    <w:rsid w:val="00346F7E"/>
    <w:rsid w:val="00347914"/>
    <w:rsid w:val="00347FD9"/>
    <w:rsid w:val="00350112"/>
    <w:rsid w:val="00350351"/>
    <w:rsid w:val="003504A3"/>
    <w:rsid w:val="00350744"/>
    <w:rsid w:val="00350C18"/>
    <w:rsid w:val="0035131B"/>
    <w:rsid w:val="0035134B"/>
    <w:rsid w:val="00351BF2"/>
    <w:rsid w:val="00351D4A"/>
    <w:rsid w:val="0035212C"/>
    <w:rsid w:val="003522B9"/>
    <w:rsid w:val="00352303"/>
    <w:rsid w:val="00352403"/>
    <w:rsid w:val="003524AF"/>
    <w:rsid w:val="003525B6"/>
    <w:rsid w:val="00352968"/>
    <w:rsid w:val="00352C21"/>
    <w:rsid w:val="00352E11"/>
    <w:rsid w:val="0035348F"/>
    <w:rsid w:val="0035362B"/>
    <w:rsid w:val="00354584"/>
    <w:rsid w:val="00354B15"/>
    <w:rsid w:val="00355113"/>
    <w:rsid w:val="00355711"/>
    <w:rsid w:val="00355F63"/>
    <w:rsid w:val="00356006"/>
    <w:rsid w:val="0035669F"/>
    <w:rsid w:val="00356CE5"/>
    <w:rsid w:val="00357523"/>
    <w:rsid w:val="003576D6"/>
    <w:rsid w:val="0035796B"/>
    <w:rsid w:val="00357DE9"/>
    <w:rsid w:val="00360139"/>
    <w:rsid w:val="003605C4"/>
    <w:rsid w:val="00360D68"/>
    <w:rsid w:val="00360EE1"/>
    <w:rsid w:val="00361177"/>
    <w:rsid w:val="003617DB"/>
    <w:rsid w:val="0036242A"/>
    <w:rsid w:val="0036295B"/>
    <w:rsid w:val="00362CB7"/>
    <w:rsid w:val="00362F93"/>
    <w:rsid w:val="0036336F"/>
    <w:rsid w:val="00363740"/>
    <w:rsid w:val="0036397D"/>
    <w:rsid w:val="00363DE8"/>
    <w:rsid w:val="00363FA8"/>
    <w:rsid w:val="0036407C"/>
    <w:rsid w:val="0036439B"/>
    <w:rsid w:val="00364795"/>
    <w:rsid w:val="00364A37"/>
    <w:rsid w:val="00364D8D"/>
    <w:rsid w:val="00365B19"/>
    <w:rsid w:val="00365F13"/>
    <w:rsid w:val="00365FA4"/>
    <w:rsid w:val="0036619A"/>
    <w:rsid w:val="003661B4"/>
    <w:rsid w:val="003662E2"/>
    <w:rsid w:val="00366D40"/>
    <w:rsid w:val="00366DD6"/>
    <w:rsid w:val="0037019C"/>
    <w:rsid w:val="00370810"/>
    <w:rsid w:val="00370C74"/>
    <w:rsid w:val="003715C7"/>
    <w:rsid w:val="003717C4"/>
    <w:rsid w:val="00371D77"/>
    <w:rsid w:val="003730A2"/>
    <w:rsid w:val="0037342B"/>
    <w:rsid w:val="00373EEE"/>
    <w:rsid w:val="00373F82"/>
    <w:rsid w:val="0037402C"/>
    <w:rsid w:val="00374605"/>
    <w:rsid w:val="0037496E"/>
    <w:rsid w:val="0037502A"/>
    <w:rsid w:val="00375442"/>
    <w:rsid w:val="003754CC"/>
    <w:rsid w:val="003756F3"/>
    <w:rsid w:val="00375E1C"/>
    <w:rsid w:val="00375E8D"/>
    <w:rsid w:val="00375FE3"/>
    <w:rsid w:val="0037678F"/>
    <w:rsid w:val="00376929"/>
    <w:rsid w:val="003770FE"/>
    <w:rsid w:val="00377248"/>
    <w:rsid w:val="00377454"/>
    <w:rsid w:val="0037767E"/>
    <w:rsid w:val="00377BB1"/>
    <w:rsid w:val="003801AB"/>
    <w:rsid w:val="00380B8D"/>
    <w:rsid w:val="00380C51"/>
    <w:rsid w:val="00381044"/>
    <w:rsid w:val="0038175D"/>
    <w:rsid w:val="0038183C"/>
    <w:rsid w:val="00381F10"/>
    <w:rsid w:val="0038232D"/>
    <w:rsid w:val="003829BF"/>
    <w:rsid w:val="00382D92"/>
    <w:rsid w:val="0038305F"/>
    <w:rsid w:val="00383288"/>
    <w:rsid w:val="003833F9"/>
    <w:rsid w:val="003841B2"/>
    <w:rsid w:val="00384285"/>
    <w:rsid w:val="00384850"/>
    <w:rsid w:val="00384B30"/>
    <w:rsid w:val="00384BCC"/>
    <w:rsid w:val="00384E3C"/>
    <w:rsid w:val="0038508D"/>
    <w:rsid w:val="003855BD"/>
    <w:rsid w:val="003866AB"/>
    <w:rsid w:val="00386E16"/>
    <w:rsid w:val="00386EA8"/>
    <w:rsid w:val="00387507"/>
    <w:rsid w:val="003900F0"/>
    <w:rsid w:val="0039013D"/>
    <w:rsid w:val="003904A1"/>
    <w:rsid w:val="0039079E"/>
    <w:rsid w:val="00390866"/>
    <w:rsid w:val="0039092F"/>
    <w:rsid w:val="00391003"/>
    <w:rsid w:val="0039150E"/>
    <w:rsid w:val="00391611"/>
    <w:rsid w:val="00391775"/>
    <w:rsid w:val="00391A36"/>
    <w:rsid w:val="00391C30"/>
    <w:rsid w:val="00391D8B"/>
    <w:rsid w:val="003928F1"/>
    <w:rsid w:val="00392D99"/>
    <w:rsid w:val="00392EF2"/>
    <w:rsid w:val="0039342C"/>
    <w:rsid w:val="003935EF"/>
    <w:rsid w:val="003936E2"/>
    <w:rsid w:val="00394950"/>
    <w:rsid w:val="00395676"/>
    <w:rsid w:val="00395689"/>
    <w:rsid w:val="00395892"/>
    <w:rsid w:val="003959DE"/>
    <w:rsid w:val="00395C7C"/>
    <w:rsid w:val="00395CCC"/>
    <w:rsid w:val="00396005"/>
    <w:rsid w:val="00396156"/>
    <w:rsid w:val="00396446"/>
    <w:rsid w:val="00396715"/>
    <w:rsid w:val="00396C79"/>
    <w:rsid w:val="00396DC9"/>
    <w:rsid w:val="00396FF7"/>
    <w:rsid w:val="00397207"/>
    <w:rsid w:val="00397528"/>
    <w:rsid w:val="0039759F"/>
    <w:rsid w:val="00397C53"/>
    <w:rsid w:val="00397CE0"/>
    <w:rsid w:val="003A0937"/>
    <w:rsid w:val="003A0AD6"/>
    <w:rsid w:val="003A1046"/>
    <w:rsid w:val="003A10EC"/>
    <w:rsid w:val="003A1862"/>
    <w:rsid w:val="003A1A3C"/>
    <w:rsid w:val="003A25D7"/>
    <w:rsid w:val="003A27F9"/>
    <w:rsid w:val="003A2804"/>
    <w:rsid w:val="003A2FE7"/>
    <w:rsid w:val="003A3C65"/>
    <w:rsid w:val="003A40EB"/>
    <w:rsid w:val="003A4ADE"/>
    <w:rsid w:val="003A4B77"/>
    <w:rsid w:val="003A590B"/>
    <w:rsid w:val="003A5C4C"/>
    <w:rsid w:val="003A5CC5"/>
    <w:rsid w:val="003A64BF"/>
    <w:rsid w:val="003A66E5"/>
    <w:rsid w:val="003A703B"/>
    <w:rsid w:val="003A7152"/>
    <w:rsid w:val="003A75BD"/>
    <w:rsid w:val="003A776A"/>
    <w:rsid w:val="003B093A"/>
    <w:rsid w:val="003B096D"/>
    <w:rsid w:val="003B0BAF"/>
    <w:rsid w:val="003B0F7F"/>
    <w:rsid w:val="003B10D5"/>
    <w:rsid w:val="003B1585"/>
    <w:rsid w:val="003B1AA8"/>
    <w:rsid w:val="003B1ACB"/>
    <w:rsid w:val="003B1C45"/>
    <w:rsid w:val="003B22FC"/>
    <w:rsid w:val="003B25A8"/>
    <w:rsid w:val="003B28CE"/>
    <w:rsid w:val="003B328B"/>
    <w:rsid w:val="003B3796"/>
    <w:rsid w:val="003B39C3"/>
    <w:rsid w:val="003B47AB"/>
    <w:rsid w:val="003B4F96"/>
    <w:rsid w:val="003B53DF"/>
    <w:rsid w:val="003B55A5"/>
    <w:rsid w:val="003B68DE"/>
    <w:rsid w:val="003B6BBD"/>
    <w:rsid w:val="003B7098"/>
    <w:rsid w:val="003B769B"/>
    <w:rsid w:val="003B7900"/>
    <w:rsid w:val="003B7C0A"/>
    <w:rsid w:val="003B7CED"/>
    <w:rsid w:val="003C028A"/>
    <w:rsid w:val="003C04A3"/>
    <w:rsid w:val="003C05A5"/>
    <w:rsid w:val="003C0BAE"/>
    <w:rsid w:val="003C0C7C"/>
    <w:rsid w:val="003C0CFF"/>
    <w:rsid w:val="003C1515"/>
    <w:rsid w:val="003C1689"/>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0E"/>
    <w:rsid w:val="003C509D"/>
    <w:rsid w:val="003C5919"/>
    <w:rsid w:val="003C5D53"/>
    <w:rsid w:val="003C6069"/>
    <w:rsid w:val="003C644A"/>
    <w:rsid w:val="003C7131"/>
    <w:rsid w:val="003C7158"/>
    <w:rsid w:val="003C73B2"/>
    <w:rsid w:val="003C7E22"/>
    <w:rsid w:val="003D0805"/>
    <w:rsid w:val="003D0A4A"/>
    <w:rsid w:val="003D1219"/>
    <w:rsid w:val="003D1256"/>
    <w:rsid w:val="003D17B5"/>
    <w:rsid w:val="003D19FA"/>
    <w:rsid w:val="003D2506"/>
    <w:rsid w:val="003D2772"/>
    <w:rsid w:val="003D2D50"/>
    <w:rsid w:val="003D2FFC"/>
    <w:rsid w:val="003D3657"/>
    <w:rsid w:val="003D379B"/>
    <w:rsid w:val="003D3A68"/>
    <w:rsid w:val="003D4169"/>
    <w:rsid w:val="003D49A4"/>
    <w:rsid w:val="003D49B1"/>
    <w:rsid w:val="003D4DA9"/>
    <w:rsid w:val="003D5D64"/>
    <w:rsid w:val="003D5E51"/>
    <w:rsid w:val="003D6A36"/>
    <w:rsid w:val="003D6C2C"/>
    <w:rsid w:val="003D7955"/>
    <w:rsid w:val="003D7A54"/>
    <w:rsid w:val="003D7A78"/>
    <w:rsid w:val="003D7F2E"/>
    <w:rsid w:val="003E0225"/>
    <w:rsid w:val="003E022E"/>
    <w:rsid w:val="003E0599"/>
    <w:rsid w:val="003E05D7"/>
    <w:rsid w:val="003E0703"/>
    <w:rsid w:val="003E1005"/>
    <w:rsid w:val="003E1136"/>
    <w:rsid w:val="003E113B"/>
    <w:rsid w:val="003E13B9"/>
    <w:rsid w:val="003E1C37"/>
    <w:rsid w:val="003E20BB"/>
    <w:rsid w:val="003E28EB"/>
    <w:rsid w:val="003E2E39"/>
    <w:rsid w:val="003E3CF9"/>
    <w:rsid w:val="003E41C4"/>
    <w:rsid w:val="003E41CD"/>
    <w:rsid w:val="003E4CDC"/>
    <w:rsid w:val="003E4DC9"/>
    <w:rsid w:val="003E4FE0"/>
    <w:rsid w:val="003E520E"/>
    <w:rsid w:val="003E554F"/>
    <w:rsid w:val="003E589D"/>
    <w:rsid w:val="003E7205"/>
    <w:rsid w:val="003E726A"/>
    <w:rsid w:val="003E768A"/>
    <w:rsid w:val="003F0475"/>
    <w:rsid w:val="003F07F7"/>
    <w:rsid w:val="003F0F18"/>
    <w:rsid w:val="003F1768"/>
    <w:rsid w:val="003F183B"/>
    <w:rsid w:val="003F20D9"/>
    <w:rsid w:val="003F2736"/>
    <w:rsid w:val="003F2F48"/>
    <w:rsid w:val="003F3127"/>
    <w:rsid w:val="003F3533"/>
    <w:rsid w:val="003F3EFB"/>
    <w:rsid w:val="003F43E4"/>
    <w:rsid w:val="003F47EA"/>
    <w:rsid w:val="003F488B"/>
    <w:rsid w:val="003F49E2"/>
    <w:rsid w:val="003F4A48"/>
    <w:rsid w:val="003F4EA2"/>
    <w:rsid w:val="003F584B"/>
    <w:rsid w:val="003F5C48"/>
    <w:rsid w:val="003F6384"/>
    <w:rsid w:val="003F6880"/>
    <w:rsid w:val="003F6D01"/>
    <w:rsid w:val="003F70B8"/>
    <w:rsid w:val="003F70DB"/>
    <w:rsid w:val="003F7296"/>
    <w:rsid w:val="003F7647"/>
    <w:rsid w:val="0040037A"/>
    <w:rsid w:val="004007F7"/>
    <w:rsid w:val="00400A2D"/>
    <w:rsid w:val="00401555"/>
    <w:rsid w:val="00401696"/>
    <w:rsid w:val="00401A61"/>
    <w:rsid w:val="00401FF5"/>
    <w:rsid w:val="004022B7"/>
    <w:rsid w:val="004026C1"/>
    <w:rsid w:val="004027A6"/>
    <w:rsid w:val="00403861"/>
    <w:rsid w:val="00405332"/>
    <w:rsid w:val="0040558F"/>
    <w:rsid w:val="004055B7"/>
    <w:rsid w:val="00405B0D"/>
    <w:rsid w:val="004063BC"/>
    <w:rsid w:val="00406729"/>
    <w:rsid w:val="00406966"/>
    <w:rsid w:val="00407089"/>
    <w:rsid w:val="004076E3"/>
    <w:rsid w:val="004077C6"/>
    <w:rsid w:val="00407C3D"/>
    <w:rsid w:val="00410A3D"/>
    <w:rsid w:val="00410D80"/>
    <w:rsid w:val="00410FCB"/>
    <w:rsid w:val="004114AF"/>
    <w:rsid w:val="00411712"/>
    <w:rsid w:val="00411784"/>
    <w:rsid w:val="0041191C"/>
    <w:rsid w:val="00411F63"/>
    <w:rsid w:val="00411F72"/>
    <w:rsid w:val="004126C9"/>
    <w:rsid w:val="004127C4"/>
    <w:rsid w:val="00412A12"/>
    <w:rsid w:val="00412A1D"/>
    <w:rsid w:val="00413432"/>
    <w:rsid w:val="00413F3E"/>
    <w:rsid w:val="00413FC5"/>
    <w:rsid w:val="004145CE"/>
    <w:rsid w:val="004153E4"/>
    <w:rsid w:val="0041551E"/>
    <w:rsid w:val="00415A13"/>
    <w:rsid w:val="00416690"/>
    <w:rsid w:val="00416DC8"/>
    <w:rsid w:val="00417331"/>
    <w:rsid w:val="00417384"/>
    <w:rsid w:val="004200BB"/>
    <w:rsid w:val="004209DF"/>
    <w:rsid w:val="00421154"/>
    <w:rsid w:val="0042161F"/>
    <w:rsid w:val="00421B59"/>
    <w:rsid w:val="00421E94"/>
    <w:rsid w:val="00422906"/>
    <w:rsid w:val="00423F61"/>
    <w:rsid w:val="0042448E"/>
    <w:rsid w:val="004248F4"/>
    <w:rsid w:val="004249AC"/>
    <w:rsid w:val="0042581B"/>
    <w:rsid w:val="00425BCB"/>
    <w:rsid w:val="00426292"/>
    <w:rsid w:val="00426BBE"/>
    <w:rsid w:val="00427683"/>
    <w:rsid w:val="00427855"/>
    <w:rsid w:val="00427C59"/>
    <w:rsid w:val="00427C99"/>
    <w:rsid w:val="00427EE7"/>
    <w:rsid w:val="00427F8D"/>
    <w:rsid w:val="004303DA"/>
    <w:rsid w:val="00430C4B"/>
    <w:rsid w:val="00430F79"/>
    <w:rsid w:val="004318A1"/>
    <w:rsid w:val="00431CFE"/>
    <w:rsid w:val="00432380"/>
    <w:rsid w:val="00432490"/>
    <w:rsid w:val="00433336"/>
    <w:rsid w:val="004333BC"/>
    <w:rsid w:val="0043361A"/>
    <w:rsid w:val="00433A9A"/>
    <w:rsid w:val="00434009"/>
    <w:rsid w:val="00434CA5"/>
    <w:rsid w:val="00435FDC"/>
    <w:rsid w:val="00436A71"/>
    <w:rsid w:val="00436D5E"/>
    <w:rsid w:val="004371B5"/>
    <w:rsid w:val="00437AE8"/>
    <w:rsid w:val="00437C39"/>
    <w:rsid w:val="00437F0B"/>
    <w:rsid w:val="00437FE6"/>
    <w:rsid w:val="00440071"/>
    <w:rsid w:val="0044018E"/>
    <w:rsid w:val="0044046A"/>
    <w:rsid w:val="00440729"/>
    <w:rsid w:val="00441532"/>
    <w:rsid w:val="00441928"/>
    <w:rsid w:val="004420A7"/>
    <w:rsid w:val="0044240D"/>
    <w:rsid w:val="0044241E"/>
    <w:rsid w:val="00442AEC"/>
    <w:rsid w:val="00443A13"/>
    <w:rsid w:val="00443A66"/>
    <w:rsid w:val="00443A70"/>
    <w:rsid w:val="00443BE7"/>
    <w:rsid w:val="00443E3F"/>
    <w:rsid w:val="00443EB5"/>
    <w:rsid w:val="004440A5"/>
    <w:rsid w:val="00444214"/>
    <w:rsid w:val="004446F3"/>
    <w:rsid w:val="00444709"/>
    <w:rsid w:val="00444CE0"/>
    <w:rsid w:val="00444F15"/>
    <w:rsid w:val="004451C7"/>
    <w:rsid w:val="00446754"/>
    <w:rsid w:val="00446996"/>
    <w:rsid w:val="00446AB5"/>
    <w:rsid w:val="00446EAE"/>
    <w:rsid w:val="004473EB"/>
    <w:rsid w:val="0045072E"/>
    <w:rsid w:val="00450DE8"/>
    <w:rsid w:val="00450F0C"/>
    <w:rsid w:val="00451714"/>
    <w:rsid w:val="004517BF"/>
    <w:rsid w:val="00451A58"/>
    <w:rsid w:val="00451ABE"/>
    <w:rsid w:val="00451E81"/>
    <w:rsid w:val="004521CB"/>
    <w:rsid w:val="0045246B"/>
    <w:rsid w:val="00452877"/>
    <w:rsid w:val="004528B0"/>
    <w:rsid w:val="004540C0"/>
    <w:rsid w:val="0045476D"/>
    <w:rsid w:val="00454858"/>
    <w:rsid w:val="004554C5"/>
    <w:rsid w:val="004562EC"/>
    <w:rsid w:val="0045656A"/>
    <w:rsid w:val="00456B45"/>
    <w:rsid w:val="00456C24"/>
    <w:rsid w:val="00456CCE"/>
    <w:rsid w:val="00456D14"/>
    <w:rsid w:val="00457534"/>
    <w:rsid w:val="00457C96"/>
    <w:rsid w:val="00457F1A"/>
    <w:rsid w:val="00460A87"/>
    <w:rsid w:val="00460B33"/>
    <w:rsid w:val="00461EB4"/>
    <w:rsid w:val="004622E6"/>
    <w:rsid w:val="00462573"/>
    <w:rsid w:val="00462C48"/>
    <w:rsid w:val="00462DD2"/>
    <w:rsid w:val="0046309D"/>
    <w:rsid w:val="00463377"/>
    <w:rsid w:val="00463B61"/>
    <w:rsid w:val="00464219"/>
    <w:rsid w:val="00465339"/>
    <w:rsid w:val="00465439"/>
    <w:rsid w:val="004659EF"/>
    <w:rsid w:val="00465FF4"/>
    <w:rsid w:val="0046740D"/>
    <w:rsid w:val="0046784E"/>
    <w:rsid w:val="00467E10"/>
    <w:rsid w:val="0047007B"/>
    <w:rsid w:val="004703CF"/>
    <w:rsid w:val="00470B37"/>
    <w:rsid w:val="00471472"/>
    <w:rsid w:val="004716A2"/>
    <w:rsid w:val="00471AD1"/>
    <w:rsid w:val="00471C32"/>
    <w:rsid w:val="00472400"/>
    <w:rsid w:val="004730F7"/>
    <w:rsid w:val="004731D9"/>
    <w:rsid w:val="00473599"/>
    <w:rsid w:val="00473C0A"/>
    <w:rsid w:val="00473E36"/>
    <w:rsid w:val="004748FE"/>
    <w:rsid w:val="00474DB1"/>
    <w:rsid w:val="004751FC"/>
    <w:rsid w:val="004760AF"/>
    <w:rsid w:val="004760CE"/>
    <w:rsid w:val="004763EC"/>
    <w:rsid w:val="00476E74"/>
    <w:rsid w:val="00477A96"/>
    <w:rsid w:val="00477AA1"/>
    <w:rsid w:val="00480023"/>
    <w:rsid w:val="0048002A"/>
    <w:rsid w:val="004800E4"/>
    <w:rsid w:val="00480BCE"/>
    <w:rsid w:val="00480F55"/>
    <w:rsid w:val="004812A3"/>
    <w:rsid w:val="00481719"/>
    <w:rsid w:val="00481C64"/>
    <w:rsid w:val="004828B3"/>
    <w:rsid w:val="004836B2"/>
    <w:rsid w:val="004839A8"/>
    <w:rsid w:val="00483AC7"/>
    <w:rsid w:val="00483D55"/>
    <w:rsid w:val="00483EAA"/>
    <w:rsid w:val="0048524B"/>
    <w:rsid w:val="00486C35"/>
    <w:rsid w:val="00487199"/>
    <w:rsid w:val="0048749E"/>
    <w:rsid w:val="0048767F"/>
    <w:rsid w:val="00487749"/>
    <w:rsid w:val="004878F0"/>
    <w:rsid w:val="00490529"/>
    <w:rsid w:val="00490AC4"/>
    <w:rsid w:val="00490F31"/>
    <w:rsid w:val="004910B6"/>
    <w:rsid w:val="00491189"/>
    <w:rsid w:val="00491228"/>
    <w:rsid w:val="004914AA"/>
    <w:rsid w:val="00491631"/>
    <w:rsid w:val="0049201F"/>
    <w:rsid w:val="004922A7"/>
    <w:rsid w:val="00492B03"/>
    <w:rsid w:val="00493489"/>
    <w:rsid w:val="004934CE"/>
    <w:rsid w:val="00493C5B"/>
    <w:rsid w:val="00493E7D"/>
    <w:rsid w:val="00493EC9"/>
    <w:rsid w:val="00494658"/>
    <w:rsid w:val="00495125"/>
    <w:rsid w:val="0049569D"/>
    <w:rsid w:val="00495713"/>
    <w:rsid w:val="00495871"/>
    <w:rsid w:val="00495D68"/>
    <w:rsid w:val="00495E3E"/>
    <w:rsid w:val="004964C2"/>
    <w:rsid w:val="00496A36"/>
    <w:rsid w:val="00497340"/>
    <w:rsid w:val="00497369"/>
    <w:rsid w:val="004973BC"/>
    <w:rsid w:val="00497535"/>
    <w:rsid w:val="004A02D3"/>
    <w:rsid w:val="004A0D97"/>
    <w:rsid w:val="004A1407"/>
    <w:rsid w:val="004A1896"/>
    <w:rsid w:val="004A1B40"/>
    <w:rsid w:val="004A1C25"/>
    <w:rsid w:val="004A1FC0"/>
    <w:rsid w:val="004A2272"/>
    <w:rsid w:val="004A22F3"/>
    <w:rsid w:val="004A279D"/>
    <w:rsid w:val="004A2964"/>
    <w:rsid w:val="004A2C02"/>
    <w:rsid w:val="004A31FC"/>
    <w:rsid w:val="004A322B"/>
    <w:rsid w:val="004A3244"/>
    <w:rsid w:val="004A35FF"/>
    <w:rsid w:val="004A37CE"/>
    <w:rsid w:val="004A3852"/>
    <w:rsid w:val="004A451E"/>
    <w:rsid w:val="004A51BD"/>
    <w:rsid w:val="004A5364"/>
    <w:rsid w:val="004A5714"/>
    <w:rsid w:val="004A59C9"/>
    <w:rsid w:val="004A5F71"/>
    <w:rsid w:val="004A6666"/>
    <w:rsid w:val="004A6EE0"/>
    <w:rsid w:val="004A72C1"/>
    <w:rsid w:val="004A7A29"/>
    <w:rsid w:val="004A7EE9"/>
    <w:rsid w:val="004B0AA0"/>
    <w:rsid w:val="004B1C6A"/>
    <w:rsid w:val="004B1F23"/>
    <w:rsid w:val="004B222C"/>
    <w:rsid w:val="004B305C"/>
    <w:rsid w:val="004B3C5C"/>
    <w:rsid w:val="004B5047"/>
    <w:rsid w:val="004B51DA"/>
    <w:rsid w:val="004B5B0D"/>
    <w:rsid w:val="004B5B35"/>
    <w:rsid w:val="004B5C6A"/>
    <w:rsid w:val="004B5CC0"/>
    <w:rsid w:val="004B6825"/>
    <w:rsid w:val="004B6E37"/>
    <w:rsid w:val="004B7337"/>
    <w:rsid w:val="004B779B"/>
    <w:rsid w:val="004B78E9"/>
    <w:rsid w:val="004B7A9D"/>
    <w:rsid w:val="004B7B4D"/>
    <w:rsid w:val="004B7BA0"/>
    <w:rsid w:val="004C07E8"/>
    <w:rsid w:val="004C08AD"/>
    <w:rsid w:val="004C0D0C"/>
    <w:rsid w:val="004C0DBE"/>
    <w:rsid w:val="004C0F88"/>
    <w:rsid w:val="004C1295"/>
    <w:rsid w:val="004C1820"/>
    <w:rsid w:val="004C19C0"/>
    <w:rsid w:val="004C1F33"/>
    <w:rsid w:val="004C224E"/>
    <w:rsid w:val="004C2927"/>
    <w:rsid w:val="004C2A86"/>
    <w:rsid w:val="004C2D1D"/>
    <w:rsid w:val="004C2F61"/>
    <w:rsid w:val="004C3279"/>
    <w:rsid w:val="004C345F"/>
    <w:rsid w:val="004C39AF"/>
    <w:rsid w:val="004C3D07"/>
    <w:rsid w:val="004C3E2C"/>
    <w:rsid w:val="004C4AB5"/>
    <w:rsid w:val="004C55B2"/>
    <w:rsid w:val="004C6AFC"/>
    <w:rsid w:val="004C7416"/>
    <w:rsid w:val="004C7CA1"/>
    <w:rsid w:val="004C7DD6"/>
    <w:rsid w:val="004D0FA5"/>
    <w:rsid w:val="004D100E"/>
    <w:rsid w:val="004D15C2"/>
    <w:rsid w:val="004D26C9"/>
    <w:rsid w:val="004D27B9"/>
    <w:rsid w:val="004D28C0"/>
    <w:rsid w:val="004D2E84"/>
    <w:rsid w:val="004D30EE"/>
    <w:rsid w:val="004D376C"/>
    <w:rsid w:val="004D3793"/>
    <w:rsid w:val="004D3B59"/>
    <w:rsid w:val="004D4695"/>
    <w:rsid w:val="004D4CA4"/>
    <w:rsid w:val="004D53E2"/>
    <w:rsid w:val="004D5554"/>
    <w:rsid w:val="004D5A89"/>
    <w:rsid w:val="004D5AD1"/>
    <w:rsid w:val="004D65E4"/>
    <w:rsid w:val="004D68E7"/>
    <w:rsid w:val="004D69D2"/>
    <w:rsid w:val="004D6DE1"/>
    <w:rsid w:val="004D6E05"/>
    <w:rsid w:val="004D6FF2"/>
    <w:rsid w:val="004D7496"/>
    <w:rsid w:val="004D7498"/>
    <w:rsid w:val="004E004D"/>
    <w:rsid w:val="004E0595"/>
    <w:rsid w:val="004E1095"/>
    <w:rsid w:val="004E14B0"/>
    <w:rsid w:val="004E1AA3"/>
    <w:rsid w:val="004E1DD1"/>
    <w:rsid w:val="004E1F09"/>
    <w:rsid w:val="004E2048"/>
    <w:rsid w:val="004E2489"/>
    <w:rsid w:val="004E26EE"/>
    <w:rsid w:val="004E2941"/>
    <w:rsid w:val="004E2EBC"/>
    <w:rsid w:val="004E3380"/>
    <w:rsid w:val="004E42E0"/>
    <w:rsid w:val="004E4ABF"/>
    <w:rsid w:val="004E4C2F"/>
    <w:rsid w:val="004E4CDB"/>
    <w:rsid w:val="004E4E3F"/>
    <w:rsid w:val="004E641F"/>
    <w:rsid w:val="004E6435"/>
    <w:rsid w:val="004E678B"/>
    <w:rsid w:val="004E7430"/>
    <w:rsid w:val="004E7AE4"/>
    <w:rsid w:val="004F0790"/>
    <w:rsid w:val="004F0A84"/>
    <w:rsid w:val="004F0E5F"/>
    <w:rsid w:val="004F15AE"/>
    <w:rsid w:val="004F1B3A"/>
    <w:rsid w:val="004F1BDC"/>
    <w:rsid w:val="004F2980"/>
    <w:rsid w:val="004F2F37"/>
    <w:rsid w:val="004F3B93"/>
    <w:rsid w:val="004F3C3D"/>
    <w:rsid w:val="004F3D93"/>
    <w:rsid w:val="004F40BB"/>
    <w:rsid w:val="004F45EA"/>
    <w:rsid w:val="004F5360"/>
    <w:rsid w:val="004F5370"/>
    <w:rsid w:val="004F55E0"/>
    <w:rsid w:val="004F58CF"/>
    <w:rsid w:val="004F5EEC"/>
    <w:rsid w:val="004F642C"/>
    <w:rsid w:val="004F6815"/>
    <w:rsid w:val="004F69A4"/>
    <w:rsid w:val="004F6BC7"/>
    <w:rsid w:val="004F7027"/>
    <w:rsid w:val="004F750A"/>
    <w:rsid w:val="004F7699"/>
    <w:rsid w:val="004F7919"/>
    <w:rsid w:val="004F79BB"/>
    <w:rsid w:val="004F7C2C"/>
    <w:rsid w:val="00500162"/>
    <w:rsid w:val="00500BBE"/>
    <w:rsid w:val="005018C2"/>
    <w:rsid w:val="00501FE5"/>
    <w:rsid w:val="0050206E"/>
    <w:rsid w:val="005021A4"/>
    <w:rsid w:val="005027A3"/>
    <w:rsid w:val="00502925"/>
    <w:rsid w:val="00502E59"/>
    <w:rsid w:val="00503B1E"/>
    <w:rsid w:val="00503E90"/>
    <w:rsid w:val="005041CF"/>
    <w:rsid w:val="0050471D"/>
    <w:rsid w:val="005056E7"/>
    <w:rsid w:val="0050579C"/>
    <w:rsid w:val="00505EB1"/>
    <w:rsid w:val="00505F0B"/>
    <w:rsid w:val="00506000"/>
    <w:rsid w:val="0050616B"/>
    <w:rsid w:val="0050694C"/>
    <w:rsid w:val="00506969"/>
    <w:rsid w:val="005069F6"/>
    <w:rsid w:val="0050704E"/>
    <w:rsid w:val="0050722F"/>
    <w:rsid w:val="00510179"/>
    <w:rsid w:val="00510F1B"/>
    <w:rsid w:val="00511576"/>
    <w:rsid w:val="00511A3F"/>
    <w:rsid w:val="00511AC3"/>
    <w:rsid w:val="00511E2E"/>
    <w:rsid w:val="00512296"/>
    <w:rsid w:val="0051288B"/>
    <w:rsid w:val="00512E7D"/>
    <w:rsid w:val="0051317D"/>
    <w:rsid w:val="00513253"/>
    <w:rsid w:val="00513BAF"/>
    <w:rsid w:val="00515355"/>
    <w:rsid w:val="00515371"/>
    <w:rsid w:val="005159FF"/>
    <w:rsid w:val="005164D8"/>
    <w:rsid w:val="00516748"/>
    <w:rsid w:val="00516B6D"/>
    <w:rsid w:val="00516E62"/>
    <w:rsid w:val="00516EEA"/>
    <w:rsid w:val="00516F6C"/>
    <w:rsid w:val="0051701E"/>
    <w:rsid w:val="005171C0"/>
    <w:rsid w:val="0052017D"/>
    <w:rsid w:val="0052078D"/>
    <w:rsid w:val="00520EA8"/>
    <w:rsid w:val="005217EB"/>
    <w:rsid w:val="00522487"/>
    <w:rsid w:val="00522C83"/>
    <w:rsid w:val="00522DA0"/>
    <w:rsid w:val="00522E2C"/>
    <w:rsid w:val="0052351F"/>
    <w:rsid w:val="005236E5"/>
    <w:rsid w:val="00525D27"/>
    <w:rsid w:val="00525DB2"/>
    <w:rsid w:val="0052686B"/>
    <w:rsid w:val="0052760C"/>
    <w:rsid w:val="00530255"/>
    <w:rsid w:val="00530316"/>
    <w:rsid w:val="00530852"/>
    <w:rsid w:val="00530B46"/>
    <w:rsid w:val="00530D0E"/>
    <w:rsid w:val="00531000"/>
    <w:rsid w:val="005310A3"/>
    <w:rsid w:val="005316BA"/>
    <w:rsid w:val="00531797"/>
    <w:rsid w:val="0053196B"/>
    <w:rsid w:val="00531CE1"/>
    <w:rsid w:val="00532378"/>
    <w:rsid w:val="0053246E"/>
    <w:rsid w:val="005324D5"/>
    <w:rsid w:val="00532587"/>
    <w:rsid w:val="0053260B"/>
    <w:rsid w:val="00532807"/>
    <w:rsid w:val="005331E3"/>
    <w:rsid w:val="0053351C"/>
    <w:rsid w:val="005339C0"/>
    <w:rsid w:val="005339DB"/>
    <w:rsid w:val="00533E60"/>
    <w:rsid w:val="00534A50"/>
    <w:rsid w:val="00535364"/>
    <w:rsid w:val="0053541A"/>
    <w:rsid w:val="005354C2"/>
    <w:rsid w:val="00535746"/>
    <w:rsid w:val="00535D47"/>
    <w:rsid w:val="00536480"/>
    <w:rsid w:val="0053658A"/>
    <w:rsid w:val="005365F4"/>
    <w:rsid w:val="00536E59"/>
    <w:rsid w:val="005374B4"/>
    <w:rsid w:val="00537FF4"/>
    <w:rsid w:val="00540128"/>
    <w:rsid w:val="00540148"/>
    <w:rsid w:val="00541655"/>
    <w:rsid w:val="00541A52"/>
    <w:rsid w:val="00541B01"/>
    <w:rsid w:val="00541DF2"/>
    <w:rsid w:val="005422D7"/>
    <w:rsid w:val="00542E1E"/>
    <w:rsid w:val="00543782"/>
    <w:rsid w:val="005437B2"/>
    <w:rsid w:val="00543A10"/>
    <w:rsid w:val="00543A5B"/>
    <w:rsid w:val="0054414D"/>
    <w:rsid w:val="00544176"/>
    <w:rsid w:val="00544334"/>
    <w:rsid w:val="0054464B"/>
    <w:rsid w:val="00544ADC"/>
    <w:rsid w:val="00544E8D"/>
    <w:rsid w:val="00545038"/>
    <w:rsid w:val="0054509A"/>
    <w:rsid w:val="005450A0"/>
    <w:rsid w:val="00545C5D"/>
    <w:rsid w:val="00547256"/>
    <w:rsid w:val="00547516"/>
    <w:rsid w:val="00547A29"/>
    <w:rsid w:val="00547D49"/>
    <w:rsid w:val="00547EB7"/>
    <w:rsid w:val="00547F6B"/>
    <w:rsid w:val="00550DF6"/>
    <w:rsid w:val="00550FD5"/>
    <w:rsid w:val="00551159"/>
    <w:rsid w:val="0055173D"/>
    <w:rsid w:val="00552A15"/>
    <w:rsid w:val="00552C2A"/>
    <w:rsid w:val="00552D4F"/>
    <w:rsid w:val="00553170"/>
    <w:rsid w:val="005532D2"/>
    <w:rsid w:val="0055336D"/>
    <w:rsid w:val="00553525"/>
    <w:rsid w:val="0055411E"/>
    <w:rsid w:val="00554536"/>
    <w:rsid w:val="00554670"/>
    <w:rsid w:val="00554CB7"/>
    <w:rsid w:val="00555069"/>
    <w:rsid w:val="005552CB"/>
    <w:rsid w:val="0055549D"/>
    <w:rsid w:val="005554DB"/>
    <w:rsid w:val="00555E56"/>
    <w:rsid w:val="005565F6"/>
    <w:rsid w:val="0055672F"/>
    <w:rsid w:val="00556F3A"/>
    <w:rsid w:val="00556FBE"/>
    <w:rsid w:val="0055714C"/>
    <w:rsid w:val="005612B3"/>
    <w:rsid w:val="0056198B"/>
    <w:rsid w:val="00561E14"/>
    <w:rsid w:val="00561F57"/>
    <w:rsid w:val="005621C9"/>
    <w:rsid w:val="005621EE"/>
    <w:rsid w:val="00562773"/>
    <w:rsid w:val="00562800"/>
    <w:rsid w:val="00563626"/>
    <w:rsid w:val="005639CD"/>
    <w:rsid w:val="00563A49"/>
    <w:rsid w:val="005646F0"/>
    <w:rsid w:val="00564929"/>
    <w:rsid w:val="005654D5"/>
    <w:rsid w:val="0056570B"/>
    <w:rsid w:val="005657D5"/>
    <w:rsid w:val="00565917"/>
    <w:rsid w:val="00565DD9"/>
    <w:rsid w:val="00566533"/>
    <w:rsid w:val="00566A39"/>
    <w:rsid w:val="00567053"/>
    <w:rsid w:val="005670D5"/>
    <w:rsid w:val="00567492"/>
    <w:rsid w:val="0056798D"/>
    <w:rsid w:val="00567E52"/>
    <w:rsid w:val="0057124E"/>
    <w:rsid w:val="005712AB"/>
    <w:rsid w:val="00571D79"/>
    <w:rsid w:val="005723F2"/>
    <w:rsid w:val="0057245B"/>
    <w:rsid w:val="00572463"/>
    <w:rsid w:val="00572E40"/>
    <w:rsid w:val="005735B8"/>
    <w:rsid w:val="00573F98"/>
    <w:rsid w:val="00574F9C"/>
    <w:rsid w:val="005752A6"/>
    <w:rsid w:val="00575BFC"/>
    <w:rsid w:val="00576F47"/>
    <w:rsid w:val="00577127"/>
    <w:rsid w:val="005771B9"/>
    <w:rsid w:val="00577965"/>
    <w:rsid w:val="00577CBB"/>
    <w:rsid w:val="00580A6B"/>
    <w:rsid w:val="00580C8A"/>
    <w:rsid w:val="00580CE9"/>
    <w:rsid w:val="00580D9B"/>
    <w:rsid w:val="00580E44"/>
    <w:rsid w:val="00580FFF"/>
    <w:rsid w:val="005817F2"/>
    <w:rsid w:val="005818D1"/>
    <w:rsid w:val="00581B92"/>
    <w:rsid w:val="005823C9"/>
    <w:rsid w:val="0058270B"/>
    <w:rsid w:val="00582893"/>
    <w:rsid w:val="00582A0A"/>
    <w:rsid w:val="00582F6E"/>
    <w:rsid w:val="00582FDB"/>
    <w:rsid w:val="00583E25"/>
    <w:rsid w:val="00584195"/>
    <w:rsid w:val="005843F5"/>
    <w:rsid w:val="00584F7E"/>
    <w:rsid w:val="00587E64"/>
    <w:rsid w:val="00590A34"/>
    <w:rsid w:val="00590B0F"/>
    <w:rsid w:val="00590BC2"/>
    <w:rsid w:val="00590D80"/>
    <w:rsid w:val="00590EA2"/>
    <w:rsid w:val="00591D54"/>
    <w:rsid w:val="00591DB9"/>
    <w:rsid w:val="0059214E"/>
    <w:rsid w:val="00592857"/>
    <w:rsid w:val="00592A37"/>
    <w:rsid w:val="00592FF3"/>
    <w:rsid w:val="005934D0"/>
    <w:rsid w:val="0059366E"/>
    <w:rsid w:val="00594CCC"/>
    <w:rsid w:val="005956C8"/>
    <w:rsid w:val="0059571F"/>
    <w:rsid w:val="005957B5"/>
    <w:rsid w:val="00595D6B"/>
    <w:rsid w:val="00595DC2"/>
    <w:rsid w:val="00595FA9"/>
    <w:rsid w:val="005968A7"/>
    <w:rsid w:val="0059698A"/>
    <w:rsid w:val="00596F5C"/>
    <w:rsid w:val="005971F2"/>
    <w:rsid w:val="005972C3"/>
    <w:rsid w:val="00597585"/>
    <w:rsid w:val="0059783F"/>
    <w:rsid w:val="005978B9"/>
    <w:rsid w:val="00597AB2"/>
    <w:rsid w:val="00597AE0"/>
    <w:rsid w:val="005A00ED"/>
    <w:rsid w:val="005A034F"/>
    <w:rsid w:val="005A1269"/>
    <w:rsid w:val="005A1339"/>
    <w:rsid w:val="005A1D79"/>
    <w:rsid w:val="005A232F"/>
    <w:rsid w:val="005A23F6"/>
    <w:rsid w:val="005A261F"/>
    <w:rsid w:val="005A2867"/>
    <w:rsid w:val="005A2B4A"/>
    <w:rsid w:val="005A2B6E"/>
    <w:rsid w:val="005A2C6E"/>
    <w:rsid w:val="005A3510"/>
    <w:rsid w:val="005A35EC"/>
    <w:rsid w:val="005A3DAC"/>
    <w:rsid w:val="005A4426"/>
    <w:rsid w:val="005A49F5"/>
    <w:rsid w:val="005A5017"/>
    <w:rsid w:val="005A5102"/>
    <w:rsid w:val="005A5369"/>
    <w:rsid w:val="005A5C95"/>
    <w:rsid w:val="005A5E03"/>
    <w:rsid w:val="005A5EB4"/>
    <w:rsid w:val="005A621D"/>
    <w:rsid w:val="005A6273"/>
    <w:rsid w:val="005A6CE8"/>
    <w:rsid w:val="005A6D6B"/>
    <w:rsid w:val="005A6F60"/>
    <w:rsid w:val="005A76EA"/>
    <w:rsid w:val="005A7784"/>
    <w:rsid w:val="005A779A"/>
    <w:rsid w:val="005A7B82"/>
    <w:rsid w:val="005A7E34"/>
    <w:rsid w:val="005B044B"/>
    <w:rsid w:val="005B050B"/>
    <w:rsid w:val="005B0555"/>
    <w:rsid w:val="005B0569"/>
    <w:rsid w:val="005B06D8"/>
    <w:rsid w:val="005B0752"/>
    <w:rsid w:val="005B08D3"/>
    <w:rsid w:val="005B11C4"/>
    <w:rsid w:val="005B1ECF"/>
    <w:rsid w:val="005B3005"/>
    <w:rsid w:val="005B30C1"/>
    <w:rsid w:val="005B36EF"/>
    <w:rsid w:val="005B3859"/>
    <w:rsid w:val="005B3953"/>
    <w:rsid w:val="005B3A8C"/>
    <w:rsid w:val="005B3D83"/>
    <w:rsid w:val="005B3EFE"/>
    <w:rsid w:val="005B4292"/>
    <w:rsid w:val="005B45D0"/>
    <w:rsid w:val="005B47FA"/>
    <w:rsid w:val="005B4D9B"/>
    <w:rsid w:val="005B4F04"/>
    <w:rsid w:val="005B52C0"/>
    <w:rsid w:val="005B5947"/>
    <w:rsid w:val="005B61A6"/>
    <w:rsid w:val="005B6F1A"/>
    <w:rsid w:val="005B7B9C"/>
    <w:rsid w:val="005C048E"/>
    <w:rsid w:val="005C0514"/>
    <w:rsid w:val="005C0928"/>
    <w:rsid w:val="005C0A5C"/>
    <w:rsid w:val="005C1E01"/>
    <w:rsid w:val="005C1FD7"/>
    <w:rsid w:val="005C242A"/>
    <w:rsid w:val="005C2521"/>
    <w:rsid w:val="005C2D8E"/>
    <w:rsid w:val="005C2EEB"/>
    <w:rsid w:val="005C3701"/>
    <w:rsid w:val="005C3766"/>
    <w:rsid w:val="005C437B"/>
    <w:rsid w:val="005C469A"/>
    <w:rsid w:val="005C49E6"/>
    <w:rsid w:val="005C4F89"/>
    <w:rsid w:val="005C57FB"/>
    <w:rsid w:val="005C6227"/>
    <w:rsid w:val="005C6A23"/>
    <w:rsid w:val="005C6B81"/>
    <w:rsid w:val="005C731E"/>
    <w:rsid w:val="005C751C"/>
    <w:rsid w:val="005C7858"/>
    <w:rsid w:val="005C7AB6"/>
    <w:rsid w:val="005D0634"/>
    <w:rsid w:val="005D0BA3"/>
    <w:rsid w:val="005D0BDD"/>
    <w:rsid w:val="005D0C86"/>
    <w:rsid w:val="005D1F72"/>
    <w:rsid w:val="005D23E0"/>
    <w:rsid w:val="005D246E"/>
    <w:rsid w:val="005D2A0E"/>
    <w:rsid w:val="005D3067"/>
    <w:rsid w:val="005D337A"/>
    <w:rsid w:val="005D36BD"/>
    <w:rsid w:val="005D36EB"/>
    <w:rsid w:val="005D3A90"/>
    <w:rsid w:val="005D3AAB"/>
    <w:rsid w:val="005D4304"/>
    <w:rsid w:val="005D45A1"/>
    <w:rsid w:val="005D4EDC"/>
    <w:rsid w:val="005D5153"/>
    <w:rsid w:val="005D515B"/>
    <w:rsid w:val="005D576A"/>
    <w:rsid w:val="005D5E4E"/>
    <w:rsid w:val="005D6015"/>
    <w:rsid w:val="005D6144"/>
    <w:rsid w:val="005D633A"/>
    <w:rsid w:val="005D6AA5"/>
    <w:rsid w:val="005D6F48"/>
    <w:rsid w:val="005D7450"/>
    <w:rsid w:val="005D7F6C"/>
    <w:rsid w:val="005E0320"/>
    <w:rsid w:val="005E039B"/>
    <w:rsid w:val="005E1BCA"/>
    <w:rsid w:val="005E249F"/>
    <w:rsid w:val="005E24F9"/>
    <w:rsid w:val="005E2BD9"/>
    <w:rsid w:val="005E2D5B"/>
    <w:rsid w:val="005E2EE7"/>
    <w:rsid w:val="005E338E"/>
    <w:rsid w:val="005E34F3"/>
    <w:rsid w:val="005E3C07"/>
    <w:rsid w:val="005E3C84"/>
    <w:rsid w:val="005E4131"/>
    <w:rsid w:val="005E427A"/>
    <w:rsid w:val="005E429E"/>
    <w:rsid w:val="005E44EC"/>
    <w:rsid w:val="005E450C"/>
    <w:rsid w:val="005E461A"/>
    <w:rsid w:val="005E4DDF"/>
    <w:rsid w:val="005E4FBF"/>
    <w:rsid w:val="005E50EF"/>
    <w:rsid w:val="005E5D6D"/>
    <w:rsid w:val="005E5EAB"/>
    <w:rsid w:val="005E61FB"/>
    <w:rsid w:val="005E6B81"/>
    <w:rsid w:val="005E781F"/>
    <w:rsid w:val="005E7C02"/>
    <w:rsid w:val="005F07EF"/>
    <w:rsid w:val="005F094B"/>
    <w:rsid w:val="005F0B45"/>
    <w:rsid w:val="005F0FE8"/>
    <w:rsid w:val="005F11A9"/>
    <w:rsid w:val="005F11D7"/>
    <w:rsid w:val="005F170B"/>
    <w:rsid w:val="005F1B5C"/>
    <w:rsid w:val="005F1BE2"/>
    <w:rsid w:val="005F1BE4"/>
    <w:rsid w:val="005F1C2F"/>
    <w:rsid w:val="005F252F"/>
    <w:rsid w:val="005F2DE6"/>
    <w:rsid w:val="005F2E2B"/>
    <w:rsid w:val="005F3538"/>
    <w:rsid w:val="005F4BA6"/>
    <w:rsid w:val="005F4EC9"/>
    <w:rsid w:val="005F54DB"/>
    <w:rsid w:val="005F57FC"/>
    <w:rsid w:val="005F69BF"/>
    <w:rsid w:val="005F6B0E"/>
    <w:rsid w:val="005F6D27"/>
    <w:rsid w:val="005F744A"/>
    <w:rsid w:val="005F7867"/>
    <w:rsid w:val="006001EA"/>
    <w:rsid w:val="00600225"/>
    <w:rsid w:val="006002BC"/>
    <w:rsid w:val="00600EEF"/>
    <w:rsid w:val="00600F02"/>
    <w:rsid w:val="006010B9"/>
    <w:rsid w:val="006022D2"/>
    <w:rsid w:val="006023D5"/>
    <w:rsid w:val="00602518"/>
    <w:rsid w:val="00602667"/>
    <w:rsid w:val="00602C9F"/>
    <w:rsid w:val="006032F4"/>
    <w:rsid w:val="0060339F"/>
    <w:rsid w:val="00603570"/>
    <w:rsid w:val="00603D18"/>
    <w:rsid w:val="00603D65"/>
    <w:rsid w:val="00604615"/>
    <w:rsid w:val="00604A39"/>
    <w:rsid w:val="00604CA1"/>
    <w:rsid w:val="00605046"/>
    <w:rsid w:val="00605104"/>
    <w:rsid w:val="00605C3E"/>
    <w:rsid w:val="00605FAA"/>
    <w:rsid w:val="0060613B"/>
    <w:rsid w:val="0060632D"/>
    <w:rsid w:val="006068D8"/>
    <w:rsid w:val="00606C57"/>
    <w:rsid w:val="006070B2"/>
    <w:rsid w:val="00607AEB"/>
    <w:rsid w:val="0061018D"/>
    <w:rsid w:val="0061126B"/>
    <w:rsid w:val="006118DC"/>
    <w:rsid w:val="00611D1C"/>
    <w:rsid w:val="0061247F"/>
    <w:rsid w:val="00612558"/>
    <w:rsid w:val="00612824"/>
    <w:rsid w:val="00612C13"/>
    <w:rsid w:val="00612D64"/>
    <w:rsid w:val="00612FB8"/>
    <w:rsid w:val="00613CB3"/>
    <w:rsid w:val="00613DFA"/>
    <w:rsid w:val="00613EB3"/>
    <w:rsid w:val="00614840"/>
    <w:rsid w:val="0061489B"/>
    <w:rsid w:val="00614B7B"/>
    <w:rsid w:val="006158F5"/>
    <w:rsid w:val="00615E51"/>
    <w:rsid w:val="00616026"/>
    <w:rsid w:val="00616466"/>
    <w:rsid w:val="00616587"/>
    <w:rsid w:val="00616E70"/>
    <w:rsid w:val="00616EFC"/>
    <w:rsid w:val="00616FF9"/>
    <w:rsid w:val="006170BE"/>
    <w:rsid w:val="00617AFE"/>
    <w:rsid w:val="00617B92"/>
    <w:rsid w:val="00617C6C"/>
    <w:rsid w:val="0062055C"/>
    <w:rsid w:val="00620718"/>
    <w:rsid w:val="006209E4"/>
    <w:rsid w:val="00620E92"/>
    <w:rsid w:val="00621054"/>
    <w:rsid w:val="0062123F"/>
    <w:rsid w:val="00621561"/>
    <w:rsid w:val="00622987"/>
    <w:rsid w:val="00622B6F"/>
    <w:rsid w:val="0062309E"/>
    <w:rsid w:val="00623761"/>
    <w:rsid w:val="0062476F"/>
    <w:rsid w:val="0062485E"/>
    <w:rsid w:val="00624C3C"/>
    <w:rsid w:val="00624CCB"/>
    <w:rsid w:val="00624ED5"/>
    <w:rsid w:val="006253F9"/>
    <w:rsid w:val="00625CCD"/>
    <w:rsid w:val="00625D61"/>
    <w:rsid w:val="006263DE"/>
    <w:rsid w:val="00626B73"/>
    <w:rsid w:val="00626DBE"/>
    <w:rsid w:val="00627422"/>
    <w:rsid w:val="006278C9"/>
    <w:rsid w:val="00627A1D"/>
    <w:rsid w:val="00627ED8"/>
    <w:rsid w:val="006301C2"/>
    <w:rsid w:val="006302B1"/>
    <w:rsid w:val="00630575"/>
    <w:rsid w:val="006306D3"/>
    <w:rsid w:val="00630A17"/>
    <w:rsid w:val="00630DBA"/>
    <w:rsid w:val="00630DCE"/>
    <w:rsid w:val="00630ED0"/>
    <w:rsid w:val="0063140E"/>
    <w:rsid w:val="006314EF"/>
    <w:rsid w:val="006315D9"/>
    <w:rsid w:val="006316DC"/>
    <w:rsid w:val="00631844"/>
    <w:rsid w:val="00631D65"/>
    <w:rsid w:val="00631FA7"/>
    <w:rsid w:val="006324E2"/>
    <w:rsid w:val="00632577"/>
    <w:rsid w:val="0063334C"/>
    <w:rsid w:val="006333D0"/>
    <w:rsid w:val="00633856"/>
    <w:rsid w:val="00633969"/>
    <w:rsid w:val="006339D0"/>
    <w:rsid w:val="00633A7B"/>
    <w:rsid w:val="00633DE3"/>
    <w:rsid w:val="00633F7C"/>
    <w:rsid w:val="0063441D"/>
    <w:rsid w:val="0063477F"/>
    <w:rsid w:val="00635029"/>
    <w:rsid w:val="0063507D"/>
    <w:rsid w:val="006352ED"/>
    <w:rsid w:val="00635572"/>
    <w:rsid w:val="00635616"/>
    <w:rsid w:val="006356AF"/>
    <w:rsid w:val="00635EC3"/>
    <w:rsid w:val="00636082"/>
    <w:rsid w:val="006362AE"/>
    <w:rsid w:val="00636A3E"/>
    <w:rsid w:val="00636E2B"/>
    <w:rsid w:val="0063733C"/>
    <w:rsid w:val="006373C7"/>
    <w:rsid w:val="0063774A"/>
    <w:rsid w:val="0063796B"/>
    <w:rsid w:val="00637EE1"/>
    <w:rsid w:val="006405FD"/>
    <w:rsid w:val="006409A1"/>
    <w:rsid w:val="00640C43"/>
    <w:rsid w:val="00642716"/>
    <w:rsid w:val="006429C7"/>
    <w:rsid w:val="00643440"/>
    <w:rsid w:val="00643CD3"/>
    <w:rsid w:val="00643DE3"/>
    <w:rsid w:val="00645777"/>
    <w:rsid w:val="00645A76"/>
    <w:rsid w:val="00645F30"/>
    <w:rsid w:val="00646020"/>
    <w:rsid w:val="006463BF"/>
    <w:rsid w:val="00646997"/>
    <w:rsid w:val="00646B45"/>
    <w:rsid w:val="00646FA9"/>
    <w:rsid w:val="006473CF"/>
    <w:rsid w:val="006476E4"/>
    <w:rsid w:val="0064794F"/>
    <w:rsid w:val="00647B6A"/>
    <w:rsid w:val="006500B2"/>
    <w:rsid w:val="00651448"/>
    <w:rsid w:val="00651548"/>
    <w:rsid w:val="00651836"/>
    <w:rsid w:val="00651C2F"/>
    <w:rsid w:val="00651DA2"/>
    <w:rsid w:val="0065254C"/>
    <w:rsid w:val="00653682"/>
    <w:rsid w:val="00653B9B"/>
    <w:rsid w:val="00653DEC"/>
    <w:rsid w:val="00653EEF"/>
    <w:rsid w:val="00654226"/>
    <w:rsid w:val="00654CB8"/>
    <w:rsid w:val="006551BD"/>
    <w:rsid w:val="006552FA"/>
    <w:rsid w:val="00655917"/>
    <w:rsid w:val="00655B41"/>
    <w:rsid w:val="00655C8B"/>
    <w:rsid w:val="00655F49"/>
    <w:rsid w:val="00656319"/>
    <w:rsid w:val="00656980"/>
    <w:rsid w:val="00657539"/>
    <w:rsid w:val="00660641"/>
    <w:rsid w:val="0066074F"/>
    <w:rsid w:val="006607CE"/>
    <w:rsid w:val="0066096B"/>
    <w:rsid w:val="006619D9"/>
    <w:rsid w:val="00661E75"/>
    <w:rsid w:val="00662134"/>
    <w:rsid w:val="006624CF"/>
    <w:rsid w:val="00662612"/>
    <w:rsid w:val="006627F4"/>
    <w:rsid w:val="006628AA"/>
    <w:rsid w:val="00662F95"/>
    <w:rsid w:val="00663E58"/>
    <w:rsid w:val="00663F8E"/>
    <w:rsid w:val="006643C6"/>
    <w:rsid w:val="00664B7E"/>
    <w:rsid w:val="00664FF7"/>
    <w:rsid w:val="00665127"/>
    <w:rsid w:val="006652A0"/>
    <w:rsid w:val="006658CE"/>
    <w:rsid w:val="00665E73"/>
    <w:rsid w:val="0066691B"/>
    <w:rsid w:val="00666B5C"/>
    <w:rsid w:val="00666CFD"/>
    <w:rsid w:val="00667407"/>
    <w:rsid w:val="00667553"/>
    <w:rsid w:val="0067003C"/>
    <w:rsid w:val="00670073"/>
    <w:rsid w:val="0067069F"/>
    <w:rsid w:val="00670A6A"/>
    <w:rsid w:val="00670ACD"/>
    <w:rsid w:val="00671485"/>
    <w:rsid w:val="00671508"/>
    <w:rsid w:val="00671B7E"/>
    <w:rsid w:val="00671DE5"/>
    <w:rsid w:val="00671E6A"/>
    <w:rsid w:val="006721D2"/>
    <w:rsid w:val="006722F1"/>
    <w:rsid w:val="00672E8F"/>
    <w:rsid w:val="00673572"/>
    <w:rsid w:val="00673E4D"/>
    <w:rsid w:val="00674535"/>
    <w:rsid w:val="00674AC4"/>
    <w:rsid w:val="00674D80"/>
    <w:rsid w:val="00675D3B"/>
    <w:rsid w:val="00675E37"/>
    <w:rsid w:val="00676468"/>
    <w:rsid w:val="006766FB"/>
    <w:rsid w:val="00676B8E"/>
    <w:rsid w:val="00677268"/>
    <w:rsid w:val="006803C9"/>
    <w:rsid w:val="00680646"/>
    <w:rsid w:val="006807E0"/>
    <w:rsid w:val="00680909"/>
    <w:rsid w:val="0068110B"/>
    <w:rsid w:val="006814A9"/>
    <w:rsid w:val="006823E4"/>
    <w:rsid w:val="00682449"/>
    <w:rsid w:val="00682824"/>
    <w:rsid w:val="00682B31"/>
    <w:rsid w:val="00682B6E"/>
    <w:rsid w:val="00682D3B"/>
    <w:rsid w:val="00682FB3"/>
    <w:rsid w:val="006830A7"/>
    <w:rsid w:val="00683926"/>
    <w:rsid w:val="00683BD2"/>
    <w:rsid w:val="00683DAC"/>
    <w:rsid w:val="00683F41"/>
    <w:rsid w:val="00683F9C"/>
    <w:rsid w:val="006841CD"/>
    <w:rsid w:val="00684471"/>
    <w:rsid w:val="006847C4"/>
    <w:rsid w:val="00684A52"/>
    <w:rsid w:val="00684A5C"/>
    <w:rsid w:val="00684B2C"/>
    <w:rsid w:val="00684EEB"/>
    <w:rsid w:val="00687257"/>
    <w:rsid w:val="006878E8"/>
    <w:rsid w:val="00687A54"/>
    <w:rsid w:val="0069010A"/>
    <w:rsid w:val="006901D5"/>
    <w:rsid w:val="00690354"/>
    <w:rsid w:val="00690BCA"/>
    <w:rsid w:val="00691D2D"/>
    <w:rsid w:val="006927AB"/>
    <w:rsid w:val="006928DB"/>
    <w:rsid w:val="00692DE0"/>
    <w:rsid w:val="0069300A"/>
    <w:rsid w:val="00693438"/>
    <w:rsid w:val="00693A62"/>
    <w:rsid w:val="00693A83"/>
    <w:rsid w:val="00693BD6"/>
    <w:rsid w:val="00693F91"/>
    <w:rsid w:val="00694249"/>
    <w:rsid w:val="006947B8"/>
    <w:rsid w:val="00694922"/>
    <w:rsid w:val="006949BB"/>
    <w:rsid w:val="00694C13"/>
    <w:rsid w:val="00694ECF"/>
    <w:rsid w:val="006955DB"/>
    <w:rsid w:val="00695709"/>
    <w:rsid w:val="00695769"/>
    <w:rsid w:val="00695C11"/>
    <w:rsid w:val="00695FF0"/>
    <w:rsid w:val="00696556"/>
    <w:rsid w:val="006966FF"/>
    <w:rsid w:val="00697725"/>
    <w:rsid w:val="00697942"/>
    <w:rsid w:val="006A0697"/>
    <w:rsid w:val="006A0935"/>
    <w:rsid w:val="006A09CE"/>
    <w:rsid w:val="006A0A09"/>
    <w:rsid w:val="006A0BF7"/>
    <w:rsid w:val="006A111F"/>
    <w:rsid w:val="006A16CC"/>
    <w:rsid w:val="006A17D4"/>
    <w:rsid w:val="006A19B2"/>
    <w:rsid w:val="006A1CA3"/>
    <w:rsid w:val="006A1F39"/>
    <w:rsid w:val="006A22FD"/>
    <w:rsid w:val="006A243B"/>
    <w:rsid w:val="006A243F"/>
    <w:rsid w:val="006A250E"/>
    <w:rsid w:val="006A2717"/>
    <w:rsid w:val="006A27C5"/>
    <w:rsid w:val="006A2C64"/>
    <w:rsid w:val="006A3A5D"/>
    <w:rsid w:val="006A4427"/>
    <w:rsid w:val="006A44F0"/>
    <w:rsid w:val="006A456E"/>
    <w:rsid w:val="006A471A"/>
    <w:rsid w:val="006A4A02"/>
    <w:rsid w:val="006A4C1D"/>
    <w:rsid w:val="006A4EEB"/>
    <w:rsid w:val="006A5307"/>
    <w:rsid w:val="006A5405"/>
    <w:rsid w:val="006A5702"/>
    <w:rsid w:val="006A58F4"/>
    <w:rsid w:val="006A5E4C"/>
    <w:rsid w:val="006A5EF3"/>
    <w:rsid w:val="006A68D9"/>
    <w:rsid w:val="006A71BE"/>
    <w:rsid w:val="006A7510"/>
    <w:rsid w:val="006A7CF6"/>
    <w:rsid w:val="006A7DA8"/>
    <w:rsid w:val="006B0049"/>
    <w:rsid w:val="006B0C8E"/>
    <w:rsid w:val="006B18F7"/>
    <w:rsid w:val="006B1E05"/>
    <w:rsid w:val="006B2247"/>
    <w:rsid w:val="006B239F"/>
    <w:rsid w:val="006B25BD"/>
    <w:rsid w:val="006B2777"/>
    <w:rsid w:val="006B29F5"/>
    <w:rsid w:val="006B321A"/>
    <w:rsid w:val="006B3643"/>
    <w:rsid w:val="006B3A00"/>
    <w:rsid w:val="006B3CFD"/>
    <w:rsid w:val="006B3DA3"/>
    <w:rsid w:val="006B3ECE"/>
    <w:rsid w:val="006B4126"/>
    <w:rsid w:val="006B456B"/>
    <w:rsid w:val="006B45BA"/>
    <w:rsid w:val="006B4999"/>
    <w:rsid w:val="006B4E83"/>
    <w:rsid w:val="006B51D2"/>
    <w:rsid w:val="006B551A"/>
    <w:rsid w:val="006B6338"/>
    <w:rsid w:val="006B6389"/>
    <w:rsid w:val="006B6481"/>
    <w:rsid w:val="006B6707"/>
    <w:rsid w:val="006B6766"/>
    <w:rsid w:val="006B6C3E"/>
    <w:rsid w:val="006B705E"/>
    <w:rsid w:val="006B7194"/>
    <w:rsid w:val="006B765A"/>
    <w:rsid w:val="006B76BB"/>
    <w:rsid w:val="006B7A5E"/>
    <w:rsid w:val="006C037B"/>
    <w:rsid w:val="006C03A7"/>
    <w:rsid w:val="006C071D"/>
    <w:rsid w:val="006C0966"/>
    <w:rsid w:val="006C0A68"/>
    <w:rsid w:val="006C0E63"/>
    <w:rsid w:val="006C0F62"/>
    <w:rsid w:val="006C16BA"/>
    <w:rsid w:val="006C1F08"/>
    <w:rsid w:val="006C257C"/>
    <w:rsid w:val="006C286C"/>
    <w:rsid w:val="006C2BF5"/>
    <w:rsid w:val="006C2D1F"/>
    <w:rsid w:val="006C2F96"/>
    <w:rsid w:val="006C3843"/>
    <w:rsid w:val="006C3A06"/>
    <w:rsid w:val="006C4B09"/>
    <w:rsid w:val="006C4B9B"/>
    <w:rsid w:val="006C4C0F"/>
    <w:rsid w:val="006C4F7D"/>
    <w:rsid w:val="006C4FBE"/>
    <w:rsid w:val="006C52D6"/>
    <w:rsid w:val="006C55F5"/>
    <w:rsid w:val="006C5E34"/>
    <w:rsid w:val="006C5E4D"/>
    <w:rsid w:val="006C630A"/>
    <w:rsid w:val="006C6ACB"/>
    <w:rsid w:val="006C6DE6"/>
    <w:rsid w:val="006C72F9"/>
    <w:rsid w:val="006C7543"/>
    <w:rsid w:val="006C7DAC"/>
    <w:rsid w:val="006D0914"/>
    <w:rsid w:val="006D0B96"/>
    <w:rsid w:val="006D0E6B"/>
    <w:rsid w:val="006D11F8"/>
    <w:rsid w:val="006D142D"/>
    <w:rsid w:val="006D17E3"/>
    <w:rsid w:val="006D1B99"/>
    <w:rsid w:val="006D1D2E"/>
    <w:rsid w:val="006D1DB0"/>
    <w:rsid w:val="006D1FF2"/>
    <w:rsid w:val="006D20D2"/>
    <w:rsid w:val="006D225A"/>
    <w:rsid w:val="006D2270"/>
    <w:rsid w:val="006D22AC"/>
    <w:rsid w:val="006D25DB"/>
    <w:rsid w:val="006D2810"/>
    <w:rsid w:val="006D2E07"/>
    <w:rsid w:val="006D2E64"/>
    <w:rsid w:val="006D38BD"/>
    <w:rsid w:val="006D3B1C"/>
    <w:rsid w:val="006D4376"/>
    <w:rsid w:val="006D49C7"/>
    <w:rsid w:val="006D5617"/>
    <w:rsid w:val="006D562B"/>
    <w:rsid w:val="006D5661"/>
    <w:rsid w:val="006D570E"/>
    <w:rsid w:val="006D5C2A"/>
    <w:rsid w:val="006D6383"/>
    <w:rsid w:val="006D639E"/>
    <w:rsid w:val="006D671B"/>
    <w:rsid w:val="006D6982"/>
    <w:rsid w:val="006D74EA"/>
    <w:rsid w:val="006D7651"/>
    <w:rsid w:val="006D7CC9"/>
    <w:rsid w:val="006D7F2E"/>
    <w:rsid w:val="006E027C"/>
    <w:rsid w:val="006E0648"/>
    <w:rsid w:val="006E0B01"/>
    <w:rsid w:val="006E11F9"/>
    <w:rsid w:val="006E15FE"/>
    <w:rsid w:val="006E2308"/>
    <w:rsid w:val="006E2335"/>
    <w:rsid w:val="006E34C7"/>
    <w:rsid w:val="006E3EBC"/>
    <w:rsid w:val="006E446D"/>
    <w:rsid w:val="006E4710"/>
    <w:rsid w:val="006E47DA"/>
    <w:rsid w:val="006E4DCF"/>
    <w:rsid w:val="006E50E3"/>
    <w:rsid w:val="006E53B6"/>
    <w:rsid w:val="006E546C"/>
    <w:rsid w:val="006E5663"/>
    <w:rsid w:val="006E598C"/>
    <w:rsid w:val="006E5BAF"/>
    <w:rsid w:val="006E5CA6"/>
    <w:rsid w:val="006E61CE"/>
    <w:rsid w:val="006E651D"/>
    <w:rsid w:val="006E661E"/>
    <w:rsid w:val="006E6857"/>
    <w:rsid w:val="006E7800"/>
    <w:rsid w:val="006E79FF"/>
    <w:rsid w:val="006E7ECF"/>
    <w:rsid w:val="006E7F70"/>
    <w:rsid w:val="006F0293"/>
    <w:rsid w:val="006F0368"/>
    <w:rsid w:val="006F0459"/>
    <w:rsid w:val="006F04D1"/>
    <w:rsid w:val="006F05BE"/>
    <w:rsid w:val="006F074E"/>
    <w:rsid w:val="006F0DCB"/>
    <w:rsid w:val="006F0EB7"/>
    <w:rsid w:val="006F1222"/>
    <w:rsid w:val="006F1810"/>
    <w:rsid w:val="006F1A6A"/>
    <w:rsid w:val="006F1A91"/>
    <w:rsid w:val="006F1C21"/>
    <w:rsid w:val="006F1F56"/>
    <w:rsid w:val="006F287C"/>
    <w:rsid w:val="006F28A0"/>
    <w:rsid w:val="006F2D91"/>
    <w:rsid w:val="006F2E6A"/>
    <w:rsid w:val="006F3C1E"/>
    <w:rsid w:val="006F3C20"/>
    <w:rsid w:val="006F4775"/>
    <w:rsid w:val="006F4899"/>
    <w:rsid w:val="006F4E82"/>
    <w:rsid w:val="006F5154"/>
    <w:rsid w:val="006F52E0"/>
    <w:rsid w:val="006F54D3"/>
    <w:rsid w:val="006F629B"/>
    <w:rsid w:val="006F6494"/>
    <w:rsid w:val="006F780E"/>
    <w:rsid w:val="00700076"/>
    <w:rsid w:val="007003F0"/>
    <w:rsid w:val="007005F0"/>
    <w:rsid w:val="007008F5"/>
    <w:rsid w:val="007009AB"/>
    <w:rsid w:val="00700D4C"/>
    <w:rsid w:val="00701163"/>
    <w:rsid w:val="007014D1"/>
    <w:rsid w:val="0070183E"/>
    <w:rsid w:val="00701BB8"/>
    <w:rsid w:val="00701C37"/>
    <w:rsid w:val="007023E6"/>
    <w:rsid w:val="0070285A"/>
    <w:rsid w:val="0070298A"/>
    <w:rsid w:val="00702AC8"/>
    <w:rsid w:val="0070564F"/>
    <w:rsid w:val="0070589F"/>
    <w:rsid w:val="00705DD7"/>
    <w:rsid w:val="0070625D"/>
    <w:rsid w:val="007062C4"/>
    <w:rsid w:val="00706518"/>
    <w:rsid w:val="007069AB"/>
    <w:rsid w:val="0070702E"/>
    <w:rsid w:val="00707963"/>
    <w:rsid w:val="007101E4"/>
    <w:rsid w:val="0071038C"/>
    <w:rsid w:val="007105F3"/>
    <w:rsid w:val="00710A61"/>
    <w:rsid w:val="007110FF"/>
    <w:rsid w:val="0071136D"/>
    <w:rsid w:val="00711988"/>
    <w:rsid w:val="00711BD6"/>
    <w:rsid w:val="00711E26"/>
    <w:rsid w:val="007122EF"/>
    <w:rsid w:val="007125DC"/>
    <w:rsid w:val="007129D0"/>
    <w:rsid w:val="007135F1"/>
    <w:rsid w:val="00714121"/>
    <w:rsid w:val="007151B2"/>
    <w:rsid w:val="00715810"/>
    <w:rsid w:val="00715A55"/>
    <w:rsid w:val="00715BBF"/>
    <w:rsid w:val="00716958"/>
    <w:rsid w:val="007169B8"/>
    <w:rsid w:val="0071768F"/>
    <w:rsid w:val="00717784"/>
    <w:rsid w:val="00720CB0"/>
    <w:rsid w:val="00720D96"/>
    <w:rsid w:val="007210C1"/>
    <w:rsid w:val="0072169C"/>
    <w:rsid w:val="007218CF"/>
    <w:rsid w:val="00721E10"/>
    <w:rsid w:val="0072200B"/>
    <w:rsid w:val="0072201D"/>
    <w:rsid w:val="007226C1"/>
    <w:rsid w:val="00722B19"/>
    <w:rsid w:val="0072306D"/>
    <w:rsid w:val="00723785"/>
    <w:rsid w:val="00723DD9"/>
    <w:rsid w:val="00724307"/>
    <w:rsid w:val="00724364"/>
    <w:rsid w:val="0072456D"/>
    <w:rsid w:val="00724DA1"/>
    <w:rsid w:val="00725451"/>
    <w:rsid w:val="0072568B"/>
    <w:rsid w:val="00725C0B"/>
    <w:rsid w:val="007264A7"/>
    <w:rsid w:val="00727579"/>
    <w:rsid w:val="00727FE1"/>
    <w:rsid w:val="00730061"/>
    <w:rsid w:val="0073006E"/>
    <w:rsid w:val="007302F5"/>
    <w:rsid w:val="007308A8"/>
    <w:rsid w:val="007317DC"/>
    <w:rsid w:val="007318B3"/>
    <w:rsid w:val="00732038"/>
    <w:rsid w:val="007324C2"/>
    <w:rsid w:val="00732834"/>
    <w:rsid w:val="007328BC"/>
    <w:rsid w:val="00732CF0"/>
    <w:rsid w:val="007331CA"/>
    <w:rsid w:val="007331D7"/>
    <w:rsid w:val="00733204"/>
    <w:rsid w:val="00733494"/>
    <w:rsid w:val="007335D7"/>
    <w:rsid w:val="00733C0C"/>
    <w:rsid w:val="00734034"/>
    <w:rsid w:val="00734089"/>
    <w:rsid w:val="0073460C"/>
    <w:rsid w:val="00734E91"/>
    <w:rsid w:val="00735054"/>
    <w:rsid w:val="00735064"/>
    <w:rsid w:val="007350F6"/>
    <w:rsid w:val="00735271"/>
    <w:rsid w:val="00735373"/>
    <w:rsid w:val="007365F9"/>
    <w:rsid w:val="007370B2"/>
    <w:rsid w:val="00737470"/>
    <w:rsid w:val="00737473"/>
    <w:rsid w:val="007376B2"/>
    <w:rsid w:val="007377D2"/>
    <w:rsid w:val="00737DAB"/>
    <w:rsid w:val="0074006A"/>
    <w:rsid w:val="007402A9"/>
    <w:rsid w:val="00740889"/>
    <w:rsid w:val="00740A8E"/>
    <w:rsid w:val="00740F1A"/>
    <w:rsid w:val="00741106"/>
    <w:rsid w:val="00741183"/>
    <w:rsid w:val="00741199"/>
    <w:rsid w:val="007414D1"/>
    <w:rsid w:val="007420B5"/>
    <w:rsid w:val="00742139"/>
    <w:rsid w:val="0074254F"/>
    <w:rsid w:val="007435DA"/>
    <w:rsid w:val="00743680"/>
    <w:rsid w:val="007436E6"/>
    <w:rsid w:val="00743C10"/>
    <w:rsid w:val="00743FBA"/>
    <w:rsid w:val="007441D1"/>
    <w:rsid w:val="007446F9"/>
    <w:rsid w:val="00744A4E"/>
    <w:rsid w:val="00744D0F"/>
    <w:rsid w:val="00744F92"/>
    <w:rsid w:val="007450B6"/>
    <w:rsid w:val="00745100"/>
    <w:rsid w:val="00745192"/>
    <w:rsid w:val="00745519"/>
    <w:rsid w:val="00745611"/>
    <w:rsid w:val="0074638C"/>
    <w:rsid w:val="0074642D"/>
    <w:rsid w:val="00746CC0"/>
    <w:rsid w:val="007476BC"/>
    <w:rsid w:val="00747A0F"/>
    <w:rsid w:val="00750607"/>
    <w:rsid w:val="0075090E"/>
    <w:rsid w:val="007509A7"/>
    <w:rsid w:val="00750E74"/>
    <w:rsid w:val="007518DC"/>
    <w:rsid w:val="00751A31"/>
    <w:rsid w:val="00751F38"/>
    <w:rsid w:val="0075235C"/>
    <w:rsid w:val="007525FF"/>
    <w:rsid w:val="007526E9"/>
    <w:rsid w:val="007527A5"/>
    <w:rsid w:val="00752CCC"/>
    <w:rsid w:val="00752EE1"/>
    <w:rsid w:val="007536D8"/>
    <w:rsid w:val="00753C53"/>
    <w:rsid w:val="00754027"/>
    <w:rsid w:val="00754AB4"/>
    <w:rsid w:val="00754BCE"/>
    <w:rsid w:val="007566F8"/>
    <w:rsid w:val="0075684D"/>
    <w:rsid w:val="00756D81"/>
    <w:rsid w:val="00756E6F"/>
    <w:rsid w:val="007572C7"/>
    <w:rsid w:val="00757706"/>
    <w:rsid w:val="00757E40"/>
    <w:rsid w:val="00760011"/>
    <w:rsid w:val="007600CF"/>
    <w:rsid w:val="00760173"/>
    <w:rsid w:val="00760369"/>
    <w:rsid w:val="007607CD"/>
    <w:rsid w:val="00761CA0"/>
    <w:rsid w:val="00761DCA"/>
    <w:rsid w:val="00761E73"/>
    <w:rsid w:val="00762161"/>
    <w:rsid w:val="007622E1"/>
    <w:rsid w:val="00762EA4"/>
    <w:rsid w:val="00762F38"/>
    <w:rsid w:val="0076317C"/>
    <w:rsid w:val="007631AF"/>
    <w:rsid w:val="00763393"/>
    <w:rsid w:val="00763502"/>
    <w:rsid w:val="00763C14"/>
    <w:rsid w:val="00764446"/>
    <w:rsid w:val="007648E3"/>
    <w:rsid w:val="00765474"/>
    <w:rsid w:val="0076633E"/>
    <w:rsid w:val="007666FF"/>
    <w:rsid w:val="007669CB"/>
    <w:rsid w:val="00766DDA"/>
    <w:rsid w:val="0076714D"/>
    <w:rsid w:val="007679EE"/>
    <w:rsid w:val="00767A54"/>
    <w:rsid w:val="00770A5D"/>
    <w:rsid w:val="00770DC8"/>
    <w:rsid w:val="00770ED9"/>
    <w:rsid w:val="0077173C"/>
    <w:rsid w:val="00771CF5"/>
    <w:rsid w:val="00772B27"/>
    <w:rsid w:val="00772CF2"/>
    <w:rsid w:val="00773FD2"/>
    <w:rsid w:val="00774719"/>
    <w:rsid w:val="00774900"/>
    <w:rsid w:val="00774B19"/>
    <w:rsid w:val="00774BB3"/>
    <w:rsid w:val="00774E3F"/>
    <w:rsid w:val="007754FB"/>
    <w:rsid w:val="007759D2"/>
    <w:rsid w:val="007759D9"/>
    <w:rsid w:val="0077611F"/>
    <w:rsid w:val="0077633C"/>
    <w:rsid w:val="00776F41"/>
    <w:rsid w:val="00777B57"/>
    <w:rsid w:val="00777E57"/>
    <w:rsid w:val="00777EB3"/>
    <w:rsid w:val="00777EBF"/>
    <w:rsid w:val="00780BEC"/>
    <w:rsid w:val="007815E8"/>
    <w:rsid w:val="007817E6"/>
    <w:rsid w:val="00781B73"/>
    <w:rsid w:val="00781E64"/>
    <w:rsid w:val="00781F88"/>
    <w:rsid w:val="0078264D"/>
    <w:rsid w:val="0078277B"/>
    <w:rsid w:val="00782986"/>
    <w:rsid w:val="00782A58"/>
    <w:rsid w:val="00782D93"/>
    <w:rsid w:val="00783C83"/>
    <w:rsid w:val="00783FA8"/>
    <w:rsid w:val="00784223"/>
    <w:rsid w:val="00784D70"/>
    <w:rsid w:val="00785DB3"/>
    <w:rsid w:val="00786DBD"/>
    <w:rsid w:val="00787317"/>
    <w:rsid w:val="00787760"/>
    <w:rsid w:val="00787F16"/>
    <w:rsid w:val="00790DD2"/>
    <w:rsid w:val="00790EED"/>
    <w:rsid w:val="00791323"/>
    <w:rsid w:val="007915DB"/>
    <w:rsid w:val="00791769"/>
    <w:rsid w:val="007919F5"/>
    <w:rsid w:val="00791FF4"/>
    <w:rsid w:val="00792260"/>
    <w:rsid w:val="007926DC"/>
    <w:rsid w:val="00792994"/>
    <w:rsid w:val="00792A7D"/>
    <w:rsid w:val="0079325C"/>
    <w:rsid w:val="007949A4"/>
    <w:rsid w:val="00794B02"/>
    <w:rsid w:val="007954D6"/>
    <w:rsid w:val="007958AC"/>
    <w:rsid w:val="007959B1"/>
    <w:rsid w:val="00795DB0"/>
    <w:rsid w:val="00795E0D"/>
    <w:rsid w:val="00796A57"/>
    <w:rsid w:val="00796C7C"/>
    <w:rsid w:val="00797127"/>
    <w:rsid w:val="00797553"/>
    <w:rsid w:val="00797A4C"/>
    <w:rsid w:val="00797E09"/>
    <w:rsid w:val="00797E32"/>
    <w:rsid w:val="007A043F"/>
    <w:rsid w:val="007A0554"/>
    <w:rsid w:val="007A0D78"/>
    <w:rsid w:val="007A1FD0"/>
    <w:rsid w:val="007A2C6C"/>
    <w:rsid w:val="007A32A1"/>
    <w:rsid w:val="007A378A"/>
    <w:rsid w:val="007A3794"/>
    <w:rsid w:val="007A37C8"/>
    <w:rsid w:val="007A3A46"/>
    <w:rsid w:val="007A3DEB"/>
    <w:rsid w:val="007A3E64"/>
    <w:rsid w:val="007A4DC3"/>
    <w:rsid w:val="007A535F"/>
    <w:rsid w:val="007A5A1D"/>
    <w:rsid w:val="007A5BD2"/>
    <w:rsid w:val="007A5EC7"/>
    <w:rsid w:val="007A68BE"/>
    <w:rsid w:val="007A6CEE"/>
    <w:rsid w:val="007A6EAE"/>
    <w:rsid w:val="007A7626"/>
    <w:rsid w:val="007A7955"/>
    <w:rsid w:val="007A7C10"/>
    <w:rsid w:val="007A7C4F"/>
    <w:rsid w:val="007A7CA6"/>
    <w:rsid w:val="007A7FF1"/>
    <w:rsid w:val="007B020A"/>
    <w:rsid w:val="007B0806"/>
    <w:rsid w:val="007B0CE0"/>
    <w:rsid w:val="007B1A9C"/>
    <w:rsid w:val="007B1C33"/>
    <w:rsid w:val="007B1E33"/>
    <w:rsid w:val="007B1F00"/>
    <w:rsid w:val="007B2583"/>
    <w:rsid w:val="007B25A2"/>
    <w:rsid w:val="007B2DB9"/>
    <w:rsid w:val="007B2F62"/>
    <w:rsid w:val="007B3354"/>
    <w:rsid w:val="007B3FFB"/>
    <w:rsid w:val="007B537C"/>
    <w:rsid w:val="007B563C"/>
    <w:rsid w:val="007B5ADC"/>
    <w:rsid w:val="007B5C96"/>
    <w:rsid w:val="007B65ED"/>
    <w:rsid w:val="007B6918"/>
    <w:rsid w:val="007B71A5"/>
    <w:rsid w:val="007B721F"/>
    <w:rsid w:val="007B74BE"/>
    <w:rsid w:val="007B7EB2"/>
    <w:rsid w:val="007C007B"/>
    <w:rsid w:val="007C03FB"/>
    <w:rsid w:val="007C09FE"/>
    <w:rsid w:val="007C0BD4"/>
    <w:rsid w:val="007C1D34"/>
    <w:rsid w:val="007C1E77"/>
    <w:rsid w:val="007C1EBA"/>
    <w:rsid w:val="007C25B9"/>
    <w:rsid w:val="007C27AE"/>
    <w:rsid w:val="007C28CF"/>
    <w:rsid w:val="007C2945"/>
    <w:rsid w:val="007C2E76"/>
    <w:rsid w:val="007C35F7"/>
    <w:rsid w:val="007C3BC7"/>
    <w:rsid w:val="007C3C94"/>
    <w:rsid w:val="007C4749"/>
    <w:rsid w:val="007C528F"/>
    <w:rsid w:val="007C5349"/>
    <w:rsid w:val="007C57E4"/>
    <w:rsid w:val="007C5AEE"/>
    <w:rsid w:val="007C5D4B"/>
    <w:rsid w:val="007C621A"/>
    <w:rsid w:val="007C63B7"/>
    <w:rsid w:val="007C7972"/>
    <w:rsid w:val="007C7E46"/>
    <w:rsid w:val="007D072A"/>
    <w:rsid w:val="007D091D"/>
    <w:rsid w:val="007D107C"/>
    <w:rsid w:val="007D129F"/>
    <w:rsid w:val="007D1BDA"/>
    <w:rsid w:val="007D1DA8"/>
    <w:rsid w:val="007D1FA1"/>
    <w:rsid w:val="007D2058"/>
    <w:rsid w:val="007D2177"/>
    <w:rsid w:val="007D25F4"/>
    <w:rsid w:val="007D2785"/>
    <w:rsid w:val="007D2AB0"/>
    <w:rsid w:val="007D3201"/>
    <w:rsid w:val="007D3240"/>
    <w:rsid w:val="007D34BF"/>
    <w:rsid w:val="007D370D"/>
    <w:rsid w:val="007D38F6"/>
    <w:rsid w:val="007D4285"/>
    <w:rsid w:val="007D43B1"/>
    <w:rsid w:val="007D4A5C"/>
    <w:rsid w:val="007D5567"/>
    <w:rsid w:val="007D5927"/>
    <w:rsid w:val="007D6169"/>
    <w:rsid w:val="007D65E5"/>
    <w:rsid w:val="007D6656"/>
    <w:rsid w:val="007D6D8A"/>
    <w:rsid w:val="007D6E81"/>
    <w:rsid w:val="007D701F"/>
    <w:rsid w:val="007D72B1"/>
    <w:rsid w:val="007D7CE7"/>
    <w:rsid w:val="007E0323"/>
    <w:rsid w:val="007E0A0A"/>
    <w:rsid w:val="007E0AC6"/>
    <w:rsid w:val="007E0B92"/>
    <w:rsid w:val="007E0BF2"/>
    <w:rsid w:val="007E0C81"/>
    <w:rsid w:val="007E0E0B"/>
    <w:rsid w:val="007E1722"/>
    <w:rsid w:val="007E1FDF"/>
    <w:rsid w:val="007E2039"/>
    <w:rsid w:val="007E2070"/>
    <w:rsid w:val="007E21B7"/>
    <w:rsid w:val="007E2272"/>
    <w:rsid w:val="007E245C"/>
    <w:rsid w:val="007E2586"/>
    <w:rsid w:val="007E288B"/>
    <w:rsid w:val="007E2AD0"/>
    <w:rsid w:val="007E2CD2"/>
    <w:rsid w:val="007E30AB"/>
    <w:rsid w:val="007E37A5"/>
    <w:rsid w:val="007E40F1"/>
    <w:rsid w:val="007E4229"/>
    <w:rsid w:val="007E42E1"/>
    <w:rsid w:val="007E43F1"/>
    <w:rsid w:val="007E445C"/>
    <w:rsid w:val="007E499D"/>
    <w:rsid w:val="007E5145"/>
    <w:rsid w:val="007E51AA"/>
    <w:rsid w:val="007E5759"/>
    <w:rsid w:val="007E5D04"/>
    <w:rsid w:val="007E5DEC"/>
    <w:rsid w:val="007E5F04"/>
    <w:rsid w:val="007E6DDB"/>
    <w:rsid w:val="007E7732"/>
    <w:rsid w:val="007E7F4B"/>
    <w:rsid w:val="007F0910"/>
    <w:rsid w:val="007F0A2E"/>
    <w:rsid w:val="007F0BA7"/>
    <w:rsid w:val="007F0BDC"/>
    <w:rsid w:val="007F1446"/>
    <w:rsid w:val="007F182F"/>
    <w:rsid w:val="007F184B"/>
    <w:rsid w:val="007F1CBB"/>
    <w:rsid w:val="007F1E19"/>
    <w:rsid w:val="007F2EA5"/>
    <w:rsid w:val="007F331B"/>
    <w:rsid w:val="007F3D47"/>
    <w:rsid w:val="007F4801"/>
    <w:rsid w:val="007F4BE4"/>
    <w:rsid w:val="007F509F"/>
    <w:rsid w:val="007F58C7"/>
    <w:rsid w:val="007F5C35"/>
    <w:rsid w:val="007F6002"/>
    <w:rsid w:val="007F60A1"/>
    <w:rsid w:val="007F76B8"/>
    <w:rsid w:val="007F7A0F"/>
    <w:rsid w:val="008001A1"/>
    <w:rsid w:val="00800839"/>
    <w:rsid w:val="00800CC6"/>
    <w:rsid w:val="008010B2"/>
    <w:rsid w:val="0080140D"/>
    <w:rsid w:val="00802160"/>
    <w:rsid w:val="00802A05"/>
    <w:rsid w:val="00802DDF"/>
    <w:rsid w:val="0080307B"/>
    <w:rsid w:val="00803326"/>
    <w:rsid w:val="0080348B"/>
    <w:rsid w:val="0080367B"/>
    <w:rsid w:val="008037D6"/>
    <w:rsid w:val="00803AD7"/>
    <w:rsid w:val="00803C45"/>
    <w:rsid w:val="00804184"/>
    <w:rsid w:val="00804442"/>
    <w:rsid w:val="00805502"/>
    <w:rsid w:val="00805696"/>
    <w:rsid w:val="00805956"/>
    <w:rsid w:val="00805C45"/>
    <w:rsid w:val="00805E1A"/>
    <w:rsid w:val="00806237"/>
    <w:rsid w:val="00806DE5"/>
    <w:rsid w:val="008077AE"/>
    <w:rsid w:val="00807BF5"/>
    <w:rsid w:val="00807D99"/>
    <w:rsid w:val="008100E6"/>
    <w:rsid w:val="008101A3"/>
    <w:rsid w:val="00810430"/>
    <w:rsid w:val="00810537"/>
    <w:rsid w:val="0081056C"/>
    <w:rsid w:val="0081082C"/>
    <w:rsid w:val="00810838"/>
    <w:rsid w:val="00810A44"/>
    <w:rsid w:val="00811141"/>
    <w:rsid w:val="0081179C"/>
    <w:rsid w:val="008119A5"/>
    <w:rsid w:val="00811B7C"/>
    <w:rsid w:val="008123D4"/>
    <w:rsid w:val="00812445"/>
    <w:rsid w:val="00812B37"/>
    <w:rsid w:val="00812F69"/>
    <w:rsid w:val="00813014"/>
    <w:rsid w:val="00813285"/>
    <w:rsid w:val="00813EFF"/>
    <w:rsid w:val="008147F5"/>
    <w:rsid w:val="00814C77"/>
    <w:rsid w:val="00814D2F"/>
    <w:rsid w:val="00814E54"/>
    <w:rsid w:val="00814FC8"/>
    <w:rsid w:val="00815566"/>
    <w:rsid w:val="00815584"/>
    <w:rsid w:val="0081567C"/>
    <w:rsid w:val="00815A4C"/>
    <w:rsid w:val="00815B88"/>
    <w:rsid w:val="00815D26"/>
    <w:rsid w:val="00815D8F"/>
    <w:rsid w:val="00816B49"/>
    <w:rsid w:val="00816D92"/>
    <w:rsid w:val="00816F5A"/>
    <w:rsid w:val="008174E6"/>
    <w:rsid w:val="00817D6A"/>
    <w:rsid w:val="00817FEA"/>
    <w:rsid w:val="008207E0"/>
    <w:rsid w:val="00820EA3"/>
    <w:rsid w:val="00821106"/>
    <w:rsid w:val="0082229F"/>
    <w:rsid w:val="00822BD5"/>
    <w:rsid w:val="00822E24"/>
    <w:rsid w:val="00822F2E"/>
    <w:rsid w:val="00822F7C"/>
    <w:rsid w:val="0082323B"/>
    <w:rsid w:val="00823307"/>
    <w:rsid w:val="008234D6"/>
    <w:rsid w:val="00823578"/>
    <w:rsid w:val="0082397A"/>
    <w:rsid w:val="00823BC8"/>
    <w:rsid w:val="00823E75"/>
    <w:rsid w:val="00823F0C"/>
    <w:rsid w:val="00824528"/>
    <w:rsid w:val="00824AD9"/>
    <w:rsid w:val="00824D18"/>
    <w:rsid w:val="008258BC"/>
    <w:rsid w:val="00826491"/>
    <w:rsid w:val="00826C34"/>
    <w:rsid w:val="00826D2F"/>
    <w:rsid w:val="0082753F"/>
    <w:rsid w:val="0082787A"/>
    <w:rsid w:val="00827F12"/>
    <w:rsid w:val="00830286"/>
    <w:rsid w:val="00830320"/>
    <w:rsid w:val="00830816"/>
    <w:rsid w:val="00830DE1"/>
    <w:rsid w:val="00831058"/>
    <w:rsid w:val="0083175D"/>
    <w:rsid w:val="0083192C"/>
    <w:rsid w:val="00832493"/>
    <w:rsid w:val="0083291D"/>
    <w:rsid w:val="00832BB4"/>
    <w:rsid w:val="00832D57"/>
    <w:rsid w:val="00832E35"/>
    <w:rsid w:val="00832F64"/>
    <w:rsid w:val="008331A2"/>
    <w:rsid w:val="00833792"/>
    <w:rsid w:val="00833D39"/>
    <w:rsid w:val="008358BF"/>
    <w:rsid w:val="00835B2E"/>
    <w:rsid w:val="00835FC9"/>
    <w:rsid w:val="008360C7"/>
    <w:rsid w:val="00836C9C"/>
    <w:rsid w:val="0083755E"/>
    <w:rsid w:val="00840426"/>
    <w:rsid w:val="008406B4"/>
    <w:rsid w:val="00840C7C"/>
    <w:rsid w:val="00840ED0"/>
    <w:rsid w:val="008412AC"/>
    <w:rsid w:val="0084135A"/>
    <w:rsid w:val="0084171B"/>
    <w:rsid w:val="008420E5"/>
    <w:rsid w:val="008423A2"/>
    <w:rsid w:val="00842873"/>
    <w:rsid w:val="00842959"/>
    <w:rsid w:val="00842C77"/>
    <w:rsid w:val="00843801"/>
    <w:rsid w:val="00843B4A"/>
    <w:rsid w:val="0084434B"/>
    <w:rsid w:val="00844972"/>
    <w:rsid w:val="00844D8E"/>
    <w:rsid w:val="0084548B"/>
    <w:rsid w:val="00845F72"/>
    <w:rsid w:val="008464E3"/>
    <w:rsid w:val="00846AB8"/>
    <w:rsid w:val="00846D0B"/>
    <w:rsid w:val="008471A8"/>
    <w:rsid w:val="0085020F"/>
    <w:rsid w:val="008505A4"/>
    <w:rsid w:val="008506ED"/>
    <w:rsid w:val="00850CFC"/>
    <w:rsid w:val="0085125C"/>
    <w:rsid w:val="00852590"/>
    <w:rsid w:val="00852865"/>
    <w:rsid w:val="008529CB"/>
    <w:rsid w:val="0085358F"/>
    <w:rsid w:val="0085360D"/>
    <w:rsid w:val="00853CD7"/>
    <w:rsid w:val="00853F71"/>
    <w:rsid w:val="00854954"/>
    <w:rsid w:val="008549B0"/>
    <w:rsid w:val="00855016"/>
    <w:rsid w:val="008555E0"/>
    <w:rsid w:val="00856091"/>
    <w:rsid w:val="00856C67"/>
    <w:rsid w:val="0085768D"/>
    <w:rsid w:val="00857DEE"/>
    <w:rsid w:val="00857FB3"/>
    <w:rsid w:val="008606B9"/>
    <w:rsid w:val="00860DAB"/>
    <w:rsid w:val="00861110"/>
    <w:rsid w:val="00861E58"/>
    <w:rsid w:val="00862551"/>
    <w:rsid w:val="00862ACC"/>
    <w:rsid w:val="00862E55"/>
    <w:rsid w:val="00862EE8"/>
    <w:rsid w:val="00863086"/>
    <w:rsid w:val="008632E2"/>
    <w:rsid w:val="00863695"/>
    <w:rsid w:val="0086376B"/>
    <w:rsid w:val="00864154"/>
    <w:rsid w:val="0086456F"/>
    <w:rsid w:val="00864B68"/>
    <w:rsid w:val="00864F88"/>
    <w:rsid w:val="00865E52"/>
    <w:rsid w:val="00865ECB"/>
    <w:rsid w:val="00866041"/>
    <w:rsid w:val="008667F2"/>
    <w:rsid w:val="00866DFB"/>
    <w:rsid w:val="00866E48"/>
    <w:rsid w:val="00866FC5"/>
    <w:rsid w:val="00867767"/>
    <w:rsid w:val="00867A63"/>
    <w:rsid w:val="00870350"/>
    <w:rsid w:val="008705F5"/>
    <w:rsid w:val="00870627"/>
    <w:rsid w:val="00870A88"/>
    <w:rsid w:val="00870DB6"/>
    <w:rsid w:val="008719FB"/>
    <w:rsid w:val="00872247"/>
    <w:rsid w:val="00872403"/>
    <w:rsid w:val="008724AA"/>
    <w:rsid w:val="00872F97"/>
    <w:rsid w:val="00872FB9"/>
    <w:rsid w:val="0087304F"/>
    <w:rsid w:val="00873087"/>
    <w:rsid w:val="008733FE"/>
    <w:rsid w:val="00873F9D"/>
    <w:rsid w:val="008740C6"/>
    <w:rsid w:val="008742A8"/>
    <w:rsid w:val="0087489E"/>
    <w:rsid w:val="0087543D"/>
    <w:rsid w:val="00875895"/>
    <w:rsid w:val="00876143"/>
    <w:rsid w:val="008764DB"/>
    <w:rsid w:val="00876628"/>
    <w:rsid w:val="00877270"/>
    <w:rsid w:val="00877376"/>
    <w:rsid w:val="008775D0"/>
    <w:rsid w:val="00877DCB"/>
    <w:rsid w:val="008807FF"/>
    <w:rsid w:val="00880992"/>
    <w:rsid w:val="00880A4F"/>
    <w:rsid w:val="00881228"/>
    <w:rsid w:val="00881999"/>
    <w:rsid w:val="00881DB6"/>
    <w:rsid w:val="008823D9"/>
    <w:rsid w:val="008826E8"/>
    <w:rsid w:val="00883240"/>
    <w:rsid w:val="00883478"/>
    <w:rsid w:val="00883AD0"/>
    <w:rsid w:val="00883D28"/>
    <w:rsid w:val="0088499A"/>
    <w:rsid w:val="00884DE8"/>
    <w:rsid w:val="0088502F"/>
    <w:rsid w:val="0088510F"/>
    <w:rsid w:val="008853CB"/>
    <w:rsid w:val="00885562"/>
    <w:rsid w:val="00885C39"/>
    <w:rsid w:val="00885DE2"/>
    <w:rsid w:val="008863FA"/>
    <w:rsid w:val="008866D0"/>
    <w:rsid w:val="00887141"/>
    <w:rsid w:val="008878A5"/>
    <w:rsid w:val="00890014"/>
    <w:rsid w:val="0089063A"/>
    <w:rsid w:val="00891C8C"/>
    <w:rsid w:val="00892280"/>
    <w:rsid w:val="008922D3"/>
    <w:rsid w:val="00892D7B"/>
    <w:rsid w:val="00893202"/>
    <w:rsid w:val="008940BB"/>
    <w:rsid w:val="008941EC"/>
    <w:rsid w:val="00894504"/>
    <w:rsid w:val="00894BC1"/>
    <w:rsid w:val="00894E92"/>
    <w:rsid w:val="008952EC"/>
    <w:rsid w:val="00895D6B"/>
    <w:rsid w:val="00895F34"/>
    <w:rsid w:val="008963F8"/>
    <w:rsid w:val="008966B2"/>
    <w:rsid w:val="00896A2B"/>
    <w:rsid w:val="00896A56"/>
    <w:rsid w:val="00896BA2"/>
    <w:rsid w:val="00896C8A"/>
    <w:rsid w:val="00897546"/>
    <w:rsid w:val="00897932"/>
    <w:rsid w:val="00897CA2"/>
    <w:rsid w:val="00897D36"/>
    <w:rsid w:val="008A03FD"/>
    <w:rsid w:val="008A0B3C"/>
    <w:rsid w:val="008A0D90"/>
    <w:rsid w:val="008A15CB"/>
    <w:rsid w:val="008A1CAE"/>
    <w:rsid w:val="008A29B7"/>
    <w:rsid w:val="008A2D89"/>
    <w:rsid w:val="008A2EAE"/>
    <w:rsid w:val="008A3206"/>
    <w:rsid w:val="008A37D0"/>
    <w:rsid w:val="008A3E56"/>
    <w:rsid w:val="008A5291"/>
    <w:rsid w:val="008A54CD"/>
    <w:rsid w:val="008A5B79"/>
    <w:rsid w:val="008A60BE"/>
    <w:rsid w:val="008A6189"/>
    <w:rsid w:val="008A6576"/>
    <w:rsid w:val="008A677E"/>
    <w:rsid w:val="008A6F73"/>
    <w:rsid w:val="008A709C"/>
    <w:rsid w:val="008A7398"/>
    <w:rsid w:val="008A73C7"/>
    <w:rsid w:val="008A75BA"/>
    <w:rsid w:val="008A75CE"/>
    <w:rsid w:val="008B06D9"/>
    <w:rsid w:val="008B0BD3"/>
    <w:rsid w:val="008B0F28"/>
    <w:rsid w:val="008B2065"/>
    <w:rsid w:val="008B265B"/>
    <w:rsid w:val="008B2EF7"/>
    <w:rsid w:val="008B30E2"/>
    <w:rsid w:val="008B351B"/>
    <w:rsid w:val="008B36B9"/>
    <w:rsid w:val="008B3725"/>
    <w:rsid w:val="008B3852"/>
    <w:rsid w:val="008B3946"/>
    <w:rsid w:val="008B42DA"/>
    <w:rsid w:val="008B473C"/>
    <w:rsid w:val="008B4A9A"/>
    <w:rsid w:val="008B54B0"/>
    <w:rsid w:val="008B5BA2"/>
    <w:rsid w:val="008B5D1F"/>
    <w:rsid w:val="008B5E3B"/>
    <w:rsid w:val="008B6BCF"/>
    <w:rsid w:val="008B6DBE"/>
    <w:rsid w:val="008B6EE0"/>
    <w:rsid w:val="008C05A0"/>
    <w:rsid w:val="008C085F"/>
    <w:rsid w:val="008C08DD"/>
    <w:rsid w:val="008C09B8"/>
    <w:rsid w:val="008C09D5"/>
    <w:rsid w:val="008C0D1A"/>
    <w:rsid w:val="008C0EB7"/>
    <w:rsid w:val="008C18E4"/>
    <w:rsid w:val="008C1A36"/>
    <w:rsid w:val="008C1A48"/>
    <w:rsid w:val="008C1D07"/>
    <w:rsid w:val="008C1D0B"/>
    <w:rsid w:val="008C1F31"/>
    <w:rsid w:val="008C1FBD"/>
    <w:rsid w:val="008C211F"/>
    <w:rsid w:val="008C228B"/>
    <w:rsid w:val="008C23F7"/>
    <w:rsid w:val="008C2994"/>
    <w:rsid w:val="008C2B9F"/>
    <w:rsid w:val="008C2C7E"/>
    <w:rsid w:val="008C2CF8"/>
    <w:rsid w:val="008C31A0"/>
    <w:rsid w:val="008C3ABE"/>
    <w:rsid w:val="008C3C7F"/>
    <w:rsid w:val="008C3E1F"/>
    <w:rsid w:val="008C4570"/>
    <w:rsid w:val="008C4813"/>
    <w:rsid w:val="008C49D3"/>
    <w:rsid w:val="008C49D8"/>
    <w:rsid w:val="008C501F"/>
    <w:rsid w:val="008C5794"/>
    <w:rsid w:val="008C5CFC"/>
    <w:rsid w:val="008C5D41"/>
    <w:rsid w:val="008C63EC"/>
    <w:rsid w:val="008C6844"/>
    <w:rsid w:val="008C6FDF"/>
    <w:rsid w:val="008C7582"/>
    <w:rsid w:val="008C795E"/>
    <w:rsid w:val="008C79D4"/>
    <w:rsid w:val="008D0BA8"/>
    <w:rsid w:val="008D0BF9"/>
    <w:rsid w:val="008D18EC"/>
    <w:rsid w:val="008D1F9E"/>
    <w:rsid w:val="008D372A"/>
    <w:rsid w:val="008D3752"/>
    <w:rsid w:val="008D3C0B"/>
    <w:rsid w:val="008D3CA1"/>
    <w:rsid w:val="008D4D7E"/>
    <w:rsid w:val="008D59BB"/>
    <w:rsid w:val="008D64F4"/>
    <w:rsid w:val="008D694B"/>
    <w:rsid w:val="008D6C9D"/>
    <w:rsid w:val="008D6EDB"/>
    <w:rsid w:val="008D71FB"/>
    <w:rsid w:val="008D7377"/>
    <w:rsid w:val="008D7524"/>
    <w:rsid w:val="008D78B0"/>
    <w:rsid w:val="008E1B1E"/>
    <w:rsid w:val="008E1FA5"/>
    <w:rsid w:val="008E2086"/>
    <w:rsid w:val="008E20BA"/>
    <w:rsid w:val="008E27BD"/>
    <w:rsid w:val="008E2810"/>
    <w:rsid w:val="008E2DBB"/>
    <w:rsid w:val="008E364D"/>
    <w:rsid w:val="008E387A"/>
    <w:rsid w:val="008E3E83"/>
    <w:rsid w:val="008E438D"/>
    <w:rsid w:val="008E4E86"/>
    <w:rsid w:val="008E4F5B"/>
    <w:rsid w:val="008E5013"/>
    <w:rsid w:val="008E52E9"/>
    <w:rsid w:val="008E550A"/>
    <w:rsid w:val="008E5959"/>
    <w:rsid w:val="008E5AB2"/>
    <w:rsid w:val="008E5BA5"/>
    <w:rsid w:val="008E5CB2"/>
    <w:rsid w:val="008E5FFD"/>
    <w:rsid w:val="008E706C"/>
    <w:rsid w:val="008E75C7"/>
    <w:rsid w:val="008E75D5"/>
    <w:rsid w:val="008E7777"/>
    <w:rsid w:val="008F0225"/>
    <w:rsid w:val="008F0342"/>
    <w:rsid w:val="008F0849"/>
    <w:rsid w:val="008F0898"/>
    <w:rsid w:val="008F0D6A"/>
    <w:rsid w:val="008F12A5"/>
    <w:rsid w:val="008F14AA"/>
    <w:rsid w:val="008F1A64"/>
    <w:rsid w:val="008F1B3E"/>
    <w:rsid w:val="008F2375"/>
    <w:rsid w:val="008F2432"/>
    <w:rsid w:val="008F404B"/>
    <w:rsid w:val="008F4880"/>
    <w:rsid w:val="008F4907"/>
    <w:rsid w:val="008F50AB"/>
    <w:rsid w:val="008F5E1F"/>
    <w:rsid w:val="008F5ED0"/>
    <w:rsid w:val="008F65EF"/>
    <w:rsid w:val="008F692D"/>
    <w:rsid w:val="008F6A97"/>
    <w:rsid w:val="008F6C38"/>
    <w:rsid w:val="008F6D77"/>
    <w:rsid w:val="00900AFC"/>
    <w:rsid w:val="009011C3"/>
    <w:rsid w:val="00901204"/>
    <w:rsid w:val="009013FB"/>
    <w:rsid w:val="00901533"/>
    <w:rsid w:val="00901990"/>
    <w:rsid w:val="00901C22"/>
    <w:rsid w:val="009023D8"/>
    <w:rsid w:val="00902583"/>
    <w:rsid w:val="009028AD"/>
    <w:rsid w:val="0090298A"/>
    <w:rsid w:val="00902E49"/>
    <w:rsid w:val="00902E71"/>
    <w:rsid w:val="009035DD"/>
    <w:rsid w:val="00903CF7"/>
    <w:rsid w:val="00903FCE"/>
    <w:rsid w:val="009040CD"/>
    <w:rsid w:val="00904262"/>
    <w:rsid w:val="00904327"/>
    <w:rsid w:val="00904A85"/>
    <w:rsid w:val="0090534C"/>
    <w:rsid w:val="009056EF"/>
    <w:rsid w:val="00905B34"/>
    <w:rsid w:val="0090600E"/>
    <w:rsid w:val="00906D07"/>
    <w:rsid w:val="00906EFA"/>
    <w:rsid w:val="00907091"/>
    <w:rsid w:val="009072AA"/>
    <w:rsid w:val="00907B40"/>
    <w:rsid w:val="00910280"/>
    <w:rsid w:val="009104C8"/>
    <w:rsid w:val="009104D8"/>
    <w:rsid w:val="0091068C"/>
    <w:rsid w:val="00910748"/>
    <w:rsid w:val="009107B8"/>
    <w:rsid w:val="009120B0"/>
    <w:rsid w:val="0091223E"/>
    <w:rsid w:val="009126D4"/>
    <w:rsid w:val="00912B16"/>
    <w:rsid w:val="00912F30"/>
    <w:rsid w:val="00912FD7"/>
    <w:rsid w:val="009130F7"/>
    <w:rsid w:val="00913603"/>
    <w:rsid w:val="00914794"/>
    <w:rsid w:val="00914814"/>
    <w:rsid w:val="009152E0"/>
    <w:rsid w:val="00915371"/>
    <w:rsid w:val="00915620"/>
    <w:rsid w:val="00915753"/>
    <w:rsid w:val="00915C9A"/>
    <w:rsid w:val="00916610"/>
    <w:rsid w:val="00916B70"/>
    <w:rsid w:val="009203B0"/>
    <w:rsid w:val="00920A1F"/>
    <w:rsid w:val="00920E3B"/>
    <w:rsid w:val="009212C0"/>
    <w:rsid w:val="0092142E"/>
    <w:rsid w:val="0092174A"/>
    <w:rsid w:val="009224C0"/>
    <w:rsid w:val="00922694"/>
    <w:rsid w:val="009226E4"/>
    <w:rsid w:val="00922770"/>
    <w:rsid w:val="00922F10"/>
    <w:rsid w:val="0092385C"/>
    <w:rsid w:val="00923ECD"/>
    <w:rsid w:val="00924214"/>
    <w:rsid w:val="00924DA3"/>
    <w:rsid w:val="00925046"/>
    <w:rsid w:val="0092542D"/>
    <w:rsid w:val="00925B28"/>
    <w:rsid w:val="00925C42"/>
    <w:rsid w:val="00925DCC"/>
    <w:rsid w:val="009261C7"/>
    <w:rsid w:val="00926229"/>
    <w:rsid w:val="009262E8"/>
    <w:rsid w:val="0092664B"/>
    <w:rsid w:val="00926747"/>
    <w:rsid w:val="009268C2"/>
    <w:rsid w:val="00926A1D"/>
    <w:rsid w:val="00926A46"/>
    <w:rsid w:val="00926D1A"/>
    <w:rsid w:val="0092720F"/>
    <w:rsid w:val="00927920"/>
    <w:rsid w:val="00927EF8"/>
    <w:rsid w:val="00931326"/>
    <w:rsid w:val="00931968"/>
    <w:rsid w:val="00932155"/>
    <w:rsid w:val="00932E7C"/>
    <w:rsid w:val="00932EFC"/>
    <w:rsid w:val="00933281"/>
    <w:rsid w:val="00933B23"/>
    <w:rsid w:val="00933C52"/>
    <w:rsid w:val="00934C59"/>
    <w:rsid w:val="00935C19"/>
    <w:rsid w:val="00935C45"/>
    <w:rsid w:val="00935E1D"/>
    <w:rsid w:val="00935F8D"/>
    <w:rsid w:val="0093650C"/>
    <w:rsid w:val="00936843"/>
    <w:rsid w:val="00936AFF"/>
    <w:rsid w:val="00936BCB"/>
    <w:rsid w:val="00937A86"/>
    <w:rsid w:val="00940520"/>
    <w:rsid w:val="00940C7F"/>
    <w:rsid w:val="00940FDA"/>
    <w:rsid w:val="0094182B"/>
    <w:rsid w:val="00941FD6"/>
    <w:rsid w:val="0094207D"/>
    <w:rsid w:val="00942336"/>
    <w:rsid w:val="0094255B"/>
    <w:rsid w:val="009425C3"/>
    <w:rsid w:val="00942897"/>
    <w:rsid w:val="00942A29"/>
    <w:rsid w:val="00943240"/>
    <w:rsid w:val="009433E7"/>
    <w:rsid w:val="0094350D"/>
    <w:rsid w:val="00943552"/>
    <w:rsid w:val="009437C6"/>
    <w:rsid w:val="00943AF4"/>
    <w:rsid w:val="00943B3D"/>
    <w:rsid w:val="00943F0D"/>
    <w:rsid w:val="00943FAD"/>
    <w:rsid w:val="009440A5"/>
    <w:rsid w:val="0094452E"/>
    <w:rsid w:val="00944ACD"/>
    <w:rsid w:val="00945251"/>
    <w:rsid w:val="009452B7"/>
    <w:rsid w:val="009454E8"/>
    <w:rsid w:val="00945B05"/>
    <w:rsid w:val="00945C0D"/>
    <w:rsid w:val="00945F5C"/>
    <w:rsid w:val="00945FA4"/>
    <w:rsid w:val="0094656E"/>
    <w:rsid w:val="00946F76"/>
    <w:rsid w:val="0094705B"/>
    <w:rsid w:val="00947A6B"/>
    <w:rsid w:val="009500E0"/>
    <w:rsid w:val="0095048D"/>
    <w:rsid w:val="00950BCF"/>
    <w:rsid w:val="00950C89"/>
    <w:rsid w:val="00950CC0"/>
    <w:rsid w:val="00951133"/>
    <w:rsid w:val="0095114B"/>
    <w:rsid w:val="009515D5"/>
    <w:rsid w:val="0095169C"/>
    <w:rsid w:val="009517CE"/>
    <w:rsid w:val="00951847"/>
    <w:rsid w:val="00951CCF"/>
    <w:rsid w:val="00952318"/>
    <w:rsid w:val="00952BF7"/>
    <w:rsid w:val="009533C4"/>
    <w:rsid w:val="009536DC"/>
    <w:rsid w:val="00953A9A"/>
    <w:rsid w:val="00953D36"/>
    <w:rsid w:val="009540AE"/>
    <w:rsid w:val="00954356"/>
    <w:rsid w:val="009546D9"/>
    <w:rsid w:val="00954912"/>
    <w:rsid w:val="00954BF9"/>
    <w:rsid w:val="00954ED2"/>
    <w:rsid w:val="0095556E"/>
    <w:rsid w:val="00956146"/>
    <w:rsid w:val="00956ADF"/>
    <w:rsid w:val="00956C29"/>
    <w:rsid w:val="00956EB0"/>
    <w:rsid w:val="00956EC5"/>
    <w:rsid w:val="00956F1C"/>
    <w:rsid w:val="00956F7E"/>
    <w:rsid w:val="009571F4"/>
    <w:rsid w:val="00957461"/>
    <w:rsid w:val="009574AF"/>
    <w:rsid w:val="009574DD"/>
    <w:rsid w:val="00957677"/>
    <w:rsid w:val="00957C26"/>
    <w:rsid w:val="00957D13"/>
    <w:rsid w:val="00957FAB"/>
    <w:rsid w:val="0096009B"/>
    <w:rsid w:val="009601B4"/>
    <w:rsid w:val="00960AE8"/>
    <w:rsid w:val="00961549"/>
    <w:rsid w:val="009618A7"/>
    <w:rsid w:val="00962639"/>
    <w:rsid w:val="00962906"/>
    <w:rsid w:val="00962BB9"/>
    <w:rsid w:val="009633AD"/>
    <w:rsid w:val="00963DAE"/>
    <w:rsid w:val="00963DC6"/>
    <w:rsid w:val="0096452F"/>
    <w:rsid w:val="00964637"/>
    <w:rsid w:val="00964B28"/>
    <w:rsid w:val="00964D10"/>
    <w:rsid w:val="00965220"/>
    <w:rsid w:val="009655CB"/>
    <w:rsid w:val="009659C7"/>
    <w:rsid w:val="00966167"/>
    <w:rsid w:val="009662B4"/>
    <w:rsid w:val="00966936"/>
    <w:rsid w:val="009678ED"/>
    <w:rsid w:val="00967AB6"/>
    <w:rsid w:val="0097077B"/>
    <w:rsid w:val="009708B1"/>
    <w:rsid w:val="009708CC"/>
    <w:rsid w:val="00971164"/>
    <w:rsid w:val="00971BFC"/>
    <w:rsid w:val="00971ED5"/>
    <w:rsid w:val="00971F26"/>
    <w:rsid w:val="009727D1"/>
    <w:rsid w:val="009733F4"/>
    <w:rsid w:val="00973907"/>
    <w:rsid w:val="0097398F"/>
    <w:rsid w:val="00974058"/>
    <w:rsid w:val="0097465B"/>
    <w:rsid w:val="009748CF"/>
    <w:rsid w:val="00974D8F"/>
    <w:rsid w:val="009752E3"/>
    <w:rsid w:val="00975325"/>
    <w:rsid w:val="0097578B"/>
    <w:rsid w:val="00976028"/>
    <w:rsid w:val="00976628"/>
    <w:rsid w:val="00977669"/>
    <w:rsid w:val="00977B68"/>
    <w:rsid w:val="00977EC9"/>
    <w:rsid w:val="009803F2"/>
    <w:rsid w:val="00981824"/>
    <w:rsid w:val="00981BE0"/>
    <w:rsid w:val="0098223C"/>
    <w:rsid w:val="0098257B"/>
    <w:rsid w:val="00983A54"/>
    <w:rsid w:val="00983AA5"/>
    <w:rsid w:val="00983FCB"/>
    <w:rsid w:val="0098459F"/>
    <w:rsid w:val="009845F6"/>
    <w:rsid w:val="00984E98"/>
    <w:rsid w:val="009853CA"/>
    <w:rsid w:val="00985B6E"/>
    <w:rsid w:val="00986542"/>
    <w:rsid w:val="0098658F"/>
    <w:rsid w:val="00986AF8"/>
    <w:rsid w:val="00986BFD"/>
    <w:rsid w:val="00986FEB"/>
    <w:rsid w:val="009871BC"/>
    <w:rsid w:val="00987CC0"/>
    <w:rsid w:val="0099081C"/>
    <w:rsid w:val="00991556"/>
    <w:rsid w:val="00991698"/>
    <w:rsid w:val="00991833"/>
    <w:rsid w:val="0099183C"/>
    <w:rsid w:val="009918CF"/>
    <w:rsid w:val="00991A66"/>
    <w:rsid w:val="00991BA0"/>
    <w:rsid w:val="009920B8"/>
    <w:rsid w:val="009921EB"/>
    <w:rsid w:val="00992565"/>
    <w:rsid w:val="0099329A"/>
    <w:rsid w:val="0099471F"/>
    <w:rsid w:val="009953D8"/>
    <w:rsid w:val="0099556E"/>
    <w:rsid w:val="00995FB7"/>
    <w:rsid w:val="0099675A"/>
    <w:rsid w:val="009967BB"/>
    <w:rsid w:val="009971CA"/>
    <w:rsid w:val="00997753"/>
    <w:rsid w:val="009A01EB"/>
    <w:rsid w:val="009A113E"/>
    <w:rsid w:val="009A14EC"/>
    <w:rsid w:val="009A2655"/>
    <w:rsid w:val="009A27B3"/>
    <w:rsid w:val="009A38EB"/>
    <w:rsid w:val="009A39B1"/>
    <w:rsid w:val="009A3CEE"/>
    <w:rsid w:val="009A4E72"/>
    <w:rsid w:val="009A5AC4"/>
    <w:rsid w:val="009A5F3C"/>
    <w:rsid w:val="009A6EBD"/>
    <w:rsid w:val="009A6F48"/>
    <w:rsid w:val="009A7020"/>
    <w:rsid w:val="009A709A"/>
    <w:rsid w:val="009A749F"/>
    <w:rsid w:val="009B09E1"/>
    <w:rsid w:val="009B0F6E"/>
    <w:rsid w:val="009B18D9"/>
    <w:rsid w:val="009B1990"/>
    <w:rsid w:val="009B1B84"/>
    <w:rsid w:val="009B1D03"/>
    <w:rsid w:val="009B1D27"/>
    <w:rsid w:val="009B2891"/>
    <w:rsid w:val="009B2E78"/>
    <w:rsid w:val="009B30CE"/>
    <w:rsid w:val="009B3C82"/>
    <w:rsid w:val="009B4273"/>
    <w:rsid w:val="009B43CD"/>
    <w:rsid w:val="009B43F0"/>
    <w:rsid w:val="009B4487"/>
    <w:rsid w:val="009B4774"/>
    <w:rsid w:val="009B4915"/>
    <w:rsid w:val="009B53BB"/>
    <w:rsid w:val="009B5A9D"/>
    <w:rsid w:val="009B64CF"/>
    <w:rsid w:val="009B7454"/>
    <w:rsid w:val="009C000B"/>
    <w:rsid w:val="009C0626"/>
    <w:rsid w:val="009C0890"/>
    <w:rsid w:val="009C0933"/>
    <w:rsid w:val="009C0C1B"/>
    <w:rsid w:val="009C1809"/>
    <w:rsid w:val="009C1BFA"/>
    <w:rsid w:val="009C1EE1"/>
    <w:rsid w:val="009C2167"/>
    <w:rsid w:val="009C2169"/>
    <w:rsid w:val="009C26C3"/>
    <w:rsid w:val="009C27FD"/>
    <w:rsid w:val="009C2817"/>
    <w:rsid w:val="009C28A1"/>
    <w:rsid w:val="009C295F"/>
    <w:rsid w:val="009C3333"/>
    <w:rsid w:val="009C3C22"/>
    <w:rsid w:val="009C427B"/>
    <w:rsid w:val="009C4C41"/>
    <w:rsid w:val="009C4E48"/>
    <w:rsid w:val="009C4FD1"/>
    <w:rsid w:val="009C54F8"/>
    <w:rsid w:val="009C588F"/>
    <w:rsid w:val="009C5A2E"/>
    <w:rsid w:val="009C5D91"/>
    <w:rsid w:val="009C6095"/>
    <w:rsid w:val="009C61BD"/>
    <w:rsid w:val="009C62C1"/>
    <w:rsid w:val="009C63C5"/>
    <w:rsid w:val="009C677F"/>
    <w:rsid w:val="009C67F3"/>
    <w:rsid w:val="009C690A"/>
    <w:rsid w:val="009C69C0"/>
    <w:rsid w:val="009C7017"/>
    <w:rsid w:val="009D08F1"/>
    <w:rsid w:val="009D0AAF"/>
    <w:rsid w:val="009D0B60"/>
    <w:rsid w:val="009D1BFB"/>
    <w:rsid w:val="009D1CC2"/>
    <w:rsid w:val="009D292E"/>
    <w:rsid w:val="009D2C64"/>
    <w:rsid w:val="009D3511"/>
    <w:rsid w:val="009D3668"/>
    <w:rsid w:val="009D4C4E"/>
    <w:rsid w:val="009D4F4A"/>
    <w:rsid w:val="009D5506"/>
    <w:rsid w:val="009D581F"/>
    <w:rsid w:val="009D5B06"/>
    <w:rsid w:val="009D6886"/>
    <w:rsid w:val="009D68FA"/>
    <w:rsid w:val="009D6EBC"/>
    <w:rsid w:val="009D7938"/>
    <w:rsid w:val="009D7EE6"/>
    <w:rsid w:val="009E04EC"/>
    <w:rsid w:val="009E053D"/>
    <w:rsid w:val="009E0FAA"/>
    <w:rsid w:val="009E1B24"/>
    <w:rsid w:val="009E21F0"/>
    <w:rsid w:val="009E2324"/>
    <w:rsid w:val="009E2951"/>
    <w:rsid w:val="009E336F"/>
    <w:rsid w:val="009E33D1"/>
    <w:rsid w:val="009E3E5B"/>
    <w:rsid w:val="009E3FB0"/>
    <w:rsid w:val="009E3FFC"/>
    <w:rsid w:val="009E41B6"/>
    <w:rsid w:val="009E4B1B"/>
    <w:rsid w:val="009E4E89"/>
    <w:rsid w:val="009E56EF"/>
    <w:rsid w:val="009E5800"/>
    <w:rsid w:val="009E61B5"/>
    <w:rsid w:val="009E6361"/>
    <w:rsid w:val="009E6673"/>
    <w:rsid w:val="009E6949"/>
    <w:rsid w:val="009E72A8"/>
    <w:rsid w:val="009F027A"/>
    <w:rsid w:val="009F03B1"/>
    <w:rsid w:val="009F049F"/>
    <w:rsid w:val="009F04F2"/>
    <w:rsid w:val="009F0CB4"/>
    <w:rsid w:val="009F140A"/>
    <w:rsid w:val="009F1891"/>
    <w:rsid w:val="009F201E"/>
    <w:rsid w:val="009F2D64"/>
    <w:rsid w:val="009F33F8"/>
    <w:rsid w:val="009F3FD8"/>
    <w:rsid w:val="009F4162"/>
    <w:rsid w:val="009F4B61"/>
    <w:rsid w:val="009F4CA1"/>
    <w:rsid w:val="009F4ED6"/>
    <w:rsid w:val="009F4ED7"/>
    <w:rsid w:val="009F5187"/>
    <w:rsid w:val="009F53D9"/>
    <w:rsid w:val="009F5EB1"/>
    <w:rsid w:val="009F5EEA"/>
    <w:rsid w:val="009F6517"/>
    <w:rsid w:val="009F7188"/>
    <w:rsid w:val="009F7CE1"/>
    <w:rsid w:val="00A00910"/>
    <w:rsid w:val="00A00ABD"/>
    <w:rsid w:val="00A01369"/>
    <w:rsid w:val="00A01554"/>
    <w:rsid w:val="00A01888"/>
    <w:rsid w:val="00A01E4D"/>
    <w:rsid w:val="00A02884"/>
    <w:rsid w:val="00A02BAA"/>
    <w:rsid w:val="00A03621"/>
    <w:rsid w:val="00A03B95"/>
    <w:rsid w:val="00A03BD2"/>
    <w:rsid w:val="00A041F1"/>
    <w:rsid w:val="00A056E0"/>
    <w:rsid w:val="00A059AB"/>
    <w:rsid w:val="00A07A4E"/>
    <w:rsid w:val="00A07CD7"/>
    <w:rsid w:val="00A07D5B"/>
    <w:rsid w:val="00A101A9"/>
    <w:rsid w:val="00A102A9"/>
    <w:rsid w:val="00A108BE"/>
    <w:rsid w:val="00A10AF8"/>
    <w:rsid w:val="00A10EF9"/>
    <w:rsid w:val="00A10F64"/>
    <w:rsid w:val="00A11B68"/>
    <w:rsid w:val="00A122EC"/>
    <w:rsid w:val="00A12E2A"/>
    <w:rsid w:val="00A13393"/>
    <w:rsid w:val="00A134FE"/>
    <w:rsid w:val="00A13941"/>
    <w:rsid w:val="00A142CA"/>
    <w:rsid w:val="00A14842"/>
    <w:rsid w:val="00A14ABC"/>
    <w:rsid w:val="00A155FC"/>
    <w:rsid w:val="00A16521"/>
    <w:rsid w:val="00A16E22"/>
    <w:rsid w:val="00A16EDD"/>
    <w:rsid w:val="00A16F21"/>
    <w:rsid w:val="00A172E2"/>
    <w:rsid w:val="00A17C85"/>
    <w:rsid w:val="00A17FEC"/>
    <w:rsid w:val="00A22582"/>
    <w:rsid w:val="00A236A4"/>
    <w:rsid w:val="00A23741"/>
    <w:rsid w:val="00A23CDD"/>
    <w:rsid w:val="00A23D2E"/>
    <w:rsid w:val="00A23F8A"/>
    <w:rsid w:val="00A241D5"/>
    <w:rsid w:val="00A24601"/>
    <w:rsid w:val="00A24B58"/>
    <w:rsid w:val="00A24F11"/>
    <w:rsid w:val="00A254D6"/>
    <w:rsid w:val="00A256C1"/>
    <w:rsid w:val="00A25851"/>
    <w:rsid w:val="00A26069"/>
    <w:rsid w:val="00A26202"/>
    <w:rsid w:val="00A267B3"/>
    <w:rsid w:val="00A26988"/>
    <w:rsid w:val="00A27BA1"/>
    <w:rsid w:val="00A27D43"/>
    <w:rsid w:val="00A303F1"/>
    <w:rsid w:val="00A304CC"/>
    <w:rsid w:val="00A30860"/>
    <w:rsid w:val="00A318A6"/>
    <w:rsid w:val="00A31BD0"/>
    <w:rsid w:val="00A327BB"/>
    <w:rsid w:val="00A32CB7"/>
    <w:rsid w:val="00A32D89"/>
    <w:rsid w:val="00A3305C"/>
    <w:rsid w:val="00A33883"/>
    <w:rsid w:val="00A338FD"/>
    <w:rsid w:val="00A33E2B"/>
    <w:rsid w:val="00A343EB"/>
    <w:rsid w:val="00A34ABC"/>
    <w:rsid w:val="00A3529E"/>
    <w:rsid w:val="00A352D2"/>
    <w:rsid w:val="00A3535D"/>
    <w:rsid w:val="00A3593F"/>
    <w:rsid w:val="00A359BE"/>
    <w:rsid w:val="00A35A1A"/>
    <w:rsid w:val="00A36154"/>
    <w:rsid w:val="00A3625A"/>
    <w:rsid w:val="00A36D05"/>
    <w:rsid w:val="00A3707E"/>
    <w:rsid w:val="00A3782D"/>
    <w:rsid w:val="00A4060E"/>
    <w:rsid w:val="00A40881"/>
    <w:rsid w:val="00A40D2A"/>
    <w:rsid w:val="00A413FE"/>
    <w:rsid w:val="00A41724"/>
    <w:rsid w:val="00A41A01"/>
    <w:rsid w:val="00A41D2D"/>
    <w:rsid w:val="00A424D2"/>
    <w:rsid w:val="00A425FC"/>
    <w:rsid w:val="00A42637"/>
    <w:rsid w:val="00A429C5"/>
    <w:rsid w:val="00A42AA2"/>
    <w:rsid w:val="00A42AAB"/>
    <w:rsid w:val="00A42AC7"/>
    <w:rsid w:val="00A4313F"/>
    <w:rsid w:val="00A43A86"/>
    <w:rsid w:val="00A43B9A"/>
    <w:rsid w:val="00A4449F"/>
    <w:rsid w:val="00A44771"/>
    <w:rsid w:val="00A44BA7"/>
    <w:rsid w:val="00A44C33"/>
    <w:rsid w:val="00A458FA"/>
    <w:rsid w:val="00A45EBA"/>
    <w:rsid w:val="00A45FAF"/>
    <w:rsid w:val="00A4678A"/>
    <w:rsid w:val="00A46A00"/>
    <w:rsid w:val="00A46E40"/>
    <w:rsid w:val="00A46FC0"/>
    <w:rsid w:val="00A46FD5"/>
    <w:rsid w:val="00A4716C"/>
    <w:rsid w:val="00A47B1D"/>
    <w:rsid w:val="00A50185"/>
    <w:rsid w:val="00A5022C"/>
    <w:rsid w:val="00A5036B"/>
    <w:rsid w:val="00A50589"/>
    <w:rsid w:val="00A50669"/>
    <w:rsid w:val="00A506A9"/>
    <w:rsid w:val="00A507EB"/>
    <w:rsid w:val="00A5089E"/>
    <w:rsid w:val="00A50D05"/>
    <w:rsid w:val="00A511C4"/>
    <w:rsid w:val="00A51499"/>
    <w:rsid w:val="00A51A87"/>
    <w:rsid w:val="00A51BD9"/>
    <w:rsid w:val="00A51D12"/>
    <w:rsid w:val="00A51DA9"/>
    <w:rsid w:val="00A51E9A"/>
    <w:rsid w:val="00A52748"/>
    <w:rsid w:val="00A527B1"/>
    <w:rsid w:val="00A52C9F"/>
    <w:rsid w:val="00A52E1E"/>
    <w:rsid w:val="00A52EE2"/>
    <w:rsid w:val="00A5305A"/>
    <w:rsid w:val="00A530A4"/>
    <w:rsid w:val="00A53443"/>
    <w:rsid w:val="00A53D4A"/>
    <w:rsid w:val="00A53D51"/>
    <w:rsid w:val="00A53F53"/>
    <w:rsid w:val="00A5404E"/>
    <w:rsid w:val="00A54108"/>
    <w:rsid w:val="00A54839"/>
    <w:rsid w:val="00A548E6"/>
    <w:rsid w:val="00A55CAC"/>
    <w:rsid w:val="00A55D46"/>
    <w:rsid w:val="00A56C1E"/>
    <w:rsid w:val="00A57022"/>
    <w:rsid w:val="00A57205"/>
    <w:rsid w:val="00A574B3"/>
    <w:rsid w:val="00A57ADD"/>
    <w:rsid w:val="00A57FA8"/>
    <w:rsid w:val="00A60521"/>
    <w:rsid w:val="00A60561"/>
    <w:rsid w:val="00A6115D"/>
    <w:rsid w:val="00A61531"/>
    <w:rsid w:val="00A61FC5"/>
    <w:rsid w:val="00A620E2"/>
    <w:rsid w:val="00A623A9"/>
    <w:rsid w:val="00A625E1"/>
    <w:rsid w:val="00A627FE"/>
    <w:rsid w:val="00A62A02"/>
    <w:rsid w:val="00A62A2E"/>
    <w:rsid w:val="00A63279"/>
    <w:rsid w:val="00A63445"/>
    <w:rsid w:val="00A637F7"/>
    <w:rsid w:val="00A63826"/>
    <w:rsid w:val="00A639BE"/>
    <w:rsid w:val="00A63C3B"/>
    <w:rsid w:val="00A63F33"/>
    <w:rsid w:val="00A64830"/>
    <w:rsid w:val="00A64D40"/>
    <w:rsid w:val="00A65AE0"/>
    <w:rsid w:val="00A6647B"/>
    <w:rsid w:val="00A665D4"/>
    <w:rsid w:val="00A703BC"/>
    <w:rsid w:val="00A70A3E"/>
    <w:rsid w:val="00A70F1F"/>
    <w:rsid w:val="00A7150C"/>
    <w:rsid w:val="00A71645"/>
    <w:rsid w:val="00A71C18"/>
    <w:rsid w:val="00A71DC2"/>
    <w:rsid w:val="00A72E65"/>
    <w:rsid w:val="00A73296"/>
    <w:rsid w:val="00A73A52"/>
    <w:rsid w:val="00A73D3C"/>
    <w:rsid w:val="00A73FBE"/>
    <w:rsid w:val="00A73FF8"/>
    <w:rsid w:val="00A7408A"/>
    <w:rsid w:val="00A7416A"/>
    <w:rsid w:val="00A750AA"/>
    <w:rsid w:val="00A753B4"/>
    <w:rsid w:val="00A754F2"/>
    <w:rsid w:val="00A759FE"/>
    <w:rsid w:val="00A75F02"/>
    <w:rsid w:val="00A75F6A"/>
    <w:rsid w:val="00A76042"/>
    <w:rsid w:val="00A76C75"/>
    <w:rsid w:val="00A76DAB"/>
    <w:rsid w:val="00A76DB2"/>
    <w:rsid w:val="00A76E7A"/>
    <w:rsid w:val="00A76EDB"/>
    <w:rsid w:val="00A77219"/>
    <w:rsid w:val="00A7743D"/>
    <w:rsid w:val="00A77452"/>
    <w:rsid w:val="00A7776C"/>
    <w:rsid w:val="00A80308"/>
    <w:rsid w:val="00A80A37"/>
    <w:rsid w:val="00A80B97"/>
    <w:rsid w:val="00A81207"/>
    <w:rsid w:val="00A82516"/>
    <w:rsid w:val="00A82A8E"/>
    <w:rsid w:val="00A82B4E"/>
    <w:rsid w:val="00A83119"/>
    <w:rsid w:val="00A844F1"/>
    <w:rsid w:val="00A849D8"/>
    <w:rsid w:val="00A84D22"/>
    <w:rsid w:val="00A84FE7"/>
    <w:rsid w:val="00A85693"/>
    <w:rsid w:val="00A85A67"/>
    <w:rsid w:val="00A86161"/>
    <w:rsid w:val="00A8616C"/>
    <w:rsid w:val="00A862F5"/>
    <w:rsid w:val="00A86722"/>
    <w:rsid w:val="00A86780"/>
    <w:rsid w:val="00A869AF"/>
    <w:rsid w:val="00A86CFF"/>
    <w:rsid w:val="00A874D8"/>
    <w:rsid w:val="00A8751C"/>
    <w:rsid w:val="00A8780F"/>
    <w:rsid w:val="00A87A79"/>
    <w:rsid w:val="00A87AB5"/>
    <w:rsid w:val="00A87E46"/>
    <w:rsid w:val="00A907F0"/>
    <w:rsid w:val="00A9100D"/>
    <w:rsid w:val="00A91168"/>
    <w:rsid w:val="00A9153E"/>
    <w:rsid w:val="00A9178B"/>
    <w:rsid w:val="00A917BD"/>
    <w:rsid w:val="00A918B2"/>
    <w:rsid w:val="00A92265"/>
    <w:rsid w:val="00A923C0"/>
    <w:rsid w:val="00A9245D"/>
    <w:rsid w:val="00A925F2"/>
    <w:rsid w:val="00A92AFF"/>
    <w:rsid w:val="00A930CA"/>
    <w:rsid w:val="00A935C9"/>
    <w:rsid w:val="00A937D8"/>
    <w:rsid w:val="00A93D41"/>
    <w:rsid w:val="00A9435C"/>
    <w:rsid w:val="00A943E0"/>
    <w:rsid w:val="00A94590"/>
    <w:rsid w:val="00A94B83"/>
    <w:rsid w:val="00A95357"/>
    <w:rsid w:val="00A95642"/>
    <w:rsid w:val="00A95769"/>
    <w:rsid w:val="00A9578C"/>
    <w:rsid w:val="00A95972"/>
    <w:rsid w:val="00A96E01"/>
    <w:rsid w:val="00A973FD"/>
    <w:rsid w:val="00A97AA5"/>
    <w:rsid w:val="00AA0042"/>
    <w:rsid w:val="00AA00DF"/>
    <w:rsid w:val="00AA01A2"/>
    <w:rsid w:val="00AA06DF"/>
    <w:rsid w:val="00AA0734"/>
    <w:rsid w:val="00AA07B8"/>
    <w:rsid w:val="00AA082F"/>
    <w:rsid w:val="00AA0DB1"/>
    <w:rsid w:val="00AA1245"/>
    <w:rsid w:val="00AA1267"/>
    <w:rsid w:val="00AA1469"/>
    <w:rsid w:val="00AA14A2"/>
    <w:rsid w:val="00AA1602"/>
    <w:rsid w:val="00AA1801"/>
    <w:rsid w:val="00AA1F36"/>
    <w:rsid w:val="00AA1FC8"/>
    <w:rsid w:val="00AA2174"/>
    <w:rsid w:val="00AA2675"/>
    <w:rsid w:val="00AA28B6"/>
    <w:rsid w:val="00AA2EE9"/>
    <w:rsid w:val="00AA30CD"/>
    <w:rsid w:val="00AA3A5B"/>
    <w:rsid w:val="00AA3A64"/>
    <w:rsid w:val="00AA3A86"/>
    <w:rsid w:val="00AA47C1"/>
    <w:rsid w:val="00AA4A5F"/>
    <w:rsid w:val="00AA52DB"/>
    <w:rsid w:val="00AA549D"/>
    <w:rsid w:val="00AA58E8"/>
    <w:rsid w:val="00AA590F"/>
    <w:rsid w:val="00AA5AC2"/>
    <w:rsid w:val="00AA5C3B"/>
    <w:rsid w:val="00AA5F72"/>
    <w:rsid w:val="00AA619C"/>
    <w:rsid w:val="00AA61D5"/>
    <w:rsid w:val="00AA634F"/>
    <w:rsid w:val="00AA63C6"/>
    <w:rsid w:val="00AA677E"/>
    <w:rsid w:val="00AA6AF2"/>
    <w:rsid w:val="00AA6C01"/>
    <w:rsid w:val="00AA73C8"/>
    <w:rsid w:val="00AA75E8"/>
    <w:rsid w:val="00AA79F8"/>
    <w:rsid w:val="00AA7AC4"/>
    <w:rsid w:val="00AA7BB2"/>
    <w:rsid w:val="00AB0297"/>
    <w:rsid w:val="00AB0678"/>
    <w:rsid w:val="00AB0DC8"/>
    <w:rsid w:val="00AB0F26"/>
    <w:rsid w:val="00AB0F85"/>
    <w:rsid w:val="00AB11B4"/>
    <w:rsid w:val="00AB21AE"/>
    <w:rsid w:val="00AB2CAB"/>
    <w:rsid w:val="00AB31B8"/>
    <w:rsid w:val="00AB349C"/>
    <w:rsid w:val="00AB4448"/>
    <w:rsid w:val="00AB49A6"/>
    <w:rsid w:val="00AB4CED"/>
    <w:rsid w:val="00AB5729"/>
    <w:rsid w:val="00AB581D"/>
    <w:rsid w:val="00AB5E0F"/>
    <w:rsid w:val="00AB64F8"/>
    <w:rsid w:val="00AB682C"/>
    <w:rsid w:val="00AB6AB5"/>
    <w:rsid w:val="00AB6D5D"/>
    <w:rsid w:val="00AB7761"/>
    <w:rsid w:val="00AB7E3B"/>
    <w:rsid w:val="00AC019A"/>
    <w:rsid w:val="00AC0256"/>
    <w:rsid w:val="00AC0332"/>
    <w:rsid w:val="00AC059E"/>
    <w:rsid w:val="00AC0E68"/>
    <w:rsid w:val="00AC10D4"/>
    <w:rsid w:val="00AC2474"/>
    <w:rsid w:val="00AC2598"/>
    <w:rsid w:val="00AC25C3"/>
    <w:rsid w:val="00AC28C6"/>
    <w:rsid w:val="00AC2E18"/>
    <w:rsid w:val="00AC3492"/>
    <w:rsid w:val="00AC4742"/>
    <w:rsid w:val="00AC4BD5"/>
    <w:rsid w:val="00AC4CAE"/>
    <w:rsid w:val="00AC4E17"/>
    <w:rsid w:val="00AC55FA"/>
    <w:rsid w:val="00AC57E6"/>
    <w:rsid w:val="00AC5D09"/>
    <w:rsid w:val="00AC692F"/>
    <w:rsid w:val="00AC7634"/>
    <w:rsid w:val="00AC7B26"/>
    <w:rsid w:val="00AC7FB3"/>
    <w:rsid w:val="00AD0DB9"/>
    <w:rsid w:val="00AD0E4F"/>
    <w:rsid w:val="00AD0E5C"/>
    <w:rsid w:val="00AD15A2"/>
    <w:rsid w:val="00AD1B71"/>
    <w:rsid w:val="00AD246B"/>
    <w:rsid w:val="00AD2DDC"/>
    <w:rsid w:val="00AD3B54"/>
    <w:rsid w:val="00AD3C18"/>
    <w:rsid w:val="00AD3CE2"/>
    <w:rsid w:val="00AD42CC"/>
    <w:rsid w:val="00AD4319"/>
    <w:rsid w:val="00AD4B52"/>
    <w:rsid w:val="00AD5049"/>
    <w:rsid w:val="00AD5266"/>
    <w:rsid w:val="00AD5401"/>
    <w:rsid w:val="00AD549A"/>
    <w:rsid w:val="00AD57FF"/>
    <w:rsid w:val="00AD5CE5"/>
    <w:rsid w:val="00AD5F91"/>
    <w:rsid w:val="00AD6801"/>
    <w:rsid w:val="00AD6C14"/>
    <w:rsid w:val="00AD6C2B"/>
    <w:rsid w:val="00AD7ED1"/>
    <w:rsid w:val="00AE0D53"/>
    <w:rsid w:val="00AE0FA7"/>
    <w:rsid w:val="00AE0FD7"/>
    <w:rsid w:val="00AE1715"/>
    <w:rsid w:val="00AE1BBA"/>
    <w:rsid w:val="00AE2211"/>
    <w:rsid w:val="00AE2BD1"/>
    <w:rsid w:val="00AE2C94"/>
    <w:rsid w:val="00AE2F55"/>
    <w:rsid w:val="00AE33DB"/>
    <w:rsid w:val="00AE3CEB"/>
    <w:rsid w:val="00AE3D8C"/>
    <w:rsid w:val="00AE4207"/>
    <w:rsid w:val="00AE43A1"/>
    <w:rsid w:val="00AE43DF"/>
    <w:rsid w:val="00AE467D"/>
    <w:rsid w:val="00AE5653"/>
    <w:rsid w:val="00AE576B"/>
    <w:rsid w:val="00AE5BC3"/>
    <w:rsid w:val="00AE67C6"/>
    <w:rsid w:val="00AE6FBE"/>
    <w:rsid w:val="00AE7145"/>
    <w:rsid w:val="00AE7E19"/>
    <w:rsid w:val="00AF050E"/>
    <w:rsid w:val="00AF0A33"/>
    <w:rsid w:val="00AF0AA5"/>
    <w:rsid w:val="00AF0AF2"/>
    <w:rsid w:val="00AF14AC"/>
    <w:rsid w:val="00AF39D3"/>
    <w:rsid w:val="00AF4549"/>
    <w:rsid w:val="00AF4A35"/>
    <w:rsid w:val="00AF4B01"/>
    <w:rsid w:val="00AF4C15"/>
    <w:rsid w:val="00AF4D36"/>
    <w:rsid w:val="00AF5C01"/>
    <w:rsid w:val="00AF655F"/>
    <w:rsid w:val="00AF6724"/>
    <w:rsid w:val="00AF6830"/>
    <w:rsid w:val="00AF6BDB"/>
    <w:rsid w:val="00AF6E7D"/>
    <w:rsid w:val="00AF70E6"/>
    <w:rsid w:val="00AF78DE"/>
    <w:rsid w:val="00AF793C"/>
    <w:rsid w:val="00B00133"/>
    <w:rsid w:val="00B00270"/>
    <w:rsid w:val="00B00A2F"/>
    <w:rsid w:val="00B00CB9"/>
    <w:rsid w:val="00B00D47"/>
    <w:rsid w:val="00B00EDB"/>
    <w:rsid w:val="00B010CE"/>
    <w:rsid w:val="00B01365"/>
    <w:rsid w:val="00B01A21"/>
    <w:rsid w:val="00B02444"/>
    <w:rsid w:val="00B02924"/>
    <w:rsid w:val="00B02961"/>
    <w:rsid w:val="00B03075"/>
    <w:rsid w:val="00B034A3"/>
    <w:rsid w:val="00B0402A"/>
    <w:rsid w:val="00B040B1"/>
    <w:rsid w:val="00B04346"/>
    <w:rsid w:val="00B04758"/>
    <w:rsid w:val="00B0499C"/>
    <w:rsid w:val="00B05639"/>
    <w:rsid w:val="00B0572D"/>
    <w:rsid w:val="00B05980"/>
    <w:rsid w:val="00B05F45"/>
    <w:rsid w:val="00B06263"/>
    <w:rsid w:val="00B06A12"/>
    <w:rsid w:val="00B06B98"/>
    <w:rsid w:val="00B06DBE"/>
    <w:rsid w:val="00B1002F"/>
    <w:rsid w:val="00B1108C"/>
    <w:rsid w:val="00B11E7F"/>
    <w:rsid w:val="00B12D79"/>
    <w:rsid w:val="00B13646"/>
    <w:rsid w:val="00B13970"/>
    <w:rsid w:val="00B13BF3"/>
    <w:rsid w:val="00B1439D"/>
    <w:rsid w:val="00B147EC"/>
    <w:rsid w:val="00B14BD8"/>
    <w:rsid w:val="00B155EE"/>
    <w:rsid w:val="00B15E2F"/>
    <w:rsid w:val="00B16071"/>
    <w:rsid w:val="00B1623E"/>
    <w:rsid w:val="00B1644D"/>
    <w:rsid w:val="00B1646C"/>
    <w:rsid w:val="00B16853"/>
    <w:rsid w:val="00B169D9"/>
    <w:rsid w:val="00B16B60"/>
    <w:rsid w:val="00B16CBA"/>
    <w:rsid w:val="00B177F5"/>
    <w:rsid w:val="00B2012B"/>
    <w:rsid w:val="00B2099D"/>
    <w:rsid w:val="00B219A4"/>
    <w:rsid w:val="00B21F46"/>
    <w:rsid w:val="00B222AD"/>
    <w:rsid w:val="00B22D47"/>
    <w:rsid w:val="00B22E09"/>
    <w:rsid w:val="00B2307C"/>
    <w:rsid w:val="00B23337"/>
    <w:rsid w:val="00B239ED"/>
    <w:rsid w:val="00B23BFE"/>
    <w:rsid w:val="00B23C14"/>
    <w:rsid w:val="00B24069"/>
    <w:rsid w:val="00B2414C"/>
    <w:rsid w:val="00B24F5B"/>
    <w:rsid w:val="00B2533A"/>
    <w:rsid w:val="00B257A2"/>
    <w:rsid w:val="00B258D1"/>
    <w:rsid w:val="00B2625A"/>
    <w:rsid w:val="00B263A5"/>
    <w:rsid w:val="00B26650"/>
    <w:rsid w:val="00B26776"/>
    <w:rsid w:val="00B26873"/>
    <w:rsid w:val="00B26B24"/>
    <w:rsid w:val="00B276BC"/>
    <w:rsid w:val="00B30546"/>
    <w:rsid w:val="00B31107"/>
    <w:rsid w:val="00B31187"/>
    <w:rsid w:val="00B31800"/>
    <w:rsid w:val="00B31E47"/>
    <w:rsid w:val="00B3202F"/>
    <w:rsid w:val="00B3276C"/>
    <w:rsid w:val="00B33384"/>
    <w:rsid w:val="00B335AA"/>
    <w:rsid w:val="00B33B4E"/>
    <w:rsid w:val="00B34556"/>
    <w:rsid w:val="00B346C8"/>
    <w:rsid w:val="00B349F0"/>
    <w:rsid w:val="00B34A2E"/>
    <w:rsid w:val="00B34C5C"/>
    <w:rsid w:val="00B34F6F"/>
    <w:rsid w:val="00B3593E"/>
    <w:rsid w:val="00B35F00"/>
    <w:rsid w:val="00B36D09"/>
    <w:rsid w:val="00B36FCA"/>
    <w:rsid w:val="00B37526"/>
    <w:rsid w:val="00B37745"/>
    <w:rsid w:val="00B37F4B"/>
    <w:rsid w:val="00B40A41"/>
    <w:rsid w:val="00B40B02"/>
    <w:rsid w:val="00B40C3E"/>
    <w:rsid w:val="00B40EBF"/>
    <w:rsid w:val="00B41D23"/>
    <w:rsid w:val="00B42046"/>
    <w:rsid w:val="00B4209B"/>
    <w:rsid w:val="00B431B7"/>
    <w:rsid w:val="00B431ED"/>
    <w:rsid w:val="00B441C6"/>
    <w:rsid w:val="00B446AA"/>
    <w:rsid w:val="00B44BF0"/>
    <w:rsid w:val="00B456F7"/>
    <w:rsid w:val="00B459C0"/>
    <w:rsid w:val="00B46262"/>
    <w:rsid w:val="00B4729F"/>
    <w:rsid w:val="00B472B9"/>
    <w:rsid w:val="00B47626"/>
    <w:rsid w:val="00B50058"/>
    <w:rsid w:val="00B5095A"/>
    <w:rsid w:val="00B50BB3"/>
    <w:rsid w:val="00B51392"/>
    <w:rsid w:val="00B51A87"/>
    <w:rsid w:val="00B51CD2"/>
    <w:rsid w:val="00B5232B"/>
    <w:rsid w:val="00B5289B"/>
    <w:rsid w:val="00B52E39"/>
    <w:rsid w:val="00B530B2"/>
    <w:rsid w:val="00B530F1"/>
    <w:rsid w:val="00B53250"/>
    <w:rsid w:val="00B532B3"/>
    <w:rsid w:val="00B53626"/>
    <w:rsid w:val="00B54123"/>
    <w:rsid w:val="00B541BC"/>
    <w:rsid w:val="00B54326"/>
    <w:rsid w:val="00B54546"/>
    <w:rsid w:val="00B54AA2"/>
    <w:rsid w:val="00B54F5D"/>
    <w:rsid w:val="00B555E4"/>
    <w:rsid w:val="00B558F8"/>
    <w:rsid w:val="00B55D69"/>
    <w:rsid w:val="00B55FD4"/>
    <w:rsid w:val="00B562EA"/>
    <w:rsid w:val="00B56308"/>
    <w:rsid w:val="00B5752E"/>
    <w:rsid w:val="00B577FB"/>
    <w:rsid w:val="00B57FFD"/>
    <w:rsid w:val="00B609DF"/>
    <w:rsid w:val="00B609E3"/>
    <w:rsid w:val="00B61071"/>
    <w:rsid w:val="00B611E4"/>
    <w:rsid w:val="00B611E7"/>
    <w:rsid w:val="00B61225"/>
    <w:rsid w:val="00B61537"/>
    <w:rsid w:val="00B61B40"/>
    <w:rsid w:val="00B6291B"/>
    <w:rsid w:val="00B636C9"/>
    <w:rsid w:val="00B63B29"/>
    <w:rsid w:val="00B63C2B"/>
    <w:rsid w:val="00B63ED3"/>
    <w:rsid w:val="00B64203"/>
    <w:rsid w:val="00B64465"/>
    <w:rsid w:val="00B64700"/>
    <w:rsid w:val="00B64C1F"/>
    <w:rsid w:val="00B650B4"/>
    <w:rsid w:val="00B6566A"/>
    <w:rsid w:val="00B656C2"/>
    <w:rsid w:val="00B6653C"/>
    <w:rsid w:val="00B66802"/>
    <w:rsid w:val="00B66A0C"/>
    <w:rsid w:val="00B6776B"/>
    <w:rsid w:val="00B67CDD"/>
    <w:rsid w:val="00B67DF4"/>
    <w:rsid w:val="00B67F38"/>
    <w:rsid w:val="00B67F83"/>
    <w:rsid w:val="00B70055"/>
    <w:rsid w:val="00B70101"/>
    <w:rsid w:val="00B7015C"/>
    <w:rsid w:val="00B701B4"/>
    <w:rsid w:val="00B7075B"/>
    <w:rsid w:val="00B70D15"/>
    <w:rsid w:val="00B7196A"/>
    <w:rsid w:val="00B71A41"/>
    <w:rsid w:val="00B71A79"/>
    <w:rsid w:val="00B71AAA"/>
    <w:rsid w:val="00B72154"/>
    <w:rsid w:val="00B72328"/>
    <w:rsid w:val="00B725A9"/>
    <w:rsid w:val="00B72730"/>
    <w:rsid w:val="00B727E4"/>
    <w:rsid w:val="00B728EF"/>
    <w:rsid w:val="00B731F4"/>
    <w:rsid w:val="00B73461"/>
    <w:rsid w:val="00B73922"/>
    <w:rsid w:val="00B73B36"/>
    <w:rsid w:val="00B74889"/>
    <w:rsid w:val="00B748FD"/>
    <w:rsid w:val="00B74A3F"/>
    <w:rsid w:val="00B75114"/>
    <w:rsid w:val="00B7511D"/>
    <w:rsid w:val="00B7526D"/>
    <w:rsid w:val="00B754F5"/>
    <w:rsid w:val="00B759C5"/>
    <w:rsid w:val="00B75DE4"/>
    <w:rsid w:val="00B761BD"/>
    <w:rsid w:val="00B767CC"/>
    <w:rsid w:val="00B77618"/>
    <w:rsid w:val="00B7767B"/>
    <w:rsid w:val="00B8000A"/>
    <w:rsid w:val="00B802BE"/>
    <w:rsid w:val="00B80ACF"/>
    <w:rsid w:val="00B80C51"/>
    <w:rsid w:val="00B80CC0"/>
    <w:rsid w:val="00B8155B"/>
    <w:rsid w:val="00B81D4E"/>
    <w:rsid w:val="00B81E45"/>
    <w:rsid w:val="00B82262"/>
    <w:rsid w:val="00B82C52"/>
    <w:rsid w:val="00B83B0B"/>
    <w:rsid w:val="00B847CB"/>
    <w:rsid w:val="00B84989"/>
    <w:rsid w:val="00B84A07"/>
    <w:rsid w:val="00B84E75"/>
    <w:rsid w:val="00B84EF3"/>
    <w:rsid w:val="00B84F49"/>
    <w:rsid w:val="00B853A3"/>
    <w:rsid w:val="00B85514"/>
    <w:rsid w:val="00B859A3"/>
    <w:rsid w:val="00B85AD5"/>
    <w:rsid w:val="00B85B94"/>
    <w:rsid w:val="00B85BA4"/>
    <w:rsid w:val="00B85C59"/>
    <w:rsid w:val="00B86152"/>
    <w:rsid w:val="00B86403"/>
    <w:rsid w:val="00B864F9"/>
    <w:rsid w:val="00B86856"/>
    <w:rsid w:val="00B86FE3"/>
    <w:rsid w:val="00B874EA"/>
    <w:rsid w:val="00B876D7"/>
    <w:rsid w:val="00B87C83"/>
    <w:rsid w:val="00B90ED9"/>
    <w:rsid w:val="00B91207"/>
    <w:rsid w:val="00B912B5"/>
    <w:rsid w:val="00B91995"/>
    <w:rsid w:val="00B92688"/>
    <w:rsid w:val="00B927AC"/>
    <w:rsid w:val="00B92D45"/>
    <w:rsid w:val="00B92E34"/>
    <w:rsid w:val="00B9312B"/>
    <w:rsid w:val="00B933EE"/>
    <w:rsid w:val="00B93423"/>
    <w:rsid w:val="00B93A7B"/>
    <w:rsid w:val="00B93C2E"/>
    <w:rsid w:val="00B9402B"/>
    <w:rsid w:val="00B94803"/>
    <w:rsid w:val="00B94DB1"/>
    <w:rsid w:val="00B95492"/>
    <w:rsid w:val="00B956CB"/>
    <w:rsid w:val="00B95A5E"/>
    <w:rsid w:val="00B95F5D"/>
    <w:rsid w:val="00B96062"/>
    <w:rsid w:val="00B96120"/>
    <w:rsid w:val="00B96226"/>
    <w:rsid w:val="00B96953"/>
    <w:rsid w:val="00B974B7"/>
    <w:rsid w:val="00B97540"/>
    <w:rsid w:val="00B97707"/>
    <w:rsid w:val="00B97A3F"/>
    <w:rsid w:val="00B97B45"/>
    <w:rsid w:val="00BA020C"/>
    <w:rsid w:val="00BA0238"/>
    <w:rsid w:val="00BA031D"/>
    <w:rsid w:val="00BA05D1"/>
    <w:rsid w:val="00BA06B0"/>
    <w:rsid w:val="00BA0CF0"/>
    <w:rsid w:val="00BA0EA9"/>
    <w:rsid w:val="00BA1222"/>
    <w:rsid w:val="00BA146F"/>
    <w:rsid w:val="00BA1472"/>
    <w:rsid w:val="00BA1570"/>
    <w:rsid w:val="00BA22FA"/>
    <w:rsid w:val="00BA3686"/>
    <w:rsid w:val="00BA3954"/>
    <w:rsid w:val="00BA3B36"/>
    <w:rsid w:val="00BA3E18"/>
    <w:rsid w:val="00BA3E9D"/>
    <w:rsid w:val="00BA4265"/>
    <w:rsid w:val="00BA434D"/>
    <w:rsid w:val="00BA445F"/>
    <w:rsid w:val="00BA4777"/>
    <w:rsid w:val="00BA51A8"/>
    <w:rsid w:val="00BA58E9"/>
    <w:rsid w:val="00BA5E81"/>
    <w:rsid w:val="00BA63BC"/>
    <w:rsid w:val="00BA6475"/>
    <w:rsid w:val="00BA65F5"/>
    <w:rsid w:val="00BA6946"/>
    <w:rsid w:val="00BA6A40"/>
    <w:rsid w:val="00BA6C72"/>
    <w:rsid w:val="00BA6CA6"/>
    <w:rsid w:val="00BA6DCA"/>
    <w:rsid w:val="00BA7B3A"/>
    <w:rsid w:val="00BB00FC"/>
    <w:rsid w:val="00BB0440"/>
    <w:rsid w:val="00BB0D2C"/>
    <w:rsid w:val="00BB1825"/>
    <w:rsid w:val="00BB1888"/>
    <w:rsid w:val="00BB190E"/>
    <w:rsid w:val="00BB199F"/>
    <w:rsid w:val="00BB1B64"/>
    <w:rsid w:val="00BB22DA"/>
    <w:rsid w:val="00BB25F7"/>
    <w:rsid w:val="00BB26AE"/>
    <w:rsid w:val="00BB2BBA"/>
    <w:rsid w:val="00BB2DFE"/>
    <w:rsid w:val="00BB346C"/>
    <w:rsid w:val="00BB3BE0"/>
    <w:rsid w:val="00BB3EE3"/>
    <w:rsid w:val="00BB41C5"/>
    <w:rsid w:val="00BB4432"/>
    <w:rsid w:val="00BB4965"/>
    <w:rsid w:val="00BB4F7C"/>
    <w:rsid w:val="00BB4F9C"/>
    <w:rsid w:val="00BB50C1"/>
    <w:rsid w:val="00BB58A1"/>
    <w:rsid w:val="00BB5E57"/>
    <w:rsid w:val="00BB5E94"/>
    <w:rsid w:val="00BB5EBC"/>
    <w:rsid w:val="00BB5FF4"/>
    <w:rsid w:val="00BB7654"/>
    <w:rsid w:val="00BB7933"/>
    <w:rsid w:val="00BB794D"/>
    <w:rsid w:val="00BC019A"/>
    <w:rsid w:val="00BC052E"/>
    <w:rsid w:val="00BC0657"/>
    <w:rsid w:val="00BC0890"/>
    <w:rsid w:val="00BC0B3D"/>
    <w:rsid w:val="00BC0CD3"/>
    <w:rsid w:val="00BC11CD"/>
    <w:rsid w:val="00BC1C2A"/>
    <w:rsid w:val="00BC2501"/>
    <w:rsid w:val="00BC2601"/>
    <w:rsid w:val="00BC353C"/>
    <w:rsid w:val="00BC43F6"/>
    <w:rsid w:val="00BC45C2"/>
    <w:rsid w:val="00BC4CDB"/>
    <w:rsid w:val="00BC4F14"/>
    <w:rsid w:val="00BC50A6"/>
    <w:rsid w:val="00BC52E1"/>
    <w:rsid w:val="00BC54FE"/>
    <w:rsid w:val="00BC57A3"/>
    <w:rsid w:val="00BC5929"/>
    <w:rsid w:val="00BC5E3E"/>
    <w:rsid w:val="00BC5FA5"/>
    <w:rsid w:val="00BC6000"/>
    <w:rsid w:val="00BC6006"/>
    <w:rsid w:val="00BC6C77"/>
    <w:rsid w:val="00BC6EFD"/>
    <w:rsid w:val="00BC7BE5"/>
    <w:rsid w:val="00BC7E8B"/>
    <w:rsid w:val="00BD0052"/>
    <w:rsid w:val="00BD05DC"/>
    <w:rsid w:val="00BD0799"/>
    <w:rsid w:val="00BD0966"/>
    <w:rsid w:val="00BD0CE2"/>
    <w:rsid w:val="00BD0E57"/>
    <w:rsid w:val="00BD0EAA"/>
    <w:rsid w:val="00BD142B"/>
    <w:rsid w:val="00BD21CC"/>
    <w:rsid w:val="00BD2927"/>
    <w:rsid w:val="00BD29E6"/>
    <w:rsid w:val="00BD335A"/>
    <w:rsid w:val="00BD3D9A"/>
    <w:rsid w:val="00BD40A6"/>
    <w:rsid w:val="00BD4396"/>
    <w:rsid w:val="00BD45A3"/>
    <w:rsid w:val="00BD65CD"/>
    <w:rsid w:val="00BD668D"/>
    <w:rsid w:val="00BD6BF2"/>
    <w:rsid w:val="00BD6FB2"/>
    <w:rsid w:val="00BD7194"/>
    <w:rsid w:val="00BD7EEF"/>
    <w:rsid w:val="00BE00EF"/>
    <w:rsid w:val="00BE0781"/>
    <w:rsid w:val="00BE0808"/>
    <w:rsid w:val="00BE0918"/>
    <w:rsid w:val="00BE094B"/>
    <w:rsid w:val="00BE0B76"/>
    <w:rsid w:val="00BE0B9A"/>
    <w:rsid w:val="00BE1077"/>
    <w:rsid w:val="00BE1125"/>
    <w:rsid w:val="00BE19FF"/>
    <w:rsid w:val="00BE1A5B"/>
    <w:rsid w:val="00BE210F"/>
    <w:rsid w:val="00BE25B0"/>
    <w:rsid w:val="00BE3298"/>
    <w:rsid w:val="00BE3772"/>
    <w:rsid w:val="00BE40A4"/>
    <w:rsid w:val="00BE4505"/>
    <w:rsid w:val="00BE4525"/>
    <w:rsid w:val="00BE4553"/>
    <w:rsid w:val="00BE4B81"/>
    <w:rsid w:val="00BE4BDA"/>
    <w:rsid w:val="00BE4C62"/>
    <w:rsid w:val="00BE52D8"/>
    <w:rsid w:val="00BE5AA4"/>
    <w:rsid w:val="00BE6292"/>
    <w:rsid w:val="00BE6376"/>
    <w:rsid w:val="00BE687B"/>
    <w:rsid w:val="00BE7450"/>
    <w:rsid w:val="00BE794A"/>
    <w:rsid w:val="00BE7A59"/>
    <w:rsid w:val="00BE7CA6"/>
    <w:rsid w:val="00BF050D"/>
    <w:rsid w:val="00BF0963"/>
    <w:rsid w:val="00BF0A9C"/>
    <w:rsid w:val="00BF13D6"/>
    <w:rsid w:val="00BF1761"/>
    <w:rsid w:val="00BF1A8F"/>
    <w:rsid w:val="00BF1F79"/>
    <w:rsid w:val="00BF2116"/>
    <w:rsid w:val="00BF228D"/>
    <w:rsid w:val="00BF26A0"/>
    <w:rsid w:val="00BF2B87"/>
    <w:rsid w:val="00BF2F8F"/>
    <w:rsid w:val="00BF3C77"/>
    <w:rsid w:val="00BF4314"/>
    <w:rsid w:val="00BF47DC"/>
    <w:rsid w:val="00BF48A5"/>
    <w:rsid w:val="00BF4C97"/>
    <w:rsid w:val="00BF5147"/>
    <w:rsid w:val="00BF5688"/>
    <w:rsid w:val="00BF5CE0"/>
    <w:rsid w:val="00BF62BD"/>
    <w:rsid w:val="00BF6303"/>
    <w:rsid w:val="00BF67F5"/>
    <w:rsid w:val="00BF693E"/>
    <w:rsid w:val="00BF6998"/>
    <w:rsid w:val="00BF6B96"/>
    <w:rsid w:val="00BF7532"/>
    <w:rsid w:val="00BF78A8"/>
    <w:rsid w:val="00BF7C4F"/>
    <w:rsid w:val="00BF7D2E"/>
    <w:rsid w:val="00C00531"/>
    <w:rsid w:val="00C00564"/>
    <w:rsid w:val="00C00DBD"/>
    <w:rsid w:val="00C02C4D"/>
    <w:rsid w:val="00C02E8E"/>
    <w:rsid w:val="00C03AEF"/>
    <w:rsid w:val="00C048A2"/>
    <w:rsid w:val="00C04E2B"/>
    <w:rsid w:val="00C05240"/>
    <w:rsid w:val="00C05AEF"/>
    <w:rsid w:val="00C05E8F"/>
    <w:rsid w:val="00C05FAA"/>
    <w:rsid w:val="00C066BE"/>
    <w:rsid w:val="00C06A76"/>
    <w:rsid w:val="00C071D0"/>
    <w:rsid w:val="00C0760B"/>
    <w:rsid w:val="00C079BB"/>
    <w:rsid w:val="00C1020B"/>
    <w:rsid w:val="00C102F9"/>
    <w:rsid w:val="00C10B9D"/>
    <w:rsid w:val="00C10CC8"/>
    <w:rsid w:val="00C1142A"/>
    <w:rsid w:val="00C119A5"/>
    <w:rsid w:val="00C12AB3"/>
    <w:rsid w:val="00C12ED5"/>
    <w:rsid w:val="00C13126"/>
    <w:rsid w:val="00C13154"/>
    <w:rsid w:val="00C132B5"/>
    <w:rsid w:val="00C135A5"/>
    <w:rsid w:val="00C13BCD"/>
    <w:rsid w:val="00C14601"/>
    <w:rsid w:val="00C1471D"/>
    <w:rsid w:val="00C151E7"/>
    <w:rsid w:val="00C159B1"/>
    <w:rsid w:val="00C15B0A"/>
    <w:rsid w:val="00C160F0"/>
    <w:rsid w:val="00C1623E"/>
    <w:rsid w:val="00C163AC"/>
    <w:rsid w:val="00C16B99"/>
    <w:rsid w:val="00C16BF7"/>
    <w:rsid w:val="00C1710D"/>
    <w:rsid w:val="00C17998"/>
    <w:rsid w:val="00C17CC9"/>
    <w:rsid w:val="00C17FA3"/>
    <w:rsid w:val="00C20795"/>
    <w:rsid w:val="00C20A70"/>
    <w:rsid w:val="00C20C3E"/>
    <w:rsid w:val="00C20F82"/>
    <w:rsid w:val="00C210C8"/>
    <w:rsid w:val="00C21463"/>
    <w:rsid w:val="00C215FE"/>
    <w:rsid w:val="00C22648"/>
    <w:rsid w:val="00C22692"/>
    <w:rsid w:val="00C22936"/>
    <w:rsid w:val="00C22AA4"/>
    <w:rsid w:val="00C22F34"/>
    <w:rsid w:val="00C237D5"/>
    <w:rsid w:val="00C2447C"/>
    <w:rsid w:val="00C2465F"/>
    <w:rsid w:val="00C247F5"/>
    <w:rsid w:val="00C24B34"/>
    <w:rsid w:val="00C24E84"/>
    <w:rsid w:val="00C25026"/>
    <w:rsid w:val="00C25451"/>
    <w:rsid w:val="00C25C69"/>
    <w:rsid w:val="00C269B6"/>
    <w:rsid w:val="00C26E7A"/>
    <w:rsid w:val="00C27419"/>
    <w:rsid w:val="00C274F9"/>
    <w:rsid w:val="00C27C62"/>
    <w:rsid w:val="00C30354"/>
    <w:rsid w:val="00C30624"/>
    <w:rsid w:val="00C306ED"/>
    <w:rsid w:val="00C308D1"/>
    <w:rsid w:val="00C309EE"/>
    <w:rsid w:val="00C30C65"/>
    <w:rsid w:val="00C32DB5"/>
    <w:rsid w:val="00C33639"/>
    <w:rsid w:val="00C33C5D"/>
    <w:rsid w:val="00C33CA7"/>
    <w:rsid w:val="00C342EC"/>
    <w:rsid w:val="00C34513"/>
    <w:rsid w:val="00C34839"/>
    <w:rsid w:val="00C35BB9"/>
    <w:rsid w:val="00C35F07"/>
    <w:rsid w:val="00C35FD1"/>
    <w:rsid w:val="00C360EA"/>
    <w:rsid w:val="00C361BC"/>
    <w:rsid w:val="00C3694E"/>
    <w:rsid w:val="00C36BC9"/>
    <w:rsid w:val="00C372E0"/>
    <w:rsid w:val="00C37C7C"/>
    <w:rsid w:val="00C4022F"/>
    <w:rsid w:val="00C405BE"/>
    <w:rsid w:val="00C4097C"/>
    <w:rsid w:val="00C417DD"/>
    <w:rsid w:val="00C418BC"/>
    <w:rsid w:val="00C41ECE"/>
    <w:rsid w:val="00C42339"/>
    <w:rsid w:val="00C4259F"/>
    <w:rsid w:val="00C427CB"/>
    <w:rsid w:val="00C42F33"/>
    <w:rsid w:val="00C4368A"/>
    <w:rsid w:val="00C43882"/>
    <w:rsid w:val="00C439D6"/>
    <w:rsid w:val="00C43D77"/>
    <w:rsid w:val="00C43D78"/>
    <w:rsid w:val="00C44500"/>
    <w:rsid w:val="00C44BB4"/>
    <w:rsid w:val="00C44D3E"/>
    <w:rsid w:val="00C453A5"/>
    <w:rsid w:val="00C45560"/>
    <w:rsid w:val="00C455FC"/>
    <w:rsid w:val="00C45762"/>
    <w:rsid w:val="00C4583D"/>
    <w:rsid w:val="00C45A1F"/>
    <w:rsid w:val="00C46363"/>
    <w:rsid w:val="00C46780"/>
    <w:rsid w:val="00C46909"/>
    <w:rsid w:val="00C46DD7"/>
    <w:rsid w:val="00C46F70"/>
    <w:rsid w:val="00C46FA0"/>
    <w:rsid w:val="00C4706E"/>
    <w:rsid w:val="00C47692"/>
    <w:rsid w:val="00C47C28"/>
    <w:rsid w:val="00C47C8C"/>
    <w:rsid w:val="00C50025"/>
    <w:rsid w:val="00C50288"/>
    <w:rsid w:val="00C5032B"/>
    <w:rsid w:val="00C50A36"/>
    <w:rsid w:val="00C50E69"/>
    <w:rsid w:val="00C511CF"/>
    <w:rsid w:val="00C51545"/>
    <w:rsid w:val="00C52038"/>
    <w:rsid w:val="00C523AB"/>
    <w:rsid w:val="00C52617"/>
    <w:rsid w:val="00C52F5D"/>
    <w:rsid w:val="00C53214"/>
    <w:rsid w:val="00C53394"/>
    <w:rsid w:val="00C53773"/>
    <w:rsid w:val="00C5389B"/>
    <w:rsid w:val="00C53B79"/>
    <w:rsid w:val="00C53D34"/>
    <w:rsid w:val="00C540F6"/>
    <w:rsid w:val="00C54A57"/>
    <w:rsid w:val="00C54C51"/>
    <w:rsid w:val="00C5592A"/>
    <w:rsid w:val="00C55982"/>
    <w:rsid w:val="00C55A3D"/>
    <w:rsid w:val="00C55AD5"/>
    <w:rsid w:val="00C55E28"/>
    <w:rsid w:val="00C56006"/>
    <w:rsid w:val="00C565AC"/>
    <w:rsid w:val="00C56702"/>
    <w:rsid w:val="00C56A64"/>
    <w:rsid w:val="00C57480"/>
    <w:rsid w:val="00C57DF1"/>
    <w:rsid w:val="00C60089"/>
    <w:rsid w:val="00C604C1"/>
    <w:rsid w:val="00C6091C"/>
    <w:rsid w:val="00C60C4F"/>
    <w:rsid w:val="00C60D66"/>
    <w:rsid w:val="00C61A1B"/>
    <w:rsid w:val="00C631B9"/>
    <w:rsid w:val="00C6327E"/>
    <w:rsid w:val="00C63C2D"/>
    <w:rsid w:val="00C63D44"/>
    <w:rsid w:val="00C643D1"/>
    <w:rsid w:val="00C6456C"/>
    <w:rsid w:val="00C6497D"/>
    <w:rsid w:val="00C6500C"/>
    <w:rsid w:val="00C6506E"/>
    <w:rsid w:val="00C6518D"/>
    <w:rsid w:val="00C65555"/>
    <w:rsid w:val="00C65AC4"/>
    <w:rsid w:val="00C65D17"/>
    <w:rsid w:val="00C65FCD"/>
    <w:rsid w:val="00C6621A"/>
    <w:rsid w:val="00C667A6"/>
    <w:rsid w:val="00C66F1C"/>
    <w:rsid w:val="00C67031"/>
    <w:rsid w:val="00C67411"/>
    <w:rsid w:val="00C678BB"/>
    <w:rsid w:val="00C67B3F"/>
    <w:rsid w:val="00C714B9"/>
    <w:rsid w:val="00C719B2"/>
    <w:rsid w:val="00C71C0C"/>
    <w:rsid w:val="00C72501"/>
    <w:rsid w:val="00C72C62"/>
    <w:rsid w:val="00C72D39"/>
    <w:rsid w:val="00C7303A"/>
    <w:rsid w:val="00C730D1"/>
    <w:rsid w:val="00C734D3"/>
    <w:rsid w:val="00C735C8"/>
    <w:rsid w:val="00C7387D"/>
    <w:rsid w:val="00C73E47"/>
    <w:rsid w:val="00C742E0"/>
    <w:rsid w:val="00C74424"/>
    <w:rsid w:val="00C74839"/>
    <w:rsid w:val="00C74EBC"/>
    <w:rsid w:val="00C7501E"/>
    <w:rsid w:val="00C753DB"/>
    <w:rsid w:val="00C75A58"/>
    <w:rsid w:val="00C76F45"/>
    <w:rsid w:val="00C775A7"/>
    <w:rsid w:val="00C777A7"/>
    <w:rsid w:val="00C77B3B"/>
    <w:rsid w:val="00C80633"/>
    <w:rsid w:val="00C810BE"/>
    <w:rsid w:val="00C81354"/>
    <w:rsid w:val="00C81361"/>
    <w:rsid w:val="00C8150C"/>
    <w:rsid w:val="00C8176A"/>
    <w:rsid w:val="00C8180A"/>
    <w:rsid w:val="00C81C46"/>
    <w:rsid w:val="00C8228E"/>
    <w:rsid w:val="00C8297F"/>
    <w:rsid w:val="00C82A3E"/>
    <w:rsid w:val="00C82C61"/>
    <w:rsid w:val="00C8317F"/>
    <w:rsid w:val="00C831EE"/>
    <w:rsid w:val="00C83211"/>
    <w:rsid w:val="00C83DD1"/>
    <w:rsid w:val="00C83E0B"/>
    <w:rsid w:val="00C84D8A"/>
    <w:rsid w:val="00C84F0D"/>
    <w:rsid w:val="00C85127"/>
    <w:rsid w:val="00C8682C"/>
    <w:rsid w:val="00C86895"/>
    <w:rsid w:val="00C86A19"/>
    <w:rsid w:val="00C86E03"/>
    <w:rsid w:val="00C86E61"/>
    <w:rsid w:val="00C86EAC"/>
    <w:rsid w:val="00C8703C"/>
    <w:rsid w:val="00C874BA"/>
    <w:rsid w:val="00C87952"/>
    <w:rsid w:val="00C903C0"/>
    <w:rsid w:val="00C904AF"/>
    <w:rsid w:val="00C90757"/>
    <w:rsid w:val="00C90AE2"/>
    <w:rsid w:val="00C90BB9"/>
    <w:rsid w:val="00C9152A"/>
    <w:rsid w:val="00C92998"/>
    <w:rsid w:val="00C92A40"/>
    <w:rsid w:val="00C92FC9"/>
    <w:rsid w:val="00C93E06"/>
    <w:rsid w:val="00C94061"/>
    <w:rsid w:val="00C947CC"/>
    <w:rsid w:val="00C94D0F"/>
    <w:rsid w:val="00C950CA"/>
    <w:rsid w:val="00C95260"/>
    <w:rsid w:val="00C95721"/>
    <w:rsid w:val="00C95762"/>
    <w:rsid w:val="00C95E35"/>
    <w:rsid w:val="00C95F49"/>
    <w:rsid w:val="00C96CAC"/>
    <w:rsid w:val="00C96CE1"/>
    <w:rsid w:val="00C97456"/>
    <w:rsid w:val="00C97640"/>
    <w:rsid w:val="00C97669"/>
    <w:rsid w:val="00CA13EA"/>
    <w:rsid w:val="00CA159B"/>
    <w:rsid w:val="00CA1BBB"/>
    <w:rsid w:val="00CA1D0A"/>
    <w:rsid w:val="00CA2216"/>
    <w:rsid w:val="00CA2650"/>
    <w:rsid w:val="00CA2A37"/>
    <w:rsid w:val="00CA2B8C"/>
    <w:rsid w:val="00CA37A3"/>
    <w:rsid w:val="00CA3B51"/>
    <w:rsid w:val="00CA3D52"/>
    <w:rsid w:val="00CA520A"/>
    <w:rsid w:val="00CA560F"/>
    <w:rsid w:val="00CA571D"/>
    <w:rsid w:val="00CA5753"/>
    <w:rsid w:val="00CA5880"/>
    <w:rsid w:val="00CA68F2"/>
    <w:rsid w:val="00CA70E6"/>
    <w:rsid w:val="00CA78B3"/>
    <w:rsid w:val="00CA78E5"/>
    <w:rsid w:val="00CA7D31"/>
    <w:rsid w:val="00CA7D95"/>
    <w:rsid w:val="00CA7E33"/>
    <w:rsid w:val="00CB01F1"/>
    <w:rsid w:val="00CB0317"/>
    <w:rsid w:val="00CB0937"/>
    <w:rsid w:val="00CB0BD2"/>
    <w:rsid w:val="00CB0EF9"/>
    <w:rsid w:val="00CB1004"/>
    <w:rsid w:val="00CB14C5"/>
    <w:rsid w:val="00CB1D79"/>
    <w:rsid w:val="00CB207E"/>
    <w:rsid w:val="00CB2970"/>
    <w:rsid w:val="00CB2C19"/>
    <w:rsid w:val="00CB2CBC"/>
    <w:rsid w:val="00CB35FF"/>
    <w:rsid w:val="00CB36FC"/>
    <w:rsid w:val="00CB394E"/>
    <w:rsid w:val="00CB3D7C"/>
    <w:rsid w:val="00CB4C5F"/>
    <w:rsid w:val="00CB583F"/>
    <w:rsid w:val="00CB6A5D"/>
    <w:rsid w:val="00CB6BA8"/>
    <w:rsid w:val="00CB7679"/>
    <w:rsid w:val="00CB772A"/>
    <w:rsid w:val="00CC0005"/>
    <w:rsid w:val="00CC0160"/>
    <w:rsid w:val="00CC0423"/>
    <w:rsid w:val="00CC0FCD"/>
    <w:rsid w:val="00CC11A6"/>
    <w:rsid w:val="00CC134B"/>
    <w:rsid w:val="00CC16C8"/>
    <w:rsid w:val="00CC1776"/>
    <w:rsid w:val="00CC2020"/>
    <w:rsid w:val="00CC25DA"/>
    <w:rsid w:val="00CC3206"/>
    <w:rsid w:val="00CC3A55"/>
    <w:rsid w:val="00CC4615"/>
    <w:rsid w:val="00CC5011"/>
    <w:rsid w:val="00CC56E3"/>
    <w:rsid w:val="00CC5958"/>
    <w:rsid w:val="00CC5B16"/>
    <w:rsid w:val="00CC67E3"/>
    <w:rsid w:val="00CC6A5D"/>
    <w:rsid w:val="00CC747E"/>
    <w:rsid w:val="00CD050C"/>
    <w:rsid w:val="00CD0CCC"/>
    <w:rsid w:val="00CD11BD"/>
    <w:rsid w:val="00CD1393"/>
    <w:rsid w:val="00CD1F73"/>
    <w:rsid w:val="00CD2845"/>
    <w:rsid w:val="00CD2A20"/>
    <w:rsid w:val="00CD2D93"/>
    <w:rsid w:val="00CD2E58"/>
    <w:rsid w:val="00CD3367"/>
    <w:rsid w:val="00CD3B7E"/>
    <w:rsid w:val="00CD4B88"/>
    <w:rsid w:val="00CD4BA9"/>
    <w:rsid w:val="00CD4CAB"/>
    <w:rsid w:val="00CD4CFC"/>
    <w:rsid w:val="00CD585C"/>
    <w:rsid w:val="00CD5ADD"/>
    <w:rsid w:val="00CD5EB8"/>
    <w:rsid w:val="00CD60FA"/>
    <w:rsid w:val="00CD64FD"/>
    <w:rsid w:val="00CD66AF"/>
    <w:rsid w:val="00CD6DFF"/>
    <w:rsid w:val="00CD7307"/>
    <w:rsid w:val="00CD770D"/>
    <w:rsid w:val="00CD7A57"/>
    <w:rsid w:val="00CD7F54"/>
    <w:rsid w:val="00CE08FB"/>
    <w:rsid w:val="00CE1149"/>
    <w:rsid w:val="00CE1248"/>
    <w:rsid w:val="00CE1297"/>
    <w:rsid w:val="00CE17DE"/>
    <w:rsid w:val="00CE2313"/>
    <w:rsid w:val="00CE3C51"/>
    <w:rsid w:val="00CE3EDC"/>
    <w:rsid w:val="00CE4B68"/>
    <w:rsid w:val="00CE5120"/>
    <w:rsid w:val="00CE5414"/>
    <w:rsid w:val="00CE55C7"/>
    <w:rsid w:val="00CE5723"/>
    <w:rsid w:val="00CE5899"/>
    <w:rsid w:val="00CE5A14"/>
    <w:rsid w:val="00CE5AA8"/>
    <w:rsid w:val="00CE646E"/>
    <w:rsid w:val="00CE739A"/>
    <w:rsid w:val="00CE758B"/>
    <w:rsid w:val="00CE7953"/>
    <w:rsid w:val="00CE7F53"/>
    <w:rsid w:val="00CF0646"/>
    <w:rsid w:val="00CF119E"/>
    <w:rsid w:val="00CF11C4"/>
    <w:rsid w:val="00CF13C3"/>
    <w:rsid w:val="00CF1454"/>
    <w:rsid w:val="00CF2238"/>
    <w:rsid w:val="00CF22C7"/>
    <w:rsid w:val="00CF2324"/>
    <w:rsid w:val="00CF23C2"/>
    <w:rsid w:val="00CF2475"/>
    <w:rsid w:val="00CF3972"/>
    <w:rsid w:val="00CF3A1A"/>
    <w:rsid w:val="00CF3F71"/>
    <w:rsid w:val="00CF4076"/>
    <w:rsid w:val="00CF464C"/>
    <w:rsid w:val="00CF4A12"/>
    <w:rsid w:val="00CF4D4A"/>
    <w:rsid w:val="00CF541B"/>
    <w:rsid w:val="00CF5EBC"/>
    <w:rsid w:val="00CF65F2"/>
    <w:rsid w:val="00CF69B6"/>
    <w:rsid w:val="00CF6D09"/>
    <w:rsid w:val="00CF734C"/>
    <w:rsid w:val="00CF7412"/>
    <w:rsid w:val="00CF74D7"/>
    <w:rsid w:val="00CF7AA5"/>
    <w:rsid w:val="00CF7C5E"/>
    <w:rsid w:val="00D00637"/>
    <w:rsid w:val="00D007C3"/>
    <w:rsid w:val="00D00926"/>
    <w:rsid w:val="00D00C47"/>
    <w:rsid w:val="00D0123C"/>
    <w:rsid w:val="00D0142F"/>
    <w:rsid w:val="00D01908"/>
    <w:rsid w:val="00D01CD8"/>
    <w:rsid w:val="00D02631"/>
    <w:rsid w:val="00D02AAA"/>
    <w:rsid w:val="00D02BB8"/>
    <w:rsid w:val="00D03456"/>
    <w:rsid w:val="00D0372B"/>
    <w:rsid w:val="00D038D5"/>
    <w:rsid w:val="00D03967"/>
    <w:rsid w:val="00D039EA"/>
    <w:rsid w:val="00D04ACD"/>
    <w:rsid w:val="00D04F57"/>
    <w:rsid w:val="00D05305"/>
    <w:rsid w:val="00D05576"/>
    <w:rsid w:val="00D0563C"/>
    <w:rsid w:val="00D0652E"/>
    <w:rsid w:val="00D066D4"/>
    <w:rsid w:val="00D07FC3"/>
    <w:rsid w:val="00D109C9"/>
    <w:rsid w:val="00D10E82"/>
    <w:rsid w:val="00D114B5"/>
    <w:rsid w:val="00D11911"/>
    <w:rsid w:val="00D12140"/>
    <w:rsid w:val="00D12288"/>
    <w:rsid w:val="00D12EDA"/>
    <w:rsid w:val="00D12FB2"/>
    <w:rsid w:val="00D132F4"/>
    <w:rsid w:val="00D134B6"/>
    <w:rsid w:val="00D135D1"/>
    <w:rsid w:val="00D139A9"/>
    <w:rsid w:val="00D13D5E"/>
    <w:rsid w:val="00D1420E"/>
    <w:rsid w:val="00D14485"/>
    <w:rsid w:val="00D1496D"/>
    <w:rsid w:val="00D15689"/>
    <w:rsid w:val="00D156E3"/>
    <w:rsid w:val="00D15A05"/>
    <w:rsid w:val="00D15E45"/>
    <w:rsid w:val="00D16099"/>
    <w:rsid w:val="00D16E6D"/>
    <w:rsid w:val="00D16F9B"/>
    <w:rsid w:val="00D1720F"/>
    <w:rsid w:val="00D1795D"/>
    <w:rsid w:val="00D206AF"/>
    <w:rsid w:val="00D206C6"/>
    <w:rsid w:val="00D2091C"/>
    <w:rsid w:val="00D20CE9"/>
    <w:rsid w:val="00D20F75"/>
    <w:rsid w:val="00D2110D"/>
    <w:rsid w:val="00D21A58"/>
    <w:rsid w:val="00D21B52"/>
    <w:rsid w:val="00D220D0"/>
    <w:rsid w:val="00D22367"/>
    <w:rsid w:val="00D224B6"/>
    <w:rsid w:val="00D225E4"/>
    <w:rsid w:val="00D22A32"/>
    <w:rsid w:val="00D241F4"/>
    <w:rsid w:val="00D24756"/>
    <w:rsid w:val="00D24830"/>
    <w:rsid w:val="00D24BCD"/>
    <w:rsid w:val="00D25204"/>
    <w:rsid w:val="00D25493"/>
    <w:rsid w:val="00D25BEE"/>
    <w:rsid w:val="00D25DCA"/>
    <w:rsid w:val="00D26493"/>
    <w:rsid w:val="00D2697D"/>
    <w:rsid w:val="00D27123"/>
    <w:rsid w:val="00D27491"/>
    <w:rsid w:val="00D274ED"/>
    <w:rsid w:val="00D27D79"/>
    <w:rsid w:val="00D30147"/>
    <w:rsid w:val="00D304FD"/>
    <w:rsid w:val="00D305C2"/>
    <w:rsid w:val="00D309DF"/>
    <w:rsid w:val="00D30C42"/>
    <w:rsid w:val="00D30FB5"/>
    <w:rsid w:val="00D31070"/>
    <w:rsid w:val="00D311E9"/>
    <w:rsid w:val="00D31206"/>
    <w:rsid w:val="00D3172C"/>
    <w:rsid w:val="00D31B72"/>
    <w:rsid w:val="00D320A4"/>
    <w:rsid w:val="00D320F6"/>
    <w:rsid w:val="00D3220C"/>
    <w:rsid w:val="00D323BB"/>
    <w:rsid w:val="00D325AB"/>
    <w:rsid w:val="00D32768"/>
    <w:rsid w:val="00D3284C"/>
    <w:rsid w:val="00D32AA1"/>
    <w:rsid w:val="00D339BE"/>
    <w:rsid w:val="00D34639"/>
    <w:rsid w:val="00D34C23"/>
    <w:rsid w:val="00D34D12"/>
    <w:rsid w:val="00D3560D"/>
    <w:rsid w:val="00D35678"/>
    <w:rsid w:val="00D358CC"/>
    <w:rsid w:val="00D35FDB"/>
    <w:rsid w:val="00D361B1"/>
    <w:rsid w:val="00D365A4"/>
    <w:rsid w:val="00D36C6D"/>
    <w:rsid w:val="00D37EDE"/>
    <w:rsid w:val="00D37FEF"/>
    <w:rsid w:val="00D40664"/>
    <w:rsid w:val="00D40801"/>
    <w:rsid w:val="00D40B01"/>
    <w:rsid w:val="00D40FB3"/>
    <w:rsid w:val="00D41733"/>
    <w:rsid w:val="00D41757"/>
    <w:rsid w:val="00D41828"/>
    <w:rsid w:val="00D423C4"/>
    <w:rsid w:val="00D42453"/>
    <w:rsid w:val="00D42DC4"/>
    <w:rsid w:val="00D43AB2"/>
    <w:rsid w:val="00D43DE4"/>
    <w:rsid w:val="00D44293"/>
    <w:rsid w:val="00D445CE"/>
    <w:rsid w:val="00D447BD"/>
    <w:rsid w:val="00D44821"/>
    <w:rsid w:val="00D44C0A"/>
    <w:rsid w:val="00D464E1"/>
    <w:rsid w:val="00D46E93"/>
    <w:rsid w:val="00D46ED4"/>
    <w:rsid w:val="00D47144"/>
    <w:rsid w:val="00D471FA"/>
    <w:rsid w:val="00D477A8"/>
    <w:rsid w:val="00D477D8"/>
    <w:rsid w:val="00D47EF3"/>
    <w:rsid w:val="00D500E4"/>
    <w:rsid w:val="00D5029A"/>
    <w:rsid w:val="00D50585"/>
    <w:rsid w:val="00D50897"/>
    <w:rsid w:val="00D50CF9"/>
    <w:rsid w:val="00D5118B"/>
    <w:rsid w:val="00D5125D"/>
    <w:rsid w:val="00D5159A"/>
    <w:rsid w:val="00D51938"/>
    <w:rsid w:val="00D51A2B"/>
    <w:rsid w:val="00D52081"/>
    <w:rsid w:val="00D520AA"/>
    <w:rsid w:val="00D52478"/>
    <w:rsid w:val="00D5249C"/>
    <w:rsid w:val="00D52E00"/>
    <w:rsid w:val="00D5338B"/>
    <w:rsid w:val="00D53545"/>
    <w:rsid w:val="00D537B0"/>
    <w:rsid w:val="00D537D4"/>
    <w:rsid w:val="00D53C13"/>
    <w:rsid w:val="00D544FC"/>
    <w:rsid w:val="00D5484F"/>
    <w:rsid w:val="00D550A8"/>
    <w:rsid w:val="00D5574B"/>
    <w:rsid w:val="00D55CEF"/>
    <w:rsid w:val="00D56525"/>
    <w:rsid w:val="00D5675E"/>
    <w:rsid w:val="00D56AD9"/>
    <w:rsid w:val="00D57009"/>
    <w:rsid w:val="00D570F4"/>
    <w:rsid w:val="00D572A9"/>
    <w:rsid w:val="00D57371"/>
    <w:rsid w:val="00D573C2"/>
    <w:rsid w:val="00D573EB"/>
    <w:rsid w:val="00D5753D"/>
    <w:rsid w:val="00D60C03"/>
    <w:rsid w:val="00D60C84"/>
    <w:rsid w:val="00D60FB9"/>
    <w:rsid w:val="00D61913"/>
    <w:rsid w:val="00D61DC0"/>
    <w:rsid w:val="00D61FDE"/>
    <w:rsid w:val="00D620C6"/>
    <w:rsid w:val="00D6256F"/>
    <w:rsid w:val="00D62DDC"/>
    <w:rsid w:val="00D62EEA"/>
    <w:rsid w:val="00D630A0"/>
    <w:rsid w:val="00D631EB"/>
    <w:rsid w:val="00D634AC"/>
    <w:rsid w:val="00D63782"/>
    <w:rsid w:val="00D63A3E"/>
    <w:rsid w:val="00D63DD6"/>
    <w:rsid w:val="00D6444A"/>
    <w:rsid w:val="00D64644"/>
    <w:rsid w:val="00D64830"/>
    <w:rsid w:val="00D648FF"/>
    <w:rsid w:val="00D64C59"/>
    <w:rsid w:val="00D65621"/>
    <w:rsid w:val="00D656A8"/>
    <w:rsid w:val="00D65B81"/>
    <w:rsid w:val="00D65CB7"/>
    <w:rsid w:val="00D6645C"/>
    <w:rsid w:val="00D669CF"/>
    <w:rsid w:val="00D66E2F"/>
    <w:rsid w:val="00D66E76"/>
    <w:rsid w:val="00D66F1F"/>
    <w:rsid w:val="00D67787"/>
    <w:rsid w:val="00D67F83"/>
    <w:rsid w:val="00D70CCE"/>
    <w:rsid w:val="00D70E20"/>
    <w:rsid w:val="00D71307"/>
    <w:rsid w:val="00D713E9"/>
    <w:rsid w:val="00D7174F"/>
    <w:rsid w:val="00D72C26"/>
    <w:rsid w:val="00D7306B"/>
    <w:rsid w:val="00D73351"/>
    <w:rsid w:val="00D7343C"/>
    <w:rsid w:val="00D73925"/>
    <w:rsid w:val="00D73BC6"/>
    <w:rsid w:val="00D73E65"/>
    <w:rsid w:val="00D74058"/>
    <w:rsid w:val="00D741B2"/>
    <w:rsid w:val="00D7423E"/>
    <w:rsid w:val="00D74662"/>
    <w:rsid w:val="00D74AF6"/>
    <w:rsid w:val="00D74EFD"/>
    <w:rsid w:val="00D75238"/>
    <w:rsid w:val="00D756B1"/>
    <w:rsid w:val="00D7594B"/>
    <w:rsid w:val="00D759BA"/>
    <w:rsid w:val="00D75FE0"/>
    <w:rsid w:val="00D76656"/>
    <w:rsid w:val="00D76CB1"/>
    <w:rsid w:val="00D7763C"/>
    <w:rsid w:val="00D77B25"/>
    <w:rsid w:val="00D80563"/>
    <w:rsid w:val="00D81322"/>
    <w:rsid w:val="00D813E3"/>
    <w:rsid w:val="00D81C62"/>
    <w:rsid w:val="00D81FB8"/>
    <w:rsid w:val="00D8278D"/>
    <w:rsid w:val="00D83199"/>
    <w:rsid w:val="00D83F05"/>
    <w:rsid w:val="00D846CA"/>
    <w:rsid w:val="00D850CE"/>
    <w:rsid w:val="00D85AE5"/>
    <w:rsid w:val="00D85B8E"/>
    <w:rsid w:val="00D86482"/>
    <w:rsid w:val="00D86F47"/>
    <w:rsid w:val="00D87AC7"/>
    <w:rsid w:val="00D90F29"/>
    <w:rsid w:val="00D91731"/>
    <w:rsid w:val="00D91890"/>
    <w:rsid w:val="00D91B13"/>
    <w:rsid w:val="00D92213"/>
    <w:rsid w:val="00D9224C"/>
    <w:rsid w:val="00D92384"/>
    <w:rsid w:val="00D924B6"/>
    <w:rsid w:val="00D925E3"/>
    <w:rsid w:val="00D92C66"/>
    <w:rsid w:val="00D93155"/>
    <w:rsid w:val="00D93728"/>
    <w:rsid w:val="00D93EF4"/>
    <w:rsid w:val="00D9410D"/>
    <w:rsid w:val="00D946B6"/>
    <w:rsid w:val="00D94A8B"/>
    <w:rsid w:val="00D95043"/>
    <w:rsid w:val="00D95D02"/>
    <w:rsid w:val="00D967E2"/>
    <w:rsid w:val="00D96DC7"/>
    <w:rsid w:val="00D9708E"/>
    <w:rsid w:val="00D978E6"/>
    <w:rsid w:val="00D97FCC"/>
    <w:rsid w:val="00DA0108"/>
    <w:rsid w:val="00DA091C"/>
    <w:rsid w:val="00DA1D12"/>
    <w:rsid w:val="00DA214E"/>
    <w:rsid w:val="00DA281E"/>
    <w:rsid w:val="00DA2917"/>
    <w:rsid w:val="00DA2D9D"/>
    <w:rsid w:val="00DA2ECA"/>
    <w:rsid w:val="00DA3212"/>
    <w:rsid w:val="00DA3432"/>
    <w:rsid w:val="00DA38B4"/>
    <w:rsid w:val="00DA38C6"/>
    <w:rsid w:val="00DA3914"/>
    <w:rsid w:val="00DA3B04"/>
    <w:rsid w:val="00DA3BF8"/>
    <w:rsid w:val="00DA3D76"/>
    <w:rsid w:val="00DA40C8"/>
    <w:rsid w:val="00DA44A2"/>
    <w:rsid w:val="00DA464D"/>
    <w:rsid w:val="00DA4660"/>
    <w:rsid w:val="00DA48B9"/>
    <w:rsid w:val="00DA512D"/>
    <w:rsid w:val="00DA59A0"/>
    <w:rsid w:val="00DA6ECD"/>
    <w:rsid w:val="00DA7578"/>
    <w:rsid w:val="00DA7D2B"/>
    <w:rsid w:val="00DA7E6D"/>
    <w:rsid w:val="00DB1117"/>
    <w:rsid w:val="00DB1232"/>
    <w:rsid w:val="00DB1375"/>
    <w:rsid w:val="00DB15F3"/>
    <w:rsid w:val="00DB182E"/>
    <w:rsid w:val="00DB1D2A"/>
    <w:rsid w:val="00DB1DBF"/>
    <w:rsid w:val="00DB2CB7"/>
    <w:rsid w:val="00DB3FE9"/>
    <w:rsid w:val="00DB419E"/>
    <w:rsid w:val="00DB4377"/>
    <w:rsid w:val="00DB5465"/>
    <w:rsid w:val="00DB5F6A"/>
    <w:rsid w:val="00DB61E6"/>
    <w:rsid w:val="00DB6BED"/>
    <w:rsid w:val="00DB7109"/>
    <w:rsid w:val="00DB7114"/>
    <w:rsid w:val="00DB7DC7"/>
    <w:rsid w:val="00DC00D2"/>
    <w:rsid w:val="00DC108F"/>
    <w:rsid w:val="00DC123C"/>
    <w:rsid w:val="00DC1960"/>
    <w:rsid w:val="00DC246C"/>
    <w:rsid w:val="00DC2946"/>
    <w:rsid w:val="00DC3074"/>
    <w:rsid w:val="00DC4295"/>
    <w:rsid w:val="00DC4317"/>
    <w:rsid w:val="00DC50D4"/>
    <w:rsid w:val="00DC516B"/>
    <w:rsid w:val="00DC52DC"/>
    <w:rsid w:val="00DC54F0"/>
    <w:rsid w:val="00DC5C73"/>
    <w:rsid w:val="00DC6E9C"/>
    <w:rsid w:val="00DC70C7"/>
    <w:rsid w:val="00DC714F"/>
    <w:rsid w:val="00DC7448"/>
    <w:rsid w:val="00DC7B68"/>
    <w:rsid w:val="00DC7DF8"/>
    <w:rsid w:val="00DC7E26"/>
    <w:rsid w:val="00DD0386"/>
    <w:rsid w:val="00DD0423"/>
    <w:rsid w:val="00DD0663"/>
    <w:rsid w:val="00DD07C1"/>
    <w:rsid w:val="00DD0E8B"/>
    <w:rsid w:val="00DD110C"/>
    <w:rsid w:val="00DD12D0"/>
    <w:rsid w:val="00DD1381"/>
    <w:rsid w:val="00DD17EB"/>
    <w:rsid w:val="00DD1917"/>
    <w:rsid w:val="00DD1FEA"/>
    <w:rsid w:val="00DD2BAE"/>
    <w:rsid w:val="00DD2C65"/>
    <w:rsid w:val="00DD332D"/>
    <w:rsid w:val="00DD356A"/>
    <w:rsid w:val="00DD3F10"/>
    <w:rsid w:val="00DD3F4C"/>
    <w:rsid w:val="00DD4392"/>
    <w:rsid w:val="00DD4708"/>
    <w:rsid w:val="00DD4B96"/>
    <w:rsid w:val="00DD5733"/>
    <w:rsid w:val="00DD5A4C"/>
    <w:rsid w:val="00DD63B4"/>
    <w:rsid w:val="00DD64EB"/>
    <w:rsid w:val="00DD65A6"/>
    <w:rsid w:val="00DD67B5"/>
    <w:rsid w:val="00DD6B49"/>
    <w:rsid w:val="00DD7A98"/>
    <w:rsid w:val="00DD7F97"/>
    <w:rsid w:val="00DE021B"/>
    <w:rsid w:val="00DE0220"/>
    <w:rsid w:val="00DE06AB"/>
    <w:rsid w:val="00DE08A9"/>
    <w:rsid w:val="00DE0E07"/>
    <w:rsid w:val="00DE1203"/>
    <w:rsid w:val="00DE1809"/>
    <w:rsid w:val="00DE1C7E"/>
    <w:rsid w:val="00DE1EB9"/>
    <w:rsid w:val="00DE20DD"/>
    <w:rsid w:val="00DE240B"/>
    <w:rsid w:val="00DE2BEB"/>
    <w:rsid w:val="00DE32DE"/>
    <w:rsid w:val="00DE390E"/>
    <w:rsid w:val="00DE3993"/>
    <w:rsid w:val="00DE3C85"/>
    <w:rsid w:val="00DE3E04"/>
    <w:rsid w:val="00DE3FBF"/>
    <w:rsid w:val="00DE5F3C"/>
    <w:rsid w:val="00DE6496"/>
    <w:rsid w:val="00DE6B1F"/>
    <w:rsid w:val="00DE6B62"/>
    <w:rsid w:val="00DE6F20"/>
    <w:rsid w:val="00DE76E6"/>
    <w:rsid w:val="00DE7810"/>
    <w:rsid w:val="00DE7C21"/>
    <w:rsid w:val="00DF08B7"/>
    <w:rsid w:val="00DF0BF6"/>
    <w:rsid w:val="00DF0FBA"/>
    <w:rsid w:val="00DF1108"/>
    <w:rsid w:val="00DF112B"/>
    <w:rsid w:val="00DF1230"/>
    <w:rsid w:val="00DF1550"/>
    <w:rsid w:val="00DF2AB4"/>
    <w:rsid w:val="00DF2B9A"/>
    <w:rsid w:val="00DF2C47"/>
    <w:rsid w:val="00DF2D95"/>
    <w:rsid w:val="00DF2EEC"/>
    <w:rsid w:val="00DF3614"/>
    <w:rsid w:val="00DF3748"/>
    <w:rsid w:val="00DF3F06"/>
    <w:rsid w:val="00DF4322"/>
    <w:rsid w:val="00DF4760"/>
    <w:rsid w:val="00DF4F52"/>
    <w:rsid w:val="00DF526F"/>
    <w:rsid w:val="00DF5978"/>
    <w:rsid w:val="00DF5A4A"/>
    <w:rsid w:val="00DF5CCC"/>
    <w:rsid w:val="00DF6152"/>
    <w:rsid w:val="00DF6442"/>
    <w:rsid w:val="00DF69FF"/>
    <w:rsid w:val="00DF729E"/>
    <w:rsid w:val="00DF72CA"/>
    <w:rsid w:val="00E003DC"/>
    <w:rsid w:val="00E00473"/>
    <w:rsid w:val="00E004AC"/>
    <w:rsid w:val="00E00D83"/>
    <w:rsid w:val="00E00E0C"/>
    <w:rsid w:val="00E01A13"/>
    <w:rsid w:val="00E01CBE"/>
    <w:rsid w:val="00E02482"/>
    <w:rsid w:val="00E030F0"/>
    <w:rsid w:val="00E035E9"/>
    <w:rsid w:val="00E037E6"/>
    <w:rsid w:val="00E03F6B"/>
    <w:rsid w:val="00E0425D"/>
    <w:rsid w:val="00E0443E"/>
    <w:rsid w:val="00E04503"/>
    <w:rsid w:val="00E04725"/>
    <w:rsid w:val="00E04856"/>
    <w:rsid w:val="00E04A3C"/>
    <w:rsid w:val="00E04D4E"/>
    <w:rsid w:val="00E060F7"/>
    <w:rsid w:val="00E06248"/>
    <w:rsid w:val="00E065D9"/>
    <w:rsid w:val="00E06756"/>
    <w:rsid w:val="00E06906"/>
    <w:rsid w:val="00E072B0"/>
    <w:rsid w:val="00E075B5"/>
    <w:rsid w:val="00E07A05"/>
    <w:rsid w:val="00E104B2"/>
    <w:rsid w:val="00E10B95"/>
    <w:rsid w:val="00E10F08"/>
    <w:rsid w:val="00E113B2"/>
    <w:rsid w:val="00E1148A"/>
    <w:rsid w:val="00E1194F"/>
    <w:rsid w:val="00E12CB3"/>
    <w:rsid w:val="00E139CA"/>
    <w:rsid w:val="00E14536"/>
    <w:rsid w:val="00E14776"/>
    <w:rsid w:val="00E14986"/>
    <w:rsid w:val="00E14D54"/>
    <w:rsid w:val="00E15306"/>
    <w:rsid w:val="00E15489"/>
    <w:rsid w:val="00E15784"/>
    <w:rsid w:val="00E15B76"/>
    <w:rsid w:val="00E15EEB"/>
    <w:rsid w:val="00E1670F"/>
    <w:rsid w:val="00E16790"/>
    <w:rsid w:val="00E167DC"/>
    <w:rsid w:val="00E171C0"/>
    <w:rsid w:val="00E175AF"/>
    <w:rsid w:val="00E2006A"/>
    <w:rsid w:val="00E201E9"/>
    <w:rsid w:val="00E205C0"/>
    <w:rsid w:val="00E20BE7"/>
    <w:rsid w:val="00E21315"/>
    <w:rsid w:val="00E21AD3"/>
    <w:rsid w:val="00E21D7F"/>
    <w:rsid w:val="00E2232E"/>
    <w:rsid w:val="00E23329"/>
    <w:rsid w:val="00E23CDF"/>
    <w:rsid w:val="00E24665"/>
    <w:rsid w:val="00E24920"/>
    <w:rsid w:val="00E24D2F"/>
    <w:rsid w:val="00E25235"/>
    <w:rsid w:val="00E25633"/>
    <w:rsid w:val="00E2583B"/>
    <w:rsid w:val="00E2660A"/>
    <w:rsid w:val="00E26883"/>
    <w:rsid w:val="00E26935"/>
    <w:rsid w:val="00E26AC8"/>
    <w:rsid w:val="00E26E98"/>
    <w:rsid w:val="00E26F7C"/>
    <w:rsid w:val="00E26FFB"/>
    <w:rsid w:val="00E270A7"/>
    <w:rsid w:val="00E3010E"/>
    <w:rsid w:val="00E302BC"/>
    <w:rsid w:val="00E30775"/>
    <w:rsid w:val="00E30B91"/>
    <w:rsid w:val="00E30E60"/>
    <w:rsid w:val="00E31B1D"/>
    <w:rsid w:val="00E31E3C"/>
    <w:rsid w:val="00E3293F"/>
    <w:rsid w:val="00E32EC7"/>
    <w:rsid w:val="00E33458"/>
    <w:rsid w:val="00E3422D"/>
    <w:rsid w:val="00E3476F"/>
    <w:rsid w:val="00E35145"/>
    <w:rsid w:val="00E35500"/>
    <w:rsid w:val="00E36940"/>
    <w:rsid w:val="00E36F96"/>
    <w:rsid w:val="00E373BE"/>
    <w:rsid w:val="00E37B4B"/>
    <w:rsid w:val="00E37DD8"/>
    <w:rsid w:val="00E40B89"/>
    <w:rsid w:val="00E40CC5"/>
    <w:rsid w:val="00E40E9A"/>
    <w:rsid w:val="00E414F1"/>
    <w:rsid w:val="00E41700"/>
    <w:rsid w:val="00E419A3"/>
    <w:rsid w:val="00E41A3B"/>
    <w:rsid w:val="00E41AB2"/>
    <w:rsid w:val="00E41D4C"/>
    <w:rsid w:val="00E41FFF"/>
    <w:rsid w:val="00E42301"/>
    <w:rsid w:val="00E42325"/>
    <w:rsid w:val="00E42CBF"/>
    <w:rsid w:val="00E431BD"/>
    <w:rsid w:val="00E434E9"/>
    <w:rsid w:val="00E4398E"/>
    <w:rsid w:val="00E43A25"/>
    <w:rsid w:val="00E43C8A"/>
    <w:rsid w:val="00E440E5"/>
    <w:rsid w:val="00E4421D"/>
    <w:rsid w:val="00E44353"/>
    <w:rsid w:val="00E44C02"/>
    <w:rsid w:val="00E44ED2"/>
    <w:rsid w:val="00E454FD"/>
    <w:rsid w:val="00E455B6"/>
    <w:rsid w:val="00E46030"/>
    <w:rsid w:val="00E464C3"/>
    <w:rsid w:val="00E46A99"/>
    <w:rsid w:val="00E46F46"/>
    <w:rsid w:val="00E46FA8"/>
    <w:rsid w:val="00E47208"/>
    <w:rsid w:val="00E47839"/>
    <w:rsid w:val="00E47B20"/>
    <w:rsid w:val="00E50AC6"/>
    <w:rsid w:val="00E5179F"/>
    <w:rsid w:val="00E520D2"/>
    <w:rsid w:val="00E527FA"/>
    <w:rsid w:val="00E52FD0"/>
    <w:rsid w:val="00E530E0"/>
    <w:rsid w:val="00E53861"/>
    <w:rsid w:val="00E53A46"/>
    <w:rsid w:val="00E53EBE"/>
    <w:rsid w:val="00E53F09"/>
    <w:rsid w:val="00E544E3"/>
    <w:rsid w:val="00E54C70"/>
    <w:rsid w:val="00E55843"/>
    <w:rsid w:val="00E56BAF"/>
    <w:rsid w:val="00E600E9"/>
    <w:rsid w:val="00E60185"/>
    <w:rsid w:val="00E608C2"/>
    <w:rsid w:val="00E60B83"/>
    <w:rsid w:val="00E611B7"/>
    <w:rsid w:val="00E6135C"/>
    <w:rsid w:val="00E61647"/>
    <w:rsid w:val="00E619F3"/>
    <w:rsid w:val="00E637A4"/>
    <w:rsid w:val="00E63861"/>
    <w:rsid w:val="00E64597"/>
    <w:rsid w:val="00E6462A"/>
    <w:rsid w:val="00E64907"/>
    <w:rsid w:val="00E64C97"/>
    <w:rsid w:val="00E65281"/>
    <w:rsid w:val="00E65497"/>
    <w:rsid w:val="00E656F0"/>
    <w:rsid w:val="00E65943"/>
    <w:rsid w:val="00E65E2D"/>
    <w:rsid w:val="00E65EB3"/>
    <w:rsid w:val="00E67366"/>
    <w:rsid w:val="00E6781C"/>
    <w:rsid w:val="00E67D06"/>
    <w:rsid w:val="00E7017E"/>
    <w:rsid w:val="00E7027C"/>
    <w:rsid w:val="00E7053F"/>
    <w:rsid w:val="00E70577"/>
    <w:rsid w:val="00E709DB"/>
    <w:rsid w:val="00E70C09"/>
    <w:rsid w:val="00E715C9"/>
    <w:rsid w:val="00E71705"/>
    <w:rsid w:val="00E71A4C"/>
    <w:rsid w:val="00E71AB1"/>
    <w:rsid w:val="00E71E2C"/>
    <w:rsid w:val="00E71EC2"/>
    <w:rsid w:val="00E720C1"/>
    <w:rsid w:val="00E7258E"/>
    <w:rsid w:val="00E72721"/>
    <w:rsid w:val="00E738E0"/>
    <w:rsid w:val="00E738F2"/>
    <w:rsid w:val="00E73985"/>
    <w:rsid w:val="00E74711"/>
    <w:rsid w:val="00E74B94"/>
    <w:rsid w:val="00E74F0A"/>
    <w:rsid w:val="00E7544A"/>
    <w:rsid w:val="00E754CC"/>
    <w:rsid w:val="00E755E2"/>
    <w:rsid w:val="00E75F2C"/>
    <w:rsid w:val="00E76B67"/>
    <w:rsid w:val="00E775CC"/>
    <w:rsid w:val="00E776D6"/>
    <w:rsid w:val="00E7789F"/>
    <w:rsid w:val="00E804DE"/>
    <w:rsid w:val="00E80902"/>
    <w:rsid w:val="00E81007"/>
    <w:rsid w:val="00E810D4"/>
    <w:rsid w:val="00E811B2"/>
    <w:rsid w:val="00E81712"/>
    <w:rsid w:val="00E818D2"/>
    <w:rsid w:val="00E8196E"/>
    <w:rsid w:val="00E81CAD"/>
    <w:rsid w:val="00E82540"/>
    <w:rsid w:val="00E825E5"/>
    <w:rsid w:val="00E82975"/>
    <w:rsid w:val="00E82ADF"/>
    <w:rsid w:val="00E82B3D"/>
    <w:rsid w:val="00E82C03"/>
    <w:rsid w:val="00E82E88"/>
    <w:rsid w:val="00E83F2B"/>
    <w:rsid w:val="00E84256"/>
    <w:rsid w:val="00E84681"/>
    <w:rsid w:val="00E8469C"/>
    <w:rsid w:val="00E84894"/>
    <w:rsid w:val="00E84E89"/>
    <w:rsid w:val="00E8555B"/>
    <w:rsid w:val="00E858AC"/>
    <w:rsid w:val="00E8663A"/>
    <w:rsid w:val="00E866A5"/>
    <w:rsid w:val="00E86CEC"/>
    <w:rsid w:val="00E86DDC"/>
    <w:rsid w:val="00E8741B"/>
    <w:rsid w:val="00E878BA"/>
    <w:rsid w:val="00E87AB8"/>
    <w:rsid w:val="00E87B3F"/>
    <w:rsid w:val="00E87C98"/>
    <w:rsid w:val="00E9033D"/>
    <w:rsid w:val="00E90596"/>
    <w:rsid w:val="00E90738"/>
    <w:rsid w:val="00E907B3"/>
    <w:rsid w:val="00E90D21"/>
    <w:rsid w:val="00E90F39"/>
    <w:rsid w:val="00E9164F"/>
    <w:rsid w:val="00E91AC6"/>
    <w:rsid w:val="00E922D1"/>
    <w:rsid w:val="00E92AB4"/>
    <w:rsid w:val="00E932D8"/>
    <w:rsid w:val="00E93762"/>
    <w:rsid w:val="00E93B5E"/>
    <w:rsid w:val="00E940D2"/>
    <w:rsid w:val="00E94130"/>
    <w:rsid w:val="00E94490"/>
    <w:rsid w:val="00E94593"/>
    <w:rsid w:val="00E94872"/>
    <w:rsid w:val="00E95A7A"/>
    <w:rsid w:val="00E96291"/>
    <w:rsid w:val="00E963AE"/>
    <w:rsid w:val="00E96703"/>
    <w:rsid w:val="00E9674E"/>
    <w:rsid w:val="00E9676C"/>
    <w:rsid w:val="00E96A0C"/>
    <w:rsid w:val="00E970D3"/>
    <w:rsid w:val="00E97967"/>
    <w:rsid w:val="00E979BA"/>
    <w:rsid w:val="00E97B94"/>
    <w:rsid w:val="00E97F27"/>
    <w:rsid w:val="00EA0FE2"/>
    <w:rsid w:val="00EA121D"/>
    <w:rsid w:val="00EA13C4"/>
    <w:rsid w:val="00EA1421"/>
    <w:rsid w:val="00EA18E2"/>
    <w:rsid w:val="00EA1A67"/>
    <w:rsid w:val="00EA1A6F"/>
    <w:rsid w:val="00EA2360"/>
    <w:rsid w:val="00EA2497"/>
    <w:rsid w:val="00EA2654"/>
    <w:rsid w:val="00EA2698"/>
    <w:rsid w:val="00EA2EF8"/>
    <w:rsid w:val="00EA3488"/>
    <w:rsid w:val="00EA36DB"/>
    <w:rsid w:val="00EA3F95"/>
    <w:rsid w:val="00EA4458"/>
    <w:rsid w:val="00EA4F7D"/>
    <w:rsid w:val="00EA50AE"/>
    <w:rsid w:val="00EA5223"/>
    <w:rsid w:val="00EA5F38"/>
    <w:rsid w:val="00EA5FAD"/>
    <w:rsid w:val="00EA603B"/>
    <w:rsid w:val="00EA6128"/>
    <w:rsid w:val="00EA61DE"/>
    <w:rsid w:val="00EA63FA"/>
    <w:rsid w:val="00EA6699"/>
    <w:rsid w:val="00EA6992"/>
    <w:rsid w:val="00EA6BD6"/>
    <w:rsid w:val="00EA6F72"/>
    <w:rsid w:val="00EA79F7"/>
    <w:rsid w:val="00EA7F2C"/>
    <w:rsid w:val="00EB01B8"/>
    <w:rsid w:val="00EB020D"/>
    <w:rsid w:val="00EB0C59"/>
    <w:rsid w:val="00EB0D28"/>
    <w:rsid w:val="00EB0E89"/>
    <w:rsid w:val="00EB162D"/>
    <w:rsid w:val="00EB173D"/>
    <w:rsid w:val="00EB1E13"/>
    <w:rsid w:val="00EB1FB1"/>
    <w:rsid w:val="00EB1FDA"/>
    <w:rsid w:val="00EB290D"/>
    <w:rsid w:val="00EB2E5A"/>
    <w:rsid w:val="00EB2FA2"/>
    <w:rsid w:val="00EB3189"/>
    <w:rsid w:val="00EB389C"/>
    <w:rsid w:val="00EB393C"/>
    <w:rsid w:val="00EB3C4F"/>
    <w:rsid w:val="00EB3E39"/>
    <w:rsid w:val="00EB48FA"/>
    <w:rsid w:val="00EB49C4"/>
    <w:rsid w:val="00EB52E2"/>
    <w:rsid w:val="00EB539C"/>
    <w:rsid w:val="00EB5657"/>
    <w:rsid w:val="00EB7469"/>
    <w:rsid w:val="00EC0385"/>
    <w:rsid w:val="00EC0E57"/>
    <w:rsid w:val="00EC1070"/>
    <w:rsid w:val="00EC11A9"/>
    <w:rsid w:val="00EC12E0"/>
    <w:rsid w:val="00EC14B1"/>
    <w:rsid w:val="00EC1C82"/>
    <w:rsid w:val="00EC1DBC"/>
    <w:rsid w:val="00EC2142"/>
    <w:rsid w:val="00EC2488"/>
    <w:rsid w:val="00EC2E58"/>
    <w:rsid w:val="00EC3933"/>
    <w:rsid w:val="00EC41C5"/>
    <w:rsid w:val="00EC4521"/>
    <w:rsid w:val="00EC4B2E"/>
    <w:rsid w:val="00EC4CF6"/>
    <w:rsid w:val="00EC4D2C"/>
    <w:rsid w:val="00EC4F2C"/>
    <w:rsid w:val="00EC586C"/>
    <w:rsid w:val="00EC5B4C"/>
    <w:rsid w:val="00EC65FA"/>
    <w:rsid w:val="00EC667C"/>
    <w:rsid w:val="00EC6D0B"/>
    <w:rsid w:val="00EC6D19"/>
    <w:rsid w:val="00EC7E03"/>
    <w:rsid w:val="00EC7EC8"/>
    <w:rsid w:val="00EC7FB9"/>
    <w:rsid w:val="00ED0155"/>
    <w:rsid w:val="00ED0401"/>
    <w:rsid w:val="00ED0988"/>
    <w:rsid w:val="00ED1E77"/>
    <w:rsid w:val="00ED2BA4"/>
    <w:rsid w:val="00ED2C7D"/>
    <w:rsid w:val="00ED2DAE"/>
    <w:rsid w:val="00ED317B"/>
    <w:rsid w:val="00ED3790"/>
    <w:rsid w:val="00ED3795"/>
    <w:rsid w:val="00ED3A70"/>
    <w:rsid w:val="00ED4050"/>
    <w:rsid w:val="00ED44A5"/>
    <w:rsid w:val="00ED5271"/>
    <w:rsid w:val="00ED5402"/>
    <w:rsid w:val="00ED638C"/>
    <w:rsid w:val="00ED6665"/>
    <w:rsid w:val="00ED6724"/>
    <w:rsid w:val="00ED7120"/>
    <w:rsid w:val="00ED7123"/>
    <w:rsid w:val="00ED72E0"/>
    <w:rsid w:val="00ED73D2"/>
    <w:rsid w:val="00EE062A"/>
    <w:rsid w:val="00EE08B1"/>
    <w:rsid w:val="00EE0B9A"/>
    <w:rsid w:val="00EE15B8"/>
    <w:rsid w:val="00EE165B"/>
    <w:rsid w:val="00EE18E3"/>
    <w:rsid w:val="00EE1A96"/>
    <w:rsid w:val="00EE208A"/>
    <w:rsid w:val="00EE2152"/>
    <w:rsid w:val="00EE282C"/>
    <w:rsid w:val="00EE2A4E"/>
    <w:rsid w:val="00EE2DEF"/>
    <w:rsid w:val="00EE2F2A"/>
    <w:rsid w:val="00EE3561"/>
    <w:rsid w:val="00EE35CE"/>
    <w:rsid w:val="00EE395D"/>
    <w:rsid w:val="00EE3A4F"/>
    <w:rsid w:val="00EE3AEC"/>
    <w:rsid w:val="00EE3E1E"/>
    <w:rsid w:val="00EE4247"/>
    <w:rsid w:val="00EE4405"/>
    <w:rsid w:val="00EE4935"/>
    <w:rsid w:val="00EE496F"/>
    <w:rsid w:val="00EE50D1"/>
    <w:rsid w:val="00EE522F"/>
    <w:rsid w:val="00EE5D32"/>
    <w:rsid w:val="00EE6835"/>
    <w:rsid w:val="00EE6B60"/>
    <w:rsid w:val="00EE79B6"/>
    <w:rsid w:val="00EE7C11"/>
    <w:rsid w:val="00EE7E69"/>
    <w:rsid w:val="00EF14F1"/>
    <w:rsid w:val="00EF2135"/>
    <w:rsid w:val="00EF312F"/>
    <w:rsid w:val="00EF379D"/>
    <w:rsid w:val="00EF394C"/>
    <w:rsid w:val="00EF3978"/>
    <w:rsid w:val="00EF3D27"/>
    <w:rsid w:val="00EF3D5E"/>
    <w:rsid w:val="00EF3DC4"/>
    <w:rsid w:val="00EF429E"/>
    <w:rsid w:val="00EF46B2"/>
    <w:rsid w:val="00EF4BC9"/>
    <w:rsid w:val="00EF58FC"/>
    <w:rsid w:val="00EF5910"/>
    <w:rsid w:val="00EF5DC9"/>
    <w:rsid w:val="00EF5EC0"/>
    <w:rsid w:val="00EF5FA0"/>
    <w:rsid w:val="00EF624E"/>
    <w:rsid w:val="00EF63A2"/>
    <w:rsid w:val="00EF6D96"/>
    <w:rsid w:val="00EF7EF1"/>
    <w:rsid w:val="00F0022E"/>
    <w:rsid w:val="00F0050C"/>
    <w:rsid w:val="00F00661"/>
    <w:rsid w:val="00F00E5B"/>
    <w:rsid w:val="00F00E63"/>
    <w:rsid w:val="00F01546"/>
    <w:rsid w:val="00F01904"/>
    <w:rsid w:val="00F01F57"/>
    <w:rsid w:val="00F02362"/>
    <w:rsid w:val="00F025A7"/>
    <w:rsid w:val="00F02B4C"/>
    <w:rsid w:val="00F03061"/>
    <w:rsid w:val="00F03868"/>
    <w:rsid w:val="00F03E0D"/>
    <w:rsid w:val="00F044EE"/>
    <w:rsid w:val="00F04C8D"/>
    <w:rsid w:val="00F05007"/>
    <w:rsid w:val="00F05AC5"/>
    <w:rsid w:val="00F05B02"/>
    <w:rsid w:val="00F05C55"/>
    <w:rsid w:val="00F06040"/>
    <w:rsid w:val="00F0665F"/>
    <w:rsid w:val="00F067C2"/>
    <w:rsid w:val="00F069E5"/>
    <w:rsid w:val="00F06D93"/>
    <w:rsid w:val="00F06FC0"/>
    <w:rsid w:val="00F07216"/>
    <w:rsid w:val="00F0782C"/>
    <w:rsid w:val="00F0789F"/>
    <w:rsid w:val="00F07B27"/>
    <w:rsid w:val="00F07B7B"/>
    <w:rsid w:val="00F10323"/>
    <w:rsid w:val="00F10747"/>
    <w:rsid w:val="00F10B61"/>
    <w:rsid w:val="00F10D61"/>
    <w:rsid w:val="00F11267"/>
    <w:rsid w:val="00F11986"/>
    <w:rsid w:val="00F11CAF"/>
    <w:rsid w:val="00F1260D"/>
    <w:rsid w:val="00F1292B"/>
    <w:rsid w:val="00F13C23"/>
    <w:rsid w:val="00F1440E"/>
    <w:rsid w:val="00F14658"/>
    <w:rsid w:val="00F14800"/>
    <w:rsid w:val="00F148D5"/>
    <w:rsid w:val="00F14B92"/>
    <w:rsid w:val="00F14CD8"/>
    <w:rsid w:val="00F14F7E"/>
    <w:rsid w:val="00F15233"/>
    <w:rsid w:val="00F152F9"/>
    <w:rsid w:val="00F163A8"/>
    <w:rsid w:val="00F163D6"/>
    <w:rsid w:val="00F164AE"/>
    <w:rsid w:val="00F1696B"/>
    <w:rsid w:val="00F16987"/>
    <w:rsid w:val="00F1719A"/>
    <w:rsid w:val="00F17397"/>
    <w:rsid w:val="00F175BE"/>
    <w:rsid w:val="00F17A72"/>
    <w:rsid w:val="00F20066"/>
    <w:rsid w:val="00F2009B"/>
    <w:rsid w:val="00F20451"/>
    <w:rsid w:val="00F20DED"/>
    <w:rsid w:val="00F20FCF"/>
    <w:rsid w:val="00F217E2"/>
    <w:rsid w:val="00F21DF0"/>
    <w:rsid w:val="00F22129"/>
    <w:rsid w:val="00F224A0"/>
    <w:rsid w:val="00F224D8"/>
    <w:rsid w:val="00F227BE"/>
    <w:rsid w:val="00F235FE"/>
    <w:rsid w:val="00F2377F"/>
    <w:rsid w:val="00F23A41"/>
    <w:rsid w:val="00F23B64"/>
    <w:rsid w:val="00F243D1"/>
    <w:rsid w:val="00F24AA4"/>
    <w:rsid w:val="00F24D07"/>
    <w:rsid w:val="00F24E2F"/>
    <w:rsid w:val="00F25165"/>
    <w:rsid w:val="00F254D1"/>
    <w:rsid w:val="00F256FB"/>
    <w:rsid w:val="00F25A03"/>
    <w:rsid w:val="00F25CEE"/>
    <w:rsid w:val="00F26DC9"/>
    <w:rsid w:val="00F27447"/>
    <w:rsid w:val="00F27747"/>
    <w:rsid w:val="00F27AEA"/>
    <w:rsid w:val="00F27BDB"/>
    <w:rsid w:val="00F27CBA"/>
    <w:rsid w:val="00F27F0A"/>
    <w:rsid w:val="00F27FB9"/>
    <w:rsid w:val="00F3015B"/>
    <w:rsid w:val="00F303B7"/>
    <w:rsid w:val="00F30424"/>
    <w:rsid w:val="00F308C0"/>
    <w:rsid w:val="00F30CE6"/>
    <w:rsid w:val="00F30F92"/>
    <w:rsid w:val="00F312FF"/>
    <w:rsid w:val="00F3171C"/>
    <w:rsid w:val="00F31DA6"/>
    <w:rsid w:val="00F32F3D"/>
    <w:rsid w:val="00F33342"/>
    <w:rsid w:val="00F335AB"/>
    <w:rsid w:val="00F33DB5"/>
    <w:rsid w:val="00F34D0D"/>
    <w:rsid w:val="00F34F22"/>
    <w:rsid w:val="00F354A2"/>
    <w:rsid w:val="00F35C11"/>
    <w:rsid w:val="00F35CE2"/>
    <w:rsid w:val="00F36238"/>
    <w:rsid w:val="00F36893"/>
    <w:rsid w:val="00F36FEE"/>
    <w:rsid w:val="00F3758E"/>
    <w:rsid w:val="00F37AD2"/>
    <w:rsid w:val="00F37CD4"/>
    <w:rsid w:val="00F40017"/>
    <w:rsid w:val="00F4001C"/>
    <w:rsid w:val="00F40557"/>
    <w:rsid w:val="00F408CC"/>
    <w:rsid w:val="00F40BC6"/>
    <w:rsid w:val="00F416E9"/>
    <w:rsid w:val="00F41C10"/>
    <w:rsid w:val="00F41F14"/>
    <w:rsid w:val="00F41F66"/>
    <w:rsid w:val="00F42051"/>
    <w:rsid w:val="00F42148"/>
    <w:rsid w:val="00F4335E"/>
    <w:rsid w:val="00F4344F"/>
    <w:rsid w:val="00F4362A"/>
    <w:rsid w:val="00F43D92"/>
    <w:rsid w:val="00F447A9"/>
    <w:rsid w:val="00F44EEC"/>
    <w:rsid w:val="00F44F20"/>
    <w:rsid w:val="00F450BB"/>
    <w:rsid w:val="00F4527D"/>
    <w:rsid w:val="00F455F1"/>
    <w:rsid w:val="00F45979"/>
    <w:rsid w:val="00F45A20"/>
    <w:rsid w:val="00F45E5F"/>
    <w:rsid w:val="00F461F0"/>
    <w:rsid w:val="00F46612"/>
    <w:rsid w:val="00F466D8"/>
    <w:rsid w:val="00F46872"/>
    <w:rsid w:val="00F46B6C"/>
    <w:rsid w:val="00F46FDA"/>
    <w:rsid w:val="00F47BE1"/>
    <w:rsid w:val="00F50373"/>
    <w:rsid w:val="00F50455"/>
    <w:rsid w:val="00F50472"/>
    <w:rsid w:val="00F50F6F"/>
    <w:rsid w:val="00F51135"/>
    <w:rsid w:val="00F51145"/>
    <w:rsid w:val="00F52510"/>
    <w:rsid w:val="00F5369E"/>
    <w:rsid w:val="00F53DA4"/>
    <w:rsid w:val="00F53E3D"/>
    <w:rsid w:val="00F54535"/>
    <w:rsid w:val="00F54605"/>
    <w:rsid w:val="00F5496E"/>
    <w:rsid w:val="00F54B61"/>
    <w:rsid w:val="00F54FF7"/>
    <w:rsid w:val="00F556E8"/>
    <w:rsid w:val="00F55AE5"/>
    <w:rsid w:val="00F56268"/>
    <w:rsid w:val="00F56CAB"/>
    <w:rsid w:val="00F57AFF"/>
    <w:rsid w:val="00F60152"/>
    <w:rsid w:val="00F6016C"/>
    <w:rsid w:val="00F602A2"/>
    <w:rsid w:val="00F60913"/>
    <w:rsid w:val="00F6099D"/>
    <w:rsid w:val="00F60A7A"/>
    <w:rsid w:val="00F60BE6"/>
    <w:rsid w:val="00F60E68"/>
    <w:rsid w:val="00F61248"/>
    <w:rsid w:val="00F62C59"/>
    <w:rsid w:val="00F63A96"/>
    <w:rsid w:val="00F63C1B"/>
    <w:rsid w:val="00F63F47"/>
    <w:rsid w:val="00F648FA"/>
    <w:rsid w:val="00F64AAF"/>
    <w:rsid w:val="00F64C9D"/>
    <w:rsid w:val="00F65358"/>
    <w:rsid w:val="00F65478"/>
    <w:rsid w:val="00F658D4"/>
    <w:rsid w:val="00F65B91"/>
    <w:rsid w:val="00F65D75"/>
    <w:rsid w:val="00F6633F"/>
    <w:rsid w:val="00F66562"/>
    <w:rsid w:val="00F66EC0"/>
    <w:rsid w:val="00F6712C"/>
    <w:rsid w:val="00F67484"/>
    <w:rsid w:val="00F674F8"/>
    <w:rsid w:val="00F67968"/>
    <w:rsid w:val="00F679B3"/>
    <w:rsid w:val="00F67BDD"/>
    <w:rsid w:val="00F67D88"/>
    <w:rsid w:val="00F67E65"/>
    <w:rsid w:val="00F70B7D"/>
    <w:rsid w:val="00F70F2A"/>
    <w:rsid w:val="00F71223"/>
    <w:rsid w:val="00F71243"/>
    <w:rsid w:val="00F716E6"/>
    <w:rsid w:val="00F71F8B"/>
    <w:rsid w:val="00F72079"/>
    <w:rsid w:val="00F724C2"/>
    <w:rsid w:val="00F72B08"/>
    <w:rsid w:val="00F7302C"/>
    <w:rsid w:val="00F73282"/>
    <w:rsid w:val="00F73A2E"/>
    <w:rsid w:val="00F73A8A"/>
    <w:rsid w:val="00F73EB6"/>
    <w:rsid w:val="00F74088"/>
    <w:rsid w:val="00F743E8"/>
    <w:rsid w:val="00F746E9"/>
    <w:rsid w:val="00F74AF1"/>
    <w:rsid w:val="00F74F5C"/>
    <w:rsid w:val="00F750CB"/>
    <w:rsid w:val="00F75230"/>
    <w:rsid w:val="00F75615"/>
    <w:rsid w:val="00F75D50"/>
    <w:rsid w:val="00F75F22"/>
    <w:rsid w:val="00F76555"/>
    <w:rsid w:val="00F766C9"/>
    <w:rsid w:val="00F76817"/>
    <w:rsid w:val="00F76A83"/>
    <w:rsid w:val="00F77A87"/>
    <w:rsid w:val="00F77E1A"/>
    <w:rsid w:val="00F812B0"/>
    <w:rsid w:val="00F817D3"/>
    <w:rsid w:val="00F819AC"/>
    <w:rsid w:val="00F81A5B"/>
    <w:rsid w:val="00F81AFD"/>
    <w:rsid w:val="00F827BB"/>
    <w:rsid w:val="00F82DCB"/>
    <w:rsid w:val="00F82F24"/>
    <w:rsid w:val="00F83400"/>
    <w:rsid w:val="00F83E05"/>
    <w:rsid w:val="00F846E6"/>
    <w:rsid w:val="00F84CD5"/>
    <w:rsid w:val="00F85425"/>
    <w:rsid w:val="00F8543F"/>
    <w:rsid w:val="00F855B4"/>
    <w:rsid w:val="00F85AD6"/>
    <w:rsid w:val="00F85C47"/>
    <w:rsid w:val="00F86020"/>
    <w:rsid w:val="00F862B3"/>
    <w:rsid w:val="00F86643"/>
    <w:rsid w:val="00F86701"/>
    <w:rsid w:val="00F86862"/>
    <w:rsid w:val="00F8759B"/>
    <w:rsid w:val="00F87964"/>
    <w:rsid w:val="00F901F1"/>
    <w:rsid w:val="00F90457"/>
    <w:rsid w:val="00F90868"/>
    <w:rsid w:val="00F90D5D"/>
    <w:rsid w:val="00F91383"/>
    <w:rsid w:val="00F91ACA"/>
    <w:rsid w:val="00F91CE9"/>
    <w:rsid w:val="00F91E5C"/>
    <w:rsid w:val="00F922C5"/>
    <w:rsid w:val="00F927A0"/>
    <w:rsid w:val="00F92D55"/>
    <w:rsid w:val="00F94558"/>
    <w:rsid w:val="00F94595"/>
    <w:rsid w:val="00F947A7"/>
    <w:rsid w:val="00F949FD"/>
    <w:rsid w:val="00F94AE1"/>
    <w:rsid w:val="00F94FFA"/>
    <w:rsid w:val="00F9519E"/>
    <w:rsid w:val="00F955E3"/>
    <w:rsid w:val="00F9641F"/>
    <w:rsid w:val="00F96799"/>
    <w:rsid w:val="00F96BB6"/>
    <w:rsid w:val="00F975C1"/>
    <w:rsid w:val="00F9794A"/>
    <w:rsid w:val="00FA018C"/>
    <w:rsid w:val="00FA03BA"/>
    <w:rsid w:val="00FA0685"/>
    <w:rsid w:val="00FA0F75"/>
    <w:rsid w:val="00FA0FF4"/>
    <w:rsid w:val="00FA14E4"/>
    <w:rsid w:val="00FA1B46"/>
    <w:rsid w:val="00FA1C45"/>
    <w:rsid w:val="00FA1CD3"/>
    <w:rsid w:val="00FA1F84"/>
    <w:rsid w:val="00FA26A9"/>
    <w:rsid w:val="00FA33B7"/>
    <w:rsid w:val="00FA38FA"/>
    <w:rsid w:val="00FA3A37"/>
    <w:rsid w:val="00FA444D"/>
    <w:rsid w:val="00FA4E24"/>
    <w:rsid w:val="00FA4F55"/>
    <w:rsid w:val="00FA58A4"/>
    <w:rsid w:val="00FA58ED"/>
    <w:rsid w:val="00FA5C4D"/>
    <w:rsid w:val="00FA5C50"/>
    <w:rsid w:val="00FA60B2"/>
    <w:rsid w:val="00FA638C"/>
    <w:rsid w:val="00FA63A0"/>
    <w:rsid w:val="00FA6691"/>
    <w:rsid w:val="00FA68C5"/>
    <w:rsid w:val="00FA6935"/>
    <w:rsid w:val="00FA6BC7"/>
    <w:rsid w:val="00FA7A19"/>
    <w:rsid w:val="00FB02B5"/>
    <w:rsid w:val="00FB0A2D"/>
    <w:rsid w:val="00FB13CF"/>
    <w:rsid w:val="00FB1A66"/>
    <w:rsid w:val="00FB1B07"/>
    <w:rsid w:val="00FB1F98"/>
    <w:rsid w:val="00FB2D95"/>
    <w:rsid w:val="00FB31A4"/>
    <w:rsid w:val="00FB3F43"/>
    <w:rsid w:val="00FB3FFF"/>
    <w:rsid w:val="00FB4157"/>
    <w:rsid w:val="00FB4187"/>
    <w:rsid w:val="00FB43CE"/>
    <w:rsid w:val="00FB45C2"/>
    <w:rsid w:val="00FB4859"/>
    <w:rsid w:val="00FB4CF7"/>
    <w:rsid w:val="00FB4EB8"/>
    <w:rsid w:val="00FB5F8F"/>
    <w:rsid w:val="00FB61B5"/>
    <w:rsid w:val="00FB6380"/>
    <w:rsid w:val="00FB697E"/>
    <w:rsid w:val="00FB6D94"/>
    <w:rsid w:val="00FC0623"/>
    <w:rsid w:val="00FC06EF"/>
    <w:rsid w:val="00FC0805"/>
    <w:rsid w:val="00FC1078"/>
    <w:rsid w:val="00FC1265"/>
    <w:rsid w:val="00FC176A"/>
    <w:rsid w:val="00FC185E"/>
    <w:rsid w:val="00FC2006"/>
    <w:rsid w:val="00FC2659"/>
    <w:rsid w:val="00FC278A"/>
    <w:rsid w:val="00FC2CC5"/>
    <w:rsid w:val="00FC2E85"/>
    <w:rsid w:val="00FC37BD"/>
    <w:rsid w:val="00FC37EF"/>
    <w:rsid w:val="00FC3DC8"/>
    <w:rsid w:val="00FC3DE4"/>
    <w:rsid w:val="00FC3EA2"/>
    <w:rsid w:val="00FC5443"/>
    <w:rsid w:val="00FC5C8A"/>
    <w:rsid w:val="00FC5DAE"/>
    <w:rsid w:val="00FC6139"/>
    <w:rsid w:val="00FC647D"/>
    <w:rsid w:val="00FC682B"/>
    <w:rsid w:val="00FC6A1D"/>
    <w:rsid w:val="00FC6FBC"/>
    <w:rsid w:val="00FC7409"/>
    <w:rsid w:val="00FC7E0D"/>
    <w:rsid w:val="00FD03CC"/>
    <w:rsid w:val="00FD0C1A"/>
    <w:rsid w:val="00FD1272"/>
    <w:rsid w:val="00FD1A43"/>
    <w:rsid w:val="00FD20A2"/>
    <w:rsid w:val="00FD259A"/>
    <w:rsid w:val="00FD29ED"/>
    <w:rsid w:val="00FD2CA4"/>
    <w:rsid w:val="00FD3B27"/>
    <w:rsid w:val="00FD3E6E"/>
    <w:rsid w:val="00FD3FD7"/>
    <w:rsid w:val="00FD402F"/>
    <w:rsid w:val="00FD4186"/>
    <w:rsid w:val="00FD42B1"/>
    <w:rsid w:val="00FD43EC"/>
    <w:rsid w:val="00FD45C3"/>
    <w:rsid w:val="00FD52F3"/>
    <w:rsid w:val="00FD5489"/>
    <w:rsid w:val="00FD57ED"/>
    <w:rsid w:val="00FD5C71"/>
    <w:rsid w:val="00FD5F34"/>
    <w:rsid w:val="00FD5F49"/>
    <w:rsid w:val="00FD5FBA"/>
    <w:rsid w:val="00FD6787"/>
    <w:rsid w:val="00FD7058"/>
    <w:rsid w:val="00FD7113"/>
    <w:rsid w:val="00FE00F2"/>
    <w:rsid w:val="00FE0817"/>
    <w:rsid w:val="00FE154F"/>
    <w:rsid w:val="00FE18CA"/>
    <w:rsid w:val="00FE1A12"/>
    <w:rsid w:val="00FE1A6B"/>
    <w:rsid w:val="00FE1B19"/>
    <w:rsid w:val="00FE1C4C"/>
    <w:rsid w:val="00FE20EF"/>
    <w:rsid w:val="00FE24E9"/>
    <w:rsid w:val="00FE263D"/>
    <w:rsid w:val="00FE2927"/>
    <w:rsid w:val="00FE33C7"/>
    <w:rsid w:val="00FE3402"/>
    <w:rsid w:val="00FE383B"/>
    <w:rsid w:val="00FE38D4"/>
    <w:rsid w:val="00FE3AF6"/>
    <w:rsid w:val="00FE3D62"/>
    <w:rsid w:val="00FE4C5D"/>
    <w:rsid w:val="00FE505B"/>
    <w:rsid w:val="00FE5228"/>
    <w:rsid w:val="00FE5328"/>
    <w:rsid w:val="00FE544C"/>
    <w:rsid w:val="00FE631B"/>
    <w:rsid w:val="00FE6500"/>
    <w:rsid w:val="00FE6724"/>
    <w:rsid w:val="00FE6789"/>
    <w:rsid w:val="00FE6841"/>
    <w:rsid w:val="00FE68CA"/>
    <w:rsid w:val="00FE6932"/>
    <w:rsid w:val="00FE6D5B"/>
    <w:rsid w:val="00FE6D67"/>
    <w:rsid w:val="00FE6FD2"/>
    <w:rsid w:val="00FE787E"/>
    <w:rsid w:val="00FE7CC1"/>
    <w:rsid w:val="00FF0024"/>
    <w:rsid w:val="00FF060D"/>
    <w:rsid w:val="00FF1689"/>
    <w:rsid w:val="00FF18C7"/>
    <w:rsid w:val="00FF197B"/>
    <w:rsid w:val="00FF2399"/>
    <w:rsid w:val="00FF2496"/>
    <w:rsid w:val="00FF249F"/>
    <w:rsid w:val="00FF309F"/>
    <w:rsid w:val="00FF3198"/>
    <w:rsid w:val="00FF32E0"/>
    <w:rsid w:val="00FF36DC"/>
    <w:rsid w:val="00FF3D94"/>
    <w:rsid w:val="00FF427A"/>
    <w:rsid w:val="00FF4A3E"/>
    <w:rsid w:val="00FF4CFC"/>
    <w:rsid w:val="00FF4E7F"/>
    <w:rsid w:val="00FF51FB"/>
    <w:rsid w:val="00FF5309"/>
    <w:rsid w:val="00FF55D7"/>
    <w:rsid w:val="00FF5756"/>
    <w:rsid w:val="00FF5802"/>
    <w:rsid w:val="00FF5958"/>
    <w:rsid w:val="00FF5B0C"/>
    <w:rsid w:val="00FF5CE9"/>
    <w:rsid w:val="00FF5EAB"/>
    <w:rsid w:val="00FF6470"/>
    <w:rsid w:val="00FF64BD"/>
    <w:rsid w:val="00FF66CC"/>
    <w:rsid w:val="00FF67B3"/>
    <w:rsid w:val="00FF694F"/>
    <w:rsid w:val="00FF6BB9"/>
    <w:rsid w:val="00FF6FF9"/>
    <w:rsid w:val="00FF702F"/>
    <w:rsid w:val="00FF77EA"/>
    <w:rsid w:val="00FF7D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70474910">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34824993">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370186813">
      <w:bodyDiv w:val="1"/>
      <w:marLeft w:val="0"/>
      <w:marRight w:val="0"/>
      <w:marTop w:val="0"/>
      <w:marBottom w:val="0"/>
      <w:divBdr>
        <w:top w:val="none" w:sz="0" w:space="0" w:color="auto"/>
        <w:left w:val="none" w:sz="0" w:space="0" w:color="auto"/>
        <w:bottom w:val="none" w:sz="0" w:space="0" w:color="auto"/>
        <w:right w:val="none" w:sz="0" w:space="0" w:color="auto"/>
      </w:divBdr>
    </w:div>
    <w:div w:id="1401362700">
      <w:bodyDiv w:val="1"/>
      <w:marLeft w:val="0"/>
      <w:marRight w:val="0"/>
      <w:marTop w:val="0"/>
      <w:marBottom w:val="0"/>
      <w:divBdr>
        <w:top w:val="none" w:sz="0" w:space="0" w:color="auto"/>
        <w:left w:val="none" w:sz="0" w:space="0" w:color="auto"/>
        <w:bottom w:val="none" w:sz="0" w:space="0" w:color="auto"/>
        <w:right w:val="none" w:sz="0" w:space="0" w:color="auto"/>
      </w:divBdr>
      <w:divsChild>
        <w:div w:id="3211662">
          <w:marLeft w:val="2246"/>
          <w:marRight w:val="0"/>
          <w:marTop w:val="75"/>
          <w:marBottom w:val="0"/>
          <w:divBdr>
            <w:top w:val="none" w:sz="0" w:space="0" w:color="auto"/>
            <w:left w:val="none" w:sz="0" w:space="0" w:color="auto"/>
            <w:bottom w:val="none" w:sz="0" w:space="0" w:color="auto"/>
            <w:right w:val="none" w:sz="0" w:space="0" w:color="auto"/>
          </w:divBdr>
        </w:div>
        <w:div w:id="35080355">
          <w:marLeft w:val="2246"/>
          <w:marRight w:val="0"/>
          <w:marTop w:val="75"/>
          <w:marBottom w:val="0"/>
          <w:divBdr>
            <w:top w:val="none" w:sz="0" w:space="0" w:color="auto"/>
            <w:left w:val="none" w:sz="0" w:space="0" w:color="auto"/>
            <w:bottom w:val="none" w:sz="0" w:space="0" w:color="auto"/>
            <w:right w:val="none" w:sz="0" w:space="0" w:color="auto"/>
          </w:divBdr>
        </w:div>
        <w:div w:id="183399961">
          <w:marLeft w:val="2246"/>
          <w:marRight w:val="0"/>
          <w:marTop w:val="75"/>
          <w:marBottom w:val="0"/>
          <w:divBdr>
            <w:top w:val="none" w:sz="0" w:space="0" w:color="auto"/>
            <w:left w:val="none" w:sz="0" w:space="0" w:color="auto"/>
            <w:bottom w:val="none" w:sz="0" w:space="0" w:color="auto"/>
            <w:right w:val="none" w:sz="0" w:space="0" w:color="auto"/>
          </w:divBdr>
        </w:div>
        <w:div w:id="554973074">
          <w:marLeft w:val="1714"/>
          <w:marRight w:val="0"/>
          <w:marTop w:val="75"/>
          <w:marBottom w:val="0"/>
          <w:divBdr>
            <w:top w:val="none" w:sz="0" w:space="0" w:color="auto"/>
            <w:left w:val="none" w:sz="0" w:space="0" w:color="auto"/>
            <w:bottom w:val="none" w:sz="0" w:space="0" w:color="auto"/>
            <w:right w:val="none" w:sz="0" w:space="0" w:color="auto"/>
          </w:divBdr>
        </w:div>
        <w:div w:id="1426001830">
          <w:marLeft w:val="2246"/>
          <w:marRight w:val="0"/>
          <w:marTop w:val="75"/>
          <w:marBottom w:val="0"/>
          <w:divBdr>
            <w:top w:val="none" w:sz="0" w:space="0" w:color="auto"/>
            <w:left w:val="none" w:sz="0" w:space="0" w:color="auto"/>
            <w:bottom w:val="none" w:sz="0" w:space="0" w:color="auto"/>
            <w:right w:val="none" w:sz="0" w:space="0" w:color="auto"/>
          </w:divBdr>
        </w:div>
        <w:div w:id="1439518957">
          <w:marLeft w:val="1714"/>
          <w:marRight w:val="0"/>
          <w:marTop w:val="75"/>
          <w:marBottom w:val="0"/>
          <w:divBdr>
            <w:top w:val="none" w:sz="0" w:space="0" w:color="auto"/>
            <w:left w:val="none" w:sz="0" w:space="0" w:color="auto"/>
            <w:bottom w:val="none" w:sz="0" w:space="0" w:color="auto"/>
            <w:right w:val="none" w:sz="0" w:space="0" w:color="auto"/>
          </w:divBdr>
        </w:div>
        <w:div w:id="1639870623">
          <w:marLeft w:val="1714"/>
          <w:marRight w:val="0"/>
          <w:marTop w:val="75"/>
          <w:marBottom w:val="0"/>
          <w:divBdr>
            <w:top w:val="none" w:sz="0" w:space="0" w:color="auto"/>
            <w:left w:val="none" w:sz="0" w:space="0" w:color="auto"/>
            <w:bottom w:val="none" w:sz="0" w:space="0" w:color="auto"/>
            <w:right w:val="none" w:sz="0" w:space="0" w:color="auto"/>
          </w:divBdr>
        </w:div>
        <w:div w:id="1641768776">
          <w:marLeft w:val="2246"/>
          <w:marRight w:val="0"/>
          <w:marTop w:val="75"/>
          <w:marBottom w:val="0"/>
          <w:divBdr>
            <w:top w:val="none" w:sz="0" w:space="0" w:color="auto"/>
            <w:left w:val="none" w:sz="0" w:space="0" w:color="auto"/>
            <w:bottom w:val="none" w:sz="0" w:space="0" w:color="auto"/>
            <w:right w:val="none" w:sz="0" w:space="0" w:color="auto"/>
          </w:divBdr>
        </w:div>
        <w:div w:id="1783958724">
          <w:marLeft w:val="907"/>
          <w:marRight w:val="0"/>
          <w:marTop w:val="0"/>
          <w:marBottom w:val="0"/>
          <w:divBdr>
            <w:top w:val="none" w:sz="0" w:space="0" w:color="auto"/>
            <w:left w:val="none" w:sz="0" w:space="0" w:color="auto"/>
            <w:bottom w:val="none" w:sz="0" w:space="0" w:color="auto"/>
            <w:right w:val="none" w:sz="0" w:space="0" w:color="auto"/>
          </w:divBdr>
        </w:div>
      </w:divsChild>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1642616531">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584490561">
      <w:bodyDiv w:val="1"/>
      <w:marLeft w:val="0"/>
      <w:marRight w:val="0"/>
      <w:marTop w:val="0"/>
      <w:marBottom w:val="0"/>
      <w:divBdr>
        <w:top w:val="none" w:sz="0" w:space="0" w:color="auto"/>
        <w:left w:val="none" w:sz="0" w:space="0" w:color="auto"/>
        <w:bottom w:val="none" w:sz="0" w:space="0" w:color="auto"/>
        <w:right w:val="none" w:sz="0" w:space="0" w:color="auto"/>
      </w:divBdr>
    </w:div>
    <w:div w:id="1706710330">
      <w:bodyDiv w:val="1"/>
      <w:marLeft w:val="0"/>
      <w:marRight w:val="0"/>
      <w:marTop w:val="0"/>
      <w:marBottom w:val="0"/>
      <w:divBdr>
        <w:top w:val="none" w:sz="0" w:space="0" w:color="auto"/>
        <w:left w:val="none" w:sz="0" w:space="0" w:color="auto"/>
        <w:bottom w:val="none" w:sz="0" w:space="0" w:color="auto"/>
        <w:right w:val="none" w:sz="0" w:space="0" w:color="auto"/>
      </w:divBdr>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556326">
      <w:bodyDiv w:val="1"/>
      <w:marLeft w:val="0"/>
      <w:marRight w:val="0"/>
      <w:marTop w:val="0"/>
      <w:marBottom w:val="0"/>
      <w:divBdr>
        <w:top w:val="none" w:sz="0" w:space="0" w:color="auto"/>
        <w:left w:val="none" w:sz="0" w:space="0" w:color="auto"/>
        <w:bottom w:val="none" w:sz="0" w:space="0" w:color="auto"/>
        <w:right w:val="none" w:sz="0" w:space="0" w:color="auto"/>
      </w:divBdr>
      <w:divsChild>
        <w:div w:id="78840869">
          <w:marLeft w:val="2246"/>
          <w:marRight w:val="0"/>
          <w:marTop w:val="75"/>
          <w:marBottom w:val="0"/>
          <w:divBdr>
            <w:top w:val="none" w:sz="0" w:space="0" w:color="auto"/>
            <w:left w:val="none" w:sz="0" w:space="0" w:color="auto"/>
            <w:bottom w:val="none" w:sz="0" w:space="0" w:color="auto"/>
            <w:right w:val="none" w:sz="0" w:space="0" w:color="auto"/>
          </w:divBdr>
        </w:div>
        <w:div w:id="413472044">
          <w:marLeft w:val="1714"/>
          <w:marRight w:val="0"/>
          <w:marTop w:val="75"/>
          <w:marBottom w:val="0"/>
          <w:divBdr>
            <w:top w:val="none" w:sz="0" w:space="0" w:color="auto"/>
            <w:left w:val="none" w:sz="0" w:space="0" w:color="auto"/>
            <w:bottom w:val="none" w:sz="0" w:space="0" w:color="auto"/>
            <w:right w:val="none" w:sz="0" w:space="0" w:color="auto"/>
          </w:divBdr>
        </w:div>
        <w:div w:id="815142804">
          <w:marLeft w:val="2246"/>
          <w:marRight w:val="0"/>
          <w:marTop w:val="75"/>
          <w:marBottom w:val="0"/>
          <w:divBdr>
            <w:top w:val="none" w:sz="0" w:space="0" w:color="auto"/>
            <w:left w:val="none" w:sz="0" w:space="0" w:color="auto"/>
            <w:bottom w:val="none" w:sz="0" w:space="0" w:color="auto"/>
            <w:right w:val="none" w:sz="0" w:space="0" w:color="auto"/>
          </w:divBdr>
        </w:div>
        <w:div w:id="930819035">
          <w:marLeft w:val="2246"/>
          <w:marRight w:val="0"/>
          <w:marTop w:val="75"/>
          <w:marBottom w:val="0"/>
          <w:divBdr>
            <w:top w:val="none" w:sz="0" w:space="0" w:color="auto"/>
            <w:left w:val="none" w:sz="0" w:space="0" w:color="auto"/>
            <w:bottom w:val="none" w:sz="0" w:space="0" w:color="auto"/>
            <w:right w:val="none" w:sz="0" w:space="0" w:color="auto"/>
          </w:divBdr>
        </w:div>
        <w:div w:id="1077484853">
          <w:marLeft w:val="2246"/>
          <w:marRight w:val="0"/>
          <w:marTop w:val="75"/>
          <w:marBottom w:val="0"/>
          <w:divBdr>
            <w:top w:val="none" w:sz="0" w:space="0" w:color="auto"/>
            <w:left w:val="none" w:sz="0" w:space="0" w:color="auto"/>
            <w:bottom w:val="none" w:sz="0" w:space="0" w:color="auto"/>
            <w:right w:val="none" w:sz="0" w:space="0" w:color="auto"/>
          </w:divBdr>
        </w:div>
        <w:div w:id="1124738849">
          <w:marLeft w:val="2246"/>
          <w:marRight w:val="0"/>
          <w:marTop w:val="75"/>
          <w:marBottom w:val="0"/>
          <w:divBdr>
            <w:top w:val="none" w:sz="0" w:space="0" w:color="auto"/>
            <w:left w:val="none" w:sz="0" w:space="0" w:color="auto"/>
            <w:bottom w:val="none" w:sz="0" w:space="0" w:color="auto"/>
            <w:right w:val="none" w:sz="0" w:space="0" w:color="auto"/>
          </w:divBdr>
        </w:div>
        <w:div w:id="1242983860">
          <w:marLeft w:val="1714"/>
          <w:marRight w:val="0"/>
          <w:marTop w:val="75"/>
          <w:marBottom w:val="0"/>
          <w:divBdr>
            <w:top w:val="none" w:sz="0" w:space="0" w:color="auto"/>
            <w:left w:val="none" w:sz="0" w:space="0" w:color="auto"/>
            <w:bottom w:val="none" w:sz="0" w:space="0" w:color="auto"/>
            <w:right w:val="none" w:sz="0" w:space="0" w:color="auto"/>
          </w:divBdr>
        </w:div>
        <w:div w:id="1297250690">
          <w:marLeft w:val="907"/>
          <w:marRight w:val="0"/>
          <w:marTop w:val="0"/>
          <w:marBottom w:val="0"/>
          <w:divBdr>
            <w:top w:val="none" w:sz="0" w:space="0" w:color="auto"/>
            <w:left w:val="none" w:sz="0" w:space="0" w:color="auto"/>
            <w:bottom w:val="none" w:sz="0" w:space="0" w:color="auto"/>
            <w:right w:val="none" w:sz="0" w:space="0" w:color="auto"/>
          </w:divBdr>
        </w:div>
        <w:div w:id="1938635852">
          <w:marLeft w:val="2246"/>
          <w:marRight w:val="0"/>
          <w:marTop w:val="75"/>
          <w:marBottom w:val="0"/>
          <w:divBdr>
            <w:top w:val="none" w:sz="0" w:space="0" w:color="auto"/>
            <w:left w:val="none" w:sz="0" w:space="0" w:color="auto"/>
            <w:bottom w:val="none" w:sz="0" w:space="0" w:color="auto"/>
            <w:right w:val="none" w:sz="0" w:space="0" w:color="auto"/>
          </w:divBdr>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 w:id="2120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yperlink" Target="https://www.esinvesticijos.lt/lt/pasirengimas-2021-2027" TargetMode="External"/><Relationship Id="rId10" Type="http://schemas.openxmlformats.org/officeDocument/2006/relationships/image" Target="media/image2.emf"/><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sites/info/files/file_import/2019-european-semester-country-report-lithuania_lt.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ESIF_2014-2020_EU_payments_2019-10-0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I%20ketv\IAS%20Darb\2019%20m.%20III%20ketv.%20finans%20du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tx2">
                <a:lumMod val="60000"/>
                <a:lumOff val="40000"/>
              </a:schemeClr>
            </a:solidFill>
          </c:spPr>
          <c:invertIfNegative val="0"/>
          <c:dPt>
            <c:idx val="13"/>
            <c:invertIfNegative val="0"/>
            <c:bubble3D val="0"/>
            <c:spPr>
              <a:solidFill>
                <a:schemeClr val="accent6">
                  <a:lumMod val="60000"/>
                  <a:lumOff val="40000"/>
                </a:schemeClr>
              </a:solidFill>
            </c:spPr>
          </c:dPt>
          <c:dPt>
            <c:idx val="14"/>
            <c:invertIfNegative val="0"/>
            <c:bubble3D val="0"/>
          </c:dPt>
          <c:dPt>
            <c:idx val="15"/>
            <c:invertIfNegative val="0"/>
            <c:bubble3D val="0"/>
          </c:dPt>
          <c:dPt>
            <c:idx val="16"/>
            <c:invertIfNegative val="0"/>
            <c:bubble3D val="0"/>
          </c:dPt>
          <c:dPt>
            <c:idx val="20"/>
            <c:invertIfNegative val="0"/>
            <c:bubble3D val="0"/>
            <c:spPr>
              <a:solidFill>
                <a:srgbClr val="009900"/>
              </a:solidFill>
            </c:spPr>
          </c:dPt>
          <c:dPt>
            <c:idx val="21"/>
            <c:invertIfNegative val="0"/>
            <c:bubble3D val="0"/>
          </c:dPt>
          <c:dPt>
            <c:idx val="22"/>
            <c:invertIfNegative val="0"/>
            <c:bubble3D val="0"/>
          </c:dPt>
          <c:dPt>
            <c:idx val="23"/>
            <c:invertIfNegative val="0"/>
            <c:bubble3D val="0"/>
          </c:dPt>
          <c:dLbls>
            <c:showLegendKey val="0"/>
            <c:showVal val="1"/>
            <c:showCatName val="0"/>
            <c:showSerName val="0"/>
            <c:showPercent val="0"/>
            <c:showBubbleSize val="0"/>
            <c:showLeaderLines val="0"/>
          </c:dLbls>
          <c:cat>
            <c:strRef>
              <c:f>'LT grafikas'!$G$3:$G$31</c:f>
              <c:strCache>
                <c:ptCount val="29"/>
                <c:pt idx="0">
                  <c:v>Kroatija</c:v>
                </c:pt>
                <c:pt idx="1">
                  <c:v>Rumunija</c:v>
                </c:pt>
                <c:pt idx="2">
                  <c:v>Italija</c:v>
                </c:pt>
                <c:pt idx="3">
                  <c:v>Ispanija</c:v>
                </c:pt>
                <c:pt idx="4">
                  <c:v>Austrija</c:v>
                </c:pt>
                <c:pt idx="5">
                  <c:v>Slovakija</c:v>
                </c:pt>
                <c:pt idx="6">
                  <c:v>D. Britanija</c:v>
                </c:pt>
                <c:pt idx="7">
                  <c:v>Slovėnija</c:v>
                </c:pt>
                <c:pt idx="8">
                  <c:v>Vokietija</c:v>
                </c:pt>
                <c:pt idx="9">
                  <c:v>Danija</c:v>
                </c:pt>
                <c:pt idx="10">
                  <c:v>Prancūzija</c:v>
                </c:pt>
                <c:pt idx="11">
                  <c:v>Čekija</c:v>
                </c:pt>
                <c:pt idx="12">
                  <c:v>Malta</c:v>
                </c:pt>
                <c:pt idx="13">
                  <c:v>ES vidurkis</c:v>
                </c:pt>
                <c:pt idx="14">
                  <c:v>Latvija</c:v>
                </c:pt>
                <c:pt idx="15">
                  <c:v>Belgija</c:v>
                </c:pt>
                <c:pt idx="16">
                  <c:v>Airija</c:v>
                </c:pt>
                <c:pt idx="17">
                  <c:v>Bulgarija</c:v>
                </c:pt>
                <c:pt idx="18">
                  <c:v>Nyderlandai</c:v>
                </c:pt>
                <c:pt idx="19">
                  <c:v>Lenkija</c:v>
                </c:pt>
                <c:pt idx="20">
                  <c:v>Lietuva</c:v>
                </c:pt>
                <c:pt idx="21">
                  <c:v>Graikija</c:v>
                </c:pt>
                <c:pt idx="22">
                  <c:v>Vengrija</c:v>
                </c:pt>
                <c:pt idx="23">
                  <c:v>Švedija</c:v>
                </c:pt>
                <c:pt idx="24">
                  <c:v>Portugalija</c:v>
                </c:pt>
                <c:pt idx="25">
                  <c:v>Suomija</c:v>
                </c:pt>
                <c:pt idx="26">
                  <c:v>Estija</c:v>
                </c:pt>
                <c:pt idx="27">
                  <c:v>Liuksemburgas</c:v>
                </c:pt>
                <c:pt idx="28">
                  <c:v>Kipras</c:v>
                </c:pt>
              </c:strCache>
            </c:strRef>
          </c:cat>
          <c:val>
            <c:numRef>
              <c:f>'LT grafikas'!$H$3:$H$31</c:f>
              <c:numCache>
                <c:formatCode>0%</c:formatCode>
                <c:ptCount val="29"/>
                <c:pt idx="0">
                  <c:v>0.21605076923430538</c:v>
                </c:pt>
                <c:pt idx="1">
                  <c:v>0.24167993732542253</c:v>
                </c:pt>
                <c:pt idx="2">
                  <c:v>0.24178087275101945</c:v>
                </c:pt>
                <c:pt idx="3">
                  <c:v>0.25215946028396163</c:v>
                </c:pt>
                <c:pt idx="4">
                  <c:v>0.2602957218357132</c:v>
                </c:pt>
                <c:pt idx="5">
                  <c:v>0.26533089275997906</c:v>
                </c:pt>
                <c:pt idx="6">
                  <c:v>0.27901248785974653</c:v>
                </c:pt>
                <c:pt idx="7">
                  <c:v>0.29054136511179457</c:v>
                </c:pt>
                <c:pt idx="8">
                  <c:v>0.30352937183838141</c:v>
                </c:pt>
                <c:pt idx="9">
                  <c:v>0.30429561277443773</c:v>
                </c:pt>
                <c:pt idx="10">
                  <c:v>0.30451192572729546</c:v>
                </c:pt>
                <c:pt idx="11">
                  <c:v>0.30602101034195561</c:v>
                </c:pt>
                <c:pt idx="12">
                  <c:v>0.31480408941174859</c:v>
                </c:pt>
                <c:pt idx="13">
                  <c:v>0.31892466728779439</c:v>
                </c:pt>
                <c:pt idx="14">
                  <c:v>0.31861437696394085</c:v>
                </c:pt>
                <c:pt idx="15">
                  <c:v>0.32431816744597702</c:v>
                </c:pt>
                <c:pt idx="16">
                  <c:v>0.32670861824182845</c:v>
                </c:pt>
                <c:pt idx="17">
                  <c:v>0.33357631959713741</c:v>
                </c:pt>
                <c:pt idx="18">
                  <c:v>0.34568350264069214</c:v>
                </c:pt>
                <c:pt idx="19">
                  <c:v>0.3675499631119829</c:v>
                </c:pt>
                <c:pt idx="20">
                  <c:v>0.37398287207257208</c:v>
                </c:pt>
                <c:pt idx="21">
                  <c:v>0.3789564302321542</c:v>
                </c:pt>
                <c:pt idx="22">
                  <c:v>0.38858396010250817</c:v>
                </c:pt>
                <c:pt idx="23">
                  <c:v>0.4002689522741617</c:v>
                </c:pt>
                <c:pt idx="24">
                  <c:v>0.40512604868232188</c:v>
                </c:pt>
                <c:pt idx="25">
                  <c:v>0.42380730554155549</c:v>
                </c:pt>
                <c:pt idx="26">
                  <c:v>0.43002425291649238</c:v>
                </c:pt>
                <c:pt idx="27">
                  <c:v>0.43940426823722339</c:v>
                </c:pt>
                <c:pt idx="28">
                  <c:v>0.44512040708893968</c:v>
                </c:pt>
              </c:numCache>
            </c:numRef>
          </c:val>
        </c:ser>
        <c:dLbls>
          <c:showLegendKey val="0"/>
          <c:showVal val="0"/>
          <c:showCatName val="0"/>
          <c:showSerName val="0"/>
          <c:showPercent val="0"/>
          <c:showBubbleSize val="0"/>
        </c:dLbls>
        <c:gapWidth val="150"/>
        <c:axId val="108493824"/>
        <c:axId val="108503808"/>
      </c:barChart>
      <c:catAx>
        <c:axId val="108493824"/>
        <c:scaling>
          <c:orientation val="minMax"/>
        </c:scaling>
        <c:delete val="0"/>
        <c:axPos val="l"/>
        <c:numFmt formatCode="0%" sourceLinked="1"/>
        <c:majorTickMark val="out"/>
        <c:minorTickMark val="none"/>
        <c:tickLblPos val="nextTo"/>
        <c:txPr>
          <a:bodyPr/>
          <a:lstStyle/>
          <a:p>
            <a:pPr>
              <a:defRPr sz="800" baseline="0"/>
            </a:pPr>
            <a:endParaRPr lang="lt-LT"/>
          </a:p>
        </c:txPr>
        <c:crossAx val="108503808"/>
        <c:crosses val="autoZero"/>
        <c:auto val="1"/>
        <c:lblAlgn val="ctr"/>
        <c:lblOffset val="100"/>
        <c:noMultiLvlLbl val="0"/>
      </c:catAx>
      <c:valAx>
        <c:axId val="108503808"/>
        <c:scaling>
          <c:orientation val="minMax"/>
        </c:scaling>
        <c:delete val="0"/>
        <c:axPos val="b"/>
        <c:majorGridlines/>
        <c:numFmt formatCode="0%" sourceLinked="1"/>
        <c:majorTickMark val="out"/>
        <c:minorTickMark val="none"/>
        <c:tickLblPos val="nextTo"/>
        <c:crossAx val="10849382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6290603674540673"/>
        </c:manualLayout>
      </c:layout>
      <c:barChart>
        <c:barDir val="bar"/>
        <c:grouping val="clustered"/>
        <c:varyColors val="0"/>
        <c:ser>
          <c:idx val="0"/>
          <c:order val="0"/>
          <c:tx>
            <c:strRef>
              <c:f>'minist pagal prior'!$M$22</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delete val="1"/>
            </c:dLbl>
            <c:dLbl>
              <c:idx val="1"/>
              <c:layout>
                <c:manualLayout>
                  <c:x val="-0.10526315789473684"/>
                  <c:y val="0"/>
                </c:manualLayout>
              </c:layout>
              <c:tx>
                <c:rich>
                  <a:bodyPr/>
                  <a:lstStyle/>
                  <a:p>
                    <a:r>
                      <a:rPr lang="lt-LT"/>
                      <a:t>22</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prior'!$L$23:$L$24</c:f>
              <c:strCache>
                <c:ptCount val="2"/>
                <c:pt idx="0">
                  <c:v>EM, SaF</c:v>
                </c:pt>
                <c:pt idx="1">
                  <c:v>EM, ERPF</c:v>
                </c:pt>
              </c:strCache>
            </c:strRef>
          </c:cat>
          <c:val>
            <c:numRef>
              <c:f>'minist pagal prior'!$M$23:$M$24</c:f>
              <c:numCache>
                <c:formatCode>0%</c:formatCode>
                <c:ptCount val="2"/>
                <c:pt idx="0">
                  <c:v>1</c:v>
                </c:pt>
                <c:pt idx="1">
                  <c:v>1</c:v>
                </c:pt>
              </c:numCache>
            </c:numRef>
          </c:val>
        </c:ser>
        <c:ser>
          <c:idx val="1"/>
          <c:order val="1"/>
          <c:tx>
            <c:strRef>
              <c:f>'minist pagal prior'!$N$22</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prior'!$L$23:$L$24</c:f>
              <c:strCache>
                <c:ptCount val="2"/>
                <c:pt idx="0">
                  <c:v>EM, SaF</c:v>
                </c:pt>
                <c:pt idx="1">
                  <c:v>EM, ERPF</c:v>
                </c:pt>
              </c:strCache>
            </c:strRef>
          </c:cat>
          <c:val>
            <c:numRef>
              <c:f>'minist pagal prior'!$N$23:$N$24</c:f>
              <c:numCache>
                <c:formatCode>0%</c:formatCode>
                <c:ptCount val="2"/>
                <c:pt idx="0">
                  <c:v>0.99000511196685437</c:v>
                </c:pt>
                <c:pt idx="1">
                  <c:v>0.78001651165890118</c:v>
                </c:pt>
              </c:numCache>
            </c:numRef>
          </c:val>
        </c:ser>
        <c:ser>
          <c:idx val="2"/>
          <c:order val="2"/>
          <c:tx>
            <c:strRef>
              <c:f>'minist pagal prior'!$O$22</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prior'!$L$23:$L$24</c:f>
              <c:strCache>
                <c:ptCount val="2"/>
                <c:pt idx="0">
                  <c:v>EM, SaF</c:v>
                </c:pt>
                <c:pt idx="1">
                  <c:v>EM, ERPF</c:v>
                </c:pt>
              </c:strCache>
            </c:strRef>
          </c:cat>
          <c:val>
            <c:numRef>
              <c:f>'minist pagal prior'!$O$23:$O$24</c:f>
              <c:numCache>
                <c:formatCode>0%</c:formatCode>
                <c:ptCount val="2"/>
                <c:pt idx="0">
                  <c:v>0.8323979658080799</c:v>
                </c:pt>
                <c:pt idx="1">
                  <c:v>0.70054138504447649</c:v>
                </c:pt>
              </c:numCache>
            </c:numRef>
          </c:val>
        </c:ser>
        <c:ser>
          <c:idx val="3"/>
          <c:order val="3"/>
          <c:tx>
            <c:strRef>
              <c:f>'minist pagal prior'!$P$22</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prior'!$L$23:$L$24</c:f>
              <c:strCache>
                <c:ptCount val="2"/>
                <c:pt idx="0">
                  <c:v>EM, SaF</c:v>
                </c:pt>
                <c:pt idx="1">
                  <c:v>EM, ERPF</c:v>
                </c:pt>
              </c:strCache>
            </c:strRef>
          </c:cat>
          <c:val>
            <c:numRef>
              <c:f>'minist pagal prior'!$P$23:$P$24</c:f>
              <c:numCache>
                <c:formatCode>0%</c:formatCode>
                <c:ptCount val="2"/>
                <c:pt idx="0">
                  <c:v>0.32394042091209191</c:v>
                </c:pt>
                <c:pt idx="1">
                  <c:v>0.15763028670868959</c:v>
                </c:pt>
              </c:numCache>
            </c:numRef>
          </c:val>
        </c:ser>
        <c:dLbls>
          <c:showLegendKey val="0"/>
          <c:showVal val="0"/>
          <c:showCatName val="0"/>
          <c:showSerName val="0"/>
          <c:showPercent val="0"/>
          <c:showBubbleSize val="0"/>
        </c:dLbls>
        <c:gapWidth val="217"/>
        <c:overlap val="100"/>
        <c:axId val="109426944"/>
        <c:axId val="109436928"/>
      </c:barChart>
      <c:catAx>
        <c:axId val="109426944"/>
        <c:scaling>
          <c:orientation val="minMax"/>
        </c:scaling>
        <c:delete val="0"/>
        <c:axPos val="l"/>
        <c:majorTickMark val="out"/>
        <c:minorTickMark val="none"/>
        <c:tickLblPos val="nextTo"/>
        <c:crossAx val="109436928"/>
        <c:crosses val="autoZero"/>
        <c:auto val="1"/>
        <c:lblAlgn val="ctr"/>
        <c:lblOffset val="100"/>
        <c:noMultiLvlLbl val="0"/>
      </c:catAx>
      <c:valAx>
        <c:axId val="109436928"/>
        <c:scaling>
          <c:orientation val="minMax"/>
          <c:max val="1"/>
        </c:scaling>
        <c:delete val="1"/>
        <c:axPos val="b"/>
        <c:majorGridlines/>
        <c:numFmt formatCode="0%" sourceLinked="1"/>
        <c:majorTickMark val="out"/>
        <c:minorTickMark val="none"/>
        <c:tickLblPos val="nextTo"/>
        <c:crossAx val="109426944"/>
        <c:crosses val="autoZero"/>
        <c:crossBetween val="between"/>
        <c:majorUnit val="0.2"/>
      </c:valAx>
    </c:plotArea>
    <c:legend>
      <c:legendPos val="b"/>
      <c:layout>
        <c:manualLayout>
          <c:xMode val="edge"/>
          <c:yMode val="edge"/>
          <c:x val="8.2299797664610805E-2"/>
          <c:y val="0.76444069491313582"/>
          <c:w val="0.83952837164704253"/>
          <c:h val="0.18690349752792529"/>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7404181120716558"/>
        </c:manualLayout>
      </c:layout>
      <c:barChart>
        <c:barDir val="bar"/>
        <c:grouping val="clustered"/>
        <c:varyColors val="0"/>
        <c:ser>
          <c:idx val="0"/>
          <c:order val="0"/>
          <c:tx>
            <c:strRef>
              <c:f>'minist pagal prior'!$M$27</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manualLayout>
                  <c:x val="-5.159958720330237E-2"/>
                  <c:y val="0"/>
                </c:manualLayout>
              </c:layout>
              <c:tx>
                <c:rich>
                  <a:bodyPr/>
                  <a:lstStyle/>
                  <a:p>
                    <a:r>
                      <a:rPr lang="lt-LT"/>
                      <a:t>30</a:t>
                    </a:r>
                    <a:r>
                      <a:rPr lang="en-US"/>
                      <a:t>%</a:t>
                    </a:r>
                  </a:p>
                </c:rich>
              </c:tx>
              <c:showLegendKey val="0"/>
              <c:showVal val="1"/>
              <c:showCatName val="0"/>
              <c:showSerName val="0"/>
              <c:showPercent val="0"/>
              <c:showBubbleSize val="0"/>
            </c:dLbl>
            <c:dLbl>
              <c:idx val="1"/>
              <c:layout>
                <c:manualLayout>
                  <c:x val="-5.3663570691434466E-2"/>
                  <c:y val="1.7094017094017096E-2"/>
                </c:manualLayout>
              </c:layout>
              <c:tx>
                <c:rich>
                  <a:bodyPr/>
                  <a:lstStyle/>
                  <a:p>
                    <a:r>
                      <a:rPr lang="lt-LT"/>
                      <a:t>39</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prior'!$L$28:$L$29</c:f>
              <c:strCache>
                <c:ptCount val="2"/>
                <c:pt idx="0">
                  <c:v>SM, SaF</c:v>
                </c:pt>
                <c:pt idx="1">
                  <c:v>SM, ERPF</c:v>
                </c:pt>
              </c:strCache>
            </c:strRef>
          </c:cat>
          <c:val>
            <c:numRef>
              <c:f>'minist pagal prior'!$M$28:$M$29</c:f>
              <c:numCache>
                <c:formatCode>0%</c:formatCode>
                <c:ptCount val="2"/>
                <c:pt idx="0">
                  <c:v>1</c:v>
                </c:pt>
                <c:pt idx="1">
                  <c:v>1</c:v>
                </c:pt>
              </c:numCache>
            </c:numRef>
          </c:val>
        </c:ser>
        <c:ser>
          <c:idx val="1"/>
          <c:order val="1"/>
          <c:tx>
            <c:strRef>
              <c:f>'minist pagal prior'!$N$27</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prior'!$L$28:$L$29</c:f>
              <c:strCache>
                <c:ptCount val="2"/>
                <c:pt idx="0">
                  <c:v>SM, SaF</c:v>
                </c:pt>
                <c:pt idx="1">
                  <c:v>SM, ERPF</c:v>
                </c:pt>
              </c:strCache>
            </c:strRef>
          </c:cat>
          <c:val>
            <c:numRef>
              <c:f>'minist pagal prior'!$N$28:$N$29</c:f>
              <c:numCache>
                <c:formatCode>0%</c:formatCode>
                <c:ptCount val="2"/>
                <c:pt idx="0">
                  <c:v>0.70427975961946654</c:v>
                </c:pt>
                <c:pt idx="1">
                  <c:v>0.6079066870676505</c:v>
                </c:pt>
              </c:numCache>
            </c:numRef>
          </c:val>
        </c:ser>
        <c:ser>
          <c:idx val="2"/>
          <c:order val="2"/>
          <c:tx>
            <c:strRef>
              <c:f>'minist pagal prior'!$O$27</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prior'!$L$28:$L$29</c:f>
              <c:strCache>
                <c:ptCount val="2"/>
                <c:pt idx="0">
                  <c:v>SM, SaF</c:v>
                </c:pt>
                <c:pt idx="1">
                  <c:v>SM, ERPF</c:v>
                </c:pt>
              </c:strCache>
            </c:strRef>
          </c:cat>
          <c:val>
            <c:numRef>
              <c:f>'minist pagal prior'!$O$28:$O$29</c:f>
              <c:numCache>
                <c:formatCode>0%</c:formatCode>
                <c:ptCount val="2"/>
                <c:pt idx="0">
                  <c:v>0.61249196097079328</c:v>
                </c:pt>
                <c:pt idx="1">
                  <c:v>0.21128726483295826</c:v>
                </c:pt>
              </c:numCache>
            </c:numRef>
          </c:val>
        </c:ser>
        <c:ser>
          <c:idx val="3"/>
          <c:order val="3"/>
          <c:tx>
            <c:strRef>
              <c:f>'minist pagal prior'!$P$27</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prior'!$L$28:$L$29</c:f>
              <c:strCache>
                <c:ptCount val="2"/>
                <c:pt idx="0">
                  <c:v>SM, SaF</c:v>
                </c:pt>
                <c:pt idx="1">
                  <c:v>SM, ERPF</c:v>
                </c:pt>
              </c:strCache>
            </c:strRef>
          </c:cat>
          <c:val>
            <c:numRef>
              <c:f>'minist pagal prior'!$P$28:$P$29</c:f>
              <c:numCache>
                <c:formatCode>0%</c:formatCode>
                <c:ptCount val="2"/>
                <c:pt idx="0">
                  <c:v>0.3207123564597178</c:v>
                </c:pt>
                <c:pt idx="1">
                  <c:v>0.13117574215576217</c:v>
                </c:pt>
              </c:numCache>
            </c:numRef>
          </c:val>
        </c:ser>
        <c:dLbls>
          <c:showLegendKey val="0"/>
          <c:showVal val="0"/>
          <c:showCatName val="0"/>
          <c:showSerName val="0"/>
          <c:showPercent val="0"/>
          <c:showBubbleSize val="0"/>
        </c:dLbls>
        <c:gapWidth val="217"/>
        <c:overlap val="100"/>
        <c:axId val="109468288"/>
        <c:axId val="109494656"/>
      </c:barChart>
      <c:catAx>
        <c:axId val="109468288"/>
        <c:scaling>
          <c:orientation val="minMax"/>
        </c:scaling>
        <c:delete val="0"/>
        <c:axPos val="l"/>
        <c:majorTickMark val="out"/>
        <c:minorTickMark val="none"/>
        <c:tickLblPos val="nextTo"/>
        <c:crossAx val="109494656"/>
        <c:crosses val="autoZero"/>
        <c:auto val="1"/>
        <c:lblAlgn val="ctr"/>
        <c:lblOffset val="100"/>
        <c:noMultiLvlLbl val="0"/>
      </c:catAx>
      <c:valAx>
        <c:axId val="109494656"/>
        <c:scaling>
          <c:orientation val="minMax"/>
          <c:max val="1"/>
        </c:scaling>
        <c:delete val="1"/>
        <c:axPos val="b"/>
        <c:majorGridlines/>
        <c:numFmt formatCode="0%" sourceLinked="1"/>
        <c:majorTickMark val="out"/>
        <c:minorTickMark val="none"/>
        <c:tickLblPos val="nextTo"/>
        <c:crossAx val="109468288"/>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8336582053117492"/>
        </c:manualLayout>
      </c:layout>
      <c:barChart>
        <c:barDir val="bar"/>
        <c:grouping val="clustered"/>
        <c:varyColors val="0"/>
        <c:ser>
          <c:idx val="0"/>
          <c:order val="0"/>
          <c:tx>
            <c:strRef>
              <c:f>'minist pagal prior'!$M$36</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tx>
                <c:rich>
                  <a:bodyPr/>
                  <a:lstStyle/>
                  <a:p>
                    <a:r>
                      <a:rPr lang="lt-LT"/>
                      <a:t>12</a:t>
                    </a:r>
                    <a:r>
                      <a:rPr lang="en-US"/>
                      <a:t>%</a:t>
                    </a:r>
                  </a:p>
                </c:rich>
              </c:tx>
              <c:dLblPos val="inEnd"/>
              <c:showLegendKey val="0"/>
              <c:showVal val="1"/>
              <c:showCatName val="0"/>
              <c:showSerName val="0"/>
              <c:showPercent val="0"/>
              <c:showBubbleSize val="0"/>
            </c:dLbl>
            <c:dLbl>
              <c:idx val="1"/>
              <c:layout/>
              <c:tx>
                <c:rich>
                  <a:bodyPr/>
                  <a:lstStyle/>
                  <a:p>
                    <a:r>
                      <a:rPr lang="lt-LT"/>
                      <a:t>20</a:t>
                    </a:r>
                    <a:r>
                      <a:rPr lang="en-US"/>
                      <a:t>%</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prior'!$L$37:$L$38</c:f>
              <c:strCache>
                <c:ptCount val="2"/>
                <c:pt idx="0">
                  <c:v>AM, SaF</c:v>
                </c:pt>
                <c:pt idx="1">
                  <c:v>AM, ERPF</c:v>
                </c:pt>
              </c:strCache>
            </c:strRef>
          </c:cat>
          <c:val>
            <c:numRef>
              <c:f>'minist pagal prior'!$M$37:$M$38</c:f>
              <c:numCache>
                <c:formatCode>0%</c:formatCode>
                <c:ptCount val="2"/>
                <c:pt idx="0">
                  <c:v>1</c:v>
                </c:pt>
                <c:pt idx="1">
                  <c:v>1</c:v>
                </c:pt>
              </c:numCache>
            </c:numRef>
          </c:val>
        </c:ser>
        <c:ser>
          <c:idx val="1"/>
          <c:order val="1"/>
          <c:tx>
            <c:strRef>
              <c:f>'minist pagal prior'!$N$36</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prior'!$L$37:$L$38</c:f>
              <c:strCache>
                <c:ptCount val="2"/>
                <c:pt idx="0">
                  <c:v>AM, SaF</c:v>
                </c:pt>
                <c:pt idx="1">
                  <c:v>AM, ERPF</c:v>
                </c:pt>
              </c:strCache>
            </c:strRef>
          </c:cat>
          <c:val>
            <c:numRef>
              <c:f>'minist pagal prior'!$N$37:$N$38</c:f>
              <c:numCache>
                <c:formatCode>0%</c:formatCode>
                <c:ptCount val="2"/>
                <c:pt idx="0">
                  <c:v>0.88075316503815848</c:v>
                </c:pt>
                <c:pt idx="1">
                  <c:v>0.80134323942336982</c:v>
                </c:pt>
              </c:numCache>
            </c:numRef>
          </c:val>
        </c:ser>
        <c:ser>
          <c:idx val="2"/>
          <c:order val="2"/>
          <c:tx>
            <c:strRef>
              <c:f>'minist pagal prior'!$O$36</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prior'!$L$37:$L$38</c:f>
              <c:strCache>
                <c:ptCount val="2"/>
                <c:pt idx="0">
                  <c:v>AM, SaF</c:v>
                </c:pt>
                <c:pt idx="1">
                  <c:v>AM, ERPF</c:v>
                </c:pt>
              </c:strCache>
            </c:strRef>
          </c:cat>
          <c:val>
            <c:numRef>
              <c:f>'minist pagal prior'!$O$37:$O$38</c:f>
              <c:numCache>
                <c:formatCode>0%</c:formatCode>
                <c:ptCount val="2"/>
                <c:pt idx="0">
                  <c:v>0.81913856059800583</c:v>
                </c:pt>
                <c:pt idx="1">
                  <c:v>0.93322859986920514</c:v>
                </c:pt>
              </c:numCache>
            </c:numRef>
          </c:val>
        </c:ser>
        <c:ser>
          <c:idx val="3"/>
          <c:order val="3"/>
          <c:tx>
            <c:strRef>
              <c:f>'minist pagal prior'!$P$36</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prior'!$L$37:$L$38</c:f>
              <c:strCache>
                <c:ptCount val="2"/>
                <c:pt idx="0">
                  <c:v>AM, SaF</c:v>
                </c:pt>
                <c:pt idx="1">
                  <c:v>AM, ERPF</c:v>
                </c:pt>
              </c:strCache>
            </c:strRef>
          </c:cat>
          <c:val>
            <c:numRef>
              <c:f>'minist pagal prior'!$P$37:$P$38</c:f>
              <c:numCache>
                <c:formatCode>0%</c:formatCode>
                <c:ptCount val="2"/>
                <c:pt idx="0">
                  <c:v>0.36633814173629581</c:v>
                </c:pt>
                <c:pt idx="1">
                  <c:v>0.31029420009088693</c:v>
                </c:pt>
              </c:numCache>
            </c:numRef>
          </c:val>
        </c:ser>
        <c:dLbls>
          <c:showLegendKey val="0"/>
          <c:showVal val="0"/>
          <c:showCatName val="0"/>
          <c:showSerName val="0"/>
          <c:showPercent val="0"/>
          <c:showBubbleSize val="0"/>
        </c:dLbls>
        <c:gapWidth val="217"/>
        <c:overlap val="100"/>
        <c:axId val="109989888"/>
        <c:axId val="109991424"/>
      </c:barChart>
      <c:catAx>
        <c:axId val="109989888"/>
        <c:scaling>
          <c:orientation val="minMax"/>
        </c:scaling>
        <c:delete val="0"/>
        <c:axPos val="l"/>
        <c:majorTickMark val="out"/>
        <c:minorTickMark val="none"/>
        <c:tickLblPos val="nextTo"/>
        <c:crossAx val="109991424"/>
        <c:crosses val="autoZero"/>
        <c:auto val="1"/>
        <c:lblAlgn val="ctr"/>
        <c:lblOffset val="100"/>
        <c:noMultiLvlLbl val="0"/>
      </c:catAx>
      <c:valAx>
        <c:axId val="109991424"/>
        <c:scaling>
          <c:orientation val="minMax"/>
          <c:max val="1"/>
        </c:scaling>
        <c:delete val="1"/>
        <c:axPos val="b"/>
        <c:majorGridlines/>
        <c:numFmt formatCode="0%" sourceLinked="1"/>
        <c:majorTickMark val="out"/>
        <c:minorTickMark val="none"/>
        <c:tickLblPos val="nextTo"/>
        <c:crossAx val="109989888"/>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3713385826771654"/>
        </c:manualLayout>
      </c:layout>
      <c:barChart>
        <c:barDir val="bar"/>
        <c:grouping val="clustered"/>
        <c:varyColors val="0"/>
        <c:ser>
          <c:idx val="0"/>
          <c:order val="0"/>
          <c:tx>
            <c:strRef>
              <c:f>'minist pagal prior'!$M$41</c:f>
              <c:strCache>
                <c:ptCount val="1"/>
                <c:pt idx="0">
                  <c:v>Nesuplanuotos lėšos</c:v>
                </c:pt>
              </c:strCache>
            </c:strRef>
          </c:tx>
          <c:spPr>
            <a:solidFill>
              <a:schemeClr val="bg1">
                <a:lumMod val="85000"/>
              </a:schemeClr>
            </a:solidFill>
          </c:spPr>
          <c:invertIfNegative val="0"/>
          <c:cat>
            <c:strRef>
              <c:f>'minist pagal prior'!$L$42</c:f>
              <c:strCache>
                <c:ptCount val="1"/>
                <c:pt idx="0">
                  <c:v>KM, ERPF</c:v>
                </c:pt>
              </c:strCache>
            </c:strRef>
          </c:cat>
          <c:val>
            <c:numRef>
              <c:f>'minist pagal prior'!$M$42</c:f>
              <c:numCache>
                <c:formatCode>0%</c:formatCode>
                <c:ptCount val="1"/>
                <c:pt idx="0">
                  <c:v>1</c:v>
                </c:pt>
              </c:numCache>
            </c:numRef>
          </c:val>
        </c:ser>
        <c:ser>
          <c:idx val="1"/>
          <c:order val="1"/>
          <c:tx>
            <c:strRef>
              <c:f>'minist pagal prior'!$N$41</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prior'!$L$42</c:f>
              <c:strCache>
                <c:ptCount val="1"/>
                <c:pt idx="0">
                  <c:v>KM, ERPF</c:v>
                </c:pt>
              </c:strCache>
            </c:strRef>
          </c:cat>
          <c:val>
            <c:numRef>
              <c:f>'minist pagal prior'!$N$42</c:f>
              <c:numCache>
                <c:formatCode>0%</c:formatCode>
                <c:ptCount val="1"/>
                <c:pt idx="0">
                  <c:v>0.96969501427892435</c:v>
                </c:pt>
              </c:numCache>
            </c:numRef>
          </c:val>
        </c:ser>
        <c:ser>
          <c:idx val="2"/>
          <c:order val="2"/>
          <c:tx>
            <c:strRef>
              <c:f>'minist pagal prior'!$O$41</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prior'!$L$42</c:f>
              <c:strCache>
                <c:ptCount val="1"/>
                <c:pt idx="0">
                  <c:v>KM, ERPF</c:v>
                </c:pt>
              </c:strCache>
            </c:strRef>
          </c:cat>
          <c:val>
            <c:numRef>
              <c:f>'minist pagal prior'!$O$42</c:f>
              <c:numCache>
                <c:formatCode>0%</c:formatCode>
                <c:ptCount val="1"/>
                <c:pt idx="0">
                  <c:v>0.85372485100112694</c:v>
                </c:pt>
              </c:numCache>
            </c:numRef>
          </c:val>
        </c:ser>
        <c:ser>
          <c:idx val="3"/>
          <c:order val="3"/>
          <c:tx>
            <c:strRef>
              <c:f>'minist pagal prior'!$P$41</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prior'!$L$42</c:f>
              <c:strCache>
                <c:ptCount val="1"/>
                <c:pt idx="0">
                  <c:v>KM, ERPF</c:v>
                </c:pt>
              </c:strCache>
            </c:strRef>
          </c:cat>
          <c:val>
            <c:numRef>
              <c:f>'minist pagal prior'!$P$42</c:f>
              <c:numCache>
                <c:formatCode>0%</c:formatCode>
                <c:ptCount val="1"/>
                <c:pt idx="0">
                  <c:v>0.29773500401646574</c:v>
                </c:pt>
              </c:numCache>
            </c:numRef>
          </c:val>
        </c:ser>
        <c:dLbls>
          <c:showLegendKey val="0"/>
          <c:showVal val="0"/>
          <c:showCatName val="0"/>
          <c:showSerName val="0"/>
          <c:showPercent val="0"/>
          <c:showBubbleSize val="0"/>
        </c:dLbls>
        <c:gapWidth val="217"/>
        <c:overlap val="100"/>
        <c:axId val="109716224"/>
        <c:axId val="109717760"/>
      </c:barChart>
      <c:catAx>
        <c:axId val="109716224"/>
        <c:scaling>
          <c:orientation val="minMax"/>
        </c:scaling>
        <c:delete val="0"/>
        <c:axPos val="l"/>
        <c:majorTickMark val="out"/>
        <c:minorTickMark val="none"/>
        <c:tickLblPos val="nextTo"/>
        <c:crossAx val="109717760"/>
        <c:crosses val="autoZero"/>
        <c:auto val="1"/>
        <c:lblAlgn val="ctr"/>
        <c:lblOffset val="100"/>
        <c:noMultiLvlLbl val="0"/>
      </c:catAx>
      <c:valAx>
        <c:axId val="109717760"/>
        <c:scaling>
          <c:orientation val="minMax"/>
          <c:max val="1"/>
        </c:scaling>
        <c:delete val="1"/>
        <c:axPos val="b"/>
        <c:majorGridlines/>
        <c:numFmt formatCode="0%" sourceLinked="1"/>
        <c:majorTickMark val="out"/>
        <c:minorTickMark val="none"/>
        <c:tickLblPos val="nextTo"/>
        <c:crossAx val="109716224"/>
        <c:crosses val="autoZero"/>
        <c:crossBetween val="between"/>
        <c:majorUnit val="0.2"/>
      </c:valAx>
    </c:plotArea>
    <c:legend>
      <c:legendPos val="b"/>
      <c:layout>
        <c:manualLayout>
          <c:xMode val="edge"/>
          <c:yMode val="edge"/>
          <c:x val="8.2299797664610805E-2"/>
          <c:y val="0.7390788248243163"/>
          <c:w val="0.83952837164704253"/>
          <c:h val="0.18690349752792529"/>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2703302712160982"/>
        </c:manualLayout>
      </c:layout>
      <c:barChart>
        <c:barDir val="bar"/>
        <c:grouping val="clustered"/>
        <c:varyColors val="0"/>
        <c:ser>
          <c:idx val="0"/>
          <c:order val="0"/>
          <c:tx>
            <c:strRef>
              <c:f>'minist pagal prior'!$M$53</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manualLayout>
                  <c:x val="-5.5727554179566562E-2"/>
                  <c:y val="-2.5045248015777034E-17"/>
                </c:manualLayout>
              </c:layout>
              <c:tx>
                <c:rich>
                  <a:bodyPr/>
                  <a:lstStyle/>
                  <a:p>
                    <a:r>
                      <a:rPr lang="lt-LT"/>
                      <a:t>20</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prior'!$L$54</c:f>
              <c:strCache>
                <c:ptCount val="1"/>
                <c:pt idx="0">
                  <c:v>EM, ERPF</c:v>
                </c:pt>
              </c:strCache>
            </c:strRef>
          </c:cat>
          <c:val>
            <c:numRef>
              <c:f>'minist pagal prior'!$M$54</c:f>
              <c:numCache>
                <c:formatCode>0%</c:formatCode>
                <c:ptCount val="1"/>
                <c:pt idx="0">
                  <c:v>1</c:v>
                </c:pt>
              </c:numCache>
            </c:numRef>
          </c:val>
        </c:ser>
        <c:ser>
          <c:idx val="1"/>
          <c:order val="1"/>
          <c:tx>
            <c:strRef>
              <c:f>'minist pagal prior'!$N$53</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prior'!$L$54</c:f>
              <c:strCache>
                <c:ptCount val="1"/>
                <c:pt idx="0">
                  <c:v>EM, ERPF</c:v>
                </c:pt>
              </c:strCache>
            </c:strRef>
          </c:cat>
          <c:val>
            <c:numRef>
              <c:f>'minist pagal prior'!$N$54</c:f>
              <c:numCache>
                <c:formatCode>0%</c:formatCode>
                <c:ptCount val="1"/>
                <c:pt idx="0">
                  <c:v>0.79781541207207218</c:v>
                </c:pt>
              </c:numCache>
            </c:numRef>
          </c:val>
        </c:ser>
        <c:ser>
          <c:idx val="2"/>
          <c:order val="2"/>
          <c:tx>
            <c:strRef>
              <c:f>'minist pagal prior'!$O$53</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prior'!$L$54</c:f>
              <c:strCache>
                <c:ptCount val="1"/>
                <c:pt idx="0">
                  <c:v>EM, ERPF</c:v>
                </c:pt>
              </c:strCache>
            </c:strRef>
          </c:cat>
          <c:val>
            <c:numRef>
              <c:f>'minist pagal prior'!$O$54</c:f>
              <c:numCache>
                <c:formatCode>0%</c:formatCode>
                <c:ptCount val="1"/>
                <c:pt idx="0">
                  <c:v>0.66165777036036033</c:v>
                </c:pt>
              </c:numCache>
            </c:numRef>
          </c:val>
        </c:ser>
        <c:ser>
          <c:idx val="3"/>
          <c:order val="3"/>
          <c:tx>
            <c:strRef>
              <c:f>'minist pagal prior'!$P$53</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prior'!$L$54</c:f>
              <c:strCache>
                <c:ptCount val="1"/>
                <c:pt idx="0">
                  <c:v>EM, ERPF</c:v>
                </c:pt>
              </c:strCache>
            </c:strRef>
          </c:cat>
          <c:val>
            <c:numRef>
              <c:f>'minist pagal prior'!$P$54</c:f>
              <c:numCache>
                <c:formatCode>0%</c:formatCode>
                <c:ptCount val="1"/>
                <c:pt idx="0">
                  <c:v>0.28837071441441448</c:v>
                </c:pt>
              </c:numCache>
            </c:numRef>
          </c:val>
        </c:ser>
        <c:dLbls>
          <c:showLegendKey val="0"/>
          <c:showVal val="0"/>
          <c:showCatName val="0"/>
          <c:showSerName val="0"/>
          <c:showPercent val="0"/>
          <c:showBubbleSize val="0"/>
        </c:dLbls>
        <c:gapWidth val="217"/>
        <c:overlap val="100"/>
        <c:axId val="109742336"/>
        <c:axId val="109768704"/>
      </c:barChart>
      <c:catAx>
        <c:axId val="109742336"/>
        <c:scaling>
          <c:orientation val="minMax"/>
        </c:scaling>
        <c:delete val="0"/>
        <c:axPos val="l"/>
        <c:majorTickMark val="out"/>
        <c:minorTickMark val="none"/>
        <c:tickLblPos val="nextTo"/>
        <c:crossAx val="109768704"/>
        <c:crosses val="autoZero"/>
        <c:auto val="1"/>
        <c:lblAlgn val="ctr"/>
        <c:lblOffset val="100"/>
        <c:noMultiLvlLbl val="0"/>
      </c:catAx>
      <c:valAx>
        <c:axId val="109768704"/>
        <c:scaling>
          <c:orientation val="minMax"/>
          <c:max val="1"/>
        </c:scaling>
        <c:delete val="1"/>
        <c:axPos val="b"/>
        <c:majorGridlines/>
        <c:numFmt formatCode="0%" sourceLinked="1"/>
        <c:majorTickMark val="out"/>
        <c:minorTickMark val="none"/>
        <c:tickLblPos val="nextTo"/>
        <c:crossAx val="109742336"/>
        <c:crosses val="autoZero"/>
        <c:crossBetween val="between"/>
        <c:majorUnit val="0.2"/>
      </c:valAx>
    </c:plotArea>
    <c:legend>
      <c:legendPos val="b"/>
      <c:layout>
        <c:manualLayout>
          <c:xMode val="edge"/>
          <c:yMode val="edge"/>
          <c:x val="7.6107847200214518E-2"/>
          <c:y val="0.73837270341207351"/>
          <c:w val="0.83952837164704253"/>
          <c:h val="0.18690349752792529"/>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9432583318484844"/>
        </c:manualLayout>
      </c:layout>
      <c:barChart>
        <c:barDir val="bar"/>
        <c:grouping val="clustered"/>
        <c:varyColors val="0"/>
        <c:ser>
          <c:idx val="0"/>
          <c:order val="0"/>
          <c:tx>
            <c:strRef>
              <c:f>'minist pagal prior'!$M$57</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tx>
                <c:rich>
                  <a:bodyPr/>
                  <a:lstStyle/>
                  <a:p>
                    <a:r>
                      <a:rPr lang="lt-LT"/>
                      <a:t>11</a:t>
                    </a:r>
                    <a:r>
                      <a:rPr lang="en-US"/>
                      <a:t>%</a:t>
                    </a:r>
                  </a:p>
                </c:rich>
              </c:tx>
              <c:dLblPos val="inEnd"/>
              <c:showLegendKey val="0"/>
              <c:showVal val="1"/>
              <c:showCatName val="0"/>
              <c:showSerName val="0"/>
              <c:showPercent val="0"/>
              <c:showBubbleSize val="0"/>
            </c:dLbl>
            <c:dLbl>
              <c:idx val="1"/>
              <c:layout/>
              <c:tx>
                <c:rich>
                  <a:bodyPr/>
                  <a:lstStyle/>
                  <a:p>
                    <a:r>
                      <a:rPr lang="lt-LT"/>
                      <a:t>13</a:t>
                    </a:r>
                    <a:r>
                      <a:rPr lang="en-US"/>
                      <a:t>%</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prior'!$L$58:$L$59</c:f>
              <c:strCache>
                <c:ptCount val="2"/>
                <c:pt idx="0">
                  <c:v>SM, SaF</c:v>
                </c:pt>
                <c:pt idx="1">
                  <c:v>SM, ERPF</c:v>
                </c:pt>
              </c:strCache>
            </c:strRef>
          </c:cat>
          <c:val>
            <c:numRef>
              <c:f>'minist pagal prior'!$M$58:$M$59</c:f>
              <c:numCache>
                <c:formatCode>0%</c:formatCode>
                <c:ptCount val="2"/>
                <c:pt idx="0">
                  <c:v>1</c:v>
                </c:pt>
                <c:pt idx="1">
                  <c:v>1</c:v>
                </c:pt>
              </c:numCache>
            </c:numRef>
          </c:val>
        </c:ser>
        <c:ser>
          <c:idx val="1"/>
          <c:order val="1"/>
          <c:tx>
            <c:strRef>
              <c:f>'minist pagal prior'!$N$57</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prior'!$L$58:$L$59</c:f>
              <c:strCache>
                <c:ptCount val="2"/>
                <c:pt idx="0">
                  <c:v>SM, SaF</c:v>
                </c:pt>
                <c:pt idx="1">
                  <c:v>SM, ERPF</c:v>
                </c:pt>
              </c:strCache>
            </c:strRef>
          </c:cat>
          <c:val>
            <c:numRef>
              <c:f>'minist pagal prior'!$N$58:$N$59</c:f>
              <c:numCache>
                <c:formatCode>0%</c:formatCode>
                <c:ptCount val="2"/>
                <c:pt idx="0">
                  <c:v>0.88624123316111492</c:v>
                </c:pt>
                <c:pt idx="1">
                  <c:v>0.87334306797732231</c:v>
                </c:pt>
              </c:numCache>
            </c:numRef>
          </c:val>
        </c:ser>
        <c:ser>
          <c:idx val="2"/>
          <c:order val="2"/>
          <c:tx>
            <c:strRef>
              <c:f>'minist pagal prior'!$O$57</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prior'!$L$58:$L$59</c:f>
              <c:strCache>
                <c:ptCount val="2"/>
                <c:pt idx="0">
                  <c:v>SM, SaF</c:v>
                </c:pt>
                <c:pt idx="1">
                  <c:v>SM, ERPF</c:v>
                </c:pt>
              </c:strCache>
            </c:strRef>
          </c:cat>
          <c:val>
            <c:numRef>
              <c:f>'minist pagal prior'!$O$58:$O$59</c:f>
              <c:numCache>
                <c:formatCode>0%</c:formatCode>
                <c:ptCount val="2"/>
                <c:pt idx="0">
                  <c:v>0.53453953632711604</c:v>
                </c:pt>
                <c:pt idx="1">
                  <c:v>0.53029499378974976</c:v>
                </c:pt>
              </c:numCache>
            </c:numRef>
          </c:val>
        </c:ser>
        <c:ser>
          <c:idx val="3"/>
          <c:order val="3"/>
          <c:tx>
            <c:strRef>
              <c:f>'minist pagal prior'!$P$57</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prior'!$L$58:$L$59</c:f>
              <c:strCache>
                <c:ptCount val="2"/>
                <c:pt idx="0">
                  <c:v>SM, SaF</c:v>
                </c:pt>
                <c:pt idx="1">
                  <c:v>SM, ERPF</c:v>
                </c:pt>
              </c:strCache>
            </c:strRef>
          </c:cat>
          <c:val>
            <c:numRef>
              <c:f>'minist pagal prior'!$P$58:$P$59</c:f>
              <c:numCache>
                <c:formatCode>0%</c:formatCode>
                <c:ptCount val="2"/>
                <c:pt idx="0">
                  <c:v>0.48037004229842584</c:v>
                </c:pt>
                <c:pt idx="1">
                  <c:v>0.41172188832021961</c:v>
                </c:pt>
              </c:numCache>
            </c:numRef>
          </c:val>
        </c:ser>
        <c:dLbls>
          <c:showLegendKey val="0"/>
          <c:showVal val="0"/>
          <c:showCatName val="0"/>
          <c:showSerName val="0"/>
          <c:showPercent val="0"/>
          <c:showBubbleSize val="0"/>
        </c:dLbls>
        <c:gapWidth val="217"/>
        <c:overlap val="100"/>
        <c:axId val="109809024"/>
        <c:axId val="109819008"/>
      </c:barChart>
      <c:catAx>
        <c:axId val="109809024"/>
        <c:scaling>
          <c:orientation val="minMax"/>
        </c:scaling>
        <c:delete val="0"/>
        <c:axPos val="l"/>
        <c:majorTickMark val="out"/>
        <c:minorTickMark val="none"/>
        <c:tickLblPos val="nextTo"/>
        <c:crossAx val="109819008"/>
        <c:crosses val="autoZero"/>
        <c:auto val="1"/>
        <c:lblAlgn val="ctr"/>
        <c:lblOffset val="100"/>
        <c:noMultiLvlLbl val="0"/>
      </c:catAx>
      <c:valAx>
        <c:axId val="109819008"/>
        <c:scaling>
          <c:orientation val="minMax"/>
          <c:max val="1"/>
        </c:scaling>
        <c:delete val="1"/>
        <c:axPos val="b"/>
        <c:majorGridlines/>
        <c:numFmt formatCode="0%" sourceLinked="1"/>
        <c:majorTickMark val="out"/>
        <c:minorTickMark val="none"/>
        <c:tickLblPos val="nextTo"/>
        <c:crossAx val="109809024"/>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4092191601049877"/>
        </c:manualLayout>
      </c:layout>
      <c:barChart>
        <c:barDir val="bar"/>
        <c:grouping val="clustered"/>
        <c:varyColors val="0"/>
        <c:ser>
          <c:idx val="0"/>
          <c:order val="0"/>
          <c:tx>
            <c:strRef>
              <c:f>'minist pagal prior'!$M$62</c:f>
              <c:strCache>
                <c:ptCount val="1"/>
                <c:pt idx="0">
                  <c:v>Nesuplanuotos lėšos</c:v>
                </c:pt>
              </c:strCache>
            </c:strRef>
          </c:tx>
          <c:spPr>
            <a:solidFill>
              <a:schemeClr val="bg1">
                <a:lumMod val="85000"/>
              </a:schemeClr>
            </a:solidFill>
          </c:spPr>
          <c:invertIfNegative val="0"/>
          <c:cat>
            <c:strRef>
              <c:f>'minist pagal prior'!$L$63</c:f>
              <c:strCache>
                <c:ptCount val="1"/>
                <c:pt idx="0">
                  <c:v>KM, ERPF</c:v>
                </c:pt>
              </c:strCache>
            </c:strRef>
          </c:cat>
          <c:val>
            <c:numRef>
              <c:f>'minist pagal prior'!$M$63</c:f>
              <c:numCache>
                <c:formatCode>0%</c:formatCode>
                <c:ptCount val="1"/>
                <c:pt idx="0">
                  <c:v>1</c:v>
                </c:pt>
              </c:numCache>
            </c:numRef>
          </c:val>
        </c:ser>
        <c:ser>
          <c:idx val="1"/>
          <c:order val="1"/>
          <c:tx>
            <c:strRef>
              <c:f>'minist pagal prior'!$N$62</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prior'!$L$63</c:f>
              <c:strCache>
                <c:ptCount val="1"/>
                <c:pt idx="0">
                  <c:v>KM, ERPF</c:v>
                </c:pt>
              </c:strCache>
            </c:strRef>
          </c:cat>
          <c:val>
            <c:numRef>
              <c:f>'minist pagal prior'!$N$63</c:f>
              <c:numCache>
                <c:formatCode>0%</c:formatCode>
                <c:ptCount val="1"/>
                <c:pt idx="0">
                  <c:v>0.9914667791925833</c:v>
                </c:pt>
              </c:numCache>
            </c:numRef>
          </c:val>
        </c:ser>
        <c:ser>
          <c:idx val="2"/>
          <c:order val="2"/>
          <c:tx>
            <c:strRef>
              <c:f>'minist pagal prior'!$O$62</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prior'!$L$63</c:f>
              <c:strCache>
                <c:ptCount val="1"/>
                <c:pt idx="0">
                  <c:v>KM, ERPF</c:v>
                </c:pt>
              </c:strCache>
            </c:strRef>
          </c:cat>
          <c:val>
            <c:numRef>
              <c:f>'minist pagal prior'!$O$63</c:f>
              <c:numCache>
                <c:formatCode>0%</c:formatCode>
                <c:ptCount val="1"/>
                <c:pt idx="0">
                  <c:v>0.77589638231736457</c:v>
                </c:pt>
              </c:numCache>
            </c:numRef>
          </c:val>
        </c:ser>
        <c:ser>
          <c:idx val="3"/>
          <c:order val="3"/>
          <c:tx>
            <c:strRef>
              <c:f>'minist pagal prior'!$P$62</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prior'!$L$63</c:f>
              <c:strCache>
                <c:ptCount val="1"/>
                <c:pt idx="0">
                  <c:v>KM, ERPF</c:v>
                </c:pt>
              </c:strCache>
            </c:strRef>
          </c:cat>
          <c:val>
            <c:numRef>
              <c:f>'minist pagal prior'!$P$63</c:f>
              <c:numCache>
                <c:formatCode>0%</c:formatCode>
                <c:ptCount val="1"/>
                <c:pt idx="0">
                  <c:v>0.27912906485550359</c:v>
                </c:pt>
              </c:numCache>
            </c:numRef>
          </c:val>
        </c:ser>
        <c:dLbls>
          <c:showLegendKey val="0"/>
          <c:showVal val="0"/>
          <c:showCatName val="0"/>
          <c:showSerName val="0"/>
          <c:showPercent val="0"/>
          <c:showBubbleSize val="0"/>
        </c:dLbls>
        <c:gapWidth val="217"/>
        <c:overlap val="100"/>
        <c:axId val="109863296"/>
        <c:axId val="109864832"/>
      </c:barChart>
      <c:catAx>
        <c:axId val="109863296"/>
        <c:scaling>
          <c:orientation val="minMax"/>
        </c:scaling>
        <c:delete val="0"/>
        <c:axPos val="l"/>
        <c:majorTickMark val="out"/>
        <c:minorTickMark val="none"/>
        <c:tickLblPos val="nextTo"/>
        <c:crossAx val="109864832"/>
        <c:crosses val="autoZero"/>
        <c:auto val="1"/>
        <c:lblAlgn val="ctr"/>
        <c:lblOffset val="100"/>
        <c:noMultiLvlLbl val="0"/>
      </c:catAx>
      <c:valAx>
        <c:axId val="109864832"/>
        <c:scaling>
          <c:orientation val="minMax"/>
          <c:max val="1"/>
        </c:scaling>
        <c:delete val="1"/>
        <c:axPos val="b"/>
        <c:majorGridlines/>
        <c:numFmt formatCode="0%" sourceLinked="1"/>
        <c:majorTickMark val="out"/>
        <c:minorTickMark val="none"/>
        <c:tickLblPos val="nextTo"/>
        <c:crossAx val="109863296"/>
        <c:crosses val="autoZero"/>
        <c:crossBetween val="between"/>
        <c:majorUnit val="0.2"/>
      </c:valAx>
    </c:plotArea>
    <c:legend>
      <c:legendPos val="b"/>
      <c:layout>
        <c:manualLayout>
          <c:xMode val="edge"/>
          <c:yMode val="edge"/>
          <c:x val="7.8171830688346614E-2"/>
          <c:y val="0.6885223557581619"/>
          <c:w val="0.83952837164704253"/>
          <c:h val="0.18690349752792529"/>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62489117803848171"/>
        </c:manualLayout>
      </c:layout>
      <c:barChart>
        <c:barDir val="bar"/>
        <c:grouping val="clustered"/>
        <c:varyColors val="0"/>
        <c:ser>
          <c:idx val="0"/>
          <c:order val="0"/>
          <c:tx>
            <c:strRef>
              <c:f>'minist pagal prior'!$M$66</c:f>
              <c:strCache>
                <c:ptCount val="1"/>
                <c:pt idx="0">
                  <c:v>Nesuplanuotos lėšos</c:v>
                </c:pt>
              </c:strCache>
            </c:strRef>
          </c:tx>
          <c:spPr>
            <a:solidFill>
              <a:schemeClr val="bg1">
                <a:lumMod val="85000"/>
              </a:schemeClr>
            </a:solidFill>
            <a:ln w="38100">
              <a:solidFill>
                <a:schemeClr val="bg1">
                  <a:lumMod val="85000"/>
                </a:schemeClr>
              </a:solidFill>
            </a:ln>
          </c:spPr>
          <c:invertIfNegative val="0"/>
          <c:cat>
            <c:strRef>
              <c:f>'minist pagal prior'!$L$67:$L$69</c:f>
              <c:strCache>
                <c:ptCount val="3"/>
                <c:pt idx="0">
                  <c:v>SADM,JUI</c:v>
                </c:pt>
                <c:pt idx="1">
                  <c:v>SADM, ESF</c:v>
                </c:pt>
                <c:pt idx="2">
                  <c:v>SADM, ERPF</c:v>
                </c:pt>
              </c:strCache>
            </c:strRef>
          </c:cat>
          <c:val>
            <c:numRef>
              <c:f>'minist pagal prior'!$M$67:$M$69</c:f>
              <c:numCache>
                <c:formatCode>0%</c:formatCode>
                <c:ptCount val="3"/>
                <c:pt idx="0">
                  <c:v>1</c:v>
                </c:pt>
                <c:pt idx="1">
                  <c:v>1</c:v>
                </c:pt>
                <c:pt idx="2">
                  <c:v>1</c:v>
                </c:pt>
              </c:numCache>
            </c:numRef>
          </c:val>
        </c:ser>
        <c:ser>
          <c:idx val="1"/>
          <c:order val="1"/>
          <c:tx>
            <c:strRef>
              <c:f>'minist pagal prior'!$N$66</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prior'!$L$67:$L$69</c:f>
              <c:strCache>
                <c:ptCount val="3"/>
                <c:pt idx="0">
                  <c:v>SADM,JUI</c:v>
                </c:pt>
                <c:pt idx="1">
                  <c:v>SADM, ESF</c:v>
                </c:pt>
                <c:pt idx="2">
                  <c:v>SADM, ERPF</c:v>
                </c:pt>
              </c:strCache>
            </c:strRef>
          </c:cat>
          <c:val>
            <c:numRef>
              <c:f>'minist pagal prior'!$N$67:$N$69</c:f>
              <c:numCache>
                <c:formatCode>0%</c:formatCode>
                <c:ptCount val="3"/>
                <c:pt idx="0">
                  <c:v>1</c:v>
                </c:pt>
                <c:pt idx="1">
                  <c:v>0.84644342693832464</c:v>
                </c:pt>
                <c:pt idx="2">
                  <c:v>0.73091450205879649</c:v>
                </c:pt>
              </c:numCache>
            </c:numRef>
          </c:val>
        </c:ser>
        <c:ser>
          <c:idx val="2"/>
          <c:order val="2"/>
          <c:tx>
            <c:strRef>
              <c:f>'minist pagal prior'!$O$66</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prior'!$L$67:$L$69</c:f>
              <c:strCache>
                <c:ptCount val="3"/>
                <c:pt idx="0">
                  <c:v>SADM,JUI</c:v>
                </c:pt>
                <c:pt idx="1">
                  <c:v>SADM, ESF</c:v>
                </c:pt>
                <c:pt idx="2">
                  <c:v>SADM, ERPF</c:v>
                </c:pt>
              </c:strCache>
            </c:strRef>
          </c:cat>
          <c:val>
            <c:numRef>
              <c:f>'minist pagal prior'!$O$67:$O$69</c:f>
              <c:numCache>
                <c:formatCode>0%</c:formatCode>
                <c:ptCount val="3"/>
                <c:pt idx="0">
                  <c:v>0.99999471440896659</c:v>
                </c:pt>
                <c:pt idx="1">
                  <c:v>0.90923947261693716</c:v>
                </c:pt>
                <c:pt idx="2">
                  <c:v>0.7309144994542085</c:v>
                </c:pt>
              </c:numCache>
            </c:numRef>
          </c:val>
        </c:ser>
        <c:ser>
          <c:idx val="3"/>
          <c:order val="3"/>
          <c:tx>
            <c:strRef>
              <c:f>'minist pagal prior'!$P$66</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prior'!$L$67:$L$69</c:f>
              <c:strCache>
                <c:ptCount val="3"/>
                <c:pt idx="0">
                  <c:v>SADM,JUI</c:v>
                </c:pt>
                <c:pt idx="1">
                  <c:v>SADM, ESF</c:v>
                </c:pt>
                <c:pt idx="2">
                  <c:v>SADM, ERPF</c:v>
                </c:pt>
              </c:strCache>
            </c:strRef>
          </c:cat>
          <c:val>
            <c:numRef>
              <c:f>'minist pagal prior'!$P$67:$P$69</c:f>
              <c:numCache>
                <c:formatCode>0%</c:formatCode>
                <c:ptCount val="3"/>
                <c:pt idx="0">
                  <c:v>0.99999471440896659</c:v>
                </c:pt>
                <c:pt idx="1">
                  <c:v>0.59380835054252401</c:v>
                </c:pt>
                <c:pt idx="2">
                  <c:v>0</c:v>
                </c:pt>
              </c:numCache>
            </c:numRef>
          </c:val>
        </c:ser>
        <c:dLbls>
          <c:showLegendKey val="0"/>
          <c:showVal val="0"/>
          <c:showCatName val="0"/>
          <c:showSerName val="0"/>
          <c:showPercent val="0"/>
          <c:showBubbleSize val="0"/>
        </c:dLbls>
        <c:gapWidth val="217"/>
        <c:overlap val="100"/>
        <c:axId val="109896832"/>
        <c:axId val="109898368"/>
      </c:barChart>
      <c:catAx>
        <c:axId val="109896832"/>
        <c:scaling>
          <c:orientation val="minMax"/>
        </c:scaling>
        <c:delete val="0"/>
        <c:axPos val="l"/>
        <c:majorTickMark val="out"/>
        <c:minorTickMark val="none"/>
        <c:tickLblPos val="nextTo"/>
        <c:crossAx val="109898368"/>
        <c:crosses val="autoZero"/>
        <c:auto val="1"/>
        <c:lblAlgn val="ctr"/>
        <c:lblOffset val="100"/>
        <c:noMultiLvlLbl val="0"/>
      </c:catAx>
      <c:valAx>
        <c:axId val="109898368"/>
        <c:scaling>
          <c:orientation val="minMax"/>
          <c:max val="1"/>
        </c:scaling>
        <c:delete val="1"/>
        <c:axPos val="b"/>
        <c:majorGridlines/>
        <c:numFmt formatCode="0%" sourceLinked="1"/>
        <c:majorTickMark val="out"/>
        <c:minorTickMark val="none"/>
        <c:tickLblPos val="nextTo"/>
        <c:crossAx val="10989683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64669666291713535"/>
        </c:manualLayout>
      </c:layout>
      <c:barChart>
        <c:barDir val="bar"/>
        <c:grouping val="clustered"/>
        <c:varyColors val="0"/>
        <c:ser>
          <c:idx val="0"/>
          <c:order val="0"/>
          <c:tx>
            <c:strRef>
              <c:f>'minist pagal prior'!$M$72</c:f>
              <c:strCache>
                <c:ptCount val="1"/>
                <c:pt idx="0">
                  <c:v>Nesuplanuotos lėšos</c:v>
                </c:pt>
              </c:strCache>
            </c:strRef>
          </c:tx>
          <c:spPr>
            <a:solidFill>
              <a:schemeClr val="bg1">
                <a:lumMod val="85000"/>
              </a:schemeClr>
            </a:solidFill>
            <a:ln w="38100">
              <a:solidFill>
                <a:schemeClr val="bg1">
                  <a:lumMod val="85000"/>
                </a:schemeClr>
              </a:solidFill>
            </a:ln>
          </c:spPr>
          <c:invertIfNegative val="0"/>
          <c:cat>
            <c:strRef>
              <c:f>'minist pagal prior'!$L$73:$L$74</c:f>
              <c:strCache>
                <c:ptCount val="2"/>
                <c:pt idx="0">
                  <c:v>VRM, ESF</c:v>
                </c:pt>
                <c:pt idx="1">
                  <c:v>VRM, ERPF</c:v>
                </c:pt>
              </c:strCache>
            </c:strRef>
          </c:cat>
          <c:val>
            <c:numRef>
              <c:f>'minist pagal prior'!$M$73:$M$74</c:f>
              <c:numCache>
                <c:formatCode>0%</c:formatCode>
                <c:ptCount val="2"/>
                <c:pt idx="0">
                  <c:v>1</c:v>
                </c:pt>
                <c:pt idx="1">
                  <c:v>1</c:v>
                </c:pt>
              </c:numCache>
            </c:numRef>
          </c:val>
        </c:ser>
        <c:ser>
          <c:idx val="1"/>
          <c:order val="1"/>
          <c:tx>
            <c:strRef>
              <c:f>'minist pagal prior'!$N$72</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prior'!$L$73:$L$74</c:f>
              <c:strCache>
                <c:ptCount val="2"/>
                <c:pt idx="0">
                  <c:v>VRM, ESF</c:v>
                </c:pt>
                <c:pt idx="1">
                  <c:v>VRM, ERPF</c:v>
                </c:pt>
              </c:strCache>
            </c:strRef>
          </c:cat>
          <c:val>
            <c:numRef>
              <c:f>'minist pagal prior'!$N$73:$N$74</c:f>
              <c:numCache>
                <c:formatCode>0%</c:formatCode>
                <c:ptCount val="2"/>
                <c:pt idx="0">
                  <c:v>0</c:v>
                </c:pt>
                <c:pt idx="1">
                  <c:v>0.80009701959201007</c:v>
                </c:pt>
              </c:numCache>
            </c:numRef>
          </c:val>
        </c:ser>
        <c:ser>
          <c:idx val="2"/>
          <c:order val="2"/>
          <c:tx>
            <c:strRef>
              <c:f>'minist pagal prior'!$O$72</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prior'!$L$73:$L$74</c:f>
              <c:strCache>
                <c:ptCount val="2"/>
                <c:pt idx="0">
                  <c:v>VRM, ESF</c:v>
                </c:pt>
                <c:pt idx="1">
                  <c:v>VRM, ERPF</c:v>
                </c:pt>
              </c:strCache>
            </c:strRef>
          </c:cat>
          <c:val>
            <c:numRef>
              <c:f>'minist pagal prior'!$O$73:$O$74</c:f>
              <c:numCache>
                <c:formatCode>0%</c:formatCode>
                <c:ptCount val="2"/>
                <c:pt idx="0">
                  <c:v>0</c:v>
                </c:pt>
                <c:pt idx="1">
                  <c:v>0.66053577474154779</c:v>
                </c:pt>
              </c:numCache>
            </c:numRef>
          </c:val>
        </c:ser>
        <c:ser>
          <c:idx val="3"/>
          <c:order val="3"/>
          <c:tx>
            <c:strRef>
              <c:f>'minist pagal prior'!$P$72</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prior'!$L$73:$L$74</c:f>
              <c:strCache>
                <c:ptCount val="2"/>
                <c:pt idx="0">
                  <c:v>VRM, ESF</c:v>
                </c:pt>
                <c:pt idx="1">
                  <c:v>VRM, ERPF</c:v>
                </c:pt>
              </c:strCache>
            </c:strRef>
          </c:cat>
          <c:val>
            <c:numRef>
              <c:f>'minist pagal prior'!$P$73:$P$74</c:f>
              <c:numCache>
                <c:formatCode>0%</c:formatCode>
                <c:ptCount val="2"/>
                <c:pt idx="0">
                  <c:v>0</c:v>
                </c:pt>
                <c:pt idx="1">
                  <c:v>0.28400532783491661</c:v>
                </c:pt>
              </c:numCache>
            </c:numRef>
          </c:val>
        </c:ser>
        <c:dLbls>
          <c:showLegendKey val="0"/>
          <c:showVal val="0"/>
          <c:showCatName val="0"/>
          <c:showSerName val="0"/>
          <c:showPercent val="0"/>
          <c:showBubbleSize val="0"/>
        </c:dLbls>
        <c:gapWidth val="217"/>
        <c:overlap val="100"/>
        <c:axId val="109942656"/>
        <c:axId val="109944192"/>
      </c:barChart>
      <c:catAx>
        <c:axId val="109942656"/>
        <c:scaling>
          <c:orientation val="minMax"/>
        </c:scaling>
        <c:delete val="0"/>
        <c:axPos val="l"/>
        <c:majorTickMark val="out"/>
        <c:minorTickMark val="none"/>
        <c:tickLblPos val="nextTo"/>
        <c:crossAx val="109944192"/>
        <c:crosses val="autoZero"/>
        <c:auto val="1"/>
        <c:lblAlgn val="ctr"/>
        <c:lblOffset val="100"/>
        <c:noMultiLvlLbl val="0"/>
      </c:catAx>
      <c:valAx>
        <c:axId val="109944192"/>
        <c:scaling>
          <c:orientation val="minMax"/>
          <c:max val="1"/>
        </c:scaling>
        <c:delete val="1"/>
        <c:axPos val="b"/>
        <c:majorGridlines/>
        <c:numFmt formatCode="0%" sourceLinked="1"/>
        <c:majorTickMark val="out"/>
        <c:minorTickMark val="none"/>
        <c:tickLblPos val="nextTo"/>
        <c:crossAx val="10994265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prior'!$M$77</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tx>
                <c:rich>
                  <a:bodyPr/>
                  <a:lstStyle/>
                  <a:p>
                    <a:r>
                      <a:rPr lang="lt-LT"/>
                      <a:t>19</a:t>
                    </a:r>
                    <a:r>
                      <a:rPr lang="en-US"/>
                      <a:t>%</a:t>
                    </a:r>
                  </a:p>
                </c:rich>
              </c:tx>
              <c:dLblPos val="inEnd"/>
              <c:showLegendKey val="0"/>
              <c:showVal val="1"/>
              <c:showCatName val="0"/>
              <c:showSerName val="0"/>
              <c:showPercent val="0"/>
              <c:showBubbleSize val="0"/>
            </c:dLbl>
            <c:dLbl>
              <c:idx val="1"/>
              <c:layout/>
              <c:tx>
                <c:rich>
                  <a:bodyPr/>
                  <a:lstStyle/>
                  <a:p>
                    <a:r>
                      <a:rPr lang="lt-LT"/>
                      <a:t>22</a:t>
                    </a:r>
                    <a:r>
                      <a:rPr lang="en-US"/>
                      <a:t>%</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prior'!$L$78:$L$79</c:f>
              <c:strCache>
                <c:ptCount val="2"/>
                <c:pt idx="0">
                  <c:v>SADM, ESF</c:v>
                </c:pt>
                <c:pt idx="1">
                  <c:v>SADM, ERPF</c:v>
                </c:pt>
              </c:strCache>
            </c:strRef>
          </c:cat>
          <c:val>
            <c:numRef>
              <c:f>'minist pagal prior'!$M$78:$M$79</c:f>
              <c:numCache>
                <c:formatCode>0%</c:formatCode>
                <c:ptCount val="2"/>
                <c:pt idx="0">
                  <c:v>1</c:v>
                </c:pt>
                <c:pt idx="1">
                  <c:v>1</c:v>
                </c:pt>
              </c:numCache>
            </c:numRef>
          </c:val>
        </c:ser>
        <c:ser>
          <c:idx val="1"/>
          <c:order val="1"/>
          <c:tx>
            <c:strRef>
              <c:f>'minist pagal prior'!$N$77</c:f>
              <c:strCache>
                <c:ptCount val="1"/>
                <c:pt idx="0">
                  <c:v>Suplanuota</c:v>
                </c:pt>
              </c:strCache>
            </c:strRef>
          </c:tx>
          <c:spPr>
            <a:solidFill>
              <a:schemeClr val="accent1"/>
            </a:solidFill>
            <a:ln w="88900">
              <a:solidFill>
                <a:schemeClr val="accent1"/>
              </a:solidFill>
            </a:ln>
          </c:spPr>
          <c:invertIfNegative val="0"/>
          <c:dLbls>
            <c:dLbl>
              <c:idx val="0"/>
              <c:layout>
                <c:manualLayout>
                  <c:x val="-5.0134158926728588E-2"/>
                  <c:y val="0"/>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prior'!$L$78:$L$79</c:f>
              <c:strCache>
                <c:ptCount val="2"/>
                <c:pt idx="0">
                  <c:v>SADM, ESF</c:v>
                </c:pt>
                <c:pt idx="1">
                  <c:v>SADM, ERPF</c:v>
                </c:pt>
              </c:strCache>
            </c:strRef>
          </c:cat>
          <c:val>
            <c:numRef>
              <c:f>'minist pagal prior'!$N$78:$N$79</c:f>
              <c:numCache>
                <c:formatCode>0%</c:formatCode>
                <c:ptCount val="2"/>
                <c:pt idx="0">
                  <c:v>0.81188610463987643</c:v>
                </c:pt>
                <c:pt idx="1">
                  <c:v>0.78230860672914104</c:v>
                </c:pt>
              </c:numCache>
            </c:numRef>
          </c:val>
        </c:ser>
        <c:ser>
          <c:idx val="2"/>
          <c:order val="2"/>
          <c:tx>
            <c:strRef>
              <c:f>'minist pagal prior'!$O$77</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prior'!$L$78:$L$79</c:f>
              <c:strCache>
                <c:ptCount val="2"/>
                <c:pt idx="0">
                  <c:v>SADM, ESF</c:v>
                </c:pt>
                <c:pt idx="1">
                  <c:v>SADM, ERPF</c:v>
                </c:pt>
              </c:strCache>
            </c:strRef>
          </c:cat>
          <c:val>
            <c:numRef>
              <c:f>'minist pagal prior'!$O$78:$O$79</c:f>
              <c:numCache>
                <c:formatCode>0%</c:formatCode>
                <c:ptCount val="2"/>
                <c:pt idx="0">
                  <c:v>0.7536140310133369</c:v>
                </c:pt>
                <c:pt idx="1">
                  <c:v>0.69971738167964592</c:v>
                </c:pt>
              </c:numCache>
            </c:numRef>
          </c:val>
        </c:ser>
        <c:ser>
          <c:idx val="3"/>
          <c:order val="3"/>
          <c:tx>
            <c:strRef>
              <c:f>'minist pagal prior'!$P$77</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prior'!$L$78:$L$79</c:f>
              <c:strCache>
                <c:ptCount val="2"/>
                <c:pt idx="0">
                  <c:v>SADM, ESF</c:v>
                </c:pt>
                <c:pt idx="1">
                  <c:v>SADM, ERPF</c:v>
                </c:pt>
              </c:strCache>
            </c:strRef>
          </c:cat>
          <c:val>
            <c:numRef>
              <c:f>'minist pagal prior'!$P$78:$P$79</c:f>
              <c:numCache>
                <c:formatCode>0%</c:formatCode>
                <c:ptCount val="2"/>
                <c:pt idx="0">
                  <c:v>0.50366147961806129</c:v>
                </c:pt>
                <c:pt idx="1">
                  <c:v>0.39830048216327907</c:v>
                </c:pt>
              </c:numCache>
            </c:numRef>
          </c:val>
        </c:ser>
        <c:dLbls>
          <c:showLegendKey val="0"/>
          <c:showVal val="0"/>
          <c:showCatName val="0"/>
          <c:showSerName val="0"/>
          <c:showPercent val="0"/>
          <c:showBubbleSize val="0"/>
        </c:dLbls>
        <c:gapWidth val="217"/>
        <c:overlap val="100"/>
        <c:axId val="110312448"/>
        <c:axId val="110322432"/>
      </c:barChart>
      <c:catAx>
        <c:axId val="110312448"/>
        <c:scaling>
          <c:orientation val="minMax"/>
        </c:scaling>
        <c:delete val="0"/>
        <c:axPos val="l"/>
        <c:majorTickMark val="out"/>
        <c:minorTickMark val="none"/>
        <c:tickLblPos val="nextTo"/>
        <c:crossAx val="110322432"/>
        <c:crosses val="autoZero"/>
        <c:auto val="1"/>
        <c:lblAlgn val="ctr"/>
        <c:lblOffset val="100"/>
        <c:noMultiLvlLbl val="0"/>
      </c:catAx>
      <c:valAx>
        <c:axId val="110322432"/>
        <c:scaling>
          <c:orientation val="minMax"/>
          <c:max val="1"/>
        </c:scaling>
        <c:delete val="1"/>
        <c:axPos val="b"/>
        <c:majorGridlines/>
        <c:numFmt formatCode="0%" sourceLinked="1"/>
        <c:majorTickMark val="out"/>
        <c:minorTickMark val="none"/>
        <c:tickLblPos val="nextTo"/>
        <c:crossAx val="110312448"/>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54985126859141"/>
          <c:y val="5.0013754320066162E-2"/>
          <c:w val="0.77470348206474193"/>
          <c:h val="0.82227835458308585"/>
        </c:manualLayout>
      </c:layout>
      <c:barChart>
        <c:barDir val="bar"/>
        <c:grouping val="stacked"/>
        <c:varyColors val="0"/>
        <c:ser>
          <c:idx val="0"/>
          <c:order val="0"/>
          <c:tx>
            <c:strRef>
              <c:f>'Bendr grafik'!$B$1</c:f>
              <c:strCache>
                <c:ptCount val="1"/>
                <c:pt idx="0">
                  <c:v>Iki 2019-06-30</c:v>
                </c:pt>
              </c:strCache>
            </c:strRef>
          </c:tx>
          <c:spPr>
            <a:solidFill>
              <a:schemeClr val="accent1"/>
            </a:solidFill>
          </c:spPr>
          <c:invertIfNegative val="0"/>
          <c:dPt>
            <c:idx val="3"/>
            <c:invertIfNegative val="0"/>
            <c:bubble3D val="0"/>
          </c:dPt>
          <c:dPt>
            <c:idx val="4"/>
            <c:invertIfNegative val="0"/>
            <c:bubble3D val="0"/>
            <c:spPr>
              <a:pattFill prst="pct60">
                <a:fgClr>
                  <a:schemeClr val="accent1"/>
                </a:fgClr>
                <a:bgClr>
                  <a:schemeClr val="bg1"/>
                </a:bgClr>
              </a:pattFill>
            </c:spPr>
          </c:dPt>
          <c:dLbls>
            <c:dLbl>
              <c:idx val="4"/>
              <c:layout>
                <c:manualLayout>
                  <c:x val="0.19763158625715466"/>
                  <c:y val="0"/>
                </c:manualLayout>
              </c:layout>
              <c:dLblPos val="ctr"/>
              <c:showLegendKey val="0"/>
              <c:showVal val="1"/>
              <c:showCatName val="0"/>
              <c:showSerName val="0"/>
              <c:showPercent val="0"/>
              <c:showBubbleSize val="0"/>
            </c:dLbl>
            <c:txPr>
              <a:bodyPr/>
              <a:lstStyle/>
              <a:p>
                <a:pPr>
                  <a:defRPr baseline="0"/>
                </a:pPr>
                <a:endParaRPr lang="lt-LT"/>
              </a:p>
            </c:txPr>
            <c:dLblPos val="ctr"/>
            <c:showLegendKey val="0"/>
            <c:showVal val="1"/>
            <c:showCatName val="0"/>
            <c:showSerName val="0"/>
            <c:showPercent val="0"/>
            <c:showBubbleSize val="0"/>
            <c:showLeaderLines val="0"/>
          </c:dLbls>
          <c:cat>
            <c:strRef>
              <c:f>'Bendr grafik'!$A$2:$A$6</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grafik'!$B$2:$B$6</c:f>
              <c:numCache>
                <c:formatCode>_-* #,##0\ _L_t_-;\-* #,##0\ _L_t_-;_-* "-"??\ _L_t_-;_-@_-</c:formatCode>
                <c:ptCount val="5"/>
                <c:pt idx="0">
                  <c:v>2022</c:v>
                </c:pt>
                <c:pt idx="1">
                  <c:v>2368</c:v>
                </c:pt>
                <c:pt idx="2">
                  <c:v>4786</c:v>
                </c:pt>
                <c:pt idx="3">
                  <c:v>5717</c:v>
                </c:pt>
                <c:pt idx="4" formatCode="#,##0">
                  <c:v>6709.3961300000001</c:v>
                </c:pt>
              </c:numCache>
            </c:numRef>
          </c:val>
        </c:ser>
        <c:ser>
          <c:idx val="1"/>
          <c:order val="1"/>
          <c:tx>
            <c:strRef>
              <c:f>'Bendr grafik'!$C$1</c:f>
              <c:strCache>
                <c:ptCount val="1"/>
                <c:pt idx="0">
                  <c:v>Per 2019 m. III ketv.</c:v>
                </c:pt>
              </c:strCache>
            </c:strRef>
          </c:tx>
          <c:spPr>
            <a:solidFill>
              <a:srgbClr val="92D050"/>
            </a:solidFill>
          </c:spPr>
          <c:invertIfNegative val="0"/>
          <c:dLbls>
            <c:dLbl>
              <c:idx val="0"/>
              <c:layout>
                <c:manualLayout>
                  <c:x val="5.6888888888888892E-2"/>
                  <c:y val="0"/>
                </c:manualLayout>
              </c:layout>
              <c:tx>
                <c:rich>
                  <a:bodyPr/>
                  <a:lstStyle/>
                  <a:p>
                    <a:pPr>
                      <a:defRPr b="1">
                        <a:solidFill>
                          <a:schemeClr val="accent3">
                            <a:lumMod val="50000"/>
                          </a:schemeClr>
                        </a:solidFill>
                      </a:defRPr>
                    </a:pPr>
                    <a:r>
                      <a:rPr lang="en-US" b="1">
                        <a:solidFill>
                          <a:schemeClr val="accent3">
                            <a:lumMod val="50000"/>
                          </a:schemeClr>
                        </a:solidFill>
                      </a:rPr>
                      <a:t> </a:t>
                    </a:r>
                    <a:r>
                      <a:rPr lang="lt-LT" b="1">
                        <a:solidFill>
                          <a:schemeClr val="accent3">
                            <a:lumMod val="50000"/>
                          </a:schemeClr>
                        </a:solidFill>
                      </a:rPr>
                      <a:t>135</a:t>
                    </a:r>
                    <a:r>
                      <a:rPr lang="lt-LT" b="1" baseline="0">
                        <a:solidFill>
                          <a:schemeClr val="accent3">
                            <a:lumMod val="50000"/>
                          </a:schemeClr>
                        </a:solidFill>
                      </a:rPr>
                      <a:t> </a:t>
                    </a:r>
                    <a:r>
                      <a:rPr lang="en-US" b="1">
                        <a:solidFill>
                          <a:schemeClr val="accent3">
                            <a:lumMod val="50000"/>
                          </a:schemeClr>
                        </a:solidFill>
                      </a:rPr>
                      <a:t>(</a:t>
                    </a:r>
                    <a:r>
                      <a:rPr lang="lt-LT" b="1">
                        <a:solidFill>
                          <a:schemeClr val="accent3">
                            <a:lumMod val="50000"/>
                          </a:schemeClr>
                        </a:solidFill>
                      </a:rPr>
                      <a:t>2</a:t>
                    </a:r>
                    <a:r>
                      <a:rPr lang="en-US" b="1">
                        <a:solidFill>
                          <a:schemeClr val="accent3">
                            <a:lumMod val="50000"/>
                          </a:schemeClr>
                        </a:solidFill>
                      </a:rPr>
                      <a:t>%)    </a:t>
                    </a:r>
                  </a:p>
                </c:rich>
              </c:tx>
              <c:spPr/>
              <c:showLegendKey val="0"/>
              <c:showVal val="1"/>
              <c:showCatName val="0"/>
              <c:showSerName val="0"/>
              <c:showPercent val="0"/>
              <c:showBubbleSize val="0"/>
            </c:dLbl>
            <c:dLbl>
              <c:idx val="1"/>
              <c:layout>
                <c:manualLayout>
                  <c:x val="5.3333333333333337E-2"/>
                  <c:y val="3.7926678870826274E-3"/>
                </c:manualLayout>
              </c:layout>
              <c:tx>
                <c:rich>
                  <a:bodyPr/>
                  <a:lstStyle/>
                  <a:p>
                    <a:pPr>
                      <a:defRPr b="1">
                        <a:solidFill>
                          <a:schemeClr val="accent3">
                            <a:lumMod val="50000"/>
                          </a:schemeClr>
                        </a:solidFill>
                      </a:defRPr>
                    </a:pPr>
                    <a:r>
                      <a:rPr lang="en-US" b="1">
                        <a:solidFill>
                          <a:schemeClr val="accent3">
                            <a:lumMod val="50000"/>
                          </a:schemeClr>
                        </a:solidFill>
                      </a:rPr>
                      <a:t> </a:t>
                    </a:r>
                    <a:r>
                      <a:rPr lang="lt-LT" b="1">
                        <a:solidFill>
                          <a:schemeClr val="accent3">
                            <a:lumMod val="50000"/>
                          </a:schemeClr>
                        </a:solidFill>
                      </a:rPr>
                      <a:t>246</a:t>
                    </a:r>
                    <a:r>
                      <a:rPr lang="en-US" b="1">
                        <a:solidFill>
                          <a:schemeClr val="accent3">
                            <a:lumMod val="50000"/>
                          </a:schemeClr>
                        </a:solidFill>
                      </a:rPr>
                      <a:t> (</a:t>
                    </a:r>
                    <a:r>
                      <a:rPr lang="lt-LT" b="1">
                        <a:solidFill>
                          <a:schemeClr val="accent3">
                            <a:lumMod val="50000"/>
                          </a:schemeClr>
                        </a:solidFill>
                      </a:rPr>
                      <a:t>4</a:t>
                    </a:r>
                    <a:r>
                      <a:rPr lang="en-US" b="1">
                        <a:solidFill>
                          <a:schemeClr val="accent3">
                            <a:lumMod val="50000"/>
                          </a:schemeClr>
                        </a:solidFill>
                      </a:rPr>
                      <a:t>%)    </a:t>
                    </a:r>
                  </a:p>
                </c:rich>
              </c:tx>
              <c:spPr/>
              <c:showLegendKey val="0"/>
              <c:showVal val="1"/>
              <c:showCatName val="0"/>
              <c:showSerName val="0"/>
              <c:showPercent val="0"/>
              <c:showBubbleSize val="0"/>
            </c:dLbl>
            <c:dLbl>
              <c:idx val="2"/>
              <c:layout>
                <c:manualLayout>
                  <c:x val="5.5111111111111111E-2"/>
                  <c:y val="0"/>
                </c:manualLayout>
              </c:layout>
              <c:tx>
                <c:rich>
                  <a:bodyPr/>
                  <a:lstStyle/>
                  <a:p>
                    <a:pPr>
                      <a:defRPr b="1">
                        <a:solidFill>
                          <a:schemeClr val="accent3">
                            <a:lumMod val="50000"/>
                          </a:schemeClr>
                        </a:solidFill>
                      </a:defRPr>
                    </a:pPr>
                    <a:r>
                      <a:rPr lang="en-US" b="1">
                        <a:solidFill>
                          <a:schemeClr val="accent3">
                            <a:lumMod val="50000"/>
                          </a:schemeClr>
                        </a:solidFill>
                      </a:rPr>
                      <a:t> </a:t>
                    </a:r>
                    <a:r>
                      <a:rPr lang="lt-LT" b="1">
                        <a:solidFill>
                          <a:schemeClr val="accent3">
                            <a:lumMod val="50000"/>
                          </a:schemeClr>
                        </a:solidFill>
                      </a:rPr>
                      <a:t>224</a:t>
                    </a:r>
                    <a:r>
                      <a:rPr lang="en-US" b="1">
                        <a:solidFill>
                          <a:schemeClr val="accent3">
                            <a:lumMod val="50000"/>
                          </a:schemeClr>
                        </a:solidFill>
                      </a:rPr>
                      <a:t> (</a:t>
                    </a:r>
                    <a:r>
                      <a:rPr lang="lt-LT" b="1">
                        <a:solidFill>
                          <a:schemeClr val="accent3">
                            <a:lumMod val="50000"/>
                          </a:schemeClr>
                        </a:solidFill>
                      </a:rPr>
                      <a:t>3</a:t>
                    </a:r>
                    <a:r>
                      <a:rPr lang="en-US" b="1">
                        <a:solidFill>
                          <a:schemeClr val="accent3">
                            <a:lumMod val="50000"/>
                          </a:schemeClr>
                        </a:solidFill>
                      </a:rPr>
                      <a:t>%)    </a:t>
                    </a:r>
                  </a:p>
                </c:rich>
              </c:tx>
              <c:spPr/>
              <c:showLegendKey val="0"/>
              <c:showVal val="1"/>
              <c:showCatName val="0"/>
              <c:showSerName val="0"/>
              <c:showPercent val="0"/>
              <c:showBubbleSize val="0"/>
            </c:dLbl>
            <c:dLbl>
              <c:idx val="3"/>
              <c:layout>
                <c:manualLayout>
                  <c:x val="3.911111111111111E-2"/>
                  <c:y val="0"/>
                </c:manualLayout>
              </c:layout>
              <c:tx>
                <c:rich>
                  <a:bodyPr/>
                  <a:lstStyle/>
                  <a:p>
                    <a:pPr>
                      <a:defRPr b="1">
                        <a:solidFill>
                          <a:schemeClr val="accent3">
                            <a:lumMod val="50000"/>
                          </a:schemeClr>
                        </a:solidFill>
                      </a:defRPr>
                    </a:pPr>
                    <a:r>
                      <a:rPr lang="en-US" b="1">
                        <a:solidFill>
                          <a:schemeClr val="accent3">
                            <a:lumMod val="50000"/>
                          </a:schemeClr>
                        </a:solidFill>
                      </a:rPr>
                      <a:t> </a:t>
                    </a:r>
                    <a:r>
                      <a:rPr lang="lt-LT" b="1">
                        <a:solidFill>
                          <a:schemeClr val="accent3">
                            <a:lumMod val="50000"/>
                          </a:schemeClr>
                        </a:solidFill>
                      </a:rPr>
                      <a:t>120 (2</a:t>
                    </a:r>
                    <a:r>
                      <a:rPr lang="en-US" b="1">
                        <a:solidFill>
                          <a:schemeClr val="accent3">
                            <a:lumMod val="50000"/>
                          </a:schemeClr>
                        </a:solidFill>
                      </a:rPr>
                      <a:t>%</a:t>
                    </a:r>
                    <a:r>
                      <a:rPr lang="lt-LT" b="1">
                        <a:solidFill>
                          <a:schemeClr val="accent3">
                            <a:lumMod val="50000"/>
                          </a:schemeClr>
                        </a:solidFill>
                      </a:rPr>
                      <a:t>)</a:t>
                    </a:r>
                    <a:endParaRPr lang="en-US" b="1">
                      <a:solidFill>
                        <a:schemeClr val="accent3">
                          <a:lumMod val="50000"/>
                        </a:schemeClr>
                      </a:solidFill>
                    </a:endParaRPr>
                  </a:p>
                </c:rich>
              </c:tx>
              <c:spPr/>
              <c:showLegendKey val="0"/>
              <c:showVal val="1"/>
              <c:showCatName val="0"/>
              <c:showSerName val="0"/>
              <c:showPercent val="0"/>
              <c:showBubbleSize val="0"/>
            </c:dLbl>
            <c:showLegendKey val="0"/>
            <c:showVal val="1"/>
            <c:showCatName val="0"/>
            <c:showSerName val="0"/>
            <c:showPercent val="0"/>
            <c:showBubbleSize val="0"/>
            <c:showLeaderLines val="0"/>
          </c:dLbls>
          <c:cat>
            <c:strRef>
              <c:f>'Bendr grafik'!$A$2:$A$6</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grafik'!$C$2:$C$6</c:f>
              <c:numCache>
                <c:formatCode>_-* #,##0\ _L_t_-;\-* #,##0\ _L_t_-;_-* "-"??\ _L_t_-;_-@_-</c:formatCode>
                <c:ptCount val="5"/>
                <c:pt idx="0">
                  <c:v>135</c:v>
                </c:pt>
                <c:pt idx="1">
                  <c:v>246</c:v>
                </c:pt>
                <c:pt idx="2">
                  <c:v>224</c:v>
                </c:pt>
                <c:pt idx="3">
                  <c:v>120</c:v>
                </c:pt>
              </c:numCache>
            </c:numRef>
          </c:val>
        </c:ser>
        <c:dLbls>
          <c:showLegendKey val="0"/>
          <c:showVal val="0"/>
          <c:showCatName val="0"/>
          <c:showSerName val="0"/>
          <c:showPercent val="0"/>
          <c:showBubbleSize val="0"/>
        </c:dLbls>
        <c:gapWidth val="150"/>
        <c:overlap val="100"/>
        <c:axId val="109206528"/>
        <c:axId val="109220608"/>
      </c:barChart>
      <c:catAx>
        <c:axId val="109206528"/>
        <c:scaling>
          <c:orientation val="minMax"/>
        </c:scaling>
        <c:delete val="0"/>
        <c:axPos val="l"/>
        <c:majorTickMark val="out"/>
        <c:minorTickMark val="none"/>
        <c:tickLblPos val="nextTo"/>
        <c:txPr>
          <a:bodyPr anchor="t" anchorCtr="0"/>
          <a:lstStyle/>
          <a:p>
            <a:pPr>
              <a:defRPr sz="900" b="1"/>
            </a:pPr>
            <a:endParaRPr lang="lt-LT"/>
          </a:p>
        </c:txPr>
        <c:crossAx val="109220608"/>
        <c:crosses val="autoZero"/>
        <c:auto val="1"/>
        <c:lblAlgn val="ctr"/>
        <c:lblOffset val="100"/>
        <c:noMultiLvlLbl val="0"/>
      </c:catAx>
      <c:valAx>
        <c:axId val="109220608"/>
        <c:scaling>
          <c:orientation val="minMax"/>
        </c:scaling>
        <c:delete val="0"/>
        <c:axPos val="b"/>
        <c:majorGridlines>
          <c:spPr>
            <a:ln>
              <a:noFill/>
            </a:ln>
          </c:spPr>
        </c:majorGridlines>
        <c:numFmt formatCode="_-* #,##0\ _L_t_-;\-* #,##0\ _L_t_-;_-* &quot;-&quot;??\ _L_t_-;_-@_-" sourceLinked="1"/>
        <c:majorTickMark val="out"/>
        <c:minorTickMark val="none"/>
        <c:tickLblPos val="nextTo"/>
        <c:spPr>
          <a:ln>
            <a:noFill/>
          </a:ln>
        </c:spPr>
        <c:txPr>
          <a:bodyPr/>
          <a:lstStyle/>
          <a:p>
            <a:pPr>
              <a:defRPr>
                <a:solidFill>
                  <a:schemeClr val="bg1"/>
                </a:solidFill>
              </a:defRPr>
            </a:pPr>
            <a:endParaRPr lang="lt-LT"/>
          </a:p>
        </c:txPr>
        <c:crossAx val="109206528"/>
        <c:crosses val="autoZero"/>
        <c:crossBetween val="between"/>
      </c:valAx>
    </c:plotArea>
    <c:legend>
      <c:legendPos val="b"/>
      <c:layout>
        <c:manualLayout>
          <c:xMode val="edge"/>
          <c:yMode val="edge"/>
          <c:x val="7.0541356911391656E-2"/>
          <c:y val="0.87901036995088766"/>
          <c:w val="0.82206781960264808"/>
          <c:h val="8.7843958806931466E-2"/>
        </c:manualLayout>
      </c:layout>
      <c:overlay val="0"/>
      <c:txPr>
        <a:bodyPr/>
        <a:lstStyle/>
        <a:p>
          <a:pPr>
            <a:defRPr sz="1000" b="1"/>
          </a:pPr>
          <a:endParaRPr lang="lt-LT"/>
        </a:p>
      </c:txPr>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prior'!$M$82</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tx>
                <c:rich>
                  <a:bodyPr/>
                  <a:lstStyle/>
                  <a:p>
                    <a:r>
                      <a:rPr lang="lt-LT"/>
                      <a:t>31</a:t>
                    </a:r>
                    <a:r>
                      <a:rPr lang="en-US"/>
                      <a:t>%</a:t>
                    </a:r>
                  </a:p>
                </c:rich>
              </c:tx>
              <c:dLblPos val="inEnd"/>
              <c:showLegendKey val="0"/>
              <c:showVal val="1"/>
              <c:showCatName val="0"/>
              <c:showSerName val="0"/>
              <c:showPercent val="0"/>
              <c:showBubbleSize val="0"/>
            </c:dLbl>
            <c:dLbl>
              <c:idx val="1"/>
              <c:layout/>
              <c:tx>
                <c:rich>
                  <a:bodyPr/>
                  <a:lstStyle/>
                  <a:p>
                    <a:r>
                      <a:rPr lang="lt-LT"/>
                      <a:t>11</a:t>
                    </a:r>
                    <a:r>
                      <a:rPr lang="en-US"/>
                      <a:t>%</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prior'!$L$83:$L$84</c:f>
              <c:strCache>
                <c:ptCount val="2"/>
                <c:pt idx="0">
                  <c:v>SAM, ESF</c:v>
                </c:pt>
                <c:pt idx="1">
                  <c:v>SAM, ERPF</c:v>
                </c:pt>
              </c:strCache>
            </c:strRef>
          </c:cat>
          <c:val>
            <c:numRef>
              <c:f>'minist pagal prior'!$M$83:$M$84</c:f>
              <c:numCache>
                <c:formatCode>0%</c:formatCode>
                <c:ptCount val="2"/>
                <c:pt idx="0">
                  <c:v>1</c:v>
                </c:pt>
                <c:pt idx="1">
                  <c:v>1</c:v>
                </c:pt>
              </c:numCache>
            </c:numRef>
          </c:val>
        </c:ser>
        <c:ser>
          <c:idx val="1"/>
          <c:order val="1"/>
          <c:tx>
            <c:strRef>
              <c:f>'minist pagal prior'!$N$82</c:f>
              <c:strCache>
                <c:ptCount val="1"/>
                <c:pt idx="0">
                  <c:v>Suplanuota</c:v>
                </c:pt>
              </c:strCache>
            </c:strRef>
          </c:tx>
          <c:spPr>
            <a:solidFill>
              <a:schemeClr val="accent1"/>
            </a:solidFill>
            <a:ln w="88900">
              <a:solidFill>
                <a:schemeClr val="accent1"/>
              </a:solidFill>
            </a:ln>
          </c:spPr>
          <c:invertIfNegative val="0"/>
          <c:dLbls>
            <c:dLbl>
              <c:idx val="1"/>
              <c:layout>
                <c:manualLayout>
                  <c:x val="-4.1878224974200205E-2"/>
                  <c:y val="0"/>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prior'!$L$83:$L$84</c:f>
              <c:strCache>
                <c:ptCount val="2"/>
                <c:pt idx="0">
                  <c:v>SAM, ESF</c:v>
                </c:pt>
                <c:pt idx="1">
                  <c:v>SAM, ERPF</c:v>
                </c:pt>
              </c:strCache>
            </c:strRef>
          </c:cat>
          <c:val>
            <c:numRef>
              <c:f>'minist pagal prior'!$N$83:$N$84</c:f>
              <c:numCache>
                <c:formatCode>0%</c:formatCode>
                <c:ptCount val="2"/>
                <c:pt idx="0">
                  <c:v>0.6860024126657065</c:v>
                </c:pt>
                <c:pt idx="1">
                  <c:v>0.88971198205670454</c:v>
                </c:pt>
              </c:numCache>
            </c:numRef>
          </c:val>
        </c:ser>
        <c:ser>
          <c:idx val="2"/>
          <c:order val="2"/>
          <c:tx>
            <c:strRef>
              <c:f>'minist pagal prior'!$O$82</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prior'!$L$83:$L$84</c:f>
              <c:strCache>
                <c:ptCount val="2"/>
                <c:pt idx="0">
                  <c:v>SAM, ESF</c:v>
                </c:pt>
                <c:pt idx="1">
                  <c:v>SAM, ERPF</c:v>
                </c:pt>
              </c:strCache>
            </c:strRef>
          </c:cat>
          <c:val>
            <c:numRef>
              <c:f>'minist pagal prior'!$O$83:$O$84</c:f>
              <c:numCache>
                <c:formatCode>0%</c:formatCode>
                <c:ptCount val="2"/>
                <c:pt idx="0">
                  <c:v>0.56956741893032281</c:v>
                </c:pt>
                <c:pt idx="1">
                  <c:v>0.84585874424532448</c:v>
                </c:pt>
              </c:numCache>
            </c:numRef>
          </c:val>
        </c:ser>
        <c:ser>
          <c:idx val="3"/>
          <c:order val="3"/>
          <c:tx>
            <c:strRef>
              <c:f>'minist pagal prior'!$P$82</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prior'!$L$83:$L$84</c:f>
              <c:strCache>
                <c:ptCount val="2"/>
                <c:pt idx="0">
                  <c:v>SAM, ESF</c:v>
                </c:pt>
                <c:pt idx="1">
                  <c:v>SAM, ERPF</c:v>
                </c:pt>
              </c:strCache>
            </c:strRef>
          </c:cat>
          <c:val>
            <c:numRef>
              <c:f>'minist pagal prior'!$P$83:$P$84</c:f>
              <c:numCache>
                <c:formatCode>0%</c:formatCode>
                <c:ptCount val="2"/>
                <c:pt idx="0">
                  <c:v>0.20433731494056018</c:v>
                </c:pt>
                <c:pt idx="1">
                  <c:v>0.40902127617855105</c:v>
                </c:pt>
              </c:numCache>
            </c:numRef>
          </c:val>
        </c:ser>
        <c:dLbls>
          <c:showLegendKey val="0"/>
          <c:showVal val="0"/>
          <c:showCatName val="0"/>
          <c:showSerName val="0"/>
          <c:showPercent val="0"/>
          <c:showBubbleSize val="0"/>
        </c:dLbls>
        <c:gapWidth val="217"/>
        <c:overlap val="100"/>
        <c:axId val="110051712"/>
        <c:axId val="110053248"/>
      </c:barChart>
      <c:catAx>
        <c:axId val="110051712"/>
        <c:scaling>
          <c:orientation val="minMax"/>
        </c:scaling>
        <c:delete val="0"/>
        <c:axPos val="l"/>
        <c:majorTickMark val="out"/>
        <c:minorTickMark val="none"/>
        <c:tickLblPos val="nextTo"/>
        <c:crossAx val="110053248"/>
        <c:crosses val="autoZero"/>
        <c:auto val="1"/>
        <c:lblAlgn val="ctr"/>
        <c:lblOffset val="100"/>
        <c:noMultiLvlLbl val="0"/>
      </c:catAx>
      <c:valAx>
        <c:axId val="110053248"/>
        <c:scaling>
          <c:orientation val="minMax"/>
          <c:max val="1"/>
        </c:scaling>
        <c:delete val="1"/>
        <c:axPos val="b"/>
        <c:majorGridlines/>
        <c:numFmt formatCode="0%" sourceLinked="1"/>
        <c:majorTickMark val="out"/>
        <c:minorTickMark val="none"/>
        <c:tickLblPos val="nextTo"/>
        <c:crossAx val="11005171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prior'!$M$91</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manualLayout>
                  <c:x val="-4.371517027863777E-2"/>
                  <c:y val="1.6877637130801686E-2"/>
                </c:manualLayout>
              </c:layout>
              <c:tx>
                <c:rich>
                  <a:bodyPr/>
                  <a:lstStyle/>
                  <a:p>
                    <a:r>
                      <a:rPr lang="lt-LT"/>
                      <a:t>13</a:t>
                    </a:r>
                    <a:r>
                      <a:rPr lang="en-US"/>
                      <a:t>%</a:t>
                    </a:r>
                  </a:p>
                </c:rich>
              </c:tx>
              <c:dLblPos val="outEnd"/>
              <c:showLegendKey val="0"/>
              <c:showVal val="1"/>
              <c:showCatName val="0"/>
              <c:showSerName val="0"/>
              <c:showPercent val="0"/>
              <c:showBubbleSize val="0"/>
            </c:dLbl>
            <c:dLbl>
              <c:idx val="1"/>
              <c:layout>
                <c:manualLayout>
                  <c:x val="-3.9669762641898865E-2"/>
                  <c:y val="0"/>
                </c:manualLayout>
              </c:layout>
              <c:tx>
                <c:rich>
                  <a:bodyPr/>
                  <a:lstStyle/>
                  <a:p>
                    <a:r>
                      <a:rPr lang="lt-LT"/>
                      <a:t>7</a:t>
                    </a:r>
                    <a:r>
                      <a:rPr lang="en-US"/>
                      <a:t>%</a:t>
                    </a:r>
                  </a:p>
                </c:rich>
              </c:tx>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prior'!$L$92:$L$93</c:f>
              <c:strCache>
                <c:ptCount val="2"/>
                <c:pt idx="0">
                  <c:v>VRM, ESF</c:v>
                </c:pt>
                <c:pt idx="1">
                  <c:v>VRM, ERPF</c:v>
                </c:pt>
              </c:strCache>
            </c:strRef>
          </c:cat>
          <c:val>
            <c:numRef>
              <c:f>'minist pagal prior'!$M$92:$M$93</c:f>
              <c:numCache>
                <c:formatCode>0%</c:formatCode>
                <c:ptCount val="2"/>
                <c:pt idx="0">
                  <c:v>1</c:v>
                </c:pt>
                <c:pt idx="1">
                  <c:v>1</c:v>
                </c:pt>
              </c:numCache>
            </c:numRef>
          </c:val>
        </c:ser>
        <c:ser>
          <c:idx val="1"/>
          <c:order val="1"/>
          <c:tx>
            <c:strRef>
              <c:f>'minist pagal prior'!$N$91</c:f>
              <c:strCache>
                <c:ptCount val="1"/>
                <c:pt idx="0">
                  <c:v>Suplanuota</c:v>
                </c:pt>
              </c:strCache>
            </c:strRef>
          </c:tx>
          <c:spPr>
            <a:solidFill>
              <a:schemeClr val="accent1"/>
            </a:solidFill>
            <a:ln w="88900">
              <a:solidFill>
                <a:schemeClr val="accent1"/>
              </a:solidFill>
            </a:ln>
          </c:spPr>
          <c:invertIfNegative val="0"/>
          <c:dLbls>
            <c:dLbl>
              <c:idx val="1"/>
              <c:layout>
                <c:manualLayout>
                  <c:x val="-3.981424148606811E-2"/>
                  <c:y val="-1.6877637130801686E-2"/>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prior'!$L$92:$L$93</c:f>
              <c:strCache>
                <c:ptCount val="2"/>
                <c:pt idx="0">
                  <c:v>VRM, ESF</c:v>
                </c:pt>
                <c:pt idx="1">
                  <c:v>VRM, ERPF</c:v>
                </c:pt>
              </c:strCache>
            </c:strRef>
          </c:cat>
          <c:val>
            <c:numRef>
              <c:f>'minist pagal prior'!$N$92:$N$93</c:f>
              <c:numCache>
                <c:formatCode>0%</c:formatCode>
                <c:ptCount val="2"/>
                <c:pt idx="0">
                  <c:v>0.87306118021984647</c:v>
                </c:pt>
                <c:pt idx="1">
                  <c:v>0.93132938136307886</c:v>
                </c:pt>
              </c:numCache>
            </c:numRef>
          </c:val>
        </c:ser>
        <c:ser>
          <c:idx val="2"/>
          <c:order val="2"/>
          <c:tx>
            <c:strRef>
              <c:f>'minist pagal prior'!$O$91</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prior'!$L$92:$L$93</c:f>
              <c:strCache>
                <c:ptCount val="2"/>
                <c:pt idx="0">
                  <c:v>VRM, ESF</c:v>
                </c:pt>
                <c:pt idx="1">
                  <c:v>VRM, ERPF</c:v>
                </c:pt>
              </c:strCache>
            </c:strRef>
          </c:cat>
          <c:val>
            <c:numRef>
              <c:f>'minist pagal prior'!$O$92:$O$93</c:f>
              <c:numCache>
                <c:formatCode>0%</c:formatCode>
                <c:ptCount val="2"/>
                <c:pt idx="0">
                  <c:v>0.42100783159118504</c:v>
                </c:pt>
                <c:pt idx="1">
                  <c:v>0.89577247977354968</c:v>
                </c:pt>
              </c:numCache>
            </c:numRef>
          </c:val>
        </c:ser>
        <c:ser>
          <c:idx val="3"/>
          <c:order val="3"/>
          <c:tx>
            <c:strRef>
              <c:f>'minist pagal prior'!$P$91</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prior'!$L$92:$L$93</c:f>
              <c:strCache>
                <c:ptCount val="2"/>
                <c:pt idx="0">
                  <c:v>VRM, ESF</c:v>
                </c:pt>
                <c:pt idx="1">
                  <c:v>VRM, ERPF</c:v>
                </c:pt>
              </c:strCache>
            </c:strRef>
          </c:cat>
          <c:val>
            <c:numRef>
              <c:f>'minist pagal prior'!$P$92:$P$93</c:f>
              <c:numCache>
                <c:formatCode>0%</c:formatCode>
                <c:ptCount val="2"/>
                <c:pt idx="0">
                  <c:v>0.2266249158273185</c:v>
                </c:pt>
                <c:pt idx="1">
                  <c:v>0.41721650958205359</c:v>
                </c:pt>
              </c:numCache>
            </c:numRef>
          </c:val>
        </c:ser>
        <c:dLbls>
          <c:showLegendKey val="0"/>
          <c:showVal val="0"/>
          <c:showCatName val="0"/>
          <c:showSerName val="0"/>
          <c:showPercent val="0"/>
          <c:showBubbleSize val="0"/>
        </c:dLbls>
        <c:gapWidth val="217"/>
        <c:overlap val="100"/>
        <c:axId val="110114304"/>
        <c:axId val="110115840"/>
      </c:barChart>
      <c:catAx>
        <c:axId val="110114304"/>
        <c:scaling>
          <c:orientation val="minMax"/>
        </c:scaling>
        <c:delete val="0"/>
        <c:axPos val="l"/>
        <c:majorTickMark val="out"/>
        <c:minorTickMark val="none"/>
        <c:tickLblPos val="nextTo"/>
        <c:crossAx val="110115840"/>
        <c:crosses val="autoZero"/>
        <c:auto val="1"/>
        <c:lblAlgn val="ctr"/>
        <c:lblOffset val="100"/>
        <c:noMultiLvlLbl val="0"/>
      </c:catAx>
      <c:valAx>
        <c:axId val="110115840"/>
        <c:scaling>
          <c:orientation val="minMax"/>
          <c:max val="1"/>
        </c:scaling>
        <c:delete val="1"/>
        <c:axPos val="b"/>
        <c:majorGridlines/>
        <c:numFmt formatCode="0%" sourceLinked="1"/>
        <c:majorTickMark val="out"/>
        <c:minorTickMark val="none"/>
        <c:tickLblPos val="nextTo"/>
        <c:crossAx val="110114304"/>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prior'!$M$96</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tx>
                <c:rich>
                  <a:bodyPr/>
                  <a:lstStyle/>
                  <a:p>
                    <a:r>
                      <a:rPr lang="en-US"/>
                      <a:t>1</a:t>
                    </a:r>
                    <a:r>
                      <a:rPr lang="lt-LT"/>
                      <a:t>6</a:t>
                    </a:r>
                    <a:r>
                      <a:rPr lang="en-US"/>
                      <a:t>%</a:t>
                    </a:r>
                  </a:p>
                </c:rich>
              </c:tx>
              <c:dLblPos val="inEnd"/>
              <c:showLegendKey val="0"/>
              <c:showVal val="1"/>
              <c:showCatName val="0"/>
              <c:showSerName val="0"/>
              <c:showPercent val="0"/>
              <c:showBubbleSize val="0"/>
            </c:dLbl>
            <c:dLbl>
              <c:idx val="1"/>
              <c:layout/>
              <c:tx>
                <c:rich>
                  <a:bodyPr/>
                  <a:lstStyle/>
                  <a:p>
                    <a:r>
                      <a:rPr lang="en-US"/>
                      <a:t>1</a:t>
                    </a:r>
                    <a:r>
                      <a:rPr lang="lt-LT"/>
                      <a:t>4</a:t>
                    </a:r>
                    <a:r>
                      <a:rPr lang="en-US"/>
                      <a:t>%</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prior'!$L$97:$L$98</c:f>
              <c:strCache>
                <c:ptCount val="2"/>
                <c:pt idx="0">
                  <c:v>ŠMSM, ESF</c:v>
                </c:pt>
                <c:pt idx="1">
                  <c:v>ŠMSM, ERPF</c:v>
                </c:pt>
              </c:strCache>
            </c:strRef>
          </c:cat>
          <c:val>
            <c:numRef>
              <c:f>'minist pagal prior'!$M$97:$M$98</c:f>
              <c:numCache>
                <c:formatCode>0%</c:formatCode>
                <c:ptCount val="2"/>
                <c:pt idx="0">
                  <c:v>1</c:v>
                </c:pt>
                <c:pt idx="1">
                  <c:v>1</c:v>
                </c:pt>
              </c:numCache>
            </c:numRef>
          </c:val>
        </c:ser>
        <c:ser>
          <c:idx val="1"/>
          <c:order val="1"/>
          <c:tx>
            <c:strRef>
              <c:f>'minist pagal prior'!$N$96</c:f>
              <c:strCache>
                <c:ptCount val="1"/>
                <c:pt idx="0">
                  <c:v>Suplanuota</c:v>
                </c:pt>
              </c:strCache>
            </c:strRef>
          </c:tx>
          <c:spPr>
            <a:solidFill>
              <a:schemeClr val="accent1"/>
            </a:solidFill>
            <a:ln w="88900">
              <a:solidFill>
                <a:schemeClr val="accent1"/>
              </a:solidFill>
            </a:ln>
          </c:spPr>
          <c:invertIfNegative val="0"/>
          <c:dLbls>
            <c:dLbl>
              <c:idx val="0"/>
              <c:layout>
                <c:manualLayout>
                  <c:x val="-3.5686274509803918E-2"/>
                  <c:y val="-1.6064257028112448E-2"/>
                </c:manualLayout>
              </c:layout>
              <c:dLblPos val="outEnd"/>
              <c:showLegendKey val="0"/>
              <c:showVal val="1"/>
              <c:showCatName val="0"/>
              <c:showSerName val="0"/>
              <c:showPercent val="0"/>
              <c:showBubbleSize val="0"/>
            </c:dLbl>
            <c:dLbl>
              <c:idx val="1"/>
              <c:layout>
                <c:manualLayout>
                  <c:x val="-4.8070175438596492E-2"/>
                  <c:y val="0"/>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prior'!$L$97:$L$98</c:f>
              <c:strCache>
                <c:ptCount val="2"/>
                <c:pt idx="0">
                  <c:v>ŠMSM, ESF</c:v>
                </c:pt>
                <c:pt idx="1">
                  <c:v>ŠMSM, ERPF</c:v>
                </c:pt>
              </c:strCache>
            </c:strRef>
          </c:cat>
          <c:val>
            <c:numRef>
              <c:f>'minist pagal prior'!$N$97:$N$98</c:f>
              <c:numCache>
                <c:formatCode>0%</c:formatCode>
                <c:ptCount val="2"/>
                <c:pt idx="0">
                  <c:v>0.83639225963450459</c:v>
                </c:pt>
                <c:pt idx="1">
                  <c:v>0.85684587357007769</c:v>
                </c:pt>
              </c:numCache>
            </c:numRef>
          </c:val>
        </c:ser>
        <c:ser>
          <c:idx val="2"/>
          <c:order val="2"/>
          <c:tx>
            <c:strRef>
              <c:f>'minist pagal prior'!$O$96</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
              <c:idx val="0"/>
              <c:layout>
                <c:manualLayout>
                  <c:x val="-7.0773993808049537E-2"/>
                  <c:y val="0"/>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prior'!$L$97:$L$98</c:f>
              <c:strCache>
                <c:ptCount val="2"/>
                <c:pt idx="0">
                  <c:v>ŠMSM, ESF</c:v>
                </c:pt>
                <c:pt idx="1">
                  <c:v>ŠMSM, ERPF</c:v>
                </c:pt>
              </c:strCache>
            </c:strRef>
          </c:cat>
          <c:val>
            <c:numRef>
              <c:f>'minist pagal prior'!$O$97:$O$98</c:f>
              <c:numCache>
                <c:formatCode>0%</c:formatCode>
                <c:ptCount val="2"/>
                <c:pt idx="0">
                  <c:v>0.81633030153774</c:v>
                </c:pt>
                <c:pt idx="1">
                  <c:v>0.81412292761930483</c:v>
                </c:pt>
              </c:numCache>
            </c:numRef>
          </c:val>
        </c:ser>
        <c:ser>
          <c:idx val="3"/>
          <c:order val="3"/>
          <c:tx>
            <c:strRef>
              <c:f>'minist pagal prior'!$P$96</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prior'!$L$97:$L$98</c:f>
              <c:strCache>
                <c:ptCount val="2"/>
                <c:pt idx="0">
                  <c:v>ŠMSM, ESF</c:v>
                </c:pt>
                <c:pt idx="1">
                  <c:v>ŠMSM, ERPF</c:v>
                </c:pt>
              </c:strCache>
            </c:strRef>
          </c:cat>
          <c:val>
            <c:numRef>
              <c:f>'minist pagal prior'!$P$97:$P$98</c:f>
              <c:numCache>
                <c:formatCode>0%</c:formatCode>
                <c:ptCount val="2"/>
                <c:pt idx="0">
                  <c:v>0.41220405659880049</c:v>
                </c:pt>
                <c:pt idx="1">
                  <c:v>0.30345415276192717</c:v>
                </c:pt>
              </c:numCache>
            </c:numRef>
          </c:val>
        </c:ser>
        <c:dLbls>
          <c:showLegendKey val="0"/>
          <c:showVal val="0"/>
          <c:showCatName val="0"/>
          <c:showSerName val="0"/>
          <c:showPercent val="0"/>
          <c:showBubbleSize val="0"/>
        </c:dLbls>
        <c:gapWidth val="217"/>
        <c:overlap val="100"/>
        <c:axId val="110156416"/>
        <c:axId val="110240128"/>
      </c:barChart>
      <c:catAx>
        <c:axId val="110156416"/>
        <c:scaling>
          <c:orientation val="minMax"/>
        </c:scaling>
        <c:delete val="0"/>
        <c:axPos val="l"/>
        <c:majorTickMark val="out"/>
        <c:minorTickMark val="none"/>
        <c:tickLblPos val="nextTo"/>
        <c:crossAx val="110240128"/>
        <c:crosses val="autoZero"/>
        <c:auto val="1"/>
        <c:lblAlgn val="ctr"/>
        <c:lblOffset val="100"/>
        <c:noMultiLvlLbl val="0"/>
      </c:catAx>
      <c:valAx>
        <c:axId val="110240128"/>
        <c:scaling>
          <c:orientation val="minMax"/>
          <c:max val="1"/>
        </c:scaling>
        <c:delete val="1"/>
        <c:axPos val="b"/>
        <c:majorGridlines/>
        <c:numFmt formatCode="0%" sourceLinked="1"/>
        <c:majorTickMark val="out"/>
        <c:minorTickMark val="none"/>
        <c:tickLblPos val="nextTo"/>
        <c:crossAx val="11015641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0965281778802037"/>
        </c:manualLayout>
      </c:layout>
      <c:barChart>
        <c:barDir val="bar"/>
        <c:grouping val="clustered"/>
        <c:varyColors val="0"/>
        <c:ser>
          <c:idx val="0"/>
          <c:order val="0"/>
          <c:tx>
            <c:strRef>
              <c:f>'minist pagal prior'!$M$101</c:f>
              <c:strCache>
                <c:ptCount val="1"/>
                <c:pt idx="0">
                  <c:v>Nesuplanuotos lėšos</c:v>
                </c:pt>
              </c:strCache>
            </c:strRef>
          </c:tx>
          <c:spPr>
            <a:solidFill>
              <a:schemeClr val="bg1">
                <a:lumMod val="85000"/>
              </a:schemeClr>
            </a:solidFill>
          </c:spPr>
          <c:invertIfNegative val="0"/>
          <c:cat>
            <c:strRef>
              <c:f>'minist pagal prior'!$L$102</c:f>
              <c:strCache>
                <c:ptCount val="1"/>
                <c:pt idx="0">
                  <c:v>EIM, ESF</c:v>
                </c:pt>
              </c:strCache>
            </c:strRef>
          </c:cat>
          <c:val>
            <c:numRef>
              <c:f>'minist pagal prior'!$M$102</c:f>
              <c:numCache>
                <c:formatCode>0%</c:formatCode>
                <c:ptCount val="1"/>
                <c:pt idx="0">
                  <c:v>1</c:v>
                </c:pt>
              </c:numCache>
            </c:numRef>
          </c:val>
        </c:ser>
        <c:ser>
          <c:idx val="1"/>
          <c:order val="1"/>
          <c:tx>
            <c:strRef>
              <c:f>'minist pagal prior'!$N$101</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prior'!$L$102</c:f>
              <c:strCache>
                <c:ptCount val="1"/>
                <c:pt idx="0">
                  <c:v>EIM, ESF</c:v>
                </c:pt>
              </c:strCache>
            </c:strRef>
          </c:cat>
          <c:val>
            <c:numRef>
              <c:f>'minist pagal prior'!$N$102</c:f>
              <c:numCache>
                <c:formatCode>0%</c:formatCode>
                <c:ptCount val="1"/>
                <c:pt idx="0">
                  <c:v>0.9678603605045778</c:v>
                </c:pt>
              </c:numCache>
            </c:numRef>
          </c:val>
        </c:ser>
        <c:ser>
          <c:idx val="2"/>
          <c:order val="2"/>
          <c:tx>
            <c:strRef>
              <c:f>'minist pagal prior'!$O$101</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prior'!$L$102</c:f>
              <c:strCache>
                <c:ptCount val="1"/>
                <c:pt idx="0">
                  <c:v>EIM, ESF</c:v>
                </c:pt>
              </c:strCache>
            </c:strRef>
          </c:cat>
          <c:val>
            <c:numRef>
              <c:f>'minist pagal prior'!$O$102</c:f>
              <c:numCache>
                <c:formatCode>0%</c:formatCode>
                <c:ptCount val="1"/>
                <c:pt idx="0">
                  <c:v>0.70598874568059156</c:v>
                </c:pt>
              </c:numCache>
            </c:numRef>
          </c:val>
        </c:ser>
        <c:ser>
          <c:idx val="3"/>
          <c:order val="3"/>
          <c:tx>
            <c:strRef>
              <c:f>'minist pagal prior'!$P$101</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prior'!$L$102</c:f>
              <c:strCache>
                <c:ptCount val="1"/>
                <c:pt idx="0">
                  <c:v>EIM, ESF</c:v>
                </c:pt>
              </c:strCache>
            </c:strRef>
          </c:cat>
          <c:val>
            <c:numRef>
              <c:f>'minist pagal prior'!$P$102</c:f>
              <c:numCache>
                <c:formatCode>0%</c:formatCode>
                <c:ptCount val="1"/>
                <c:pt idx="0">
                  <c:v>0.22779212412514063</c:v>
                </c:pt>
              </c:numCache>
            </c:numRef>
          </c:val>
        </c:ser>
        <c:dLbls>
          <c:showLegendKey val="0"/>
          <c:showVal val="0"/>
          <c:showCatName val="0"/>
          <c:showSerName val="0"/>
          <c:showPercent val="0"/>
          <c:showBubbleSize val="0"/>
        </c:dLbls>
        <c:gapWidth val="217"/>
        <c:overlap val="100"/>
        <c:axId val="110275968"/>
        <c:axId val="110285952"/>
      </c:barChart>
      <c:catAx>
        <c:axId val="110275968"/>
        <c:scaling>
          <c:orientation val="minMax"/>
        </c:scaling>
        <c:delete val="0"/>
        <c:axPos val="l"/>
        <c:majorTickMark val="out"/>
        <c:minorTickMark val="none"/>
        <c:tickLblPos val="nextTo"/>
        <c:crossAx val="110285952"/>
        <c:crosses val="autoZero"/>
        <c:auto val="1"/>
        <c:lblAlgn val="ctr"/>
        <c:lblOffset val="100"/>
        <c:noMultiLvlLbl val="0"/>
      </c:catAx>
      <c:valAx>
        <c:axId val="110285952"/>
        <c:scaling>
          <c:orientation val="minMax"/>
          <c:max val="1"/>
        </c:scaling>
        <c:delete val="1"/>
        <c:axPos val="b"/>
        <c:majorGridlines/>
        <c:numFmt formatCode="0%" sourceLinked="1"/>
        <c:majorTickMark val="out"/>
        <c:minorTickMark val="none"/>
        <c:tickLblPos val="nextTo"/>
        <c:crossAx val="110275968"/>
        <c:crosses val="autoZero"/>
        <c:crossBetween val="between"/>
        <c:majorUnit val="0.2"/>
      </c:valAx>
    </c:plotArea>
    <c:legend>
      <c:legendPos val="b"/>
      <c:layout>
        <c:manualLayout>
          <c:xMode val="edge"/>
          <c:yMode val="edge"/>
          <c:x val="7.8171830688346614E-2"/>
          <c:y val="0.6690938208995062"/>
          <c:w val="0.83952837164704253"/>
          <c:h val="0.18690349752792529"/>
        </c:manualLayout>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0965281778802037"/>
        </c:manualLayout>
      </c:layout>
      <c:barChart>
        <c:barDir val="bar"/>
        <c:grouping val="clustered"/>
        <c:varyColors val="0"/>
        <c:ser>
          <c:idx val="0"/>
          <c:order val="0"/>
          <c:tx>
            <c:strRef>
              <c:f>'minist pagal prior'!$M$105</c:f>
              <c:strCache>
                <c:ptCount val="1"/>
                <c:pt idx="0">
                  <c:v>Nesuplanuotos lėšos</c:v>
                </c:pt>
              </c:strCache>
            </c:strRef>
          </c:tx>
          <c:spPr>
            <a:solidFill>
              <a:schemeClr val="bg1">
                <a:lumMod val="85000"/>
              </a:schemeClr>
            </a:solidFill>
          </c:spPr>
          <c:invertIfNegative val="0"/>
          <c:dLbls>
            <c:dLbl>
              <c:idx val="0"/>
              <c:layout>
                <c:manualLayout>
                  <c:x val="-3.5087719298245612E-2"/>
                  <c:y val="0"/>
                </c:manualLayout>
              </c:layout>
              <c:tx>
                <c:rich>
                  <a:bodyPr/>
                  <a:lstStyle/>
                  <a:p>
                    <a:r>
                      <a:rPr lang="lt-LT"/>
                      <a:t>6</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prior'!$L$106</c:f>
              <c:strCache>
                <c:ptCount val="1"/>
                <c:pt idx="0">
                  <c:v>VRM, ESF</c:v>
                </c:pt>
              </c:strCache>
            </c:strRef>
          </c:cat>
          <c:val>
            <c:numRef>
              <c:f>'minist pagal prior'!$M$106</c:f>
              <c:numCache>
                <c:formatCode>0%</c:formatCode>
                <c:ptCount val="1"/>
                <c:pt idx="0">
                  <c:v>1</c:v>
                </c:pt>
              </c:numCache>
            </c:numRef>
          </c:val>
        </c:ser>
        <c:ser>
          <c:idx val="1"/>
          <c:order val="1"/>
          <c:tx>
            <c:strRef>
              <c:f>'minist pagal prior'!$N$105</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prior'!$L$106</c:f>
              <c:strCache>
                <c:ptCount val="1"/>
                <c:pt idx="0">
                  <c:v>VRM, ESF</c:v>
                </c:pt>
              </c:strCache>
            </c:strRef>
          </c:cat>
          <c:val>
            <c:numRef>
              <c:f>'minist pagal prior'!$N$106</c:f>
              <c:numCache>
                <c:formatCode>0%</c:formatCode>
                <c:ptCount val="1"/>
                <c:pt idx="0">
                  <c:v>0.90706639350151275</c:v>
                </c:pt>
              </c:numCache>
            </c:numRef>
          </c:val>
        </c:ser>
        <c:ser>
          <c:idx val="2"/>
          <c:order val="2"/>
          <c:tx>
            <c:strRef>
              <c:f>'minist pagal prior'!$O$105</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
              <c:idx val="0"/>
              <c:layout>
                <c:manualLayout>
                  <c:x val="-5.0134158926728588E-2"/>
                  <c:y val="0"/>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'minist pagal prior'!$L$106</c:f>
              <c:strCache>
                <c:ptCount val="1"/>
                <c:pt idx="0">
                  <c:v>VRM, ESF</c:v>
                </c:pt>
              </c:strCache>
            </c:strRef>
          </c:cat>
          <c:val>
            <c:numRef>
              <c:f>'minist pagal prior'!$O$106</c:f>
              <c:numCache>
                <c:formatCode>0%</c:formatCode>
                <c:ptCount val="1"/>
                <c:pt idx="0">
                  <c:v>0.94366393517808322</c:v>
                </c:pt>
              </c:numCache>
            </c:numRef>
          </c:val>
        </c:ser>
        <c:ser>
          <c:idx val="3"/>
          <c:order val="3"/>
          <c:tx>
            <c:strRef>
              <c:f>'minist pagal prior'!$P$105</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prior'!$L$106</c:f>
              <c:strCache>
                <c:ptCount val="1"/>
                <c:pt idx="0">
                  <c:v>VRM, ESF</c:v>
                </c:pt>
              </c:strCache>
            </c:strRef>
          </c:cat>
          <c:val>
            <c:numRef>
              <c:f>'minist pagal prior'!$P$106</c:f>
              <c:numCache>
                <c:formatCode>0%</c:formatCode>
                <c:ptCount val="1"/>
                <c:pt idx="0">
                  <c:v>0.23037811713329331</c:v>
                </c:pt>
              </c:numCache>
            </c:numRef>
          </c:val>
        </c:ser>
        <c:dLbls>
          <c:showLegendKey val="0"/>
          <c:showVal val="0"/>
          <c:showCatName val="0"/>
          <c:showSerName val="0"/>
          <c:showPercent val="0"/>
          <c:showBubbleSize val="0"/>
        </c:dLbls>
        <c:gapWidth val="217"/>
        <c:overlap val="100"/>
        <c:axId val="108737280"/>
        <c:axId val="108738816"/>
      </c:barChart>
      <c:catAx>
        <c:axId val="108737280"/>
        <c:scaling>
          <c:orientation val="minMax"/>
        </c:scaling>
        <c:delete val="0"/>
        <c:axPos val="l"/>
        <c:majorTickMark val="out"/>
        <c:minorTickMark val="none"/>
        <c:tickLblPos val="nextTo"/>
        <c:crossAx val="108738816"/>
        <c:crosses val="autoZero"/>
        <c:auto val="1"/>
        <c:lblAlgn val="ctr"/>
        <c:lblOffset val="100"/>
        <c:noMultiLvlLbl val="0"/>
      </c:catAx>
      <c:valAx>
        <c:axId val="108738816"/>
        <c:scaling>
          <c:orientation val="minMax"/>
          <c:max val="1"/>
        </c:scaling>
        <c:delete val="1"/>
        <c:axPos val="b"/>
        <c:majorGridlines/>
        <c:numFmt formatCode="0%" sourceLinked="1"/>
        <c:majorTickMark val="out"/>
        <c:minorTickMark val="none"/>
        <c:tickLblPos val="nextTo"/>
        <c:crossAx val="108737280"/>
        <c:crosses val="autoZero"/>
        <c:crossBetween val="between"/>
        <c:majorUnit val="0.2"/>
      </c:valAx>
    </c:plotArea>
    <c:legend>
      <c:legendPos val="b"/>
      <c:layout>
        <c:manualLayout>
          <c:xMode val="edge"/>
          <c:yMode val="edge"/>
          <c:x val="7.8171830688346614E-2"/>
          <c:y val="0.69118027776153934"/>
          <c:w val="0.83952837164704253"/>
          <c:h val="0.1869034975279252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653683777569464E-2"/>
          <c:y val="2.4485248908241837E-2"/>
          <c:w val="0.89162014021540514"/>
          <c:h val="0.82456721261572885"/>
        </c:manualLayout>
      </c:layout>
      <c:barChart>
        <c:barDir val="bar"/>
        <c:grouping val="clustered"/>
        <c:varyColors val="0"/>
        <c:ser>
          <c:idx val="0"/>
          <c:order val="0"/>
          <c:tx>
            <c:strRef>
              <c:f>'Pagal minist '!$C$16</c:f>
              <c:strCache>
                <c:ptCount val="1"/>
                <c:pt idx="0">
                  <c:v>Nepaskirstyta projektams</c:v>
                </c:pt>
              </c:strCache>
            </c:strRef>
          </c:tx>
          <c:spPr>
            <a:solidFill>
              <a:schemeClr val="bg1">
                <a:lumMod val="75000"/>
              </a:schemeClr>
            </a:solidFill>
            <a:ln w="69850">
              <a:solidFill>
                <a:schemeClr val="bg1">
                  <a:lumMod val="75000"/>
                </a:schemeClr>
              </a:solidFill>
            </a:ln>
          </c:spPr>
          <c:invertIfNegative val="0"/>
          <c:dLbls>
            <c:dLbl>
              <c:idx val="0"/>
              <c:layout/>
              <c:tx>
                <c:rich>
                  <a:bodyPr/>
                  <a:lstStyle/>
                  <a:p>
                    <a:r>
                      <a:rPr lang="en-US"/>
                      <a:t>1</a:t>
                    </a:r>
                    <a:r>
                      <a:rPr lang="lt-LT"/>
                      <a:t>3</a:t>
                    </a:r>
                    <a:r>
                      <a:rPr lang="en-US"/>
                      <a:t>%</a:t>
                    </a:r>
                  </a:p>
                </c:rich>
              </c:tx>
              <c:dLblPos val="inEnd"/>
              <c:showLegendKey val="0"/>
              <c:showVal val="1"/>
              <c:showCatName val="0"/>
              <c:showSerName val="0"/>
              <c:showPercent val="0"/>
              <c:showBubbleSize val="0"/>
            </c:dLbl>
            <c:dLbl>
              <c:idx val="1"/>
              <c:layout>
                <c:manualLayout>
                  <c:x val="-3.479570734948647E-2"/>
                  <c:y val="8.4609477141502584E-17"/>
                </c:manualLayout>
              </c:layout>
              <c:tx>
                <c:rich>
                  <a:bodyPr/>
                  <a:lstStyle/>
                  <a:p>
                    <a:r>
                      <a:rPr lang="lt-LT"/>
                      <a:t>16</a:t>
                    </a:r>
                    <a:r>
                      <a:rPr lang="en-US"/>
                      <a:t>%</a:t>
                    </a:r>
                  </a:p>
                </c:rich>
              </c:tx>
              <c:dLblPos val="outEnd"/>
              <c:showLegendKey val="0"/>
              <c:showVal val="1"/>
              <c:showCatName val="0"/>
              <c:showSerName val="0"/>
              <c:showPercent val="0"/>
              <c:showBubbleSize val="0"/>
            </c:dLbl>
            <c:dLbl>
              <c:idx val="2"/>
              <c:layout>
                <c:manualLayout>
                  <c:x val="-2.8566275918358804E-2"/>
                  <c:y val="0"/>
                </c:manualLayout>
              </c:layout>
              <c:tx>
                <c:rich>
                  <a:bodyPr/>
                  <a:lstStyle/>
                  <a:p>
                    <a:r>
                      <a:rPr lang="lt-LT"/>
                      <a:t>4</a:t>
                    </a:r>
                    <a:r>
                      <a:rPr lang="en-US"/>
                      <a:t>%</a:t>
                    </a:r>
                  </a:p>
                </c:rich>
              </c:tx>
              <c:dLblPos val="outEnd"/>
              <c:showLegendKey val="0"/>
              <c:showVal val="1"/>
              <c:showCatName val="0"/>
              <c:showSerName val="0"/>
              <c:showPercent val="0"/>
              <c:showBubbleSize val="0"/>
            </c:dLbl>
            <c:dLbl>
              <c:idx val="3"/>
              <c:layout/>
              <c:tx>
                <c:rich>
                  <a:bodyPr/>
                  <a:lstStyle/>
                  <a:p>
                    <a:r>
                      <a:rPr lang="lt-LT"/>
                      <a:t>11</a:t>
                    </a:r>
                    <a:r>
                      <a:rPr lang="en-US"/>
                      <a:t>%</a:t>
                    </a:r>
                  </a:p>
                </c:rich>
              </c:tx>
              <c:dLblPos val="inEnd"/>
              <c:showLegendKey val="0"/>
              <c:showVal val="1"/>
              <c:showCatName val="0"/>
              <c:showSerName val="0"/>
              <c:showPercent val="0"/>
              <c:showBubbleSize val="0"/>
            </c:dLbl>
            <c:dLbl>
              <c:idx val="4"/>
              <c:layout/>
              <c:tx>
                <c:rich>
                  <a:bodyPr/>
                  <a:lstStyle/>
                  <a:p>
                    <a:r>
                      <a:rPr lang="en-US"/>
                      <a:t>1</a:t>
                    </a:r>
                    <a:r>
                      <a:rPr lang="lt-LT"/>
                      <a:t>6</a:t>
                    </a:r>
                    <a:r>
                      <a:rPr lang="en-US"/>
                      <a:t>%</a:t>
                    </a:r>
                  </a:p>
                </c:rich>
              </c:tx>
              <c:dLblPos val="inEnd"/>
              <c:showLegendKey val="0"/>
              <c:showVal val="1"/>
              <c:showCatName val="0"/>
              <c:showSerName val="0"/>
              <c:showPercent val="0"/>
              <c:showBubbleSize val="0"/>
            </c:dLbl>
            <c:dLbl>
              <c:idx val="5"/>
              <c:layout/>
              <c:tx>
                <c:rich>
                  <a:bodyPr/>
                  <a:lstStyle/>
                  <a:p>
                    <a:r>
                      <a:rPr lang="en-US"/>
                      <a:t>1</a:t>
                    </a:r>
                    <a:r>
                      <a:rPr lang="lt-LT"/>
                      <a:t>5</a:t>
                    </a:r>
                    <a:r>
                      <a:rPr lang="en-US"/>
                      <a:t>%</a:t>
                    </a:r>
                  </a:p>
                </c:rich>
              </c:tx>
              <c:dLblPos val="inEnd"/>
              <c:showLegendKey val="0"/>
              <c:showVal val="1"/>
              <c:showCatName val="0"/>
              <c:showSerName val="0"/>
              <c:showPercent val="0"/>
              <c:showBubbleSize val="0"/>
            </c:dLbl>
            <c:dLbl>
              <c:idx val="6"/>
              <c:layout/>
              <c:tx>
                <c:rich>
                  <a:bodyPr/>
                  <a:lstStyle/>
                  <a:p>
                    <a:r>
                      <a:rPr lang="en-US"/>
                      <a:t>1</a:t>
                    </a:r>
                    <a:r>
                      <a:rPr lang="lt-LT"/>
                      <a:t>3</a:t>
                    </a:r>
                    <a:r>
                      <a:rPr lang="en-US"/>
                      <a:t>%</a:t>
                    </a:r>
                  </a:p>
                </c:rich>
              </c:tx>
              <c:dLblPos val="inEnd"/>
              <c:showLegendKey val="0"/>
              <c:showVal val="1"/>
              <c:showCatName val="0"/>
              <c:showSerName val="0"/>
              <c:showPercent val="0"/>
              <c:showBubbleSize val="0"/>
            </c:dLbl>
            <c:dLbl>
              <c:idx val="7"/>
              <c:layout/>
              <c:tx>
                <c:rich>
                  <a:bodyPr/>
                  <a:lstStyle/>
                  <a:p>
                    <a:r>
                      <a:rPr lang="lt-LT"/>
                      <a:t>8</a:t>
                    </a:r>
                    <a:r>
                      <a:rPr lang="en-US"/>
                      <a:t>%</a:t>
                    </a:r>
                  </a:p>
                </c:rich>
              </c:tx>
              <c:dLblPos val="inEnd"/>
              <c:showLegendKey val="0"/>
              <c:showVal val="1"/>
              <c:showCatName val="0"/>
              <c:showSerName val="0"/>
              <c:showPercent val="0"/>
              <c:showBubbleSize val="0"/>
            </c:dLbl>
            <c:dLbl>
              <c:idx val="8"/>
              <c:delete val="1"/>
            </c:dLbl>
            <c:dLbl>
              <c:idx val="9"/>
              <c:layout/>
              <c:tx>
                <c:rich>
                  <a:bodyPr/>
                  <a:lstStyle/>
                  <a:p>
                    <a:r>
                      <a:rPr lang="en-US"/>
                      <a:t>1</a:t>
                    </a:r>
                    <a:r>
                      <a:rPr lang="lt-LT"/>
                      <a:t>6</a:t>
                    </a:r>
                    <a:r>
                      <a:rPr lang="en-US"/>
                      <a:t>%</a:t>
                    </a:r>
                  </a:p>
                </c:rich>
              </c:tx>
              <c:dLblPos val="inEnd"/>
              <c:showLegendKey val="0"/>
              <c:showVal val="1"/>
              <c:showCatName val="0"/>
              <c:showSerName val="0"/>
              <c:showPercent val="0"/>
              <c:showBubbleSize val="0"/>
            </c:dLbl>
            <c:txPr>
              <a:bodyPr/>
              <a:lstStyle/>
              <a:p>
                <a:pPr>
                  <a:defRPr>
                    <a:solidFill>
                      <a:schemeClr val="tx1">
                        <a:lumMod val="75000"/>
                        <a:lumOff val="25000"/>
                      </a:schemeClr>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VRM</c:v>
                </c:pt>
                <c:pt idx="2">
                  <c:v>KM</c:v>
                </c:pt>
                <c:pt idx="3">
                  <c:v>EIM</c:v>
                </c:pt>
                <c:pt idx="4">
                  <c:v>ŠMSM</c:v>
                </c:pt>
                <c:pt idx="5">
                  <c:v>SAM</c:v>
                </c:pt>
                <c:pt idx="6">
                  <c:v>SM</c:v>
                </c:pt>
                <c:pt idx="7">
                  <c:v>AM</c:v>
                </c:pt>
                <c:pt idx="8">
                  <c:v>FM</c:v>
                </c:pt>
                <c:pt idx="9">
                  <c:v>SADM</c:v>
                </c:pt>
              </c:strCache>
            </c:strRef>
          </c:cat>
          <c:val>
            <c:numRef>
              <c:f>'Pagal minist '!$C$17:$C$26</c:f>
              <c:numCache>
                <c:formatCode>0%</c:formatCode>
                <c:ptCount val="10"/>
                <c:pt idx="0">
                  <c:v>1</c:v>
                </c:pt>
                <c:pt idx="1">
                  <c:v>1</c:v>
                </c:pt>
                <c:pt idx="2">
                  <c:v>1</c:v>
                </c:pt>
                <c:pt idx="3">
                  <c:v>1</c:v>
                </c:pt>
                <c:pt idx="4">
                  <c:v>1</c:v>
                </c:pt>
                <c:pt idx="5">
                  <c:v>1</c:v>
                </c:pt>
                <c:pt idx="6">
                  <c:v>1</c:v>
                </c:pt>
                <c:pt idx="7">
                  <c:v>1</c:v>
                </c:pt>
                <c:pt idx="8">
                  <c:v>1</c:v>
                </c:pt>
                <c:pt idx="9">
                  <c:v>1</c:v>
                </c:pt>
              </c:numCache>
            </c:numRef>
          </c:val>
        </c:ser>
        <c:ser>
          <c:idx val="1"/>
          <c:order val="1"/>
          <c:tx>
            <c:strRef>
              <c:f>'Pagal minist '!$D$16</c:f>
              <c:strCache>
                <c:ptCount val="1"/>
                <c:pt idx="0">
                  <c:v>Paskelbti kvietimai
 ir sudaryti valstybės projektų sąrašai</c:v>
                </c:pt>
              </c:strCache>
            </c:strRef>
          </c:tx>
          <c:spPr>
            <a:solidFill>
              <a:schemeClr val="accent1"/>
            </a:solidFill>
            <a:ln w="114300">
              <a:solidFill>
                <a:schemeClr val="accent1"/>
              </a:solidFill>
            </a:ln>
          </c:spPr>
          <c:invertIfNegative val="0"/>
          <c:dLbls>
            <c:dLbl>
              <c:idx val="1"/>
              <c:layout>
                <c:manualLayout>
                  <c:x val="-4.8642141252111755E-2"/>
                  <c:y val="0"/>
                </c:manualLayout>
              </c:layout>
              <c:dLblPos val="outEnd"/>
              <c:showLegendKey val="0"/>
              <c:showVal val="1"/>
              <c:showCatName val="0"/>
              <c:showSerName val="0"/>
              <c:showPercent val="0"/>
              <c:showBubbleSize val="0"/>
            </c:dLbl>
            <c:dLbl>
              <c:idx val="5"/>
              <c:layout>
                <c:manualLayout>
                  <c:x val="-4.8651859477107082E-2"/>
                  <c:y val="0"/>
                </c:manualLayout>
              </c:layout>
              <c:dLblPos val="outEnd"/>
              <c:showLegendKey val="0"/>
              <c:showVal val="1"/>
              <c:showCatName val="0"/>
              <c:showSerName val="0"/>
              <c:showPercent val="0"/>
              <c:showBubbleSize val="0"/>
            </c:dLbl>
            <c:dLbl>
              <c:idx val="7"/>
              <c:layout>
                <c:manualLayout>
                  <c:x val="-3.1296645618417614E-2"/>
                  <c:y val="0"/>
                </c:manualLayout>
              </c:layout>
              <c:dLblPos val="outEnd"/>
              <c:showLegendKey val="0"/>
              <c:showVal val="1"/>
              <c:showCatName val="0"/>
              <c:showSerName val="0"/>
              <c:showPercent val="0"/>
              <c:showBubbleSize val="0"/>
            </c:dLbl>
            <c:dLbl>
              <c:idx val="8"/>
              <c:layout>
                <c:manualLayout>
                  <c:x val="-4.5971732442486486E-2"/>
                  <c:y val="0"/>
                </c:manualLayout>
              </c:layout>
              <c:dLblPos val="outEnd"/>
              <c:showLegendKey val="0"/>
              <c:showVal val="1"/>
              <c:showCatName val="0"/>
              <c:showSerName val="0"/>
              <c:showPercent val="0"/>
              <c:showBubbleSize val="0"/>
            </c:dLbl>
            <c:dLbl>
              <c:idx val="9"/>
              <c:layout>
                <c:manualLayout>
                  <c:x val="-1.3578524063986644E-2"/>
                  <c:y val="-6.1053142674464163E-3"/>
                </c:manualLayout>
              </c:layout>
              <c:dLblPos val="outEnd"/>
              <c:showLegendKey val="0"/>
              <c:showVal val="1"/>
              <c:showCatName val="0"/>
              <c:showSerName val="0"/>
              <c:showPercent val="0"/>
              <c:showBubbleSize val="0"/>
            </c:dLbl>
            <c:txPr>
              <a:bodyPr/>
              <a:lstStyle/>
              <a:p>
                <a:pPr>
                  <a:defRPr b="1">
                    <a:solidFill>
                      <a:schemeClr val="bg1"/>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VRM</c:v>
                </c:pt>
                <c:pt idx="2">
                  <c:v>KM</c:v>
                </c:pt>
                <c:pt idx="3">
                  <c:v>EIM</c:v>
                </c:pt>
                <c:pt idx="4">
                  <c:v>ŠMSM</c:v>
                </c:pt>
                <c:pt idx="5">
                  <c:v>SAM</c:v>
                </c:pt>
                <c:pt idx="6">
                  <c:v>SM</c:v>
                </c:pt>
                <c:pt idx="7">
                  <c:v>AM</c:v>
                </c:pt>
                <c:pt idx="8">
                  <c:v>FM</c:v>
                </c:pt>
                <c:pt idx="9">
                  <c:v>SADM</c:v>
                </c:pt>
              </c:strCache>
            </c:strRef>
          </c:cat>
          <c:val>
            <c:numRef>
              <c:f>'Pagal minist '!$D$17:$D$26</c:f>
              <c:numCache>
                <c:formatCode>0%</c:formatCode>
                <c:ptCount val="10"/>
                <c:pt idx="0">
                  <c:v>0.87329593509985892</c:v>
                </c:pt>
                <c:pt idx="1">
                  <c:v>0.8355178620607514</c:v>
                </c:pt>
                <c:pt idx="2">
                  <c:v>0.96044295753799647</c:v>
                </c:pt>
                <c:pt idx="3">
                  <c:v>0.89232111565100414</c:v>
                </c:pt>
                <c:pt idx="4">
                  <c:v>0.83511606837825747</c:v>
                </c:pt>
                <c:pt idx="5">
                  <c:v>0.84587183215166195</c:v>
                </c:pt>
                <c:pt idx="6">
                  <c:v>0.86775956249830088</c:v>
                </c:pt>
                <c:pt idx="7">
                  <c:v>0.91551804384382518</c:v>
                </c:pt>
                <c:pt idx="8">
                  <c:v>0.99782453267489901</c:v>
                </c:pt>
                <c:pt idx="9">
                  <c:v>0.84126841913389083</c:v>
                </c:pt>
              </c:numCache>
            </c:numRef>
          </c:val>
        </c:ser>
        <c:ser>
          <c:idx val="2"/>
          <c:order val="2"/>
          <c:tx>
            <c:strRef>
              <c:f>'Pagal minist '!$E$16</c:f>
              <c:strCache>
                <c:ptCount val="1"/>
                <c:pt idx="0">
                  <c:v>Sudaryta projektų sutarčių</c:v>
                </c:pt>
              </c:strCache>
            </c:strRef>
          </c:tx>
          <c:spPr>
            <a:solidFill>
              <a:schemeClr val="accent1">
                <a:lumMod val="40000"/>
                <a:lumOff val="60000"/>
              </a:schemeClr>
            </a:solidFill>
            <a:ln w="63500">
              <a:solidFill>
                <a:schemeClr val="accent1">
                  <a:lumMod val="40000"/>
                  <a:lumOff val="60000"/>
                </a:schemeClr>
              </a:solidFill>
            </a:ln>
          </c:spPr>
          <c:invertIfNegative val="0"/>
          <c:dLbls>
            <c:dLbl>
              <c:idx val="1"/>
              <c:layout>
                <c:manualLayout>
                  <c:x val="-3.9350337234068056E-2"/>
                  <c:y val="3.0526571337232081E-3"/>
                </c:manualLayout>
              </c:layout>
              <c:dLblPos val="outEnd"/>
              <c:showLegendKey val="0"/>
              <c:showVal val="1"/>
              <c:showCatName val="0"/>
              <c:showSerName val="0"/>
              <c:showPercent val="0"/>
              <c:showBubbleSize val="0"/>
            </c:dLbl>
            <c:dLbl>
              <c:idx val="9"/>
              <c:layout>
                <c:manualLayout>
                  <c:x val="-5.7068458788499025E-2"/>
                  <c:y val="-6.1053142674464163E-3"/>
                </c:manualLayout>
              </c:layout>
              <c:dLblPos val="outEnd"/>
              <c:showLegendKey val="0"/>
              <c:showVal val="1"/>
              <c:showCatName val="0"/>
              <c:showSerName val="0"/>
              <c:showPercent val="0"/>
              <c:showBubbleSize val="0"/>
            </c:dLbl>
            <c:txPr>
              <a:bodyPr/>
              <a:lstStyle/>
              <a:p>
                <a:pPr>
                  <a:defRPr b="1">
                    <a:solidFill>
                      <a:schemeClr val="bg1"/>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VRM</c:v>
                </c:pt>
                <c:pt idx="2">
                  <c:v>KM</c:v>
                </c:pt>
                <c:pt idx="3">
                  <c:v>EIM</c:v>
                </c:pt>
                <c:pt idx="4">
                  <c:v>ŠMSM</c:v>
                </c:pt>
                <c:pt idx="5">
                  <c:v>SAM</c:v>
                </c:pt>
                <c:pt idx="6">
                  <c:v>SM</c:v>
                </c:pt>
                <c:pt idx="7">
                  <c:v>AM</c:v>
                </c:pt>
                <c:pt idx="8">
                  <c:v>FM</c:v>
                </c:pt>
                <c:pt idx="9">
                  <c:v>SADM</c:v>
                </c:pt>
              </c:strCache>
            </c:strRef>
          </c:cat>
          <c:val>
            <c:numRef>
              <c:f>'Pagal minist '!$E$17:$E$26</c:f>
              <c:numCache>
                <c:formatCode>0%</c:formatCode>
                <c:ptCount val="10"/>
                <c:pt idx="0">
                  <c:v>0.74241174971305646</c:v>
                </c:pt>
                <c:pt idx="1">
                  <c:v>0.73346250946914571</c:v>
                </c:pt>
                <c:pt idx="2">
                  <c:v>0.81256426583408059</c:v>
                </c:pt>
                <c:pt idx="3">
                  <c:v>0.74777580278474298</c:v>
                </c:pt>
                <c:pt idx="4">
                  <c:v>0.76894589602923924</c:v>
                </c:pt>
                <c:pt idx="5">
                  <c:v>0.78639834110626694</c:v>
                </c:pt>
                <c:pt idx="6">
                  <c:v>0.58536914198325118</c:v>
                </c:pt>
                <c:pt idx="7">
                  <c:v>0.8851284246671336</c:v>
                </c:pt>
                <c:pt idx="8">
                  <c:v>0.58523398793490011</c:v>
                </c:pt>
                <c:pt idx="9">
                  <c:v>0.83662316398443526</c:v>
                </c:pt>
              </c:numCache>
            </c:numRef>
          </c:val>
        </c:ser>
        <c:ser>
          <c:idx val="3"/>
          <c:order val="3"/>
          <c:tx>
            <c:strRef>
              <c:f>'Pagal minist '!$F$16</c:f>
              <c:strCache>
                <c:ptCount val="1"/>
                <c:pt idx="0">
                  <c:v>Investuota projektuose</c:v>
                </c:pt>
              </c:strCache>
            </c:strRef>
          </c:tx>
          <c:spPr>
            <a:solidFill>
              <a:schemeClr val="accent3"/>
            </a:solidFill>
          </c:spPr>
          <c:invertIfNegative val="0"/>
          <c:dLbls>
            <c:txPr>
              <a:bodyPr/>
              <a:lstStyle/>
              <a:p>
                <a:pPr>
                  <a:defRPr b="1">
                    <a:solidFill>
                      <a:schemeClr val="bg1"/>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VRM</c:v>
                </c:pt>
                <c:pt idx="2">
                  <c:v>KM</c:v>
                </c:pt>
                <c:pt idx="3">
                  <c:v>EIM</c:v>
                </c:pt>
                <c:pt idx="4">
                  <c:v>ŠMSM</c:v>
                </c:pt>
                <c:pt idx="5">
                  <c:v>SAM</c:v>
                </c:pt>
                <c:pt idx="6">
                  <c:v>SM</c:v>
                </c:pt>
                <c:pt idx="7">
                  <c:v>AM</c:v>
                </c:pt>
                <c:pt idx="8">
                  <c:v>FM</c:v>
                </c:pt>
                <c:pt idx="9">
                  <c:v>SADM</c:v>
                </c:pt>
              </c:strCache>
            </c:strRef>
          </c:cat>
          <c:val>
            <c:numRef>
              <c:f>'Pagal minist '!$F$17:$F$26</c:f>
              <c:numCache>
                <c:formatCode>0%</c:formatCode>
                <c:ptCount val="10"/>
                <c:pt idx="0">
                  <c:v>0.2694903297356484</c:v>
                </c:pt>
                <c:pt idx="1">
                  <c:v>0.28400681887531926</c:v>
                </c:pt>
                <c:pt idx="2">
                  <c:v>0.2878950141464422</c:v>
                </c:pt>
                <c:pt idx="3">
                  <c:v>0.31524452846335532</c:v>
                </c:pt>
                <c:pt idx="4">
                  <c:v>0.32367313105440787</c:v>
                </c:pt>
                <c:pt idx="5">
                  <c:v>0.3649714282963043</c:v>
                </c:pt>
                <c:pt idx="6">
                  <c:v>0.41427588170176366</c:v>
                </c:pt>
                <c:pt idx="7">
                  <c:v>0.48427605047761224</c:v>
                </c:pt>
                <c:pt idx="8">
                  <c:v>0.51974203078571524</c:v>
                </c:pt>
                <c:pt idx="9">
                  <c:v>0.57420799192956562</c:v>
                </c:pt>
              </c:numCache>
            </c:numRef>
          </c:val>
        </c:ser>
        <c:dLbls>
          <c:showLegendKey val="0"/>
          <c:showVal val="0"/>
          <c:showCatName val="0"/>
          <c:showSerName val="0"/>
          <c:showPercent val="0"/>
          <c:showBubbleSize val="0"/>
        </c:dLbls>
        <c:gapWidth val="132"/>
        <c:overlap val="100"/>
        <c:axId val="109121920"/>
        <c:axId val="109123456"/>
      </c:barChart>
      <c:catAx>
        <c:axId val="109121920"/>
        <c:scaling>
          <c:orientation val="minMax"/>
        </c:scaling>
        <c:delete val="0"/>
        <c:axPos val="l"/>
        <c:majorTickMark val="out"/>
        <c:minorTickMark val="none"/>
        <c:tickLblPos val="nextTo"/>
        <c:txPr>
          <a:bodyPr/>
          <a:lstStyle/>
          <a:p>
            <a:pPr>
              <a:defRPr sz="900" b="0">
                <a:latin typeface="+mn-lt"/>
                <a:cs typeface="Arial" panose="020B0604020202020204" pitchFamily="34" charset="0"/>
              </a:defRPr>
            </a:pPr>
            <a:endParaRPr lang="lt-LT"/>
          </a:p>
        </c:txPr>
        <c:crossAx val="109123456"/>
        <c:crosses val="autoZero"/>
        <c:auto val="1"/>
        <c:lblAlgn val="ctr"/>
        <c:lblOffset val="100"/>
        <c:noMultiLvlLbl val="0"/>
      </c:catAx>
      <c:valAx>
        <c:axId val="109123456"/>
        <c:scaling>
          <c:orientation val="minMax"/>
          <c:max val="1"/>
        </c:scaling>
        <c:delete val="1"/>
        <c:axPos val="b"/>
        <c:majorGridlines/>
        <c:numFmt formatCode="0%" sourceLinked="1"/>
        <c:majorTickMark val="out"/>
        <c:minorTickMark val="none"/>
        <c:tickLblPos val="nextTo"/>
        <c:crossAx val="109121920"/>
        <c:crosses val="autoZero"/>
        <c:crossBetween val="between"/>
        <c:majorUnit val="0.2"/>
      </c:valAx>
    </c:plotArea>
    <c:legend>
      <c:legendPos val="b"/>
      <c:layout>
        <c:manualLayout>
          <c:xMode val="edge"/>
          <c:yMode val="edge"/>
          <c:x val="9.9932506317722582E-3"/>
          <c:y val="0.90394963055453703"/>
          <c:w val="0.98901087940271615"/>
          <c:h val="9.6050271583580329E-2"/>
        </c:manualLayout>
      </c:layout>
      <c:overlay val="0"/>
      <c:txPr>
        <a:bodyPr/>
        <a:lstStyle/>
        <a:p>
          <a:pPr>
            <a:defRPr>
              <a:latin typeface="+mn-lt"/>
              <a:cs typeface="Arial" panose="020B0604020202020204" pitchFamily="34"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Asignavimai!$L$1:$L$2</c:f>
              <c:strCache>
                <c:ptCount val="1"/>
                <c:pt idx="0">
                  <c:v>Investuoti 2019 m. ES fondų asignavimai</c:v>
                </c:pt>
              </c:strCache>
            </c:strRef>
          </c:tx>
          <c:spPr>
            <a:solidFill>
              <a:schemeClr val="accent3"/>
            </a:solidFill>
          </c:spPr>
          <c:invertIfNegative val="0"/>
          <c:dLbls>
            <c:dLbl>
              <c:idx val="0"/>
              <c:layout/>
              <c:tx>
                <c:rich>
                  <a:bodyPr/>
                  <a:lstStyle/>
                  <a:p>
                    <a:r>
                      <a:rPr lang="lt-LT" b="1"/>
                      <a:t>30</a:t>
                    </a:r>
                    <a:r>
                      <a:rPr lang="en-US" b="1"/>
                      <a:t>% (2</a:t>
                    </a:r>
                    <a:r>
                      <a:rPr lang="lt-LT" b="1"/>
                      <a:t>3</a:t>
                    </a:r>
                    <a:r>
                      <a:rPr lang="en-US" b="1"/>
                      <a:t>)</a:t>
                    </a:r>
                    <a:endParaRPr lang="en-US"/>
                  </a:p>
                </c:rich>
              </c:tx>
              <c:dLblPos val="inBase"/>
              <c:showLegendKey val="0"/>
              <c:showVal val="1"/>
              <c:showCatName val="0"/>
              <c:showSerName val="0"/>
              <c:showPercent val="0"/>
              <c:showBubbleSize val="0"/>
            </c:dLbl>
            <c:dLbl>
              <c:idx val="1"/>
              <c:layout/>
              <c:tx>
                <c:rich>
                  <a:bodyPr/>
                  <a:lstStyle/>
                  <a:p>
                    <a:r>
                      <a:rPr lang="lt-LT" b="1"/>
                      <a:t>34</a:t>
                    </a:r>
                    <a:r>
                      <a:rPr lang="en-US" b="1"/>
                      <a:t>% (6</a:t>
                    </a:r>
                    <a:r>
                      <a:rPr lang="lt-LT" b="1"/>
                      <a:t>9</a:t>
                    </a:r>
                    <a:r>
                      <a:rPr lang="en-US" b="1"/>
                      <a:t>)</a:t>
                    </a:r>
                    <a:endParaRPr lang="en-US"/>
                  </a:p>
                </c:rich>
              </c:tx>
              <c:dLblPos val="inBase"/>
              <c:showLegendKey val="0"/>
              <c:showVal val="1"/>
              <c:showCatName val="0"/>
              <c:showSerName val="0"/>
              <c:showPercent val="0"/>
              <c:showBubbleSize val="0"/>
            </c:dLbl>
            <c:dLbl>
              <c:idx val="2"/>
              <c:layout/>
              <c:tx>
                <c:rich>
                  <a:bodyPr/>
                  <a:lstStyle/>
                  <a:p>
                    <a:r>
                      <a:rPr lang="lt-LT" b="1"/>
                      <a:t>41</a:t>
                    </a:r>
                    <a:r>
                      <a:rPr lang="en-US" b="1"/>
                      <a:t>% (</a:t>
                    </a:r>
                    <a:r>
                      <a:rPr lang="lt-LT" b="1"/>
                      <a:t>81</a:t>
                    </a:r>
                    <a:r>
                      <a:rPr lang="en-US" b="1"/>
                      <a:t>)</a:t>
                    </a:r>
                    <a:endParaRPr lang="en-US"/>
                  </a:p>
                </c:rich>
              </c:tx>
              <c:dLblPos val="inBase"/>
              <c:showLegendKey val="0"/>
              <c:showVal val="1"/>
              <c:showCatName val="0"/>
              <c:showSerName val="0"/>
              <c:showPercent val="0"/>
              <c:showBubbleSize val="0"/>
            </c:dLbl>
            <c:dLbl>
              <c:idx val="3"/>
              <c:layout/>
              <c:tx>
                <c:rich>
                  <a:bodyPr/>
                  <a:lstStyle/>
                  <a:p>
                    <a:r>
                      <a:rPr lang="en-US" b="1"/>
                      <a:t>4</a:t>
                    </a:r>
                    <a:r>
                      <a:rPr lang="lt-LT" b="1"/>
                      <a:t>6</a:t>
                    </a:r>
                    <a:r>
                      <a:rPr lang="en-US" b="1"/>
                      <a:t>% (</a:t>
                    </a:r>
                    <a:r>
                      <a:rPr lang="lt-LT" b="1"/>
                      <a:t>101</a:t>
                    </a:r>
                    <a:r>
                      <a:rPr lang="en-US" b="1"/>
                      <a:t>)</a:t>
                    </a:r>
                    <a:endParaRPr lang="en-US"/>
                  </a:p>
                </c:rich>
              </c:tx>
              <c:dLblPos val="inBase"/>
              <c:showLegendKey val="0"/>
              <c:showVal val="1"/>
              <c:showCatName val="0"/>
              <c:showSerName val="0"/>
              <c:showPercent val="0"/>
              <c:showBubbleSize val="0"/>
            </c:dLbl>
            <c:dLbl>
              <c:idx val="4"/>
              <c:layout/>
              <c:tx>
                <c:rich>
                  <a:bodyPr/>
                  <a:lstStyle/>
                  <a:p>
                    <a:r>
                      <a:rPr lang="lt-LT" b="1"/>
                      <a:t>50</a:t>
                    </a:r>
                    <a:r>
                      <a:rPr lang="en-US" b="1"/>
                      <a:t>% (</a:t>
                    </a:r>
                    <a:r>
                      <a:rPr lang="lt-LT" b="1"/>
                      <a:t>51</a:t>
                    </a:r>
                    <a:r>
                      <a:rPr lang="en-US" b="1"/>
                      <a:t>)</a:t>
                    </a:r>
                    <a:endParaRPr lang="en-US"/>
                  </a:p>
                </c:rich>
              </c:tx>
              <c:dLblPos val="inBase"/>
              <c:showLegendKey val="0"/>
              <c:showVal val="1"/>
              <c:showCatName val="0"/>
              <c:showSerName val="0"/>
              <c:showPercent val="0"/>
              <c:showBubbleSize val="0"/>
            </c:dLbl>
            <c:dLbl>
              <c:idx val="5"/>
              <c:layout/>
              <c:tx>
                <c:rich>
                  <a:bodyPr/>
                  <a:lstStyle/>
                  <a:p>
                    <a:r>
                      <a:rPr lang="lt-LT" b="1"/>
                      <a:t>55</a:t>
                    </a:r>
                    <a:r>
                      <a:rPr lang="en-US" b="1"/>
                      <a:t>% (</a:t>
                    </a:r>
                    <a:r>
                      <a:rPr lang="lt-LT" b="1"/>
                      <a:t>31</a:t>
                    </a:r>
                    <a:r>
                      <a:rPr lang="en-US" b="1"/>
                      <a:t>)</a:t>
                    </a:r>
                    <a:endParaRPr lang="en-US"/>
                  </a:p>
                </c:rich>
              </c:tx>
              <c:dLblPos val="inBase"/>
              <c:showLegendKey val="0"/>
              <c:showVal val="1"/>
              <c:showCatName val="0"/>
              <c:showSerName val="0"/>
              <c:showPercent val="0"/>
              <c:showBubbleSize val="0"/>
            </c:dLbl>
            <c:dLbl>
              <c:idx val="6"/>
              <c:layout/>
              <c:tx>
                <c:rich>
                  <a:bodyPr/>
                  <a:lstStyle/>
                  <a:p>
                    <a:r>
                      <a:rPr lang="lt-LT" b="1"/>
                      <a:t>57</a:t>
                    </a:r>
                    <a:r>
                      <a:rPr lang="en-US" b="1"/>
                      <a:t>% (</a:t>
                    </a:r>
                    <a:r>
                      <a:rPr lang="lt-LT" b="1"/>
                      <a:t>19</a:t>
                    </a:r>
                    <a:r>
                      <a:rPr lang="en-US" b="1"/>
                      <a:t>)</a:t>
                    </a:r>
                    <a:endParaRPr lang="en-US"/>
                  </a:p>
                </c:rich>
              </c:tx>
              <c:dLblPos val="inBase"/>
              <c:showLegendKey val="0"/>
              <c:showVal val="1"/>
              <c:showCatName val="0"/>
              <c:showSerName val="0"/>
              <c:showPercent val="0"/>
              <c:showBubbleSize val="0"/>
            </c:dLbl>
            <c:dLbl>
              <c:idx val="7"/>
              <c:layout/>
              <c:tx>
                <c:rich>
                  <a:bodyPr/>
                  <a:lstStyle/>
                  <a:p>
                    <a:r>
                      <a:rPr lang="en-US" b="1"/>
                      <a:t>5</a:t>
                    </a:r>
                    <a:r>
                      <a:rPr lang="lt-LT" b="1"/>
                      <a:t>9</a:t>
                    </a:r>
                    <a:r>
                      <a:rPr lang="en-US" b="1"/>
                      <a:t>% (</a:t>
                    </a:r>
                    <a:r>
                      <a:rPr lang="lt-LT" b="1"/>
                      <a:t>71</a:t>
                    </a:r>
                    <a:r>
                      <a:rPr lang="en-US" b="1"/>
                      <a:t>)</a:t>
                    </a:r>
                    <a:endParaRPr lang="en-US"/>
                  </a:p>
                </c:rich>
              </c:tx>
              <c:dLblPos val="inBase"/>
              <c:showLegendKey val="0"/>
              <c:showVal val="1"/>
              <c:showCatName val="0"/>
              <c:showSerName val="0"/>
              <c:showPercent val="0"/>
              <c:showBubbleSize val="0"/>
            </c:dLbl>
            <c:dLbl>
              <c:idx val="8"/>
              <c:layout/>
              <c:tx>
                <c:rich>
                  <a:bodyPr/>
                  <a:lstStyle/>
                  <a:p>
                    <a:r>
                      <a:rPr lang="lt-LT" b="1"/>
                      <a:t>63</a:t>
                    </a:r>
                    <a:r>
                      <a:rPr lang="en-US" b="1"/>
                      <a:t>% (</a:t>
                    </a:r>
                    <a:r>
                      <a:rPr lang="lt-LT" b="1"/>
                      <a:t>57</a:t>
                    </a:r>
                    <a:r>
                      <a:rPr lang="en-US" b="1"/>
                      <a:t>)</a:t>
                    </a:r>
                    <a:endParaRPr lang="en-US"/>
                  </a:p>
                </c:rich>
              </c:tx>
              <c:dLblPos val="inBase"/>
              <c:showLegendKey val="0"/>
              <c:showVal val="1"/>
              <c:showCatName val="0"/>
              <c:showSerName val="0"/>
              <c:showPercent val="0"/>
              <c:showBubbleSize val="0"/>
            </c:dLbl>
            <c:dLbl>
              <c:idx val="9"/>
              <c:layout/>
              <c:tx>
                <c:rich>
                  <a:bodyPr/>
                  <a:lstStyle/>
                  <a:p>
                    <a:r>
                      <a:rPr lang="lt-LT" b="1"/>
                      <a:t>94</a:t>
                    </a:r>
                    <a:r>
                      <a:rPr lang="en-US" b="1"/>
                      <a:t>%</a:t>
                    </a:r>
                    <a:r>
                      <a:rPr lang="lt-LT" b="1"/>
                      <a:t> (90)</a:t>
                    </a:r>
                    <a:endParaRPr lang="en-US"/>
                  </a:p>
                </c:rich>
              </c:tx>
              <c:dLblPos val="inBase"/>
              <c:showLegendKey val="0"/>
              <c:showVal val="1"/>
              <c:showCatName val="0"/>
              <c:showSerName val="0"/>
              <c:showPercent val="0"/>
              <c:showBubbleSize val="0"/>
            </c:dLbl>
            <c:txPr>
              <a:bodyPr/>
              <a:lstStyle/>
              <a:p>
                <a:pPr>
                  <a:defRPr b="1">
                    <a:solidFill>
                      <a:schemeClr val="bg1"/>
                    </a:solidFill>
                  </a:defRPr>
                </a:pPr>
                <a:endParaRPr lang="lt-LT"/>
              </a:p>
            </c:txPr>
            <c:dLblPos val="inBase"/>
            <c:showLegendKey val="0"/>
            <c:showVal val="1"/>
            <c:showCatName val="0"/>
            <c:showSerName val="0"/>
            <c:showPercent val="0"/>
            <c:showBubbleSize val="0"/>
            <c:showLeaderLines val="0"/>
          </c:dLbls>
          <c:cat>
            <c:strRef>
              <c:f>Asignavimai!$K$3:$K$12</c:f>
              <c:strCache>
                <c:ptCount val="10"/>
                <c:pt idx="0">
                  <c:v>KM</c:v>
                </c:pt>
                <c:pt idx="1">
                  <c:v>AM</c:v>
                </c:pt>
                <c:pt idx="2">
                  <c:v>SM</c:v>
                </c:pt>
                <c:pt idx="3">
                  <c:v>ŠMSM</c:v>
                </c:pt>
                <c:pt idx="4">
                  <c:v>VRM</c:v>
                </c:pt>
                <c:pt idx="5">
                  <c:v>SAM</c:v>
                </c:pt>
                <c:pt idx="6">
                  <c:v>FM</c:v>
                </c:pt>
                <c:pt idx="7">
                  <c:v>SADM</c:v>
                </c:pt>
                <c:pt idx="8">
                  <c:v>EM</c:v>
                </c:pt>
                <c:pt idx="9">
                  <c:v>EIM</c:v>
                </c:pt>
              </c:strCache>
            </c:strRef>
          </c:cat>
          <c:val>
            <c:numRef>
              <c:f>Asignavimai!$L$3:$L$12</c:f>
              <c:numCache>
                <c:formatCode>0%</c:formatCode>
                <c:ptCount val="10"/>
                <c:pt idx="0">
                  <c:v>0.30014280450424718</c:v>
                </c:pt>
                <c:pt idx="1">
                  <c:v>0.33535306964658962</c:v>
                </c:pt>
                <c:pt idx="2">
                  <c:v>0.41495927804231586</c:v>
                </c:pt>
                <c:pt idx="3">
                  <c:v>0.45897677093693312</c:v>
                </c:pt>
                <c:pt idx="4">
                  <c:v>0.49610295635640145</c:v>
                </c:pt>
                <c:pt idx="5">
                  <c:v>0.54814766913252977</c:v>
                </c:pt>
                <c:pt idx="6">
                  <c:v>0.56745614035087699</c:v>
                </c:pt>
                <c:pt idx="7">
                  <c:v>0.5892682211093796</c:v>
                </c:pt>
                <c:pt idx="8">
                  <c:v>0.63336526913948943</c:v>
                </c:pt>
                <c:pt idx="9">
                  <c:v>0.94408071472089761</c:v>
                </c:pt>
              </c:numCache>
            </c:numRef>
          </c:val>
        </c:ser>
        <c:ser>
          <c:idx val="1"/>
          <c:order val="1"/>
          <c:tx>
            <c:strRef>
              <c:f>Asignavimai!$M$1:$M$2</c:f>
              <c:strCache>
                <c:ptCount val="1"/>
                <c:pt idx="0">
                  <c:v>Neinvestuoti 2019 m. ES fondų asignavimai</c:v>
                </c:pt>
              </c:strCache>
            </c:strRef>
          </c:tx>
          <c:spPr>
            <a:solidFill>
              <a:schemeClr val="accent1"/>
            </a:solidFill>
          </c:spPr>
          <c:invertIfNegative val="0"/>
          <c:dLbls>
            <c:dLbl>
              <c:idx val="0"/>
              <c:layout/>
              <c:tx>
                <c:rich>
                  <a:bodyPr/>
                  <a:lstStyle/>
                  <a:p>
                    <a:r>
                      <a:rPr lang="en-US" b="1"/>
                      <a:t>7</a:t>
                    </a:r>
                    <a:r>
                      <a:rPr lang="lt-LT" b="1"/>
                      <a:t>0</a:t>
                    </a:r>
                    <a:r>
                      <a:rPr lang="en-US" b="1"/>
                      <a:t>% (5</a:t>
                    </a:r>
                    <a:r>
                      <a:rPr lang="lt-LT" b="1"/>
                      <a:t>4</a:t>
                    </a:r>
                    <a:r>
                      <a:rPr lang="en-US" b="1"/>
                      <a:t>)</a:t>
                    </a:r>
                    <a:endParaRPr lang="en-US"/>
                  </a:p>
                </c:rich>
              </c:tx>
              <c:showLegendKey val="0"/>
              <c:showVal val="1"/>
              <c:showCatName val="0"/>
              <c:showSerName val="0"/>
              <c:showPercent val="0"/>
              <c:showBubbleSize val="0"/>
            </c:dLbl>
            <c:dLbl>
              <c:idx val="1"/>
              <c:layout/>
              <c:tx>
                <c:rich>
                  <a:bodyPr/>
                  <a:lstStyle/>
                  <a:p>
                    <a:r>
                      <a:rPr lang="lt-LT" b="1"/>
                      <a:t>66</a:t>
                    </a:r>
                    <a:r>
                      <a:rPr lang="en-US" b="1"/>
                      <a:t>% (1</a:t>
                    </a:r>
                    <a:r>
                      <a:rPr lang="lt-LT" b="1"/>
                      <a:t>37</a:t>
                    </a:r>
                    <a:r>
                      <a:rPr lang="en-US" b="1"/>
                      <a:t>)</a:t>
                    </a:r>
                    <a:endParaRPr lang="en-US"/>
                  </a:p>
                </c:rich>
              </c:tx>
              <c:showLegendKey val="0"/>
              <c:showVal val="1"/>
              <c:showCatName val="0"/>
              <c:showSerName val="0"/>
              <c:showPercent val="0"/>
              <c:showBubbleSize val="0"/>
            </c:dLbl>
            <c:dLbl>
              <c:idx val="2"/>
              <c:layout/>
              <c:tx>
                <c:rich>
                  <a:bodyPr/>
                  <a:lstStyle/>
                  <a:p>
                    <a:r>
                      <a:rPr lang="lt-LT" b="1"/>
                      <a:t>59</a:t>
                    </a:r>
                    <a:r>
                      <a:rPr lang="en-US" b="1"/>
                      <a:t>% (1</a:t>
                    </a:r>
                    <a:r>
                      <a:rPr lang="lt-LT" b="1"/>
                      <a:t>14</a:t>
                    </a:r>
                    <a:r>
                      <a:rPr lang="en-US" b="1"/>
                      <a:t>)</a:t>
                    </a:r>
                    <a:endParaRPr lang="en-US"/>
                  </a:p>
                </c:rich>
              </c:tx>
              <c:showLegendKey val="0"/>
              <c:showVal val="1"/>
              <c:showCatName val="0"/>
              <c:showSerName val="0"/>
              <c:showPercent val="0"/>
              <c:showBubbleSize val="0"/>
            </c:dLbl>
            <c:dLbl>
              <c:idx val="3"/>
              <c:layout/>
              <c:tx>
                <c:rich>
                  <a:bodyPr/>
                  <a:lstStyle/>
                  <a:p>
                    <a:r>
                      <a:rPr lang="en-US" b="1"/>
                      <a:t>5</a:t>
                    </a:r>
                    <a:r>
                      <a:rPr lang="lt-LT" b="1"/>
                      <a:t>4</a:t>
                    </a:r>
                    <a:r>
                      <a:rPr lang="en-US" b="1"/>
                      <a:t>% (</a:t>
                    </a:r>
                    <a:r>
                      <a:rPr lang="lt-LT" b="1"/>
                      <a:t>119</a:t>
                    </a:r>
                    <a:r>
                      <a:rPr lang="en-US" b="1"/>
                      <a:t>)</a:t>
                    </a:r>
                    <a:endParaRPr lang="en-US"/>
                  </a:p>
                </c:rich>
              </c:tx>
              <c:showLegendKey val="0"/>
              <c:showVal val="1"/>
              <c:showCatName val="0"/>
              <c:showSerName val="0"/>
              <c:showPercent val="0"/>
              <c:showBubbleSize val="0"/>
            </c:dLbl>
            <c:dLbl>
              <c:idx val="4"/>
              <c:layout/>
              <c:tx>
                <c:rich>
                  <a:bodyPr/>
                  <a:lstStyle/>
                  <a:p>
                    <a:r>
                      <a:rPr lang="en-US" b="1"/>
                      <a:t>5</a:t>
                    </a:r>
                    <a:r>
                      <a:rPr lang="lt-LT" b="1"/>
                      <a:t>0</a:t>
                    </a:r>
                    <a:r>
                      <a:rPr lang="en-US" b="1"/>
                      <a:t>% (5</a:t>
                    </a:r>
                    <a:r>
                      <a:rPr lang="lt-LT" b="1"/>
                      <a:t>1</a:t>
                    </a:r>
                    <a:r>
                      <a:rPr lang="en-US" b="1"/>
                      <a:t>)</a:t>
                    </a:r>
                    <a:endParaRPr lang="en-US"/>
                  </a:p>
                </c:rich>
              </c:tx>
              <c:showLegendKey val="0"/>
              <c:showVal val="1"/>
              <c:showCatName val="0"/>
              <c:showSerName val="0"/>
              <c:showPercent val="0"/>
              <c:showBubbleSize val="0"/>
            </c:dLbl>
            <c:dLbl>
              <c:idx val="5"/>
              <c:layout/>
              <c:tx>
                <c:rich>
                  <a:bodyPr/>
                  <a:lstStyle/>
                  <a:p>
                    <a:r>
                      <a:rPr lang="lt-LT" b="1"/>
                      <a:t>45</a:t>
                    </a:r>
                    <a:r>
                      <a:rPr lang="en-US" b="1"/>
                      <a:t>% (</a:t>
                    </a:r>
                    <a:r>
                      <a:rPr lang="lt-LT" b="1"/>
                      <a:t>35</a:t>
                    </a:r>
                    <a:r>
                      <a:rPr lang="en-US" b="1"/>
                      <a:t>)</a:t>
                    </a:r>
                    <a:endParaRPr lang="en-US"/>
                  </a:p>
                </c:rich>
              </c:tx>
              <c:showLegendKey val="0"/>
              <c:showVal val="1"/>
              <c:showCatName val="0"/>
              <c:showSerName val="0"/>
              <c:showPercent val="0"/>
              <c:showBubbleSize val="0"/>
            </c:dLbl>
            <c:dLbl>
              <c:idx val="6"/>
              <c:layout/>
              <c:tx>
                <c:rich>
                  <a:bodyPr/>
                  <a:lstStyle/>
                  <a:p>
                    <a:r>
                      <a:rPr lang="lt-LT" b="1"/>
                      <a:t>43</a:t>
                    </a:r>
                    <a:r>
                      <a:rPr lang="en-US" b="1"/>
                      <a:t>% (</a:t>
                    </a:r>
                    <a:r>
                      <a:rPr lang="lt-LT" b="1"/>
                      <a:t>15</a:t>
                    </a:r>
                    <a:r>
                      <a:rPr lang="en-US" b="1"/>
                      <a:t>)</a:t>
                    </a:r>
                    <a:endParaRPr lang="en-US"/>
                  </a:p>
                </c:rich>
              </c:tx>
              <c:showLegendKey val="0"/>
              <c:showVal val="1"/>
              <c:showCatName val="0"/>
              <c:showSerName val="0"/>
              <c:showPercent val="0"/>
              <c:showBubbleSize val="0"/>
            </c:dLbl>
            <c:dLbl>
              <c:idx val="7"/>
              <c:layout/>
              <c:tx>
                <c:rich>
                  <a:bodyPr/>
                  <a:lstStyle/>
                  <a:p>
                    <a:r>
                      <a:rPr lang="en-US" b="1"/>
                      <a:t>4</a:t>
                    </a:r>
                    <a:r>
                      <a:rPr lang="lt-LT" b="1"/>
                      <a:t>1</a:t>
                    </a:r>
                    <a:r>
                      <a:rPr lang="en-US" b="1"/>
                      <a:t>% (4</a:t>
                    </a:r>
                    <a:r>
                      <a:rPr lang="lt-LT" b="1"/>
                      <a:t>9</a:t>
                    </a:r>
                    <a:r>
                      <a:rPr lang="en-US" b="1"/>
                      <a:t>)</a:t>
                    </a:r>
                    <a:endParaRPr lang="en-US"/>
                  </a:p>
                </c:rich>
              </c:tx>
              <c:showLegendKey val="0"/>
              <c:showVal val="1"/>
              <c:showCatName val="0"/>
              <c:showSerName val="0"/>
              <c:showPercent val="0"/>
              <c:showBubbleSize val="0"/>
            </c:dLbl>
            <c:dLbl>
              <c:idx val="8"/>
              <c:layout/>
              <c:tx>
                <c:rich>
                  <a:bodyPr/>
                  <a:lstStyle/>
                  <a:p>
                    <a:r>
                      <a:rPr lang="lt-LT" b="1"/>
                      <a:t>37</a:t>
                    </a:r>
                    <a:r>
                      <a:rPr lang="en-US" b="1"/>
                      <a:t>% (</a:t>
                    </a:r>
                    <a:r>
                      <a:rPr lang="lt-LT" b="1"/>
                      <a:t>33</a:t>
                    </a:r>
                    <a:r>
                      <a:rPr lang="en-US" b="1"/>
                      <a:t>)</a:t>
                    </a:r>
                    <a:endParaRPr lang="en-US"/>
                  </a:p>
                </c:rich>
              </c:tx>
              <c:showLegendKey val="0"/>
              <c:showVal val="1"/>
              <c:showCatName val="0"/>
              <c:showSerName val="0"/>
              <c:showPercent val="0"/>
              <c:showBubbleSize val="0"/>
            </c:dLbl>
            <c:dLbl>
              <c:idx val="9"/>
              <c:layout/>
              <c:tx>
                <c:rich>
                  <a:bodyPr/>
                  <a:lstStyle/>
                  <a:p>
                    <a:r>
                      <a:rPr lang="lt-LT" b="1"/>
                      <a:t>6</a:t>
                    </a:r>
                    <a:r>
                      <a:rPr lang="en-US" b="1"/>
                      <a:t>% (</a:t>
                    </a:r>
                    <a:r>
                      <a:rPr lang="lt-LT" b="1"/>
                      <a:t>5</a:t>
                    </a:r>
                    <a:r>
                      <a:rPr lang="en-US" b="1"/>
                      <a:t>)</a:t>
                    </a:r>
                    <a:endParaRPr lang="en-US"/>
                  </a:p>
                </c:rich>
              </c:tx>
              <c:showLegendKey val="0"/>
              <c:showVal val="1"/>
              <c:showCatName val="0"/>
              <c:showSerName val="0"/>
              <c:showPercent val="0"/>
              <c:showBubbleSize val="0"/>
            </c:dLbl>
            <c:txPr>
              <a:bodyPr/>
              <a:lstStyle/>
              <a:p>
                <a:pPr>
                  <a:defRPr b="1">
                    <a:solidFill>
                      <a:schemeClr val="bg1"/>
                    </a:solidFill>
                  </a:defRPr>
                </a:pPr>
                <a:endParaRPr lang="lt-LT"/>
              </a:p>
            </c:txPr>
            <c:showLegendKey val="0"/>
            <c:showVal val="1"/>
            <c:showCatName val="0"/>
            <c:showSerName val="0"/>
            <c:showPercent val="0"/>
            <c:showBubbleSize val="0"/>
            <c:showLeaderLines val="0"/>
          </c:dLbls>
          <c:cat>
            <c:strRef>
              <c:f>Asignavimai!$K$3:$K$12</c:f>
              <c:strCache>
                <c:ptCount val="10"/>
                <c:pt idx="0">
                  <c:v>KM</c:v>
                </c:pt>
                <c:pt idx="1">
                  <c:v>AM</c:v>
                </c:pt>
                <c:pt idx="2">
                  <c:v>SM</c:v>
                </c:pt>
                <c:pt idx="3">
                  <c:v>ŠMSM</c:v>
                </c:pt>
                <c:pt idx="4">
                  <c:v>VRM</c:v>
                </c:pt>
                <c:pt idx="5">
                  <c:v>SAM</c:v>
                </c:pt>
                <c:pt idx="6">
                  <c:v>FM</c:v>
                </c:pt>
                <c:pt idx="7">
                  <c:v>SADM</c:v>
                </c:pt>
                <c:pt idx="8">
                  <c:v>EM</c:v>
                </c:pt>
                <c:pt idx="9">
                  <c:v>EIM</c:v>
                </c:pt>
              </c:strCache>
            </c:strRef>
          </c:cat>
          <c:val>
            <c:numRef>
              <c:f>Asignavimai!$M$3:$M$12</c:f>
              <c:numCache>
                <c:formatCode>0%</c:formatCode>
                <c:ptCount val="10"/>
                <c:pt idx="0">
                  <c:v>0.69985719549575287</c:v>
                </c:pt>
                <c:pt idx="1">
                  <c:v>0.66464693035341038</c:v>
                </c:pt>
                <c:pt idx="2">
                  <c:v>0.58504072195768408</c:v>
                </c:pt>
                <c:pt idx="3">
                  <c:v>0.54102322906306688</c:v>
                </c:pt>
                <c:pt idx="4">
                  <c:v>0.50389704364359855</c:v>
                </c:pt>
                <c:pt idx="5">
                  <c:v>0.45185233086747023</c:v>
                </c:pt>
                <c:pt idx="6">
                  <c:v>0.43254385964912301</c:v>
                </c:pt>
                <c:pt idx="7">
                  <c:v>0.4107317788906204</c:v>
                </c:pt>
                <c:pt idx="8">
                  <c:v>0.36663473086051057</c:v>
                </c:pt>
                <c:pt idx="9">
                  <c:v>5.5919285279102393E-2</c:v>
                </c:pt>
              </c:numCache>
            </c:numRef>
          </c:val>
        </c:ser>
        <c:dLbls>
          <c:showLegendKey val="0"/>
          <c:showVal val="0"/>
          <c:showCatName val="0"/>
          <c:showSerName val="0"/>
          <c:showPercent val="0"/>
          <c:showBubbleSize val="0"/>
        </c:dLbls>
        <c:gapWidth val="72"/>
        <c:overlap val="100"/>
        <c:axId val="109173760"/>
        <c:axId val="41571072"/>
      </c:barChart>
      <c:catAx>
        <c:axId val="109173760"/>
        <c:scaling>
          <c:orientation val="minMax"/>
        </c:scaling>
        <c:delete val="0"/>
        <c:axPos val="l"/>
        <c:majorTickMark val="out"/>
        <c:minorTickMark val="none"/>
        <c:tickLblPos val="nextTo"/>
        <c:crossAx val="41571072"/>
        <c:crosses val="autoZero"/>
        <c:auto val="1"/>
        <c:lblAlgn val="ctr"/>
        <c:lblOffset val="100"/>
        <c:noMultiLvlLbl val="0"/>
      </c:catAx>
      <c:valAx>
        <c:axId val="41571072"/>
        <c:scaling>
          <c:orientation val="minMax"/>
        </c:scaling>
        <c:delete val="0"/>
        <c:axPos val="b"/>
        <c:majorGridlines/>
        <c:numFmt formatCode="0%" sourceLinked="1"/>
        <c:majorTickMark val="out"/>
        <c:minorTickMark val="none"/>
        <c:tickLblPos val="nextTo"/>
        <c:crossAx val="109173760"/>
        <c:crosses val="autoZero"/>
        <c:crossBetween val="between"/>
        <c:majorUnit val="0.2"/>
      </c:valAx>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'Prioritetinės sritys'!$D$2</c:f>
              <c:strCache>
                <c:ptCount val="1"/>
                <c:pt idx="0">
                  <c:v>III ketv. planas</c:v>
                </c:pt>
              </c:strCache>
            </c:strRef>
          </c:tx>
          <c:spPr>
            <a:solidFill>
              <a:schemeClr val="accent1"/>
            </a:solidFill>
            <a:ln w="63500">
              <a:solidFill>
                <a:schemeClr val="accent1"/>
              </a:solidFill>
            </a:ln>
          </c:spPr>
          <c:invertIfNegative val="0"/>
          <c:cat>
            <c:strRef>
              <c:f>'Prioritetinės sritys'!$A$3:$A$12</c:f>
              <c:strCache>
                <c:ptCount val="10"/>
                <c:pt idx="0">
                  <c:v>Kultūros paveldo įveiklinimas ir kultūrinio verslumo skatinimas (KM)</c:v>
                </c:pt>
                <c:pt idx="1">
                  <c:v>Energijos efektyvumo didinimas (AM, EIM, EM)</c:v>
                </c:pt>
                <c:pt idx="2">
                  <c:v>Inovacijos ir inovatyvi ekonomika (EIM)</c:v>
                </c:pt>
                <c:pt idx="3">
                  <c:v>Švietimas (ŠMSM)</c:v>
                </c:pt>
                <c:pt idx="4">
                  <c:v>Strateginės infrastruktūros plėtojimas (SM)</c:v>
                </c:pt>
                <c:pt idx="5">
                  <c:v>Valstybės išteklių konsolidavimas ir duomenų atvėrimas (SM/EIM)</c:v>
                </c:pt>
                <c:pt idx="6">
                  <c:v>Viešasis administravimas (VRM)</c:v>
                </c:pt>
                <c:pt idx="7">
                  <c:v>Institucinės globos pertvarka (SADM)</c:v>
                </c:pt>
                <c:pt idx="8">
                  <c:v>Sveikatos (SAM)</c:v>
                </c:pt>
                <c:pt idx="9">
                  <c:v>Finansų rinkų plėtra (FM)</c:v>
                </c:pt>
              </c:strCache>
            </c:strRef>
          </c:cat>
          <c:val>
            <c:numRef>
              <c:f>'Prioritetinės sritys'!$D$3:$D$12</c:f>
              <c:numCache>
                <c:formatCode>0%</c:formatCode>
                <c:ptCount val="10"/>
                <c:pt idx="0">
                  <c:v>1</c:v>
                </c:pt>
                <c:pt idx="1">
                  <c:v>1</c:v>
                </c:pt>
                <c:pt idx="2">
                  <c:v>1</c:v>
                </c:pt>
                <c:pt idx="3">
                  <c:v>1</c:v>
                </c:pt>
                <c:pt idx="4">
                  <c:v>1</c:v>
                </c:pt>
                <c:pt idx="5">
                  <c:v>1</c:v>
                </c:pt>
                <c:pt idx="6">
                  <c:v>1</c:v>
                </c:pt>
                <c:pt idx="7">
                  <c:v>1</c:v>
                </c:pt>
                <c:pt idx="8">
                  <c:v>1</c:v>
                </c:pt>
                <c:pt idx="9">
                  <c:v>1</c:v>
                </c:pt>
              </c:numCache>
            </c:numRef>
          </c:val>
        </c:ser>
        <c:ser>
          <c:idx val="1"/>
          <c:order val="1"/>
          <c:tx>
            <c:strRef>
              <c:f>'Prioritetinės sritys'!$E$2</c:f>
              <c:strCache>
                <c:ptCount val="1"/>
                <c:pt idx="0">
                  <c:v>Proc. nuo III ketv. plano</c:v>
                </c:pt>
              </c:strCache>
            </c:strRef>
          </c:tx>
          <c:spPr>
            <a:solidFill>
              <a:schemeClr val="accent3"/>
            </a:solidFill>
          </c:spPr>
          <c:invertIfNegative val="0"/>
          <c:dPt>
            <c:idx val="0"/>
            <c:invertIfNegative val="0"/>
            <c:bubble3D val="0"/>
            <c:spPr>
              <a:solidFill>
                <a:schemeClr val="accent2"/>
              </a:solidFill>
            </c:spPr>
          </c:dPt>
          <c:dPt>
            <c:idx val="1"/>
            <c:invertIfNegative val="0"/>
            <c:bubble3D val="0"/>
            <c:spPr>
              <a:solidFill>
                <a:schemeClr val="accent2"/>
              </a:solidFill>
            </c:spPr>
          </c:dPt>
          <c:dPt>
            <c:idx val="3"/>
            <c:invertIfNegative val="0"/>
            <c:bubble3D val="0"/>
            <c:spPr>
              <a:solidFill>
                <a:schemeClr val="accent2"/>
              </a:solidFill>
            </c:spPr>
          </c:dPt>
          <c:dPt>
            <c:idx val="4"/>
            <c:invertIfNegative val="0"/>
            <c:bubble3D val="0"/>
          </c:dPt>
          <c:dPt>
            <c:idx val="5"/>
            <c:invertIfNegative val="0"/>
            <c:bubble3D val="0"/>
            <c:spPr>
              <a:solidFill>
                <a:schemeClr val="accent2"/>
              </a:solidFill>
            </c:spPr>
          </c:dPt>
          <c:dPt>
            <c:idx val="6"/>
            <c:invertIfNegative val="0"/>
            <c:bubble3D val="0"/>
            <c:spPr>
              <a:solidFill>
                <a:schemeClr val="accent2"/>
              </a:solidFill>
            </c:spPr>
          </c:dPt>
          <c:dLbls>
            <c:dLbl>
              <c:idx val="2"/>
              <c:layout>
                <c:manualLayout>
                  <c:x val="-4.5626781862520817E-2"/>
                  <c:y val="0"/>
                </c:manualLayout>
              </c:layout>
              <c:dLblPos val="outEnd"/>
              <c:showLegendKey val="0"/>
              <c:showVal val="1"/>
              <c:showCatName val="0"/>
              <c:showSerName val="0"/>
              <c:showPercent val="0"/>
              <c:showBubbleSize val="0"/>
            </c:dLbl>
            <c:dLbl>
              <c:idx val="4"/>
              <c:layout>
                <c:manualLayout>
                  <c:x val="-4.403247234064081E-2"/>
                  <c:y val="0"/>
                </c:manualLayout>
              </c:layout>
              <c:dLblPos val="outEnd"/>
              <c:showLegendKey val="0"/>
              <c:showVal val="1"/>
              <c:showCatName val="0"/>
              <c:showSerName val="0"/>
              <c:showPercent val="0"/>
              <c:showBubbleSize val="0"/>
            </c:dLbl>
            <c:dLbl>
              <c:idx val="5"/>
              <c:layout>
                <c:manualLayout>
                  <c:x val="-3.9306319146415594E-2"/>
                  <c:y val="-4.2328042328042331E-3"/>
                </c:manualLayout>
              </c:layout>
              <c:dLblPos val="outEnd"/>
              <c:showLegendKey val="0"/>
              <c:showVal val="1"/>
              <c:showCatName val="0"/>
              <c:showSerName val="0"/>
              <c:showPercent val="0"/>
              <c:showBubbleSize val="0"/>
            </c:dLbl>
            <c:dLbl>
              <c:idx val="7"/>
              <c:layout>
                <c:manualLayout>
                  <c:x val="-4.5626781862520817E-2"/>
                  <c:y val="0"/>
                </c:manualLayout>
              </c:layout>
              <c:dLblPos val="outEnd"/>
              <c:showLegendKey val="0"/>
              <c:showVal val="1"/>
              <c:showCatName val="0"/>
              <c:showSerName val="0"/>
              <c:showPercent val="0"/>
              <c:showBubbleSize val="0"/>
            </c:dLbl>
            <c:dLbl>
              <c:idx val="8"/>
              <c:layout>
                <c:manualLayout>
                  <c:x val="-4.3612683491101728E-2"/>
                  <c:y val="-4.2328042328042131E-3"/>
                </c:manualLayout>
              </c:layout>
              <c:dLblPos val="outEnd"/>
              <c:showLegendKey val="0"/>
              <c:showVal val="1"/>
              <c:showCatName val="0"/>
              <c:showSerName val="0"/>
              <c:showPercent val="0"/>
              <c:showBubbleSize val="0"/>
            </c:dLbl>
            <c:dLbl>
              <c:idx val="9"/>
              <c:layout>
                <c:manualLayout>
                  <c:x val="-5.7644129751706075E-2"/>
                  <c:y val="0"/>
                </c:manualLayout>
              </c:layout>
              <c:dLblPos val="outEnd"/>
              <c:showLegendKey val="0"/>
              <c:showVal val="1"/>
              <c:showCatName val="0"/>
              <c:showSerName val="0"/>
              <c:showPercent val="0"/>
              <c:showBubbleSize val="0"/>
            </c:dLbl>
            <c:txPr>
              <a:bodyPr/>
              <a:lstStyle/>
              <a:p>
                <a:pPr>
                  <a:defRPr b="1">
                    <a:solidFill>
                      <a:schemeClr val="bg1"/>
                    </a:solidFill>
                  </a:defRPr>
                </a:pPr>
                <a:endParaRPr lang="lt-LT"/>
              </a:p>
            </c:txPr>
            <c:dLblPos val="inBase"/>
            <c:showLegendKey val="0"/>
            <c:showVal val="1"/>
            <c:showCatName val="0"/>
            <c:showSerName val="0"/>
            <c:showPercent val="0"/>
            <c:showBubbleSize val="0"/>
            <c:showLeaderLines val="0"/>
          </c:dLbls>
          <c:cat>
            <c:strRef>
              <c:f>'Prioritetinės sritys'!$A$3:$A$12</c:f>
              <c:strCache>
                <c:ptCount val="10"/>
                <c:pt idx="0">
                  <c:v>Kultūros paveldo įveiklinimas ir kultūrinio verslumo skatinimas (KM)</c:v>
                </c:pt>
                <c:pt idx="1">
                  <c:v>Energijos efektyvumo didinimas (AM, EIM, EM)</c:v>
                </c:pt>
                <c:pt idx="2">
                  <c:v>Inovacijos ir inovatyvi ekonomika (EIM)</c:v>
                </c:pt>
                <c:pt idx="3">
                  <c:v>Švietimas (ŠMSM)</c:v>
                </c:pt>
                <c:pt idx="4">
                  <c:v>Strateginės infrastruktūros plėtojimas (SM)</c:v>
                </c:pt>
                <c:pt idx="5">
                  <c:v>Valstybės išteklių konsolidavimas ir duomenų atvėrimas (SM/EIM)</c:v>
                </c:pt>
                <c:pt idx="6">
                  <c:v>Viešasis administravimas (VRM)</c:v>
                </c:pt>
                <c:pt idx="7">
                  <c:v>Institucinės globos pertvarka (SADM)</c:v>
                </c:pt>
                <c:pt idx="8">
                  <c:v>Sveikatos (SAM)</c:v>
                </c:pt>
                <c:pt idx="9">
                  <c:v>Finansų rinkų plėtra (FM)</c:v>
                </c:pt>
              </c:strCache>
            </c:strRef>
          </c:cat>
          <c:val>
            <c:numRef>
              <c:f>'Prioritetinės sritys'!$E$3:$E$12</c:f>
              <c:numCache>
                <c:formatCode>0%</c:formatCode>
                <c:ptCount val="10"/>
                <c:pt idx="0">
                  <c:v>0.61198057204533185</c:v>
                </c:pt>
                <c:pt idx="1">
                  <c:v>0.31763951250801797</c:v>
                </c:pt>
                <c:pt idx="2">
                  <c:v>1.1062416998671978</c:v>
                </c:pt>
                <c:pt idx="3">
                  <c:v>0.72187700878508676</c:v>
                </c:pt>
                <c:pt idx="4">
                  <c:v>1.2462311557788945</c:v>
                </c:pt>
                <c:pt idx="5">
                  <c:v>6.5902578796561598E-2</c:v>
                </c:pt>
                <c:pt idx="6">
                  <c:v>0.4433179723502304</c:v>
                </c:pt>
                <c:pt idx="7">
                  <c:v>1.1377049180327869</c:v>
                </c:pt>
                <c:pt idx="8">
                  <c:v>1.0290748898678415</c:v>
                </c:pt>
                <c:pt idx="9">
                  <c:v>1</c:v>
                </c:pt>
              </c:numCache>
            </c:numRef>
          </c:val>
        </c:ser>
        <c:dLbls>
          <c:showLegendKey val="0"/>
          <c:showVal val="0"/>
          <c:showCatName val="0"/>
          <c:showSerName val="0"/>
          <c:showPercent val="0"/>
          <c:showBubbleSize val="0"/>
        </c:dLbls>
        <c:gapWidth val="150"/>
        <c:overlap val="100"/>
        <c:axId val="41618816"/>
        <c:axId val="41624704"/>
      </c:barChart>
      <c:catAx>
        <c:axId val="41618816"/>
        <c:scaling>
          <c:orientation val="minMax"/>
        </c:scaling>
        <c:delete val="0"/>
        <c:axPos val="l"/>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lt-LT"/>
          </a:p>
        </c:txPr>
        <c:crossAx val="41624704"/>
        <c:crosses val="autoZero"/>
        <c:auto val="1"/>
        <c:lblAlgn val="ctr"/>
        <c:lblOffset val="100"/>
        <c:noMultiLvlLbl val="0"/>
      </c:catAx>
      <c:valAx>
        <c:axId val="41624704"/>
        <c:scaling>
          <c:orientation val="minMax"/>
          <c:max val="1"/>
        </c:scaling>
        <c:delete val="0"/>
        <c:axPos val="b"/>
        <c:majorGridlines/>
        <c:numFmt formatCode="0%" sourceLinked="1"/>
        <c:majorTickMark val="out"/>
        <c:minorTickMark val="none"/>
        <c:tickLblPos val="nextTo"/>
        <c:crossAx val="41618816"/>
        <c:crosses val="autoZero"/>
        <c:crossBetween val="between"/>
        <c:majorUnit val="0.2"/>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989707100112428"/>
        </c:manualLayout>
      </c:layout>
      <c:barChart>
        <c:barDir val="bar"/>
        <c:grouping val="clustered"/>
        <c:varyColors val="0"/>
        <c:ser>
          <c:idx val="0"/>
          <c:order val="0"/>
          <c:tx>
            <c:strRef>
              <c:f>'minist pagal prior'!$M$2</c:f>
              <c:strCache>
                <c:ptCount val="1"/>
                <c:pt idx="0">
                  <c:v>Nesuplanuotos lėšos</c:v>
                </c:pt>
              </c:strCache>
            </c:strRef>
          </c:tx>
          <c:spPr>
            <a:solidFill>
              <a:schemeClr val="bg1">
                <a:lumMod val="85000"/>
              </a:schemeClr>
            </a:solidFill>
          </c:spPr>
          <c:invertIfNegative val="0"/>
          <c:dLbls>
            <c:dLbl>
              <c:idx val="0"/>
              <c:layout>
                <c:manualLayout>
                  <c:x val="-8.0495356037151702E-2"/>
                  <c:y val="0"/>
                </c:manualLayout>
              </c:layout>
              <c:tx>
                <c:rich>
                  <a:bodyPr/>
                  <a:lstStyle/>
                  <a:p>
                    <a:r>
                      <a:rPr lang="lt-LT"/>
                      <a:t>18</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prior'!$L$3</c:f>
              <c:strCache>
                <c:ptCount val="1"/>
                <c:pt idx="0">
                  <c:v>ŠMSM, ERPF</c:v>
                </c:pt>
              </c:strCache>
            </c:strRef>
          </c:cat>
          <c:val>
            <c:numRef>
              <c:f>'minist pagal prior'!$M$3</c:f>
              <c:numCache>
                <c:formatCode>0%</c:formatCode>
                <c:ptCount val="1"/>
                <c:pt idx="0">
                  <c:v>1</c:v>
                </c:pt>
              </c:numCache>
            </c:numRef>
          </c:val>
        </c:ser>
        <c:ser>
          <c:idx val="1"/>
          <c:order val="1"/>
          <c:tx>
            <c:strRef>
              <c:f>'minist pagal prior'!$N$2</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prior'!$L$3</c:f>
              <c:strCache>
                <c:ptCount val="1"/>
                <c:pt idx="0">
                  <c:v>ŠMSM, ERPF</c:v>
                </c:pt>
              </c:strCache>
            </c:strRef>
          </c:cat>
          <c:val>
            <c:numRef>
              <c:f>'minist pagal prior'!$N$3</c:f>
              <c:numCache>
                <c:formatCode>0%</c:formatCode>
                <c:ptCount val="1"/>
                <c:pt idx="0">
                  <c:v>0.8176656639510852</c:v>
                </c:pt>
              </c:numCache>
            </c:numRef>
          </c:val>
        </c:ser>
        <c:ser>
          <c:idx val="2"/>
          <c:order val="2"/>
          <c:tx>
            <c:strRef>
              <c:f>'minist pagal prior'!$O$2</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prior'!$L$3</c:f>
              <c:strCache>
                <c:ptCount val="1"/>
                <c:pt idx="0">
                  <c:v>ŠMSM, ERPF</c:v>
                </c:pt>
              </c:strCache>
            </c:strRef>
          </c:cat>
          <c:val>
            <c:numRef>
              <c:f>'minist pagal prior'!$O$3</c:f>
              <c:numCache>
                <c:formatCode>0%</c:formatCode>
                <c:ptCount val="1"/>
                <c:pt idx="0">
                  <c:v>0.67315289149012447</c:v>
                </c:pt>
              </c:numCache>
            </c:numRef>
          </c:val>
        </c:ser>
        <c:ser>
          <c:idx val="3"/>
          <c:order val="3"/>
          <c:tx>
            <c:strRef>
              <c:f>'minist pagal prior'!$P$2</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prior'!$L$3</c:f>
              <c:strCache>
                <c:ptCount val="1"/>
                <c:pt idx="0">
                  <c:v>ŠMSM, ERPF</c:v>
                </c:pt>
              </c:strCache>
            </c:strRef>
          </c:cat>
          <c:val>
            <c:numRef>
              <c:f>'minist pagal prior'!$P$3</c:f>
              <c:numCache>
                <c:formatCode>0%</c:formatCode>
                <c:ptCount val="1"/>
                <c:pt idx="0">
                  <c:v>0.22054356153420571</c:v>
                </c:pt>
              </c:numCache>
            </c:numRef>
          </c:val>
        </c:ser>
        <c:dLbls>
          <c:showLegendKey val="0"/>
          <c:showVal val="0"/>
          <c:showCatName val="0"/>
          <c:showSerName val="0"/>
          <c:showPercent val="0"/>
          <c:showBubbleSize val="0"/>
        </c:dLbls>
        <c:gapWidth val="217"/>
        <c:overlap val="100"/>
        <c:axId val="41673088"/>
        <c:axId val="41674624"/>
      </c:barChart>
      <c:catAx>
        <c:axId val="41673088"/>
        <c:scaling>
          <c:orientation val="minMax"/>
        </c:scaling>
        <c:delete val="0"/>
        <c:axPos val="l"/>
        <c:majorTickMark val="out"/>
        <c:minorTickMark val="none"/>
        <c:tickLblPos val="nextTo"/>
        <c:crossAx val="41674624"/>
        <c:crosses val="autoZero"/>
        <c:auto val="1"/>
        <c:lblAlgn val="ctr"/>
        <c:lblOffset val="100"/>
        <c:noMultiLvlLbl val="0"/>
      </c:catAx>
      <c:valAx>
        <c:axId val="41674624"/>
        <c:scaling>
          <c:orientation val="minMax"/>
          <c:max val="1"/>
        </c:scaling>
        <c:delete val="1"/>
        <c:axPos val="b"/>
        <c:majorGridlines/>
        <c:numFmt formatCode="0%" sourceLinked="1"/>
        <c:majorTickMark val="out"/>
        <c:minorTickMark val="none"/>
        <c:tickLblPos val="nextTo"/>
        <c:crossAx val="41673088"/>
        <c:crosses val="autoZero"/>
        <c:crossBetween val="between"/>
        <c:majorUnit val="0.2"/>
      </c:valAx>
    </c:plotArea>
    <c:legend>
      <c:legendPos val="b"/>
      <c:layout>
        <c:manualLayout>
          <c:xMode val="edge"/>
          <c:yMode val="edge"/>
          <c:x val="8.0235814176478709E-2"/>
          <c:y val="0.59873050643543002"/>
          <c:w val="0.83952837164704253"/>
          <c:h val="0.2299478387986311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3607733500529342"/>
        </c:manualLayout>
      </c:layout>
      <c:barChart>
        <c:barDir val="bar"/>
        <c:grouping val="clustered"/>
        <c:varyColors val="0"/>
        <c:ser>
          <c:idx val="0"/>
          <c:order val="0"/>
          <c:tx>
            <c:strRef>
              <c:f>'minist pagal prior'!$M$6</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manualLayout>
                  <c:x val="-8.6687306501547989E-2"/>
                  <c:y val="-1.7316040925849169E-2"/>
                </c:manualLayout>
              </c:layout>
              <c:tx>
                <c:rich>
                  <a:bodyPr/>
                  <a:lstStyle/>
                  <a:p>
                    <a:r>
                      <a:rPr lang="lt-LT"/>
                      <a:t>22</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prior'!$L$7</c:f>
              <c:strCache>
                <c:ptCount val="1"/>
                <c:pt idx="0">
                  <c:v>EIM, ERPF</c:v>
                </c:pt>
              </c:strCache>
            </c:strRef>
          </c:cat>
          <c:val>
            <c:numRef>
              <c:f>'minist pagal prior'!$M$7</c:f>
              <c:numCache>
                <c:formatCode>0%</c:formatCode>
                <c:ptCount val="1"/>
                <c:pt idx="0">
                  <c:v>1</c:v>
                </c:pt>
              </c:numCache>
            </c:numRef>
          </c:val>
        </c:ser>
        <c:ser>
          <c:idx val="1"/>
          <c:order val="1"/>
          <c:tx>
            <c:strRef>
              <c:f>'minist pagal prior'!$N$6</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prior'!$L$7</c:f>
              <c:strCache>
                <c:ptCount val="1"/>
                <c:pt idx="0">
                  <c:v>EIM, ERPF</c:v>
                </c:pt>
              </c:strCache>
            </c:strRef>
          </c:cat>
          <c:val>
            <c:numRef>
              <c:f>'minist pagal prior'!$N$7</c:f>
              <c:numCache>
                <c:formatCode>0%</c:formatCode>
                <c:ptCount val="1"/>
                <c:pt idx="0">
                  <c:v>0.77943156317951101</c:v>
                </c:pt>
              </c:numCache>
            </c:numRef>
          </c:val>
        </c:ser>
        <c:ser>
          <c:idx val="2"/>
          <c:order val="2"/>
          <c:tx>
            <c:strRef>
              <c:f>'minist pagal prior'!$O$6</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prior'!$L$7</c:f>
              <c:strCache>
                <c:ptCount val="1"/>
                <c:pt idx="0">
                  <c:v>EIM, ERPF</c:v>
                </c:pt>
              </c:strCache>
            </c:strRef>
          </c:cat>
          <c:val>
            <c:numRef>
              <c:f>'minist pagal prior'!$O$7</c:f>
              <c:numCache>
                <c:formatCode>0%</c:formatCode>
                <c:ptCount val="1"/>
                <c:pt idx="0">
                  <c:v>0.62627355108351512</c:v>
                </c:pt>
              </c:numCache>
            </c:numRef>
          </c:val>
        </c:ser>
        <c:ser>
          <c:idx val="3"/>
          <c:order val="3"/>
          <c:tx>
            <c:strRef>
              <c:f>'minist pagal prior'!$P$6</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prior'!$L$7</c:f>
              <c:strCache>
                <c:ptCount val="1"/>
                <c:pt idx="0">
                  <c:v>EIM, ERPF</c:v>
                </c:pt>
              </c:strCache>
            </c:strRef>
          </c:cat>
          <c:val>
            <c:numRef>
              <c:f>'minist pagal prior'!$P$7</c:f>
              <c:numCache>
                <c:formatCode>0%</c:formatCode>
                <c:ptCount val="1"/>
                <c:pt idx="0">
                  <c:v>0.23153698516020849</c:v>
                </c:pt>
              </c:numCache>
            </c:numRef>
          </c:val>
        </c:ser>
        <c:dLbls>
          <c:showLegendKey val="0"/>
          <c:showVal val="0"/>
          <c:showCatName val="0"/>
          <c:showSerName val="0"/>
          <c:showPercent val="0"/>
          <c:showBubbleSize val="0"/>
        </c:dLbls>
        <c:gapWidth val="217"/>
        <c:overlap val="100"/>
        <c:axId val="109270912"/>
        <c:axId val="109272448"/>
      </c:barChart>
      <c:catAx>
        <c:axId val="109270912"/>
        <c:scaling>
          <c:orientation val="minMax"/>
        </c:scaling>
        <c:delete val="0"/>
        <c:axPos val="l"/>
        <c:majorTickMark val="out"/>
        <c:minorTickMark val="none"/>
        <c:tickLblPos val="nextTo"/>
        <c:crossAx val="109272448"/>
        <c:crosses val="autoZero"/>
        <c:auto val="1"/>
        <c:lblAlgn val="ctr"/>
        <c:lblOffset val="100"/>
        <c:noMultiLvlLbl val="0"/>
      </c:catAx>
      <c:valAx>
        <c:axId val="109272448"/>
        <c:scaling>
          <c:orientation val="minMax"/>
          <c:max val="1"/>
        </c:scaling>
        <c:delete val="1"/>
        <c:axPos val="b"/>
        <c:majorGridlines/>
        <c:numFmt formatCode="0%" sourceLinked="1"/>
        <c:majorTickMark val="out"/>
        <c:minorTickMark val="none"/>
        <c:tickLblPos val="nextTo"/>
        <c:crossAx val="109270912"/>
        <c:crosses val="autoZero"/>
        <c:crossBetween val="between"/>
        <c:majorUnit val="0.2"/>
      </c:valAx>
    </c:plotArea>
    <c:legend>
      <c:legendPos val="b"/>
      <c:layout>
        <c:manualLayout>
          <c:xMode val="edge"/>
          <c:yMode val="edge"/>
          <c:x val="6.578792975955404E-2"/>
          <c:y val="0.64356088701760505"/>
          <c:w val="0.83952837164704253"/>
          <c:h val="0.18690349752792529"/>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147734440171724"/>
        </c:manualLayout>
      </c:layout>
      <c:barChart>
        <c:barDir val="bar"/>
        <c:grouping val="clustered"/>
        <c:varyColors val="0"/>
        <c:ser>
          <c:idx val="0"/>
          <c:order val="0"/>
          <c:tx>
            <c:strRef>
              <c:f>'minist pagal prior'!$M$10</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manualLayout>
                  <c:x val="-3.7151702786377708E-2"/>
                  <c:y val="0"/>
                </c:manualLayout>
              </c:layout>
              <c:tx>
                <c:rich>
                  <a:bodyPr/>
                  <a:lstStyle/>
                  <a:p>
                    <a:r>
                      <a:rPr lang="lt-LT"/>
                      <a:t>11</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prior'!$L$11</c:f>
              <c:strCache>
                <c:ptCount val="1"/>
                <c:pt idx="0">
                  <c:v>SM, ERPF</c:v>
                </c:pt>
              </c:strCache>
            </c:strRef>
          </c:cat>
          <c:val>
            <c:numRef>
              <c:f>'minist pagal prior'!$M$11</c:f>
              <c:numCache>
                <c:formatCode>0%</c:formatCode>
                <c:ptCount val="1"/>
                <c:pt idx="0">
                  <c:v>1</c:v>
                </c:pt>
              </c:numCache>
            </c:numRef>
          </c:val>
        </c:ser>
        <c:ser>
          <c:idx val="1"/>
          <c:order val="1"/>
          <c:tx>
            <c:strRef>
              <c:f>'minist pagal prior'!$N$10</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prior'!$L$11</c:f>
              <c:strCache>
                <c:ptCount val="1"/>
                <c:pt idx="0">
                  <c:v>SM, ERPF</c:v>
                </c:pt>
              </c:strCache>
            </c:strRef>
          </c:cat>
          <c:val>
            <c:numRef>
              <c:f>'minist pagal prior'!$N$11</c:f>
              <c:numCache>
                <c:formatCode>0%</c:formatCode>
                <c:ptCount val="1"/>
                <c:pt idx="0">
                  <c:v>0.89388911696714179</c:v>
                </c:pt>
              </c:numCache>
            </c:numRef>
          </c:val>
        </c:ser>
        <c:ser>
          <c:idx val="2"/>
          <c:order val="2"/>
          <c:tx>
            <c:strRef>
              <c:f>'minist pagal prior'!$O$10</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prior'!$L$11</c:f>
              <c:strCache>
                <c:ptCount val="1"/>
                <c:pt idx="0">
                  <c:v>SM, ERPF</c:v>
                </c:pt>
              </c:strCache>
            </c:strRef>
          </c:cat>
          <c:val>
            <c:numRef>
              <c:f>'minist pagal prior'!$O$11</c:f>
              <c:numCache>
                <c:formatCode>0%</c:formatCode>
                <c:ptCount val="1"/>
                <c:pt idx="0">
                  <c:v>0.95592847585806251</c:v>
                </c:pt>
              </c:numCache>
            </c:numRef>
          </c:val>
        </c:ser>
        <c:ser>
          <c:idx val="3"/>
          <c:order val="3"/>
          <c:tx>
            <c:strRef>
              <c:f>'minist pagal prior'!$P$10</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prior'!$L$11</c:f>
              <c:strCache>
                <c:ptCount val="1"/>
                <c:pt idx="0">
                  <c:v>SM, ERPF</c:v>
                </c:pt>
              </c:strCache>
            </c:strRef>
          </c:cat>
          <c:val>
            <c:numRef>
              <c:f>'minist pagal prior'!$P$11</c:f>
              <c:numCache>
                <c:formatCode>0%</c:formatCode>
                <c:ptCount val="1"/>
                <c:pt idx="0">
                  <c:v>0.23187834762584142</c:v>
                </c:pt>
              </c:numCache>
            </c:numRef>
          </c:val>
        </c:ser>
        <c:dLbls>
          <c:showLegendKey val="0"/>
          <c:showVal val="0"/>
          <c:showCatName val="0"/>
          <c:showSerName val="0"/>
          <c:showPercent val="0"/>
          <c:showBubbleSize val="0"/>
        </c:dLbls>
        <c:gapWidth val="217"/>
        <c:overlap val="100"/>
        <c:axId val="109313408"/>
        <c:axId val="109335680"/>
      </c:barChart>
      <c:catAx>
        <c:axId val="109313408"/>
        <c:scaling>
          <c:orientation val="minMax"/>
        </c:scaling>
        <c:delete val="0"/>
        <c:axPos val="l"/>
        <c:majorTickMark val="out"/>
        <c:minorTickMark val="none"/>
        <c:tickLblPos val="nextTo"/>
        <c:crossAx val="109335680"/>
        <c:crosses val="autoZero"/>
        <c:auto val="1"/>
        <c:lblAlgn val="ctr"/>
        <c:lblOffset val="100"/>
        <c:noMultiLvlLbl val="0"/>
      </c:catAx>
      <c:valAx>
        <c:axId val="109335680"/>
        <c:scaling>
          <c:orientation val="minMax"/>
          <c:max val="1"/>
        </c:scaling>
        <c:delete val="1"/>
        <c:axPos val="b"/>
        <c:majorGridlines/>
        <c:numFmt formatCode="0%" sourceLinked="1"/>
        <c:majorTickMark val="out"/>
        <c:minorTickMark val="none"/>
        <c:tickLblPos val="nextTo"/>
        <c:crossAx val="109313408"/>
        <c:crosses val="autoZero"/>
        <c:crossBetween val="between"/>
        <c:majorUnit val="0.2"/>
      </c:valAx>
    </c:plotArea>
    <c:legend>
      <c:legendPos val="b"/>
      <c:layout>
        <c:manualLayout>
          <c:xMode val="edge"/>
          <c:yMode val="edge"/>
          <c:x val="7.8171830688346614E-2"/>
          <c:y val="0.63155194310388618"/>
          <c:w val="0.83952837164704253"/>
          <c:h val="0.33744136821606979"/>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147734440171724"/>
        </c:manualLayout>
      </c:layout>
      <c:barChart>
        <c:barDir val="bar"/>
        <c:grouping val="clustered"/>
        <c:varyColors val="0"/>
        <c:ser>
          <c:idx val="0"/>
          <c:order val="0"/>
          <c:tx>
            <c:strRef>
              <c:f>'minist pagal prior'!$M$14</c:f>
              <c:strCache>
                <c:ptCount val="1"/>
                <c:pt idx="0">
                  <c:v>Nesuplanuotos lėšos</c:v>
                </c:pt>
              </c:strCache>
            </c:strRef>
          </c:tx>
          <c:spPr>
            <a:solidFill>
              <a:schemeClr val="bg1">
                <a:lumMod val="85000"/>
              </a:schemeClr>
            </a:solidFill>
            <a:ln w="38100">
              <a:solidFill>
                <a:schemeClr val="bg1">
                  <a:lumMod val="85000"/>
                </a:schemeClr>
              </a:solidFill>
            </a:ln>
          </c:spPr>
          <c:invertIfNegative val="0"/>
          <c:dLbls>
            <c:dLbl>
              <c:idx val="0"/>
              <c:layout>
                <c:manualLayout>
                  <c:x val="-3.3023735810113516E-2"/>
                  <c:y val="0"/>
                </c:manualLayout>
              </c:layout>
              <c:tx>
                <c:rich>
                  <a:bodyPr/>
                  <a:lstStyle/>
                  <a:p>
                    <a:r>
                      <a:rPr lang="lt-LT"/>
                      <a:t>4</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'minist pagal prior'!$L$15</c:f>
              <c:strCache>
                <c:ptCount val="1"/>
                <c:pt idx="0">
                  <c:v>EIM, ERPF</c:v>
                </c:pt>
              </c:strCache>
            </c:strRef>
          </c:cat>
          <c:val>
            <c:numRef>
              <c:f>'minist pagal prior'!$M$15</c:f>
              <c:numCache>
                <c:formatCode>0%</c:formatCode>
                <c:ptCount val="1"/>
                <c:pt idx="0">
                  <c:v>1</c:v>
                </c:pt>
              </c:numCache>
            </c:numRef>
          </c:val>
        </c:ser>
        <c:ser>
          <c:idx val="1"/>
          <c:order val="1"/>
          <c:tx>
            <c:strRef>
              <c:f>'minist pagal prior'!$N$14</c:f>
              <c:strCache>
                <c:ptCount val="1"/>
                <c:pt idx="0">
                  <c:v>Suplanuota</c:v>
                </c:pt>
              </c:strCache>
            </c:strRef>
          </c:tx>
          <c:spPr>
            <a:solidFill>
              <a:schemeClr val="accent1"/>
            </a:solidFill>
            <a:ln w="88900">
              <a:solidFill>
                <a:schemeClr val="accent1"/>
              </a:solidFill>
            </a:ln>
          </c:spPr>
          <c:invertIfNegative val="0"/>
          <c:dLbls>
            <c:dLblPos val="inEnd"/>
            <c:showLegendKey val="0"/>
            <c:showVal val="1"/>
            <c:showCatName val="0"/>
            <c:showSerName val="0"/>
            <c:showPercent val="0"/>
            <c:showBubbleSize val="0"/>
            <c:showLeaderLines val="0"/>
          </c:dLbls>
          <c:cat>
            <c:strRef>
              <c:f>'minist pagal prior'!$L$15</c:f>
              <c:strCache>
                <c:ptCount val="1"/>
                <c:pt idx="0">
                  <c:v>EIM, ERPF</c:v>
                </c:pt>
              </c:strCache>
            </c:strRef>
          </c:cat>
          <c:val>
            <c:numRef>
              <c:f>'minist pagal prior'!$N$15</c:f>
              <c:numCache>
                <c:formatCode>0%</c:formatCode>
                <c:ptCount val="1"/>
                <c:pt idx="0">
                  <c:v>0.95617108685833996</c:v>
                </c:pt>
              </c:numCache>
            </c:numRef>
          </c:val>
        </c:ser>
        <c:ser>
          <c:idx val="2"/>
          <c:order val="2"/>
          <c:tx>
            <c:strRef>
              <c:f>'minist pagal prior'!$O$14</c:f>
              <c:strCache>
                <c:ptCount val="1"/>
                <c:pt idx="0">
                  <c:v>Sudaryta sutarčių</c:v>
                </c:pt>
              </c:strCache>
            </c:strRef>
          </c:tx>
          <c:spPr>
            <a:solidFill>
              <a:schemeClr val="tx2">
                <a:lumMod val="20000"/>
                <a:lumOff val="80000"/>
              </a:schemeClr>
            </a:solidFill>
            <a:ln w="50800">
              <a:solidFill>
                <a:schemeClr val="tx2">
                  <a:lumMod val="20000"/>
                  <a:lumOff val="80000"/>
                </a:schemeClr>
              </a:solidFill>
            </a:ln>
          </c:spPr>
          <c:invertIfNegative val="0"/>
          <c:dLbls>
            <c:dLblPos val="inEnd"/>
            <c:showLegendKey val="0"/>
            <c:showVal val="1"/>
            <c:showCatName val="0"/>
            <c:showSerName val="0"/>
            <c:showPercent val="0"/>
            <c:showBubbleSize val="0"/>
            <c:showLeaderLines val="0"/>
          </c:dLbls>
          <c:cat>
            <c:strRef>
              <c:f>'minist pagal prior'!$L$15</c:f>
              <c:strCache>
                <c:ptCount val="1"/>
                <c:pt idx="0">
                  <c:v>EIM, ERPF</c:v>
                </c:pt>
              </c:strCache>
            </c:strRef>
          </c:cat>
          <c:val>
            <c:numRef>
              <c:f>'minist pagal prior'!$O$15</c:f>
              <c:numCache>
                <c:formatCode>0%</c:formatCode>
                <c:ptCount val="1"/>
                <c:pt idx="0">
                  <c:v>0.83558981641910957</c:v>
                </c:pt>
              </c:numCache>
            </c:numRef>
          </c:val>
        </c:ser>
        <c:ser>
          <c:idx val="3"/>
          <c:order val="3"/>
          <c:tx>
            <c:strRef>
              <c:f>'minist pagal prior'!$P$14</c:f>
              <c:strCache>
                <c:ptCount val="1"/>
                <c:pt idx="0">
                  <c:v>Investuota projektuose</c:v>
                </c:pt>
              </c:strCache>
            </c:strRef>
          </c:tx>
          <c:spPr>
            <a:solidFill>
              <a:schemeClr val="accent3"/>
            </a:solidFill>
          </c:spPr>
          <c:invertIfNegative val="0"/>
          <c:dLbls>
            <c:dLblPos val="inEnd"/>
            <c:showLegendKey val="0"/>
            <c:showVal val="1"/>
            <c:showCatName val="0"/>
            <c:showSerName val="0"/>
            <c:showPercent val="0"/>
            <c:showBubbleSize val="0"/>
            <c:showLeaderLines val="0"/>
          </c:dLbls>
          <c:cat>
            <c:strRef>
              <c:f>'minist pagal prior'!$L$15</c:f>
              <c:strCache>
                <c:ptCount val="1"/>
                <c:pt idx="0">
                  <c:v>EIM, ERPF</c:v>
                </c:pt>
              </c:strCache>
            </c:strRef>
          </c:cat>
          <c:val>
            <c:numRef>
              <c:f>'minist pagal prior'!$P$15</c:f>
              <c:numCache>
                <c:formatCode>0%</c:formatCode>
                <c:ptCount val="1"/>
                <c:pt idx="0">
                  <c:v>0.3825578920233717</c:v>
                </c:pt>
              </c:numCache>
            </c:numRef>
          </c:val>
        </c:ser>
        <c:dLbls>
          <c:showLegendKey val="0"/>
          <c:showVal val="0"/>
          <c:showCatName val="0"/>
          <c:showSerName val="0"/>
          <c:showPercent val="0"/>
          <c:showBubbleSize val="0"/>
        </c:dLbls>
        <c:gapWidth val="217"/>
        <c:overlap val="100"/>
        <c:axId val="109368064"/>
        <c:axId val="109369600"/>
      </c:barChart>
      <c:catAx>
        <c:axId val="109368064"/>
        <c:scaling>
          <c:orientation val="minMax"/>
        </c:scaling>
        <c:delete val="0"/>
        <c:axPos val="l"/>
        <c:majorTickMark val="out"/>
        <c:minorTickMark val="none"/>
        <c:tickLblPos val="nextTo"/>
        <c:crossAx val="109369600"/>
        <c:crosses val="autoZero"/>
        <c:auto val="1"/>
        <c:lblAlgn val="ctr"/>
        <c:lblOffset val="100"/>
        <c:noMultiLvlLbl val="0"/>
      </c:catAx>
      <c:valAx>
        <c:axId val="109369600"/>
        <c:scaling>
          <c:orientation val="minMax"/>
          <c:max val="1"/>
        </c:scaling>
        <c:delete val="1"/>
        <c:axPos val="b"/>
        <c:majorGridlines/>
        <c:numFmt formatCode="0%" sourceLinked="1"/>
        <c:majorTickMark val="out"/>
        <c:minorTickMark val="none"/>
        <c:tickLblPos val="nextTo"/>
        <c:crossAx val="109368064"/>
        <c:crosses val="autoZero"/>
        <c:crossBetween val="between"/>
        <c:majorUnit val="0.2"/>
      </c:valAx>
    </c:plotArea>
    <c:legend>
      <c:legendPos val="b"/>
      <c:layout>
        <c:manualLayout>
          <c:xMode val="edge"/>
          <c:yMode val="edge"/>
          <c:x val="7.8171830688346614E-2"/>
          <c:y val="0.62116933659154672"/>
          <c:w val="0.83952837164704253"/>
          <c:h val="0.34782333242827407"/>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0.83458</cdr:x>
      <cdr:y>0.06338</cdr:y>
    </cdr:from>
    <cdr:to>
      <cdr:x>0.91573</cdr:x>
      <cdr:y>0.15845</cdr:y>
    </cdr:to>
    <cdr:sp macro="" textlink="">
      <cdr:nvSpPr>
        <cdr:cNvPr id="2" name="TextBox 1"/>
        <cdr:cNvSpPr txBox="1"/>
      </cdr:nvSpPr>
      <cdr:spPr>
        <a:xfrm xmlns:a="http://schemas.openxmlformats.org/drawingml/2006/main">
          <a:off x="6367462" y="214313"/>
          <a:ext cx="619125" cy="321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0.83054</cdr:x>
      <cdr:y>0.10705</cdr:y>
    </cdr:from>
    <cdr:to>
      <cdr:x>0.94758</cdr:x>
      <cdr:y>0.17747</cdr:y>
    </cdr:to>
    <cdr:sp macro="" textlink="">
      <cdr:nvSpPr>
        <cdr:cNvPr id="3" name="TextBox 2"/>
        <cdr:cNvSpPr txBox="1"/>
      </cdr:nvSpPr>
      <cdr:spPr>
        <a:xfrm xmlns:a="http://schemas.openxmlformats.org/drawingml/2006/main">
          <a:off x="7064435" y="361960"/>
          <a:ext cx="995521" cy="238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0.85758</cdr:x>
      <cdr:y>0.08456</cdr:y>
    </cdr:from>
    <cdr:to>
      <cdr:x>0.9627</cdr:x>
      <cdr:y>0.16906</cdr:y>
    </cdr:to>
    <cdr:sp macro="" textlink="">
      <cdr:nvSpPr>
        <cdr:cNvPr id="6" name="TextBox 1"/>
        <cdr:cNvSpPr txBox="1"/>
      </cdr:nvSpPr>
      <cdr:spPr>
        <a:xfrm xmlns:a="http://schemas.openxmlformats.org/drawingml/2006/main">
          <a:off x="5248494" y="242485"/>
          <a:ext cx="643347" cy="242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t-LT" sz="1050" b="1" baseline="0">
              <a:solidFill>
                <a:srgbClr val="0070C0"/>
              </a:solidFill>
            </a:rPr>
            <a:t>(</a:t>
          </a:r>
          <a:r>
            <a:rPr lang="en-US" sz="1050" b="1" baseline="0">
              <a:solidFill>
                <a:srgbClr val="0070C0"/>
              </a:solidFill>
            </a:rPr>
            <a:t>100%)</a:t>
          </a:r>
          <a:endParaRPr lang="lt-LT" sz="1050" b="1">
            <a:solidFill>
              <a:srgbClr val="0070C0"/>
            </a:solidFill>
          </a:endParaRPr>
        </a:p>
      </cdr:txBody>
    </cdr:sp>
  </cdr:relSizeAnchor>
  <cdr:relSizeAnchor xmlns:cdr="http://schemas.openxmlformats.org/drawingml/2006/chartDrawing">
    <cdr:from>
      <cdr:x>0.7987</cdr:x>
      <cdr:y>0.39553</cdr:y>
    </cdr:from>
    <cdr:to>
      <cdr:x>0.99935</cdr:x>
      <cdr:y>0.4733</cdr:y>
    </cdr:to>
    <cdr:sp macro="" textlink="">
      <cdr:nvSpPr>
        <cdr:cNvPr id="7" name="TextBox 1"/>
        <cdr:cNvSpPr txBox="1"/>
      </cdr:nvSpPr>
      <cdr:spPr>
        <a:xfrm xmlns:a="http://schemas.openxmlformats.org/drawingml/2006/main">
          <a:off x="4888124" y="1134245"/>
          <a:ext cx="1228004" cy="223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p>
        <a:p xmlns:a="http://schemas.openxmlformats.org/drawingml/2006/main">
          <a:pPr algn="r"/>
          <a:r>
            <a:rPr lang="lt-LT" sz="1050" b="1" baseline="0">
              <a:solidFill>
                <a:srgbClr val="0070C0"/>
              </a:solidFill>
              <a:effectLst/>
              <a:latin typeface="+mn-lt"/>
              <a:ea typeface="+mn-ea"/>
              <a:cs typeface="+mn-cs"/>
            </a:rPr>
            <a:t>5 010</a:t>
          </a:r>
          <a:r>
            <a:rPr lang="en-US" sz="1050" b="1">
              <a:solidFill>
                <a:srgbClr val="0070C0"/>
              </a:solidFill>
            </a:rPr>
            <a:t> </a:t>
          </a:r>
          <a:r>
            <a:rPr lang="lt-LT" sz="1050" b="1" baseline="0">
              <a:solidFill>
                <a:srgbClr val="0070C0"/>
              </a:solidFill>
            </a:rPr>
            <a:t>(</a:t>
          </a:r>
          <a:r>
            <a:rPr lang="en-US" sz="1050" b="1" baseline="0">
              <a:solidFill>
                <a:srgbClr val="0070C0"/>
              </a:solidFill>
            </a:rPr>
            <a:t>7</a:t>
          </a:r>
          <a:r>
            <a:rPr lang="lt-LT" sz="1050" b="1" baseline="0">
              <a:solidFill>
                <a:srgbClr val="0070C0"/>
              </a:solidFill>
            </a:rPr>
            <a:t>5</a:t>
          </a:r>
          <a:r>
            <a:rPr lang="en-US" sz="1050" b="1" baseline="0">
              <a:solidFill>
                <a:srgbClr val="0070C0"/>
              </a:solidFill>
            </a:rPr>
            <a:t>%)</a:t>
          </a:r>
          <a:endParaRPr lang="lt-LT" sz="1050" b="1">
            <a:solidFill>
              <a:srgbClr val="0070C0"/>
            </a:solidFill>
          </a:endParaRPr>
        </a:p>
      </cdr:txBody>
    </cdr:sp>
  </cdr:relSizeAnchor>
  <cdr:relSizeAnchor xmlns:cdr="http://schemas.openxmlformats.org/drawingml/2006/chartDrawing">
    <cdr:from>
      <cdr:x>0.80649</cdr:x>
      <cdr:y>0.5596</cdr:y>
    </cdr:from>
    <cdr:to>
      <cdr:x>0.99935</cdr:x>
      <cdr:y>0.63262</cdr:y>
    </cdr:to>
    <cdr:sp macro="" textlink="">
      <cdr:nvSpPr>
        <cdr:cNvPr id="8" name="TextBox 1"/>
        <cdr:cNvSpPr txBox="1"/>
      </cdr:nvSpPr>
      <cdr:spPr>
        <a:xfrm xmlns:a="http://schemas.openxmlformats.org/drawingml/2006/main">
          <a:off x="4935800" y="1604743"/>
          <a:ext cx="1180328" cy="2093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p>
        <a:p xmlns:a="http://schemas.openxmlformats.org/drawingml/2006/main">
          <a:pPr algn="r"/>
          <a:r>
            <a:rPr lang="lt-LT" sz="1050" b="1" baseline="0">
              <a:solidFill>
                <a:srgbClr val="0070C0"/>
              </a:solidFill>
              <a:effectLst/>
              <a:latin typeface="+mn-lt"/>
              <a:ea typeface="+mn-ea"/>
              <a:cs typeface="+mn-cs"/>
            </a:rPr>
            <a:t>2</a:t>
          </a:r>
          <a:r>
            <a:rPr lang="en-US" sz="1050" b="1" baseline="0">
              <a:solidFill>
                <a:srgbClr val="0070C0"/>
              </a:solidFill>
              <a:effectLst/>
              <a:latin typeface="+mn-lt"/>
              <a:ea typeface="+mn-ea"/>
              <a:cs typeface="+mn-cs"/>
            </a:rPr>
            <a:t> </a:t>
          </a:r>
          <a:r>
            <a:rPr lang="lt-LT" sz="1050" b="1" baseline="0">
              <a:solidFill>
                <a:srgbClr val="0070C0"/>
              </a:solidFill>
              <a:effectLst/>
              <a:latin typeface="+mn-lt"/>
              <a:ea typeface="+mn-ea"/>
              <a:cs typeface="+mn-cs"/>
            </a:rPr>
            <a:t>614</a:t>
          </a:r>
          <a:r>
            <a:rPr lang="en-US" sz="1050" b="1">
              <a:solidFill>
                <a:srgbClr val="0070C0"/>
              </a:solidFill>
            </a:rPr>
            <a:t> </a:t>
          </a:r>
          <a:r>
            <a:rPr lang="lt-LT" sz="1050" b="1" baseline="0">
              <a:solidFill>
                <a:srgbClr val="0070C0"/>
              </a:solidFill>
            </a:rPr>
            <a:t>(39</a:t>
          </a:r>
          <a:r>
            <a:rPr lang="en-US" sz="1050" b="1" baseline="0">
              <a:solidFill>
                <a:srgbClr val="0070C0"/>
              </a:solidFill>
            </a:rPr>
            <a:t>%)</a:t>
          </a:r>
          <a:endParaRPr lang="lt-LT" sz="1050" b="1">
            <a:solidFill>
              <a:srgbClr val="0070C0"/>
            </a:solidFill>
          </a:endParaRPr>
        </a:p>
      </cdr:txBody>
    </cdr:sp>
  </cdr:relSizeAnchor>
  <cdr:relSizeAnchor xmlns:cdr="http://schemas.openxmlformats.org/drawingml/2006/chartDrawing">
    <cdr:from>
      <cdr:x>0.82049</cdr:x>
      <cdr:y>0.72695</cdr:y>
    </cdr:from>
    <cdr:to>
      <cdr:x>0.99935</cdr:x>
      <cdr:y>0.8058</cdr:y>
    </cdr:to>
    <cdr:sp macro="" textlink="">
      <cdr:nvSpPr>
        <cdr:cNvPr id="9" name="TextBox 1"/>
        <cdr:cNvSpPr txBox="1"/>
      </cdr:nvSpPr>
      <cdr:spPr>
        <a:xfrm xmlns:a="http://schemas.openxmlformats.org/drawingml/2006/main">
          <a:off x="5021482" y="2084653"/>
          <a:ext cx="1094646" cy="226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p>
        <a:p xmlns:a="http://schemas.openxmlformats.org/drawingml/2006/main">
          <a:pPr algn="r"/>
          <a:r>
            <a:rPr lang="en-US" sz="1050" b="1" baseline="0">
              <a:solidFill>
                <a:srgbClr val="0070C0"/>
              </a:solidFill>
              <a:effectLst/>
              <a:latin typeface="+mn-lt"/>
              <a:ea typeface="+mn-ea"/>
              <a:cs typeface="+mn-cs"/>
            </a:rPr>
            <a:t>2 157</a:t>
          </a:r>
          <a:r>
            <a:rPr lang="lt-LT" sz="1050" b="1" baseline="0">
              <a:solidFill>
                <a:srgbClr val="0070C0"/>
              </a:solidFill>
            </a:rPr>
            <a:t> (</a:t>
          </a:r>
          <a:r>
            <a:rPr lang="en-US" sz="1050" b="1" baseline="0">
              <a:solidFill>
                <a:srgbClr val="0070C0"/>
              </a:solidFill>
            </a:rPr>
            <a:t>32%)</a:t>
          </a:r>
          <a:endParaRPr lang="lt-LT" sz="1050" b="1">
            <a:solidFill>
              <a:srgbClr val="0070C0"/>
            </a:solidFill>
          </a:endParaRPr>
        </a:p>
      </cdr:txBody>
    </cdr:sp>
  </cdr:relSizeAnchor>
  <cdr:relSizeAnchor xmlns:cdr="http://schemas.openxmlformats.org/drawingml/2006/chartDrawing">
    <cdr:from>
      <cdr:x>0.7987</cdr:x>
      <cdr:y>0.2443</cdr:y>
    </cdr:from>
    <cdr:to>
      <cdr:x>0.99935</cdr:x>
      <cdr:y>0.32207</cdr:y>
    </cdr:to>
    <cdr:sp macro="" textlink="">
      <cdr:nvSpPr>
        <cdr:cNvPr id="10" name="TextBox 1"/>
        <cdr:cNvSpPr txBox="1"/>
      </cdr:nvSpPr>
      <cdr:spPr>
        <a:xfrm xmlns:a="http://schemas.openxmlformats.org/drawingml/2006/main">
          <a:off x="4888124" y="700583"/>
          <a:ext cx="1228004" cy="223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p>
        <a:p xmlns:a="http://schemas.openxmlformats.org/drawingml/2006/main">
          <a:pPr algn="r"/>
          <a:r>
            <a:rPr lang="lt-LT" sz="1050" b="1" baseline="0">
              <a:solidFill>
                <a:srgbClr val="0070C0"/>
              </a:solidFill>
              <a:effectLst/>
              <a:latin typeface="+mn-lt"/>
              <a:ea typeface="+mn-ea"/>
              <a:cs typeface="+mn-cs"/>
            </a:rPr>
            <a:t>5 837</a:t>
          </a:r>
          <a:r>
            <a:rPr lang="en-US" sz="1050" b="1">
              <a:solidFill>
                <a:srgbClr val="0070C0"/>
              </a:solidFill>
            </a:rPr>
            <a:t> </a:t>
          </a:r>
          <a:r>
            <a:rPr lang="lt-LT" sz="1050" b="1" baseline="0">
              <a:solidFill>
                <a:srgbClr val="0070C0"/>
              </a:solidFill>
            </a:rPr>
            <a:t>(87</a:t>
          </a:r>
          <a:r>
            <a:rPr lang="en-US" sz="1050" b="1" baseline="0">
              <a:solidFill>
                <a:srgbClr val="0070C0"/>
              </a:solidFill>
            </a:rPr>
            <a:t>%)</a:t>
          </a:r>
          <a:endParaRPr lang="lt-LT" sz="1050" b="1">
            <a:solidFill>
              <a:srgbClr val="0070C0"/>
            </a:solidFill>
          </a:endParaRPr>
        </a:p>
      </cdr:txBody>
    </cdr:sp>
  </cdr:relSizeAnchor>
  <cdr:relSizeAnchor xmlns:cdr="http://schemas.openxmlformats.org/drawingml/2006/chartDrawing">
    <cdr:from>
      <cdr:x>0.83458</cdr:x>
      <cdr:y>0.06338</cdr:y>
    </cdr:from>
    <cdr:to>
      <cdr:x>0.91573</cdr:x>
      <cdr:y>0.15845</cdr:y>
    </cdr:to>
    <cdr:sp macro="" textlink="">
      <cdr:nvSpPr>
        <cdr:cNvPr id="4" name="TextBox 1"/>
        <cdr:cNvSpPr txBox="1"/>
      </cdr:nvSpPr>
      <cdr:spPr>
        <a:xfrm xmlns:a="http://schemas.openxmlformats.org/drawingml/2006/main">
          <a:off x="6367462" y="214313"/>
          <a:ext cx="619125" cy="321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0.83054</cdr:x>
      <cdr:y>0.10705</cdr:y>
    </cdr:from>
    <cdr:to>
      <cdr:x>0.94758</cdr:x>
      <cdr:y>0.17747</cdr:y>
    </cdr:to>
    <cdr:sp macro="" textlink="">
      <cdr:nvSpPr>
        <cdr:cNvPr id="5" name="TextBox 2"/>
        <cdr:cNvSpPr txBox="1"/>
      </cdr:nvSpPr>
      <cdr:spPr>
        <a:xfrm xmlns:a="http://schemas.openxmlformats.org/drawingml/2006/main">
          <a:off x="7064435" y="361960"/>
          <a:ext cx="995521" cy="238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0.81914</cdr:x>
      <cdr:y>0.60122</cdr:y>
    </cdr:from>
    <cdr:to>
      <cdr:x>0.98933</cdr:x>
      <cdr:y>0.67424</cdr:y>
    </cdr:to>
    <cdr:sp macro="" textlink="">
      <cdr:nvSpPr>
        <cdr:cNvPr id="13" name="TextBox 1"/>
        <cdr:cNvSpPr txBox="1"/>
      </cdr:nvSpPr>
      <cdr:spPr>
        <a:xfrm xmlns:a="http://schemas.openxmlformats.org/drawingml/2006/main">
          <a:off x="5851731" y="2012924"/>
          <a:ext cx="1215819" cy="24447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endParaRPr lang="lt-LT" sz="1050" b="1">
            <a:solidFill>
              <a:srgbClr val="0070C0"/>
            </a:solidFill>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116C-1E54-47B8-9C72-9B01DCE9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26</Pages>
  <Words>42061</Words>
  <Characters>23976</Characters>
  <Application>Microsoft Office Word</Application>
  <DocSecurity>0</DocSecurity>
  <Lines>199</Lines>
  <Paragraphs>131</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65906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Vilūnienė</dc:creator>
  <cp:lastModifiedBy>Akvilė Liatkovskienė</cp:lastModifiedBy>
  <cp:revision>18</cp:revision>
  <cp:lastPrinted>2019-11-05T13:28:00Z</cp:lastPrinted>
  <dcterms:created xsi:type="dcterms:W3CDTF">2019-11-04T12:40:00Z</dcterms:created>
  <dcterms:modified xsi:type="dcterms:W3CDTF">2019-11-08T11:35:00Z</dcterms:modified>
</cp:coreProperties>
</file>