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C916B"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17936860" w14:textId="77777777" w:rsidR="00676E45" w:rsidRDefault="00676E45">
      <w:pPr>
        <w:jc w:val="center"/>
      </w:pPr>
    </w:p>
    <w:p w14:paraId="0D17EEB0" w14:textId="77777777" w:rsidR="00676E45" w:rsidRDefault="000E6336">
      <w:pPr>
        <w:jc w:val="center"/>
      </w:pPr>
      <w:r>
        <w:rPr>
          <w:noProof/>
        </w:rPr>
        <w:drawing>
          <wp:inline distT="0" distB="0" distL="0" distR="0" wp14:anchorId="22E910E3" wp14:editId="62399EDE">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6A2C982C" w14:textId="77777777" w:rsidR="00676E45" w:rsidRDefault="00676E45">
      <w:pPr>
        <w:jc w:val="center"/>
        <w:rPr>
          <w:b/>
        </w:rPr>
      </w:pPr>
      <w:r>
        <w:rPr>
          <w:b/>
        </w:rPr>
        <w:t>LIETUVOS RESPUBLIKOS FINANSŲ MINISTERIJA</w:t>
      </w:r>
    </w:p>
    <w:p w14:paraId="4BD6BFB4" w14:textId="77777777" w:rsidR="00676E45" w:rsidRDefault="00676E45">
      <w:pPr>
        <w:jc w:val="center"/>
      </w:pPr>
    </w:p>
    <w:p w14:paraId="08852F91" w14:textId="77777777" w:rsidR="00676E45" w:rsidRDefault="00676E45">
      <w:pPr>
        <w:jc w:val="center"/>
      </w:pPr>
    </w:p>
    <w:p w14:paraId="787E729D" w14:textId="77777777" w:rsidR="00676E45" w:rsidRDefault="00676E45">
      <w:pPr>
        <w:jc w:val="center"/>
      </w:pPr>
    </w:p>
    <w:p w14:paraId="25FFDFEE" w14:textId="77777777"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20A6B717" w14:textId="77777777" w:rsidTr="00F24EC4">
        <w:tc>
          <w:tcPr>
            <w:tcW w:w="4927" w:type="dxa"/>
          </w:tcPr>
          <w:p w14:paraId="643E80B4" w14:textId="77777777" w:rsidR="00676E45" w:rsidRDefault="00F01EE5" w:rsidP="00F01EE5">
            <w:permStart w:id="1348565522" w:edGrp="everyone"/>
            <w:r>
              <w:t>Švietimo, mokslo ir sporto ministerijai</w:t>
            </w:r>
          </w:p>
        </w:tc>
        <w:tc>
          <w:tcPr>
            <w:tcW w:w="4820" w:type="dxa"/>
          </w:tcPr>
          <w:p w14:paraId="4CDC7206" w14:textId="77777777" w:rsidR="00676E45" w:rsidRDefault="00676E45">
            <w:r>
              <w:t xml:space="preserve">   </w:t>
            </w:r>
          </w:p>
          <w:p w14:paraId="400F3AF4" w14:textId="77777777" w:rsidR="00676E45" w:rsidRDefault="00724669" w:rsidP="00064CF2">
            <w:r>
              <w:t>Į  20</w:t>
            </w:r>
            <w:r w:rsidR="003F6F8E">
              <w:t>20</w:t>
            </w:r>
            <w:r>
              <w:t>-</w:t>
            </w:r>
            <w:r w:rsidR="003F6F8E">
              <w:t>0</w:t>
            </w:r>
            <w:r w:rsidR="00F414A8">
              <w:t>6</w:t>
            </w:r>
            <w:r>
              <w:t>-</w:t>
            </w:r>
            <w:r w:rsidR="003F6F8E">
              <w:t xml:space="preserve"> </w:t>
            </w:r>
            <w:r w:rsidR="00064CF2">
              <w:t>22</w:t>
            </w:r>
            <w:r w:rsidR="00B13EEC">
              <w:t xml:space="preserve"> </w:t>
            </w:r>
            <w:r>
              <w:t>Nr. SR-</w:t>
            </w:r>
            <w:r w:rsidR="00F414A8">
              <w:t>2</w:t>
            </w:r>
            <w:r w:rsidR="00064CF2">
              <w:t>923</w:t>
            </w:r>
          </w:p>
          <w:p w14:paraId="23557643" w14:textId="77777777" w:rsidR="00064CF2" w:rsidRDefault="00064CF2" w:rsidP="00064CF2"/>
        </w:tc>
      </w:tr>
      <w:tr w:rsidR="00C612D0" w:rsidRPr="00B62CC5" w14:paraId="1BBBC12D" w14:textId="77777777" w:rsidTr="00BD6FD8">
        <w:trPr>
          <w:cantSplit/>
          <w:trHeight w:val="629"/>
        </w:trPr>
        <w:tc>
          <w:tcPr>
            <w:tcW w:w="9747" w:type="dxa"/>
            <w:gridSpan w:val="2"/>
          </w:tcPr>
          <w:p w14:paraId="36CAC386" w14:textId="77777777" w:rsidR="00C612D0" w:rsidRPr="00B62CC5" w:rsidRDefault="00C612D0" w:rsidP="00F414A8">
            <w:pPr>
              <w:rPr>
                <w:b/>
              </w:rPr>
            </w:pPr>
            <w:r w:rsidRPr="00B62CC5">
              <w:rPr>
                <w:b/>
              </w:rPr>
              <w:t>DĖL</w:t>
            </w:r>
            <w:r w:rsidR="00F01EE5">
              <w:rPr>
                <w:b/>
              </w:rPr>
              <w:t xml:space="preserve"> </w:t>
            </w:r>
            <w:r w:rsidR="00BF51B3">
              <w:rPr>
                <w:b/>
              </w:rPr>
              <w:t>LIETUVOS RESPUBLIKOS VYRIAUSYBĖS NUTARIM</w:t>
            </w:r>
            <w:r w:rsidR="00F414A8">
              <w:rPr>
                <w:b/>
              </w:rPr>
              <w:t>O</w:t>
            </w:r>
            <w:r w:rsidR="00BF51B3">
              <w:rPr>
                <w:b/>
              </w:rPr>
              <w:t xml:space="preserve"> PROJEKT</w:t>
            </w:r>
            <w:r w:rsidR="00F414A8">
              <w:rPr>
                <w:b/>
              </w:rPr>
              <w:t>O</w:t>
            </w:r>
            <w:r w:rsidR="00BF51B3">
              <w:rPr>
                <w:b/>
              </w:rPr>
              <w:t xml:space="preserve"> DERINIMO</w:t>
            </w:r>
          </w:p>
        </w:tc>
      </w:tr>
    </w:tbl>
    <w:p w14:paraId="0CEE987E" w14:textId="77777777" w:rsidR="001B2780" w:rsidRDefault="001B2780" w:rsidP="001B2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r>
        <w:t xml:space="preserve">Išnagrinėjome Jūsų pateiktą derinti </w:t>
      </w:r>
      <w:r>
        <w:rPr>
          <w:szCs w:val="24"/>
        </w:rPr>
        <w:t xml:space="preserve">Lietuvos Respublikos Vyriausybės nutarimo „Dėl valstybės turto investavimo ir viešosios įstaigos Šilutės profesinio mokymo centro savininko kapitalo didinimo“ projektą </w:t>
      </w:r>
      <w:r>
        <w:rPr>
          <w:szCs w:val="24"/>
          <w:lang w:eastAsia="pl-PL"/>
        </w:rPr>
        <w:t xml:space="preserve">(toliau – nutarimo projektas), kuriuo siūloma </w:t>
      </w:r>
      <w:r>
        <w:rPr>
          <w:szCs w:val="24"/>
        </w:rPr>
        <w:t>valstybei nuosavybės teise priklausantį ir šiuo metu Švietimo, mokslo ir sporto ministerijos patikėjimo teise valdomą nekilnojamąjį turtą (šio turto bendra rinkos vertė, nustatyta nepriklausomo turto vertintojo, yra 1 550 000 eurų) investuoti, didinant viešosios įstaigos Šilutės profesinio mokymo centro (toliau – Centras) savininko kapitalą, taip pat kartu su nutarimo projektu pateiktą medžiagą ir informuojame, kad nutarimo projektui nepritariame dėl šių priežasčių:</w:t>
      </w:r>
    </w:p>
    <w:p w14:paraId="385CD5A4" w14:textId="77777777" w:rsidR="001B2780" w:rsidRDefault="001B2780" w:rsidP="001B2780">
      <w:pPr>
        <w:widowControl w:val="0"/>
        <w:suppressAutoHyphens/>
        <w:autoSpaceDE w:val="0"/>
        <w:spacing w:line="360" w:lineRule="auto"/>
        <w:ind w:firstLine="709"/>
        <w:jc w:val="both"/>
        <w:rPr>
          <w:bCs/>
          <w:szCs w:val="24"/>
        </w:rPr>
      </w:pPr>
      <w:r>
        <w:rPr>
          <w:szCs w:val="24"/>
        </w:rPr>
        <w:t xml:space="preserve">1. </w:t>
      </w:r>
      <w:r>
        <w:rPr>
          <w:rFonts w:eastAsia="TimesLT"/>
          <w:kern w:val="2"/>
          <w:szCs w:val="24"/>
          <w:lang w:eastAsia="ar-SA"/>
        </w:rPr>
        <w:t xml:space="preserve">Nuo 2015 metų pradėtas įgyventi centralizuotas valstybės nekilnojamojo turto valdymas, kuris vykdomas 2 kryptimis: perduodant vienam valdytojui – </w:t>
      </w:r>
      <w:r>
        <w:rPr>
          <w:bCs/>
          <w:szCs w:val="24"/>
        </w:rPr>
        <w:t>centralizuotai valdomo valstybės turto valdytojui</w:t>
      </w:r>
      <w:r>
        <w:rPr>
          <w:rFonts w:eastAsia="TimesLT"/>
          <w:kern w:val="2"/>
          <w:szCs w:val="24"/>
          <w:lang w:eastAsia="ar-SA"/>
        </w:rPr>
        <w:t xml:space="preserve"> – administracinės paskirties valstybės nekilnojamąjį turtą ir </w:t>
      </w:r>
      <w:r>
        <w:rPr>
          <w:bCs/>
          <w:szCs w:val="24"/>
        </w:rPr>
        <w:t>valstybinėms funkcijoms įgyvendinti</w:t>
      </w:r>
      <w:r>
        <w:rPr>
          <w:rFonts w:eastAsia="TimesLT"/>
          <w:kern w:val="2"/>
          <w:szCs w:val="24"/>
          <w:lang w:eastAsia="ar-SA"/>
        </w:rPr>
        <w:t xml:space="preserve"> nenaudojamą valstybės nekilnojamąjį turtą. Galimybė </w:t>
      </w:r>
      <w:r>
        <w:rPr>
          <w:bCs/>
          <w:szCs w:val="24"/>
        </w:rPr>
        <w:t>centralizuotai valdomo valstybės turto valdytojui</w:t>
      </w:r>
      <w:r>
        <w:rPr>
          <w:rFonts w:eastAsia="TimesLT"/>
          <w:kern w:val="2"/>
          <w:szCs w:val="24"/>
          <w:lang w:eastAsia="ar-SA"/>
        </w:rPr>
        <w:t xml:space="preserve"> perduoti </w:t>
      </w:r>
      <w:r>
        <w:rPr>
          <w:bCs/>
          <w:szCs w:val="24"/>
        </w:rPr>
        <w:t xml:space="preserve">valstybinėms funkcijoms įgyvendinti </w:t>
      </w:r>
      <w:r>
        <w:rPr>
          <w:rFonts w:eastAsia="TimesLT"/>
          <w:kern w:val="2"/>
          <w:szCs w:val="24"/>
          <w:lang w:eastAsia="ar-SA"/>
        </w:rPr>
        <w:t>nenaudojamą</w:t>
      </w:r>
      <w:r>
        <w:rPr>
          <w:bCs/>
          <w:szCs w:val="24"/>
        </w:rPr>
        <w:t xml:space="preserve"> valstybės </w:t>
      </w:r>
      <w:r>
        <w:rPr>
          <w:rFonts w:eastAsia="TimesLT"/>
          <w:kern w:val="2"/>
          <w:szCs w:val="24"/>
          <w:lang w:eastAsia="ar-SA"/>
        </w:rPr>
        <w:t xml:space="preserve">nekilnojamąjį turtą yra įtvirtinta centralizuotą valstybės nekilnojamojo turto valdymą reglamentuojančiuose teisės aktuose. Atsižvelgiant į šiuo metu vykdomą valstybės turto valdymo politiką – centralizuoti valstybės nekilnojamojo turto valdymą, </w:t>
      </w:r>
      <w:r>
        <w:rPr>
          <w:szCs w:val="24"/>
          <w:lang w:eastAsia="en-US"/>
        </w:rPr>
        <w:t>Švietimo, mokslo ir sporto</w:t>
      </w:r>
      <w:r>
        <w:rPr>
          <w:rFonts w:ascii="HelveticaLT" w:hAnsi="HelveticaLT"/>
          <w:sz w:val="20"/>
          <w:szCs w:val="24"/>
          <w:lang w:eastAsia="en-US"/>
        </w:rPr>
        <w:t xml:space="preserve"> </w:t>
      </w:r>
      <w:r>
        <w:rPr>
          <w:szCs w:val="24"/>
        </w:rPr>
        <w:t>ministerijos</w:t>
      </w:r>
      <w:r>
        <w:rPr>
          <w:rFonts w:eastAsia="TimesLT"/>
          <w:kern w:val="2"/>
          <w:szCs w:val="24"/>
          <w:lang w:eastAsia="ar-SA"/>
        </w:rPr>
        <w:t xml:space="preserve"> patikėjimo teise valdomas nekilnojamasis turtas, kuris nereikalingas jai pavestoms funkcijoms vykdyti ir kurį norima investuoti į Centrą, centralizuotą valstybės nekilnojamojo turto valdymą reglamentuojančių teisės aktų nustatyta tvarka turėtų būti perduotas </w:t>
      </w:r>
      <w:r>
        <w:rPr>
          <w:bCs/>
          <w:szCs w:val="24"/>
        </w:rPr>
        <w:t xml:space="preserve">centralizuotai valdomo valstybės turto valdytojui. </w:t>
      </w:r>
    </w:p>
    <w:p w14:paraId="5C7CD370" w14:textId="77777777" w:rsidR="001B2780" w:rsidRDefault="001B2780" w:rsidP="001B2780">
      <w:pPr>
        <w:spacing w:line="360" w:lineRule="auto"/>
        <w:ind w:firstLine="851"/>
        <w:jc w:val="both"/>
        <w:rPr>
          <w:szCs w:val="24"/>
        </w:rPr>
      </w:pPr>
      <w:r>
        <w:rPr>
          <w:rFonts w:eastAsia="TimesLT"/>
          <w:kern w:val="2"/>
          <w:szCs w:val="24"/>
          <w:lang w:eastAsia="ar-SA"/>
        </w:rPr>
        <w:t>2. I</w:t>
      </w:r>
      <w:r>
        <w:rPr>
          <w:bCs/>
          <w:szCs w:val="24"/>
        </w:rPr>
        <w:t xml:space="preserve">nvestuojamą valstybės nekilnojamąjį turtą ketinama parduoti ir pardavimo pajamas panaudoti </w:t>
      </w:r>
      <w:r>
        <w:rPr>
          <w:bCs/>
          <w:i/>
          <w:szCs w:val="24"/>
        </w:rPr>
        <w:t>savivaldybei nuosavybės teise priklausančiam</w:t>
      </w:r>
      <w:r>
        <w:rPr>
          <w:bCs/>
          <w:szCs w:val="24"/>
        </w:rPr>
        <w:t xml:space="preserve"> </w:t>
      </w:r>
      <w:r>
        <w:rPr>
          <w:rFonts w:eastAsia="TimesLT"/>
          <w:kern w:val="2"/>
          <w:szCs w:val="24"/>
          <w:lang w:eastAsia="ar-SA"/>
        </w:rPr>
        <w:t>Centrui patikėjimo teise pagal patikėjimo sutartį 20 metų laikotarpiui perduotam</w:t>
      </w:r>
      <w:r>
        <w:rPr>
          <w:bCs/>
          <w:szCs w:val="24"/>
        </w:rPr>
        <w:t xml:space="preserve"> nekilnojamajam turtui – Kintų moksleivių stovyklai „Vėtrungė“ (16 nekilnojamojo turto vienetų) – pritaikyti </w:t>
      </w:r>
      <w:r>
        <w:rPr>
          <w:szCs w:val="24"/>
        </w:rPr>
        <w:t>universaliam praktinio mokymo ir paslaugų centrui, kuris būtų naudojamas 400 profesinio mokymo mokinių ir suaugusiųjų praktiniam mokymui ir 600 bendrojo lavinimo mokyklų moksleivių vasaros poilsiui organizuoti.</w:t>
      </w:r>
    </w:p>
    <w:p w14:paraId="3BC847E1" w14:textId="77777777" w:rsidR="001B2780" w:rsidRDefault="001B2780" w:rsidP="001B2780">
      <w:pPr>
        <w:spacing w:line="360" w:lineRule="auto"/>
        <w:ind w:firstLine="851"/>
        <w:jc w:val="both"/>
        <w:rPr>
          <w:color w:val="000000"/>
          <w:spacing w:val="3"/>
          <w:szCs w:val="24"/>
        </w:rPr>
      </w:pPr>
      <w:r>
        <w:rPr>
          <w:szCs w:val="24"/>
        </w:rPr>
        <w:lastRenderedPageBreak/>
        <w:t xml:space="preserve">Nutarimo projekto teikime nurodoma, kad </w:t>
      </w:r>
      <w:r>
        <w:rPr>
          <w:color w:val="000000"/>
          <w:szCs w:val="24"/>
        </w:rPr>
        <w:t xml:space="preserve">daugiausia naudos bus pasiekta pardavus valstybės nekilnojamąjį turtą ir įgyvendinus investicijų projekto tikslus, nes netikslinga ir neekonomiška investuojamą turtą perduoti kitoms institucijoms ar įstaigoms valdyti panaudos ar patikėjimo teise, kadangi esamai turto būklei pagerinti reikėtų valstybės biudžeto lėšų. Tačiau investuojamą, valstybei priklausantį turtą galima parduoti ir iš gautų pajamų finansuoti kitas valstybės reikmes ir funkcijas. </w:t>
      </w:r>
      <w:r>
        <w:rPr>
          <w:color w:val="000000"/>
          <w:spacing w:val="3"/>
          <w:szCs w:val="24"/>
        </w:rPr>
        <w:t xml:space="preserve">Pagrindinė </w:t>
      </w:r>
      <w:r>
        <w:rPr>
          <w:szCs w:val="24"/>
        </w:rPr>
        <w:t xml:space="preserve">Centro </w:t>
      </w:r>
      <w:r>
        <w:rPr>
          <w:color w:val="000000"/>
          <w:spacing w:val="3"/>
          <w:szCs w:val="24"/>
        </w:rPr>
        <w:t xml:space="preserve">veiklos sritis – švietimas, pagrindinė švietimo veikla – profesinis mokymas, o ne savivaldybės savarankiškųjų funkcijų užtikrinimas. </w:t>
      </w:r>
    </w:p>
    <w:p w14:paraId="0D7A5490" w14:textId="77777777" w:rsidR="001B2780" w:rsidRDefault="001B2780" w:rsidP="001B2780">
      <w:pPr>
        <w:spacing w:line="360" w:lineRule="auto"/>
        <w:ind w:firstLine="851"/>
        <w:jc w:val="both"/>
        <w:rPr>
          <w:color w:val="000000"/>
          <w:spacing w:val="3"/>
          <w:szCs w:val="24"/>
        </w:rPr>
      </w:pPr>
      <w:r>
        <w:rPr>
          <w:color w:val="000000"/>
          <w:spacing w:val="3"/>
          <w:szCs w:val="24"/>
        </w:rPr>
        <w:t xml:space="preserve">Investicijų projekte nurodyta, kad pagal nagrinėtų alternatyvų finansinės analizės rodiklius abiejų alternatyvų nėra finansiškai naudinga įgyvendinti, nes investicijų nepadengia pajamos iš veiklos, investicijos per visą finansinį laikotarpį neatsipirktų. Teiginys, kad investicijų projektas yra finansiškai gyvybingas, kelia pagrįstų abejonių, pirmiausia todėl, kad pasaulinės naujojo koronaviruso (COVID-19) pandemijos poveikis labiausiai ilgalaikėje perspektyvoje turės įtakos turizmo ir apgyvendinimo veikloms. Tačiau rizikų lentelėje didžiausia rizika siejama su statyba, o ne su galimais veiklos apribojimais, kurie turėtų įtaką ir paklausos, ir paslaugų rizikoms, neįvertinta ir tai, kad projektą finansuojant iš pardavimo pajamų reikia įvertinti ir su pardavimu ar galimais nekilnojamojo turto rinkos kainų pokyčiais susijusią riziką, neįvertinta, kas prisiimtų papildomo finansavimo riziką tuo atveju, jeigu nepavyktų gauti planuojamų pardavimo pajamų. Be to, investicijų projekto pajamų ir išlaidų lentelėse akivaizdžiai neįtrauktos visos sukurto turto išlaikymo išlaidos ir veiklos išlaidos – išskirtos tik šildymo, elektros energijos išlaidos ir būklės palaikymo išlaidos, bet nenurodyta jokių kitų komunalinių, ryšių, teritorijos tvarkymo ir kitų paslaugų, kurios susijusios su apgyvendinimo ir aptarnavimo paslaugos teikimu, išlaidų. Manytume, kad pastarųjų išlaidų neįtraukimas paneigia investicijų projekto finansinį gyvybingumą. Jeigu vasarą universaliame praktinio mokymo </w:t>
      </w:r>
      <w:r>
        <w:rPr>
          <w:szCs w:val="24"/>
        </w:rPr>
        <w:t xml:space="preserve">ir paslaugų </w:t>
      </w:r>
      <w:r>
        <w:rPr>
          <w:color w:val="000000"/>
          <w:spacing w:val="3"/>
          <w:szCs w:val="24"/>
        </w:rPr>
        <w:t xml:space="preserve">centre stovyklautų moksleiviai, kuriuos, atlikdami praktiką, aptarnautų Centro moksleiviai, o kitais metų laikais universalus praktinio </w:t>
      </w:r>
      <w:r>
        <w:rPr>
          <w:szCs w:val="24"/>
        </w:rPr>
        <w:t xml:space="preserve">ir paslaugų </w:t>
      </w:r>
      <w:r>
        <w:rPr>
          <w:color w:val="000000"/>
          <w:spacing w:val="3"/>
          <w:szCs w:val="24"/>
        </w:rPr>
        <w:t xml:space="preserve">mokymo centras tarnautų kaip hostelis, seminarų, mokymų, konferencijų vykdymo vieta, apgyvendinimo ir aptarnavimo paslaugų išlaidos sudarytų reikšmingą projekto išlaidų dalį. Kadangi ir neįtraukus minėtų išlaidų investicijų projektas neatsiperkantis, neaišku, kokia valstybei nauda investuoti į apleistą savivaldybės turtą, nes universalaus praktinio mokymo </w:t>
      </w:r>
      <w:r>
        <w:rPr>
          <w:szCs w:val="24"/>
        </w:rPr>
        <w:t xml:space="preserve">ir paslaugų centro </w:t>
      </w:r>
      <w:r>
        <w:rPr>
          <w:color w:val="000000"/>
          <w:spacing w:val="3"/>
          <w:szCs w:val="24"/>
        </w:rPr>
        <w:t>išlaidos, kurių nepadengs pajamos, taps našta Centrui ir valstybei.</w:t>
      </w:r>
    </w:p>
    <w:p w14:paraId="290AD947" w14:textId="77777777" w:rsidR="001B2780" w:rsidRDefault="001B2780" w:rsidP="001B2780">
      <w:pPr>
        <w:spacing w:line="360" w:lineRule="auto"/>
        <w:ind w:firstLine="851"/>
        <w:jc w:val="both"/>
        <w:rPr>
          <w:bCs/>
          <w:szCs w:val="24"/>
        </w:rPr>
      </w:pPr>
      <w:r>
        <w:rPr>
          <w:color w:val="000000"/>
          <w:spacing w:val="3"/>
          <w:szCs w:val="24"/>
        </w:rPr>
        <w:t xml:space="preserve">Investicijų projekto pajamų dalyje nurodytos pajamos – 28 tūkst. eurų iš 70 asmenų apmokymo, tačiau šios pajamos neturi tiesioginių sąsajų su projektu, nes jos sietinos su moksleivių skaičiumi. Kita vertus, 70 asmenų, tikėtina, yra tikrasis infrastruktūros panaudojimo praktiniams mokymams rodiklis, nors nutarimo projekto teikime deklaruojama 400 profesinio mokymo mokinių, o 2019–2020 metais Centro moksleivių skaičius yra 303. </w:t>
      </w:r>
    </w:p>
    <w:p w14:paraId="203E3EC7" w14:textId="77777777" w:rsidR="001B2780" w:rsidRDefault="001B2780" w:rsidP="001B2780">
      <w:pPr>
        <w:spacing w:line="360" w:lineRule="auto"/>
        <w:ind w:firstLine="720"/>
        <w:jc w:val="both"/>
        <w:rPr>
          <w:szCs w:val="24"/>
        </w:rPr>
      </w:pPr>
      <w:r>
        <w:rPr>
          <w:bCs/>
          <w:szCs w:val="24"/>
        </w:rPr>
        <w:lastRenderedPageBreak/>
        <w:t>3. Š</w:t>
      </w:r>
      <w:r>
        <w:rPr>
          <w:szCs w:val="24"/>
          <w:lang w:eastAsia="en-US"/>
        </w:rPr>
        <w:t>vietimo, mokslo ir sporto</w:t>
      </w:r>
      <w:r>
        <w:rPr>
          <w:rFonts w:ascii="HelveticaLT" w:hAnsi="HelveticaLT"/>
          <w:sz w:val="20"/>
          <w:szCs w:val="24"/>
          <w:lang w:eastAsia="en-US"/>
        </w:rPr>
        <w:t xml:space="preserve"> </w:t>
      </w:r>
      <w:r>
        <w:rPr>
          <w:szCs w:val="24"/>
        </w:rPr>
        <w:t xml:space="preserve">ministerija yra informuota, kad šiuo metu rengiamos kitų paskirčių valstybės nekilnojamojo turto, naudojamo švietimo ir sporto, sveikatos apsaugos, kultūros, socialinės apsaugos, vidaus reikalų, teisingumo srityse, ilgalaikės valdymo gairės, kuriose turėtų būti atskleista šių sričių valstybės nekilnojamojo turto esama situacija, išnagrinėtos valstybės turto panaudojimo alternatyvos ir pateiktos rekomendacijos dėl nurodytose srityse naudojamo valstybės nekilnojamojo turto ilgalaikio efektyvaus valdymo ir bendros valstybės politikos valdant valstybės nekilnojamąjį turtą gairių ir jų įgyvendinimo veiksmų plano. Atsižvelgdami į tai, kas išdėstyta, manytume, kad visų pirma reikėtų, patvirtinus minėtas gaires, išnagrinėti jose siūlomas valstybės nekilnojamojo turto valdymo alternatyvas ir priimti sprendimą dėl </w:t>
      </w:r>
      <w:r>
        <w:rPr>
          <w:bCs/>
          <w:szCs w:val="24"/>
        </w:rPr>
        <w:t>Š</w:t>
      </w:r>
      <w:r>
        <w:rPr>
          <w:szCs w:val="24"/>
          <w:lang w:eastAsia="en-US"/>
        </w:rPr>
        <w:t>vietimo, mokslo ir sporto</w:t>
      </w:r>
      <w:r>
        <w:rPr>
          <w:rFonts w:ascii="HelveticaLT" w:hAnsi="HelveticaLT"/>
          <w:sz w:val="20"/>
          <w:szCs w:val="24"/>
          <w:lang w:eastAsia="en-US"/>
        </w:rPr>
        <w:t xml:space="preserve"> </w:t>
      </w:r>
      <w:r>
        <w:rPr>
          <w:szCs w:val="24"/>
        </w:rPr>
        <w:t xml:space="preserve">ministerijos patikėjimo teise valdomo nekilnojamojo turto panaudojimo galimybių. </w:t>
      </w:r>
    </w:p>
    <w:p w14:paraId="0EFB24CC" w14:textId="77777777" w:rsidR="001B2780" w:rsidRDefault="001B2780" w:rsidP="001B2780">
      <w:pPr>
        <w:spacing w:line="360" w:lineRule="auto"/>
      </w:pPr>
    </w:p>
    <w:p w14:paraId="53BF6B0B" w14:textId="77777777" w:rsidR="001B2780" w:rsidRDefault="001B2780" w:rsidP="001B2780">
      <w:pPr>
        <w:spacing w:before="120"/>
        <w:rPr>
          <w:sz w:val="16"/>
          <w:szCs w:val="16"/>
        </w:rPr>
      </w:pPr>
    </w:p>
    <w:p w14:paraId="717A6307" w14:textId="77777777" w:rsidR="001B2780" w:rsidRDefault="001B2780" w:rsidP="001B2780">
      <w:pPr>
        <w:spacing w:before="120"/>
        <w:rPr>
          <w:sz w:val="16"/>
          <w:szCs w:val="16"/>
        </w:rPr>
      </w:pPr>
    </w:p>
    <w:p w14:paraId="7F36022B" w14:textId="77777777" w:rsidR="001B2780" w:rsidRDefault="001B2780" w:rsidP="001B2780">
      <w:pPr>
        <w:spacing w:before="120"/>
        <w:rPr>
          <w:sz w:val="16"/>
          <w:szCs w:val="16"/>
        </w:rPr>
      </w:pPr>
    </w:p>
    <w:p w14:paraId="55FE2AEC" w14:textId="77777777" w:rsidR="001B2780" w:rsidRDefault="001B2780" w:rsidP="001B2780">
      <w:pPr>
        <w:spacing w:before="120"/>
        <w:rPr>
          <w:sz w:val="16"/>
          <w:szCs w:val="16"/>
        </w:rPr>
      </w:pPr>
    </w:p>
    <w:p w14:paraId="12C190F4" w14:textId="77777777" w:rsidR="001B2780" w:rsidRDefault="001B2780" w:rsidP="001B2780">
      <w:pPr>
        <w:spacing w:before="120"/>
        <w:rPr>
          <w:sz w:val="16"/>
          <w:szCs w:val="16"/>
        </w:rPr>
      </w:pPr>
    </w:p>
    <w:p w14:paraId="26E2A5BA" w14:textId="77777777" w:rsidR="001B2780" w:rsidRDefault="001B2780" w:rsidP="001B2780">
      <w:pPr>
        <w:spacing w:before="120"/>
        <w:rPr>
          <w:sz w:val="16"/>
          <w:szCs w:val="16"/>
        </w:rPr>
      </w:pPr>
    </w:p>
    <w:p w14:paraId="5FFC962D" w14:textId="77777777" w:rsidR="001B2780" w:rsidRDefault="001B2780" w:rsidP="001B2780">
      <w:pPr>
        <w:spacing w:before="120"/>
        <w:rPr>
          <w:sz w:val="16"/>
          <w:szCs w:val="16"/>
        </w:rPr>
      </w:pPr>
    </w:p>
    <w:p w14:paraId="781A32BB" w14:textId="77777777" w:rsidR="001B2780" w:rsidRDefault="001B2780" w:rsidP="001B2780">
      <w:pPr>
        <w:spacing w:before="120"/>
        <w:rPr>
          <w:sz w:val="16"/>
          <w:szCs w:val="16"/>
        </w:rPr>
      </w:pPr>
    </w:p>
    <w:p w14:paraId="20192FD7" w14:textId="77777777" w:rsidR="001B2780" w:rsidRDefault="001B2780" w:rsidP="001B2780">
      <w:pPr>
        <w:spacing w:before="120"/>
        <w:rPr>
          <w:sz w:val="16"/>
          <w:szCs w:val="16"/>
        </w:rPr>
      </w:pPr>
    </w:p>
    <w:p w14:paraId="014D00FC" w14:textId="77777777" w:rsidR="001B2780" w:rsidRDefault="001B2780" w:rsidP="001B2780">
      <w:pPr>
        <w:spacing w:before="120"/>
        <w:rPr>
          <w:sz w:val="16"/>
          <w:szCs w:val="16"/>
        </w:rPr>
      </w:pPr>
    </w:p>
    <w:p w14:paraId="022B67AB" w14:textId="77777777" w:rsidR="001B2780" w:rsidRDefault="001B2780" w:rsidP="001B2780">
      <w:pPr>
        <w:spacing w:before="120"/>
        <w:rPr>
          <w:sz w:val="16"/>
          <w:szCs w:val="16"/>
        </w:rPr>
      </w:pPr>
    </w:p>
    <w:p w14:paraId="5634AD5D" w14:textId="77777777" w:rsidR="001B2780" w:rsidRDefault="001B2780" w:rsidP="001B2780">
      <w:pPr>
        <w:spacing w:before="120"/>
        <w:rPr>
          <w:sz w:val="16"/>
          <w:szCs w:val="16"/>
        </w:rPr>
      </w:pPr>
    </w:p>
    <w:p w14:paraId="3DEBAE80" w14:textId="77777777" w:rsidR="001B2780" w:rsidRDefault="001B2780" w:rsidP="001B2780">
      <w:pPr>
        <w:spacing w:before="120"/>
        <w:rPr>
          <w:sz w:val="16"/>
          <w:szCs w:val="16"/>
        </w:rPr>
      </w:pPr>
    </w:p>
    <w:p w14:paraId="15922A56" w14:textId="77777777" w:rsidR="001B2780" w:rsidRDefault="001B2780" w:rsidP="001B2780">
      <w:pPr>
        <w:spacing w:before="120"/>
        <w:rPr>
          <w:sz w:val="16"/>
          <w:szCs w:val="16"/>
        </w:rPr>
      </w:pPr>
    </w:p>
    <w:p w14:paraId="236EE3CF" w14:textId="77777777" w:rsidR="001B2780" w:rsidRDefault="001B2780" w:rsidP="001B2780">
      <w:pPr>
        <w:spacing w:before="120"/>
        <w:rPr>
          <w:sz w:val="20"/>
        </w:rPr>
      </w:pPr>
    </w:p>
    <w:p w14:paraId="7026495F" w14:textId="77777777" w:rsidR="001B2780" w:rsidRDefault="001B2780" w:rsidP="001B2780">
      <w:pPr>
        <w:spacing w:before="120"/>
        <w:rPr>
          <w:sz w:val="20"/>
        </w:rPr>
      </w:pPr>
    </w:p>
    <w:p w14:paraId="07D9C52A" w14:textId="77777777" w:rsidR="001B2780" w:rsidRDefault="001B2780" w:rsidP="001B2780">
      <w:pPr>
        <w:spacing w:before="120"/>
        <w:rPr>
          <w:sz w:val="20"/>
        </w:rPr>
      </w:pPr>
    </w:p>
    <w:p w14:paraId="486D9547" w14:textId="77777777" w:rsidR="001B2780" w:rsidRDefault="001B2780" w:rsidP="001B2780">
      <w:pPr>
        <w:spacing w:before="120"/>
        <w:rPr>
          <w:sz w:val="20"/>
        </w:rPr>
      </w:pPr>
    </w:p>
    <w:p w14:paraId="2F04A766" w14:textId="77777777" w:rsidR="001B2780" w:rsidRDefault="001B2780" w:rsidP="001B2780">
      <w:pPr>
        <w:spacing w:before="120"/>
        <w:rPr>
          <w:sz w:val="20"/>
        </w:rPr>
      </w:pPr>
    </w:p>
    <w:p w14:paraId="6096CF64" w14:textId="77777777" w:rsidR="001B2780" w:rsidRDefault="001B2780" w:rsidP="001B2780">
      <w:pPr>
        <w:spacing w:before="120"/>
        <w:rPr>
          <w:sz w:val="20"/>
        </w:rPr>
      </w:pPr>
    </w:p>
    <w:p w14:paraId="149F1948" w14:textId="77777777" w:rsidR="001B2780" w:rsidRDefault="001B2780" w:rsidP="001B2780">
      <w:pPr>
        <w:spacing w:before="120"/>
        <w:rPr>
          <w:sz w:val="20"/>
        </w:rPr>
      </w:pPr>
    </w:p>
    <w:p w14:paraId="36998C7D" w14:textId="77777777" w:rsidR="001B2780" w:rsidRDefault="001B2780" w:rsidP="001B2780">
      <w:pPr>
        <w:spacing w:before="120"/>
        <w:rPr>
          <w:sz w:val="20"/>
        </w:rPr>
      </w:pPr>
    </w:p>
    <w:p w14:paraId="3BAF6D21" w14:textId="77777777" w:rsidR="001B2780" w:rsidRDefault="001B2780" w:rsidP="001B2780">
      <w:pPr>
        <w:spacing w:before="120"/>
        <w:rPr>
          <w:sz w:val="20"/>
        </w:rPr>
      </w:pPr>
    </w:p>
    <w:p w14:paraId="53FA5D09" w14:textId="77777777" w:rsidR="001B2780" w:rsidRDefault="001B2780" w:rsidP="001B2780">
      <w:pPr>
        <w:spacing w:before="120"/>
        <w:rPr>
          <w:sz w:val="20"/>
        </w:rPr>
      </w:pPr>
    </w:p>
    <w:p w14:paraId="46CFF823" w14:textId="77777777" w:rsidR="001B2780" w:rsidRDefault="001B2780" w:rsidP="001B2780">
      <w:pPr>
        <w:spacing w:before="120"/>
        <w:rPr>
          <w:sz w:val="20"/>
        </w:rPr>
      </w:pPr>
      <w:r>
        <w:rPr>
          <w:sz w:val="20"/>
        </w:rPr>
        <w:t>L. Kalinauskienė, tel. 239 0127, el. p. laima.kalinauskiene@finmin.lt</w:t>
      </w:r>
    </w:p>
    <w:p w14:paraId="336F36B3" w14:textId="77777777" w:rsidR="001B2780" w:rsidRDefault="001B2780" w:rsidP="001B2780">
      <w:pPr>
        <w:tabs>
          <w:tab w:val="left" w:pos="-284"/>
        </w:tabs>
        <w:autoSpaceDE w:val="0"/>
        <w:autoSpaceDN w:val="0"/>
        <w:adjustRightInd w:val="0"/>
        <w:jc w:val="both"/>
      </w:pPr>
      <w:r>
        <w:rPr>
          <w:sz w:val="20"/>
        </w:rPr>
        <w:t>R. Pūkienė, tel. 239 0196, el. p. rita.pukiene@finmin.lt</w:t>
      </w:r>
    </w:p>
    <w:p w14:paraId="4C923EA7" w14:textId="77777777" w:rsidR="001B2780" w:rsidRDefault="001B2780" w:rsidP="001B2780">
      <w:pPr>
        <w:jc w:val="both"/>
        <w:rPr>
          <w:sz w:val="20"/>
        </w:rPr>
      </w:pPr>
      <w:r>
        <w:rPr>
          <w:sz w:val="20"/>
        </w:rPr>
        <w:t>D. Bucevičienė, tel. 239 0034, el. p. dale.buceviciene@finmin.lt</w:t>
      </w:r>
    </w:p>
    <w:p w14:paraId="217A6D67" w14:textId="77777777" w:rsidR="001B2780" w:rsidRDefault="001B2780" w:rsidP="001B2780"/>
    <w:permEnd w:id="1348565522"/>
    <w:p w14:paraId="70C3CEFF" w14:textId="77777777" w:rsidR="00676E45" w:rsidRDefault="00676E45">
      <w:pPr>
        <w:jc w:val="center"/>
      </w:pPr>
    </w:p>
    <w:sectPr w:rsidR="00676E45">
      <w:footerReference w:type="default" r:id="rId13"/>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DC491" w14:textId="77777777" w:rsidR="002E6224" w:rsidRDefault="002E6224">
      <w:r>
        <w:separator/>
      </w:r>
    </w:p>
  </w:endnote>
  <w:endnote w:type="continuationSeparator" w:id="0">
    <w:p w14:paraId="6221AF68" w14:textId="77777777" w:rsidR="002E6224" w:rsidRDefault="002E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BDCD5"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6F04F6">
      <w:rPr>
        <w:noProof/>
        <w:sz w:val="10"/>
      </w:rPr>
      <w:t>LRV nutarimo 679 dėl mokymo lėšu   pakeit del ekstrem.docx</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738A1C21" w14:textId="77777777">
      <w:tc>
        <w:tcPr>
          <w:tcW w:w="3119" w:type="dxa"/>
        </w:tcPr>
        <w:p w14:paraId="7AA3C0CD" w14:textId="77777777" w:rsidR="00676E45" w:rsidRDefault="00676E45">
          <w:pPr>
            <w:pStyle w:val="Porat"/>
            <w:rPr>
              <w:sz w:val="16"/>
            </w:rPr>
          </w:pPr>
          <w:r>
            <w:rPr>
              <w:sz w:val="16"/>
            </w:rPr>
            <w:t xml:space="preserve">Kodas 8860165 </w:t>
          </w:r>
        </w:p>
      </w:tc>
      <w:tc>
        <w:tcPr>
          <w:tcW w:w="1615" w:type="dxa"/>
        </w:tcPr>
        <w:p w14:paraId="77286830" w14:textId="77777777" w:rsidR="00676E45" w:rsidRDefault="00676E45">
          <w:pPr>
            <w:pStyle w:val="Porat"/>
            <w:rPr>
              <w:sz w:val="16"/>
            </w:rPr>
          </w:pPr>
          <w:r>
            <w:rPr>
              <w:sz w:val="16"/>
            </w:rPr>
            <w:t>Telefonas  39 00 05</w:t>
          </w:r>
        </w:p>
      </w:tc>
      <w:tc>
        <w:tcPr>
          <w:tcW w:w="2212" w:type="dxa"/>
        </w:tcPr>
        <w:p w14:paraId="6431F30B" w14:textId="77777777" w:rsidR="00676E45" w:rsidRDefault="00676E45">
          <w:pPr>
            <w:pStyle w:val="Porat"/>
            <w:rPr>
              <w:sz w:val="16"/>
            </w:rPr>
          </w:pPr>
          <w:r>
            <w:rPr>
              <w:sz w:val="16"/>
            </w:rPr>
            <w:t>El. paštas: finmin@finmin.lt</w:t>
          </w:r>
        </w:p>
      </w:tc>
      <w:tc>
        <w:tcPr>
          <w:tcW w:w="2552" w:type="dxa"/>
        </w:tcPr>
        <w:p w14:paraId="6B45E5B4" w14:textId="77777777" w:rsidR="00676E45" w:rsidRDefault="00676E45">
          <w:pPr>
            <w:pStyle w:val="Porat"/>
            <w:rPr>
              <w:sz w:val="16"/>
            </w:rPr>
          </w:pPr>
          <w:r>
            <w:rPr>
              <w:sz w:val="16"/>
            </w:rPr>
            <w:t>Atsiskait. sąsk. Nr. 253002007</w:t>
          </w:r>
        </w:p>
      </w:tc>
    </w:tr>
    <w:tr w:rsidR="00676E45" w14:paraId="525291B8" w14:textId="77777777">
      <w:tc>
        <w:tcPr>
          <w:tcW w:w="3119" w:type="dxa"/>
        </w:tcPr>
        <w:p w14:paraId="14661401"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2B1A2123" w14:textId="77777777" w:rsidR="00676E45" w:rsidRDefault="00676E45">
          <w:pPr>
            <w:pStyle w:val="Porat"/>
            <w:rPr>
              <w:sz w:val="16"/>
            </w:rPr>
          </w:pPr>
          <w:r>
            <w:rPr>
              <w:sz w:val="16"/>
            </w:rPr>
            <w:t>Faksas     79 14 81</w:t>
          </w:r>
        </w:p>
      </w:tc>
      <w:tc>
        <w:tcPr>
          <w:tcW w:w="2212" w:type="dxa"/>
        </w:tcPr>
        <w:p w14:paraId="24760D17" w14:textId="77777777" w:rsidR="00676E45" w:rsidRDefault="00676E45">
          <w:pPr>
            <w:pStyle w:val="Porat"/>
            <w:rPr>
              <w:sz w:val="16"/>
            </w:rPr>
          </w:pPr>
          <w:r>
            <w:rPr>
              <w:sz w:val="16"/>
            </w:rPr>
            <w:t>http://www.finmin.lt</w:t>
          </w:r>
        </w:p>
      </w:tc>
      <w:tc>
        <w:tcPr>
          <w:tcW w:w="2552" w:type="dxa"/>
        </w:tcPr>
        <w:p w14:paraId="5FE0E8DF" w14:textId="77777777" w:rsidR="00676E45" w:rsidRDefault="00676E45">
          <w:pPr>
            <w:pStyle w:val="Porat"/>
            <w:rPr>
              <w:sz w:val="16"/>
            </w:rPr>
          </w:pPr>
          <w:r>
            <w:rPr>
              <w:sz w:val="16"/>
            </w:rPr>
            <w:t>LTB Sostinės skyrius, kodas 60111</w:t>
          </w:r>
        </w:p>
      </w:tc>
    </w:tr>
  </w:tbl>
  <w:p w14:paraId="44AD3076" w14:textId="77777777"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B6FBF"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6F04F6">
      <w:rPr>
        <w:noProof/>
        <w:sz w:val="10"/>
      </w:rPr>
      <w:t>LRV nutarimo 679 dėl mokymo lėšu   pakeit del ekstrem.docx</w:t>
    </w:r>
    <w:r w:rsidRPr="00775CB5">
      <w:rPr>
        <w:sz w:val="10"/>
      </w:rPr>
      <w:fldChar w:fldCharType="end"/>
    </w:r>
  </w:p>
  <w:p w14:paraId="6DDAB392"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2E785C93" w14:textId="77777777">
      <w:tc>
        <w:tcPr>
          <w:tcW w:w="3215" w:type="dxa"/>
        </w:tcPr>
        <w:p w14:paraId="7A27E94A"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682DA275"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39BE55F8" w14:textId="77777777" w:rsidR="00676E45" w:rsidRPr="00775CB5" w:rsidRDefault="00676E45">
          <w:pPr>
            <w:pStyle w:val="Porat"/>
            <w:rPr>
              <w:sz w:val="16"/>
            </w:rPr>
          </w:pPr>
          <w:r w:rsidRPr="00775CB5">
            <w:rPr>
              <w:sz w:val="16"/>
            </w:rPr>
            <w:t>El. paštas finmin@finmin.lt</w:t>
          </w:r>
        </w:p>
      </w:tc>
      <w:tc>
        <w:tcPr>
          <w:tcW w:w="2836" w:type="dxa"/>
        </w:tcPr>
        <w:p w14:paraId="55F4E169"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561B4C53" w14:textId="77777777">
      <w:tc>
        <w:tcPr>
          <w:tcW w:w="3215" w:type="dxa"/>
        </w:tcPr>
        <w:p w14:paraId="5A844EAA"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20CAB2BE"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1B37D47B" w14:textId="77777777" w:rsidR="00676E45" w:rsidRPr="00775CB5" w:rsidRDefault="00676E45">
          <w:pPr>
            <w:pStyle w:val="Porat"/>
            <w:rPr>
              <w:sz w:val="16"/>
            </w:rPr>
          </w:pPr>
          <w:r w:rsidRPr="00775CB5">
            <w:rPr>
              <w:sz w:val="16"/>
            </w:rPr>
            <w:t>http://www.finmin.lt</w:t>
          </w:r>
        </w:p>
      </w:tc>
      <w:tc>
        <w:tcPr>
          <w:tcW w:w="2836" w:type="dxa"/>
        </w:tcPr>
        <w:p w14:paraId="47DF21AA"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704BF69F" w14:textId="77777777" w:rsidR="00676E45" w:rsidRPr="00775CB5" w:rsidRDefault="00676E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A7B08"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092A6" w14:textId="77777777" w:rsidR="002E6224" w:rsidRDefault="002E6224">
      <w:r>
        <w:separator/>
      </w:r>
    </w:p>
  </w:footnote>
  <w:footnote w:type="continuationSeparator" w:id="0">
    <w:p w14:paraId="7C5C095A" w14:textId="77777777" w:rsidR="002E6224" w:rsidRDefault="002E6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F5E67"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C54DD6" w14:textId="77777777"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E2676"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E627D">
      <w:rPr>
        <w:rStyle w:val="Puslapionumeris"/>
        <w:noProof/>
      </w:rPr>
      <w:t>3</w:t>
    </w:r>
    <w:r>
      <w:rPr>
        <w:rStyle w:val="Puslapionumeris"/>
      </w:rPr>
      <w:fldChar w:fldCharType="end"/>
    </w:r>
  </w:p>
  <w:p w14:paraId="37663D75" w14:textId="77777777"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2A90A" w14:textId="77777777"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5C1"/>
    <w:rsid w:val="00002229"/>
    <w:rsid w:val="000124C6"/>
    <w:rsid w:val="000170F2"/>
    <w:rsid w:val="00036D0D"/>
    <w:rsid w:val="00057D16"/>
    <w:rsid w:val="0006460C"/>
    <w:rsid w:val="00064CF2"/>
    <w:rsid w:val="00066BC1"/>
    <w:rsid w:val="00076760"/>
    <w:rsid w:val="00095A78"/>
    <w:rsid w:val="000E4DFD"/>
    <w:rsid w:val="000E6336"/>
    <w:rsid w:val="000E66F2"/>
    <w:rsid w:val="000F0C83"/>
    <w:rsid w:val="00106272"/>
    <w:rsid w:val="00107A84"/>
    <w:rsid w:val="001303BC"/>
    <w:rsid w:val="00144A3E"/>
    <w:rsid w:val="00154639"/>
    <w:rsid w:val="001A185E"/>
    <w:rsid w:val="001A1D75"/>
    <w:rsid w:val="001B25B8"/>
    <w:rsid w:val="001B2780"/>
    <w:rsid w:val="001B5E56"/>
    <w:rsid w:val="001E254E"/>
    <w:rsid w:val="001F451C"/>
    <w:rsid w:val="0020433E"/>
    <w:rsid w:val="0020732A"/>
    <w:rsid w:val="002149E0"/>
    <w:rsid w:val="00214CDC"/>
    <w:rsid w:val="00215B65"/>
    <w:rsid w:val="00230ADE"/>
    <w:rsid w:val="00235611"/>
    <w:rsid w:val="00252506"/>
    <w:rsid w:val="0025434A"/>
    <w:rsid w:val="002570BD"/>
    <w:rsid w:val="002615AA"/>
    <w:rsid w:val="00263E11"/>
    <w:rsid w:val="002952BB"/>
    <w:rsid w:val="002B1812"/>
    <w:rsid w:val="002D3CC2"/>
    <w:rsid w:val="002E6224"/>
    <w:rsid w:val="002F325D"/>
    <w:rsid w:val="002F5D28"/>
    <w:rsid w:val="00317D73"/>
    <w:rsid w:val="00357707"/>
    <w:rsid w:val="003636F7"/>
    <w:rsid w:val="0038085B"/>
    <w:rsid w:val="0038374C"/>
    <w:rsid w:val="00390EEB"/>
    <w:rsid w:val="003A5A7F"/>
    <w:rsid w:val="003C1174"/>
    <w:rsid w:val="003D7384"/>
    <w:rsid w:val="003E10A9"/>
    <w:rsid w:val="003F41D1"/>
    <w:rsid w:val="003F6F8E"/>
    <w:rsid w:val="0043008F"/>
    <w:rsid w:val="00447C55"/>
    <w:rsid w:val="00463CCB"/>
    <w:rsid w:val="00471A03"/>
    <w:rsid w:val="0048126A"/>
    <w:rsid w:val="004856BF"/>
    <w:rsid w:val="004C3289"/>
    <w:rsid w:val="004F04DF"/>
    <w:rsid w:val="004F18F4"/>
    <w:rsid w:val="004F1AE4"/>
    <w:rsid w:val="005262BC"/>
    <w:rsid w:val="00551AFD"/>
    <w:rsid w:val="005B045C"/>
    <w:rsid w:val="005B39D8"/>
    <w:rsid w:val="005D4EB7"/>
    <w:rsid w:val="005D7270"/>
    <w:rsid w:val="005F7A8D"/>
    <w:rsid w:val="00602D2D"/>
    <w:rsid w:val="00603241"/>
    <w:rsid w:val="00607612"/>
    <w:rsid w:val="00621B3D"/>
    <w:rsid w:val="006460D5"/>
    <w:rsid w:val="00676E45"/>
    <w:rsid w:val="00686A5C"/>
    <w:rsid w:val="006C4B3C"/>
    <w:rsid w:val="006E0A67"/>
    <w:rsid w:val="006F04F6"/>
    <w:rsid w:val="006F0C47"/>
    <w:rsid w:val="00723B3E"/>
    <w:rsid w:val="00724669"/>
    <w:rsid w:val="007253DF"/>
    <w:rsid w:val="00732BE0"/>
    <w:rsid w:val="00741C12"/>
    <w:rsid w:val="007707F1"/>
    <w:rsid w:val="00773C29"/>
    <w:rsid w:val="00775CB5"/>
    <w:rsid w:val="00776D5B"/>
    <w:rsid w:val="00784949"/>
    <w:rsid w:val="007A71C3"/>
    <w:rsid w:val="007A7353"/>
    <w:rsid w:val="007B1827"/>
    <w:rsid w:val="007D3DD9"/>
    <w:rsid w:val="0080493D"/>
    <w:rsid w:val="00805AEB"/>
    <w:rsid w:val="008065C1"/>
    <w:rsid w:val="008151E8"/>
    <w:rsid w:val="008264AC"/>
    <w:rsid w:val="00834D4C"/>
    <w:rsid w:val="008361AA"/>
    <w:rsid w:val="00843A63"/>
    <w:rsid w:val="00853AFD"/>
    <w:rsid w:val="008959F6"/>
    <w:rsid w:val="008B5CA3"/>
    <w:rsid w:val="008D44A4"/>
    <w:rsid w:val="008E19DB"/>
    <w:rsid w:val="00904055"/>
    <w:rsid w:val="00910520"/>
    <w:rsid w:val="00911519"/>
    <w:rsid w:val="0091574F"/>
    <w:rsid w:val="0092281D"/>
    <w:rsid w:val="0096013A"/>
    <w:rsid w:val="00962499"/>
    <w:rsid w:val="0096643B"/>
    <w:rsid w:val="009766EE"/>
    <w:rsid w:val="009A2CA2"/>
    <w:rsid w:val="009B12D7"/>
    <w:rsid w:val="009D6290"/>
    <w:rsid w:val="009D7311"/>
    <w:rsid w:val="009E4574"/>
    <w:rsid w:val="009E6D44"/>
    <w:rsid w:val="00A16E78"/>
    <w:rsid w:val="00A91DA1"/>
    <w:rsid w:val="00A95E6E"/>
    <w:rsid w:val="00AE35C4"/>
    <w:rsid w:val="00AE3FE3"/>
    <w:rsid w:val="00AF2E8D"/>
    <w:rsid w:val="00AF5768"/>
    <w:rsid w:val="00B02BE7"/>
    <w:rsid w:val="00B079B0"/>
    <w:rsid w:val="00B13EEC"/>
    <w:rsid w:val="00B31121"/>
    <w:rsid w:val="00B42593"/>
    <w:rsid w:val="00B56B58"/>
    <w:rsid w:val="00B62CC5"/>
    <w:rsid w:val="00B8247F"/>
    <w:rsid w:val="00BD3865"/>
    <w:rsid w:val="00BF51B3"/>
    <w:rsid w:val="00C230C2"/>
    <w:rsid w:val="00C24C60"/>
    <w:rsid w:val="00C307EE"/>
    <w:rsid w:val="00C4264E"/>
    <w:rsid w:val="00C42950"/>
    <w:rsid w:val="00C442CF"/>
    <w:rsid w:val="00C612D0"/>
    <w:rsid w:val="00C83791"/>
    <w:rsid w:val="00C8758F"/>
    <w:rsid w:val="00C96A75"/>
    <w:rsid w:val="00CA6BA9"/>
    <w:rsid w:val="00CA7055"/>
    <w:rsid w:val="00CC4FAC"/>
    <w:rsid w:val="00CE4BCC"/>
    <w:rsid w:val="00CE627D"/>
    <w:rsid w:val="00CF662A"/>
    <w:rsid w:val="00CF6E4B"/>
    <w:rsid w:val="00D115AD"/>
    <w:rsid w:val="00D53AAE"/>
    <w:rsid w:val="00D925FB"/>
    <w:rsid w:val="00DA2079"/>
    <w:rsid w:val="00DA6D32"/>
    <w:rsid w:val="00DB496C"/>
    <w:rsid w:val="00DC6DDF"/>
    <w:rsid w:val="00DF60E4"/>
    <w:rsid w:val="00E03AAC"/>
    <w:rsid w:val="00E253DA"/>
    <w:rsid w:val="00E33504"/>
    <w:rsid w:val="00E42B53"/>
    <w:rsid w:val="00E43B49"/>
    <w:rsid w:val="00E71ACC"/>
    <w:rsid w:val="00E969EF"/>
    <w:rsid w:val="00EA0081"/>
    <w:rsid w:val="00EA3BBE"/>
    <w:rsid w:val="00EC190C"/>
    <w:rsid w:val="00F01EE5"/>
    <w:rsid w:val="00F06864"/>
    <w:rsid w:val="00F23A6E"/>
    <w:rsid w:val="00F24EC4"/>
    <w:rsid w:val="00F3534D"/>
    <w:rsid w:val="00F414A8"/>
    <w:rsid w:val="00F5103D"/>
    <w:rsid w:val="00F64FDA"/>
    <w:rsid w:val="00F66332"/>
    <w:rsid w:val="00F7780F"/>
    <w:rsid w:val="00F82BF7"/>
    <w:rsid w:val="00F92ED4"/>
    <w:rsid w:val="00FA05DB"/>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F8056"/>
  <w15:docId w15:val="{A18524C0-8A9A-44C6-B8FD-DEA37E7D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F01EE5"/>
    <w:rPr>
      <w:color w:val="0000FF" w:themeColor="hyperlink"/>
      <w:u w:val="single"/>
    </w:rPr>
  </w:style>
  <w:style w:type="character" w:customStyle="1" w:styleId="apple-converted-space">
    <w:name w:val="apple-converted-space"/>
    <w:rsid w:val="00784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178803">
      <w:bodyDiv w:val="1"/>
      <w:marLeft w:val="0"/>
      <w:marRight w:val="0"/>
      <w:marTop w:val="0"/>
      <w:marBottom w:val="0"/>
      <w:divBdr>
        <w:top w:val="none" w:sz="0" w:space="0" w:color="auto"/>
        <w:left w:val="none" w:sz="0" w:space="0" w:color="auto"/>
        <w:bottom w:val="none" w:sz="0" w:space="0" w:color="auto"/>
        <w:right w:val="none" w:sz="0" w:space="0" w:color="auto"/>
      </w:divBdr>
    </w:div>
    <w:div w:id="1284534069">
      <w:bodyDiv w:val="1"/>
      <w:marLeft w:val="0"/>
      <w:marRight w:val="0"/>
      <w:marTop w:val="0"/>
      <w:marBottom w:val="0"/>
      <w:divBdr>
        <w:top w:val="none" w:sz="0" w:space="0" w:color="auto"/>
        <w:left w:val="none" w:sz="0" w:space="0" w:color="auto"/>
        <w:bottom w:val="none" w:sz="0" w:space="0" w:color="auto"/>
        <w:right w:val="none" w:sz="0" w:space="0" w:color="auto"/>
      </w:divBdr>
    </w:div>
    <w:div w:id="192402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216F7-1132-44AD-82BC-BCFA637D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6067</Characters>
  <Application>Microsoft Office Word</Application>
  <DocSecurity>12</DocSecurity>
  <Lines>50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Dalė Bucevičienė</dc:creator>
  <cp:lastModifiedBy>Edita Karaliūtė</cp:lastModifiedBy>
  <cp:revision>2</cp:revision>
  <cp:lastPrinted>2020-03-20T06:12:00Z</cp:lastPrinted>
  <dcterms:created xsi:type="dcterms:W3CDTF">2020-09-17T11:51:00Z</dcterms:created>
  <dcterms:modified xsi:type="dcterms:W3CDTF">2020-09-17T11:51:00Z</dcterms:modified>
</cp:coreProperties>
</file>