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D5284" w14:textId="77777777" w:rsidR="00165767" w:rsidRDefault="00165767" w:rsidP="0036678B">
      <w:pPr>
        <w:jc w:val="center"/>
        <w:rPr>
          <w:b/>
          <w:bCs/>
        </w:rPr>
      </w:pPr>
      <w:r w:rsidRPr="00165767">
        <w:rPr>
          <w:b/>
        </w:rPr>
        <w:t xml:space="preserve">LIETUVOS RESPUBLIKOS VYRIAUSYBĖS NUTARIMO „DĖL LIETUVOS RESPUBLIKOS VYRIAUSYBĖS 2002 M. GEGUŽĖS 21 D. NUTARIMO NR. 704 „DĖL ĮGALIOJIMŲ SUTEIKIMO PAVOJINGŲJŲ KROVINIŲ VEŽIMO AUTOMOBILIŲ IR GELEŽINKELIŲ KELIAIS IR SU TUO SUSIJUSIOS VEIKLOS SRITYSE“ PAKEITIMO“ </w:t>
      </w:r>
      <w:r w:rsidR="00520473" w:rsidRPr="002660EC">
        <w:rPr>
          <w:b/>
        </w:rPr>
        <w:t xml:space="preserve">PROJEKTO </w:t>
      </w:r>
      <w:r w:rsidR="00520473" w:rsidRPr="002660EC">
        <w:rPr>
          <w:b/>
          <w:bCs/>
        </w:rPr>
        <w:t xml:space="preserve"> </w:t>
      </w:r>
    </w:p>
    <w:p w14:paraId="6F2A5435" w14:textId="1D736979" w:rsidR="0036678B" w:rsidRPr="002660EC" w:rsidRDefault="00520473" w:rsidP="0036678B">
      <w:pPr>
        <w:jc w:val="center"/>
        <w:rPr>
          <w:b/>
        </w:rPr>
      </w:pPr>
      <w:r w:rsidRPr="002660EC">
        <w:rPr>
          <w:b/>
        </w:rPr>
        <w:t>DERINIMO PAŽYMA</w:t>
      </w:r>
    </w:p>
    <w:p w14:paraId="45ED60DA" w14:textId="77777777" w:rsidR="0036678B" w:rsidRPr="002660EC" w:rsidRDefault="0036678B" w:rsidP="0036678B">
      <w:pPr>
        <w:jc w:val="center"/>
      </w:pPr>
    </w:p>
    <w:tbl>
      <w:tblPr>
        <w:tblStyle w:val="Lentelstinklelis"/>
        <w:tblW w:w="14283" w:type="dxa"/>
        <w:tblLook w:val="04A0" w:firstRow="1" w:lastRow="0" w:firstColumn="1" w:lastColumn="0" w:noHBand="0" w:noVBand="1"/>
      </w:tblPr>
      <w:tblGrid>
        <w:gridCol w:w="570"/>
        <w:gridCol w:w="2940"/>
        <w:gridCol w:w="5245"/>
        <w:gridCol w:w="5528"/>
      </w:tblGrid>
      <w:tr w:rsidR="009C7FE3" w:rsidRPr="002660EC" w14:paraId="39C145E6" w14:textId="77777777" w:rsidTr="00E71A29">
        <w:tc>
          <w:tcPr>
            <w:tcW w:w="570" w:type="dxa"/>
          </w:tcPr>
          <w:p w14:paraId="3EA96D21" w14:textId="77777777" w:rsidR="009C7FE3" w:rsidRPr="002660EC" w:rsidRDefault="009C7FE3" w:rsidP="00634FF0">
            <w:pPr>
              <w:ind w:firstLine="0"/>
              <w:rPr>
                <w:bCs/>
                <w:szCs w:val="22"/>
              </w:rPr>
            </w:pPr>
            <w:r w:rsidRPr="002660EC">
              <w:rPr>
                <w:bCs/>
                <w:szCs w:val="22"/>
              </w:rPr>
              <w:t>Eil. Nr.</w:t>
            </w:r>
          </w:p>
        </w:tc>
        <w:tc>
          <w:tcPr>
            <w:tcW w:w="2940" w:type="dxa"/>
            <w:vAlign w:val="center"/>
          </w:tcPr>
          <w:p w14:paraId="04CC4DFA" w14:textId="77777777" w:rsidR="009C7FE3" w:rsidRPr="002660EC" w:rsidRDefault="009C7FE3" w:rsidP="00AE4E2E">
            <w:pPr>
              <w:ind w:firstLine="0"/>
              <w:jc w:val="center"/>
              <w:rPr>
                <w:szCs w:val="24"/>
              </w:rPr>
            </w:pPr>
            <w:r w:rsidRPr="002660EC">
              <w:rPr>
                <w:bCs/>
                <w:szCs w:val="22"/>
              </w:rPr>
              <w:t>Institucijos arba ūkio subjekto pavadinimas, rašto data, numeris</w:t>
            </w:r>
          </w:p>
        </w:tc>
        <w:tc>
          <w:tcPr>
            <w:tcW w:w="5245" w:type="dxa"/>
            <w:vAlign w:val="center"/>
          </w:tcPr>
          <w:p w14:paraId="2CD83222" w14:textId="77777777" w:rsidR="009C7FE3" w:rsidRPr="002660EC" w:rsidRDefault="009C7FE3" w:rsidP="00AE4E2E">
            <w:pPr>
              <w:ind w:firstLine="0"/>
              <w:jc w:val="center"/>
              <w:rPr>
                <w:szCs w:val="24"/>
              </w:rPr>
            </w:pPr>
            <w:r w:rsidRPr="002660EC">
              <w:rPr>
                <w:bCs/>
                <w:szCs w:val="22"/>
              </w:rPr>
              <w:t>Pastabos ir pasiūlymai</w:t>
            </w:r>
          </w:p>
        </w:tc>
        <w:tc>
          <w:tcPr>
            <w:tcW w:w="5528" w:type="dxa"/>
            <w:vAlign w:val="center"/>
          </w:tcPr>
          <w:p w14:paraId="7D0812AC" w14:textId="77777777" w:rsidR="009C7FE3" w:rsidRPr="002660EC" w:rsidRDefault="009C7FE3" w:rsidP="00AE4E2E">
            <w:pPr>
              <w:ind w:firstLine="19"/>
              <w:jc w:val="center"/>
              <w:rPr>
                <w:szCs w:val="24"/>
              </w:rPr>
            </w:pPr>
            <w:r w:rsidRPr="002660EC">
              <w:rPr>
                <w:bCs/>
                <w:szCs w:val="22"/>
              </w:rPr>
              <w:t>Argumentai (neatsižvelgta, atsižvelgta iš dalies)</w:t>
            </w:r>
          </w:p>
        </w:tc>
      </w:tr>
      <w:tr w:rsidR="009C7FE3" w:rsidRPr="002660EC" w14:paraId="45359B66" w14:textId="77777777" w:rsidTr="00E71A29">
        <w:tc>
          <w:tcPr>
            <w:tcW w:w="570" w:type="dxa"/>
          </w:tcPr>
          <w:p w14:paraId="46A3544F" w14:textId="77777777" w:rsidR="009C7FE3" w:rsidRPr="002660EC" w:rsidRDefault="009C7FE3" w:rsidP="00634FF0">
            <w:pPr>
              <w:pStyle w:val="Sraopastraipa"/>
              <w:numPr>
                <w:ilvl w:val="0"/>
                <w:numId w:val="2"/>
              </w:numPr>
              <w:tabs>
                <w:tab w:val="left" w:pos="318"/>
              </w:tabs>
              <w:ind w:left="0" w:firstLine="0"/>
            </w:pPr>
          </w:p>
        </w:tc>
        <w:tc>
          <w:tcPr>
            <w:tcW w:w="2940" w:type="dxa"/>
          </w:tcPr>
          <w:p w14:paraId="0E11F4B1" w14:textId="0E51A95A" w:rsidR="00470378" w:rsidRPr="00B658B1" w:rsidRDefault="00470378" w:rsidP="00C34721">
            <w:pPr>
              <w:ind w:firstLine="0"/>
              <w:jc w:val="left"/>
              <w:rPr>
                <w:szCs w:val="24"/>
                <w:lang w:val="en-US" w:eastAsia="lt-LT"/>
              </w:rPr>
            </w:pPr>
            <w:r w:rsidRPr="002660EC">
              <w:rPr>
                <w:szCs w:val="24"/>
                <w:lang w:eastAsia="lt-LT"/>
              </w:rPr>
              <w:t>Susisiekimo ministerij</w:t>
            </w:r>
            <w:r w:rsidR="00C34721">
              <w:rPr>
                <w:szCs w:val="24"/>
                <w:lang w:eastAsia="lt-LT"/>
              </w:rPr>
              <w:t>os</w:t>
            </w:r>
            <w:r w:rsidRPr="002660EC">
              <w:rPr>
                <w:szCs w:val="24"/>
                <w:lang w:eastAsia="lt-LT"/>
              </w:rPr>
              <w:t xml:space="preserve"> </w:t>
            </w:r>
            <w:r w:rsidR="00B658B1">
              <w:rPr>
                <w:szCs w:val="24"/>
                <w:lang w:eastAsia="lt-LT"/>
              </w:rPr>
              <w:t>2020</w:t>
            </w:r>
            <w:r w:rsidR="00C34721">
              <w:rPr>
                <w:szCs w:val="24"/>
                <w:lang w:eastAsia="lt-LT"/>
              </w:rPr>
              <w:t xml:space="preserve"> m. balandžio </w:t>
            </w:r>
            <w:r w:rsidR="00B658B1">
              <w:rPr>
                <w:szCs w:val="24"/>
                <w:lang w:eastAsia="lt-LT"/>
              </w:rPr>
              <w:t>1</w:t>
            </w:r>
            <w:r w:rsidR="00B658B1">
              <w:rPr>
                <w:szCs w:val="24"/>
                <w:lang w:val="en-US" w:eastAsia="lt-LT"/>
              </w:rPr>
              <w:t>7</w:t>
            </w:r>
            <w:r w:rsidR="00C34721">
              <w:rPr>
                <w:szCs w:val="24"/>
                <w:lang w:val="en-US" w:eastAsia="lt-LT"/>
              </w:rPr>
              <w:t xml:space="preserve"> d.</w:t>
            </w:r>
          </w:p>
          <w:p w14:paraId="52669BBB" w14:textId="4EA17609" w:rsidR="009C7FE3" w:rsidRPr="002660EC" w:rsidRDefault="00470378" w:rsidP="00C34721">
            <w:pPr>
              <w:ind w:firstLine="0"/>
              <w:jc w:val="left"/>
            </w:pPr>
            <w:r w:rsidRPr="002660EC">
              <w:rPr>
                <w:szCs w:val="24"/>
                <w:lang w:eastAsia="lt-LT"/>
              </w:rPr>
              <w:t>raštas Nr. 2-</w:t>
            </w:r>
            <w:r w:rsidR="00401EC2">
              <w:rPr>
                <w:szCs w:val="24"/>
                <w:lang w:eastAsia="lt-LT"/>
              </w:rPr>
              <w:t>1923</w:t>
            </w:r>
          </w:p>
        </w:tc>
        <w:tc>
          <w:tcPr>
            <w:tcW w:w="5245" w:type="dxa"/>
          </w:tcPr>
          <w:p w14:paraId="72317DEB" w14:textId="77777777" w:rsidR="00470378" w:rsidRPr="002660EC" w:rsidRDefault="00470378" w:rsidP="004E7B58">
            <w:pPr>
              <w:ind w:firstLine="340"/>
              <w:rPr>
                <w:bCs/>
                <w:szCs w:val="24"/>
              </w:rPr>
            </w:pPr>
            <w:r w:rsidRPr="002660EC">
              <w:rPr>
                <w:bCs/>
                <w:szCs w:val="24"/>
              </w:rPr>
              <w:t xml:space="preserve">Susisiekimo ministerija, išnagrinėjusi Socialinės apsaugos ir darbo ministerijos parengtą ir 2020 m. sausio 10 d. raštu Nr. </w:t>
            </w:r>
            <w:r w:rsidRPr="002660EC">
              <w:rPr>
                <w:szCs w:val="24"/>
              </w:rPr>
              <w:t xml:space="preserve">(12.1-54) STAP-263 pakartotinai išvadoms gauti pateiktą </w:t>
            </w:r>
            <w:r w:rsidRPr="002660EC">
              <w:rPr>
                <w:szCs w:val="24"/>
                <w:lang w:eastAsia="lt-LT"/>
              </w:rPr>
              <w:t xml:space="preserve">Lietuvos Respublikos Vyriausybės nutarimo „Dėl Lietuvos Respublikos Vyriausybės </w:t>
            </w:r>
            <w:r w:rsidRPr="002660EC">
              <w:rPr>
                <w:bCs/>
                <w:caps/>
                <w:szCs w:val="24"/>
              </w:rPr>
              <w:t xml:space="preserve">2002 </w:t>
            </w:r>
            <w:r w:rsidRPr="002660EC">
              <w:rPr>
                <w:bCs/>
                <w:szCs w:val="24"/>
              </w:rPr>
              <w:t xml:space="preserve">m. gegužės 21 d. nutarimo Nr. 704 „Dėl </w:t>
            </w:r>
            <w:r w:rsidRPr="002660EC">
              <w:rPr>
                <w:szCs w:val="24"/>
              </w:rPr>
              <w:t>įgaliojimų suteikimo pavojingųjų krovinių vežimo automobilių ir geležinkelių keliais ir su tuo susijusios veiklos srityse</w:t>
            </w:r>
            <w:r w:rsidRPr="002660EC">
              <w:rPr>
                <w:bCs/>
                <w:caps/>
                <w:szCs w:val="24"/>
              </w:rPr>
              <w:t xml:space="preserve">“ </w:t>
            </w:r>
            <w:r w:rsidRPr="002660EC">
              <w:rPr>
                <w:szCs w:val="24"/>
              </w:rPr>
              <w:t xml:space="preserve">pakeitimo“ projektą </w:t>
            </w:r>
            <w:r w:rsidRPr="002660EC">
              <w:rPr>
                <w:bCs/>
                <w:szCs w:val="24"/>
              </w:rPr>
              <w:t xml:space="preserve">(toliau – Projektas), praneša, kad </w:t>
            </w:r>
            <w:r w:rsidRPr="002660EC">
              <w:rPr>
                <w:b/>
                <w:szCs w:val="24"/>
              </w:rPr>
              <w:t>jam nepritaria</w:t>
            </w:r>
            <w:r w:rsidRPr="002660EC">
              <w:rPr>
                <w:bCs/>
                <w:szCs w:val="24"/>
              </w:rPr>
              <w:t xml:space="preserve">. </w:t>
            </w:r>
          </w:p>
          <w:p w14:paraId="08E15A9A" w14:textId="3BBF1F6B" w:rsidR="0002646A" w:rsidRPr="002660EC" w:rsidRDefault="004E7B58" w:rsidP="004E7B58">
            <w:pPr>
              <w:ind w:firstLine="340"/>
            </w:pPr>
            <w:r w:rsidRPr="002660EC">
              <w:rPr>
                <w:bCs/>
                <w:szCs w:val="24"/>
              </w:rPr>
              <w:t>Primename, kad tokios redakcijos Projektui derinant darbo tvarka taip pat nepritarė ir Lietuvos transporto saugos administracija (toliau – LTSA), o nepritarimo argumentai (tiek Susisiekimo ministerijos tiek ir LTSA) Projekto rengėjui darbo tvarka buvo pateikti 2020 m. vasario 4 d. Kadangi jie nebuvo įvertinti, teikiame pakartotinai.</w:t>
            </w:r>
          </w:p>
          <w:p w14:paraId="485D7287" w14:textId="77777777" w:rsidR="00470378" w:rsidRPr="002660EC" w:rsidRDefault="00470378" w:rsidP="004E7B58">
            <w:pPr>
              <w:ind w:firstLine="340"/>
              <w:rPr>
                <w:bCs/>
                <w:szCs w:val="24"/>
              </w:rPr>
            </w:pPr>
            <w:r w:rsidRPr="002660EC">
              <w:rPr>
                <w:bCs/>
                <w:szCs w:val="24"/>
              </w:rPr>
              <w:t xml:space="preserve">Pagal Lietuvos Respublikos tarptautinių sutarčių, reglamentuojančių pavojingųjų krovinių vežimą keliais (toliau - ADR) ir geležinkeliais (toliau - RID), nuostatas, šių sutarčių techniniuose prieduose yra numatytos visa apimančios kompetentingų institucijų funkcijos, kurias vykdant siekiama sumažinti pavojingųjų medžiagų keliamą riziką ir užtikrinti žmonių (gyventojų ir darbuotojų), aplinkos bei turto saugą šių medžiagų vežimo metu. Sauga vežimo metu šiose „skėtinėse“ sutartyse </w:t>
            </w:r>
            <w:r w:rsidRPr="002660EC">
              <w:rPr>
                <w:bCs/>
                <w:szCs w:val="24"/>
              </w:rPr>
              <w:lastRenderedPageBreak/>
              <w:t xml:space="preserve">suprantama plačiąja prasme – techniniuose prieduose numatomi reikalavimai cheminių medžiagų klasifikavimui, įskaitant radioaktyviąsias, sprogstamąsias, </w:t>
            </w:r>
            <w:proofErr w:type="spellStart"/>
            <w:r w:rsidRPr="002660EC">
              <w:rPr>
                <w:bCs/>
                <w:szCs w:val="24"/>
              </w:rPr>
              <w:t>toksiškas</w:t>
            </w:r>
            <w:proofErr w:type="spellEnd"/>
            <w:r w:rsidRPr="002660EC">
              <w:rPr>
                <w:bCs/>
                <w:szCs w:val="24"/>
              </w:rPr>
              <w:t xml:space="preserve">, infekcines ir kitas medžiagas, taip pat pateikiami reikalavimai visų klasių pavojingų medžiagų pakuotėms, jų gamybai, bandymams, periodinėms patikroms, taip pat talpyklų (slėginių ir </w:t>
            </w:r>
            <w:proofErr w:type="spellStart"/>
            <w:r w:rsidRPr="002660EC">
              <w:rPr>
                <w:bCs/>
                <w:szCs w:val="24"/>
              </w:rPr>
              <w:t>beslėgių</w:t>
            </w:r>
            <w:proofErr w:type="spellEnd"/>
            <w:r w:rsidRPr="002660EC">
              <w:rPr>
                <w:bCs/>
                <w:szCs w:val="24"/>
              </w:rPr>
              <w:t xml:space="preserve">) gamybai, bandymams, periodinėms patikroms, reikalavimai darbuotojų mokymams, mokymo įstaigoms, transporto priemonių atitikčiai, periodinėms patikroms, pavojingųjų krovinių sukrovimui, vežimo sąlygoms ir pan. </w:t>
            </w:r>
          </w:p>
          <w:p w14:paraId="43FF81CE" w14:textId="77777777" w:rsidR="00470378" w:rsidRPr="002660EC" w:rsidRDefault="00470378" w:rsidP="004E7B58">
            <w:pPr>
              <w:ind w:firstLine="340"/>
              <w:rPr>
                <w:bCs/>
                <w:szCs w:val="24"/>
              </w:rPr>
            </w:pPr>
            <w:r w:rsidRPr="002660EC">
              <w:rPr>
                <w:bCs/>
                <w:szCs w:val="24"/>
              </w:rPr>
              <w:t xml:space="preserve">Atsižvelgiant į tai, akivaizdu, kad šių funkcijų įgyvendinimui reikalingos skirtingos kompetencijos. Tai atspindi ir minėtų tarptautinių sutarčių nuostata, numatanti, </w:t>
            </w:r>
            <w:r w:rsidRPr="00460CA7">
              <w:rPr>
                <w:bCs/>
                <w:szCs w:val="24"/>
              </w:rPr>
              <w:t xml:space="preserve">kad „kompetentinga institucija“ – institucija ar institucijos, arba bet kokia kita įstaiga ar įstaigos, paskirtos kiekvienoje valstybėje </w:t>
            </w:r>
            <w:r w:rsidRPr="00460CA7">
              <w:rPr>
                <w:b/>
                <w:szCs w:val="24"/>
              </w:rPr>
              <w:t>kiekvienu konkrečiu atveju,</w:t>
            </w:r>
            <w:r w:rsidRPr="00460CA7">
              <w:rPr>
                <w:bCs/>
                <w:szCs w:val="24"/>
              </w:rPr>
              <w:t xml:space="preserve"> vadovaujantis tos valstybės nacionaline teise“. Ši praktika sėkmingai ir pagrįstai taikoma kitose minėtų tarptautinių sutarčių Susitariančiose Šalyse</w:t>
            </w:r>
            <w:r w:rsidRPr="002660EC">
              <w:rPr>
                <w:bCs/>
                <w:szCs w:val="24"/>
              </w:rPr>
              <w:t>, todėl manome, kad Lietuvos Respublika neturėtų tapti išimtimi. Atsižvelgiant į tai, kad gabenamųjų talpyklų priežiūra pagal savo principus ir reikalavimus nesiskiria nuo analogiškų stacionariųjų talpyklų priežiūros, nesutinkame su rengėjų siūlymu pavesti Susisiekimo ministerijai koordinuoti gabenamųjų slėginių įrenginių ir kitų talpyklų, naudojamų pavojingiesiems kroviniams vežti</w:t>
            </w:r>
            <w:r w:rsidRPr="002660EC">
              <w:t xml:space="preserve"> </w:t>
            </w:r>
            <w:r w:rsidRPr="002660EC">
              <w:rPr>
                <w:szCs w:val="24"/>
              </w:rPr>
              <w:t>p</w:t>
            </w:r>
            <w:r w:rsidRPr="002660EC">
              <w:rPr>
                <w:bCs/>
                <w:szCs w:val="24"/>
              </w:rPr>
              <w:t xml:space="preserve">riežiūros organizavimą, nes talpyklų priežiūra nėra ir niekada nebuvo Susisiekimo ministerijos kompetencija. </w:t>
            </w:r>
          </w:p>
          <w:p w14:paraId="3C2390BB" w14:textId="77777777" w:rsidR="00470378" w:rsidRPr="002660EC" w:rsidRDefault="00470378" w:rsidP="004E7B58">
            <w:pPr>
              <w:ind w:firstLine="340"/>
              <w:rPr>
                <w:bCs/>
                <w:szCs w:val="24"/>
              </w:rPr>
            </w:pPr>
            <w:r w:rsidRPr="002660EC">
              <w:rPr>
                <w:bCs/>
                <w:szCs w:val="24"/>
              </w:rPr>
              <w:t xml:space="preserve">Atkreipiame Jūsų dėmesį į tai, kad pagal Socialinės apsaugos ir darbo ministerijos (toliau – </w:t>
            </w:r>
            <w:r w:rsidRPr="002660EC">
              <w:rPr>
                <w:bCs/>
                <w:szCs w:val="24"/>
              </w:rPr>
              <w:lastRenderedPageBreak/>
              <w:t xml:space="preserve">SADM) nuostatų, patvirtintų Lietuvos Respublikos Vyriausybės 1998 m. liepos 17 d. nutarimu Nr. 892 (paskutinė redakcija patvirtinta Lietuvos Respublikos Vyriausybės 2019 m. birželio 26 d. nutarimu Nr. 673) 7.3 punktą, </w:t>
            </w:r>
            <w:r w:rsidRPr="002660EC">
              <w:rPr>
                <w:b/>
                <w:szCs w:val="24"/>
              </w:rPr>
              <w:t xml:space="preserve">formuoti potencialiai pavojingų įrenginių priežiūros politiką, organizuoti, koordinuoti ir kontroliuoti jos įgyvendinimą </w:t>
            </w:r>
            <w:r w:rsidRPr="002660EC">
              <w:rPr>
                <w:bCs/>
                <w:szCs w:val="24"/>
              </w:rPr>
              <w:t>pavedama būtent</w:t>
            </w:r>
            <w:r w:rsidRPr="002660EC">
              <w:rPr>
                <w:b/>
                <w:szCs w:val="24"/>
              </w:rPr>
              <w:t xml:space="preserve"> </w:t>
            </w:r>
            <w:r w:rsidRPr="002660EC">
              <w:rPr>
                <w:bCs/>
                <w:szCs w:val="24"/>
              </w:rPr>
              <w:t>SADM.</w:t>
            </w:r>
          </w:p>
          <w:p w14:paraId="215033CA" w14:textId="194295BC" w:rsidR="00470378" w:rsidRPr="002660EC" w:rsidRDefault="00470378" w:rsidP="004E7B58">
            <w:pPr>
              <w:ind w:firstLine="340"/>
            </w:pPr>
            <w:r w:rsidRPr="002660EC">
              <w:rPr>
                <w:bCs/>
                <w:szCs w:val="24"/>
              </w:rPr>
              <w:t>Apibendrindami tai kas išdėstyta, siūlome šiuo metu nustatyto reguliavimo nekeisti ir kompetencijų neperskirstyti.</w:t>
            </w:r>
          </w:p>
        </w:tc>
        <w:tc>
          <w:tcPr>
            <w:tcW w:w="5528" w:type="dxa"/>
          </w:tcPr>
          <w:p w14:paraId="43A8954A" w14:textId="0EC20F7F" w:rsidR="004E7B58" w:rsidRPr="002660EC" w:rsidRDefault="006534B0" w:rsidP="008E7CA1">
            <w:pPr>
              <w:ind w:firstLine="297"/>
              <w:rPr>
                <w:b/>
                <w:szCs w:val="24"/>
              </w:rPr>
            </w:pPr>
            <w:r>
              <w:rPr>
                <w:b/>
                <w:szCs w:val="24"/>
              </w:rPr>
              <w:lastRenderedPageBreak/>
              <w:t>A</w:t>
            </w:r>
            <w:r w:rsidR="004E7B58" w:rsidRPr="002660EC">
              <w:rPr>
                <w:b/>
                <w:szCs w:val="24"/>
              </w:rPr>
              <w:t>tsižvelgta</w:t>
            </w:r>
            <w:r>
              <w:rPr>
                <w:b/>
                <w:szCs w:val="24"/>
              </w:rPr>
              <w:t xml:space="preserve"> iš dalies.</w:t>
            </w:r>
          </w:p>
          <w:p w14:paraId="7BBD4DD7" w14:textId="5A4F7520" w:rsidR="006534B0" w:rsidRDefault="006534B0" w:rsidP="008E7CA1">
            <w:pPr>
              <w:tabs>
                <w:tab w:val="left" w:pos="539"/>
              </w:tabs>
              <w:ind w:firstLine="297"/>
              <w:rPr>
                <w:szCs w:val="24"/>
              </w:rPr>
            </w:pPr>
            <w:r w:rsidRPr="002660EC">
              <w:rPr>
                <w:szCs w:val="24"/>
              </w:rPr>
              <w:t xml:space="preserve">Projektu keičiamo </w:t>
            </w:r>
            <w:r w:rsidR="007E1D5A" w:rsidRPr="002660EC">
              <w:rPr>
                <w:szCs w:val="24"/>
                <w:lang w:eastAsia="lt-LT"/>
              </w:rPr>
              <w:t xml:space="preserve">Lietuvos Respublikos Vyriausybės </w:t>
            </w:r>
            <w:r w:rsidR="007E1D5A" w:rsidRPr="002660EC">
              <w:rPr>
                <w:bCs/>
                <w:caps/>
                <w:szCs w:val="24"/>
              </w:rPr>
              <w:t xml:space="preserve">2002 </w:t>
            </w:r>
            <w:r w:rsidR="007E1D5A" w:rsidRPr="002660EC">
              <w:rPr>
                <w:bCs/>
                <w:szCs w:val="24"/>
              </w:rPr>
              <w:t xml:space="preserve">m. gegužės 21 d. nutarimo Nr. 704 „Dėl </w:t>
            </w:r>
            <w:r w:rsidR="007E1D5A" w:rsidRPr="002660EC">
              <w:rPr>
                <w:szCs w:val="24"/>
              </w:rPr>
              <w:t>įgaliojimų suteikimo pavojingųjų krovinių vežimo automobilių ir geležinkelių keliais ir su tuo susijusios veiklos srityse</w:t>
            </w:r>
            <w:r w:rsidR="007E1D5A" w:rsidRPr="002660EC">
              <w:rPr>
                <w:bCs/>
                <w:caps/>
                <w:szCs w:val="24"/>
              </w:rPr>
              <w:t>“</w:t>
            </w:r>
            <w:r w:rsidR="007E1D5A">
              <w:rPr>
                <w:bCs/>
                <w:caps/>
                <w:szCs w:val="24"/>
              </w:rPr>
              <w:t xml:space="preserve"> </w:t>
            </w:r>
            <w:r w:rsidR="00D40C5A">
              <w:rPr>
                <w:bCs/>
                <w:caps/>
                <w:szCs w:val="24"/>
              </w:rPr>
              <w:t>(</w:t>
            </w:r>
            <w:r w:rsidR="00D40C5A">
              <w:rPr>
                <w:bCs/>
                <w:szCs w:val="24"/>
              </w:rPr>
              <w:t xml:space="preserve">toliau </w:t>
            </w:r>
            <w:r w:rsidR="00D40C5A">
              <w:rPr>
                <w:bCs/>
                <w:caps/>
                <w:szCs w:val="24"/>
              </w:rPr>
              <w:t xml:space="preserve">– </w:t>
            </w:r>
            <w:r>
              <w:rPr>
                <w:szCs w:val="24"/>
              </w:rPr>
              <w:t>Nutarim</w:t>
            </w:r>
            <w:r w:rsidR="00D40C5A">
              <w:rPr>
                <w:szCs w:val="24"/>
              </w:rPr>
              <w:t>as)</w:t>
            </w:r>
            <w:r>
              <w:rPr>
                <w:szCs w:val="24"/>
              </w:rPr>
              <w:t xml:space="preserve"> </w:t>
            </w:r>
            <w:r w:rsidRPr="002660EC">
              <w:rPr>
                <w:szCs w:val="24"/>
              </w:rPr>
              <w:t>1.4 papunktį siūlome pripažinti netekusiu galios.</w:t>
            </w:r>
          </w:p>
          <w:p w14:paraId="738C2E22" w14:textId="7B4008CB" w:rsidR="006534B0" w:rsidRDefault="006534B0" w:rsidP="008E7CA1">
            <w:pPr>
              <w:tabs>
                <w:tab w:val="left" w:pos="539"/>
              </w:tabs>
              <w:ind w:firstLine="297"/>
              <w:rPr>
                <w:b/>
                <w:bCs/>
                <w:szCs w:val="24"/>
              </w:rPr>
            </w:pPr>
            <w:r>
              <w:rPr>
                <w:szCs w:val="24"/>
                <w:lang w:val="en-US"/>
              </w:rPr>
              <w:t xml:space="preserve">1. </w:t>
            </w:r>
            <w:r w:rsidR="00B07317" w:rsidRPr="00B07317">
              <w:rPr>
                <w:szCs w:val="24"/>
              </w:rPr>
              <w:t>Nutarim</w:t>
            </w:r>
            <w:r w:rsidR="00D40C5A">
              <w:rPr>
                <w:szCs w:val="24"/>
              </w:rPr>
              <w:t>o</w:t>
            </w:r>
            <w:r w:rsidR="00B07317">
              <w:rPr>
                <w:szCs w:val="24"/>
              </w:rPr>
              <w:t xml:space="preserve"> </w:t>
            </w:r>
            <w:r w:rsidR="00CC303D" w:rsidRPr="002660EC">
              <w:rPr>
                <w:szCs w:val="24"/>
              </w:rPr>
              <w:t xml:space="preserve">preambulėje nurodyta, kad Nutarimas parengtas vadovaujantis </w:t>
            </w:r>
            <w:r w:rsidR="00CC111B" w:rsidRPr="00CC111B">
              <w:rPr>
                <w:szCs w:val="24"/>
              </w:rPr>
              <w:t xml:space="preserve">Lietuvos Respublikos pavojingųjų krovinių vežimo automobilių, geležinkelių ir vidaus vandenų keliais </w:t>
            </w:r>
            <w:r w:rsidR="00CC303D" w:rsidRPr="002660EC">
              <w:rPr>
                <w:szCs w:val="24"/>
              </w:rPr>
              <w:t>įstatymo</w:t>
            </w:r>
            <w:r w:rsidR="00CC303D">
              <w:rPr>
                <w:szCs w:val="24"/>
              </w:rPr>
              <w:t xml:space="preserve"> 7 straipsnio 2 dalies 1 punktu, kuris </w:t>
            </w:r>
            <w:r w:rsidR="00CC303D" w:rsidRPr="002660EC">
              <w:rPr>
                <w:szCs w:val="24"/>
              </w:rPr>
              <w:t>nustat</w:t>
            </w:r>
            <w:r w:rsidR="00CC303D">
              <w:rPr>
                <w:szCs w:val="24"/>
              </w:rPr>
              <w:t>o, kad</w:t>
            </w:r>
            <w:r w:rsidR="00CC303D" w:rsidRPr="002660EC">
              <w:rPr>
                <w:szCs w:val="24"/>
              </w:rPr>
              <w:t xml:space="preserve"> Vyriausybė </w:t>
            </w:r>
            <w:r w:rsidR="00692D15">
              <w:rPr>
                <w:szCs w:val="24"/>
              </w:rPr>
              <w:t xml:space="preserve">ar jos įgaliota institucija </w:t>
            </w:r>
            <w:r w:rsidR="00CC303D" w:rsidRPr="002660EC">
              <w:rPr>
                <w:szCs w:val="24"/>
              </w:rPr>
              <w:t>suteikia įgaliojimus kompetentingoms institucijoms atlikti funkcijas</w:t>
            </w:r>
            <w:r w:rsidR="005D3914">
              <w:rPr>
                <w:szCs w:val="24"/>
              </w:rPr>
              <w:t>,</w:t>
            </w:r>
            <w:r w:rsidR="00CC303D" w:rsidRPr="002660EC">
              <w:rPr>
                <w:szCs w:val="24"/>
              </w:rPr>
              <w:t xml:space="preserve"> „jei tokios funkcijos nenustatytos šiame įsta</w:t>
            </w:r>
            <w:r w:rsidR="00CC303D">
              <w:rPr>
                <w:szCs w:val="24"/>
              </w:rPr>
              <w:t>tyme ir kituose teisės aktuose“.</w:t>
            </w:r>
            <w:r>
              <w:rPr>
                <w:szCs w:val="24"/>
              </w:rPr>
              <w:t xml:space="preserve"> </w:t>
            </w:r>
            <w:r w:rsidRPr="002660EC">
              <w:rPr>
                <w:b/>
                <w:bCs/>
                <w:szCs w:val="24"/>
              </w:rPr>
              <w:t>Lietuvos Respublikos potencialiai pavojingų įrenginių priežiūros įstatym</w:t>
            </w:r>
            <w:r>
              <w:rPr>
                <w:b/>
                <w:bCs/>
                <w:szCs w:val="24"/>
              </w:rPr>
              <w:t>as nustato, kad</w:t>
            </w:r>
            <w:r w:rsidRPr="002660EC">
              <w:rPr>
                <w:b/>
                <w:bCs/>
                <w:szCs w:val="24"/>
              </w:rPr>
              <w:t xml:space="preserve"> potencialiai pavojingų įrenginių techninę būklę tikrina akredituotosios potencialiai pavojingų įrenginių techninės būklės tikrinimo įstaigos, joms papildomų įgaliojimų suteikti nereikia</w:t>
            </w:r>
            <w:r>
              <w:rPr>
                <w:b/>
                <w:bCs/>
                <w:szCs w:val="24"/>
              </w:rPr>
              <w:t>.</w:t>
            </w:r>
          </w:p>
          <w:p w14:paraId="47669381" w14:textId="5DB4FEBA" w:rsidR="00495CDE" w:rsidRPr="00CC303D" w:rsidRDefault="006534B0" w:rsidP="00020BFD">
            <w:pPr>
              <w:tabs>
                <w:tab w:val="left" w:pos="539"/>
              </w:tabs>
              <w:ind w:firstLine="297"/>
              <w:rPr>
                <w:szCs w:val="24"/>
              </w:rPr>
            </w:pPr>
            <w:r>
              <w:rPr>
                <w:szCs w:val="24"/>
              </w:rPr>
              <w:t xml:space="preserve">2. </w:t>
            </w:r>
            <w:r w:rsidR="00693850" w:rsidRPr="002660EC">
              <w:rPr>
                <w:szCs w:val="24"/>
              </w:rPr>
              <w:t>Susisiekimo ministerijos rašte pateikt</w:t>
            </w:r>
            <w:r>
              <w:rPr>
                <w:szCs w:val="24"/>
              </w:rPr>
              <w:t>a</w:t>
            </w:r>
            <w:r w:rsidR="00693850" w:rsidRPr="002660EC">
              <w:rPr>
                <w:szCs w:val="24"/>
              </w:rPr>
              <w:t xml:space="preserve"> pastab</w:t>
            </w:r>
            <w:r>
              <w:rPr>
                <w:szCs w:val="24"/>
              </w:rPr>
              <w:t>a</w:t>
            </w:r>
            <w:r w:rsidR="00693850" w:rsidRPr="002660EC">
              <w:rPr>
                <w:szCs w:val="24"/>
              </w:rPr>
              <w:t xml:space="preserve">, kad </w:t>
            </w:r>
            <w:r>
              <w:rPr>
                <w:bCs/>
                <w:szCs w:val="24"/>
              </w:rPr>
              <w:t xml:space="preserve">tarptautinių </w:t>
            </w:r>
            <w:r w:rsidRPr="00460CA7">
              <w:rPr>
                <w:bCs/>
                <w:szCs w:val="24"/>
              </w:rPr>
              <w:t>sutarčių nuostata</w:t>
            </w:r>
            <w:r w:rsidR="00693850" w:rsidRPr="00460CA7">
              <w:rPr>
                <w:bCs/>
                <w:szCs w:val="24"/>
              </w:rPr>
              <w:t xml:space="preserve"> numato,</w:t>
            </w:r>
            <w:r w:rsidR="009B6E43">
              <w:rPr>
                <w:bCs/>
                <w:szCs w:val="24"/>
              </w:rPr>
              <w:t xml:space="preserve"> kad kompetentinga institucija</w:t>
            </w:r>
            <w:r w:rsidR="00693850" w:rsidRPr="00460CA7">
              <w:rPr>
                <w:bCs/>
                <w:szCs w:val="24"/>
              </w:rPr>
              <w:t xml:space="preserve"> – institucija ar institucijos</w:t>
            </w:r>
            <w:bookmarkStart w:id="0" w:name="_GoBack"/>
            <w:bookmarkEnd w:id="0"/>
            <w:r w:rsidR="00693850" w:rsidRPr="00460CA7">
              <w:rPr>
                <w:bCs/>
                <w:szCs w:val="24"/>
              </w:rPr>
              <w:t xml:space="preserve"> arba bet kokia kita įstaiga ar įstaigos, paskirtos kiekvienoje valstybėje </w:t>
            </w:r>
            <w:r w:rsidR="00693850" w:rsidRPr="00460CA7">
              <w:rPr>
                <w:b/>
                <w:szCs w:val="24"/>
              </w:rPr>
              <w:t>kiekvienu konkrečiu atveju,</w:t>
            </w:r>
            <w:r w:rsidR="00693850" w:rsidRPr="00460CA7">
              <w:rPr>
                <w:bCs/>
                <w:szCs w:val="24"/>
              </w:rPr>
              <w:t xml:space="preserve"> vadovaujantis tos valstybės nacionaline teise</w:t>
            </w:r>
            <w:r w:rsidR="007D5DE2" w:rsidRPr="00460CA7">
              <w:rPr>
                <w:bCs/>
                <w:szCs w:val="24"/>
              </w:rPr>
              <w:t>.</w:t>
            </w:r>
            <w:r w:rsidR="00693850" w:rsidRPr="002660EC">
              <w:rPr>
                <w:bCs/>
                <w:szCs w:val="24"/>
              </w:rPr>
              <w:t xml:space="preserve"> </w:t>
            </w:r>
            <w:r>
              <w:rPr>
                <w:bCs/>
                <w:szCs w:val="24"/>
              </w:rPr>
              <w:t>P</w:t>
            </w:r>
            <w:r w:rsidR="00EA2624" w:rsidRPr="002660EC">
              <w:rPr>
                <w:bCs/>
                <w:szCs w:val="24"/>
              </w:rPr>
              <w:t>aaiškiname,</w:t>
            </w:r>
            <w:r w:rsidR="00E6720A" w:rsidRPr="002660EC">
              <w:rPr>
                <w:bCs/>
                <w:szCs w:val="24"/>
              </w:rPr>
              <w:t xml:space="preserve"> kad</w:t>
            </w:r>
            <w:r w:rsidR="005D3914">
              <w:rPr>
                <w:bCs/>
                <w:szCs w:val="24"/>
              </w:rPr>
              <w:t>,</w:t>
            </w:r>
            <w:r w:rsidR="00E6720A" w:rsidRPr="002660EC">
              <w:rPr>
                <w:bCs/>
                <w:szCs w:val="24"/>
              </w:rPr>
              <w:t xml:space="preserve"> </w:t>
            </w:r>
            <w:r w:rsidR="00E6720A" w:rsidRPr="002660EC">
              <w:rPr>
                <w:b/>
                <w:bCs/>
                <w:szCs w:val="24"/>
              </w:rPr>
              <w:t xml:space="preserve">vadovaujantis Lietuvos </w:t>
            </w:r>
            <w:r w:rsidR="00E6720A" w:rsidRPr="002660EC">
              <w:rPr>
                <w:b/>
                <w:bCs/>
                <w:szCs w:val="24"/>
              </w:rPr>
              <w:lastRenderedPageBreak/>
              <w:t>Respublikos potencialiai pavojingų įrenginių priežiūros įstatym</w:t>
            </w:r>
            <w:r w:rsidR="007D5DE2">
              <w:rPr>
                <w:b/>
                <w:bCs/>
                <w:szCs w:val="24"/>
              </w:rPr>
              <w:t>o</w:t>
            </w:r>
            <w:r w:rsidR="00E6720A" w:rsidRPr="002660EC">
              <w:rPr>
                <w:b/>
                <w:bCs/>
                <w:szCs w:val="24"/>
              </w:rPr>
              <w:t xml:space="preserve"> </w:t>
            </w:r>
            <w:r w:rsidR="00692D15">
              <w:rPr>
                <w:b/>
                <w:bCs/>
                <w:szCs w:val="24"/>
              </w:rPr>
              <w:t xml:space="preserve">ir </w:t>
            </w:r>
            <w:r w:rsidR="00692D15" w:rsidRPr="007E1F5B">
              <w:rPr>
                <w:rFonts w:eastAsia="Times New Roman"/>
                <w:b/>
                <w:color w:val="auto"/>
                <w:szCs w:val="24"/>
                <w:lang w:eastAsia="lt-LT"/>
              </w:rPr>
              <w:t xml:space="preserve">Lietuvos Respublikos Vyriausybės 2001 m. birželio 29 d. </w:t>
            </w:r>
            <w:r w:rsidR="008055C3" w:rsidRPr="007E1F5B">
              <w:rPr>
                <w:rFonts w:eastAsia="Times New Roman"/>
                <w:b/>
                <w:color w:val="auto"/>
                <w:szCs w:val="24"/>
                <w:lang w:eastAsia="lt-LT"/>
              </w:rPr>
              <w:t>nutarim</w:t>
            </w:r>
            <w:r w:rsidR="008055C3">
              <w:rPr>
                <w:rFonts w:eastAsia="Times New Roman"/>
                <w:b/>
                <w:color w:val="auto"/>
                <w:szCs w:val="24"/>
                <w:lang w:eastAsia="lt-LT"/>
              </w:rPr>
              <w:t>o</w:t>
            </w:r>
            <w:r w:rsidR="00692D15" w:rsidRPr="007E1F5B">
              <w:rPr>
                <w:rFonts w:eastAsia="Times New Roman"/>
                <w:b/>
                <w:color w:val="auto"/>
                <w:szCs w:val="24"/>
                <w:lang w:eastAsia="lt-LT"/>
              </w:rPr>
              <w:t xml:space="preserve"> Nr. 817 „</w:t>
            </w:r>
            <w:r w:rsidR="00692D15" w:rsidRPr="007E1F5B">
              <w:rPr>
                <w:rFonts w:eastAsia="Times New Roman"/>
                <w:b/>
                <w:color w:val="auto"/>
                <w:lang w:eastAsia="lt-LT"/>
              </w:rPr>
              <w:t xml:space="preserve">Dėl </w:t>
            </w:r>
            <w:r w:rsidR="00692D15" w:rsidRPr="007E1F5B">
              <w:rPr>
                <w:rFonts w:eastAsia="Times New Roman"/>
                <w:b/>
                <w:lang w:eastAsia="lt-LT"/>
              </w:rPr>
              <w:t>Lietuvos Respublikos potencialiai pavojingų įrenginių priežiūros įstatymo įgyvendinimo</w:t>
            </w:r>
            <w:r w:rsidR="00692D15" w:rsidRPr="007E1F5B">
              <w:rPr>
                <w:rFonts w:eastAsia="Times New Roman"/>
                <w:b/>
                <w:color w:val="auto"/>
                <w:szCs w:val="24"/>
                <w:lang w:eastAsia="lt-LT"/>
              </w:rPr>
              <w:t>“</w:t>
            </w:r>
            <w:r w:rsidR="00692D15">
              <w:rPr>
                <w:rFonts w:eastAsia="Times New Roman"/>
                <w:color w:val="auto"/>
                <w:szCs w:val="24"/>
                <w:lang w:eastAsia="lt-LT"/>
              </w:rPr>
              <w:t xml:space="preserve"> </w:t>
            </w:r>
            <w:r w:rsidR="008055C3" w:rsidRPr="007E1F5B">
              <w:rPr>
                <w:rFonts w:eastAsia="Times New Roman"/>
                <w:b/>
                <w:color w:val="auto"/>
                <w:szCs w:val="24"/>
                <w:lang w:eastAsia="lt-LT"/>
              </w:rPr>
              <w:t xml:space="preserve">nuostatomis, įsigaliosiančiomis </w:t>
            </w:r>
            <w:r w:rsidR="008055C3" w:rsidRPr="008055C3">
              <w:rPr>
                <w:b/>
                <w:bCs/>
                <w:szCs w:val="24"/>
              </w:rPr>
              <w:t>2020</w:t>
            </w:r>
            <w:r w:rsidR="005D3914">
              <w:rPr>
                <w:b/>
                <w:bCs/>
                <w:szCs w:val="24"/>
              </w:rPr>
              <w:t> </w:t>
            </w:r>
            <w:r w:rsidR="008055C3" w:rsidRPr="008055C3">
              <w:rPr>
                <w:b/>
                <w:bCs/>
                <w:szCs w:val="24"/>
              </w:rPr>
              <w:t>m. gegužės 1 d.,</w:t>
            </w:r>
            <w:r w:rsidR="008055C3">
              <w:rPr>
                <w:b/>
                <w:bCs/>
                <w:szCs w:val="24"/>
              </w:rPr>
              <w:t xml:space="preserve"> Lietuvos Respublikos socialinės apsaugos ir darbo ministerija </w:t>
            </w:r>
            <w:r w:rsidR="0066664C" w:rsidRPr="002660EC">
              <w:rPr>
                <w:b/>
                <w:bCs/>
                <w:szCs w:val="24"/>
              </w:rPr>
              <w:t xml:space="preserve">paskirta atsakinga už </w:t>
            </w:r>
            <w:proofErr w:type="spellStart"/>
            <w:r w:rsidR="00905541" w:rsidRPr="002660EC">
              <w:rPr>
                <w:b/>
                <w:bCs/>
                <w:szCs w:val="24"/>
              </w:rPr>
              <w:t>beslėgių</w:t>
            </w:r>
            <w:proofErr w:type="spellEnd"/>
            <w:r w:rsidR="000D6B02" w:rsidRPr="002660EC">
              <w:rPr>
                <w:b/>
                <w:bCs/>
                <w:szCs w:val="24"/>
              </w:rPr>
              <w:t xml:space="preserve"> pavojingų medžiagų talpyklų </w:t>
            </w:r>
            <w:r w:rsidR="00B17B22" w:rsidRPr="002660EC">
              <w:rPr>
                <w:b/>
                <w:bCs/>
                <w:szCs w:val="24"/>
              </w:rPr>
              <w:t>priežiūros administracinį reglamentavimą</w:t>
            </w:r>
            <w:r w:rsidR="000D6B02" w:rsidRPr="002660EC">
              <w:rPr>
                <w:b/>
                <w:bCs/>
                <w:szCs w:val="24"/>
              </w:rPr>
              <w:t xml:space="preserve">, o </w:t>
            </w:r>
            <w:r w:rsidR="008055C3">
              <w:rPr>
                <w:b/>
                <w:bCs/>
                <w:szCs w:val="24"/>
              </w:rPr>
              <w:t>Lietuvos Respublikos ekonomikos ir inovacijų ministerija</w:t>
            </w:r>
            <w:r w:rsidR="00437809" w:rsidRPr="002660EC">
              <w:rPr>
                <w:b/>
                <w:bCs/>
                <w:szCs w:val="24"/>
              </w:rPr>
              <w:t xml:space="preserve"> </w:t>
            </w:r>
            <w:r w:rsidR="005D3914">
              <w:rPr>
                <w:b/>
                <w:bCs/>
                <w:szCs w:val="24"/>
              </w:rPr>
              <w:t xml:space="preserve">– </w:t>
            </w:r>
            <w:r w:rsidR="00437809" w:rsidRPr="002660EC">
              <w:rPr>
                <w:b/>
                <w:bCs/>
                <w:szCs w:val="24"/>
              </w:rPr>
              <w:t>už slėginių indų priežiūros administracinį reglamentavimą</w:t>
            </w:r>
            <w:r w:rsidR="00905541" w:rsidRPr="002660EC">
              <w:rPr>
                <w:b/>
                <w:bCs/>
                <w:szCs w:val="24"/>
              </w:rPr>
              <w:t xml:space="preserve">, potencialiai pavojingų įrenginių </w:t>
            </w:r>
            <w:r w:rsidR="00311976" w:rsidRPr="002660EC">
              <w:rPr>
                <w:b/>
                <w:bCs/>
                <w:szCs w:val="24"/>
              </w:rPr>
              <w:t>techninę būklę tikrina</w:t>
            </w:r>
            <w:r w:rsidR="007C2B9E" w:rsidRPr="002660EC">
              <w:rPr>
                <w:b/>
                <w:bCs/>
                <w:szCs w:val="24"/>
              </w:rPr>
              <w:t xml:space="preserve"> </w:t>
            </w:r>
            <w:r w:rsidR="00F95D51" w:rsidRPr="002660EC">
              <w:rPr>
                <w:b/>
                <w:bCs/>
                <w:szCs w:val="24"/>
              </w:rPr>
              <w:t>akredituotosios potencialiai pavojingų įrenginių techninės būklės tikrinimo įstaigos, joms papildomų įgaliojimų suteikti nereikia</w:t>
            </w:r>
            <w:r w:rsidR="006C2C33">
              <w:rPr>
                <w:b/>
                <w:bCs/>
                <w:szCs w:val="24"/>
              </w:rPr>
              <w:t xml:space="preserve">, Lietuvos Respublikos valstybinė darbo inspekcija prie Socialinės apsaugos ir darbo ministerijos paskirta atsakinga už </w:t>
            </w:r>
            <w:r w:rsidR="006C2C33" w:rsidRPr="006C2C33">
              <w:rPr>
                <w:b/>
                <w:bCs/>
                <w:szCs w:val="24"/>
              </w:rPr>
              <w:t>potencialiai pavojingų įrenginių priežiūros reikalavimų įgyvendinimo kontrolę</w:t>
            </w:r>
            <w:r w:rsidR="00F95D51" w:rsidRPr="002660EC">
              <w:rPr>
                <w:bCs/>
                <w:szCs w:val="24"/>
              </w:rPr>
              <w:t>.</w:t>
            </w:r>
            <w:r w:rsidR="00EA2624" w:rsidRPr="002660EC">
              <w:rPr>
                <w:bCs/>
                <w:szCs w:val="24"/>
              </w:rPr>
              <w:t xml:space="preserve"> Taip pat informuojame, kad </w:t>
            </w:r>
            <w:r w:rsidR="00CA05D7" w:rsidRPr="002660EC">
              <w:rPr>
                <w:bCs/>
                <w:szCs w:val="24"/>
              </w:rPr>
              <w:t>ADR ir RID nustatyti cheminių medžiagų</w:t>
            </w:r>
            <w:r w:rsidR="005D3914">
              <w:rPr>
                <w:bCs/>
                <w:szCs w:val="24"/>
              </w:rPr>
              <w:t>,</w:t>
            </w:r>
            <w:r w:rsidR="00CA05D7" w:rsidRPr="002660EC">
              <w:rPr>
                <w:bCs/>
                <w:szCs w:val="24"/>
              </w:rPr>
              <w:t xml:space="preserve"> </w:t>
            </w:r>
            <w:r w:rsidR="005D3914" w:rsidRPr="002660EC">
              <w:rPr>
                <w:bCs/>
                <w:szCs w:val="24"/>
              </w:rPr>
              <w:t xml:space="preserve">įskaitant radioaktyviąsias, sprogstamąsias, </w:t>
            </w:r>
            <w:proofErr w:type="spellStart"/>
            <w:r w:rsidR="005D3914" w:rsidRPr="002660EC">
              <w:rPr>
                <w:bCs/>
                <w:szCs w:val="24"/>
              </w:rPr>
              <w:t>toksiškas</w:t>
            </w:r>
            <w:proofErr w:type="spellEnd"/>
            <w:r w:rsidR="005D3914" w:rsidRPr="002660EC">
              <w:rPr>
                <w:bCs/>
                <w:szCs w:val="24"/>
              </w:rPr>
              <w:t xml:space="preserve">, infekcines ir kitas medžiagas, </w:t>
            </w:r>
            <w:r w:rsidR="00CA05D7" w:rsidRPr="002660EC">
              <w:rPr>
                <w:bCs/>
                <w:szCs w:val="24"/>
              </w:rPr>
              <w:t>klasifikavim</w:t>
            </w:r>
            <w:r w:rsidR="005D3914">
              <w:rPr>
                <w:bCs/>
                <w:szCs w:val="24"/>
              </w:rPr>
              <w:t>o reikalavimai</w:t>
            </w:r>
            <w:r w:rsidR="00CA05D7" w:rsidRPr="002660EC">
              <w:rPr>
                <w:bCs/>
                <w:szCs w:val="24"/>
              </w:rPr>
              <w:t>, taip pat pateik</w:t>
            </w:r>
            <w:r w:rsidR="005D3914">
              <w:rPr>
                <w:bCs/>
                <w:szCs w:val="24"/>
              </w:rPr>
              <w:t>t</w:t>
            </w:r>
            <w:r w:rsidR="00CA05D7" w:rsidRPr="002660EC">
              <w:rPr>
                <w:bCs/>
                <w:szCs w:val="24"/>
              </w:rPr>
              <w:t>i visų klasių pavojingų medžiagų pakuo</w:t>
            </w:r>
            <w:r w:rsidR="005D3914">
              <w:rPr>
                <w:bCs/>
                <w:szCs w:val="24"/>
              </w:rPr>
              <w:t>čių</w:t>
            </w:r>
            <w:r w:rsidR="00CA05D7" w:rsidRPr="002660EC">
              <w:rPr>
                <w:bCs/>
                <w:szCs w:val="24"/>
              </w:rPr>
              <w:t>, jų gamyb</w:t>
            </w:r>
            <w:r w:rsidR="005D3914">
              <w:rPr>
                <w:bCs/>
                <w:szCs w:val="24"/>
              </w:rPr>
              <w:t>os</w:t>
            </w:r>
            <w:r w:rsidR="00CA05D7" w:rsidRPr="002660EC">
              <w:rPr>
                <w:bCs/>
                <w:szCs w:val="24"/>
              </w:rPr>
              <w:t>, bandym</w:t>
            </w:r>
            <w:r w:rsidR="005D3914">
              <w:rPr>
                <w:bCs/>
                <w:szCs w:val="24"/>
              </w:rPr>
              <w:t>ų</w:t>
            </w:r>
            <w:r w:rsidR="00CA05D7" w:rsidRPr="002660EC">
              <w:rPr>
                <w:bCs/>
                <w:szCs w:val="24"/>
              </w:rPr>
              <w:t>, periodin</w:t>
            </w:r>
            <w:r w:rsidR="005D3914">
              <w:rPr>
                <w:bCs/>
                <w:szCs w:val="24"/>
              </w:rPr>
              <w:t>ių</w:t>
            </w:r>
            <w:r w:rsidR="00CA05D7" w:rsidRPr="002660EC">
              <w:rPr>
                <w:bCs/>
                <w:szCs w:val="24"/>
              </w:rPr>
              <w:t xml:space="preserve"> patikr</w:t>
            </w:r>
            <w:r w:rsidR="005D3914">
              <w:rPr>
                <w:bCs/>
                <w:szCs w:val="24"/>
              </w:rPr>
              <w:t>ų</w:t>
            </w:r>
            <w:r w:rsidR="00CA05D7" w:rsidRPr="002660EC">
              <w:rPr>
                <w:bCs/>
                <w:szCs w:val="24"/>
              </w:rPr>
              <w:t xml:space="preserve">, taip pat talpyklų (slėginių ir </w:t>
            </w:r>
            <w:proofErr w:type="spellStart"/>
            <w:r w:rsidR="00CA05D7" w:rsidRPr="002660EC">
              <w:rPr>
                <w:bCs/>
                <w:szCs w:val="24"/>
              </w:rPr>
              <w:t>beslėgių</w:t>
            </w:r>
            <w:proofErr w:type="spellEnd"/>
            <w:r w:rsidR="00CA05D7" w:rsidRPr="002660EC">
              <w:rPr>
                <w:bCs/>
                <w:szCs w:val="24"/>
              </w:rPr>
              <w:t>) gamyb</w:t>
            </w:r>
            <w:r w:rsidR="005D3914">
              <w:rPr>
                <w:bCs/>
                <w:szCs w:val="24"/>
              </w:rPr>
              <w:t>os</w:t>
            </w:r>
            <w:r w:rsidR="002D432F">
              <w:rPr>
                <w:bCs/>
                <w:szCs w:val="24"/>
              </w:rPr>
              <w:t>, jų tie</w:t>
            </w:r>
            <w:r w:rsidR="00CA05D7" w:rsidRPr="002660EC">
              <w:rPr>
                <w:bCs/>
                <w:szCs w:val="24"/>
              </w:rPr>
              <w:t>kim</w:t>
            </w:r>
            <w:r w:rsidR="005D3914">
              <w:rPr>
                <w:bCs/>
                <w:szCs w:val="24"/>
              </w:rPr>
              <w:t>o</w:t>
            </w:r>
            <w:r w:rsidR="00CA05D7" w:rsidRPr="002660EC">
              <w:rPr>
                <w:bCs/>
                <w:szCs w:val="24"/>
              </w:rPr>
              <w:t xml:space="preserve"> rinkai</w:t>
            </w:r>
            <w:r w:rsidR="005D3914">
              <w:rPr>
                <w:bCs/>
                <w:szCs w:val="24"/>
              </w:rPr>
              <w:t xml:space="preserve"> reikalavimai</w:t>
            </w:r>
            <w:r w:rsidR="00CA05D7" w:rsidRPr="002660EC">
              <w:rPr>
                <w:bCs/>
                <w:szCs w:val="24"/>
              </w:rPr>
              <w:t>, darbuotojų mokym</w:t>
            </w:r>
            <w:r w:rsidR="005D3914">
              <w:rPr>
                <w:bCs/>
                <w:szCs w:val="24"/>
              </w:rPr>
              <w:t>ų</w:t>
            </w:r>
            <w:r w:rsidR="00CA05D7" w:rsidRPr="002660EC">
              <w:rPr>
                <w:bCs/>
                <w:szCs w:val="24"/>
              </w:rPr>
              <w:t>, mokymo įstaig</w:t>
            </w:r>
            <w:r w:rsidR="005D3914">
              <w:rPr>
                <w:bCs/>
                <w:szCs w:val="24"/>
              </w:rPr>
              <w:t>ų</w:t>
            </w:r>
            <w:r w:rsidR="00CA05D7" w:rsidRPr="002660EC">
              <w:rPr>
                <w:bCs/>
                <w:szCs w:val="24"/>
              </w:rPr>
              <w:t>, transporto priemonių atitik</w:t>
            </w:r>
            <w:r w:rsidR="005D3914">
              <w:rPr>
                <w:bCs/>
                <w:szCs w:val="24"/>
              </w:rPr>
              <w:t>ties</w:t>
            </w:r>
            <w:r w:rsidR="00CA05D7" w:rsidRPr="002660EC">
              <w:rPr>
                <w:bCs/>
                <w:szCs w:val="24"/>
              </w:rPr>
              <w:t>, periodin</w:t>
            </w:r>
            <w:r w:rsidR="005D3914">
              <w:rPr>
                <w:bCs/>
                <w:szCs w:val="24"/>
              </w:rPr>
              <w:t>ių</w:t>
            </w:r>
            <w:r w:rsidR="00CA05D7" w:rsidRPr="002660EC">
              <w:rPr>
                <w:bCs/>
                <w:szCs w:val="24"/>
              </w:rPr>
              <w:t xml:space="preserve"> patikr</w:t>
            </w:r>
            <w:r w:rsidR="005D3914">
              <w:rPr>
                <w:bCs/>
                <w:szCs w:val="24"/>
              </w:rPr>
              <w:t>ų</w:t>
            </w:r>
            <w:r w:rsidR="00CA05D7" w:rsidRPr="002660EC">
              <w:rPr>
                <w:bCs/>
                <w:szCs w:val="24"/>
              </w:rPr>
              <w:t>, pavojingųjų krovinių sukrovim</w:t>
            </w:r>
            <w:r w:rsidR="005D3914">
              <w:rPr>
                <w:bCs/>
                <w:szCs w:val="24"/>
              </w:rPr>
              <w:t>o</w:t>
            </w:r>
            <w:r w:rsidR="00CA05D7" w:rsidRPr="002660EC">
              <w:rPr>
                <w:bCs/>
                <w:szCs w:val="24"/>
              </w:rPr>
              <w:t>, vežimo sąlyg</w:t>
            </w:r>
            <w:r w:rsidR="005D3914">
              <w:rPr>
                <w:bCs/>
                <w:szCs w:val="24"/>
              </w:rPr>
              <w:t>ų</w:t>
            </w:r>
            <w:r w:rsidR="00CA05D7" w:rsidRPr="002660EC">
              <w:rPr>
                <w:bCs/>
                <w:szCs w:val="24"/>
              </w:rPr>
              <w:t xml:space="preserve"> </w:t>
            </w:r>
            <w:r w:rsidR="005D3914">
              <w:rPr>
                <w:bCs/>
                <w:szCs w:val="24"/>
              </w:rPr>
              <w:t xml:space="preserve">reikalavimai </w:t>
            </w:r>
            <w:r w:rsidR="00CA05D7" w:rsidRPr="002660EC">
              <w:rPr>
                <w:bCs/>
                <w:szCs w:val="24"/>
              </w:rPr>
              <w:t xml:space="preserve">ir pan. nėra </w:t>
            </w:r>
            <w:r w:rsidR="00CC29DC">
              <w:rPr>
                <w:bCs/>
                <w:szCs w:val="24"/>
              </w:rPr>
              <w:t>Socialinės apsaugos ir darbo ministerijos</w:t>
            </w:r>
            <w:r w:rsidR="00CA05D7" w:rsidRPr="002660EC">
              <w:rPr>
                <w:bCs/>
                <w:szCs w:val="24"/>
              </w:rPr>
              <w:t xml:space="preserve"> ar </w:t>
            </w:r>
            <w:r w:rsidR="00CC29DC">
              <w:rPr>
                <w:bCs/>
                <w:szCs w:val="24"/>
              </w:rPr>
              <w:t>Ekonomikos ir inovacijų ministerijos</w:t>
            </w:r>
            <w:r w:rsidR="00CA05D7" w:rsidRPr="002660EC">
              <w:rPr>
                <w:bCs/>
                <w:szCs w:val="24"/>
              </w:rPr>
              <w:t xml:space="preserve"> kompetencija.</w:t>
            </w:r>
          </w:p>
        </w:tc>
      </w:tr>
    </w:tbl>
    <w:p w14:paraId="3640127D" w14:textId="5760B6E5" w:rsidR="00E77938" w:rsidRPr="002660EC" w:rsidRDefault="00E77938" w:rsidP="00C34721"/>
    <w:sectPr w:rsidR="00E77938" w:rsidRPr="002660EC" w:rsidSect="0045045A">
      <w:headerReference w:type="default" r:id="rId8"/>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2656A" w14:textId="77777777" w:rsidR="00482D01" w:rsidRDefault="00482D01" w:rsidP="0045045A">
      <w:r>
        <w:separator/>
      </w:r>
    </w:p>
  </w:endnote>
  <w:endnote w:type="continuationSeparator" w:id="0">
    <w:p w14:paraId="1C3ECB5A" w14:textId="77777777" w:rsidR="00482D01" w:rsidRDefault="00482D01" w:rsidP="0045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B6ADC" w14:textId="77777777" w:rsidR="00482D01" w:rsidRDefault="00482D01" w:rsidP="0045045A">
      <w:r>
        <w:separator/>
      </w:r>
    </w:p>
  </w:footnote>
  <w:footnote w:type="continuationSeparator" w:id="0">
    <w:p w14:paraId="0AF1E7F2" w14:textId="77777777" w:rsidR="00482D01" w:rsidRDefault="00482D01" w:rsidP="0045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221315"/>
      <w:docPartObj>
        <w:docPartGallery w:val="Page Numbers (Top of Page)"/>
        <w:docPartUnique/>
      </w:docPartObj>
    </w:sdtPr>
    <w:sdtEndPr/>
    <w:sdtContent>
      <w:p w14:paraId="0B236509" w14:textId="4097F7DC" w:rsidR="0045045A" w:rsidRDefault="0045045A">
        <w:pPr>
          <w:pStyle w:val="Antrats"/>
          <w:jc w:val="center"/>
        </w:pPr>
        <w:r>
          <w:fldChar w:fldCharType="begin"/>
        </w:r>
        <w:r>
          <w:instrText>PAGE   \* MERGEFORMAT</w:instrText>
        </w:r>
        <w:r>
          <w:fldChar w:fldCharType="separate"/>
        </w:r>
        <w:r w:rsidR="00020BFD">
          <w:rPr>
            <w:noProof/>
          </w:rPr>
          <w:t>3</w:t>
        </w:r>
        <w:r>
          <w:fldChar w:fldCharType="end"/>
        </w:r>
      </w:p>
    </w:sdtContent>
  </w:sdt>
  <w:p w14:paraId="7EEE5606" w14:textId="77777777" w:rsidR="0045045A" w:rsidRDefault="004504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8DA"/>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A9F783A"/>
    <w:multiLevelType w:val="hybridMultilevel"/>
    <w:tmpl w:val="306CE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EEB46FA"/>
    <w:multiLevelType w:val="hybridMultilevel"/>
    <w:tmpl w:val="6B6EF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07B1A32"/>
    <w:multiLevelType w:val="hybridMultilevel"/>
    <w:tmpl w:val="2410D74C"/>
    <w:lvl w:ilvl="0" w:tplc="70EECF7A">
      <w:start w:val="1"/>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nsid w:val="6FB41F53"/>
    <w:multiLevelType w:val="hybridMultilevel"/>
    <w:tmpl w:val="454AB052"/>
    <w:lvl w:ilvl="0" w:tplc="3EA493B0">
      <w:start w:val="1"/>
      <w:numFmt w:val="bullet"/>
      <w:lvlText w:val="-"/>
      <w:lvlJc w:val="left"/>
      <w:pPr>
        <w:ind w:left="650" w:hanging="360"/>
      </w:pPr>
      <w:rPr>
        <w:rFonts w:ascii="Times New Roman" w:eastAsia="Calibri" w:hAnsi="Times New Roman" w:cs="Times New Roman" w:hint="default"/>
      </w:rPr>
    </w:lvl>
    <w:lvl w:ilvl="1" w:tplc="04270003" w:tentative="1">
      <w:start w:val="1"/>
      <w:numFmt w:val="bullet"/>
      <w:lvlText w:val="o"/>
      <w:lvlJc w:val="left"/>
      <w:pPr>
        <w:ind w:left="1370" w:hanging="360"/>
      </w:pPr>
      <w:rPr>
        <w:rFonts w:ascii="Courier New" w:hAnsi="Courier New" w:cs="Courier New" w:hint="default"/>
      </w:rPr>
    </w:lvl>
    <w:lvl w:ilvl="2" w:tplc="04270005" w:tentative="1">
      <w:start w:val="1"/>
      <w:numFmt w:val="bullet"/>
      <w:lvlText w:val=""/>
      <w:lvlJc w:val="left"/>
      <w:pPr>
        <w:ind w:left="2090" w:hanging="360"/>
      </w:pPr>
      <w:rPr>
        <w:rFonts w:ascii="Wingdings" w:hAnsi="Wingdings" w:hint="default"/>
      </w:rPr>
    </w:lvl>
    <w:lvl w:ilvl="3" w:tplc="04270001" w:tentative="1">
      <w:start w:val="1"/>
      <w:numFmt w:val="bullet"/>
      <w:lvlText w:val=""/>
      <w:lvlJc w:val="left"/>
      <w:pPr>
        <w:ind w:left="2810" w:hanging="360"/>
      </w:pPr>
      <w:rPr>
        <w:rFonts w:ascii="Symbol" w:hAnsi="Symbol" w:hint="default"/>
      </w:rPr>
    </w:lvl>
    <w:lvl w:ilvl="4" w:tplc="04270003" w:tentative="1">
      <w:start w:val="1"/>
      <w:numFmt w:val="bullet"/>
      <w:lvlText w:val="o"/>
      <w:lvlJc w:val="left"/>
      <w:pPr>
        <w:ind w:left="3530" w:hanging="360"/>
      </w:pPr>
      <w:rPr>
        <w:rFonts w:ascii="Courier New" w:hAnsi="Courier New" w:cs="Courier New" w:hint="default"/>
      </w:rPr>
    </w:lvl>
    <w:lvl w:ilvl="5" w:tplc="04270005" w:tentative="1">
      <w:start w:val="1"/>
      <w:numFmt w:val="bullet"/>
      <w:lvlText w:val=""/>
      <w:lvlJc w:val="left"/>
      <w:pPr>
        <w:ind w:left="4250" w:hanging="360"/>
      </w:pPr>
      <w:rPr>
        <w:rFonts w:ascii="Wingdings" w:hAnsi="Wingdings" w:hint="default"/>
      </w:rPr>
    </w:lvl>
    <w:lvl w:ilvl="6" w:tplc="04270001" w:tentative="1">
      <w:start w:val="1"/>
      <w:numFmt w:val="bullet"/>
      <w:lvlText w:val=""/>
      <w:lvlJc w:val="left"/>
      <w:pPr>
        <w:ind w:left="4970" w:hanging="360"/>
      </w:pPr>
      <w:rPr>
        <w:rFonts w:ascii="Symbol" w:hAnsi="Symbol" w:hint="default"/>
      </w:rPr>
    </w:lvl>
    <w:lvl w:ilvl="7" w:tplc="04270003" w:tentative="1">
      <w:start w:val="1"/>
      <w:numFmt w:val="bullet"/>
      <w:lvlText w:val="o"/>
      <w:lvlJc w:val="left"/>
      <w:pPr>
        <w:ind w:left="5690" w:hanging="360"/>
      </w:pPr>
      <w:rPr>
        <w:rFonts w:ascii="Courier New" w:hAnsi="Courier New" w:cs="Courier New" w:hint="default"/>
      </w:rPr>
    </w:lvl>
    <w:lvl w:ilvl="8" w:tplc="04270005" w:tentative="1">
      <w:start w:val="1"/>
      <w:numFmt w:val="bullet"/>
      <w:lvlText w:val=""/>
      <w:lvlJc w:val="left"/>
      <w:pPr>
        <w:ind w:left="641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8B"/>
    <w:rsid w:val="00020BFD"/>
    <w:rsid w:val="0002646A"/>
    <w:rsid w:val="00040FDD"/>
    <w:rsid w:val="000D6B02"/>
    <w:rsid w:val="00117F6C"/>
    <w:rsid w:val="001222CD"/>
    <w:rsid w:val="00134325"/>
    <w:rsid w:val="0013640A"/>
    <w:rsid w:val="00165767"/>
    <w:rsid w:val="001C4349"/>
    <w:rsid w:val="001D56D0"/>
    <w:rsid w:val="001D5ED2"/>
    <w:rsid w:val="002169ED"/>
    <w:rsid w:val="00217547"/>
    <w:rsid w:val="00222985"/>
    <w:rsid w:val="002369FF"/>
    <w:rsid w:val="002434DA"/>
    <w:rsid w:val="002660EC"/>
    <w:rsid w:val="00274CE5"/>
    <w:rsid w:val="002D432F"/>
    <w:rsid w:val="002E1F43"/>
    <w:rsid w:val="002F53FD"/>
    <w:rsid w:val="00311976"/>
    <w:rsid w:val="003121CD"/>
    <w:rsid w:val="00316BEF"/>
    <w:rsid w:val="00355DAB"/>
    <w:rsid w:val="0036678B"/>
    <w:rsid w:val="0037128C"/>
    <w:rsid w:val="003B02B9"/>
    <w:rsid w:val="00401EC2"/>
    <w:rsid w:val="00437809"/>
    <w:rsid w:val="0045045A"/>
    <w:rsid w:val="00460CA7"/>
    <w:rsid w:val="0046486D"/>
    <w:rsid w:val="00470378"/>
    <w:rsid w:val="00482D01"/>
    <w:rsid w:val="00495CDE"/>
    <w:rsid w:val="004A0043"/>
    <w:rsid w:val="004E7B58"/>
    <w:rsid w:val="00520473"/>
    <w:rsid w:val="00546A71"/>
    <w:rsid w:val="00591F68"/>
    <w:rsid w:val="00596188"/>
    <w:rsid w:val="00596AA4"/>
    <w:rsid w:val="005C6010"/>
    <w:rsid w:val="005D3914"/>
    <w:rsid w:val="005D75B3"/>
    <w:rsid w:val="005E0B67"/>
    <w:rsid w:val="005F48A2"/>
    <w:rsid w:val="006136B4"/>
    <w:rsid w:val="00634FF0"/>
    <w:rsid w:val="006534B0"/>
    <w:rsid w:val="00665954"/>
    <w:rsid w:val="0066664C"/>
    <w:rsid w:val="00692D15"/>
    <w:rsid w:val="00693850"/>
    <w:rsid w:val="006C2C33"/>
    <w:rsid w:val="007320B9"/>
    <w:rsid w:val="00732F43"/>
    <w:rsid w:val="0077021F"/>
    <w:rsid w:val="007C2B9E"/>
    <w:rsid w:val="007D5DE2"/>
    <w:rsid w:val="007E1D5A"/>
    <w:rsid w:val="007E1F5B"/>
    <w:rsid w:val="00800F5A"/>
    <w:rsid w:val="008055C3"/>
    <w:rsid w:val="008408C9"/>
    <w:rsid w:val="008B5711"/>
    <w:rsid w:val="008B7A8B"/>
    <w:rsid w:val="008E18CA"/>
    <w:rsid w:val="008E7CA1"/>
    <w:rsid w:val="00905541"/>
    <w:rsid w:val="00936613"/>
    <w:rsid w:val="00973392"/>
    <w:rsid w:val="009B6E43"/>
    <w:rsid w:val="009C7FE3"/>
    <w:rsid w:val="00A03658"/>
    <w:rsid w:val="00A43181"/>
    <w:rsid w:val="00AA5200"/>
    <w:rsid w:val="00AE4E2E"/>
    <w:rsid w:val="00B07317"/>
    <w:rsid w:val="00B17889"/>
    <w:rsid w:val="00B17B22"/>
    <w:rsid w:val="00B47765"/>
    <w:rsid w:val="00B658B1"/>
    <w:rsid w:val="00B82F6C"/>
    <w:rsid w:val="00B86AE5"/>
    <w:rsid w:val="00BC4BD2"/>
    <w:rsid w:val="00C26601"/>
    <w:rsid w:val="00C34721"/>
    <w:rsid w:val="00C55DF9"/>
    <w:rsid w:val="00CA05D7"/>
    <w:rsid w:val="00CA270D"/>
    <w:rsid w:val="00CC111B"/>
    <w:rsid w:val="00CC207C"/>
    <w:rsid w:val="00CC29DC"/>
    <w:rsid w:val="00CC303D"/>
    <w:rsid w:val="00CF38A0"/>
    <w:rsid w:val="00D40C5A"/>
    <w:rsid w:val="00D8664D"/>
    <w:rsid w:val="00E252C7"/>
    <w:rsid w:val="00E45361"/>
    <w:rsid w:val="00E6720A"/>
    <w:rsid w:val="00E71A29"/>
    <w:rsid w:val="00E77938"/>
    <w:rsid w:val="00EA2624"/>
    <w:rsid w:val="00EA4F50"/>
    <w:rsid w:val="00F22496"/>
    <w:rsid w:val="00F95D51"/>
    <w:rsid w:val="00FD2162"/>
    <w:rsid w:val="00FF5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color w:val="000000"/>
        <w:sz w:val="24"/>
        <w:lang w:val="lt-LT"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67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73392"/>
    <w:pPr>
      <w:ind w:left="720"/>
      <w:contextualSpacing/>
    </w:pPr>
  </w:style>
  <w:style w:type="character" w:styleId="Komentaronuoroda">
    <w:name w:val="annotation reference"/>
    <w:basedOn w:val="Numatytasispastraiposriftas"/>
    <w:uiPriority w:val="99"/>
    <w:semiHidden/>
    <w:unhideWhenUsed/>
    <w:rsid w:val="001222CD"/>
    <w:rPr>
      <w:sz w:val="16"/>
      <w:szCs w:val="16"/>
    </w:rPr>
  </w:style>
  <w:style w:type="paragraph" w:styleId="Komentarotekstas">
    <w:name w:val="annotation text"/>
    <w:basedOn w:val="prastasis"/>
    <w:link w:val="KomentarotekstasDiagrama"/>
    <w:uiPriority w:val="99"/>
    <w:semiHidden/>
    <w:unhideWhenUsed/>
    <w:rsid w:val="001222CD"/>
    <w:rPr>
      <w:sz w:val="20"/>
    </w:rPr>
  </w:style>
  <w:style w:type="character" w:customStyle="1" w:styleId="KomentarotekstasDiagrama">
    <w:name w:val="Komentaro tekstas Diagrama"/>
    <w:basedOn w:val="Numatytasispastraiposriftas"/>
    <w:link w:val="Komentarotekstas"/>
    <w:uiPriority w:val="99"/>
    <w:semiHidden/>
    <w:rsid w:val="001222CD"/>
    <w:rPr>
      <w:sz w:val="20"/>
    </w:rPr>
  </w:style>
  <w:style w:type="paragraph" w:styleId="Komentarotema">
    <w:name w:val="annotation subject"/>
    <w:basedOn w:val="Komentarotekstas"/>
    <w:next w:val="Komentarotekstas"/>
    <w:link w:val="KomentarotemaDiagrama"/>
    <w:uiPriority w:val="99"/>
    <w:semiHidden/>
    <w:unhideWhenUsed/>
    <w:rsid w:val="001222CD"/>
    <w:rPr>
      <w:b/>
      <w:bCs/>
    </w:rPr>
  </w:style>
  <w:style w:type="character" w:customStyle="1" w:styleId="KomentarotemaDiagrama">
    <w:name w:val="Komentaro tema Diagrama"/>
    <w:basedOn w:val="KomentarotekstasDiagrama"/>
    <w:link w:val="Komentarotema"/>
    <w:uiPriority w:val="99"/>
    <w:semiHidden/>
    <w:rsid w:val="001222CD"/>
    <w:rPr>
      <w:b/>
      <w:bCs/>
      <w:sz w:val="20"/>
    </w:rPr>
  </w:style>
  <w:style w:type="paragraph" w:styleId="Debesliotekstas">
    <w:name w:val="Balloon Text"/>
    <w:basedOn w:val="prastasis"/>
    <w:link w:val="DebesliotekstasDiagrama"/>
    <w:uiPriority w:val="99"/>
    <w:semiHidden/>
    <w:unhideWhenUsed/>
    <w:rsid w:val="001222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22CD"/>
    <w:rPr>
      <w:rFonts w:ascii="Tahoma" w:hAnsi="Tahoma" w:cs="Tahoma"/>
      <w:sz w:val="16"/>
      <w:szCs w:val="16"/>
    </w:rPr>
  </w:style>
  <w:style w:type="paragraph" w:styleId="Antrats">
    <w:name w:val="header"/>
    <w:basedOn w:val="prastasis"/>
    <w:link w:val="AntratsDiagrama"/>
    <w:uiPriority w:val="99"/>
    <w:unhideWhenUsed/>
    <w:rsid w:val="0045045A"/>
    <w:pPr>
      <w:tabs>
        <w:tab w:val="center" w:pos="4819"/>
        <w:tab w:val="right" w:pos="9638"/>
      </w:tabs>
    </w:pPr>
  </w:style>
  <w:style w:type="character" w:customStyle="1" w:styleId="AntratsDiagrama">
    <w:name w:val="Antraštės Diagrama"/>
    <w:basedOn w:val="Numatytasispastraiposriftas"/>
    <w:link w:val="Antrats"/>
    <w:uiPriority w:val="99"/>
    <w:rsid w:val="0045045A"/>
  </w:style>
  <w:style w:type="paragraph" w:styleId="Porat">
    <w:name w:val="footer"/>
    <w:basedOn w:val="prastasis"/>
    <w:link w:val="PoratDiagrama"/>
    <w:uiPriority w:val="99"/>
    <w:unhideWhenUsed/>
    <w:rsid w:val="0045045A"/>
    <w:pPr>
      <w:tabs>
        <w:tab w:val="center" w:pos="4819"/>
        <w:tab w:val="right" w:pos="9638"/>
      </w:tabs>
    </w:pPr>
  </w:style>
  <w:style w:type="character" w:customStyle="1" w:styleId="PoratDiagrama">
    <w:name w:val="Poraštė Diagrama"/>
    <w:basedOn w:val="Numatytasispastraiposriftas"/>
    <w:link w:val="Porat"/>
    <w:uiPriority w:val="99"/>
    <w:rsid w:val="00450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color w:val="000000"/>
        <w:sz w:val="24"/>
        <w:lang w:val="lt-LT"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67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73392"/>
    <w:pPr>
      <w:ind w:left="720"/>
      <w:contextualSpacing/>
    </w:pPr>
  </w:style>
  <w:style w:type="character" w:styleId="Komentaronuoroda">
    <w:name w:val="annotation reference"/>
    <w:basedOn w:val="Numatytasispastraiposriftas"/>
    <w:uiPriority w:val="99"/>
    <w:semiHidden/>
    <w:unhideWhenUsed/>
    <w:rsid w:val="001222CD"/>
    <w:rPr>
      <w:sz w:val="16"/>
      <w:szCs w:val="16"/>
    </w:rPr>
  </w:style>
  <w:style w:type="paragraph" w:styleId="Komentarotekstas">
    <w:name w:val="annotation text"/>
    <w:basedOn w:val="prastasis"/>
    <w:link w:val="KomentarotekstasDiagrama"/>
    <w:uiPriority w:val="99"/>
    <w:semiHidden/>
    <w:unhideWhenUsed/>
    <w:rsid w:val="001222CD"/>
    <w:rPr>
      <w:sz w:val="20"/>
    </w:rPr>
  </w:style>
  <w:style w:type="character" w:customStyle="1" w:styleId="KomentarotekstasDiagrama">
    <w:name w:val="Komentaro tekstas Diagrama"/>
    <w:basedOn w:val="Numatytasispastraiposriftas"/>
    <w:link w:val="Komentarotekstas"/>
    <w:uiPriority w:val="99"/>
    <w:semiHidden/>
    <w:rsid w:val="001222CD"/>
    <w:rPr>
      <w:sz w:val="20"/>
    </w:rPr>
  </w:style>
  <w:style w:type="paragraph" w:styleId="Komentarotema">
    <w:name w:val="annotation subject"/>
    <w:basedOn w:val="Komentarotekstas"/>
    <w:next w:val="Komentarotekstas"/>
    <w:link w:val="KomentarotemaDiagrama"/>
    <w:uiPriority w:val="99"/>
    <w:semiHidden/>
    <w:unhideWhenUsed/>
    <w:rsid w:val="001222CD"/>
    <w:rPr>
      <w:b/>
      <w:bCs/>
    </w:rPr>
  </w:style>
  <w:style w:type="character" w:customStyle="1" w:styleId="KomentarotemaDiagrama">
    <w:name w:val="Komentaro tema Diagrama"/>
    <w:basedOn w:val="KomentarotekstasDiagrama"/>
    <w:link w:val="Komentarotema"/>
    <w:uiPriority w:val="99"/>
    <w:semiHidden/>
    <w:rsid w:val="001222CD"/>
    <w:rPr>
      <w:b/>
      <w:bCs/>
      <w:sz w:val="20"/>
    </w:rPr>
  </w:style>
  <w:style w:type="paragraph" w:styleId="Debesliotekstas">
    <w:name w:val="Balloon Text"/>
    <w:basedOn w:val="prastasis"/>
    <w:link w:val="DebesliotekstasDiagrama"/>
    <w:uiPriority w:val="99"/>
    <w:semiHidden/>
    <w:unhideWhenUsed/>
    <w:rsid w:val="001222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22CD"/>
    <w:rPr>
      <w:rFonts w:ascii="Tahoma" w:hAnsi="Tahoma" w:cs="Tahoma"/>
      <w:sz w:val="16"/>
      <w:szCs w:val="16"/>
    </w:rPr>
  </w:style>
  <w:style w:type="paragraph" w:styleId="Antrats">
    <w:name w:val="header"/>
    <w:basedOn w:val="prastasis"/>
    <w:link w:val="AntratsDiagrama"/>
    <w:uiPriority w:val="99"/>
    <w:unhideWhenUsed/>
    <w:rsid w:val="0045045A"/>
    <w:pPr>
      <w:tabs>
        <w:tab w:val="center" w:pos="4819"/>
        <w:tab w:val="right" w:pos="9638"/>
      </w:tabs>
    </w:pPr>
  </w:style>
  <w:style w:type="character" w:customStyle="1" w:styleId="AntratsDiagrama">
    <w:name w:val="Antraštės Diagrama"/>
    <w:basedOn w:val="Numatytasispastraiposriftas"/>
    <w:link w:val="Antrats"/>
    <w:uiPriority w:val="99"/>
    <w:rsid w:val="0045045A"/>
  </w:style>
  <w:style w:type="paragraph" w:styleId="Porat">
    <w:name w:val="footer"/>
    <w:basedOn w:val="prastasis"/>
    <w:link w:val="PoratDiagrama"/>
    <w:uiPriority w:val="99"/>
    <w:unhideWhenUsed/>
    <w:rsid w:val="0045045A"/>
    <w:pPr>
      <w:tabs>
        <w:tab w:val="center" w:pos="4819"/>
        <w:tab w:val="right" w:pos="9638"/>
      </w:tabs>
    </w:pPr>
  </w:style>
  <w:style w:type="character" w:customStyle="1" w:styleId="PoratDiagrama">
    <w:name w:val="Poraštė Diagrama"/>
    <w:basedOn w:val="Numatytasispastraiposriftas"/>
    <w:link w:val="Porat"/>
    <w:uiPriority w:val="99"/>
    <w:rsid w:val="00450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4367</Words>
  <Characters>2490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2020-04-24T06:44:00Z</dcterms:created>
  <dc:creator>Algirdas Ambrazevičius</dc:creator>
  <cp:lastModifiedBy>hp</cp:lastModifiedBy>
  <dcterms:modified xsi:type="dcterms:W3CDTF">2020-04-24T09:55:00Z</dcterms:modified>
  <cp:revision>7</cp:revision>
</cp:coreProperties>
</file>