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AAF0D" w14:textId="77777777" w:rsidR="00706792" w:rsidRDefault="00F359B9">
      <w:pPr>
        <w:pStyle w:val="Standard"/>
        <w:widowControl w:val="0"/>
        <w:ind w:firstLine="567"/>
        <w:jc w:val="center"/>
        <w:rPr>
          <w:rFonts w:hint="eastAsia"/>
        </w:rPr>
      </w:pPr>
      <w:bookmarkStart w:id="0" w:name="_GoBack"/>
      <w:bookmarkEnd w:id="0"/>
      <w:r>
        <w:rPr>
          <w:rFonts w:ascii="Times New Roman" w:hAnsi="Times New Roman"/>
          <w:b/>
          <w:bCs/>
          <w:color w:val="000000"/>
          <w:lang w:eastAsia="lt-LT"/>
        </w:rPr>
        <w:t>LIETUVOS RESPUBLIKOS</w:t>
      </w:r>
    </w:p>
    <w:p w14:paraId="6B1A6F25" w14:textId="7A541953" w:rsidR="00706792" w:rsidRDefault="00F359B9">
      <w:pPr>
        <w:pStyle w:val="Standard"/>
        <w:widowControl w:val="0"/>
        <w:ind w:firstLine="567"/>
        <w:jc w:val="center"/>
        <w:rPr>
          <w:rFonts w:ascii="Times New Roman" w:hAnsi="Times New Roman" w:cs="Times New Roman"/>
          <w:b/>
          <w:bCs/>
          <w:color w:val="000000"/>
          <w:lang w:eastAsia="lt-LT"/>
        </w:rPr>
      </w:pPr>
      <w:r>
        <w:rPr>
          <w:rFonts w:ascii="Times New Roman" w:hAnsi="Times New Roman"/>
          <w:b/>
          <w:bCs/>
          <w:color w:val="000000"/>
          <w:lang w:eastAsia="lt-LT"/>
        </w:rPr>
        <w:t>ADMINISTRACINIŲ NUSIŽENGIMŲ REGISTRO ĮSTATY</w:t>
      </w:r>
      <w:r>
        <w:rPr>
          <w:rFonts w:ascii="Times New Roman" w:hAnsi="Times New Roman" w:cs="Times New Roman"/>
          <w:b/>
          <w:bCs/>
          <w:color w:val="000000"/>
          <w:lang w:eastAsia="lt-LT"/>
        </w:rPr>
        <w:t xml:space="preserve">MO </w:t>
      </w:r>
      <w:r>
        <w:rPr>
          <w:rFonts w:ascii="Times New Roman" w:hAnsi="Times New Roman" w:cs="Times New Roman"/>
          <w:b/>
          <w:color w:val="000000"/>
        </w:rPr>
        <w:t xml:space="preserve">NR. XII-603 </w:t>
      </w:r>
      <w:r>
        <w:rPr>
          <w:rFonts w:ascii="Times New Roman" w:hAnsi="Times New Roman" w:cs="Times New Roman"/>
          <w:b/>
          <w:bCs/>
          <w:color w:val="000000"/>
          <w:lang w:eastAsia="lt-LT"/>
        </w:rPr>
        <w:t>3, 5, 6 IR 7 STRAIPSNIŲ PAKEITIMO ĮSTATYMO PROJEKTO</w:t>
      </w:r>
    </w:p>
    <w:p w14:paraId="7026CE15" w14:textId="77777777" w:rsidR="00706792" w:rsidRDefault="00F359B9">
      <w:pPr>
        <w:pStyle w:val="Standard"/>
        <w:widowControl w:val="0"/>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DERINIMO PAŽYMA</w:t>
      </w:r>
    </w:p>
    <w:p w14:paraId="1BBCEE59" w14:textId="77777777" w:rsidR="00706792" w:rsidRDefault="00706792">
      <w:pPr>
        <w:rPr>
          <w:rFonts w:hint="eastAsia"/>
        </w:rPr>
      </w:pPr>
    </w:p>
    <w:tbl>
      <w:tblPr>
        <w:tblW w:w="14629" w:type="dxa"/>
        <w:tblInd w:w="38" w:type="dxa"/>
        <w:tblBorders>
          <w:top w:val="single" w:sz="2" w:space="0" w:color="000001"/>
          <w:left w:val="single" w:sz="2" w:space="0" w:color="000001"/>
          <w:bottom w:val="single" w:sz="2" w:space="0" w:color="000001"/>
          <w:insideH w:val="single" w:sz="2" w:space="0" w:color="000001"/>
        </w:tblBorders>
        <w:tblCellMar>
          <w:top w:w="55" w:type="dxa"/>
          <w:left w:w="43" w:type="dxa"/>
          <w:bottom w:w="55" w:type="dxa"/>
          <w:right w:w="55" w:type="dxa"/>
        </w:tblCellMar>
        <w:tblLook w:val="04A0" w:firstRow="1" w:lastRow="0" w:firstColumn="1" w:lastColumn="0" w:noHBand="0" w:noVBand="1"/>
      </w:tblPr>
      <w:tblGrid>
        <w:gridCol w:w="3961"/>
        <w:gridCol w:w="5963"/>
        <w:gridCol w:w="4705"/>
      </w:tblGrid>
      <w:tr w:rsidR="00706792" w14:paraId="562BF6B2" w14:textId="77777777" w:rsidTr="009C686A">
        <w:tc>
          <w:tcPr>
            <w:tcW w:w="3961" w:type="dxa"/>
            <w:tcBorders>
              <w:top w:val="single" w:sz="2" w:space="0" w:color="000001"/>
              <w:left w:val="single" w:sz="2" w:space="0" w:color="000001"/>
              <w:bottom w:val="single" w:sz="2" w:space="0" w:color="000001"/>
            </w:tcBorders>
            <w:shd w:val="clear" w:color="auto" w:fill="auto"/>
            <w:tcMar>
              <w:left w:w="43" w:type="dxa"/>
            </w:tcMar>
          </w:tcPr>
          <w:p w14:paraId="32C15168" w14:textId="075C7087" w:rsidR="00706792" w:rsidRDefault="00CD3947">
            <w:pPr>
              <w:pStyle w:val="Lentelsturinys"/>
              <w:jc w:val="center"/>
              <w:rPr>
                <w:rFonts w:hint="eastAsia"/>
              </w:rPr>
            </w:pPr>
            <w:r w:rsidRPr="00F13B32">
              <w:rPr>
                <w:rFonts w:ascii="Times New Roman" w:hAnsi="Times New Roman" w:cs="Times New Roman"/>
                <w:b/>
              </w:rPr>
              <w:t>Institucijos pavadinimas, rašto data ir numeris</w:t>
            </w:r>
          </w:p>
        </w:tc>
        <w:tc>
          <w:tcPr>
            <w:tcW w:w="5963" w:type="dxa"/>
            <w:tcBorders>
              <w:top w:val="single" w:sz="2" w:space="0" w:color="000001"/>
              <w:left w:val="single" w:sz="2" w:space="0" w:color="000001"/>
              <w:bottom w:val="single" w:sz="2" w:space="0" w:color="000001"/>
            </w:tcBorders>
            <w:shd w:val="clear" w:color="auto" w:fill="auto"/>
            <w:tcMar>
              <w:left w:w="43" w:type="dxa"/>
            </w:tcMar>
          </w:tcPr>
          <w:p w14:paraId="3D5CD727" w14:textId="0055A9C3" w:rsidR="00706792" w:rsidRDefault="00CD3947">
            <w:pPr>
              <w:pStyle w:val="Lentelsturinys"/>
              <w:jc w:val="center"/>
              <w:rPr>
                <w:rFonts w:hint="eastAsia"/>
              </w:rPr>
            </w:pPr>
            <w:r w:rsidRPr="00F13B32">
              <w:rPr>
                <w:rFonts w:ascii="Times New Roman" w:hAnsi="Times New Roman" w:cs="Times New Roman"/>
                <w:b/>
              </w:rPr>
              <w:t>Pastabos ir pasiūlymai</w:t>
            </w:r>
          </w:p>
        </w:tc>
        <w:tc>
          <w:tcPr>
            <w:tcW w:w="4705" w:type="dxa"/>
            <w:tcBorders>
              <w:top w:val="single" w:sz="2" w:space="0" w:color="000001"/>
              <w:left w:val="single" w:sz="2" w:space="0" w:color="000001"/>
              <w:bottom w:val="single" w:sz="2" w:space="0" w:color="000001"/>
              <w:right w:val="single" w:sz="2" w:space="0" w:color="000001"/>
            </w:tcBorders>
            <w:shd w:val="clear" w:color="auto" w:fill="auto"/>
            <w:tcMar>
              <w:left w:w="43" w:type="dxa"/>
            </w:tcMar>
          </w:tcPr>
          <w:p w14:paraId="601D5E61" w14:textId="77777777" w:rsidR="00CD3947" w:rsidRDefault="00CD3947" w:rsidP="00CD3947">
            <w:pPr>
              <w:jc w:val="center"/>
              <w:rPr>
                <w:rFonts w:ascii="Times New Roman" w:hAnsi="Times New Roman" w:cs="Times New Roman"/>
                <w:b/>
              </w:rPr>
            </w:pPr>
            <w:r w:rsidRPr="00F13B32">
              <w:rPr>
                <w:rFonts w:ascii="Times New Roman" w:hAnsi="Times New Roman" w:cs="Times New Roman"/>
                <w:b/>
              </w:rPr>
              <w:t>Žyma apie priimtas ar nepriimtas (nurodyti motyvus) pastabas ir pasiū</w:t>
            </w:r>
            <w:r>
              <w:rPr>
                <w:rFonts w:ascii="Times New Roman" w:hAnsi="Times New Roman" w:cs="Times New Roman"/>
                <w:b/>
              </w:rPr>
              <w:t>lymus</w:t>
            </w:r>
          </w:p>
          <w:p w14:paraId="2DB6BAE0" w14:textId="715E5296" w:rsidR="00706792" w:rsidRDefault="00CD3947" w:rsidP="00CD3947">
            <w:pPr>
              <w:pStyle w:val="Lentelsturinys"/>
              <w:jc w:val="center"/>
              <w:rPr>
                <w:rFonts w:hint="eastAsia"/>
              </w:rPr>
            </w:pPr>
            <w:r w:rsidRPr="00F13B32">
              <w:rPr>
                <w:rFonts w:ascii="Times New Roman" w:hAnsi="Times New Roman" w:cs="Times New Roman"/>
                <w:b/>
              </w:rPr>
              <w:t>(pildo projekto pateikėjas)</w:t>
            </w:r>
          </w:p>
        </w:tc>
      </w:tr>
      <w:tr w:rsidR="00706792" w14:paraId="463ABBB7" w14:textId="77777777" w:rsidTr="009C686A">
        <w:trPr>
          <w:trHeight w:val="1650"/>
        </w:trPr>
        <w:tc>
          <w:tcPr>
            <w:tcW w:w="3961" w:type="dxa"/>
            <w:tcBorders>
              <w:top w:val="single" w:sz="2" w:space="0" w:color="000001"/>
              <w:left w:val="single" w:sz="2" w:space="0" w:color="000001"/>
              <w:bottom w:val="single" w:sz="2" w:space="0" w:color="000001"/>
            </w:tcBorders>
            <w:shd w:val="clear" w:color="auto" w:fill="auto"/>
            <w:tcMar>
              <w:left w:w="43" w:type="dxa"/>
            </w:tcMar>
          </w:tcPr>
          <w:p w14:paraId="6FA3E3E7" w14:textId="0E074914" w:rsidR="00706792" w:rsidRPr="00CD3947" w:rsidRDefault="00F359B9">
            <w:pPr>
              <w:pStyle w:val="Lentelsturinys"/>
              <w:rPr>
                <w:rFonts w:hint="eastAsia"/>
              </w:rPr>
            </w:pPr>
            <w:r w:rsidRPr="00E27039">
              <w:rPr>
                <w:rFonts w:ascii="Times New Roman" w:hAnsi="Times New Roman"/>
                <w:bCs/>
              </w:rPr>
              <w:t>Lietuvos Respublikos ryšių reguliavimo tarnyb</w:t>
            </w:r>
            <w:r w:rsidR="00CD3947">
              <w:rPr>
                <w:rFonts w:ascii="Times New Roman" w:hAnsi="Times New Roman"/>
                <w:bCs/>
              </w:rPr>
              <w:t xml:space="preserve">os </w:t>
            </w:r>
            <w:r w:rsidRPr="00E27039">
              <w:rPr>
                <w:rFonts w:ascii="Times New Roman" w:hAnsi="Times New Roman"/>
                <w:bCs/>
              </w:rPr>
              <w:t xml:space="preserve">2019-05-20 </w:t>
            </w:r>
            <w:r w:rsidR="00CD3947">
              <w:rPr>
                <w:rFonts w:ascii="Times New Roman" w:hAnsi="Times New Roman"/>
                <w:bCs/>
              </w:rPr>
              <w:t xml:space="preserve">raštas </w:t>
            </w:r>
            <w:r w:rsidRPr="00E27039">
              <w:rPr>
                <w:rFonts w:ascii="Times New Roman" w:hAnsi="Times New Roman"/>
                <w:bCs/>
              </w:rPr>
              <w:t>Nr.</w:t>
            </w:r>
            <w:r w:rsidR="00CD3947">
              <w:rPr>
                <w:rFonts w:ascii="Times New Roman" w:hAnsi="Times New Roman"/>
                <w:bCs/>
              </w:rPr>
              <w:t> </w:t>
            </w:r>
            <w:r w:rsidRPr="00E27039">
              <w:rPr>
                <w:rFonts w:ascii="Times New Roman" w:hAnsi="Times New Roman"/>
                <w:bCs/>
              </w:rPr>
              <w:t>(37.2)1B-1571</w:t>
            </w:r>
          </w:p>
        </w:tc>
        <w:tc>
          <w:tcPr>
            <w:tcW w:w="5963" w:type="dxa"/>
            <w:tcBorders>
              <w:top w:val="single" w:sz="2" w:space="0" w:color="000001"/>
              <w:left w:val="single" w:sz="2" w:space="0" w:color="000001"/>
              <w:bottom w:val="single" w:sz="4" w:space="0" w:color="00000A"/>
            </w:tcBorders>
            <w:shd w:val="clear" w:color="auto" w:fill="auto"/>
            <w:tcMar>
              <w:left w:w="43" w:type="dxa"/>
            </w:tcMar>
          </w:tcPr>
          <w:p w14:paraId="7D6AFB91" w14:textId="77777777" w:rsidR="00706792" w:rsidRDefault="00F359B9">
            <w:pPr>
              <w:pStyle w:val="Lentelsturinys"/>
              <w:jc w:val="both"/>
              <w:rPr>
                <w:rFonts w:hint="eastAsia"/>
              </w:rPr>
            </w:pPr>
            <w:r>
              <w:rPr>
                <w:rFonts w:ascii="Times New Roman" w:eastAsia="Calibri" w:hAnsi="Times New Roman"/>
              </w:rPr>
              <w:t>1. Projekto 1 straipsniu</w:t>
            </w:r>
            <w:r>
              <w:rPr>
                <w:rFonts w:ascii="Times New Roman" w:eastAsia="Calibri" w:hAnsi="Times New Roman"/>
                <w:bCs/>
              </w:rPr>
              <w:t xml:space="preserve"> siūloma pakeisti Lietuvos Respublikos administracinių nusižengimų registro įstatymo (toliau </w:t>
            </w:r>
            <w:r>
              <w:rPr>
                <w:rFonts w:ascii="Times New Roman" w:eastAsia="Calibri" w:hAnsi="Times New Roman"/>
              </w:rPr>
              <w:t xml:space="preserve">– Įstatymas) </w:t>
            </w:r>
            <w:r>
              <w:rPr>
                <w:rFonts w:ascii="Times New Roman" w:eastAsia="Calibri" w:hAnsi="Times New Roman"/>
                <w:bCs/>
              </w:rPr>
              <w:t xml:space="preserve">3 straipsnio 1 dalį, nurodant, kad Administracinių nusižengimų registro (toliau </w:t>
            </w:r>
            <w:bookmarkStart w:id="1" w:name="_Hlk8896045"/>
            <w:r>
              <w:rPr>
                <w:rFonts w:ascii="Times New Roman" w:eastAsia="Calibri" w:hAnsi="Times New Roman"/>
              </w:rPr>
              <w:t>–</w:t>
            </w:r>
            <w:bookmarkEnd w:id="1"/>
            <w:r>
              <w:rPr>
                <w:rFonts w:ascii="Times New Roman" w:eastAsia="Calibri" w:hAnsi="Times New Roman"/>
              </w:rPr>
              <w:t xml:space="preserve"> Registras) </w:t>
            </w:r>
            <w:r>
              <w:rPr>
                <w:rFonts w:ascii="Times New Roman" w:eastAsia="Calibri" w:hAnsi="Times New Roman"/>
                <w:bCs/>
              </w:rPr>
              <w:t xml:space="preserve">objektais yra ir „Europos Sąjungos teisės aktų, įstatymų ir jų pagrindu priimtų kitų teisės aktų (toliau </w:t>
            </w:r>
            <w:r>
              <w:rPr>
                <w:rFonts w:ascii="Times New Roman" w:eastAsia="Calibri" w:hAnsi="Times New Roman"/>
              </w:rPr>
              <w:t xml:space="preserve">– Specialieji teisės aktai) nustatyta tvarka užfiksuoti ūkio subjektų padaryti teisės pažeidimai, už kuriuos priežiūros institucijos </w:t>
            </w:r>
            <w:r>
              <w:rPr>
                <w:rFonts w:ascii="Times New Roman" w:eastAsia="Calibri" w:hAnsi="Times New Roman"/>
                <w:i/>
              </w:rPr>
              <w:t>skiria</w:t>
            </w:r>
            <w:r>
              <w:rPr>
                <w:rFonts w:ascii="Times New Roman" w:eastAsia="Calibri" w:hAnsi="Times New Roman"/>
              </w:rPr>
              <w:t xml:space="preserve"> ūkio subjektams Specialiuose teisės aktuose nustatytas poveikio priemones“. Minėtoje nuostatoje vartojamas žodis „skiria“ sietinas su poveikio priemonių skyrimo procesu, o ne rezultatu, ir suponuoja, kad įsigaliojus Projektui, Registro objektu taptų tie teisės pažeidimai, už kuriuos poveikio priemonių skyrimo procedūra dar nėra baigta, t. y. už kuriuos poveikio priemonės dar nepaskirtos. Pastebėtina, kad poveikio priemonių skyrimo procedūra gali baigtis ir tuo, kad įvertinus visas aplinkybes, pažeidimo sudėtis nebus nustatyta ir poveikio priemonė nebus paskirta. Atitinkamai manytina, kad tokios informacijos kaupimas Registre nėra tikslingas. </w:t>
            </w:r>
            <w:bookmarkStart w:id="2" w:name="_Hlk8895635"/>
            <w:r>
              <w:rPr>
                <w:rFonts w:ascii="Times New Roman" w:eastAsia="Calibri" w:hAnsi="Times New Roman"/>
              </w:rPr>
              <w:t xml:space="preserve">Projekto </w:t>
            </w:r>
            <w:bookmarkEnd w:id="2"/>
            <w:r>
              <w:rPr>
                <w:rFonts w:ascii="Times New Roman" w:eastAsia="Calibri" w:hAnsi="Times New Roman"/>
              </w:rPr>
              <w:t xml:space="preserve">aiškinamajame rašte nurodoma, kad Projekto tikslas </w:t>
            </w:r>
            <w:bookmarkStart w:id="3" w:name="_Hlk8975899"/>
            <w:r>
              <w:rPr>
                <w:rFonts w:ascii="Times New Roman" w:eastAsia="Calibri" w:hAnsi="Times New Roman"/>
              </w:rPr>
              <w:t>–</w:t>
            </w:r>
            <w:bookmarkEnd w:id="3"/>
            <w:r>
              <w:rPr>
                <w:rFonts w:ascii="Times New Roman" w:eastAsia="Calibri" w:hAnsi="Times New Roman"/>
              </w:rPr>
              <w:t xml:space="preserve"> užtikrinti, kad Registre būtų kaupiama ir informacija „apie Specialiųjų teisės aktų nustatyta tvarka užfiksuotus ūkio subjektų padarytus teisės pažeidimus ir ūkio subjektams </w:t>
            </w:r>
            <w:r>
              <w:rPr>
                <w:rFonts w:ascii="Times New Roman" w:eastAsia="Calibri" w:hAnsi="Times New Roman"/>
                <w:i/>
              </w:rPr>
              <w:t>skirtas</w:t>
            </w:r>
            <w:r>
              <w:rPr>
                <w:rFonts w:ascii="Times New Roman" w:eastAsia="Calibri" w:hAnsi="Times New Roman"/>
              </w:rPr>
              <w:t xml:space="preserve"> poveikio priemones“. Tai leidžia manyti, kad Registro objektu turi tapti tik tie teisės pažeidimai, už kuriuos priežiūros institucijos ūkio subjektams jau yra paskyrusios </w:t>
            </w:r>
            <w:r>
              <w:rPr>
                <w:rFonts w:ascii="Times New Roman" w:eastAsia="Calibri" w:hAnsi="Times New Roman"/>
              </w:rPr>
              <w:lastRenderedPageBreak/>
              <w:t xml:space="preserve">poveikio priemones. Atsižvelgiant į tai ir siekiant užtikrinti teisinio reguliavimo aiškumą, siūlytina patikslinti Projekto 1 straipsniu keičiamą Įstatymo 3 straipsnio 1 dalies 2 punktą, nurodant, kad Registro objektu yra „teisės pažeidimai, už kuriuos priežiūros institucijos </w:t>
            </w:r>
            <w:r>
              <w:rPr>
                <w:rFonts w:ascii="Times New Roman" w:eastAsia="Calibri" w:hAnsi="Times New Roman"/>
                <w:i/>
              </w:rPr>
              <w:t>paskyrė</w:t>
            </w:r>
            <w:r>
              <w:rPr>
                <w:rFonts w:ascii="Times New Roman" w:eastAsia="Calibri" w:hAnsi="Times New Roman"/>
              </w:rPr>
              <w:t xml:space="preserve"> ūkio subjektams &lt;...&gt; poveikio priemones“.</w:t>
            </w:r>
          </w:p>
        </w:tc>
        <w:tc>
          <w:tcPr>
            <w:tcW w:w="4705" w:type="dxa"/>
            <w:tcBorders>
              <w:top w:val="single" w:sz="2" w:space="0" w:color="000001"/>
              <w:left w:val="single" w:sz="2" w:space="0" w:color="000001"/>
              <w:bottom w:val="single" w:sz="4" w:space="0" w:color="00000A"/>
              <w:right w:val="single" w:sz="2" w:space="0" w:color="000001"/>
            </w:tcBorders>
            <w:shd w:val="clear" w:color="auto" w:fill="auto"/>
            <w:tcMar>
              <w:left w:w="43" w:type="dxa"/>
            </w:tcMar>
          </w:tcPr>
          <w:p w14:paraId="0C41E430" w14:textId="77777777" w:rsidR="00706792" w:rsidRDefault="00952BD8">
            <w:pPr>
              <w:pStyle w:val="Lentelsturinys"/>
              <w:jc w:val="both"/>
              <w:rPr>
                <w:rFonts w:hint="eastAsia"/>
              </w:rPr>
            </w:pPr>
            <w:r>
              <w:rPr>
                <w:rFonts w:ascii="Times New Roman" w:hAnsi="Times New Roman"/>
                <w:b/>
                <w:bCs/>
              </w:rPr>
              <w:lastRenderedPageBreak/>
              <w:t>Neatsižvelgta</w:t>
            </w:r>
            <w:r w:rsidR="00F359B9">
              <w:rPr>
                <w:rFonts w:ascii="Times New Roman" w:hAnsi="Times New Roman"/>
                <w:b/>
                <w:bCs/>
              </w:rPr>
              <w:t>.</w:t>
            </w:r>
          </w:p>
          <w:p w14:paraId="56DBB850" w14:textId="488B34AB" w:rsidR="00706792" w:rsidRPr="00EB610B" w:rsidRDefault="00F359B9">
            <w:pPr>
              <w:pStyle w:val="Lentelsturinys"/>
              <w:jc w:val="both"/>
              <w:rPr>
                <w:rFonts w:hint="eastAsia"/>
              </w:rPr>
            </w:pPr>
            <w:r w:rsidRPr="00843903">
              <w:rPr>
                <w:rFonts w:ascii="Times New Roman" w:hAnsi="Times New Roman"/>
                <w:bCs/>
              </w:rPr>
              <w:t>Lietuvos Respublikos administracinių nusižengimų registro įstatymo projektu siūloma nustatyti, kad Administracinių nusižengimų registro objektas yra Euro</w:t>
            </w:r>
            <w:r w:rsidR="00952BD8" w:rsidRPr="00843903">
              <w:rPr>
                <w:rFonts w:ascii="Times New Roman" w:hAnsi="Times New Roman"/>
                <w:bCs/>
              </w:rPr>
              <w:t>pos Sąjungos teisės aktų ir</w:t>
            </w:r>
            <w:r w:rsidRPr="00843903">
              <w:rPr>
                <w:rFonts w:ascii="Times New Roman" w:hAnsi="Times New Roman"/>
                <w:bCs/>
              </w:rPr>
              <w:t xml:space="preserve"> įstatymų (toliau – Specialieji teisės aktai) nustatyta tvarka užfiksuoti ūkio subjektų padaryti teisės pažeidimai, už kuriuos priežiūros institucijos skiria ūkio subjektams Specialiuose teisės aktuose nustatytas </w:t>
            </w:r>
            <w:r w:rsidRPr="00843903">
              <w:rPr>
                <w:rFonts w:ascii="Times New Roman" w:hAnsi="Times New Roman"/>
                <w:bCs/>
                <w:color w:val="000000"/>
                <w:lang w:eastAsia="lt-LT"/>
              </w:rPr>
              <w:t>poveikio priemones</w:t>
            </w:r>
            <w:r w:rsidRPr="00843903">
              <w:rPr>
                <w:rFonts w:ascii="Times New Roman" w:hAnsi="Times New Roman"/>
                <w:bCs/>
              </w:rPr>
              <w:t xml:space="preserve">. Analizuojant šią sąvoką būtų klaidinga remtis </w:t>
            </w:r>
            <w:r w:rsidR="00952BD8" w:rsidRPr="00843903">
              <w:rPr>
                <w:rFonts w:ascii="Times New Roman" w:hAnsi="Times New Roman"/>
                <w:bCs/>
              </w:rPr>
              <w:t xml:space="preserve">tik </w:t>
            </w:r>
            <w:r w:rsidRPr="00843903">
              <w:rPr>
                <w:rFonts w:ascii="Times New Roman" w:hAnsi="Times New Roman"/>
                <w:bCs/>
              </w:rPr>
              <w:t xml:space="preserve">viena jos dalimi (skiria), nes ją sudaro du elementai: </w:t>
            </w:r>
            <w:r w:rsidRPr="00E27039">
              <w:rPr>
                <w:rFonts w:ascii="Times New Roman" w:hAnsi="Times New Roman"/>
                <w:bCs/>
              </w:rPr>
              <w:t>1)</w:t>
            </w:r>
            <w:r w:rsidRPr="00843903">
              <w:rPr>
                <w:rFonts w:ascii="Times New Roman" w:hAnsi="Times New Roman"/>
                <w:bCs/>
              </w:rPr>
              <w:t xml:space="preserve"> užfiksuoti </w:t>
            </w:r>
            <w:r w:rsidRPr="00E27039">
              <w:rPr>
                <w:rFonts w:ascii="Times New Roman" w:hAnsi="Times New Roman"/>
                <w:bCs/>
              </w:rPr>
              <w:t>ir 2</w:t>
            </w:r>
            <w:r w:rsidRPr="00843903">
              <w:rPr>
                <w:rFonts w:ascii="Times New Roman" w:hAnsi="Times New Roman"/>
                <w:bCs/>
              </w:rPr>
              <w:t xml:space="preserve">) </w:t>
            </w:r>
            <w:r w:rsidRPr="00E27039">
              <w:rPr>
                <w:rFonts w:ascii="Times New Roman" w:hAnsi="Times New Roman"/>
                <w:bCs/>
              </w:rPr>
              <w:t>skirti</w:t>
            </w:r>
            <w:r w:rsidRPr="00843903">
              <w:rPr>
                <w:rFonts w:ascii="Times New Roman" w:hAnsi="Times New Roman"/>
                <w:bCs/>
              </w:rPr>
              <w:t xml:space="preserve">. </w:t>
            </w:r>
            <w:r w:rsidR="00550E4C">
              <w:rPr>
                <w:rFonts w:ascii="Times New Roman" w:hAnsi="Times New Roman"/>
                <w:bCs/>
              </w:rPr>
              <w:t xml:space="preserve">Registre kaupiami duomenys pradedant pažeidimo padarymo faktu ir baigiant </w:t>
            </w:r>
            <w:r w:rsidR="005E1A9F">
              <w:rPr>
                <w:rFonts w:ascii="Times New Roman" w:hAnsi="Times New Roman"/>
                <w:bCs/>
              </w:rPr>
              <w:t xml:space="preserve">nuobaudos įvykdymu, Registre </w:t>
            </w:r>
            <w:r w:rsidR="00550E4C">
              <w:rPr>
                <w:rFonts w:ascii="Times New Roman" w:hAnsi="Times New Roman"/>
                <w:bCs/>
              </w:rPr>
              <w:t>sukurtos priemonės</w:t>
            </w:r>
            <w:r w:rsidR="005E1A9F">
              <w:rPr>
                <w:rFonts w:ascii="Times New Roman" w:hAnsi="Times New Roman"/>
                <w:bCs/>
              </w:rPr>
              <w:t xml:space="preserve"> </w:t>
            </w:r>
            <w:r w:rsidR="00550E4C">
              <w:rPr>
                <w:rFonts w:ascii="Times New Roman" w:hAnsi="Times New Roman"/>
                <w:bCs/>
              </w:rPr>
              <w:t>administracinių nusižengimo bylų tyrimo</w:t>
            </w:r>
            <w:r w:rsidR="005E1A9F">
              <w:rPr>
                <w:rFonts w:ascii="Times New Roman" w:hAnsi="Times New Roman"/>
                <w:bCs/>
              </w:rPr>
              <w:t xml:space="preserve"> veiksmam</w:t>
            </w:r>
            <w:r w:rsidR="00550E4C">
              <w:rPr>
                <w:rFonts w:ascii="Times New Roman" w:hAnsi="Times New Roman"/>
                <w:bCs/>
              </w:rPr>
              <w:t>s</w:t>
            </w:r>
            <w:r w:rsidR="005E1A9F">
              <w:rPr>
                <w:rFonts w:ascii="Times New Roman" w:hAnsi="Times New Roman"/>
                <w:bCs/>
              </w:rPr>
              <w:t xml:space="preserve"> atlikti</w:t>
            </w:r>
            <w:r w:rsidR="00550E4C">
              <w:rPr>
                <w:rFonts w:ascii="Times New Roman" w:hAnsi="Times New Roman"/>
                <w:bCs/>
              </w:rPr>
              <w:t>,</w:t>
            </w:r>
            <w:r w:rsidR="005E1A9F">
              <w:rPr>
                <w:rFonts w:ascii="Times New Roman" w:hAnsi="Times New Roman"/>
                <w:bCs/>
              </w:rPr>
              <w:t xml:space="preserve"> atitinkamos priemonės bus sukurtos ūkio subjektų padarytiems teisės pažeidimams tirti.</w:t>
            </w:r>
            <w:r w:rsidR="00550E4C">
              <w:rPr>
                <w:rFonts w:ascii="Times New Roman" w:hAnsi="Times New Roman"/>
                <w:bCs/>
              </w:rPr>
              <w:t xml:space="preserve"> </w:t>
            </w:r>
          </w:p>
        </w:tc>
      </w:tr>
      <w:tr w:rsidR="00706792" w14:paraId="396A9D90" w14:textId="77777777" w:rsidTr="009C686A">
        <w:tc>
          <w:tcPr>
            <w:tcW w:w="3961" w:type="dxa"/>
            <w:tcBorders>
              <w:top w:val="single" w:sz="2" w:space="0" w:color="000001"/>
              <w:left w:val="single" w:sz="2" w:space="0" w:color="000001"/>
              <w:bottom w:val="single" w:sz="2" w:space="0" w:color="000001"/>
            </w:tcBorders>
            <w:shd w:val="clear" w:color="auto" w:fill="auto"/>
            <w:tcMar>
              <w:left w:w="43" w:type="dxa"/>
            </w:tcMar>
          </w:tcPr>
          <w:p w14:paraId="4CCF9142" w14:textId="1F706B00" w:rsidR="00706792" w:rsidRPr="00CD3947" w:rsidRDefault="00F359B9">
            <w:pPr>
              <w:pStyle w:val="Lentelsturinys"/>
              <w:rPr>
                <w:rFonts w:hint="eastAsia"/>
              </w:rPr>
            </w:pPr>
            <w:r w:rsidRPr="00E27039">
              <w:rPr>
                <w:rFonts w:ascii="Times New Roman" w:hAnsi="Times New Roman"/>
                <w:bCs/>
              </w:rPr>
              <w:t>Lietuvos banko teisės skyri</w:t>
            </w:r>
            <w:r w:rsidR="00CD3947">
              <w:rPr>
                <w:rFonts w:ascii="Times New Roman" w:hAnsi="Times New Roman"/>
                <w:bCs/>
              </w:rPr>
              <w:t>a</w:t>
            </w:r>
            <w:r w:rsidRPr="00E27039">
              <w:rPr>
                <w:rFonts w:ascii="Times New Roman" w:hAnsi="Times New Roman"/>
                <w:bCs/>
              </w:rPr>
              <w:t xml:space="preserve">us </w:t>
            </w:r>
            <w:r w:rsidR="00CD3947" w:rsidRPr="002C1D28">
              <w:rPr>
                <w:rFonts w:ascii="Times New Roman" w:hAnsi="Times New Roman"/>
                <w:bCs/>
              </w:rPr>
              <w:t xml:space="preserve">2019-05-15 </w:t>
            </w:r>
            <w:r w:rsidR="00CD3947">
              <w:rPr>
                <w:rFonts w:ascii="Times New Roman" w:hAnsi="Times New Roman"/>
                <w:bCs/>
              </w:rPr>
              <w:t xml:space="preserve">raštas </w:t>
            </w:r>
            <w:r w:rsidRPr="00E27039">
              <w:rPr>
                <w:rFonts w:ascii="Times New Roman" w:hAnsi="Times New Roman"/>
                <w:bCs/>
              </w:rPr>
              <w:t>Nr. S 2019/(4.4-0400)-12-2602</w:t>
            </w:r>
          </w:p>
        </w:tc>
        <w:tc>
          <w:tcPr>
            <w:tcW w:w="5963" w:type="dxa"/>
            <w:tcBorders>
              <w:top w:val="single" w:sz="2" w:space="0" w:color="000001"/>
              <w:left w:val="single" w:sz="2" w:space="0" w:color="000001"/>
              <w:bottom w:val="single" w:sz="2" w:space="0" w:color="000001"/>
            </w:tcBorders>
            <w:shd w:val="clear" w:color="auto" w:fill="auto"/>
            <w:tcMar>
              <w:left w:w="43" w:type="dxa"/>
            </w:tcMar>
          </w:tcPr>
          <w:p w14:paraId="52046126" w14:textId="77777777" w:rsidR="00706792" w:rsidRDefault="00F359B9">
            <w:pPr>
              <w:ind w:firstLine="339"/>
              <w:jc w:val="both"/>
              <w:rPr>
                <w:rFonts w:hint="eastAsia"/>
              </w:rPr>
            </w:pPr>
            <w:r>
              <w:rPr>
                <w:rFonts w:ascii="Times New Roman" w:hAnsi="Times New Roman"/>
              </w:rPr>
              <w:t>Siūlomais teisinio reglamentavimo pakeitimais siekiama valstybės mastu centralizuotai Administracinių nusižengimų registre kaupti informaciją ne tik apie administracinius nusižengimus, bet ir apie specialiųjų teisės aktų nustatyta tvarka užfiksuotus ūkio subjektų padarytus teisės pažeidimus ir ūkio subjektams skirtas poveikio priemones. Tada visa informacija apie pažeidimus, kurie savo esme sudaro administracinės atsakomybės turinį, būtų kaupiama ir tvarkoma vienoje vietoje, tai sudarytų prielaidas ir suteiktų galimybę minėtus pažeidimus patogiai administruoti elektroninėmis priemonėmis (leistų tvarkyti apskaitą, sugretinti paskirtas sankcijas su mokėjimais ir pan.), taip pat leistų efektyviai panaudoti informaciją institucijų funkcijoms vykdyti.</w:t>
            </w:r>
          </w:p>
          <w:p w14:paraId="0D0FD649" w14:textId="77777777" w:rsidR="00706792" w:rsidRDefault="00F359B9">
            <w:pPr>
              <w:ind w:firstLine="720"/>
              <w:jc w:val="both"/>
              <w:rPr>
                <w:rFonts w:hint="eastAsia"/>
              </w:rPr>
            </w:pPr>
            <w:r>
              <w:rPr>
                <w:rFonts w:ascii="Times New Roman" w:hAnsi="Times New Roman"/>
              </w:rPr>
              <w:t>Lietuvos bankas norėtų atkreipti dėmesį į tai, kad specialiaisiais finansų rinką reguliuojančiais įstatymais poveikio priemonių taikymo galimybė numatyta ne tik ūkio subjektams (finansų rinkos dalyviams ir kitiems juridiniams asmenims), bet ir finansų rinkos dalyvių vadovams ar kitiems už pažeidimą atsakingiems fiziniams asmenims (žr., pvz., Lietuvos Respublikos bankų įstatymo 74 str. 1 d. 2 p., Lietuvos Respublikos draudimo įstatymo 208 str. 1 d. 2 p., Lietuvos Respublikos mokėjimo įstaigų įstatymo 31 str. 1 d. 2 p. ir kt.).</w:t>
            </w:r>
          </w:p>
          <w:p w14:paraId="339C5C14" w14:textId="77777777" w:rsidR="00706792" w:rsidRDefault="00F359B9">
            <w:pPr>
              <w:pStyle w:val="Standard"/>
              <w:spacing w:line="276" w:lineRule="auto"/>
              <w:ind w:firstLine="720"/>
              <w:jc w:val="both"/>
              <w:rPr>
                <w:rFonts w:hint="eastAsia"/>
              </w:rPr>
            </w:pPr>
            <w:r>
              <w:rPr>
                <w:rFonts w:ascii="Times New Roman" w:hAnsi="Times New Roman"/>
              </w:rPr>
              <w:t xml:space="preserve">Siūlytume apsvarstyti galimybę registre kaupti ir informaciją apie specialiųjų teisės aktų nustatyta tvarka </w:t>
            </w:r>
            <w:r>
              <w:rPr>
                <w:rFonts w:ascii="Times New Roman" w:hAnsi="Times New Roman"/>
              </w:rPr>
              <w:lastRenderedPageBreak/>
              <w:t>užfiksuotus fizinių asmenų padarytus teisės pažeidimus arba paaiškinti, kodėl to nėra siekiama.</w:t>
            </w:r>
          </w:p>
        </w:tc>
        <w:tc>
          <w:tcPr>
            <w:tcW w:w="4705" w:type="dxa"/>
            <w:tcBorders>
              <w:top w:val="single" w:sz="2" w:space="0" w:color="000001"/>
              <w:left w:val="single" w:sz="2" w:space="0" w:color="000001"/>
              <w:bottom w:val="single" w:sz="2" w:space="0" w:color="000001"/>
              <w:right w:val="single" w:sz="2" w:space="0" w:color="000001"/>
            </w:tcBorders>
            <w:shd w:val="clear" w:color="auto" w:fill="auto"/>
            <w:tcMar>
              <w:left w:w="43" w:type="dxa"/>
            </w:tcMar>
          </w:tcPr>
          <w:p w14:paraId="10852F87" w14:textId="7BB6FE26" w:rsidR="00706792" w:rsidRDefault="00EB610B">
            <w:pPr>
              <w:pStyle w:val="Lentelsturinys"/>
              <w:jc w:val="both"/>
              <w:rPr>
                <w:rFonts w:hint="eastAsia"/>
              </w:rPr>
            </w:pPr>
            <w:r>
              <w:rPr>
                <w:rFonts w:ascii="Times New Roman" w:hAnsi="Times New Roman"/>
                <w:b/>
                <w:bCs/>
              </w:rPr>
              <w:lastRenderedPageBreak/>
              <w:t>Paaiškinimas</w:t>
            </w:r>
            <w:r w:rsidR="00F359B9">
              <w:rPr>
                <w:rFonts w:ascii="Times New Roman" w:hAnsi="Times New Roman"/>
                <w:b/>
                <w:bCs/>
              </w:rPr>
              <w:t>.</w:t>
            </w:r>
          </w:p>
          <w:p w14:paraId="607D13BA" w14:textId="56D2E9FF" w:rsidR="00706792" w:rsidRDefault="00F359B9">
            <w:pPr>
              <w:pStyle w:val="Lentelsturinys"/>
              <w:jc w:val="both"/>
              <w:rPr>
                <w:rFonts w:hint="eastAsia"/>
              </w:rPr>
            </w:pPr>
            <w:r w:rsidRPr="00843903">
              <w:rPr>
                <w:rFonts w:ascii="Times New Roman" w:hAnsi="Times New Roman"/>
                <w:bCs/>
              </w:rPr>
              <w:t>Iš esmės teisės aktai nenumato galimybės fiziniam asmeniu</w:t>
            </w:r>
            <w:r w:rsidR="00CD3947">
              <w:rPr>
                <w:rFonts w:ascii="Times New Roman" w:hAnsi="Times New Roman"/>
                <w:bCs/>
              </w:rPr>
              <w:t>i</w:t>
            </w:r>
            <w:r w:rsidRPr="00843903">
              <w:rPr>
                <w:rFonts w:ascii="Times New Roman" w:hAnsi="Times New Roman"/>
                <w:bCs/>
              </w:rPr>
              <w:t>, kuris nevykdo jokios ūkinės ar komercinės veiklos</w:t>
            </w:r>
            <w:r w:rsidR="00CB7FCD" w:rsidRPr="00843903">
              <w:rPr>
                <w:rFonts w:ascii="Times New Roman" w:hAnsi="Times New Roman"/>
                <w:bCs/>
              </w:rPr>
              <w:t>,</w:t>
            </w:r>
            <w:r w:rsidRPr="00843903">
              <w:rPr>
                <w:rFonts w:ascii="Times New Roman" w:hAnsi="Times New Roman"/>
                <w:bCs/>
              </w:rPr>
              <w:t xml:space="preserve"> skirti ekonominių sankcijų. Šiame </w:t>
            </w:r>
            <w:r w:rsidR="00CB7FCD" w:rsidRPr="00843903">
              <w:rPr>
                <w:rFonts w:ascii="Times New Roman" w:hAnsi="Times New Roman"/>
                <w:bCs/>
              </w:rPr>
              <w:t xml:space="preserve">įstatymo </w:t>
            </w:r>
            <w:r w:rsidRPr="00843903">
              <w:rPr>
                <w:rFonts w:ascii="Times New Roman" w:hAnsi="Times New Roman"/>
                <w:bCs/>
              </w:rPr>
              <w:t xml:space="preserve">projekte ūkio subjektai suprantami </w:t>
            </w:r>
            <w:r w:rsidR="00CB7FCD" w:rsidRPr="00843903">
              <w:rPr>
                <w:rFonts w:ascii="Times New Roman" w:hAnsi="Times New Roman"/>
                <w:bCs/>
              </w:rPr>
              <w:t>kaip juridiniai ir fiziniai asmenys taip, kaip nustatyta</w:t>
            </w:r>
            <w:r w:rsidR="00CB7FCD" w:rsidRPr="00EB610B">
              <w:t xml:space="preserve"> </w:t>
            </w:r>
            <w:r w:rsidRPr="00843903">
              <w:rPr>
                <w:rFonts w:ascii="Times New Roman" w:hAnsi="Times New Roman"/>
                <w:bCs/>
              </w:rPr>
              <w:t>Lietuvos Respublikos viešojo administravimo įstatym</w:t>
            </w:r>
            <w:r w:rsidR="00CB7FCD" w:rsidRPr="00843903">
              <w:rPr>
                <w:rFonts w:ascii="Times New Roman" w:hAnsi="Times New Roman"/>
                <w:bCs/>
              </w:rPr>
              <w:t>e (</w:t>
            </w:r>
            <w:r w:rsidR="00CD3947">
              <w:rPr>
                <w:rFonts w:ascii="Times New Roman" w:hAnsi="Times New Roman"/>
                <w:bCs/>
                <w:color w:val="000000"/>
              </w:rPr>
              <w:t>ū</w:t>
            </w:r>
            <w:r w:rsidRPr="00843903">
              <w:rPr>
                <w:rFonts w:ascii="Times New Roman" w:hAnsi="Times New Roman"/>
                <w:bCs/>
                <w:color w:val="000000"/>
              </w:rPr>
              <w:t xml:space="preserve">kio subjektas – </w:t>
            </w:r>
            <w:r w:rsidRPr="00EB610B">
              <w:rPr>
                <w:rFonts w:ascii="Times New Roman" w:hAnsi="Times New Roman"/>
                <w:bCs/>
                <w:color w:val="000000"/>
              </w:rPr>
              <w:t xml:space="preserve">fizinis ar juridinis asmuo arba kita organizacija, juridinio asmens ar kitos organizacijos filialas, Lietuvos Respublikos teritorijoje vykdantis teisės aktų reglamentuojamą ūkinę veiklą, kurią prižiūri šio ir </w:t>
            </w:r>
            <w:r w:rsidRPr="00843903">
              <w:rPr>
                <w:rFonts w:ascii="Times New Roman" w:hAnsi="Times New Roman"/>
                <w:bCs/>
                <w:color w:val="000000"/>
              </w:rPr>
              <w:t>kitų įstatymų nustatyta tvarka įgalioti atlikti v</w:t>
            </w:r>
            <w:r w:rsidR="00CB7FCD" w:rsidRPr="00843903">
              <w:rPr>
                <w:rFonts w:ascii="Times New Roman" w:hAnsi="Times New Roman"/>
                <w:bCs/>
                <w:color w:val="000000"/>
              </w:rPr>
              <w:t>iešąjį administravimą subjektai)</w:t>
            </w:r>
            <w:r w:rsidR="001677FB" w:rsidRPr="00843903">
              <w:rPr>
                <w:rFonts w:ascii="Times New Roman" w:hAnsi="Times New Roman"/>
                <w:bCs/>
                <w:color w:val="000000"/>
              </w:rPr>
              <w:t xml:space="preserve"> arba </w:t>
            </w:r>
            <w:r w:rsidR="001677FB" w:rsidRPr="00843903">
              <w:rPr>
                <w:rFonts w:ascii="Times New Roman" w:hAnsi="Times New Roman"/>
                <w:bCs/>
              </w:rPr>
              <w:t>Lietuvos Respublikos konkurencijos įstatyme (</w:t>
            </w:r>
            <w:r w:rsidR="00CD3947">
              <w:rPr>
                <w:rFonts w:ascii="Times New Roman" w:hAnsi="Times New Roman"/>
                <w:bCs/>
                <w:color w:val="000000"/>
              </w:rPr>
              <w:t>ū</w:t>
            </w:r>
            <w:r w:rsidR="00843903" w:rsidRPr="00843903">
              <w:rPr>
                <w:rFonts w:ascii="Times New Roman" w:hAnsi="Times New Roman"/>
                <w:bCs/>
                <w:color w:val="000000"/>
              </w:rPr>
              <w:t>kio subjektas</w:t>
            </w:r>
            <w:r w:rsidR="001677FB" w:rsidRPr="00843903">
              <w:t> – įmonės, jų junginiai (asociacijos, susivienijimai, konsorciumai ir pan.), įstaigos ar organizacijos arba kiti juridiniai ar fiziniai</w:t>
            </w:r>
            <w:r w:rsidR="001677FB">
              <w:t xml:space="preserve"> asmenys, kurie vykdo ar gali vykdyti ūkinę veiklą Lietuvos Respublikoje arba kurių veiksmai daro įtaką ar ketinimai, jeigu būtų įgyvendinti, galėtų daryti įtaką ūkinei veiklai Lietuvos Respublikoje. Lietuvos Respublikos viešojo administravimo subjektai laikomi ūkio subjektais, jeigu jie vykdo ūkinę veiklą.)</w:t>
            </w:r>
            <w:r w:rsidR="00CB7FCD">
              <w:rPr>
                <w:rFonts w:ascii="Times New Roman" w:hAnsi="Times New Roman"/>
                <w:bCs/>
                <w:color w:val="000000"/>
              </w:rPr>
              <w:t>.</w:t>
            </w:r>
          </w:p>
        </w:tc>
      </w:tr>
      <w:tr w:rsidR="00706792" w14:paraId="58DC2BB1" w14:textId="77777777" w:rsidTr="009C686A">
        <w:tc>
          <w:tcPr>
            <w:tcW w:w="3961" w:type="dxa"/>
            <w:tcBorders>
              <w:top w:val="single" w:sz="2" w:space="0" w:color="000001"/>
              <w:left w:val="single" w:sz="2" w:space="0" w:color="000001"/>
              <w:bottom w:val="single" w:sz="2" w:space="0" w:color="000001"/>
            </w:tcBorders>
            <w:shd w:val="clear" w:color="auto" w:fill="auto"/>
            <w:tcMar>
              <w:left w:w="43" w:type="dxa"/>
            </w:tcMar>
          </w:tcPr>
          <w:p w14:paraId="44156382" w14:textId="0619138C" w:rsidR="00706792" w:rsidRPr="00CD3947" w:rsidRDefault="009C686A">
            <w:pPr>
              <w:rPr>
                <w:rFonts w:ascii="Times New Roman" w:hAnsi="Times New Roman"/>
              </w:rPr>
            </w:pPr>
            <w:r w:rsidRPr="00E27039">
              <w:rPr>
                <w:rFonts w:ascii="Times New Roman" w:hAnsi="Times New Roman"/>
                <w:bCs/>
              </w:rPr>
              <w:t>Lietuvos Respublikos teisingumo ministerij</w:t>
            </w:r>
            <w:r w:rsidR="00CD3947">
              <w:rPr>
                <w:rFonts w:ascii="Times New Roman" w:hAnsi="Times New Roman"/>
                <w:bCs/>
              </w:rPr>
              <w:t xml:space="preserve">os </w:t>
            </w:r>
            <w:r w:rsidRPr="00E27039">
              <w:rPr>
                <w:rFonts w:ascii="Times New Roman" w:hAnsi="Times New Roman"/>
                <w:bCs/>
              </w:rPr>
              <w:t>2019-05-21</w:t>
            </w:r>
            <w:r w:rsidR="00CD3947">
              <w:rPr>
                <w:rFonts w:ascii="Times New Roman" w:hAnsi="Times New Roman"/>
                <w:bCs/>
              </w:rPr>
              <w:t xml:space="preserve"> raštas</w:t>
            </w:r>
            <w:r w:rsidRPr="00E27039">
              <w:rPr>
                <w:rFonts w:ascii="Times New Roman" w:hAnsi="Times New Roman"/>
                <w:bCs/>
              </w:rPr>
              <w:t xml:space="preserve"> Nr. (1.36E)2T-438)</w:t>
            </w:r>
          </w:p>
        </w:tc>
        <w:tc>
          <w:tcPr>
            <w:tcW w:w="5963" w:type="dxa"/>
            <w:tcBorders>
              <w:top w:val="single" w:sz="2" w:space="0" w:color="000001"/>
              <w:left w:val="single" w:sz="2" w:space="0" w:color="000001"/>
              <w:bottom w:val="single" w:sz="2" w:space="0" w:color="000001"/>
            </w:tcBorders>
            <w:shd w:val="clear" w:color="auto" w:fill="auto"/>
            <w:tcMar>
              <w:left w:w="43" w:type="dxa"/>
            </w:tcMar>
          </w:tcPr>
          <w:p w14:paraId="0397506A" w14:textId="0B0F9005" w:rsidR="00706792" w:rsidRDefault="00F359B9">
            <w:pPr>
              <w:pStyle w:val="ListParagraph"/>
              <w:ind w:left="0"/>
              <w:jc w:val="both"/>
              <w:rPr>
                <w:rFonts w:hint="eastAsia"/>
              </w:rPr>
            </w:pPr>
            <w:r>
              <w:rPr>
                <w:rFonts w:ascii="Times New Roman" w:hAnsi="Times New Roman"/>
              </w:rPr>
              <w:t xml:space="preserve">2. Projekto 2 straipsniu siūlomame ANRĮ 5 straipsnio 2 dalies 2 punkte registro tvarkytojais nurodomi </w:t>
            </w:r>
            <w:r>
              <w:rPr>
                <w:rFonts w:ascii="Times New Roman" w:hAnsi="Times New Roman"/>
                <w:i/>
              </w:rPr>
              <w:t>juridiniai asmenys, kurių pareigūnai</w:t>
            </w:r>
            <w:r>
              <w:rPr>
                <w:rFonts w:ascii="Times New Roman" w:hAnsi="Times New Roman"/>
              </w:rPr>
              <w:t xml:space="preserve"> Specialiųjų teisės aktų nustatyta tvarka nagrinėja bylas dėl ūkio subjektų padarytų teisės pažeidimų ir skiria poveikio priemones. Atkreipiame dėmesį į tai, kad pagal specialiuosius įstatymus bylos nagrinėjamos ir nutarimai dėl poveikio priemonių taikymo gali būti įforminami institucijos administraciniu aktu, pvz. Konkurencijos tarybos (o ne Konkurencijos tarybos </w:t>
            </w:r>
            <w:r>
              <w:rPr>
                <w:rFonts w:ascii="Times New Roman" w:hAnsi="Times New Roman"/>
                <w:i/>
              </w:rPr>
              <w:t>pareigūno</w:t>
            </w:r>
            <w:r>
              <w:rPr>
                <w:rFonts w:ascii="Times New Roman" w:hAnsi="Times New Roman"/>
              </w:rPr>
              <w:t>) nutarimu, kitais atvejais – sprendimai priimami kolegialios institucijos posėdyje, pvz. Valstybinės kainų ir energetikos kontrolės komisijos sprendimai ir t.t. Todėl vietoj minėtos sąvokos „</w:t>
            </w:r>
            <w:r>
              <w:rPr>
                <w:rFonts w:ascii="Times New Roman" w:hAnsi="Times New Roman"/>
                <w:i/>
              </w:rPr>
              <w:t xml:space="preserve">juridiniai asmenys, kurių pareigūnai </w:t>
            </w:r>
            <w:r>
              <w:rPr>
                <w:rFonts w:ascii="Times New Roman" w:hAnsi="Times New Roman"/>
              </w:rPr>
              <w:t>Specialiųjų teisės aktų nustatyta tvarka nagrinėja bylas dėl ūkio subjektų padarytų teisės pažeidimų ir skiria poveikio priemones“ siūlome vartoti Viešojo administravimo įstatyme nustatytą „</w:t>
            </w:r>
            <w:r>
              <w:rPr>
                <w:rFonts w:ascii="Times New Roman" w:hAnsi="Times New Roman"/>
                <w:i/>
              </w:rPr>
              <w:t>viešojo administravimo subjektų“</w:t>
            </w:r>
            <w:r>
              <w:rPr>
                <w:rFonts w:ascii="Times New Roman" w:hAnsi="Times New Roman"/>
              </w:rPr>
              <w:t>, Specialiųjų teisės aktų nustatyta tvarka nagrinėjančių bylas dėl ūkio subjektų padarytų teisės pažeidimų ir skiriančių poveikio priemones sąvoką. Manytume, kad šios sąvokos vartojimas Projekte leistų nuosekliau laikytis Viešojo administravimo įstatymo vartojamos teisinės terminijos, turint omeny, kad Projekte visgi vartojamos kai kurios kitos Viešojo administravimo įstatymo sąvokos, kaip pvz. „ūkio subjektai“, „poveikio priemonės“.</w:t>
            </w:r>
          </w:p>
        </w:tc>
        <w:tc>
          <w:tcPr>
            <w:tcW w:w="4705" w:type="dxa"/>
            <w:tcBorders>
              <w:top w:val="single" w:sz="2" w:space="0" w:color="000001"/>
              <w:left w:val="single" w:sz="2" w:space="0" w:color="000001"/>
              <w:bottom w:val="single" w:sz="2" w:space="0" w:color="000001"/>
              <w:right w:val="single" w:sz="2" w:space="0" w:color="000001"/>
            </w:tcBorders>
            <w:shd w:val="clear" w:color="auto" w:fill="auto"/>
            <w:tcMar>
              <w:left w:w="43" w:type="dxa"/>
            </w:tcMar>
          </w:tcPr>
          <w:p w14:paraId="5EF4B258" w14:textId="77777777" w:rsidR="00706792" w:rsidRDefault="00F359B9">
            <w:pPr>
              <w:pStyle w:val="Lentelsturinys"/>
              <w:jc w:val="both"/>
              <w:rPr>
                <w:rFonts w:hint="eastAsia"/>
              </w:rPr>
            </w:pPr>
            <w:r>
              <w:rPr>
                <w:rFonts w:ascii="Times New Roman" w:hAnsi="Times New Roman"/>
                <w:b/>
                <w:bCs/>
              </w:rPr>
              <w:t>Neatsižvelgt</w:t>
            </w:r>
            <w:r w:rsidR="00CD1A35">
              <w:rPr>
                <w:rFonts w:ascii="Times New Roman" w:hAnsi="Times New Roman"/>
                <w:b/>
                <w:bCs/>
              </w:rPr>
              <w:t>a</w:t>
            </w:r>
            <w:r>
              <w:rPr>
                <w:rFonts w:ascii="Times New Roman" w:hAnsi="Times New Roman"/>
                <w:b/>
                <w:bCs/>
              </w:rPr>
              <w:t>.</w:t>
            </w:r>
          </w:p>
          <w:p w14:paraId="6C6AD0E1" w14:textId="09F3ED2A" w:rsidR="00706792" w:rsidRDefault="00F359B9">
            <w:pPr>
              <w:pStyle w:val="Lentelsturinys"/>
              <w:jc w:val="both"/>
              <w:rPr>
                <w:rFonts w:hint="eastAsia"/>
              </w:rPr>
            </w:pPr>
            <w:r w:rsidRPr="00843903">
              <w:rPr>
                <w:rFonts w:ascii="Times New Roman" w:hAnsi="Times New Roman"/>
                <w:bCs/>
              </w:rPr>
              <w:t xml:space="preserve">Lietuvos Respublikos administracinių nusižengimų registro įstatymo </w:t>
            </w:r>
            <w:r w:rsidRPr="00E27039">
              <w:rPr>
                <w:rFonts w:ascii="Times New Roman" w:hAnsi="Times New Roman"/>
                <w:bCs/>
              </w:rPr>
              <w:t xml:space="preserve">5 </w:t>
            </w:r>
            <w:r w:rsidRPr="00843903">
              <w:rPr>
                <w:rFonts w:ascii="Times New Roman" w:hAnsi="Times New Roman"/>
                <w:bCs/>
              </w:rPr>
              <w:t xml:space="preserve">straipsnyje    </w:t>
            </w:r>
            <w:r w:rsidR="00EB610B" w:rsidRPr="00843903">
              <w:rPr>
                <w:rFonts w:ascii="Times New Roman" w:hAnsi="Times New Roman"/>
                <w:bCs/>
              </w:rPr>
              <w:t>apibrėžiami</w:t>
            </w:r>
            <w:r w:rsidRPr="00843903">
              <w:rPr>
                <w:rFonts w:ascii="Times New Roman" w:hAnsi="Times New Roman"/>
                <w:bCs/>
              </w:rPr>
              <w:t xml:space="preserve"> Registro tvarkytojai</w:t>
            </w:r>
            <w:r w:rsidR="00CD3947">
              <w:rPr>
                <w:rFonts w:ascii="Times New Roman" w:hAnsi="Times New Roman"/>
                <w:bCs/>
              </w:rPr>
              <w:t>.</w:t>
            </w:r>
            <w:r w:rsidR="00EB610B" w:rsidRPr="00843903">
              <w:rPr>
                <w:rFonts w:ascii="Times New Roman" w:hAnsi="Times New Roman"/>
                <w:bCs/>
              </w:rPr>
              <w:t xml:space="preserve"> </w:t>
            </w:r>
            <w:r w:rsidR="00CD3947">
              <w:rPr>
                <w:rFonts w:ascii="Times New Roman" w:hAnsi="Times New Roman"/>
                <w:bCs/>
              </w:rPr>
              <w:t>Š</w:t>
            </w:r>
            <w:r w:rsidR="00EB610B" w:rsidRPr="00843903">
              <w:rPr>
                <w:rFonts w:ascii="Times New Roman" w:hAnsi="Times New Roman"/>
                <w:bCs/>
              </w:rPr>
              <w:t xml:space="preserve">i nuostata suformuluota atsižvelgiant į </w:t>
            </w:r>
            <w:r w:rsidRPr="00843903">
              <w:rPr>
                <w:rFonts w:ascii="Times New Roman" w:hAnsi="Times New Roman"/>
                <w:bCs/>
              </w:rPr>
              <w:t xml:space="preserve">Lietuvos Respublikos valstybės informacinių išteklių valdymo įstatymo </w:t>
            </w:r>
            <w:r w:rsidRPr="00E27039">
              <w:rPr>
                <w:rFonts w:ascii="Times New Roman" w:hAnsi="Times New Roman"/>
                <w:bCs/>
              </w:rPr>
              <w:t xml:space="preserve">2 </w:t>
            </w:r>
            <w:r w:rsidRPr="00843903">
              <w:rPr>
                <w:rFonts w:ascii="Times New Roman" w:hAnsi="Times New Roman"/>
                <w:bCs/>
              </w:rPr>
              <w:t xml:space="preserve">straipsnio </w:t>
            </w:r>
            <w:r w:rsidRPr="00843903">
              <w:rPr>
                <w:rFonts w:ascii="Times New Roman" w:hAnsi="Times New Roman"/>
                <w:bCs/>
                <w:color w:val="000000"/>
              </w:rPr>
              <w:t xml:space="preserve">11 dalyje </w:t>
            </w:r>
            <w:r w:rsidR="00EB610B" w:rsidRPr="00843903">
              <w:rPr>
                <w:rFonts w:ascii="Times New Roman" w:hAnsi="Times New Roman"/>
                <w:bCs/>
                <w:color w:val="000000"/>
              </w:rPr>
              <w:t xml:space="preserve">pateiktą </w:t>
            </w:r>
            <w:r w:rsidRPr="00843903">
              <w:rPr>
                <w:rFonts w:ascii="Times New Roman" w:hAnsi="Times New Roman"/>
                <w:bCs/>
                <w:color w:val="000000"/>
              </w:rPr>
              <w:t>registro tvarkytojo sąvok</w:t>
            </w:r>
            <w:r w:rsidR="00EB610B" w:rsidRPr="00843903">
              <w:rPr>
                <w:rFonts w:ascii="Times New Roman" w:hAnsi="Times New Roman"/>
                <w:bCs/>
                <w:color w:val="000000"/>
              </w:rPr>
              <w:t>os apibrėžtį</w:t>
            </w:r>
            <w:r w:rsidRPr="00E27039">
              <w:rPr>
                <w:rFonts w:ascii="Times New Roman" w:hAnsi="Times New Roman"/>
                <w:bCs/>
                <w:color w:val="000000"/>
              </w:rPr>
              <w:t>.</w:t>
            </w:r>
            <w:r>
              <w:rPr>
                <w:rFonts w:ascii="Times New Roman" w:hAnsi="Times New Roman"/>
                <w:b/>
                <w:bCs/>
                <w:color w:val="000000"/>
              </w:rPr>
              <w:t xml:space="preserve"> </w:t>
            </w:r>
          </w:p>
        </w:tc>
      </w:tr>
    </w:tbl>
    <w:p w14:paraId="20F6C03A" w14:textId="77777777" w:rsidR="009C686A" w:rsidRDefault="009C686A" w:rsidP="00843903">
      <w:pPr>
        <w:pStyle w:val="Standard"/>
        <w:jc w:val="center"/>
        <w:rPr>
          <w:rFonts w:hint="eastAsia"/>
        </w:rPr>
      </w:pPr>
    </w:p>
    <w:p w14:paraId="3A104ABE" w14:textId="054ADD58" w:rsidR="00706792" w:rsidRDefault="00A1415E" w:rsidP="00843903">
      <w:pPr>
        <w:pStyle w:val="Standard"/>
        <w:jc w:val="center"/>
        <w:rPr>
          <w:rFonts w:hint="eastAsia"/>
        </w:rPr>
      </w:pPr>
      <w:r>
        <w:t>__________________________</w:t>
      </w:r>
    </w:p>
    <w:sectPr w:rsidR="00706792">
      <w:headerReference w:type="default" r:id="rId8"/>
      <w:pgSz w:w="16838" w:h="11906" w:orient="landscape"/>
      <w:pgMar w:top="1134" w:right="567" w:bottom="1134" w:left="1701" w:header="0" w:footer="0" w:gutter="0"/>
      <w:cols w:space="1296"/>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2CB22" w14:textId="77777777" w:rsidR="00E75229" w:rsidRDefault="00E75229">
      <w:pPr>
        <w:rPr>
          <w:rFonts w:hint="eastAsia"/>
        </w:rPr>
      </w:pPr>
      <w:r>
        <w:separator/>
      </w:r>
    </w:p>
  </w:endnote>
  <w:endnote w:type="continuationSeparator" w:id="0">
    <w:p w14:paraId="7DF529DA" w14:textId="77777777" w:rsidR="00E75229" w:rsidRDefault="00E752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10002FF" w:usb1="4000FCFF" w:usb2="00000009"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E5F4B" w14:textId="77777777" w:rsidR="00E75229" w:rsidRDefault="00E75229">
      <w:pPr>
        <w:rPr>
          <w:rFonts w:hint="eastAsia"/>
        </w:rPr>
      </w:pPr>
      <w:r>
        <w:separator/>
      </w:r>
    </w:p>
  </w:footnote>
  <w:footnote w:type="continuationSeparator" w:id="0">
    <w:p w14:paraId="44E49020" w14:textId="77777777" w:rsidR="00E75229" w:rsidRDefault="00E7522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203086"/>
      <w:docPartObj>
        <w:docPartGallery w:val="Page Numbers (Top of Page)"/>
        <w:docPartUnique/>
      </w:docPartObj>
    </w:sdtPr>
    <w:sdtEndPr/>
    <w:sdtContent>
      <w:p w14:paraId="0D39017D" w14:textId="77777777" w:rsidR="00706792" w:rsidRDefault="00F359B9">
        <w:pPr>
          <w:pStyle w:val="Header"/>
          <w:jc w:val="center"/>
          <w:rPr>
            <w:rFonts w:hint="eastAsia"/>
          </w:rPr>
        </w:pPr>
        <w:r>
          <w:fldChar w:fldCharType="begin"/>
        </w:r>
        <w:r>
          <w:instrText>PAGE</w:instrText>
        </w:r>
        <w:r>
          <w:fldChar w:fldCharType="separate"/>
        </w:r>
        <w:r w:rsidR="00E27039">
          <w:rPr>
            <w:rFonts w:hint="eastAsia"/>
            <w:noProof/>
          </w:rPr>
          <w:t>2</w:t>
        </w:r>
        <w:r>
          <w:fldChar w:fldCharType="end"/>
        </w:r>
      </w:p>
    </w:sdtContent>
  </w:sdt>
  <w:p w14:paraId="5EFAC9A3" w14:textId="77777777" w:rsidR="00706792" w:rsidRDefault="00706792">
    <w:pPr>
      <w:pStyle w:val="Head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D15786"/>
    <w:multiLevelType w:val="multilevel"/>
    <w:tmpl w:val="F8C2C5C0"/>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92"/>
    <w:rsid w:val="001677FB"/>
    <w:rsid w:val="0018450C"/>
    <w:rsid w:val="00195E27"/>
    <w:rsid w:val="002A7246"/>
    <w:rsid w:val="003154D6"/>
    <w:rsid w:val="003D3607"/>
    <w:rsid w:val="004B3D85"/>
    <w:rsid w:val="00540173"/>
    <w:rsid w:val="00550E4C"/>
    <w:rsid w:val="005E1A9F"/>
    <w:rsid w:val="00706792"/>
    <w:rsid w:val="007465CF"/>
    <w:rsid w:val="007C7737"/>
    <w:rsid w:val="00827266"/>
    <w:rsid w:val="00843903"/>
    <w:rsid w:val="008B39EA"/>
    <w:rsid w:val="008C497C"/>
    <w:rsid w:val="00952BD8"/>
    <w:rsid w:val="009C686A"/>
    <w:rsid w:val="00A1415E"/>
    <w:rsid w:val="00BC5146"/>
    <w:rsid w:val="00C93D59"/>
    <w:rsid w:val="00CB7FCD"/>
    <w:rsid w:val="00CD1A35"/>
    <w:rsid w:val="00CD3947"/>
    <w:rsid w:val="00D0177F"/>
    <w:rsid w:val="00D45F47"/>
    <w:rsid w:val="00E27039"/>
    <w:rsid w:val="00E6461C"/>
    <w:rsid w:val="00E75229"/>
    <w:rsid w:val="00EB610B"/>
    <w:rsid w:val="00F359B9"/>
    <w:rsid w:val="00F61776"/>
    <w:rsid w:val="00F806F7"/>
    <w:rsid w:val="00FD138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DAF5"/>
  <w15:docId w15:val="{C095C59C-5804-4F78-BA28-C23FBC5E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textAlignment w:val="baseline"/>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D3C02"/>
    <w:rPr>
      <w:rFonts w:cs="Mangal"/>
      <w:color w:val="00000A"/>
      <w:sz w:val="24"/>
      <w:szCs w:val="21"/>
    </w:rPr>
  </w:style>
  <w:style w:type="character" w:customStyle="1" w:styleId="FooterChar">
    <w:name w:val="Footer Char"/>
    <w:basedOn w:val="DefaultParagraphFont"/>
    <w:link w:val="Footer"/>
    <w:uiPriority w:val="99"/>
    <w:qFormat/>
    <w:rsid w:val="007D3C02"/>
    <w:rPr>
      <w:rFonts w:cs="Mangal"/>
      <w:color w:val="00000A"/>
      <w:sz w:val="24"/>
      <w:szCs w:val="21"/>
    </w:rPr>
  </w:style>
  <w:style w:type="character" w:customStyle="1" w:styleId="BalloonTextChar">
    <w:name w:val="Balloon Text Char"/>
    <w:basedOn w:val="DefaultParagraphFont"/>
    <w:link w:val="BalloonText"/>
    <w:semiHidden/>
    <w:qFormat/>
    <w:rsid w:val="007D3C02"/>
    <w:rPr>
      <w:rFonts w:ascii="Segoe UI" w:hAnsi="Segoe UI" w:cs="Mangal"/>
      <w:color w:val="00000A"/>
      <w:sz w:val="18"/>
      <w:szCs w:val="16"/>
    </w:rPr>
  </w:style>
  <w:style w:type="character" w:styleId="CommentReference">
    <w:name w:val="annotation reference"/>
    <w:basedOn w:val="DefaultParagraphFont"/>
    <w:uiPriority w:val="99"/>
    <w:semiHidden/>
    <w:unhideWhenUsed/>
    <w:qFormat/>
    <w:rsid w:val="00B377F7"/>
    <w:rPr>
      <w:sz w:val="16"/>
      <w:szCs w:val="16"/>
    </w:rPr>
  </w:style>
  <w:style w:type="character" w:customStyle="1" w:styleId="CommentTextChar">
    <w:name w:val="Comment Text Char"/>
    <w:basedOn w:val="DefaultParagraphFont"/>
    <w:link w:val="CommentText"/>
    <w:uiPriority w:val="99"/>
    <w:semiHidden/>
    <w:qFormat/>
    <w:rsid w:val="00B377F7"/>
    <w:rPr>
      <w:rFonts w:cs="Mangal"/>
      <w:color w:val="00000A"/>
      <w:szCs w:val="18"/>
    </w:rPr>
  </w:style>
  <w:style w:type="character" w:customStyle="1" w:styleId="CommentSubjectChar">
    <w:name w:val="Comment Subject Char"/>
    <w:basedOn w:val="CommentTextChar"/>
    <w:link w:val="CommentSubject"/>
    <w:uiPriority w:val="99"/>
    <w:semiHidden/>
    <w:qFormat/>
    <w:rsid w:val="00B377F7"/>
    <w:rPr>
      <w:rFonts w:cs="Mangal"/>
      <w:b/>
      <w:bCs/>
      <w:color w:val="00000A"/>
      <w:szCs w:val="18"/>
    </w:rPr>
  </w:style>
  <w:style w:type="character" w:customStyle="1" w:styleId="HTMLPreformattedChar">
    <w:name w:val="HTML Preformatted Char"/>
    <w:basedOn w:val="DefaultParagraphFont"/>
    <w:link w:val="HTMLPreformatted"/>
    <w:uiPriority w:val="99"/>
    <w:semiHidden/>
    <w:qFormat/>
    <w:rsid w:val="004346D6"/>
    <w:rPr>
      <w:rFonts w:ascii="Consolas" w:hAnsi="Consolas" w:cs="Mangal"/>
      <w:color w:val="00000A"/>
      <w:szCs w:val="18"/>
    </w:rPr>
  </w:style>
  <w:style w:type="character" w:customStyle="1" w:styleId="ListLabel1">
    <w:name w:val="ListLabel 1"/>
    <w:qFormat/>
    <w:rPr>
      <w:rFonts w:eastAsia="SimSun"/>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pPr>
      <w:widowControl w:val="0"/>
    </w:pPr>
  </w:style>
  <w:style w:type="paragraph" w:styleId="Caption">
    <w:name w:val="caption"/>
    <w:qFormat/>
    <w:pPr>
      <w:widowControl w:val="0"/>
      <w:suppressLineNumbers/>
      <w:spacing w:before="120" w:after="120"/>
    </w:pPr>
    <w:rPr>
      <w:i/>
      <w:iCs/>
      <w:color w:val="00000A"/>
      <w:sz w:val="24"/>
    </w:rPr>
  </w:style>
  <w:style w:type="paragraph" w:customStyle="1" w:styleId="Index">
    <w:name w:val="Index"/>
    <w:basedOn w:val="Normal"/>
    <w:qFormat/>
    <w:pPr>
      <w:suppressLineNumbers/>
    </w:pPr>
  </w:style>
  <w:style w:type="paragraph" w:customStyle="1" w:styleId="Antrat1">
    <w:name w:val="Antraštė1"/>
    <w:qFormat/>
    <w:pPr>
      <w:keepNext/>
      <w:widowControl w:val="0"/>
      <w:spacing w:before="240" w:after="120"/>
    </w:pPr>
    <w:rPr>
      <w:rFonts w:ascii="Liberation Sans" w:eastAsia="Microsoft YaHei" w:hAnsi="Liberation Sans"/>
      <w:color w:val="00000A"/>
      <w:sz w:val="28"/>
      <w:szCs w:val="28"/>
    </w:rPr>
  </w:style>
  <w:style w:type="paragraph" w:customStyle="1" w:styleId="Rodykl">
    <w:name w:val="Rodyklė"/>
    <w:qFormat/>
    <w:pPr>
      <w:widowControl w:val="0"/>
      <w:suppressLineNumbers/>
    </w:pPr>
    <w:rPr>
      <w:color w:val="00000A"/>
      <w:sz w:val="24"/>
    </w:rPr>
  </w:style>
  <w:style w:type="paragraph" w:customStyle="1" w:styleId="Standard">
    <w:name w:val="Standard"/>
    <w:qFormat/>
    <w:rPr>
      <w:color w:val="00000A"/>
      <w:sz w:val="24"/>
    </w:rPr>
  </w:style>
  <w:style w:type="paragraph" w:customStyle="1" w:styleId="Textbody">
    <w:name w:val="Text body"/>
    <w:basedOn w:val="Standard"/>
    <w:qFormat/>
    <w:pPr>
      <w:spacing w:after="140" w:line="288" w:lineRule="auto"/>
    </w:pPr>
  </w:style>
  <w:style w:type="paragraph" w:customStyle="1" w:styleId="Lentelsturinys">
    <w:name w:val="Lentelės turinys"/>
    <w:basedOn w:val="Standard"/>
    <w:qFormat/>
    <w:pPr>
      <w:suppressLineNumbers/>
    </w:pPr>
  </w:style>
  <w:style w:type="paragraph" w:styleId="ListParagraph">
    <w:name w:val="List Paragraph"/>
    <w:basedOn w:val="Standard"/>
    <w:uiPriority w:val="34"/>
    <w:qFormat/>
    <w:pPr>
      <w:ind w:left="720"/>
    </w:pPr>
  </w:style>
  <w:style w:type="paragraph" w:customStyle="1" w:styleId="Lentelsantrat">
    <w:name w:val="Lentelės antraštė"/>
    <w:basedOn w:val="Lentelsturinys"/>
    <w:qFormat/>
    <w:pPr>
      <w:jc w:val="center"/>
    </w:pPr>
    <w:rPr>
      <w:b/>
      <w:bCs/>
    </w:rPr>
  </w:style>
  <w:style w:type="paragraph" w:styleId="Header">
    <w:name w:val="header"/>
    <w:basedOn w:val="Normal"/>
    <w:link w:val="HeaderChar"/>
    <w:uiPriority w:val="99"/>
    <w:unhideWhenUsed/>
    <w:rsid w:val="007D3C02"/>
    <w:pPr>
      <w:tabs>
        <w:tab w:val="center" w:pos="4819"/>
        <w:tab w:val="right" w:pos="9638"/>
      </w:tabs>
    </w:pPr>
    <w:rPr>
      <w:rFonts w:cs="Mangal"/>
      <w:szCs w:val="21"/>
    </w:rPr>
  </w:style>
  <w:style w:type="paragraph" w:styleId="Footer">
    <w:name w:val="footer"/>
    <w:basedOn w:val="Normal"/>
    <w:link w:val="FooterChar"/>
    <w:uiPriority w:val="99"/>
    <w:unhideWhenUsed/>
    <w:rsid w:val="007D3C02"/>
    <w:pPr>
      <w:tabs>
        <w:tab w:val="center" w:pos="4819"/>
        <w:tab w:val="right" w:pos="9638"/>
      </w:tabs>
    </w:pPr>
    <w:rPr>
      <w:rFonts w:cs="Mangal"/>
      <w:szCs w:val="21"/>
    </w:rPr>
  </w:style>
  <w:style w:type="paragraph" w:styleId="BalloonText">
    <w:name w:val="Balloon Text"/>
    <w:basedOn w:val="Normal"/>
    <w:link w:val="BalloonTextChar"/>
    <w:uiPriority w:val="99"/>
    <w:semiHidden/>
    <w:unhideWhenUsed/>
    <w:qFormat/>
    <w:rsid w:val="007D3C02"/>
    <w:rPr>
      <w:rFonts w:ascii="Segoe UI" w:hAnsi="Segoe UI" w:cs="Mangal"/>
      <w:sz w:val="18"/>
      <w:szCs w:val="16"/>
    </w:rPr>
  </w:style>
  <w:style w:type="paragraph" w:styleId="CommentText">
    <w:name w:val="annotation text"/>
    <w:basedOn w:val="Normal"/>
    <w:link w:val="CommentTextChar"/>
    <w:uiPriority w:val="99"/>
    <w:semiHidden/>
    <w:unhideWhenUsed/>
    <w:qFormat/>
    <w:rsid w:val="00B377F7"/>
    <w:rPr>
      <w:rFonts w:cs="Mangal"/>
      <w:sz w:val="20"/>
      <w:szCs w:val="18"/>
    </w:rPr>
  </w:style>
  <w:style w:type="paragraph" w:styleId="CommentSubject">
    <w:name w:val="annotation subject"/>
    <w:basedOn w:val="CommentText"/>
    <w:link w:val="CommentSubjectChar"/>
    <w:uiPriority w:val="99"/>
    <w:semiHidden/>
    <w:unhideWhenUsed/>
    <w:qFormat/>
    <w:rsid w:val="00B377F7"/>
    <w:rPr>
      <w:b/>
      <w:bCs/>
    </w:rPr>
  </w:style>
  <w:style w:type="paragraph" w:styleId="HTMLPreformatted">
    <w:name w:val="HTML Preformatted"/>
    <w:basedOn w:val="Normal"/>
    <w:link w:val="HTMLPreformattedChar"/>
    <w:uiPriority w:val="99"/>
    <w:semiHidden/>
    <w:unhideWhenUsed/>
    <w:qFormat/>
    <w:rsid w:val="004346D6"/>
    <w:rPr>
      <w:rFonts w:ascii="Consolas" w:hAnsi="Consolas" w:cs="Mangal"/>
      <w:sz w:val="20"/>
      <w:szCs w:val="18"/>
    </w:rPr>
  </w:style>
  <w:style w:type="character" w:customStyle="1" w:styleId="bkg-highlight-red">
    <w:name w:val="bkg-highlight-red"/>
    <w:basedOn w:val="DefaultParagraphFont"/>
    <w:rsid w:val="00CB7FCD"/>
  </w:style>
  <w:style w:type="paragraph" w:customStyle="1" w:styleId="Bullet">
    <w:name w:val="Bullet"/>
    <w:aliases w:val="b1"/>
    <w:basedOn w:val="ListParagraph"/>
    <w:link w:val="BulletChar"/>
    <w:qFormat/>
    <w:rsid w:val="001677FB"/>
    <w:pPr>
      <w:numPr>
        <w:numId w:val="1"/>
      </w:numPr>
      <w:spacing w:after="60"/>
      <w:jc w:val="both"/>
    </w:pPr>
    <w:rPr>
      <w:rFonts w:asciiTheme="minorHAnsi" w:eastAsia="MS Gothic" w:hAnsiTheme="minorHAnsi" w:cs="Cambria"/>
      <w:bCs/>
      <w:color w:val="000000" w:themeColor="text1"/>
      <w:sz w:val="22"/>
      <w:szCs w:val="22"/>
      <w:lang w:eastAsia="en-GB" w:bidi="ar-SA"/>
    </w:rPr>
  </w:style>
  <w:style w:type="character" w:customStyle="1" w:styleId="BulletChar">
    <w:name w:val="Bullet Char"/>
    <w:basedOn w:val="DefaultParagraphFont"/>
    <w:link w:val="Bullet"/>
    <w:rsid w:val="001677FB"/>
    <w:rPr>
      <w:rFonts w:asciiTheme="minorHAnsi" w:eastAsia="MS Gothic" w:hAnsiTheme="minorHAnsi" w:cs="Cambria"/>
      <w:bCs/>
      <w:color w:val="000000" w:themeColor="text1"/>
      <w:sz w:val="22"/>
      <w:szCs w:val="22"/>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585A1-51D2-4391-84F7-53EE0272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6495</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7619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2019-06-18T13:08:00Z</dcterms:created>
  <dc:creator>Kęstutis Stelmokas</dc:creator>
  <dc:language>lt-LT</dc:language>
  <cp:lastModifiedBy>Liubovė Dručiūnienė</cp:lastModifiedBy>
  <dcterms:modified xsi:type="dcterms:W3CDTF">2019-06-18T13:08:00Z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