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95E" w:rsidRPr="00AB195E" w:rsidRDefault="00AB195E" w:rsidP="00B510B4">
      <w:pPr>
        <w:spacing w:after="0" w:line="240" w:lineRule="auto"/>
        <w:ind w:left="6804"/>
        <w:rPr>
          <w:rFonts w:ascii="Times New Roman" w:eastAsia="Times New Roman" w:hAnsi="Times New Roman"/>
          <w:b/>
          <w:bCs/>
          <w:color w:val="000000"/>
          <w:sz w:val="24"/>
          <w:szCs w:val="24"/>
          <w:lang w:eastAsia="lt-LT"/>
        </w:rPr>
      </w:pPr>
      <w:r w:rsidRPr="00AB195E">
        <w:rPr>
          <w:rFonts w:ascii="Times New Roman" w:eastAsia="Times New Roman" w:hAnsi="Times New Roman"/>
          <w:b/>
          <w:bCs/>
          <w:color w:val="000000"/>
          <w:sz w:val="24"/>
          <w:szCs w:val="24"/>
          <w:lang w:eastAsia="lt-LT"/>
        </w:rPr>
        <w:t xml:space="preserve">Projekto </w:t>
      </w:r>
    </w:p>
    <w:p w:rsidR="00F83C4D" w:rsidRPr="00AB195E" w:rsidRDefault="00AB195E" w:rsidP="00B510B4">
      <w:pPr>
        <w:spacing w:after="0" w:line="240" w:lineRule="auto"/>
        <w:ind w:left="6804"/>
        <w:rPr>
          <w:rFonts w:ascii="Times New Roman" w:eastAsia="Times New Roman" w:hAnsi="Times New Roman"/>
          <w:b/>
          <w:bCs/>
          <w:color w:val="000000"/>
          <w:sz w:val="24"/>
          <w:szCs w:val="24"/>
          <w:lang w:eastAsia="lt-LT"/>
        </w:rPr>
      </w:pPr>
      <w:r w:rsidRPr="00AB195E">
        <w:rPr>
          <w:rFonts w:ascii="Times New Roman" w:eastAsia="Times New Roman" w:hAnsi="Times New Roman"/>
          <w:b/>
          <w:bCs/>
          <w:color w:val="000000"/>
          <w:sz w:val="24"/>
          <w:szCs w:val="24"/>
          <w:lang w:eastAsia="lt-LT"/>
        </w:rPr>
        <w:t>lyginamasis variantas</w:t>
      </w:r>
    </w:p>
    <w:p w:rsidR="00F83C4D" w:rsidRDefault="00F83C4D" w:rsidP="00F83C4D">
      <w:pPr>
        <w:spacing w:after="0" w:line="240" w:lineRule="auto"/>
        <w:jc w:val="center"/>
        <w:rPr>
          <w:rFonts w:ascii="Times New Roman" w:eastAsia="Times New Roman" w:hAnsi="Times New Roman"/>
          <w:b/>
          <w:bCs/>
          <w:color w:val="000000"/>
          <w:sz w:val="24"/>
          <w:szCs w:val="24"/>
          <w:lang w:eastAsia="lt-LT"/>
        </w:rPr>
      </w:pPr>
    </w:p>
    <w:p w:rsidR="00F83C4D" w:rsidRPr="00F83C4D" w:rsidRDefault="00F83C4D" w:rsidP="00B510B4">
      <w:pPr>
        <w:spacing w:after="0" w:line="240" w:lineRule="auto"/>
        <w:jc w:val="center"/>
        <w:rPr>
          <w:rFonts w:ascii="Times New Roman" w:eastAsia="Times New Roman" w:hAnsi="Times New Roman"/>
          <w:color w:val="000000"/>
          <w:sz w:val="24"/>
          <w:szCs w:val="24"/>
          <w:lang w:eastAsia="lt-LT"/>
        </w:rPr>
      </w:pPr>
      <w:r w:rsidRPr="00F83C4D">
        <w:rPr>
          <w:rFonts w:ascii="Times New Roman" w:eastAsia="Times New Roman" w:hAnsi="Times New Roman"/>
          <w:b/>
          <w:bCs/>
          <w:color w:val="000000"/>
          <w:sz w:val="24"/>
          <w:szCs w:val="24"/>
          <w:lang w:eastAsia="lt-LT"/>
        </w:rPr>
        <w:t>LIETUVOS RESPUBLIKOS</w:t>
      </w:r>
    </w:p>
    <w:bookmarkStart w:id="0" w:name="n1_2"/>
    <w:p w:rsidR="00F83C4D" w:rsidRPr="00F83C4D" w:rsidRDefault="00F83C4D" w:rsidP="00B510B4">
      <w:pPr>
        <w:spacing w:after="0" w:line="240" w:lineRule="auto"/>
        <w:jc w:val="center"/>
        <w:rPr>
          <w:rFonts w:ascii="Times New Roman" w:eastAsia="Times New Roman" w:hAnsi="Times New Roman"/>
          <w:color w:val="000000"/>
          <w:sz w:val="24"/>
          <w:szCs w:val="24"/>
          <w:lang w:eastAsia="lt-LT"/>
        </w:rPr>
      </w:pPr>
      <w:r w:rsidRPr="00F83C4D">
        <w:rPr>
          <w:rFonts w:ascii="Times New Roman" w:eastAsia="Times New Roman" w:hAnsi="Times New Roman"/>
          <w:b/>
          <w:bCs/>
          <w:color w:val="000000"/>
          <w:sz w:val="24"/>
          <w:szCs w:val="24"/>
          <w:lang w:eastAsia="lt-LT"/>
        </w:rPr>
        <w:fldChar w:fldCharType="begin"/>
      </w:r>
      <w:r w:rsidRPr="00F83C4D">
        <w:rPr>
          <w:rFonts w:ascii="Times New Roman" w:eastAsia="Times New Roman" w:hAnsi="Times New Roman"/>
          <w:b/>
          <w:bCs/>
          <w:color w:val="000000"/>
          <w:sz w:val="24"/>
          <w:szCs w:val="24"/>
          <w:lang w:eastAsia="lt-LT"/>
        </w:rPr>
        <w:instrText xml:space="preserve"> HYPERLINK "http://www.infolex.lt/ta/57093" \o "Lietuvos Respublikos Lietuvos banko įstatymas" \t "_blank" </w:instrText>
      </w:r>
      <w:r w:rsidRPr="00F83C4D">
        <w:rPr>
          <w:rFonts w:ascii="Times New Roman" w:eastAsia="Times New Roman" w:hAnsi="Times New Roman"/>
          <w:b/>
          <w:bCs/>
          <w:color w:val="000000"/>
          <w:sz w:val="24"/>
          <w:szCs w:val="24"/>
          <w:lang w:eastAsia="lt-LT"/>
        </w:rPr>
        <w:fldChar w:fldCharType="separate"/>
      </w:r>
      <w:r w:rsidRPr="00372CB9">
        <w:rPr>
          <w:rFonts w:ascii="Times New Roman" w:eastAsia="Times New Roman" w:hAnsi="Times New Roman"/>
          <w:b/>
          <w:bCs/>
          <w:iCs/>
          <w:color w:val="000000"/>
          <w:sz w:val="24"/>
          <w:szCs w:val="24"/>
          <w:lang w:eastAsia="lt-LT"/>
        </w:rPr>
        <w:t>LIETUVOS BANKO ĮSTATYMO</w:t>
      </w:r>
      <w:r w:rsidRPr="00F83C4D">
        <w:rPr>
          <w:rFonts w:ascii="Times New Roman" w:eastAsia="Times New Roman" w:hAnsi="Times New Roman"/>
          <w:b/>
          <w:bCs/>
          <w:color w:val="000000"/>
          <w:sz w:val="24"/>
          <w:szCs w:val="24"/>
          <w:lang w:eastAsia="lt-LT"/>
        </w:rPr>
        <w:fldChar w:fldCharType="end"/>
      </w:r>
      <w:bookmarkStart w:id="1" w:name="pn1_2"/>
      <w:bookmarkEnd w:id="0"/>
      <w:bookmarkEnd w:id="1"/>
      <w:r w:rsidRPr="00F83C4D">
        <w:rPr>
          <w:rFonts w:ascii="Times New Roman" w:eastAsia="Times New Roman" w:hAnsi="Times New Roman"/>
          <w:b/>
          <w:bCs/>
          <w:color w:val="000000"/>
          <w:sz w:val="24"/>
          <w:szCs w:val="24"/>
          <w:lang w:eastAsia="lt-LT"/>
        </w:rPr>
        <w:t xml:space="preserve"> NR. I-678 42 </w:t>
      </w:r>
      <w:r w:rsidR="00372CB9">
        <w:rPr>
          <w:rFonts w:ascii="Times New Roman" w:eastAsia="Times New Roman" w:hAnsi="Times New Roman"/>
          <w:b/>
          <w:bCs/>
          <w:color w:val="000000"/>
          <w:sz w:val="24"/>
          <w:szCs w:val="24"/>
          <w:lang w:eastAsia="lt-LT"/>
        </w:rPr>
        <w:t xml:space="preserve">IR 47 </w:t>
      </w:r>
      <w:r w:rsidRPr="00F83C4D">
        <w:rPr>
          <w:rFonts w:ascii="Times New Roman" w:eastAsia="Times New Roman" w:hAnsi="Times New Roman"/>
          <w:b/>
          <w:bCs/>
          <w:color w:val="000000"/>
          <w:sz w:val="24"/>
          <w:szCs w:val="24"/>
          <w:lang w:eastAsia="lt-LT"/>
        </w:rPr>
        <w:t>STRAIPSNI</w:t>
      </w:r>
      <w:r w:rsidR="00372CB9">
        <w:rPr>
          <w:rFonts w:ascii="Times New Roman" w:eastAsia="Times New Roman" w:hAnsi="Times New Roman"/>
          <w:b/>
          <w:bCs/>
          <w:color w:val="000000"/>
          <w:sz w:val="24"/>
          <w:szCs w:val="24"/>
          <w:lang w:eastAsia="lt-LT"/>
        </w:rPr>
        <w:t>Ų</w:t>
      </w:r>
      <w:r w:rsidRPr="00F83C4D">
        <w:rPr>
          <w:rFonts w:ascii="Times New Roman" w:eastAsia="Times New Roman" w:hAnsi="Times New Roman"/>
          <w:b/>
          <w:bCs/>
          <w:color w:val="000000"/>
          <w:sz w:val="24"/>
          <w:szCs w:val="24"/>
          <w:lang w:eastAsia="lt-LT"/>
        </w:rPr>
        <w:t xml:space="preserve"> PAKEITIMO</w:t>
      </w:r>
    </w:p>
    <w:p w:rsidR="00F83C4D" w:rsidRPr="00F83C4D" w:rsidRDefault="00F83C4D" w:rsidP="00B510B4">
      <w:pPr>
        <w:spacing w:after="0" w:line="240" w:lineRule="auto"/>
        <w:jc w:val="center"/>
        <w:rPr>
          <w:rFonts w:ascii="Times New Roman" w:eastAsia="Times New Roman" w:hAnsi="Times New Roman"/>
          <w:color w:val="000000"/>
          <w:sz w:val="24"/>
          <w:szCs w:val="24"/>
          <w:lang w:eastAsia="lt-LT"/>
        </w:rPr>
      </w:pPr>
      <w:r w:rsidRPr="00F83C4D">
        <w:rPr>
          <w:rFonts w:ascii="Times New Roman" w:eastAsia="Times New Roman" w:hAnsi="Times New Roman"/>
          <w:b/>
          <w:bCs/>
          <w:color w:val="000000"/>
          <w:sz w:val="24"/>
          <w:szCs w:val="24"/>
          <w:lang w:eastAsia="lt-LT"/>
        </w:rPr>
        <w:t>ĮSTATYMAS</w:t>
      </w:r>
    </w:p>
    <w:p w:rsidR="00F83C4D" w:rsidRPr="00F83C4D" w:rsidRDefault="00F83C4D" w:rsidP="00B510B4">
      <w:pPr>
        <w:spacing w:after="0" w:line="240" w:lineRule="auto"/>
        <w:jc w:val="center"/>
        <w:rPr>
          <w:rFonts w:ascii="Times New Roman" w:eastAsia="Times New Roman" w:hAnsi="Times New Roman"/>
          <w:color w:val="000000"/>
          <w:sz w:val="24"/>
          <w:szCs w:val="24"/>
          <w:lang w:eastAsia="lt-LT"/>
        </w:rPr>
      </w:pPr>
      <w:r w:rsidRPr="00F83C4D">
        <w:rPr>
          <w:rFonts w:ascii="Times New Roman" w:eastAsia="Times New Roman" w:hAnsi="Times New Roman"/>
          <w:color w:val="000000"/>
          <w:sz w:val="24"/>
          <w:szCs w:val="24"/>
          <w:lang w:eastAsia="lt-LT"/>
        </w:rPr>
        <w:t> </w:t>
      </w:r>
    </w:p>
    <w:p w:rsidR="00F83C4D" w:rsidRPr="00F83C4D" w:rsidRDefault="00C303FE" w:rsidP="00B510B4">
      <w:pPr>
        <w:spacing w:after="0" w:line="240" w:lineRule="auto"/>
        <w:jc w:val="center"/>
        <w:rPr>
          <w:rFonts w:ascii="Times New Roman" w:eastAsia="Times New Roman" w:hAnsi="Times New Roman"/>
          <w:color w:val="000000"/>
          <w:sz w:val="24"/>
          <w:szCs w:val="24"/>
          <w:lang w:eastAsia="lt-LT"/>
        </w:rPr>
      </w:pPr>
      <w:r w:rsidRPr="00F83C4D">
        <w:rPr>
          <w:rFonts w:ascii="Times New Roman" w:eastAsia="Times New Roman" w:hAnsi="Times New Roman"/>
          <w:color w:val="000000"/>
          <w:sz w:val="24"/>
          <w:szCs w:val="24"/>
          <w:lang w:eastAsia="lt-LT"/>
        </w:rPr>
        <w:t>20</w:t>
      </w:r>
      <w:r>
        <w:rPr>
          <w:rFonts w:ascii="Times New Roman" w:eastAsia="Times New Roman" w:hAnsi="Times New Roman"/>
          <w:color w:val="000000"/>
          <w:sz w:val="24"/>
          <w:szCs w:val="24"/>
          <w:lang w:eastAsia="lt-LT"/>
        </w:rPr>
        <w:t>20</w:t>
      </w:r>
      <w:r w:rsidRPr="00F83C4D">
        <w:rPr>
          <w:rFonts w:ascii="Times New Roman" w:eastAsia="Times New Roman" w:hAnsi="Times New Roman"/>
          <w:color w:val="000000"/>
          <w:sz w:val="24"/>
          <w:szCs w:val="24"/>
          <w:lang w:eastAsia="lt-LT"/>
        </w:rPr>
        <w:t xml:space="preserve"> </w:t>
      </w:r>
      <w:r w:rsidR="00F83C4D" w:rsidRPr="00F83C4D">
        <w:rPr>
          <w:rFonts w:ascii="Times New Roman" w:eastAsia="Times New Roman" w:hAnsi="Times New Roman"/>
          <w:color w:val="000000"/>
          <w:sz w:val="24"/>
          <w:szCs w:val="24"/>
          <w:lang w:eastAsia="lt-LT"/>
        </w:rPr>
        <w:t xml:space="preserve">m. </w:t>
      </w:r>
      <w:r w:rsidR="00F83C4D">
        <w:rPr>
          <w:rFonts w:ascii="Times New Roman" w:eastAsia="Times New Roman" w:hAnsi="Times New Roman"/>
          <w:color w:val="000000"/>
          <w:sz w:val="24"/>
          <w:szCs w:val="24"/>
          <w:lang w:eastAsia="lt-LT"/>
        </w:rPr>
        <w:t xml:space="preserve">                        </w:t>
      </w:r>
      <w:r w:rsidR="00F83C4D" w:rsidRPr="00F83C4D">
        <w:rPr>
          <w:rFonts w:ascii="Times New Roman" w:eastAsia="Times New Roman" w:hAnsi="Times New Roman"/>
          <w:color w:val="000000"/>
          <w:sz w:val="24"/>
          <w:szCs w:val="24"/>
          <w:lang w:eastAsia="lt-LT"/>
        </w:rPr>
        <w:t xml:space="preserve"> d. Nr.</w:t>
      </w:r>
    </w:p>
    <w:p w:rsidR="00F83C4D" w:rsidRPr="00F83C4D" w:rsidRDefault="00F83C4D" w:rsidP="00B510B4">
      <w:pPr>
        <w:spacing w:after="0" w:line="240" w:lineRule="auto"/>
        <w:jc w:val="center"/>
        <w:rPr>
          <w:rFonts w:ascii="Times New Roman" w:eastAsia="Times New Roman" w:hAnsi="Times New Roman"/>
          <w:color w:val="000000"/>
          <w:sz w:val="24"/>
          <w:szCs w:val="24"/>
          <w:lang w:eastAsia="lt-LT"/>
        </w:rPr>
      </w:pPr>
      <w:r w:rsidRPr="00F83C4D">
        <w:rPr>
          <w:rFonts w:ascii="Times New Roman" w:eastAsia="Times New Roman" w:hAnsi="Times New Roman"/>
          <w:color w:val="000000"/>
          <w:sz w:val="24"/>
          <w:szCs w:val="24"/>
          <w:lang w:eastAsia="lt-LT"/>
        </w:rPr>
        <w:t>Vilnius</w:t>
      </w:r>
    </w:p>
    <w:p w:rsidR="00F83C4D" w:rsidRPr="00F83C4D" w:rsidRDefault="00F83C4D" w:rsidP="00B510B4">
      <w:pPr>
        <w:spacing w:after="0" w:line="240" w:lineRule="auto"/>
        <w:jc w:val="center"/>
        <w:rPr>
          <w:rFonts w:ascii="Times New Roman" w:eastAsia="Times New Roman" w:hAnsi="Times New Roman"/>
          <w:color w:val="000000"/>
          <w:sz w:val="24"/>
          <w:szCs w:val="24"/>
          <w:lang w:eastAsia="lt-LT"/>
        </w:rPr>
      </w:pPr>
    </w:p>
    <w:bookmarkStart w:id="2" w:name="X233b98cff4bb4a11b72ce8dc8c008e1f"/>
    <w:bookmarkStart w:id="3" w:name="n1_3"/>
    <w:bookmarkEnd w:id="2"/>
    <w:p w:rsidR="00F83C4D" w:rsidRPr="00F83C4D" w:rsidRDefault="00F83C4D" w:rsidP="006D07FE">
      <w:pPr>
        <w:spacing w:after="0" w:line="360" w:lineRule="auto"/>
        <w:ind w:firstLine="720"/>
        <w:rPr>
          <w:rFonts w:ascii="Times New Roman" w:eastAsia="Times New Roman" w:hAnsi="Times New Roman"/>
          <w:b/>
          <w:bCs/>
          <w:color w:val="000000"/>
          <w:sz w:val="24"/>
          <w:szCs w:val="24"/>
          <w:lang w:eastAsia="lt-LT"/>
        </w:rPr>
      </w:pPr>
      <w:r w:rsidRPr="000B0D8D">
        <w:rPr>
          <w:rFonts w:ascii="Times New Roman" w:eastAsia="Times New Roman" w:hAnsi="Times New Roman"/>
          <w:b/>
          <w:bCs/>
          <w:color w:val="000000"/>
          <w:sz w:val="24"/>
          <w:szCs w:val="24"/>
          <w:lang w:eastAsia="lt-LT"/>
        </w:rPr>
        <w:fldChar w:fldCharType="begin"/>
      </w:r>
      <w:r w:rsidRPr="000B0D8D">
        <w:rPr>
          <w:rFonts w:ascii="Times New Roman" w:eastAsia="Times New Roman" w:hAnsi="Times New Roman"/>
          <w:b/>
          <w:bCs/>
          <w:color w:val="000000"/>
          <w:sz w:val="24"/>
          <w:szCs w:val="24"/>
          <w:lang w:eastAsia="lt-LT"/>
        </w:rPr>
        <w:instrText xml:space="preserve"> HYPERLINK "javascript:OL('57093','1')" \o "Lietuvos bankas (str. 1)" </w:instrText>
      </w:r>
      <w:r w:rsidRPr="000B0D8D">
        <w:rPr>
          <w:rFonts w:ascii="Times New Roman" w:eastAsia="Times New Roman" w:hAnsi="Times New Roman"/>
          <w:b/>
          <w:bCs/>
          <w:color w:val="000000"/>
          <w:sz w:val="24"/>
          <w:szCs w:val="24"/>
          <w:lang w:eastAsia="lt-LT"/>
        </w:rPr>
        <w:fldChar w:fldCharType="separate"/>
      </w:r>
      <w:r w:rsidRPr="000B0D8D">
        <w:rPr>
          <w:rFonts w:ascii="Times New Roman" w:eastAsia="Times New Roman" w:hAnsi="Times New Roman"/>
          <w:b/>
          <w:bCs/>
          <w:iCs/>
          <w:color w:val="000000"/>
          <w:sz w:val="24"/>
          <w:szCs w:val="24"/>
          <w:lang w:eastAsia="lt-LT"/>
        </w:rPr>
        <w:t>1</w:t>
      </w:r>
      <w:r w:rsidRPr="000B0D8D">
        <w:rPr>
          <w:rFonts w:ascii="Times New Roman" w:eastAsia="Times New Roman" w:hAnsi="Times New Roman"/>
          <w:b/>
          <w:bCs/>
          <w:color w:val="000000"/>
          <w:sz w:val="24"/>
          <w:szCs w:val="24"/>
          <w:lang w:eastAsia="lt-LT"/>
        </w:rPr>
        <w:fldChar w:fldCharType="end"/>
      </w:r>
      <w:bookmarkStart w:id="4" w:name="pn1_3"/>
      <w:bookmarkEnd w:id="3"/>
      <w:bookmarkEnd w:id="4"/>
      <w:r w:rsidRPr="00F83C4D">
        <w:rPr>
          <w:rFonts w:ascii="Times New Roman" w:eastAsia="Times New Roman" w:hAnsi="Times New Roman"/>
          <w:b/>
          <w:bCs/>
          <w:color w:val="000000"/>
          <w:sz w:val="24"/>
          <w:szCs w:val="24"/>
          <w:lang w:eastAsia="lt-LT"/>
        </w:rPr>
        <w:t xml:space="preserve"> straipsnis. 42 straipsnio pakeitimas</w:t>
      </w:r>
    </w:p>
    <w:p w:rsidR="00F83C4D" w:rsidRPr="009C44DC" w:rsidRDefault="00F83C4D" w:rsidP="009C44DC">
      <w:pPr>
        <w:spacing w:after="0" w:line="360" w:lineRule="auto"/>
        <w:ind w:firstLine="720"/>
        <w:jc w:val="both"/>
        <w:rPr>
          <w:rFonts w:ascii="Times New Roman" w:eastAsia="Times New Roman" w:hAnsi="Times New Roman"/>
          <w:color w:val="000000"/>
          <w:sz w:val="24"/>
          <w:szCs w:val="24"/>
          <w:lang w:eastAsia="lt-LT"/>
        </w:rPr>
      </w:pPr>
      <w:r w:rsidRPr="00F83C4D">
        <w:rPr>
          <w:rFonts w:ascii="Times New Roman" w:eastAsia="Times New Roman" w:hAnsi="Times New Roman"/>
          <w:color w:val="000000"/>
          <w:sz w:val="24"/>
          <w:szCs w:val="24"/>
          <w:lang w:eastAsia="lt-LT"/>
        </w:rPr>
        <w:t xml:space="preserve">1. Pakeisti </w:t>
      </w:r>
      <w:bookmarkStart w:id="5" w:name="n1_8"/>
      <w:r w:rsidRPr="00F83C4D">
        <w:rPr>
          <w:rFonts w:ascii="Times New Roman" w:eastAsia="Times New Roman" w:hAnsi="Times New Roman"/>
          <w:color w:val="000000"/>
          <w:sz w:val="24"/>
          <w:szCs w:val="24"/>
          <w:lang w:eastAsia="lt-LT"/>
        </w:rPr>
        <w:fldChar w:fldCharType="begin"/>
      </w:r>
      <w:r w:rsidRPr="00F83C4D">
        <w:rPr>
          <w:rFonts w:ascii="Times New Roman" w:eastAsia="Times New Roman" w:hAnsi="Times New Roman"/>
          <w:color w:val="000000"/>
          <w:sz w:val="24"/>
          <w:szCs w:val="24"/>
          <w:lang w:eastAsia="lt-LT"/>
        </w:rPr>
        <w:instrText xml:space="preserve"> HYPERLINK "javascript:OL('57093','42')" \o "Lietuvos banko tikslas, funkcijos, teisės ir pareigos atliekant finansų rinkos priežiūrą (str. 42)" </w:instrText>
      </w:r>
      <w:r w:rsidRPr="00F83C4D">
        <w:rPr>
          <w:rFonts w:ascii="Times New Roman" w:eastAsia="Times New Roman" w:hAnsi="Times New Roman"/>
          <w:color w:val="000000"/>
          <w:sz w:val="24"/>
          <w:szCs w:val="24"/>
          <w:lang w:eastAsia="lt-LT"/>
        </w:rPr>
        <w:fldChar w:fldCharType="separate"/>
      </w:r>
      <w:r w:rsidRPr="00F83C4D">
        <w:rPr>
          <w:rFonts w:ascii="Times New Roman" w:eastAsia="Times New Roman" w:hAnsi="Times New Roman"/>
          <w:iCs/>
          <w:color w:val="000000"/>
          <w:sz w:val="24"/>
          <w:szCs w:val="24"/>
          <w:lang w:eastAsia="lt-LT"/>
        </w:rPr>
        <w:t>42</w:t>
      </w:r>
      <w:r w:rsidRPr="00F83C4D">
        <w:rPr>
          <w:rFonts w:ascii="Times New Roman" w:eastAsia="Times New Roman" w:hAnsi="Times New Roman"/>
          <w:color w:val="000000"/>
          <w:sz w:val="24"/>
          <w:szCs w:val="24"/>
          <w:lang w:eastAsia="lt-LT"/>
        </w:rPr>
        <w:fldChar w:fldCharType="end"/>
      </w:r>
      <w:bookmarkStart w:id="6" w:name="pn1_8"/>
      <w:bookmarkEnd w:id="5"/>
      <w:bookmarkEnd w:id="6"/>
      <w:r w:rsidRPr="00F83C4D">
        <w:rPr>
          <w:rFonts w:ascii="Times New Roman" w:eastAsia="Times New Roman" w:hAnsi="Times New Roman"/>
          <w:color w:val="000000"/>
          <w:sz w:val="24"/>
          <w:szCs w:val="24"/>
          <w:lang w:eastAsia="lt-LT"/>
        </w:rPr>
        <w:t xml:space="preserve"> straipsn</w:t>
      </w:r>
      <w:r>
        <w:rPr>
          <w:rFonts w:ascii="Times New Roman" w:eastAsia="Times New Roman" w:hAnsi="Times New Roman"/>
          <w:color w:val="000000"/>
          <w:sz w:val="24"/>
          <w:szCs w:val="24"/>
          <w:lang w:eastAsia="lt-LT"/>
        </w:rPr>
        <w:t>io 1 dalį ir ją išdėstyti taip:</w:t>
      </w:r>
    </w:p>
    <w:p w:rsidR="00F83C4D" w:rsidRPr="00F83C4D" w:rsidRDefault="009C44DC" w:rsidP="006D07FE">
      <w:pPr>
        <w:pStyle w:val="tajtip"/>
        <w:spacing w:line="360" w:lineRule="auto"/>
      </w:pPr>
      <w:r>
        <w:t>„</w:t>
      </w:r>
      <w:r w:rsidR="00F83C4D" w:rsidRPr="00D41504">
        <w:t xml:space="preserve">1. Prižiūrimi finansų rinkos dalyviai yra: bankai, užsienio valstybių bankų filialai, įsteigti Lietuvos Respublikoje, centrinės kredito unijos, kredito unijos, draudimo įmonės, perdraudimo įmonės, užsienio valstybių draudimo ir perdraudimo įmonių filialai, įsteigti Lietuvos Respublikoje, draudimo brokerių įmonės ir užsienio valstybių draudimo ir perdraudimo tarpininkų filialai, įsteigti Lietuvos Respublikoje, elektroninių pinigų įstaigos, elektroninių pinigų įstaigų tarpininkai ir užsienio valstybių elektroninių pinigų įstaigų filialai, įsteigti Lietuvos Respublikoje, finansų maklerio įmonės, finansų maklerio įmonės priklausomi tarpininkai, finansų patarėjo įmonės, reguliuojamos rinkos operatoriai, informacijos apie sandorius paslaugų teikėjai, lyginamojo indekso administratoriai, prižiūrimi duomenų tiekėjai, valdymo įmonės, investicinės bendrovės, depozitoriumai, užsienio valstybių finansų maklerio įmonės ir valdymo įmonių filialai, įsteigti Lietuvos Respublikoje, pensijų asociacijos, </w:t>
      </w:r>
      <w:r w:rsidR="00F83C4D">
        <w:rPr>
          <w:b/>
        </w:rPr>
        <w:t>pensijų anuitet</w:t>
      </w:r>
      <w:r w:rsidR="00582A06">
        <w:rPr>
          <w:b/>
        </w:rPr>
        <w:t>ų</w:t>
      </w:r>
      <w:r w:rsidR="00F83C4D">
        <w:rPr>
          <w:b/>
        </w:rPr>
        <w:t xml:space="preserve"> mokėtojas, </w:t>
      </w:r>
      <w:r w:rsidR="00F83C4D" w:rsidRPr="00D41504">
        <w:t>kontroliuojančiosios investicinės bendrovės ir emitentai, mokėjimo įstaigos ir mokėjimo įstaigų tarpininkai, vartojimo kredito davėjai, vartojimo kredito tarpininkai, kredito davėjai, tarpusavio skolinimo platformos operatoriai ir kredito tarpininkai, sutelktinio finansavimo platformų operatoriai, mokėjimo ir vertybinių popierių atsiskaitymo sistemų operatoriai, nacionalinės plėtros įstaigos</w:t>
      </w:r>
      <w:r w:rsidR="00F83C4D">
        <w:t>,</w:t>
      </w:r>
      <w:r w:rsidR="00F83C4D" w:rsidRPr="00D41504">
        <w:rPr>
          <w:color w:val="FF0000"/>
        </w:rPr>
        <w:t xml:space="preserve"> </w:t>
      </w:r>
      <w:r w:rsidR="00F83C4D" w:rsidRPr="00D41504">
        <w:t>ir</w:t>
      </w:r>
      <w:r w:rsidR="00F83C4D">
        <w:t xml:space="preserve"> valiutos keityklų operatoriai</w:t>
      </w:r>
      <w:r w:rsidR="00F83C4D" w:rsidRPr="00F83C4D">
        <w:rPr>
          <w:color w:val="000000"/>
        </w:rPr>
        <w:t>.“</w:t>
      </w:r>
    </w:p>
    <w:p w:rsidR="00F83C4D" w:rsidRPr="00AD054A" w:rsidRDefault="00F83C4D" w:rsidP="003D276D">
      <w:pPr>
        <w:spacing w:after="0" w:line="360" w:lineRule="auto"/>
        <w:ind w:firstLine="720"/>
        <w:jc w:val="both"/>
        <w:rPr>
          <w:rFonts w:ascii="Times New Roman" w:hAnsi="Times New Roman"/>
          <w:sz w:val="24"/>
          <w:szCs w:val="24"/>
        </w:rPr>
      </w:pPr>
      <w:r w:rsidRPr="00F83C4D">
        <w:rPr>
          <w:rFonts w:ascii="Times New Roman" w:eastAsia="Times New Roman" w:hAnsi="Times New Roman"/>
          <w:color w:val="000000"/>
          <w:sz w:val="24"/>
          <w:szCs w:val="24"/>
          <w:lang w:eastAsia="lt-LT"/>
        </w:rPr>
        <w:t xml:space="preserve">2. </w:t>
      </w:r>
      <w:r w:rsidRPr="00AD054A">
        <w:rPr>
          <w:rFonts w:ascii="Times New Roman" w:hAnsi="Times New Roman"/>
          <w:sz w:val="24"/>
          <w:szCs w:val="24"/>
        </w:rPr>
        <w:t>Papildyti 42 straipsnio 2 dalį 14 punktu:</w:t>
      </w:r>
    </w:p>
    <w:p w:rsidR="00F83C4D" w:rsidRPr="00F83C4D" w:rsidRDefault="00F83C4D" w:rsidP="003D276D">
      <w:pPr>
        <w:pStyle w:val="tajtip"/>
        <w:spacing w:line="360" w:lineRule="auto"/>
        <w:rPr>
          <w:b/>
        </w:rPr>
      </w:pPr>
      <w:r w:rsidRPr="006D07FE">
        <w:t>„</w:t>
      </w:r>
      <w:r w:rsidRPr="00D41504">
        <w:rPr>
          <w:b/>
        </w:rPr>
        <w:t>14) atlieka pensijų anuitet</w:t>
      </w:r>
      <w:r w:rsidR="00582A06">
        <w:rPr>
          <w:b/>
        </w:rPr>
        <w:t>ų</w:t>
      </w:r>
      <w:r w:rsidRPr="00D41504">
        <w:rPr>
          <w:b/>
        </w:rPr>
        <w:t xml:space="preserve"> mokėtojo </w:t>
      </w:r>
      <w:r w:rsidR="004F63EB">
        <w:rPr>
          <w:b/>
        </w:rPr>
        <w:t xml:space="preserve">vykdomos </w:t>
      </w:r>
      <w:bookmarkStart w:id="7" w:name="_GoBack"/>
      <w:bookmarkEnd w:id="7"/>
      <w:r w:rsidRPr="00AD054A">
        <w:rPr>
          <w:b/>
        </w:rPr>
        <w:t>pensijų anuitet</w:t>
      </w:r>
      <w:r w:rsidR="00B9343E">
        <w:rPr>
          <w:b/>
        </w:rPr>
        <w:t>ų</w:t>
      </w:r>
      <w:r w:rsidRPr="00AD054A">
        <w:rPr>
          <w:b/>
        </w:rPr>
        <w:t xml:space="preserve"> mokėjimo veiklos</w:t>
      </w:r>
      <w:r>
        <w:rPr>
          <w:b/>
        </w:rPr>
        <w:t xml:space="preserve"> </w:t>
      </w:r>
      <w:r w:rsidRPr="00D41504">
        <w:rPr>
          <w:b/>
        </w:rPr>
        <w:t xml:space="preserve">priežiūrą ir kitas Lietuvos Respublikos pensijų kaupimo </w:t>
      </w:r>
      <w:r w:rsidR="0025068B" w:rsidRPr="00D41504">
        <w:rPr>
          <w:b/>
        </w:rPr>
        <w:t>įstatym</w:t>
      </w:r>
      <w:r w:rsidR="0025068B">
        <w:rPr>
          <w:b/>
        </w:rPr>
        <w:t>e</w:t>
      </w:r>
      <w:r w:rsidR="0025068B" w:rsidRPr="00D41504">
        <w:rPr>
          <w:b/>
        </w:rPr>
        <w:t xml:space="preserve"> </w:t>
      </w:r>
      <w:r w:rsidRPr="00D41504">
        <w:rPr>
          <w:b/>
        </w:rPr>
        <w:t>Lietuvos bankui priskirtas funkcijas</w:t>
      </w:r>
      <w:r w:rsidR="00CE4C8F">
        <w:rPr>
          <w:b/>
        </w:rPr>
        <w:t>.</w:t>
      </w:r>
      <w:r w:rsidRPr="0025068B">
        <w:rPr>
          <w:color w:val="000000"/>
        </w:rPr>
        <w:t>“</w:t>
      </w:r>
    </w:p>
    <w:p w:rsidR="00F83C4D" w:rsidRPr="00F83C4D" w:rsidRDefault="00F83C4D" w:rsidP="006D07FE">
      <w:pPr>
        <w:spacing w:after="0" w:line="360" w:lineRule="auto"/>
        <w:ind w:firstLine="720"/>
        <w:jc w:val="both"/>
        <w:rPr>
          <w:rFonts w:ascii="Times New Roman" w:eastAsia="Times New Roman" w:hAnsi="Times New Roman"/>
          <w:color w:val="000000"/>
          <w:sz w:val="24"/>
          <w:szCs w:val="24"/>
          <w:lang w:eastAsia="lt-LT"/>
        </w:rPr>
      </w:pPr>
      <w:r w:rsidRPr="00F83C4D">
        <w:rPr>
          <w:rFonts w:ascii="Times New Roman" w:eastAsia="Times New Roman" w:hAnsi="Times New Roman"/>
          <w:color w:val="000000"/>
          <w:sz w:val="24"/>
          <w:szCs w:val="24"/>
          <w:lang w:eastAsia="lt-LT"/>
        </w:rPr>
        <w:t> </w:t>
      </w:r>
    </w:p>
    <w:p w:rsidR="00F83C4D" w:rsidRDefault="00F83C4D" w:rsidP="006D07FE">
      <w:pPr>
        <w:spacing w:after="0" w:line="360" w:lineRule="auto"/>
        <w:ind w:firstLine="720"/>
        <w:rPr>
          <w:rFonts w:ascii="Times New Roman" w:eastAsia="Times New Roman" w:hAnsi="Times New Roman"/>
          <w:b/>
          <w:bCs/>
          <w:color w:val="000000"/>
          <w:sz w:val="24"/>
          <w:szCs w:val="24"/>
          <w:lang w:eastAsia="lt-LT"/>
        </w:rPr>
      </w:pPr>
      <w:bookmarkStart w:id="8" w:name="Xb56e415188ac4d8e84b3a56e82a3a298"/>
      <w:bookmarkEnd w:id="8"/>
      <w:r w:rsidRPr="00F83C4D">
        <w:rPr>
          <w:rFonts w:ascii="Times New Roman" w:eastAsia="Times New Roman" w:hAnsi="Times New Roman"/>
          <w:b/>
          <w:bCs/>
          <w:color w:val="000000"/>
          <w:sz w:val="24"/>
          <w:szCs w:val="24"/>
          <w:lang w:eastAsia="lt-LT"/>
        </w:rPr>
        <w:t>2 straipsnis. 4</w:t>
      </w:r>
      <w:r>
        <w:rPr>
          <w:rFonts w:ascii="Times New Roman" w:eastAsia="Times New Roman" w:hAnsi="Times New Roman"/>
          <w:b/>
          <w:bCs/>
          <w:color w:val="000000"/>
          <w:sz w:val="24"/>
          <w:szCs w:val="24"/>
          <w:lang w:eastAsia="lt-LT"/>
        </w:rPr>
        <w:t>7</w:t>
      </w:r>
      <w:r w:rsidRPr="00F83C4D">
        <w:rPr>
          <w:rFonts w:ascii="Times New Roman" w:eastAsia="Times New Roman" w:hAnsi="Times New Roman"/>
          <w:b/>
          <w:bCs/>
          <w:color w:val="000000"/>
          <w:sz w:val="24"/>
          <w:szCs w:val="24"/>
          <w:lang w:eastAsia="lt-LT"/>
        </w:rPr>
        <w:t xml:space="preserve"> straipsnio pakeitimas</w:t>
      </w:r>
    </w:p>
    <w:p w:rsidR="00F83C4D" w:rsidRPr="00F83C4D" w:rsidRDefault="00F83C4D" w:rsidP="006D07FE">
      <w:pPr>
        <w:spacing w:after="0" w:line="360" w:lineRule="auto"/>
        <w:ind w:firstLine="720"/>
        <w:jc w:val="both"/>
        <w:rPr>
          <w:rFonts w:ascii="Times New Roman" w:eastAsia="Times New Roman" w:hAnsi="Times New Roman"/>
          <w:color w:val="000000"/>
          <w:sz w:val="24"/>
          <w:szCs w:val="24"/>
          <w:lang w:eastAsia="lt-LT"/>
        </w:rPr>
      </w:pPr>
      <w:r w:rsidRPr="00F83C4D">
        <w:rPr>
          <w:rFonts w:ascii="Times New Roman" w:eastAsia="Times New Roman" w:hAnsi="Times New Roman"/>
          <w:color w:val="000000"/>
          <w:sz w:val="24"/>
          <w:szCs w:val="24"/>
          <w:lang w:eastAsia="lt-LT"/>
        </w:rPr>
        <w:t xml:space="preserve">Pakeisti </w:t>
      </w:r>
      <w:hyperlink r:id="rId11" w:tooltip="Lietuvos banko tikslas, funkcijos, teisės ir pareigos atliekant finansų rinkos priežiūrą (str. 42)" w:history="1">
        <w:r w:rsidRPr="00F83C4D">
          <w:rPr>
            <w:rFonts w:ascii="Times New Roman" w:eastAsia="Times New Roman" w:hAnsi="Times New Roman"/>
            <w:iCs/>
            <w:color w:val="000000"/>
            <w:sz w:val="24"/>
            <w:szCs w:val="24"/>
            <w:lang w:eastAsia="lt-LT"/>
          </w:rPr>
          <w:t>4</w:t>
        </w:r>
      </w:hyperlink>
      <w:r w:rsidR="00AD054A">
        <w:rPr>
          <w:rFonts w:ascii="Times New Roman" w:eastAsia="Times New Roman" w:hAnsi="Times New Roman"/>
          <w:color w:val="000000"/>
          <w:sz w:val="24"/>
          <w:szCs w:val="24"/>
          <w:lang w:eastAsia="lt-LT"/>
        </w:rPr>
        <w:t>7</w:t>
      </w:r>
      <w:r w:rsidRPr="00F83C4D">
        <w:rPr>
          <w:rFonts w:ascii="Times New Roman" w:eastAsia="Times New Roman" w:hAnsi="Times New Roman"/>
          <w:color w:val="000000"/>
          <w:sz w:val="24"/>
          <w:szCs w:val="24"/>
          <w:lang w:eastAsia="lt-LT"/>
        </w:rPr>
        <w:t xml:space="preserve"> straipsn</w:t>
      </w:r>
      <w:r>
        <w:rPr>
          <w:rFonts w:ascii="Times New Roman" w:eastAsia="Times New Roman" w:hAnsi="Times New Roman"/>
          <w:color w:val="000000"/>
          <w:sz w:val="24"/>
          <w:szCs w:val="24"/>
          <w:lang w:eastAsia="lt-LT"/>
        </w:rPr>
        <w:t>io 1 dalį ir ją išdėstyti taip:</w:t>
      </w:r>
    </w:p>
    <w:p w:rsidR="00F83C4D" w:rsidRDefault="00F83C4D" w:rsidP="006D07FE">
      <w:pPr>
        <w:pStyle w:val="tajtip"/>
        <w:spacing w:line="360" w:lineRule="auto"/>
        <w:rPr>
          <w:color w:val="000000"/>
        </w:rPr>
      </w:pPr>
      <w:r>
        <w:rPr>
          <w:color w:val="000000"/>
        </w:rPr>
        <w:t>„</w:t>
      </w:r>
      <w:r w:rsidRPr="009365A4">
        <w:rPr>
          <w:color w:val="000000"/>
        </w:rPr>
        <w:t xml:space="preserve">1. Lietuvos bankas nagrinėja šio straipsnio 2 dalyje nurodytų vartotojų (toliau – vartotojai) ginčus su šio įstatymo 42 straipsnyje nurodytais finansų rinkos dalyviais ir kitais juridiniais asmenimis, kylančius iš finansinių ir (arba) papildomų investicinių paslaugų teikimo, iš draudimo </w:t>
      </w:r>
      <w:r w:rsidRPr="009365A4">
        <w:rPr>
          <w:color w:val="000000"/>
        </w:rPr>
        <w:lastRenderedPageBreak/>
        <w:t xml:space="preserve">paslaugų sutarties ar susijusius su ja, jeigu tokiai sutarčiai yra taikytina Lietuvos Respublikos teisė, taip pat vartotojų ginčus su kitais ūkio subjektais, kylančius dėl Lietuvos Respublikos </w:t>
      </w:r>
      <w:bookmarkStart w:id="9" w:name="n1_475"/>
      <w:r w:rsidRPr="009365A4">
        <w:fldChar w:fldCharType="begin"/>
      </w:r>
      <w:r w:rsidRPr="009365A4">
        <w:instrText xml:space="preserve"> HYPERLINK "http://www.infolex.lt/ta/21670" \o "Lietuvos Respublikos mokėjimų įstatymas" \t "_blank" </w:instrText>
      </w:r>
      <w:r w:rsidRPr="009365A4">
        <w:fldChar w:fldCharType="separate"/>
      </w:r>
      <w:r w:rsidRPr="009365A4">
        <w:rPr>
          <w:rStyle w:val="Hipersaitas"/>
          <w:color w:val="auto"/>
        </w:rPr>
        <w:t>mokėjimų įstatyme</w:t>
      </w:r>
      <w:r w:rsidRPr="009365A4">
        <w:fldChar w:fldCharType="end"/>
      </w:r>
      <w:bookmarkStart w:id="10" w:name="pn1_475"/>
      <w:bookmarkEnd w:id="9"/>
      <w:bookmarkEnd w:id="10"/>
      <w:r w:rsidRPr="009365A4">
        <w:t xml:space="preserve"> </w:t>
      </w:r>
      <w:r w:rsidRPr="009365A4">
        <w:rPr>
          <w:color w:val="000000"/>
        </w:rPr>
        <w:t xml:space="preserve">nustatytų reikalavimų laikymosi, kai ginčo nagrinėjimas Lietuvos bankui priskirtas finansų rinką reglamentuojančiuose įstatymuose. Lietuvos bankas taip pat nagrinėja vartotojų – Lietuvoje įsteigtų kolektyvinio investavimo subjektų, pensijų fondų dalyvių ginčus su šių subjektų ar fondų valdytojais, kylančius iš dalyvavimo atitinkamame subjekte ar fonde santykių, </w:t>
      </w:r>
      <w:r w:rsidRPr="009365A4">
        <w:rPr>
          <w:b/>
        </w:rPr>
        <w:t>pensijų anuitetų gavėjų</w:t>
      </w:r>
      <w:r w:rsidRPr="009365A4">
        <w:rPr>
          <w:b/>
          <w:color w:val="000000"/>
        </w:rPr>
        <w:t xml:space="preserve"> ginčus su pensijų anuitet</w:t>
      </w:r>
      <w:r w:rsidR="00582A06">
        <w:rPr>
          <w:b/>
          <w:color w:val="000000"/>
        </w:rPr>
        <w:t>ų</w:t>
      </w:r>
      <w:r w:rsidRPr="009365A4">
        <w:rPr>
          <w:b/>
          <w:color w:val="000000"/>
        </w:rPr>
        <w:t xml:space="preserve"> mokėtoju</w:t>
      </w:r>
      <w:r w:rsidR="00CE4C8F">
        <w:rPr>
          <w:b/>
          <w:color w:val="000000"/>
        </w:rPr>
        <w:t>, kylančius iš pensijų anuitet</w:t>
      </w:r>
      <w:r w:rsidR="00582A06">
        <w:rPr>
          <w:b/>
          <w:color w:val="000000"/>
        </w:rPr>
        <w:t>ų</w:t>
      </w:r>
      <w:r w:rsidR="00CE4C8F">
        <w:rPr>
          <w:b/>
          <w:color w:val="000000"/>
        </w:rPr>
        <w:t xml:space="preserve"> </w:t>
      </w:r>
      <w:r w:rsidR="0042735C">
        <w:rPr>
          <w:b/>
          <w:color w:val="000000"/>
        </w:rPr>
        <w:t>mokėjimo santykių</w:t>
      </w:r>
      <w:r w:rsidRPr="006D07FE">
        <w:rPr>
          <w:b/>
          <w:color w:val="000000"/>
        </w:rPr>
        <w:t>,</w:t>
      </w:r>
      <w:r>
        <w:rPr>
          <w:color w:val="000000"/>
        </w:rPr>
        <w:t xml:space="preserve"> </w:t>
      </w:r>
      <w:r w:rsidRPr="009365A4">
        <w:rPr>
          <w:color w:val="000000"/>
        </w:rPr>
        <w:t>taip pat investuotojų ir emitentų, savo jėgomis vykdančių pirminę vertybinių popierių emisiją, ginčus, kylančius iš vertybinių popierių platinimo santykių. Šioje dalyje nurodytoms paslaugoms apibūdinti toliau šiame straipsnyje vartojama sąvoka „finansinės paslaugos“, o šių paslaugų teikėjams – „finansų rinkos dalyviai“</w:t>
      </w:r>
      <w:r w:rsidR="0025068B">
        <w:rPr>
          <w:color w:val="000000"/>
        </w:rPr>
        <w:t>.“</w:t>
      </w:r>
    </w:p>
    <w:p w:rsidR="001D4642" w:rsidRPr="009365A4" w:rsidRDefault="001D4642" w:rsidP="006D07FE">
      <w:pPr>
        <w:pStyle w:val="tajtip"/>
        <w:spacing w:line="360" w:lineRule="auto"/>
        <w:rPr>
          <w:color w:val="000000"/>
        </w:rPr>
      </w:pPr>
    </w:p>
    <w:p w:rsidR="00F83C4D" w:rsidRPr="00F83C4D" w:rsidRDefault="00F83C4D" w:rsidP="006D07FE">
      <w:pPr>
        <w:spacing w:after="0" w:line="360" w:lineRule="auto"/>
        <w:ind w:firstLine="720"/>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 xml:space="preserve">3 straipsnis. </w:t>
      </w:r>
      <w:r w:rsidRPr="00F83C4D">
        <w:rPr>
          <w:rFonts w:ascii="Times New Roman" w:eastAsia="Times New Roman" w:hAnsi="Times New Roman"/>
          <w:b/>
          <w:bCs/>
          <w:color w:val="000000"/>
          <w:sz w:val="24"/>
          <w:szCs w:val="24"/>
          <w:lang w:eastAsia="lt-LT"/>
        </w:rPr>
        <w:t>Įstatymo įsigaliojimas ir įgyvendinimas</w:t>
      </w:r>
    </w:p>
    <w:p w:rsidR="00F83C4D" w:rsidRPr="00F83C4D" w:rsidRDefault="00F83C4D" w:rsidP="006D07FE">
      <w:pPr>
        <w:spacing w:after="0" w:line="360" w:lineRule="auto"/>
        <w:ind w:firstLine="720"/>
        <w:jc w:val="both"/>
        <w:rPr>
          <w:rFonts w:ascii="Times New Roman" w:eastAsia="Times New Roman" w:hAnsi="Times New Roman"/>
          <w:color w:val="000000"/>
          <w:sz w:val="24"/>
          <w:szCs w:val="24"/>
          <w:lang w:eastAsia="lt-LT"/>
        </w:rPr>
      </w:pPr>
      <w:r w:rsidRPr="00F83C4D">
        <w:rPr>
          <w:rFonts w:ascii="Times New Roman" w:eastAsia="Times New Roman" w:hAnsi="Times New Roman"/>
          <w:color w:val="000000"/>
          <w:sz w:val="24"/>
          <w:szCs w:val="24"/>
          <w:lang w:eastAsia="lt-LT"/>
        </w:rPr>
        <w:t>1. Šis įstatymas, išskyrus šio straipsnio 2 dalį, įsigalioja 20</w:t>
      </w:r>
      <w:r>
        <w:rPr>
          <w:rFonts w:ascii="Times New Roman" w:eastAsia="Times New Roman" w:hAnsi="Times New Roman"/>
          <w:color w:val="000000"/>
          <w:sz w:val="24"/>
          <w:szCs w:val="24"/>
          <w:lang w:eastAsia="lt-LT"/>
        </w:rPr>
        <w:t>20</w:t>
      </w:r>
      <w:r w:rsidRPr="00F83C4D">
        <w:rPr>
          <w:rFonts w:ascii="Times New Roman" w:eastAsia="Times New Roman" w:hAnsi="Times New Roman"/>
          <w:color w:val="000000"/>
          <w:sz w:val="24"/>
          <w:szCs w:val="24"/>
          <w:lang w:eastAsia="lt-LT"/>
        </w:rPr>
        <w:t xml:space="preserve"> m. </w:t>
      </w:r>
      <w:r w:rsidR="00006BF5">
        <w:rPr>
          <w:rFonts w:ascii="Times New Roman" w:eastAsia="Times New Roman" w:hAnsi="Times New Roman"/>
          <w:color w:val="000000"/>
          <w:sz w:val="24"/>
          <w:szCs w:val="24"/>
          <w:lang w:eastAsia="lt-LT"/>
        </w:rPr>
        <w:t>liepos</w:t>
      </w:r>
      <w:r w:rsidR="00006BF5" w:rsidRPr="00F83C4D">
        <w:rPr>
          <w:rFonts w:ascii="Times New Roman" w:eastAsia="Times New Roman" w:hAnsi="Times New Roman"/>
          <w:color w:val="000000"/>
          <w:sz w:val="24"/>
          <w:szCs w:val="24"/>
          <w:lang w:eastAsia="lt-LT"/>
        </w:rPr>
        <w:t xml:space="preserve"> </w:t>
      </w:r>
      <w:r w:rsidRPr="00F83C4D">
        <w:rPr>
          <w:rFonts w:ascii="Times New Roman" w:eastAsia="Times New Roman" w:hAnsi="Times New Roman"/>
          <w:color w:val="000000"/>
          <w:sz w:val="24"/>
          <w:szCs w:val="24"/>
          <w:lang w:eastAsia="lt-LT"/>
        </w:rPr>
        <w:t>1 d.</w:t>
      </w:r>
    </w:p>
    <w:p w:rsidR="00F83C4D" w:rsidRPr="00F83C4D" w:rsidRDefault="00F83C4D" w:rsidP="006D07FE">
      <w:pPr>
        <w:spacing w:after="0" w:line="360" w:lineRule="auto"/>
        <w:ind w:firstLine="720"/>
        <w:jc w:val="both"/>
        <w:rPr>
          <w:rFonts w:ascii="Times New Roman" w:eastAsia="Times New Roman" w:hAnsi="Times New Roman"/>
          <w:color w:val="000000"/>
          <w:sz w:val="24"/>
          <w:szCs w:val="24"/>
          <w:lang w:eastAsia="lt-LT"/>
        </w:rPr>
      </w:pPr>
      <w:r w:rsidRPr="00F83C4D">
        <w:rPr>
          <w:rFonts w:ascii="Times New Roman" w:eastAsia="Times New Roman" w:hAnsi="Times New Roman"/>
          <w:color w:val="000000"/>
          <w:sz w:val="24"/>
          <w:szCs w:val="24"/>
          <w:lang w:eastAsia="lt-LT"/>
        </w:rPr>
        <w:t xml:space="preserve">2. Lietuvos bankas iki </w:t>
      </w:r>
      <w:r w:rsidR="00006BF5" w:rsidRPr="00F83C4D">
        <w:rPr>
          <w:rFonts w:ascii="Times New Roman" w:eastAsia="Times New Roman" w:hAnsi="Times New Roman"/>
          <w:color w:val="000000"/>
          <w:sz w:val="24"/>
          <w:szCs w:val="24"/>
          <w:lang w:eastAsia="lt-LT"/>
        </w:rPr>
        <w:t>20</w:t>
      </w:r>
      <w:r w:rsidR="00006BF5">
        <w:rPr>
          <w:rFonts w:ascii="Times New Roman" w:eastAsia="Times New Roman" w:hAnsi="Times New Roman"/>
          <w:color w:val="000000"/>
          <w:sz w:val="24"/>
          <w:szCs w:val="24"/>
          <w:lang w:eastAsia="lt-LT"/>
        </w:rPr>
        <w:t>20</w:t>
      </w:r>
      <w:r w:rsidR="00006BF5" w:rsidRPr="00F83C4D">
        <w:rPr>
          <w:rFonts w:ascii="Times New Roman" w:eastAsia="Times New Roman" w:hAnsi="Times New Roman"/>
          <w:color w:val="000000"/>
          <w:sz w:val="24"/>
          <w:szCs w:val="24"/>
          <w:lang w:eastAsia="lt-LT"/>
        </w:rPr>
        <w:t xml:space="preserve"> </w:t>
      </w:r>
      <w:r w:rsidRPr="00F83C4D">
        <w:rPr>
          <w:rFonts w:ascii="Times New Roman" w:eastAsia="Times New Roman" w:hAnsi="Times New Roman"/>
          <w:color w:val="000000"/>
          <w:sz w:val="24"/>
          <w:szCs w:val="24"/>
          <w:lang w:eastAsia="lt-LT"/>
        </w:rPr>
        <w:t xml:space="preserve">m. </w:t>
      </w:r>
      <w:r w:rsidR="00006BF5">
        <w:rPr>
          <w:rFonts w:ascii="Times New Roman" w:eastAsia="Times New Roman" w:hAnsi="Times New Roman"/>
          <w:color w:val="000000"/>
          <w:sz w:val="24"/>
          <w:szCs w:val="24"/>
          <w:lang w:eastAsia="lt-LT"/>
        </w:rPr>
        <w:t>birželio</w:t>
      </w:r>
      <w:r w:rsidR="00006BF5" w:rsidRPr="00F83C4D">
        <w:rPr>
          <w:rFonts w:ascii="Times New Roman" w:eastAsia="Times New Roman" w:hAnsi="Times New Roman"/>
          <w:color w:val="000000"/>
          <w:sz w:val="24"/>
          <w:szCs w:val="24"/>
          <w:lang w:eastAsia="lt-LT"/>
        </w:rPr>
        <w:t xml:space="preserve"> 3</w:t>
      </w:r>
      <w:r w:rsidR="00006BF5">
        <w:rPr>
          <w:rFonts w:ascii="Times New Roman" w:eastAsia="Times New Roman" w:hAnsi="Times New Roman"/>
          <w:color w:val="000000"/>
          <w:sz w:val="24"/>
          <w:szCs w:val="24"/>
          <w:lang w:eastAsia="lt-LT"/>
        </w:rPr>
        <w:t>0</w:t>
      </w:r>
      <w:r w:rsidR="00006BF5" w:rsidRPr="00F83C4D">
        <w:rPr>
          <w:rFonts w:ascii="Times New Roman" w:eastAsia="Times New Roman" w:hAnsi="Times New Roman"/>
          <w:color w:val="000000"/>
          <w:sz w:val="24"/>
          <w:szCs w:val="24"/>
          <w:lang w:eastAsia="lt-LT"/>
        </w:rPr>
        <w:t xml:space="preserve"> </w:t>
      </w:r>
      <w:r w:rsidRPr="00F83C4D">
        <w:rPr>
          <w:rFonts w:ascii="Times New Roman" w:eastAsia="Times New Roman" w:hAnsi="Times New Roman"/>
          <w:color w:val="000000"/>
          <w:sz w:val="24"/>
          <w:szCs w:val="24"/>
          <w:lang w:eastAsia="lt-LT"/>
        </w:rPr>
        <w:t>d. priima šio įstatymo įgyvendinamuosius teisės aktus.</w:t>
      </w:r>
    </w:p>
    <w:p w:rsidR="00F83C4D" w:rsidRDefault="00F83C4D" w:rsidP="00F83C4D">
      <w:pPr>
        <w:spacing w:after="0" w:line="240" w:lineRule="auto"/>
        <w:ind w:firstLine="720"/>
        <w:jc w:val="both"/>
        <w:rPr>
          <w:rFonts w:ascii="Times New Roman" w:eastAsia="Times New Roman" w:hAnsi="Times New Roman"/>
          <w:color w:val="000000"/>
          <w:sz w:val="24"/>
          <w:szCs w:val="24"/>
          <w:lang w:eastAsia="lt-LT"/>
        </w:rPr>
      </w:pPr>
    </w:p>
    <w:p w:rsidR="0025068B" w:rsidRPr="00F83C4D" w:rsidRDefault="0025068B" w:rsidP="00F83C4D">
      <w:pPr>
        <w:spacing w:after="0" w:line="240" w:lineRule="auto"/>
        <w:ind w:firstLine="720"/>
        <w:jc w:val="both"/>
        <w:rPr>
          <w:rFonts w:ascii="Times New Roman" w:eastAsia="Times New Roman" w:hAnsi="Times New Roman"/>
          <w:color w:val="000000"/>
          <w:sz w:val="24"/>
          <w:szCs w:val="24"/>
          <w:lang w:eastAsia="lt-LT"/>
        </w:rPr>
      </w:pPr>
    </w:p>
    <w:p w:rsidR="00F83C4D" w:rsidRPr="00F83C4D" w:rsidRDefault="00F83C4D" w:rsidP="00F83C4D">
      <w:pPr>
        <w:spacing w:after="0" w:line="240" w:lineRule="auto"/>
        <w:ind w:firstLine="720"/>
        <w:jc w:val="both"/>
        <w:rPr>
          <w:rFonts w:ascii="Times New Roman" w:eastAsia="Times New Roman" w:hAnsi="Times New Roman"/>
          <w:color w:val="000000"/>
          <w:sz w:val="24"/>
          <w:szCs w:val="24"/>
          <w:lang w:eastAsia="lt-LT"/>
        </w:rPr>
      </w:pPr>
      <w:r w:rsidRPr="00F83C4D">
        <w:rPr>
          <w:rFonts w:ascii="Times New Roman" w:eastAsia="Times New Roman" w:hAnsi="Times New Roman"/>
          <w:i/>
          <w:iCs/>
          <w:color w:val="000000"/>
          <w:sz w:val="24"/>
          <w:szCs w:val="24"/>
          <w:lang w:eastAsia="lt-LT"/>
        </w:rPr>
        <w:t>Skelbiu šį Lietuvos Respublikos Seimo priimtą įstatymą.</w:t>
      </w:r>
    </w:p>
    <w:p w:rsidR="00F83C4D" w:rsidRDefault="00F83C4D" w:rsidP="00F83C4D">
      <w:pPr>
        <w:spacing w:after="0" w:line="240" w:lineRule="auto"/>
        <w:ind w:firstLine="720"/>
        <w:jc w:val="both"/>
        <w:rPr>
          <w:rFonts w:ascii="Times New Roman" w:eastAsia="Times New Roman" w:hAnsi="Times New Roman"/>
          <w:color w:val="000000"/>
          <w:sz w:val="24"/>
          <w:szCs w:val="24"/>
          <w:lang w:eastAsia="lt-LT"/>
        </w:rPr>
      </w:pPr>
      <w:r w:rsidRPr="00F83C4D">
        <w:rPr>
          <w:rFonts w:ascii="Times New Roman" w:eastAsia="Times New Roman" w:hAnsi="Times New Roman"/>
          <w:color w:val="000000"/>
          <w:sz w:val="24"/>
          <w:szCs w:val="24"/>
          <w:lang w:eastAsia="lt-LT"/>
        </w:rPr>
        <w:t> </w:t>
      </w:r>
    </w:p>
    <w:p w:rsidR="0025068B" w:rsidRPr="00F83C4D" w:rsidRDefault="0025068B" w:rsidP="00F83C4D">
      <w:pPr>
        <w:spacing w:after="0" w:line="240" w:lineRule="auto"/>
        <w:ind w:firstLine="720"/>
        <w:jc w:val="both"/>
        <w:rPr>
          <w:rFonts w:ascii="Times New Roman" w:eastAsia="Times New Roman" w:hAnsi="Times New Roman"/>
          <w:color w:val="000000"/>
          <w:sz w:val="24"/>
          <w:szCs w:val="24"/>
          <w:lang w:eastAsia="lt-LT"/>
        </w:rPr>
      </w:pPr>
    </w:p>
    <w:p w:rsidR="00973BCC" w:rsidRPr="00F83C4D" w:rsidRDefault="0025068B" w:rsidP="00F83C4D">
      <w:pPr>
        <w:spacing w:after="0" w:line="240" w:lineRule="auto"/>
        <w:rPr>
          <w:rFonts w:ascii="Times New Roman" w:hAnsi="Times New Roman"/>
          <w:sz w:val="24"/>
          <w:szCs w:val="24"/>
        </w:rPr>
      </w:pPr>
      <w:r>
        <w:rPr>
          <w:rFonts w:ascii="Times New Roman" w:eastAsia="Times New Roman" w:hAnsi="Times New Roman"/>
          <w:color w:val="000000"/>
          <w:sz w:val="24"/>
          <w:szCs w:val="24"/>
          <w:lang w:eastAsia="lt-LT"/>
        </w:rPr>
        <w:t>Respublikos Prezidentas</w:t>
      </w:r>
    </w:p>
    <w:sectPr w:rsidR="00973BCC" w:rsidRPr="00F83C4D" w:rsidSect="00B510B4">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420" w:rsidRDefault="004C7420" w:rsidP="0025068B">
      <w:pPr>
        <w:spacing w:after="0" w:line="240" w:lineRule="auto"/>
      </w:pPr>
      <w:r>
        <w:separator/>
      </w:r>
    </w:p>
  </w:endnote>
  <w:endnote w:type="continuationSeparator" w:id="0">
    <w:p w:rsidR="004C7420" w:rsidRDefault="004C7420" w:rsidP="0025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420" w:rsidRDefault="004C7420" w:rsidP="0025068B">
      <w:pPr>
        <w:spacing w:after="0" w:line="240" w:lineRule="auto"/>
      </w:pPr>
      <w:r>
        <w:separator/>
      </w:r>
    </w:p>
  </w:footnote>
  <w:footnote w:type="continuationSeparator" w:id="0">
    <w:p w:rsidR="004C7420" w:rsidRDefault="004C7420" w:rsidP="00250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68B" w:rsidRPr="006D07FE" w:rsidRDefault="0025068B">
    <w:pPr>
      <w:pStyle w:val="Antrats"/>
      <w:jc w:val="center"/>
      <w:rPr>
        <w:rFonts w:ascii="Times New Roman" w:hAnsi="Times New Roman"/>
        <w:sz w:val="24"/>
        <w:szCs w:val="24"/>
      </w:rPr>
    </w:pPr>
    <w:r w:rsidRPr="006D07FE">
      <w:rPr>
        <w:rFonts w:ascii="Times New Roman" w:hAnsi="Times New Roman"/>
        <w:sz w:val="24"/>
        <w:szCs w:val="24"/>
      </w:rPr>
      <w:fldChar w:fldCharType="begin"/>
    </w:r>
    <w:r w:rsidRPr="006D07FE">
      <w:rPr>
        <w:rFonts w:ascii="Times New Roman" w:hAnsi="Times New Roman"/>
        <w:sz w:val="24"/>
        <w:szCs w:val="24"/>
      </w:rPr>
      <w:instrText>PAGE   \* MERGEFORMAT</w:instrText>
    </w:r>
    <w:r w:rsidRPr="006D07FE">
      <w:rPr>
        <w:rFonts w:ascii="Times New Roman" w:hAnsi="Times New Roman"/>
        <w:sz w:val="24"/>
        <w:szCs w:val="24"/>
      </w:rPr>
      <w:fldChar w:fldCharType="separate"/>
    </w:r>
    <w:r w:rsidR="004F63EB">
      <w:rPr>
        <w:rFonts w:ascii="Times New Roman" w:hAnsi="Times New Roman"/>
        <w:noProof/>
        <w:sz w:val="24"/>
        <w:szCs w:val="24"/>
      </w:rPr>
      <w:t>2</w:t>
    </w:r>
    <w:r w:rsidRPr="006D07FE">
      <w:rPr>
        <w:rFonts w:ascii="Times New Roman" w:hAnsi="Times New Roman"/>
        <w:sz w:val="24"/>
        <w:szCs w:val="24"/>
      </w:rPr>
      <w:fldChar w:fldCharType="end"/>
    </w:r>
  </w:p>
  <w:p w:rsidR="0025068B" w:rsidRDefault="002506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2100F"/>
    <w:multiLevelType w:val="multilevel"/>
    <w:tmpl w:val="810A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BF43AB"/>
    <w:multiLevelType w:val="multilevel"/>
    <w:tmpl w:val="746C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DC06D6"/>
    <w:multiLevelType w:val="multilevel"/>
    <w:tmpl w:val="E9E0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C4D"/>
    <w:rsid w:val="00006BF5"/>
    <w:rsid w:val="00007BA8"/>
    <w:rsid w:val="000676A2"/>
    <w:rsid w:val="000B0D8D"/>
    <w:rsid w:val="001001C2"/>
    <w:rsid w:val="0010593C"/>
    <w:rsid w:val="00123B46"/>
    <w:rsid w:val="0019609F"/>
    <w:rsid w:val="001D4642"/>
    <w:rsid w:val="001F2225"/>
    <w:rsid w:val="0025068B"/>
    <w:rsid w:val="00372CB9"/>
    <w:rsid w:val="003D276D"/>
    <w:rsid w:val="003E7208"/>
    <w:rsid w:val="00410EF6"/>
    <w:rsid w:val="0042735C"/>
    <w:rsid w:val="00465ABE"/>
    <w:rsid w:val="004856FC"/>
    <w:rsid w:val="004C7420"/>
    <w:rsid w:val="004F63EB"/>
    <w:rsid w:val="00511BE0"/>
    <w:rsid w:val="00582A06"/>
    <w:rsid w:val="005B3478"/>
    <w:rsid w:val="00674482"/>
    <w:rsid w:val="00693CB1"/>
    <w:rsid w:val="006D07FE"/>
    <w:rsid w:val="00853618"/>
    <w:rsid w:val="008B423C"/>
    <w:rsid w:val="00973BCC"/>
    <w:rsid w:val="009C44DC"/>
    <w:rsid w:val="00A37972"/>
    <w:rsid w:val="00AB195E"/>
    <w:rsid w:val="00AD054A"/>
    <w:rsid w:val="00AF0C13"/>
    <w:rsid w:val="00B510B4"/>
    <w:rsid w:val="00B9343E"/>
    <w:rsid w:val="00BC4D8D"/>
    <w:rsid w:val="00BD2FE8"/>
    <w:rsid w:val="00BD6FF3"/>
    <w:rsid w:val="00C303FE"/>
    <w:rsid w:val="00CE4C8F"/>
    <w:rsid w:val="00E36053"/>
    <w:rsid w:val="00ED233E"/>
    <w:rsid w:val="00F16638"/>
    <w:rsid w:val="00F83C4D"/>
    <w:rsid w:val="00FF4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F83C4D"/>
    <w:rPr>
      <w:strike w:val="0"/>
      <w:dstrike w:val="0"/>
      <w:color w:val="6E717F"/>
      <w:u w:val="none"/>
      <w:effect w:val="none"/>
      <w:shd w:val="clear" w:color="auto" w:fill="auto"/>
    </w:rPr>
  </w:style>
  <w:style w:type="paragraph" w:customStyle="1" w:styleId="taltipfb">
    <w:name w:val="taltipfb"/>
    <w:basedOn w:val="prastasis"/>
    <w:rsid w:val="00F83C4D"/>
    <w:pPr>
      <w:spacing w:after="0" w:line="240" w:lineRule="auto"/>
      <w:ind w:firstLine="720"/>
    </w:pPr>
    <w:rPr>
      <w:rFonts w:ascii="Times New Roman" w:eastAsia="Times New Roman" w:hAnsi="Times New Roman"/>
      <w:b/>
      <w:bCs/>
      <w:sz w:val="24"/>
      <w:szCs w:val="24"/>
      <w:lang w:eastAsia="lt-LT"/>
    </w:rPr>
  </w:style>
  <w:style w:type="paragraph" w:customStyle="1" w:styleId="tin">
    <w:name w:val="tin"/>
    <w:basedOn w:val="prastasis"/>
    <w:rsid w:val="00F83C4D"/>
    <w:pPr>
      <w:spacing w:after="0" w:line="240" w:lineRule="auto"/>
    </w:pPr>
    <w:rPr>
      <w:rFonts w:ascii="Times New Roman" w:eastAsia="Times New Roman" w:hAnsi="Times New Roman"/>
      <w:sz w:val="24"/>
      <w:szCs w:val="24"/>
      <w:lang w:eastAsia="lt-LT"/>
    </w:rPr>
  </w:style>
  <w:style w:type="paragraph" w:customStyle="1" w:styleId="tajtip">
    <w:name w:val="tajtip"/>
    <w:basedOn w:val="prastasis"/>
    <w:rsid w:val="00F83C4D"/>
    <w:pPr>
      <w:spacing w:after="0" w:line="240" w:lineRule="auto"/>
      <w:ind w:firstLine="720"/>
      <w:jc w:val="both"/>
    </w:pPr>
    <w:rPr>
      <w:rFonts w:ascii="Times New Roman" w:eastAsia="Times New Roman" w:hAnsi="Times New Roman"/>
      <w:sz w:val="24"/>
      <w:szCs w:val="24"/>
      <w:lang w:eastAsia="lt-LT"/>
    </w:rPr>
  </w:style>
  <w:style w:type="paragraph" w:customStyle="1" w:styleId="tactin">
    <w:name w:val="tactin"/>
    <w:basedOn w:val="prastasis"/>
    <w:rsid w:val="00F83C4D"/>
    <w:pPr>
      <w:spacing w:after="0" w:line="240" w:lineRule="auto"/>
      <w:jc w:val="center"/>
    </w:pPr>
    <w:rPr>
      <w:rFonts w:ascii="Times New Roman" w:eastAsia="Times New Roman" w:hAnsi="Times New Roman"/>
      <w:sz w:val="24"/>
      <w:szCs w:val="24"/>
      <w:lang w:eastAsia="lt-LT"/>
    </w:rPr>
  </w:style>
  <w:style w:type="character" w:styleId="Komentaronuoroda">
    <w:name w:val="annotation reference"/>
    <w:uiPriority w:val="99"/>
    <w:semiHidden/>
    <w:unhideWhenUsed/>
    <w:rsid w:val="00CE4C8F"/>
    <w:rPr>
      <w:sz w:val="16"/>
      <w:szCs w:val="16"/>
    </w:rPr>
  </w:style>
  <w:style w:type="paragraph" w:styleId="Komentarotekstas">
    <w:name w:val="annotation text"/>
    <w:basedOn w:val="prastasis"/>
    <w:link w:val="KomentarotekstasDiagrama"/>
    <w:uiPriority w:val="99"/>
    <w:semiHidden/>
    <w:unhideWhenUsed/>
    <w:rsid w:val="00CE4C8F"/>
    <w:rPr>
      <w:sz w:val="20"/>
      <w:szCs w:val="20"/>
    </w:rPr>
  </w:style>
  <w:style w:type="character" w:customStyle="1" w:styleId="KomentarotekstasDiagrama">
    <w:name w:val="Komentaro tekstas Diagrama"/>
    <w:link w:val="Komentarotekstas"/>
    <w:uiPriority w:val="99"/>
    <w:semiHidden/>
    <w:rsid w:val="00CE4C8F"/>
    <w:rPr>
      <w:lang w:eastAsia="en-US"/>
    </w:rPr>
  </w:style>
  <w:style w:type="paragraph" w:styleId="Komentarotema">
    <w:name w:val="annotation subject"/>
    <w:basedOn w:val="Komentarotekstas"/>
    <w:next w:val="Komentarotekstas"/>
    <w:link w:val="KomentarotemaDiagrama"/>
    <w:uiPriority w:val="99"/>
    <w:semiHidden/>
    <w:unhideWhenUsed/>
    <w:rsid w:val="00CE4C8F"/>
    <w:rPr>
      <w:b/>
      <w:bCs/>
    </w:rPr>
  </w:style>
  <w:style w:type="character" w:customStyle="1" w:styleId="KomentarotemaDiagrama">
    <w:name w:val="Komentaro tema Diagrama"/>
    <w:link w:val="Komentarotema"/>
    <w:uiPriority w:val="99"/>
    <w:semiHidden/>
    <w:rsid w:val="00CE4C8F"/>
    <w:rPr>
      <w:b/>
      <w:bCs/>
      <w:lang w:eastAsia="en-US"/>
    </w:rPr>
  </w:style>
  <w:style w:type="paragraph" w:styleId="Debesliotekstas">
    <w:name w:val="Balloon Text"/>
    <w:basedOn w:val="prastasis"/>
    <w:link w:val="DebesliotekstasDiagrama"/>
    <w:uiPriority w:val="99"/>
    <w:semiHidden/>
    <w:unhideWhenUsed/>
    <w:rsid w:val="00CE4C8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E4C8F"/>
    <w:rPr>
      <w:rFonts w:ascii="Tahoma" w:hAnsi="Tahoma" w:cs="Tahoma"/>
      <w:sz w:val="16"/>
      <w:szCs w:val="16"/>
      <w:lang w:eastAsia="en-US"/>
    </w:rPr>
  </w:style>
  <w:style w:type="paragraph" w:styleId="Antrats">
    <w:name w:val="header"/>
    <w:basedOn w:val="prastasis"/>
    <w:link w:val="AntratsDiagrama"/>
    <w:uiPriority w:val="99"/>
    <w:unhideWhenUsed/>
    <w:rsid w:val="0025068B"/>
    <w:pPr>
      <w:tabs>
        <w:tab w:val="center" w:pos="4819"/>
        <w:tab w:val="right" w:pos="9638"/>
      </w:tabs>
    </w:pPr>
  </w:style>
  <w:style w:type="character" w:customStyle="1" w:styleId="AntratsDiagrama">
    <w:name w:val="Antraštės Diagrama"/>
    <w:link w:val="Antrats"/>
    <w:uiPriority w:val="99"/>
    <w:rsid w:val="0025068B"/>
    <w:rPr>
      <w:sz w:val="22"/>
      <w:szCs w:val="22"/>
      <w:lang w:eastAsia="en-US"/>
    </w:rPr>
  </w:style>
  <w:style w:type="paragraph" w:styleId="Porat">
    <w:name w:val="footer"/>
    <w:basedOn w:val="prastasis"/>
    <w:link w:val="PoratDiagrama"/>
    <w:uiPriority w:val="99"/>
    <w:unhideWhenUsed/>
    <w:rsid w:val="0025068B"/>
    <w:pPr>
      <w:tabs>
        <w:tab w:val="center" w:pos="4819"/>
        <w:tab w:val="right" w:pos="9638"/>
      </w:tabs>
    </w:pPr>
  </w:style>
  <w:style w:type="character" w:customStyle="1" w:styleId="PoratDiagrama">
    <w:name w:val="Poraštė Diagrama"/>
    <w:link w:val="Porat"/>
    <w:uiPriority w:val="99"/>
    <w:rsid w:val="0025068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694638">
      <w:bodyDiv w:val="1"/>
      <w:marLeft w:val="0"/>
      <w:marRight w:val="0"/>
      <w:marTop w:val="0"/>
      <w:marBottom w:val="0"/>
      <w:divBdr>
        <w:top w:val="none" w:sz="0" w:space="0" w:color="auto"/>
        <w:left w:val="none" w:sz="0" w:space="0" w:color="auto"/>
        <w:bottom w:val="none" w:sz="0" w:space="0" w:color="auto"/>
        <w:right w:val="none" w:sz="0" w:space="0" w:color="auto"/>
      </w:divBdr>
      <w:divsChild>
        <w:div w:id="968361557">
          <w:marLeft w:val="0"/>
          <w:marRight w:val="0"/>
          <w:marTop w:val="0"/>
          <w:marBottom w:val="0"/>
          <w:divBdr>
            <w:top w:val="none" w:sz="0" w:space="0" w:color="auto"/>
            <w:left w:val="none" w:sz="0" w:space="0" w:color="auto"/>
            <w:bottom w:val="none" w:sz="0" w:space="0" w:color="auto"/>
            <w:right w:val="none" w:sz="0" w:space="0" w:color="auto"/>
          </w:divBdr>
          <w:divsChild>
            <w:div w:id="1405907907">
              <w:marLeft w:val="0"/>
              <w:marRight w:val="0"/>
              <w:marTop w:val="0"/>
              <w:marBottom w:val="0"/>
              <w:divBdr>
                <w:top w:val="none" w:sz="0" w:space="0" w:color="auto"/>
                <w:left w:val="none" w:sz="0" w:space="0" w:color="auto"/>
                <w:bottom w:val="none" w:sz="0" w:space="0" w:color="auto"/>
                <w:right w:val="none" w:sz="0" w:space="0" w:color="auto"/>
              </w:divBdr>
              <w:divsChild>
                <w:div w:id="1656254644">
                  <w:marLeft w:val="0"/>
                  <w:marRight w:val="0"/>
                  <w:marTop w:val="0"/>
                  <w:marBottom w:val="0"/>
                  <w:divBdr>
                    <w:top w:val="none" w:sz="0" w:space="0" w:color="auto"/>
                    <w:left w:val="none" w:sz="0" w:space="0" w:color="auto"/>
                    <w:bottom w:val="none" w:sz="0" w:space="0" w:color="auto"/>
                    <w:right w:val="none" w:sz="0" w:space="0" w:color="auto"/>
                  </w:divBdr>
                  <w:divsChild>
                    <w:div w:id="154079479">
                      <w:marLeft w:val="0"/>
                      <w:marRight w:val="0"/>
                      <w:marTop w:val="0"/>
                      <w:marBottom w:val="0"/>
                      <w:divBdr>
                        <w:top w:val="none" w:sz="0" w:space="0" w:color="auto"/>
                        <w:left w:val="none" w:sz="0" w:space="0" w:color="auto"/>
                        <w:bottom w:val="none" w:sz="0" w:space="0" w:color="auto"/>
                        <w:right w:val="none" w:sz="0" w:space="0" w:color="auto"/>
                      </w:divBdr>
                      <w:divsChild>
                        <w:div w:id="550458217">
                          <w:marLeft w:val="0"/>
                          <w:marRight w:val="0"/>
                          <w:marTop w:val="330"/>
                          <w:marBottom w:val="150"/>
                          <w:divBdr>
                            <w:top w:val="none" w:sz="0" w:space="0" w:color="auto"/>
                            <w:left w:val="none" w:sz="0" w:space="0" w:color="auto"/>
                            <w:bottom w:val="none" w:sz="0" w:space="0" w:color="auto"/>
                            <w:right w:val="none" w:sz="0" w:space="0" w:color="auto"/>
                          </w:divBdr>
                          <w:divsChild>
                            <w:div w:id="76376546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43488484">
                          <w:marLeft w:val="0"/>
                          <w:marRight w:val="0"/>
                          <w:marTop w:val="330"/>
                          <w:marBottom w:val="150"/>
                          <w:divBdr>
                            <w:top w:val="none" w:sz="0" w:space="0" w:color="auto"/>
                            <w:left w:val="none" w:sz="0" w:space="0" w:color="auto"/>
                            <w:bottom w:val="none" w:sz="0" w:space="0" w:color="auto"/>
                            <w:right w:val="none" w:sz="0" w:space="0" w:color="auto"/>
                          </w:divBdr>
                          <w:divsChild>
                            <w:div w:id="1853180809">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1834104160">
                      <w:marLeft w:val="0"/>
                      <w:marRight w:val="0"/>
                      <w:marTop w:val="0"/>
                      <w:marBottom w:val="0"/>
                      <w:divBdr>
                        <w:top w:val="none" w:sz="0" w:space="0" w:color="auto"/>
                        <w:left w:val="none" w:sz="0" w:space="0" w:color="auto"/>
                        <w:bottom w:val="none" w:sz="0" w:space="0" w:color="auto"/>
                        <w:right w:val="none" w:sz="0" w:space="0" w:color="auto"/>
                      </w:divBdr>
                      <w:divsChild>
                        <w:div w:id="856699296">
                          <w:marLeft w:val="0"/>
                          <w:marRight w:val="0"/>
                          <w:marTop w:val="0"/>
                          <w:marBottom w:val="0"/>
                          <w:divBdr>
                            <w:top w:val="none" w:sz="0" w:space="0" w:color="auto"/>
                            <w:left w:val="none" w:sz="0" w:space="0" w:color="auto"/>
                            <w:bottom w:val="none" w:sz="0" w:space="0" w:color="auto"/>
                            <w:right w:val="none" w:sz="0" w:space="0" w:color="auto"/>
                          </w:divBdr>
                        </w:div>
                        <w:div w:id="14677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javascript:OL('57093','42')"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43F6D4D1B8A44FA64351D6670E1C17" ma:contentTypeVersion="0" ma:contentTypeDescription="Create a new document." ma:contentTypeScope="" ma:versionID="1822278fc80dd54f3c37d26833d81d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43BB4-8854-4F58-A7E1-D38A59F7F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327FFD-CA4B-4A2E-98EE-058E881BF8EB}">
  <ds:schemaRefs>
    <ds:schemaRef ds:uri="http://schemas.microsoft.com/sharepoint/v3/contenttype/forms"/>
  </ds:schemaRefs>
</ds:datastoreItem>
</file>

<file path=customXml/itemProps3.xml><?xml version="1.0" encoding="utf-8"?>
<ds:datastoreItem xmlns:ds="http://schemas.openxmlformats.org/officeDocument/2006/customXml" ds:itemID="{CFD27807-85EC-482C-881C-82184A28D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2711</Words>
  <Characters>1546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4249</CharactersWithSpaces>
  <SharedDoc>false</SharedDoc>
  <HLinks>
    <vt:vector size="30" baseType="variant">
      <vt:variant>
        <vt:i4>2490419</vt:i4>
      </vt:variant>
      <vt:variant>
        <vt:i4>12</vt:i4>
      </vt:variant>
      <vt:variant>
        <vt:i4>0</vt:i4>
      </vt:variant>
      <vt:variant>
        <vt:i4>5</vt:i4>
      </vt:variant>
      <vt:variant>
        <vt:lpwstr>http://www.infolex.lt/ta/21670</vt:lpwstr>
      </vt:variant>
      <vt:variant>
        <vt:lpwstr/>
      </vt:variant>
      <vt:variant>
        <vt:i4>3145760</vt:i4>
      </vt:variant>
      <vt:variant>
        <vt:i4>9</vt:i4>
      </vt:variant>
      <vt:variant>
        <vt:i4>0</vt:i4>
      </vt:variant>
      <vt:variant>
        <vt:i4>5</vt:i4>
      </vt:variant>
      <vt:variant>
        <vt:lpwstr>javascript:OL('57093','42')</vt:lpwstr>
      </vt:variant>
      <vt:variant>
        <vt:lpwstr/>
      </vt:variant>
      <vt:variant>
        <vt:i4>3145760</vt:i4>
      </vt:variant>
      <vt:variant>
        <vt:i4>6</vt:i4>
      </vt:variant>
      <vt:variant>
        <vt:i4>0</vt:i4>
      </vt:variant>
      <vt:variant>
        <vt:i4>5</vt:i4>
      </vt:variant>
      <vt:variant>
        <vt:lpwstr>javascript:OL('57093','42')</vt:lpwstr>
      </vt:variant>
      <vt:variant>
        <vt:lpwstr/>
      </vt:variant>
      <vt:variant>
        <vt:i4>3866677</vt:i4>
      </vt:variant>
      <vt:variant>
        <vt:i4>3</vt:i4>
      </vt:variant>
      <vt:variant>
        <vt:i4>0</vt:i4>
      </vt:variant>
      <vt:variant>
        <vt:i4>5</vt:i4>
      </vt:variant>
      <vt:variant>
        <vt:lpwstr>javascript:OL('57093','1')</vt:lpwstr>
      </vt:variant>
      <vt:variant>
        <vt:lpwstr/>
      </vt:variant>
      <vt:variant>
        <vt:i4>2359355</vt:i4>
      </vt:variant>
      <vt:variant>
        <vt:i4>0</vt:i4>
      </vt:variant>
      <vt:variant>
        <vt:i4>0</vt:i4>
      </vt:variant>
      <vt:variant>
        <vt:i4>5</vt:i4>
      </vt:variant>
      <vt:variant>
        <vt:lpwstr>http://www.infolex.lt/ta/57093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2019-09-05T14:11:00Z</dcterms:created>
  <dc:creator>Liutauras Žygas</dc:creator>
  <cp:lastModifiedBy>Inga Buškutė</cp:lastModifiedBy>
  <dcterms:modified xsi:type="dcterms:W3CDTF">2020-01-15T07:15:00Z</dcterms:modified>
  <cp:revision>9</cp:revision>
</cp:coreProperties>
</file>