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8F" w:rsidRPr="00CF143F" w:rsidRDefault="00A07478" w:rsidP="00B63D40">
      <w:pPr>
        <w:jc w:val="center"/>
        <w:rPr>
          <w:b/>
          <w:sz w:val="28"/>
          <w:szCs w:val="28"/>
        </w:rPr>
      </w:pPr>
      <w:bookmarkStart w:id="0" w:name="_GoBack"/>
      <w:bookmarkEnd w:id="0"/>
      <w:r w:rsidRPr="00CF143F">
        <w:rPr>
          <w:b/>
          <w:sz w:val="28"/>
          <w:szCs w:val="28"/>
        </w:rPr>
        <w:t>Atsakymų ir n</w:t>
      </w:r>
      <w:r w:rsidR="007D588F" w:rsidRPr="00CF143F">
        <w:rPr>
          <w:b/>
          <w:sz w:val="28"/>
          <w:szCs w:val="28"/>
        </w:rPr>
        <w:t xml:space="preserve">uomonių dėl </w:t>
      </w:r>
      <w:r w:rsidR="00116481" w:rsidRPr="00CF143F">
        <w:rPr>
          <w:b/>
          <w:sz w:val="28"/>
          <w:szCs w:val="28"/>
        </w:rPr>
        <w:t xml:space="preserve">siūlymo </w:t>
      </w:r>
      <w:r w:rsidR="007D588F" w:rsidRPr="00CF143F">
        <w:rPr>
          <w:b/>
          <w:sz w:val="28"/>
          <w:szCs w:val="28"/>
        </w:rPr>
        <w:t>reg</w:t>
      </w:r>
      <w:r w:rsidR="00116481" w:rsidRPr="00CF143F">
        <w:rPr>
          <w:b/>
          <w:sz w:val="28"/>
          <w:szCs w:val="28"/>
        </w:rPr>
        <w:t>istravimosi PVM mokėtojais ribą</w:t>
      </w:r>
      <w:r w:rsidR="007D588F" w:rsidRPr="00CF143F">
        <w:rPr>
          <w:b/>
          <w:sz w:val="28"/>
          <w:szCs w:val="28"/>
        </w:rPr>
        <w:t xml:space="preserve"> padidin</w:t>
      </w:r>
      <w:r w:rsidR="00116481" w:rsidRPr="00CF143F">
        <w:rPr>
          <w:b/>
          <w:sz w:val="28"/>
          <w:szCs w:val="28"/>
        </w:rPr>
        <w:t>ti</w:t>
      </w:r>
      <w:r w:rsidR="007D588F" w:rsidRPr="00CF143F">
        <w:rPr>
          <w:b/>
          <w:sz w:val="28"/>
          <w:szCs w:val="28"/>
        </w:rPr>
        <w:t xml:space="preserve"> iki 55 tūkst. eurų</w:t>
      </w:r>
    </w:p>
    <w:p w:rsidR="007D588F" w:rsidRPr="00CF143F" w:rsidRDefault="00A07478" w:rsidP="00B63D40">
      <w:pPr>
        <w:jc w:val="center"/>
        <w:rPr>
          <w:b/>
          <w:sz w:val="28"/>
          <w:szCs w:val="28"/>
        </w:rPr>
      </w:pPr>
      <w:r w:rsidRPr="00CF143F">
        <w:rPr>
          <w:b/>
          <w:sz w:val="28"/>
          <w:szCs w:val="28"/>
        </w:rPr>
        <w:t>vertinimas</w:t>
      </w:r>
    </w:p>
    <w:tbl>
      <w:tblPr>
        <w:tblpPr w:leftFromText="180" w:rightFromText="180" w:vertAnchor="text" w:tblpX="-161"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252"/>
        <w:gridCol w:w="4897"/>
      </w:tblGrid>
      <w:tr w:rsidR="00116481" w:rsidRPr="007D588F" w:rsidTr="00116481">
        <w:trPr>
          <w:trHeight w:val="557"/>
        </w:trPr>
        <w:tc>
          <w:tcPr>
            <w:tcW w:w="5070" w:type="dxa"/>
            <w:vAlign w:val="center"/>
          </w:tcPr>
          <w:p w:rsidR="00116481" w:rsidRPr="00116481" w:rsidRDefault="00116481" w:rsidP="00116481">
            <w:pPr>
              <w:jc w:val="center"/>
              <w:rPr>
                <w:b/>
                <w:szCs w:val="24"/>
              </w:rPr>
            </w:pPr>
            <w:r w:rsidRPr="00116481">
              <w:rPr>
                <w:b/>
                <w:szCs w:val="24"/>
              </w:rPr>
              <w:t>Valstybės institucija/asocijuotas asmuo</w:t>
            </w:r>
          </w:p>
        </w:tc>
        <w:tc>
          <w:tcPr>
            <w:tcW w:w="4252" w:type="dxa"/>
            <w:vAlign w:val="center"/>
          </w:tcPr>
          <w:p w:rsidR="00116481" w:rsidRPr="00CF143F" w:rsidRDefault="00116481" w:rsidP="00116481">
            <w:pPr>
              <w:jc w:val="center"/>
              <w:rPr>
                <w:b/>
                <w:szCs w:val="24"/>
              </w:rPr>
            </w:pPr>
            <w:r w:rsidRPr="00CF143F">
              <w:rPr>
                <w:b/>
                <w:szCs w:val="24"/>
              </w:rPr>
              <w:t>Nuomonė</w:t>
            </w:r>
          </w:p>
        </w:tc>
        <w:tc>
          <w:tcPr>
            <w:tcW w:w="4897" w:type="dxa"/>
            <w:vAlign w:val="center"/>
          </w:tcPr>
          <w:p w:rsidR="00841959" w:rsidRPr="00CF143F" w:rsidRDefault="00841959" w:rsidP="00841959">
            <w:pPr>
              <w:jc w:val="center"/>
              <w:rPr>
                <w:b/>
                <w:i/>
                <w:szCs w:val="24"/>
              </w:rPr>
            </w:pPr>
            <w:r w:rsidRPr="00CF143F">
              <w:rPr>
                <w:b/>
                <w:i/>
                <w:szCs w:val="24"/>
              </w:rPr>
              <w:t>Finansų ministerijos vertinimas</w:t>
            </w:r>
          </w:p>
          <w:p w:rsidR="00116481" w:rsidRPr="00CF143F" w:rsidRDefault="00841959" w:rsidP="00841959">
            <w:pPr>
              <w:jc w:val="center"/>
              <w:rPr>
                <w:b/>
                <w:szCs w:val="24"/>
              </w:rPr>
            </w:pPr>
            <w:r w:rsidRPr="00CF143F">
              <w:rPr>
                <w:b/>
                <w:szCs w:val="24"/>
              </w:rPr>
              <w:t>s</w:t>
            </w:r>
          </w:p>
        </w:tc>
      </w:tr>
      <w:tr w:rsidR="00C61B53" w:rsidRPr="007D588F" w:rsidTr="007D588F">
        <w:trPr>
          <w:trHeight w:val="1710"/>
        </w:trPr>
        <w:tc>
          <w:tcPr>
            <w:tcW w:w="5070" w:type="dxa"/>
          </w:tcPr>
          <w:p w:rsidR="00C61B53" w:rsidRPr="00B63D40" w:rsidRDefault="00B63D40" w:rsidP="00B63D40">
            <w:pPr>
              <w:jc w:val="both"/>
              <w:rPr>
                <w:szCs w:val="24"/>
              </w:rPr>
            </w:pPr>
            <w:r>
              <w:rPr>
                <w:szCs w:val="24"/>
              </w:rPr>
              <w:t>T</w:t>
            </w:r>
            <w:r w:rsidR="00C61B53" w:rsidRPr="00B63D40">
              <w:rPr>
                <w:szCs w:val="24"/>
              </w:rPr>
              <w:t>eisingumo ministerija</w:t>
            </w:r>
          </w:p>
          <w:p w:rsidR="00C61B53" w:rsidRPr="00B63D40" w:rsidRDefault="00B63D40" w:rsidP="00B63D40">
            <w:pPr>
              <w:jc w:val="both"/>
              <w:rPr>
                <w:szCs w:val="24"/>
              </w:rPr>
            </w:pPr>
            <w:r>
              <w:rPr>
                <w:szCs w:val="24"/>
              </w:rPr>
              <w:t>E</w:t>
            </w:r>
            <w:r w:rsidR="00C61B53" w:rsidRPr="00B63D40">
              <w:rPr>
                <w:szCs w:val="24"/>
              </w:rPr>
              <w:t>konomikos ir inovacijų ministerija</w:t>
            </w:r>
          </w:p>
          <w:p w:rsidR="00C61B53" w:rsidRPr="00B63D40" w:rsidRDefault="00B63D40" w:rsidP="00B63D40">
            <w:pPr>
              <w:jc w:val="both"/>
              <w:rPr>
                <w:szCs w:val="24"/>
              </w:rPr>
            </w:pPr>
            <w:r>
              <w:rPr>
                <w:szCs w:val="24"/>
              </w:rPr>
              <w:t>Ž</w:t>
            </w:r>
            <w:r w:rsidR="00C61B53" w:rsidRPr="00B63D40">
              <w:rPr>
                <w:szCs w:val="24"/>
              </w:rPr>
              <w:t>emės ūkio ministerija</w:t>
            </w:r>
          </w:p>
          <w:p w:rsidR="00C61B53" w:rsidRPr="00B63D40" w:rsidRDefault="00B63D40" w:rsidP="00B63D40">
            <w:pPr>
              <w:jc w:val="both"/>
              <w:rPr>
                <w:szCs w:val="24"/>
              </w:rPr>
            </w:pPr>
            <w:r>
              <w:rPr>
                <w:szCs w:val="24"/>
              </w:rPr>
              <w:t>S</w:t>
            </w:r>
            <w:r w:rsidR="00C61B53" w:rsidRPr="00B63D40">
              <w:rPr>
                <w:szCs w:val="24"/>
              </w:rPr>
              <w:t>veikatos apsaugos ministerija</w:t>
            </w:r>
          </w:p>
          <w:p w:rsidR="00C61B53" w:rsidRPr="00B63D40" w:rsidRDefault="00B63D40" w:rsidP="00B63D40">
            <w:pPr>
              <w:jc w:val="both"/>
              <w:rPr>
                <w:szCs w:val="24"/>
              </w:rPr>
            </w:pPr>
            <w:r>
              <w:rPr>
                <w:szCs w:val="24"/>
              </w:rPr>
              <w:t>S</w:t>
            </w:r>
            <w:r w:rsidR="00C61B53" w:rsidRPr="00B63D40">
              <w:rPr>
                <w:szCs w:val="24"/>
              </w:rPr>
              <w:t>ocialinės apsaugos ir darbo ministerija</w:t>
            </w:r>
          </w:p>
          <w:p w:rsidR="00C61B53" w:rsidRPr="00B63D40" w:rsidRDefault="00B63D40" w:rsidP="00B63D40">
            <w:pPr>
              <w:jc w:val="both"/>
              <w:rPr>
                <w:szCs w:val="24"/>
              </w:rPr>
            </w:pPr>
            <w:r>
              <w:rPr>
                <w:szCs w:val="24"/>
              </w:rPr>
              <w:t>Š</w:t>
            </w:r>
            <w:r w:rsidR="00C61B53" w:rsidRPr="00B63D40">
              <w:rPr>
                <w:szCs w:val="24"/>
              </w:rPr>
              <w:t xml:space="preserve">vietimo, mokslo ir sporto ministerija </w:t>
            </w:r>
          </w:p>
          <w:p w:rsidR="00C61B53" w:rsidRPr="00B63D40" w:rsidRDefault="00B63D40" w:rsidP="00B63D40">
            <w:pPr>
              <w:jc w:val="both"/>
              <w:rPr>
                <w:szCs w:val="24"/>
              </w:rPr>
            </w:pPr>
            <w:r>
              <w:rPr>
                <w:szCs w:val="24"/>
              </w:rPr>
              <w:t>A</w:t>
            </w:r>
            <w:r w:rsidR="00C61B53" w:rsidRPr="00B63D40">
              <w:rPr>
                <w:szCs w:val="24"/>
              </w:rPr>
              <w:t xml:space="preserve">plinkos ministerija </w:t>
            </w:r>
          </w:p>
          <w:p w:rsidR="00C61B53" w:rsidRPr="00B63D40" w:rsidRDefault="00B63D40" w:rsidP="00B63D40">
            <w:pPr>
              <w:jc w:val="both"/>
              <w:rPr>
                <w:szCs w:val="24"/>
              </w:rPr>
            </w:pPr>
            <w:r>
              <w:rPr>
                <w:szCs w:val="24"/>
              </w:rPr>
              <w:t>K</w:t>
            </w:r>
            <w:r w:rsidR="00C61B53" w:rsidRPr="00B63D40">
              <w:rPr>
                <w:szCs w:val="24"/>
              </w:rPr>
              <w:t xml:space="preserve">ultūros ministerija </w:t>
            </w:r>
          </w:p>
          <w:p w:rsidR="00C61B53" w:rsidRPr="00B63D40" w:rsidRDefault="00B63D40" w:rsidP="00B63D40">
            <w:pPr>
              <w:jc w:val="both"/>
              <w:rPr>
                <w:szCs w:val="24"/>
              </w:rPr>
            </w:pPr>
            <w:r>
              <w:rPr>
                <w:szCs w:val="24"/>
              </w:rPr>
              <w:t>S</w:t>
            </w:r>
            <w:r w:rsidR="00C61B53" w:rsidRPr="00B63D40">
              <w:rPr>
                <w:szCs w:val="24"/>
              </w:rPr>
              <w:t>usisiekimo ministerija</w:t>
            </w:r>
          </w:p>
          <w:p w:rsidR="00C61B53" w:rsidRDefault="00C61B53" w:rsidP="00B63D40">
            <w:pPr>
              <w:jc w:val="both"/>
              <w:rPr>
                <w:szCs w:val="24"/>
              </w:rPr>
            </w:pPr>
            <w:r w:rsidRPr="00B63D40">
              <w:rPr>
                <w:szCs w:val="24"/>
              </w:rPr>
              <w:t xml:space="preserve">Lietuvos </w:t>
            </w:r>
            <w:r w:rsidR="00116481">
              <w:rPr>
                <w:szCs w:val="24"/>
              </w:rPr>
              <w:t>prekybos, pramonės ir amatų rūmai</w:t>
            </w:r>
          </w:p>
          <w:p w:rsidR="00C61B53" w:rsidRPr="00B63D40" w:rsidRDefault="00C61B53" w:rsidP="00B63D40">
            <w:pPr>
              <w:jc w:val="both"/>
              <w:rPr>
                <w:szCs w:val="24"/>
              </w:rPr>
            </w:pPr>
            <w:r w:rsidRPr="00B63D40">
              <w:rPr>
                <w:szCs w:val="24"/>
              </w:rPr>
              <w:t>Asociacija „</w:t>
            </w:r>
            <w:proofErr w:type="spellStart"/>
            <w:r w:rsidRPr="00B63D40">
              <w:rPr>
                <w:szCs w:val="24"/>
              </w:rPr>
              <w:t>Investors</w:t>
            </w:r>
            <w:proofErr w:type="spellEnd"/>
            <w:r w:rsidRPr="00B63D40">
              <w:rPr>
                <w:szCs w:val="24"/>
                <w:lang w:val="en-US"/>
              </w:rPr>
              <w:t>’</w:t>
            </w:r>
            <w:r w:rsidRPr="00B63D40">
              <w:rPr>
                <w:szCs w:val="24"/>
              </w:rPr>
              <w:t xml:space="preserve"> </w:t>
            </w:r>
            <w:proofErr w:type="spellStart"/>
            <w:r w:rsidRPr="00B63D40">
              <w:rPr>
                <w:szCs w:val="24"/>
              </w:rPr>
              <w:t>Forum</w:t>
            </w:r>
            <w:proofErr w:type="spellEnd"/>
            <w:r w:rsidRPr="00B63D40">
              <w:rPr>
                <w:szCs w:val="24"/>
              </w:rPr>
              <w:t>“</w:t>
            </w:r>
          </w:p>
          <w:p w:rsidR="00C61B53" w:rsidRPr="007D588F" w:rsidRDefault="00C61B53" w:rsidP="007810EF">
            <w:pPr>
              <w:rPr>
                <w:szCs w:val="24"/>
              </w:rPr>
            </w:pPr>
          </w:p>
        </w:tc>
        <w:tc>
          <w:tcPr>
            <w:tcW w:w="4252" w:type="dxa"/>
          </w:tcPr>
          <w:p w:rsidR="00C61B53" w:rsidRPr="00CF143F" w:rsidRDefault="00C61B53" w:rsidP="007810EF">
            <w:pPr>
              <w:rPr>
                <w:szCs w:val="24"/>
              </w:rPr>
            </w:pPr>
            <w:r w:rsidRPr="00CF143F">
              <w:rPr>
                <w:szCs w:val="24"/>
              </w:rPr>
              <w:t>Pritarė</w:t>
            </w:r>
          </w:p>
        </w:tc>
        <w:tc>
          <w:tcPr>
            <w:tcW w:w="4897" w:type="dxa"/>
          </w:tcPr>
          <w:p w:rsidR="00C61B53" w:rsidRPr="00CF143F" w:rsidRDefault="00C61B53" w:rsidP="007810EF">
            <w:pPr>
              <w:rPr>
                <w:szCs w:val="24"/>
              </w:rPr>
            </w:pPr>
          </w:p>
        </w:tc>
      </w:tr>
      <w:tr w:rsidR="00C61B53" w:rsidRPr="007D588F" w:rsidTr="001C5ACD">
        <w:trPr>
          <w:trHeight w:val="271"/>
        </w:trPr>
        <w:tc>
          <w:tcPr>
            <w:tcW w:w="5070" w:type="dxa"/>
          </w:tcPr>
          <w:p w:rsidR="00C61B53" w:rsidRPr="007D588F" w:rsidRDefault="00C61B53" w:rsidP="007810EF">
            <w:pPr>
              <w:rPr>
                <w:szCs w:val="24"/>
              </w:rPr>
            </w:pPr>
            <w:r w:rsidRPr="007D588F">
              <w:rPr>
                <w:szCs w:val="24"/>
              </w:rPr>
              <w:t>Lietuvos bankas</w:t>
            </w:r>
          </w:p>
        </w:tc>
        <w:tc>
          <w:tcPr>
            <w:tcW w:w="4252" w:type="dxa"/>
          </w:tcPr>
          <w:p w:rsidR="009E4C1B" w:rsidRPr="00CF143F" w:rsidRDefault="009E4C1B" w:rsidP="00116481">
            <w:pPr>
              <w:widowControl w:val="0"/>
              <w:autoSpaceDE w:val="0"/>
              <w:autoSpaceDN w:val="0"/>
              <w:adjustRightInd w:val="0"/>
              <w:ind w:firstLine="33"/>
              <w:jc w:val="both"/>
              <w:rPr>
                <w:szCs w:val="24"/>
                <w:lang w:eastAsia="en-US"/>
              </w:rPr>
            </w:pPr>
            <w:r w:rsidRPr="00CF143F">
              <w:rPr>
                <w:szCs w:val="24"/>
                <w:lang w:eastAsia="en-US"/>
              </w:rPr>
              <w:t>Siūlo nesieti didinimo su infliacija, nes jei riba nuolat bus didinama tiek, kiek infliacija, ji gerokai ims viršyti kitų ES šalių rodiklius.</w:t>
            </w:r>
          </w:p>
          <w:p w:rsidR="003778C0" w:rsidRPr="00CF143F" w:rsidRDefault="003778C0" w:rsidP="00116481">
            <w:pPr>
              <w:widowControl w:val="0"/>
              <w:autoSpaceDE w:val="0"/>
              <w:autoSpaceDN w:val="0"/>
              <w:adjustRightInd w:val="0"/>
              <w:ind w:firstLine="33"/>
              <w:jc w:val="both"/>
              <w:rPr>
                <w:szCs w:val="24"/>
                <w:lang w:eastAsia="en-US"/>
              </w:rPr>
            </w:pPr>
          </w:p>
          <w:p w:rsidR="003778C0" w:rsidRPr="00CF143F" w:rsidRDefault="003778C0" w:rsidP="00116481">
            <w:pPr>
              <w:widowControl w:val="0"/>
              <w:autoSpaceDE w:val="0"/>
              <w:autoSpaceDN w:val="0"/>
              <w:adjustRightInd w:val="0"/>
              <w:ind w:firstLine="33"/>
              <w:jc w:val="both"/>
              <w:rPr>
                <w:szCs w:val="24"/>
                <w:lang w:eastAsia="en-US"/>
              </w:rPr>
            </w:pPr>
          </w:p>
          <w:p w:rsidR="003778C0" w:rsidRPr="00CF143F" w:rsidRDefault="003778C0" w:rsidP="00116481">
            <w:pPr>
              <w:widowControl w:val="0"/>
              <w:autoSpaceDE w:val="0"/>
              <w:autoSpaceDN w:val="0"/>
              <w:adjustRightInd w:val="0"/>
              <w:ind w:firstLine="33"/>
              <w:jc w:val="both"/>
              <w:rPr>
                <w:szCs w:val="24"/>
                <w:lang w:eastAsia="en-US"/>
              </w:rPr>
            </w:pPr>
          </w:p>
          <w:p w:rsidR="003778C0" w:rsidRPr="00CF143F" w:rsidRDefault="003778C0" w:rsidP="00116481">
            <w:pPr>
              <w:widowControl w:val="0"/>
              <w:autoSpaceDE w:val="0"/>
              <w:autoSpaceDN w:val="0"/>
              <w:adjustRightInd w:val="0"/>
              <w:ind w:firstLine="33"/>
              <w:jc w:val="both"/>
              <w:rPr>
                <w:szCs w:val="24"/>
                <w:lang w:eastAsia="en-US"/>
              </w:rPr>
            </w:pPr>
          </w:p>
          <w:p w:rsidR="003778C0" w:rsidRPr="00CF143F" w:rsidRDefault="003778C0" w:rsidP="00116481">
            <w:pPr>
              <w:widowControl w:val="0"/>
              <w:autoSpaceDE w:val="0"/>
              <w:autoSpaceDN w:val="0"/>
              <w:adjustRightInd w:val="0"/>
              <w:ind w:firstLine="33"/>
              <w:jc w:val="both"/>
              <w:rPr>
                <w:szCs w:val="24"/>
                <w:lang w:eastAsia="en-US"/>
              </w:rPr>
            </w:pPr>
          </w:p>
          <w:p w:rsidR="003778C0" w:rsidRPr="00CF143F" w:rsidRDefault="003778C0" w:rsidP="00116481">
            <w:pPr>
              <w:widowControl w:val="0"/>
              <w:autoSpaceDE w:val="0"/>
              <w:autoSpaceDN w:val="0"/>
              <w:adjustRightInd w:val="0"/>
              <w:ind w:firstLine="33"/>
              <w:jc w:val="both"/>
              <w:rPr>
                <w:szCs w:val="24"/>
                <w:lang w:eastAsia="en-US"/>
              </w:rPr>
            </w:pPr>
          </w:p>
          <w:p w:rsidR="0077601A" w:rsidRPr="00CF143F" w:rsidRDefault="0077601A" w:rsidP="00116481">
            <w:pPr>
              <w:widowControl w:val="0"/>
              <w:autoSpaceDE w:val="0"/>
              <w:autoSpaceDN w:val="0"/>
              <w:adjustRightInd w:val="0"/>
              <w:ind w:firstLine="33"/>
              <w:jc w:val="both"/>
              <w:rPr>
                <w:szCs w:val="24"/>
                <w:lang w:eastAsia="en-US"/>
              </w:rPr>
            </w:pPr>
          </w:p>
          <w:p w:rsidR="0077601A" w:rsidRPr="00CF143F" w:rsidRDefault="0077601A" w:rsidP="00116481">
            <w:pPr>
              <w:widowControl w:val="0"/>
              <w:autoSpaceDE w:val="0"/>
              <w:autoSpaceDN w:val="0"/>
              <w:adjustRightInd w:val="0"/>
              <w:ind w:firstLine="33"/>
              <w:jc w:val="both"/>
              <w:rPr>
                <w:szCs w:val="24"/>
                <w:lang w:eastAsia="en-US"/>
              </w:rPr>
            </w:pPr>
          </w:p>
          <w:p w:rsidR="0077601A" w:rsidRPr="00CF143F" w:rsidRDefault="0077601A" w:rsidP="00116481">
            <w:pPr>
              <w:widowControl w:val="0"/>
              <w:autoSpaceDE w:val="0"/>
              <w:autoSpaceDN w:val="0"/>
              <w:adjustRightInd w:val="0"/>
              <w:ind w:firstLine="33"/>
              <w:jc w:val="both"/>
              <w:rPr>
                <w:szCs w:val="24"/>
                <w:lang w:eastAsia="en-US"/>
              </w:rPr>
            </w:pPr>
          </w:p>
          <w:p w:rsidR="0077601A" w:rsidRPr="00CF143F" w:rsidRDefault="0077601A" w:rsidP="00116481">
            <w:pPr>
              <w:widowControl w:val="0"/>
              <w:autoSpaceDE w:val="0"/>
              <w:autoSpaceDN w:val="0"/>
              <w:adjustRightInd w:val="0"/>
              <w:ind w:firstLine="33"/>
              <w:jc w:val="both"/>
              <w:rPr>
                <w:szCs w:val="24"/>
                <w:lang w:eastAsia="en-US"/>
              </w:rPr>
            </w:pPr>
          </w:p>
          <w:p w:rsidR="0077601A" w:rsidRPr="00CF143F" w:rsidRDefault="0077601A" w:rsidP="00116481">
            <w:pPr>
              <w:widowControl w:val="0"/>
              <w:autoSpaceDE w:val="0"/>
              <w:autoSpaceDN w:val="0"/>
              <w:adjustRightInd w:val="0"/>
              <w:ind w:firstLine="33"/>
              <w:jc w:val="both"/>
              <w:rPr>
                <w:szCs w:val="24"/>
                <w:lang w:eastAsia="en-US"/>
              </w:rPr>
            </w:pPr>
          </w:p>
          <w:p w:rsidR="00C61B53" w:rsidRPr="00CF143F" w:rsidRDefault="00E235F0" w:rsidP="00116481">
            <w:pPr>
              <w:widowControl w:val="0"/>
              <w:autoSpaceDE w:val="0"/>
              <w:autoSpaceDN w:val="0"/>
              <w:adjustRightInd w:val="0"/>
              <w:ind w:firstLine="33"/>
              <w:jc w:val="both"/>
              <w:rPr>
                <w:szCs w:val="24"/>
                <w:lang w:eastAsia="en-US"/>
              </w:rPr>
            </w:pPr>
            <w:r w:rsidRPr="00CF143F">
              <w:rPr>
                <w:szCs w:val="24"/>
                <w:lang w:eastAsia="en-US"/>
              </w:rPr>
              <w:t>Mano, kad p</w:t>
            </w:r>
            <w:r w:rsidR="00C61B53" w:rsidRPr="00CF143F">
              <w:rPr>
                <w:szCs w:val="24"/>
                <w:lang w:eastAsia="en-US"/>
              </w:rPr>
              <w:t>alengvinti administracinę naštą smulkiajam verslui galėtų padėti kitos nemokestinės paskatos, pavyzdžiui, apyvartos ribos, iki kurios leidžiama tvarkyti apskaitą pinigų apskaitos principu, padidinimas, taip pat leidimas PVM apskaitą tvarkyti pinigų apskaitos principu. Tokios priemonės būtų naudingesnės didesniam skaičiui mokesčių mokėtojų negu registravimosi PVM mokėtojais ribos didinimas.</w:t>
            </w:r>
          </w:p>
          <w:p w:rsidR="00C61B53" w:rsidRPr="00CF143F" w:rsidRDefault="00C61B53" w:rsidP="007810EF">
            <w:pPr>
              <w:tabs>
                <w:tab w:val="left" w:pos="1995"/>
              </w:tabs>
              <w:rPr>
                <w:szCs w:val="24"/>
              </w:rPr>
            </w:pPr>
          </w:p>
        </w:tc>
        <w:tc>
          <w:tcPr>
            <w:tcW w:w="4897" w:type="dxa"/>
          </w:tcPr>
          <w:p w:rsidR="009E4C1B" w:rsidRPr="00CF143F" w:rsidRDefault="009E4C1B" w:rsidP="001C5ACD">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firstLine="34"/>
              <w:jc w:val="both"/>
              <w:rPr>
                <w:rFonts w:eastAsia="Calibri"/>
                <w:szCs w:val="24"/>
              </w:rPr>
            </w:pPr>
            <w:r w:rsidRPr="00CF143F">
              <w:rPr>
                <w:rFonts w:eastAsia="Calibri"/>
                <w:szCs w:val="24"/>
              </w:rPr>
              <w:lastRenderedPageBreak/>
              <w:t>Lietuvoje registravimosi PVM mokėtojais riba nebuvo didinta nuo 2012 m. sausio 1 d</w:t>
            </w:r>
            <w:r w:rsidR="005D1F6C">
              <w:rPr>
                <w:rFonts w:eastAsia="Calibri"/>
                <w:szCs w:val="24"/>
              </w:rPr>
              <w:t>ienos</w:t>
            </w:r>
            <w:r w:rsidRPr="00CF143F">
              <w:rPr>
                <w:rFonts w:eastAsia="Calibri"/>
                <w:szCs w:val="24"/>
              </w:rPr>
              <w:t xml:space="preserve">. Finansų ministerijos nuomone, </w:t>
            </w:r>
            <w:r w:rsidR="003778C0" w:rsidRPr="00CF143F">
              <w:rPr>
                <w:rFonts w:eastAsia="Calibri"/>
                <w:szCs w:val="24"/>
              </w:rPr>
              <w:t>susieti</w:t>
            </w:r>
            <w:r w:rsidRPr="00CF143F">
              <w:rPr>
                <w:rFonts w:eastAsia="Calibri"/>
                <w:szCs w:val="24"/>
              </w:rPr>
              <w:t xml:space="preserve"> didinimą </w:t>
            </w:r>
            <w:r w:rsidR="003778C0" w:rsidRPr="00CF143F">
              <w:rPr>
                <w:rFonts w:eastAsia="Calibri"/>
                <w:szCs w:val="24"/>
              </w:rPr>
              <w:t xml:space="preserve">su </w:t>
            </w:r>
            <w:r w:rsidRPr="00CF143F">
              <w:rPr>
                <w:rFonts w:eastAsia="Calibri"/>
                <w:szCs w:val="24"/>
              </w:rPr>
              <w:t xml:space="preserve">infliacija – tikslinga. 2010 m., kreipiantis į Europos Komisiją dėl šios ribos padidinimo nuo </w:t>
            </w:r>
          </w:p>
          <w:p w:rsidR="009E4C1B" w:rsidRPr="00CF143F" w:rsidRDefault="003778C0" w:rsidP="001C5ACD">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firstLine="34"/>
              <w:jc w:val="both"/>
              <w:rPr>
                <w:rFonts w:eastAsia="Calibri"/>
                <w:szCs w:val="24"/>
              </w:rPr>
            </w:pPr>
            <w:r w:rsidRPr="00CF143F">
              <w:rPr>
                <w:rFonts w:eastAsia="Calibri"/>
                <w:szCs w:val="24"/>
              </w:rPr>
              <w:t>nuo 29 000 iki 45 000 eurų taip pat buvo argumentuota infliaciniais procesais. Be to, didinimui pritaria ministerijos ir dauguma asocijuotų asmenų.</w:t>
            </w:r>
          </w:p>
          <w:p w:rsidR="0077601A" w:rsidRPr="00CF143F" w:rsidRDefault="0077601A" w:rsidP="0077601A">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firstLine="34"/>
              <w:jc w:val="both"/>
              <w:rPr>
                <w:rFonts w:eastAsia="Calibri"/>
                <w:szCs w:val="24"/>
              </w:rPr>
            </w:pPr>
            <w:r w:rsidRPr="00CF143F">
              <w:rPr>
                <w:rFonts w:eastAsia="Calibri"/>
                <w:szCs w:val="24"/>
              </w:rPr>
              <w:t>Didesnės registravimosi PVM ribos nustatytas ypatingai būtų naudingas smulkiajam verslui. Tokia priemonė taip pat pagelbėtų</w:t>
            </w:r>
            <w:r w:rsidR="005D1F6C">
              <w:rPr>
                <w:rFonts w:eastAsia="Calibri"/>
                <w:szCs w:val="24"/>
              </w:rPr>
              <w:t xml:space="preserve"> smulkiajam</w:t>
            </w:r>
            <w:r w:rsidRPr="00CF143F">
              <w:rPr>
                <w:rFonts w:eastAsia="Calibri"/>
                <w:szCs w:val="24"/>
              </w:rPr>
              <w:t xml:space="preserve"> verslui, nukentėjusiam dėl </w:t>
            </w:r>
            <w:proofErr w:type="spellStart"/>
            <w:r w:rsidRPr="00CF143F">
              <w:rPr>
                <w:rFonts w:eastAsia="Calibri"/>
                <w:szCs w:val="24"/>
              </w:rPr>
              <w:t>koronaviruso</w:t>
            </w:r>
            <w:proofErr w:type="spellEnd"/>
            <w:r w:rsidRPr="00CF143F">
              <w:rPr>
                <w:rFonts w:eastAsia="Calibri"/>
                <w:szCs w:val="24"/>
              </w:rPr>
              <w:t xml:space="preserve"> protrūkio.</w:t>
            </w:r>
          </w:p>
          <w:p w:rsidR="0077601A" w:rsidRPr="00CF143F" w:rsidRDefault="0077601A" w:rsidP="001C5ACD">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firstLine="34"/>
              <w:jc w:val="both"/>
              <w:rPr>
                <w:rFonts w:eastAsia="Calibri"/>
                <w:szCs w:val="24"/>
              </w:rPr>
            </w:pPr>
          </w:p>
          <w:p w:rsidR="001C5ACD" w:rsidRPr="00CF143F" w:rsidRDefault="001C5ACD" w:rsidP="001C5ACD">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firstLine="34"/>
              <w:jc w:val="both"/>
              <w:rPr>
                <w:rFonts w:eastAsia="Calibri"/>
                <w:szCs w:val="24"/>
              </w:rPr>
            </w:pPr>
            <w:r w:rsidRPr="00CF143F">
              <w:rPr>
                <w:rFonts w:eastAsia="Calibri"/>
                <w:szCs w:val="24"/>
              </w:rPr>
              <w:t>Pagal PVM direktyvą teisė taikyti p</w:t>
            </w:r>
            <w:r w:rsidRPr="00CF143F">
              <w:rPr>
                <w:szCs w:val="24"/>
              </w:rPr>
              <w:t xml:space="preserve">inigų apskaitos principą </w:t>
            </w:r>
            <w:r w:rsidRPr="00CF143F">
              <w:rPr>
                <w:rFonts w:eastAsia="Calibri"/>
                <w:szCs w:val="24"/>
              </w:rPr>
              <w:t xml:space="preserve">yra išimtinis atvejis. Dėl šio principo labai pasunkėtų PVM administravimas, iškiltų daug problemų, susijusių su apskaitos dokumentų įforminimu, </w:t>
            </w:r>
            <w:r w:rsidRPr="00CF143F">
              <w:rPr>
                <w:rFonts w:eastAsia="Calibri"/>
                <w:spacing w:val="-4"/>
                <w:szCs w:val="24"/>
                <w:lang w:eastAsia="en-US"/>
              </w:rPr>
              <w:t>ilgalaikio materialiojo turto PVM atskaita, PVM apskaičiavimu, deklaravimu ir atskaita prekių lizingo, neapmokestinamų PVM sandorių, sandorių, kuriems taikomas 0 proc. PVM tarifas, atvirkštinio apmokestinimo PVM mechanizmo ir specialių apmokestinimo PVM schemų taikymo atvejais ir pan.</w:t>
            </w:r>
          </w:p>
          <w:p w:rsidR="00C61B53" w:rsidRPr="00CF143F" w:rsidRDefault="00C61B53" w:rsidP="007810EF">
            <w:pPr>
              <w:rPr>
                <w:szCs w:val="24"/>
              </w:rPr>
            </w:pPr>
          </w:p>
        </w:tc>
      </w:tr>
      <w:tr w:rsidR="00C61B53" w:rsidRPr="007D588F" w:rsidTr="007D588F">
        <w:trPr>
          <w:trHeight w:val="735"/>
        </w:trPr>
        <w:tc>
          <w:tcPr>
            <w:tcW w:w="5070" w:type="dxa"/>
          </w:tcPr>
          <w:p w:rsidR="00C61B53" w:rsidRDefault="00C61B53" w:rsidP="007810EF">
            <w:pPr>
              <w:rPr>
                <w:szCs w:val="24"/>
              </w:rPr>
            </w:pPr>
            <w:r w:rsidRPr="007D588F">
              <w:rPr>
                <w:szCs w:val="24"/>
              </w:rPr>
              <w:lastRenderedPageBreak/>
              <w:t>Lietuvos buh</w:t>
            </w:r>
            <w:r w:rsidR="00116481">
              <w:rPr>
                <w:szCs w:val="24"/>
              </w:rPr>
              <w:t>alterių ir auditorių asociacija</w:t>
            </w:r>
          </w:p>
          <w:p w:rsidR="00116481" w:rsidRPr="007D588F" w:rsidRDefault="00116481" w:rsidP="007810EF">
            <w:pPr>
              <w:rPr>
                <w:szCs w:val="24"/>
              </w:rPr>
            </w:pPr>
          </w:p>
          <w:p w:rsidR="00C61B53" w:rsidRDefault="00C61B53" w:rsidP="007810EF">
            <w:pPr>
              <w:rPr>
                <w:szCs w:val="24"/>
              </w:rPr>
            </w:pPr>
            <w:r w:rsidRPr="007D588F">
              <w:rPr>
                <w:szCs w:val="24"/>
              </w:rPr>
              <w:t>Lietuvos smulkiojo ir vidutinio verslo taryba</w:t>
            </w:r>
          </w:p>
          <w:p w:rsidR="00116481" w:rsidRPr="007D588F" w:rsidRDefault="00116481" w:rsidP="007810EF">
            <w:pPr>
              <w:rPr>
                <w:szCs w:val="24"/>
              </w:rPr>
            </w:pPr>
          </w:p>
          <w:p w:rsidR="007D588F" w:rsidRDefault="00116481" w:rsidP="007810EF">
            <w:pPr>
              <w:rPr>
                <w:szCs w:val="24"/>
              </w:rPr>
            </w:pPr>
            <w:r>
              <w:rPr>
                <w:szCs w:val="24"/>
              </w:rPr>
              <w:t xml:space="preserve">Lietuvos </w:t>
            </w:r>
            <w:r w:rsidR="007D588F" w:rsidRPr="007D588F">
              <w:rPr>
                <w:szCs w:val="24"/>
              </w:rPr>
              <w:t>smulkiųjų verslininkų ir prekybininkų asociacija</w:t>
            </w:r>
          </w:p>
          <w:p w:rsidR="00A07478" w:rsidRDefault="00A07478" w:rsidP="007810EF">
            <w:pPr>
              <w:rPr>
                <w:szCs w:val="24"/>
              </w:rPr>
            </w:pPr>
          </w:p>
          <w:p w:rsidR="00A07478" w:rsidRPr="007D588F" w:rsidRDefault="00A07478" w:rsidP="007810EF">
            <w:pPr>
              <w:rPr>
                <w:szCs w:val="24"/>
              </w:rPr>
            </w:pPr>
            <w:r w:rsidRPr="00A07478">
              <w:rPr>
                <w:szCs w:val="24"/>
              </w:rPr>
              <w:t>Lietuvos darbdavių konfederacija</w:t>
            </w:r>
          </w:p>
        </w:tc>
        <w:tc>
          <w:tcPr>
            <w:tcW w:w="4252" w:type="dxa"/>
          </w:tcPr>
          <w:p w:rsidR="00C61B53" w:rsidRPr="007D588F" w:rsidRDefault="00A07478" w:rsidP="00925D46">
            <w:pPr>
              <w:jc w:val="both"/>
              <w:rPr>
                <w:szCs w:val="24"/>
              </w:rPr>
            </w:pPr>
            <w:r w:rsidRPr="00A07478">
              <w:rPr>
                <w:szCs w:val="24"/>
              </w:rPr>
              <w:t xml:space="preserve">Lietuvos darbdavių konfederacija </w:t>
            </w:r>
            <w:r>
              <w:rPr>
                <w:szCs w:val="24"/>
              </w:rPr>
              <w:t>s</w:t>
            </w:r>
            <w:r w:rsidR="00C61B53" w:rsidRPr="007D588F">
              <w:rPr>
                <w:szCs w:val="24"/>
              </w:rPr>
              <w:t xml:space="preserve">iūlo padidinti registravimosi PVM mokėtojais ribą iki </w:t>
            </w:r>
            <w:r>
              <w:rPr>
                <w:szCs w:val="24"/>
              </w:rPr>
              <w:t>70</w:t>
            </w:r>
            <w:r w:rsidR="004775C5">
              <w:rPr>
                <w:szCs w:val="24"/>
              </w:rPr>
              <w:t> 000</w:t>
            </w:r>
            <w:r>
              <w:rPr>
                <w:szCs w:val="24"/>
              </w:rPr>
              <w:t xml:space="preserve"> eurų, kiti asocijuoti asmenys – iki </w:t>
            </w:r>
            <w:r w:rsidR="004775C5">
              <w:rPr>
                <w:szCs w:val="24"/>
              </w:rPr>
              <w:t>85 000</w:t>
            </w:r>
            <w:r w:rsidR="00C61B53" w:rsidRPr="007D588F">
              <w:rPr>
                <w:szCs w:val="24"/>
              </w:rPr>
              <w:t>. eurų</w:t>
            </w:r>
            <w:r>
              <w:rPr>
                <w:szCs w:val="24"/>
              </w:rPr>
              <w:t>.</w:t>
            </w:r>
          </w:p>
        </w:tc>
        <w:tc>
          <w:tcPr>
            <w:tcW w:w="4897" w:type="dxa"/>
          </w:tcPr>
          <w:p w:rsidR="004775C5" w:rsidRPr="00CF143F" w:rsidRDefault="004775C5" w:rsidP="00C95A85">
            <w:pPr>
              <w:jc w:val="both"/>
              <w:rPr>
                <w:szCs w:val="24"/>
              </w:rPr>
            </w:pPr>
            <w:r w:rsidRPr="00CF143F">
              <w:rPr>
                <w:szCs w:val="24"/>
              </w:rPr>
              <w:t>Siūlymas nustatyti 85 000 eurų ribą remiasi direktyva, kurios nuostatos įsigalios nuo 2025 m. sausio 1 d. 85 000 eurų riba bus ne privaloma, o maksimali kiekvienai valstybei narei leistina nustatyti riba.</w:t>
            </w:r>
          </w:p>
          <w:p w:rsidR="004775C5" w:rsidRPr="00CF143F" w:rsidRDefault="004775C5" w:rsidP="00C95A85">
            <w:pPr>
              <w:jc w:val="both"/>
              <w:rPr>
                <w:szCs w:val="24"/>
              </w:rPr>
            </w:pPr>
            <w:r w:rsidRPr="00CF143F">
              <w:rPr>
                <w:szCs w:val="24"/>
              </w:rPr>
              <w:t xml:space="preserve">Jau šiuo metu Lietuvoje taikoma viena aukščiausių registravimosi PVM mokėtojais ribų Europos Sąjungoje. Nustatyti 70 000 ar 85 000 eurų ribas  nebūtų ekonomiškai pagrįsta </w:t>
            </w:r>
            <w:r w:rsidRPr="00CF143F">
              <w:rPr>
                <w:szCs w:val="24"/>
              </w:rPr>
              <w:noBreakHyphen/>
              <w:t xml:space="preserve"> daugelyje valstybių narių, kurių ekonomikos, įmonių ir jų apyvartų dydis gerokai didesnis negu Lietuvos Respublikos, taikoma mažesnė arba panaši registravimosi PVM mokėtojais riba.</w:t>
            </w:r>
          </w:p>
          <w:p w:rsidR="00C95A85" w:rsidRPr="007D588F" w:rsidRDefault="004775C5" w:rsidP="00B20727">
            <w:pPr>
              <w:jc w:val="both"/>
              <w:rPr>
                <w:szCs w:val="24"/>
              </w:rPr>
            </w:pPr>
            <w:r w:rsidRPr="00CF143F">
              <w:rPr>
                <w:szCs w:val="24"/>
              </w:rPr>
              <w:t>Be to, d</w:t>
            </w:r>
            <w:r w:rsidR="00116481" w:rsidRPr="00CF143F">
              <w:rPr>
                <w:szCs w:val="24"/>
              </w:rPr>
              <w:t xml:space="preserve">ėl registravimosi PVM </w:t>
            </w:r>
            <w:r w:rsidR="00116481">
              <w:rPr>
                <w:szCs w:val="24"/>
              </w:rPr>
              <w:t>mokėtojais</w:t>
            </w:r>
            <w:r w:rsidR="00116481" w:rsidRPr="00116481">
              <w:rPr>
                <w:szCs w:val="24"/>
              </w:rPr>
              <w:t xml:space="preserve"> ribos padidinimo </w:t>
            </w:r>
            <w:r w:rsidR="00116481">
              <w:rPr>
                <w:szCs w:val="24"/>
              </w:rPr>
              <w:t>nuo 45</w:t>
            </w:r>
            <w:r>
              <w:rPr>
                <w:szCs w:val="24"/>
              </w:rPr>
              <w:t> 000</w:t>
            </w:r>
            <w:r w:rsidR="00116481">
              <w:rPr>
                <w:szCs w:val="24"/>
              </w:rPr>
              <w:t xml:space="preserve"> iki </w:t>
            </w:r>
            <w:r>
              <w:rPr>
                <w:szCs w:val="24"/>
              </w:rPr>
              <w:t>70 000</w:t>
            </w:r>
            <w:r w:rsidR="00A07478">
              <w:rPr>
                <w:szCs w:val="24"/>
              </w:rPr>
              <w:t xml:space="preserve"> eurų</w:t>
            </w:r>
            <w:r w:rsidR="00116481">
              <w:rPr>
                <w:szCs w:val="24"/>
              </w:rPr>
              <w:t xml:space="preserve"> </w:t>
            </w:r>
            <w:r w:rsidR="00116481" w:rsidRPr="00116481">
              <w:rPr>
                <w:szCs w:val="24"/>
              </w:rPr>
              <w:t xml:space="preserve">valstybės biudžetas papildomai netektų apie </w:t>
            </w:r>
            <w:r w:rsidR="00A07478" w:rsidRPr="00A07478">
              <w:rPr>
                <w:szCs w:val="24"/>
              </w:rPr>
              <w:t xml:space="preserve">16 mln. </w:t>
            </w:r>
            <w:r w:rsidR="00A07478">
              <w:rPr>
                <w:szCs w:val="24"/>
              </w:rPr>
              <w:t>eurų</w:t>
            </w:r>
            <w:r w:rsidR="00A07478" w:rsidRPr="00A07478">
              <w:rPr>
                <w:szCs w:val="24"/>
              </w:rPr>
              <w:t xml:space="preserve"> pajamų iš PVM</w:t>
            </w:r>
            <w:r w:rsidR="00A07478">
              <w:rPr>
                <w:szCs w:val="24"/>
              </w:rPr>
              <w:t xml:space="preserve">, o dėl </w:t>
            </w:r>
            <w:r w:rsidR="00A07478" w:rsidRPr="00A07478">
              <w:rPr>
                <w:szCs w:val="24"/>
              </w:rPr>
              <w:t xml:space="preserve"> padidinimo nuo 45</w:t>
            </w:r>
            <w:r>
              <w:rPr>
                <w:szCs w:val="24"/>
              </w:rPr>
              <w:t> 000</w:t>
            </w:r>
            <w:r w:rsidR="00A07478" w:rsidRPr="00A07478">
              <w:rPr>
                <w:szCs w:val="24"/>
              </w:rPr>
              <w:t xml:space="preserve"> iki </w:t>
            </w:r>
            <w:r w:rsidR="00A07478">
              <w:rPr>
                <w:szCs w:val="24"/>
              </w:rPr>
              <w:t>85</w:t>
            </w:r>
            <w:r>
              <w:rPr>
                <w:szCs w:val="24"/>
              </w:rPr>
              <w:t> 000</w:t>
            </w:r>
            <w:r w:rsidR="00A07478" w:rsidRPr="00A07478">
              <w:rPr>
                <w:szCs w:val="24"/>
              </w:rPr>
              <w:t xml:space="preserve"> eurų </w:t>
            </w:r>
            <w:r w:rsidR="00A07478">
              <w:rPr>
                <w:szCs w:val="24"/>
              </w:rPr>
              <w:noBreakHyphen/>
              <w:t xml:space="preserve"> apie</w:t>
            </w:r>
            <w:r w:rsidR="00A07478" w:rsidRPr="00A07478">
              <w:rPr>
                <w:szCs w:val="24"/>
              </w:rPr>
              <w:t xml:space="preserve"> </w:t>
            </w:r>
            <w:r w:rsidR="00116481">
              <w:rPr>
                <w:szCs w:val="24"/>
              </w:rPr>
              <w:t>26</w:t>
            </w:r>
            <w:r w:rsidR="00116481" w:rsidRPr="00116481">
              <w:rPr>
                <w:szCs w:val="24"/>
              </w:rPr>
              <w:t xml:space="preserve"> mln. </w:t>
            </w:r>
            <w:r w:rsidR="00A07478">
              <w:rPr>
                <w:szCs w:val="24"/>
              </w:rPr>
              <w:t>eurų</w:t>
            </w:r>
            <w:r w:rsidR="00116481">
              <w:rPr>
                <w:szCs w:val="24"/>
              </w:rPr>
              <w:t>.</w:t>
            </w:r>
            <w:r w:rsidR="00116481" w:rsidRPr="00116481">
              <w:rPr>
                <w:szCs w:val="24"/>
              </w:rPr>
              <w:t xml:space="preserve"> </w:t>
            </w:r>
            <w:r w:rsidR="00116481">
              <w:rPr>
                <w:szCs w:val="24"/>
              </w:rPr>
              <w:t>Tai neatitiktų</w:t>
            </w:r>
            <w:r w:rsidR="00116481" w:rsidRPr="00116481">
              <w:rPr>
                <w:szCs w:val="24"/>
              </w:rPr>
              <w:t xml:space="preserve"> PVM direktyvo</w:t>
            </w:r>
            <w:r w:rsidR="00C95A85">
              <w:rPr>
                <w:szCs w:val="24"/>
              </w:rPr>
              <w:t>s 395 straipsnyje nustatyto</w:t>
            </w:r>
            <w:r w:rsidR="00116481" w:rsidRPr="00116481">
              <w:rPr>
                <w:szCs w:val="24"/>
              </w:rPr>
              <w:t xml:space="preserve"> </w:t>
            </w:r>
            <w:r w:rsidR="00C95A85">
              <w:rPr>
                <w:szCs w:val="24"/>
              </w:rPr>
              <w:t>reikalavimo, pagal kurį nukrypstančios priemonės taikymas</w:t>
            </w:r>
            <w:r w:rsidR="00116481" w:rsidRPr="00116481">
              <w:rPr>
                <w:szCs w:val="24"/>
              </w:rPr>
              <w:t xml:space="preserve"> </w:t>
            </w:r>
            <w:r w:rsidR="00C95A85" w:rsidRPr="00C95A85">
              <w:rPr>
                <w:szCs w:val="24"/>
              </w:rPr>
              <w:t>negali daryti įtakos, nebent labai nedaug, valstybės narės mokesčių pajamų, surenkamų galutinio vartojimo etape, bendrai sumai</w:t>
            </w:r>
            <w:r w:rsidR="00C95A85">
              <w:rPr>
                <w:szCs w:val="24"/>
              </w:rPr>
              <w:t>.</w:t>
            </w:r>
          </w:p>
        </w:tc>
      </w:tr>
      <w:tr w:rsidR="00C95A85" w:rsidRPr="007D588F" w:rsidTr="007D588F">
        <w:trPr>
          <w:trHeight w:val="675"/>
        </w:trPr>
        <w:tc>
          <w:tcPr>
            <w:tcW w:w="5070" w:type="dxa"/>
          </w:tcPr>
          <w:p w:rsidR="00C95A85" w:rsidRPr="00B63D40" w:rsidRDefault="00ED1925" w:rsidP="007810EF">
            <w:pPr>
              <w:rPr>
                <w:szCs w:val="24"/>
              </w:rPr>
            </w:pPr>
            <w:r>
              <w:rPr>
                <w:szCs w:val="24"/>
              </w:rPr>
              <w:t>Lietuvos mėsos perdirbėjų asociacija</w:t>
            </w:r>
          </w:p>
        </w:tc>
        <w:tc>
          <w:tcPr>
            <w:tcW w:w="4252" w:type="dxa"/>
          </w:tcPr>
          <w:p w:rsidR="00C95A85" w:rsidRPr="00B63D40" w:rsidRDefault="00ED1925" w:rsidP="00B63D40">
            <w:pPr>
              <w:rPr>
                <w:szCs w:val="24"/>
              </w:rPr>
            </w:pPr>
            <w:r>
              <w:rPr>
                <w:szCs w:val="24"/>
              </w:rPr>
              <w:t>Siūlo nedidinti ribos.</w:t>
            </w:r>
          </w:p>
        </w:tc>
        <w:tc>
          <w:tcPr>
            <w:tcW w:w="4897" w:type="dxa"/>
          </w:tcPr>
          <w:p w:rsidR="00E235F0" w:rsidRPr="00E235F0" w:rsidRDefault="00E235F0" w:rsidP="00E235F0">
            <w:pPr>
              <w:jc w:val="both"/>
              <w:rPr>
                <w:szCs w:val="24"/>
              </w:rPr>
            </w:pPr>
            <w:r>
              <w:rPr>
                <w:szCs w:val="24"/>
              </w:rPr>
              <w:t xml:space="preserve">Registravimosi PVM mokėtojais riba nebuvo didinta nuo 2012 m. sausio 1 d. </w:t>
            </w:r>
            <w:r w:rsidRPr="00E235F0">
              <w:rPr>
                <w:szCs w:val="24"/>
              </w:rPr>
              <w:t>Didesnės registravimosi PVM ribos nustatytas ypatingai būtų naudingas</w:t>
            </w:r>
            <w:r>
              <w:rPr>
                <w:szCs w:val="24"/>
              </w:rPr>
              <w:t xml:space="preserve"> smulkiajam verslui.</w:t>
            </w:r>
            <w:r w:rsidRPr="00E235F0">
              <w:rPr>
                <w:szCs w:val="24"/>
              </w:rPr>
              <w:t xml:space="preserve"> Tokia priemonė taip pat pagelbėtų verslui, nukentėjusiam dėl </w:t>
            </w:r>
            <w:proofErr w:type="spellStart"/>
            <w:r w:rsidRPr="00E235F0">
              <w:rPr>
                <w:szCs w:val="24"/>
              </w:rPr>
              <w:t>koronaviruso</w:t>
            </w:r>
            <w:proofErr w:type="spellEnd"/>
            <w:r w:rsidRPr="00E235F0">
              <w:rPr>
                <w:szCs w:val="24"/>
              </w:rPr>
              <w:t xml:space="preserve"> protrūkio.</w:t>
            </w:r>
          </w:p>
          <w:p w:rsidR="00C95A85" w:rsidRPr="00C95A85" w:rsidRDefault="00C95A85" w:rsidP="00E235F0">
            <w:pPr>
              <w:jc w:val="both"/>
              <w:rPr>
                <w:szCs w:val="24"/>
              </w:rPr>
            </w:pPr>
          </w:p>
        </w:tc>
      </w:tr>
    </w:tbl>
    <w:p w:rsidR="00764139" w:rsidRPr="007D588F" w:rsidRDefault="00764139" w:rsidP="00C61B53">
      <w:pPr>
        <w:rPr>
          <w:szCs w:val="24"/>
        </w:rPr>
      </w:pPr>
    </w:p>
    <w:sectPr w:rsidR="00764139" w:rsidRPr="007D588F" w:rsidSect="00C61B53">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519" w:rsidRDefault="00836519" w:rsidP="000E200A">
      <w:r>
        <w:separator/>
      </w:r>
    </w:p>
  </w:endnote>
  <w:endnote w:type="continuationSeparator" w:id="0">
    <w:p w:rsidR="00836519" w:rsidRDefault="00836519" w:rsidP="000E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0A" w:rsidRDefault="000E20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0A" w:rsidRDefault="000E20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0A" w:rsidRDefault="000E20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519" w:rsidRDefault="00836519" w:rsidP="000E200A">
      <w:r>
        <w:separator/>
      </w:r>
    </w:p>
  </w:footnote>
  <w:footnote w:type="continuationSeparator" w:id="0">
    <w:p w:rsidR="00836519" w:rsidRDefault="00836519" w:rsidP="000E2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0A" w:rsidRDefault="000E20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0A" w:rsidRDefault="000E200A">
    <w:pPr>
      <w:pStyle w:val="Antrats"/>
      <w:jc w:val="center"/>
    </w:pPr>
  </w:p>
  <w:p w:rsidR="000E200A" w:rsidRDefault="000E200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0A" w:rsidRDefault="000E20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26C63"/>
    <w:multiLevelType w:val="hybridMultilevel"/>
    <w:tmpl w:val="85F0EB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D8204C6"/>
    <w:multiLevelType w:val="hybridMultilevel"/>
    <w:tmpl w:val="85F0EB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EF"/>
    <w:rsid w:val="000E200A"/>
    <w:rsid w:val="00116481"/>
    <w:rsid w:val="00165D69"/>
    <w:rsid w:val="001C5ACD"/>
    <w:rsid w:val="00233C8C"/>
    <w:rsid w:val="0025594A"/>
    <w:rsid w:val="003555EC"/>
    <w:rsid w:val="003778C0"/>
    <w:rsid w:val="004775C5"/>
    <w:rsid w:val="005014A5"/>
    <w:rsid w:val="005D1F6C"/>
    <w:rsid w:val="00764139"/>
    <w:rsid w:val="0077601A"/>
    <w:rsid w:val="007810EF"/>
    <w:rsid w:val="007D588F"/>
    <w:rsid w:val="00836519"/>
    <w:rsid w:val="00841959"/>
    <w:rsid w:val="00925D46"/>
    <w:rsid w:val="009E4C1B"/>
    <w:rsid w:val="00A07478"/>
    <w:rsid w:val="00B20727"/>
    <w:rsid w:val="00B63D40"/>
    <w:rsid w:val="00C61B53"/>
    <w:rsid w:val="00C95A85"/>
    <w:rsid w:val="00CF143F"/>
    <w:rsid w:val="00E132A1"/>
    <w:rsid w:val="00E235F0"/>
    <w:rsid w:val="00ED19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10E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810EF"/>
    <w:rPr>
      <w:color w:val="0000FF" w:themeColor="hyperlink"/>
      <w:u w:val="single"/>
    </w:rPr>
  </w:style>
  <w:style w:type="paragraph" w:styleId="Antrats">
    <w:name w:val="header"/>
    <w:basedOn w:val="prastasis"/>
    <w:link w:val="AntratsDiagrama"/>
    <w:uiPriority w:val="99"/>
    <w:unhideWhenUsed/>
    <w:rsid w:val="000E200A"/>
    <w:pPr>
      <w:tabs>
        <w:tab w:val="center" w:pos="4819"/>
        <w:tab w:val="right" w:pos="9638"/>
      </w:tabs>
    </w:pPr>
  </w:style>
  <w:style w:type="character" w:customStyle="1" w:styleId="AntratsDiagrama">
    <w:name w:val="Antraštės Diagrama"/>
    <w:basedOn w:val="Numatytasispastraiposriftas"/>
    <w:link w:val="Antrats"/>
    <w:uiPriority w:val="99"/>
    <w:rsid w:val="000E200A"/>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E200A"/>
    <w:pPr>
      <w:tabs>
        <w:tab w:val="center" w:pos="4819"/>
        <w:tab w:val="right" w:pos="9638"/>
      </w:tabs>
    </w:pPr>
  </w:style>
  <w:style w:type="character" w:customStyle="1" w:styleId="PoratDiagrama">
    <w:name w:val="Poraštė Diagrama"/>
    <w:basedOn w:val="Numatytasispastraiposriftas"/>
    <w:link w:val="Porat"/>
    <w:uiPriority w:val="99"/>
    <w:rsid w:val="000E200A"/>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10E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810EF"/>
    <w:rPr>
      <w:color w:val="0000FF" w:themeColor="hyperlink"/>
      <w:u w:val="single"/>
    </w:rPr>
  </w:style>
  <w:style w:type="paragraph" w:styleId="Antrats">
    <w:name w:val="header"/>
    <w:basedOn w:val="prastasis"/>
    <w:link w:val="AntratsDiagrama"/>
    <w:uiPriority w:val="99"/>
    <w:unhideWhenUsed/>
    <w:rsid w:val="000E200A"/>
    <w:pPr>
      <w:tabs>
        <w:tab w:val="center" w:pos="4819"/>
        <w:tab w:val="right" w:pos="9638"/>
      </w:tabs>
    </w:pPr>
  </w:style>
  <w:style w:type="character" w:customStyle="1" w:styleId="AntratsDiagrama">
    <w:name w:val="Antraštės Diagrama"/>
    <w:basedOn w:val="Numatytasispastraiposriftas"/>
    <w:link w:val="Antrats"/>
    <w:uiPriority w:val="99"/>
    <w:rsid w:val="000E200A"/>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E200A"/>
    <w:pPr>
      <w:tabs>
        <w:tab w:val="center" w:pos="4819"/>
        <w:tab w:val="right" w:pos="9638"/>
      </w:tabs>
    </w:pPr>
  </w:style>
  <w:style w:type="character" w:customStyle="1" w:styleId="PoratDiagrama">
    <w:name w:val="Poraštė Diagrama"/>
    <w:basedOn w:val="Numatytasispastraiposriftas"/>
    <w:link w:val="Porat"/>
    <w:uiPriority w:val="99"/>
    <w:rsid w:val="000E200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2445</Words>
  <Characters>1394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Morkūnienė</dc:creator>
  <cp:lastModifiedBy>Giedrė Morkūnienė</cp:lastModifiedBy>
  <cp:revision>2</cp:revision>
  <dcterms:created xsi:type="dcterms:W3CDTF">2020-05-15T08:20:00Z</dcterms:created>
  <dcterms:modified xsi:type="dcterms:W3CDTF">2020-05-15T08:20:00Z</dcterms:modified>
</cp:coreProperties>
</file>