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10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398"/>
        <w:gridCol w:w="2870"/>
      </w:tblGrid>
      <w:tr w:rsidR="004A4FA3" w:rsidRPr="001A0372" w:rsidTr="008B1912">
        <w:tc>
          <w:tcPr>
            <w:tcW w:w="6379" w:type="dxa"/>
            <w:vMerge w:val="restart"/>
          </w:tcPr>
          <w:p w:rsidR="004A4FA3" w:rsidRPr="001A0372" w:rsidRDefault="00C137AB" w:rsidP="00C137AB">
            <w:pPr>
              <w:jc w:val="both"/>
              <w:rPr>
                <w:lang w:val="lt-LT"/>
              </w:rPr>
            </w:pPr>
            <w:bookmarkStart w:id="0" w:name="_GoBack"/>
            <w:bookmarkEnd w:id="0"/>
            <w:r w:rsidRPr="001A0372">
              <w:rPr>
                <w:lang w:val="lt-LT"/>
              </w:rPr>
              <w:t>Lietuvos Respublikos Vyriausybei</w:t>
            </w:r>
          </w:p>
          <w:p w:rsidR="004A4FA3" w:rsidRPr="001A0372" w:rsidRDefault="004A4FA3" w:rsidP="008B1912">
            <w:pPr>
              <w:jc w:val="both"/>
              <w:rPr>
                <w:lang w:val="lt-LT"/>
              </w:rPr>
            </w:pPr>
          </w:p>
          <w:p w:rsidR="00C137AB" w:rsidRPr="001A0372" w:rsidRDefault="00C137AB" w:rsidP="00C137AB">
            <w:pPr>
              <w:autoSpaceDE w:val="0"/>
              <w:autoSpaceDN w:val="0"/>
              <w:adjustRightInd w:val="0"/>
              <w:jc w:val="both"/>
              <w:rPr>
                <w:rFonts w:eastAsiaTheme="minorHAnsi"/>
                <w:lang w:val="lt-LT"/>
              </w:rPr>
            </w:pPr>
          </w:p>
        </w:tc>
        <w:tc>
          <w:tcPr>
            <w:tcW w:w="1398" w:type="dxa"/>
          </w:tcPr>
          <w:p w:rsidR="004A4FA3" w:rsidRPr="001A0372" w:rsidRDefault="00916926" w:rsidP="008B1912">
            <w:pPr>
              <w:autoSpaceDE w:val="0"/>
              <w:autoSpaceDN w:val="0"/>
              <w:adjustRightInd w:val="0"/>
              <w:jc w:val="both"/>
              <w:rPr>
                <w:rFonts w:eastAsiaTheme="minorHAnsi"/>
                <w:lang w:val="lt-LT"/>
              </w:rPr>
            </w:pPr>
            <w:r w:rsidRPr="001A0372">
              <w:rPr>
                <w:rFonts w:eastAsiaTheme="minorHAnsi"/>
                <w:lang w:val="lt-LT"/>
              </w:rPr>
              <w:t>2020-06</w:t>
            </w:r>
            <w:r w:rsidR="004A4FA3" w:rsidRPr="001A0372">
              <w:rPr>
                <w:rFonts w:eastAsiaTheme="minorHAnsi"/>
                <w:lang w:val="lt-LT"/>
              </w:rPr>
              <w:t>-</w:t>
            </w:r>
          </w:p>
        </w:tc>
        <w:tc>
          <w:tcPr>
            <w:tcW w:w="2870" w:type="dxa"/>
          </w:tcPr>
          <w:p w:rsidR="004A4FA3" w:rsidRPr="001A0372" w:rsidRDefault="004A4FA3" w:rsidP="008B1912">
            <w:pPr>
              <w:autoSpaceDE w:val="0"/>
              <w:autoSpaceDN w:val="0"/>
              <w:adjustRightInd w:val="0"/>
              <w:jc w:val="both"/>
              <w:rPr>
                <w:rFonts w:eastAsiaTheme="minorHAnsi"/>
                <w:lang w:val="lt-LT"/>
              </w:rPr>
            </w:pPr>
            <w:r w:rsidRPr="001A0372">
              <w:rPr>
                <w:rFonts w:eastAsiaTheme="minorHAnsi"/>
                <w:lang w:val="lt-LT"/>
              </w:rPr>
              <w:t>Nr.</w:t>
            </w:r>
          </w:p>
        </w:tc>
      </w:tr>
      <w:tr w:rsidR="004A4FA3" w:rsidRPr="001A0372" w:rsidTr="008B1912">
        <w:tc>
          <w:tcPr>
            <w:tcW w:w="6379" w:type="dxa"/>
            <w:vMerge/>
          </w:tcPr>
          <w:p w:rsidR="004A4FA3" w:rsidRPr="001A0372" w:rsidRDefault="004A4FA3" w:rsidP="008B1912">
            <w:pPr>
              <w:autoSpaceDE w:val="0"/>
              <w:autoSpaceDN w:val="0"/>
              <w:adjustRightInd w:val="0"/>
              <w:ind w:firstLine="1298"/>
              <w:jc w:val="both"/>
              <w:rPr>
                <w:rFonts w:eastAsiaTheme="minorHAnsi"/>
                <w:lang w:val="lt-LT"/>
              </w:rPr>
            </w:pPr>
          </w:p>
        </w:tc>
        <w:tc>
          <w:tcPr>
            <w:tcW w:w="1398" w:type="dxa"/>
          </w:tcPr>
          <w:p w:rsidR="004A4FA3" w:rsidRPr="001A0372" w:rsidRDefault="004A4FA3" w:rsidP="008B1912">
            <w:pPr>
              <w:autoSpaceDE w:val="0"/>
              <w:autoSpaceDN w:val="0"/>
              <w:adjustRightInd w:val="0"/>
              <w:ind w:firstLine="1298"/>
              <w:jc w:val="both"/>
              <w:rPr>
                <w:rFonts w:eastAsiaTheme="minorHAnsi"/>
                <w:lang w:val="lt-LT"/>
              </w:rPr>
            </w:pPr>
          </w:p>
        </w:tc>
        <w:tc>
          <w:tcPr>
            <w:tcW w:w="2870" w:type="dxa"/>
          </w:tcPr>
          <w:p w:rsidR="004A4FA3" w:rsidRPr="001A0372" w:rsidRDefault="004A4FA3" w:rsidP="008B1912">
            <w:pPr>
              <w:autoSpaceDE w:val="0"/>
              <w:autoSpaceDN w:val="0"/>
              <w:adjustRightInd w:val="0"/>
              <w:ind w:firstLine="1298"/>
              <w:jc w:val="both"/>
              <w:rPr>
                <w:rFonts w:eastAsiaTheme="minorHAnsi"/>
                <w:lang w:val="lt-LT"/>
              </w:rPr>
            </w:pPr>
          </w:p>
        </w:tc>
      </w:tr>
    </w:tbl>
    <w:p w:rsidR="004A4FA3" w:rsidRPr="001A0372" w:rsidRDefault="006A48CC" w:rsidP="004A4FA3">
      <w:pPr>
        <w:autoSpaceDE w:val="0"/>
        <w:autoSpaceDN w:val="0"/>
        <w:adjustRightInd w:val="0"/>
        <w:ind w:right="-1"/>
        <w:jc w:val="both"/>
        <w:rPr>
          <w:rFonts w:eastAsiaTheme="minorHAnsi"/>
          <w:b/>
          <w:lang w:val="lt-LT"/>
        </w:rPr>
      </w:pPr>
      <w:r w:rsidRPr="001A0372">
        <w:rPr>
          <w:b/>
          <w:lang w:val="lt-LT"/>
        </w:rPr>
        <w:t xml:space="preserve">TEIKIMAS </w:t>
      </w:r>
      <w:r w:rsidR="004A4FA3" w:rsidRPr="001A0372">
        <w:rPr>
          <w:b/>
          <w:lang w:val="lt-LT"/>
        </w:rPr>
        <w:t xml:space="preserve">DĖL VYRIAUSYBĖS NUTARIMO PROJEKTO </w:t>
      </w:r>
    </w:p>
    <w:p w:rsidR="00C137AB" w:rsidRDefault="00C137AB" w:rsidP="00C137AB">
      <w:pPr>
        <w:autoSpaceDE w:val="0"/>
        <w:autoSpaceDN w:val="0"/>
        <w:adjustRightInd w:val="0"/>
        <w:jc w:val="both"/>
        <w:rPr>
          <w:rFonts w:eastAsiaTheme="minorHAnsi"/>
          <w:lang w:val="lt-LT"/>
        </w:rPr>
      </w:pPr>
    </w:p>
    <w:p w:rsidR="001A0372" w:rsidRPr="001A0372" w:rsidRDefault="001A0372" w:rsidP="001A0372">
      <w:pPr>
        <w:autoSpaceDE w:val="0"/>
        <w:autoSpaceDN w:val="0"/>
        <w:adjustRightInd w:val="0"/>
        <w:spacing w:line="300" w:lineRule="atLeast"/>
        <w:jc w:val="both"/>
        <w:rPr>
          <w:rFonts w:eastAsiaTheme="minorHAnsi"/>
          <w:lang w:val="lt-LT"/>
        </w:rPr>
      </w:pPr>
    </w:p>
    <w:p w:rsidR="00916926" w:rsidRPr="001A0372" w:rsidRDefault="004A4FA3" w:rsidP="001A0372">
      <w:pPr>
        <w:tabs>
          <w:tab w:val="left" w:pos="2410"/>
        </w:tabs>
        <w:spacing w:line="300" w:lineRule="atLeast"/>
        <w:ind w:firstLine="851"/>
        <w:contextualSpacing/>
        <w:jc w:val="both"/>
        <w:outlineLvl w:val="0"/>
        <w:rPr>
          <w:bCs/>
          <w:lang w:val="lt-LT"/>
        </w:rPr>
      </w:pPr>
      <w:r w:rsidRPr="001A0372">
        <w:rPr>
          <w:lang w:val="lt-LT"/>
        </w:rPr>
        <w:t xml:space="preserve">Teikiame </w:t>
      </w:r>
      <w:r w:rsidR="0067094F" w:rsidRPr="001A0372">
        <w:rPr>
          <w:lang w:val="lt-LT"/>
        </w:rPr>
        <w:t xml:space="preserve">Lietuvos Respublikos </w:t>
      </w:r>
      <w:r w:rsidR="006A48CC" w:rsidRPr="001A0372">
        <w:rPr>
          <w:lang w:val="lt-LT"/>
        </w:rPr>
        <w:t xml:space="preserve">Vyriausybei svarstyti </w:t>
      </w:r>
      <w:r w:rsidRPr="001A0372">
        <w:rPr>
          <w:lang w:val="lt-LT"/>
        </w:rPr>
        <w:t>Vyriausybės nutarimo „</w:t>
      </w:r>
      <w:r w:rsidRPr="001A0372">
        <w:rPr>
          <w:lang w:val="lt-LT" w:eastAsia="lt-LT"/>
        </w:rPr>
        <w:t xml:space="preserve">Dėl Galiojančio teisinio reguliavimo poveikio </w:t>
      </w:r>
      <w:r w:rsidRPr="001A0372">
        <w:rPr>
          <w:i/>
          <w:lang w:val="lt-LT" w:eastAsia="lt-LT"/>
        </w:rPr>
        <w:t>ex post</w:t>
      </w:r>
      <w:r w:rsidRPr="001A0372">
        <w:rPr>
          <w:lang w:val="lt-LT" w:eastAsia="lt-LT"/>
        </w:rPr>
        <w:t xml:space="preserve"> vertinimo metodikos ir ataskaitos formos patvirtinimo“ projektą (toliau – Nutarimo projektas). Nutarimo projektas parengtas įgyvendinant </w:t>
      </w:r>
      <w:r w:rsidRPr="001A0372">
        <w:rPr>
          <w:bCs/>
          <w:lang w:val="lt-LT"/>
        </w:rPr>
        <w:t xml:space="preserve">Teisėkūros pagrindų įstatymo Nr. XI-2220 </w:t>
      </w:r>
      <w:r w:rsidRPr="001A0372">
        <w:rPr>
          <w:lang w:val="lt-LT"/>
        </w:rPr>
        <w:t>2, 3, 5, 6, 7, 8, 10 straipsnių ir ketvirtojo skirsnio</w:t>
      </w:r>
      <w:r w:rsidRPr="001A0372">
        <w:rPr>
          <w:bCs/>
          <w:lang w:val="lt-LT"/>
        </w:rPr>
        <w:t xml:space="preserve"> pakeitimo įstatymą Nr. XIII-2134 (toliau – Įstatymas)</w:t>
      </w:r>
      <w:r w:rsidR="00916926" w:rsidRPr="001A0372">
        <w:rPr>
          <w:bCs/>
          <w:lang w:val="lt-LT"/>
        </w:rPr>
        <w:t>, kuris</w:t>
      </w:r>
      <w:r w:rsidR="002E04BE" w:rsidRPr="001A0372">
        <w:rPr>
          <w:bCs/>
          <w:lang w:val="lt-LT"/>
        </w:rPr>
        <w:t xml:space="preserve"> </w:t>
      </w:r>
      <w:r w:rsidR="00916926" w:rsidRPr="001A0372">
        <w:rPr>
          <w:bCs/>
          <w:lang w:val="lt-LT"/>
        </w:rPr>
        <w:t>buvo priimtas</w:t>
      </w:r>
      <w:r w:rsidR="002E04BE" w:rsidRPr="001A0372">
        <w:rPr>
          <w:bCs/>
          <w:lang w:val="lt-LT"/>
        </w:rPr>
        <w:t xml:space="preserve">, be kita ko, atsižvelgiant į </w:t>
      </w:r>
      <w:r w:rsidR="00916926" w:rsidRPr="001A0372">
        <w:rPr>
          <w:lang w:val="lt-LT" w:eastAsia="lt-LT"/>
        </w:rPr>
        <w:t xml:space="preserve">Ekonominio bendradarbiavimo ir plėtros organizacijos (EBPO) </w:t>
      </w:r>
      <w:r w:rsidR="00143F51" w:rsidRPr="001A0372">
        <w:rPr>
          <w:lang w:val="lt-LT" w:eastAsia="lt-LT"/>
        </w:rPr>
        <w:t xml:space="preserve">2015 m. </w:t>
      </w:r>
      <w:r w:rsidR="00916926" w:rsidRPr="001A0372">
        <w:rPr>
          <w:lang w:val="lt-LT" w:eastAsia="lt-LT"/>
        </w:rPr>
        <w:t xml:space="preserve">rekomendacijas Lietuvai teisinio reguliavimo politikos srityje, kurių </w:t>
      </w:r>
      <w:r w:rsidR="00143F51" w:rsidRPr="001A0372">
        <w:rPr>
          <w:lang w:val="lt-LT" w:eastAsia="lt-LT"/>
        </w:rPr>
        <w:t xml:space="preserve">viena pagrindinių </w:t>
      </w:r>
      <w:r w:rsidR="00916926" w:rsidRPr="001A0372">
        <w:rPr>
          <w:lang w:val="lt-LT" w:eastAsia="lt-LT"/>
        </w:rPr>
        <w:t>buvo tobulinti teisinio reguliavimo</w:t>
      </w:r>
      <w:r w:rsidR="00916926" w:rsidRPr="001A0372">
        <w:rPr>
          <w:i/>
          <w:lang w:val="lt-LT" w:eastAsia="lt-LT"/>
        </w:rPr>
        <w:t xml:space="preserve"> </w:t>
      </w:r>
      <w:r w:rsidR="00D32A70" w:rsidRPr="001A0372">
        <w:rPr>
          <w:i/>
          <w:lang w:val="lt-LT" w:eastAsia="lt-LT"/>
        </w:rPr>
        <w:t>ex </w:t>
      </w:r>
      <w:r w:rsidR="00916926" w:rsidRPr="001A0372">
        <w:rPr>
          <w:i/>
          <w:lang w:val="lt-LT" w:eastAsia="lt-LT"/>
        </w:rPr>
        <w:t>post</w:t>
      </w:r>
      <w:r w:rsidR="00916926" w:rsidRPr="001A0372">
        <w:rPr>
          <w:lang w:val="lt-LT" w:eastAsia="lt-LT"/>
        </w:rPr>
        <w:t xml:space="preserve"> vertinimą.</w:t>
      </w:r>
    </w:p>
    <w:p w:rsidR="004A4FA3" w:rsidRPr="001A0372" w:rsidRDefault="004A4FA3" w:rsidP="001A0372">
      <w:pPr>
        <w:tabs>
          <w:tab w:val="left" w:pos="2410"/>
        </w:tabs>
        <w:spacing w:line="300" w:lineRule="atLeast"/>
        <w:ind w:firstLine="851"/>
        <w:contextualSpacing/>
        <w:jc w:val="both"/>
        <w:outlineLvl w:val="0"/>
        <w:rPr>
          <w:lang w:val="lt-LT" w:eastAsia="lt-LT"/>
        </w:rPr>
      </w:pPr>
      <w:r w:rsidRPr="001A0372">
        <w:rPr>
          <w:bCs/>
          <w:lang w:val="lt-LT"/>
        </w:rPr>
        <w:t xml:space="preserve">Teisėkūros pagrindų įstatymo </w:t>
      </w:r>
      <w:r w:rsidR="006C7C60" w:rsidRPr="001A0372">
        <w:rPr>
          <w:bCs/>
          <w:lang w:val="lt-LT"/>
        </w:rPr>
        <w:t xml:space="preserve">(toliau – TPĮ) </w:t>
      </w:r>
      <w:r w:rsidR="00920C4D" w:rsidRPr="001A0372">
        <w:rPr>
          <w:bCs/>
          <w:lang w:val="lt-LT"/>
        </w:rPr>
        <w:t>24</w:t>
      </w:r>
      <w:r w:rsidR="00920C4D" w:rsidRPr="001A0372">
        <w:rPr>
          <w:bCs/>
          <w:vertAlign w:val="superscript"/>
          <w:lang w:val="lt-LT"/>
        </w:rPr>
        <w:t xml:space="preserve">1 </w:t>
      </w:r>
      <w:r w:rsidR="00920C4D" w:rsidRPr="001A0372">
        <w:rPr>
          <w:bCs/>
          <w:lang w:val="lt-LT"/>
        </w:rPr>
        <w:t xml:space="preserve">straipsnio 3 dalyje </w:t>
      </w:r>
      <w:r w:rsidR="00920C4D" w:rsidRPr="001A0372">
        <w:rPr>
          <w:lang w:val="lt-LT" w:eastAsia="lt-LT"/>
        </w:rPr>
        <w:t xml:space="preserve">nustatyta, kad Vyriausybė paskiria galiojančio teisinio reguliavimo poveikio </w:t>
      </w:r>
      <w:r w:rsidR="00920C4D" w:rsidRPr="001A0372">
        <w:rPr>
          <w:i/>
          <w:lang w:val="lt-LT" w:eastAsia="lt-LT"/>
        </w:rPr>
        <w:t>ex post</w:t>
      </w:r>
      <w:r w:rsidR="00920C4D" w:rsidRPr="001A0372">
        <w:rPr>
          <w:lang w:val="lt-LT" w:eastAsia="lt-LT"/>
        </w:rPr>
        <w:t xml:space="preserve"> vertinimą koordinuojančią instituciją, o </w:t>
      </w:r>
      <w:r w:rsidRPr="001A0372">
        <w:rPr>
          <w:lang w:val="lt-LT" w:eastAsia="lt-LT"/>
        </w:rPr>
        <w:t>2</w:t>
      </w:r>
      <w:r w:rsidRPr="001A0372">
        <w:rPr>
          <w:bCs/>
          <w:lang w:val="lt-LT"/>
        </w:rPr>
        <w:t>4</w:t>
      </w:r>
      <w:r w:rsidRPr="001A0372">
        <w:rPr>
          <w:bCs/>
          <w:vertAlign w:val="superscript"/>
          <w:lang w:val="lt-LT"/>
        </w:rPr>
        <w:t xml:space="preserve">2 </w:t>
      </w:r>
      <w:r w:rsidR="00FD2FF0" w:rsidRPr="001A0372">
        <w:rPr>
          <w:bCs/>
          <w:lang w:val="lt-LT"/>
        </w:rPr>
        <w:t>straipsnio 1 ir 3 dalyse</w:t>
      </w:r>
      <w:r w:rsidRPr="001A0372">
        <w:rPr>
          <w:bCs/>
          <w:lang w:val="lt-LT"/>
        </w:rPr>
        <w:t xml:space="preserve">, kad Vyriausybė ar jos įgaliota institucija tvirtina </w:t>
      </w:r>
      <w:r w:rsidR="000C4C3C" w:rsidRPr="001A0372">
        <w:rPr>
          <w:lang w:val="lt-LT" w:eastAsia="lt-LT"/>
        </w:rPr>
        <w:t xml:space="preserve">galiojančio </w:t>
      </w:r>
      <w:r w:rsidRPr="001A0372">
        <w:rPr>
          <w:lang w:val="lt-LT" w:eastAsia="lt-LT"/>
        </w:rPr>
        <w:t xml:space="preserve">teisinio reguliavimo poveikio </w:t>
      </w:r>
      <w:r w:rsidRPr="001A0372">
        <w:rPr>
          <w:i/>
          <w:lang w:val="lt-LT" w:eastAsia="lt-LT"/>
        </w:rPr>
        <w:t>ex post</w:t>
      </w:r>
      <w:r w:rsidRPr="001A0372">
        <w:rPr>
          <w:lang w:val="lt-LT" w:eastAsia="lt-LT"/>
        </w:rPr>
        <w:t xml:space="preserve"> vertinimo metodiką ir nustato </w:t>
      </w:r>
      <w:r w:rsidR="000C4C3C" w:rsidRPr="001A0372">
        <w:rPr>
          <w:lang w:val="lt-LT" w:eastAsia="lt-LT"/>
        </w:rPr>
        <w:t>g</w:t>
      </w:r>
      <w:r w:rsidRPr="001A0372">
        <w:rPr>
          <w:lang w:val="lt-LT" w:eastAsia="lt-LT"/>
        </w:rPr>
        <w:t xml:space="preserve">aliojančio teisinio reguliavimo poveikio </w:t>
      </w:r>
      <w:r w:rsidRPr="001A0372">
        <w:rPr>
          <w:i/>
          <w:lang w:val="lt-LT" w:eastAsia="lt-LT"/>
        </w:rPr>
        <w:t>ex post</w:t>
      </w:r>
      <w:r w:rsidRPr="001A0372">
        <w:rPr>
          <w:lang w:val="lt-LT" w:eastAsia="lt-LT"/>
        </w:rPr>
        <w:t xml:space="preserve"> vertinimo ataskaitos formą.</w:t>
      </w:r>
    </w:p>
    <w:p w:rsidR="004A4FA3" w:rsidRPr="001A0372" w:rsidRDefault="00152410" w:rsidP="001A0372">
      <w:pPr>
        <w:tabs>
          <w:tab w:val="left" w:pos="2410"/>
        </w:tabs>
        <w:spacing w:line="300" w:lineRule="atLeast"/>
        <w:ind w:firstLine="851"/>
        <w:contextualSpacing/>
        <w:jc w:val="both"/>
        <w:outlineLvl w:val="0"/>
        <w:rPr>
          <w:lang w:val="lt-LT" w:eastAsia="lt-LT"/>
        </w:rPr>
      </w:pPr>
      <w:r w:rsidRPr="001A0372">
        <w:rPr>
          <w:bCs/>
          <w:lang w:val="lt-LT"/>
        </w:rPr>
        <w:t xml:space="preserve">Įsigaliojus </w:t>
      </w:r>
      <w:r w:rsidR="004A4FA3" w:rsidRPr="001A0372">
        <w:rPr>
          <w:bCs/>
          <w:lang w:val="lt-LT"/>
        </w:rPr>
        <w:t>Įstatymui</w:t>
      </w:r>
      <w:r w:rsidR="00916926" w:rsidRPr="001A0372">
        <w:rPr>
          <w:bCs/>
          <w:lang w:val="lt-LT"/>
        </w:rPr>
        <w:t>,</w:t>
      </w:r>
      <w:r w:rsidR="004A4FA3" w:rsidRPr="001A0372">
        <w:rPr>
          <w:bCs/>
          <w:lang w:val="lt-LT"/>
        </w:rPr>
        <w:t xml:space="preserve"> </w:t>
      </w:r>
      <w:r w:rsidR="00916926" w:rsidRPr="001A0372">
        <w:rPr>
          <w:i/>
          <w:lang w:val="lt-LT"/>
        </w:rPr>
        <w:t>galiojančio teisinio reguliavimo poveikio ex post vertinimo</w:t>
      </w:r>
      <w:r w:rsidR="00916926" w:rsidRPr="001A0372">
        <w:rPr>
          <w:lang w:val="lt-LT"/>
        </w:rPr>
        <w:t xml:space="preserve"> (toliau – </w:t>
      </w:r>
      <w:r w:rsidR="00916926" w:rsidRPr="001A0372">
        <w:rPr>
          <w:i/>
          <w:lang w:val="lt-LT"/>
        </w:rPr>
        <w:t>ex post</w:t>
      </w:r>
      <w:r w:rsidR="00916926" w:rsidRPr="001A0372">
        <w:rPr>
          <w:lang w:val="lt-LT"/>
        </w:rPr>
        <w:t xml:space="preserve"> vertinimas) institutas</w:t>
      </w:r>
      <w:r w:rsidR="00916926" w:rsidRPr="001A0372">
        <w:rPr>
          <w:bCs/>
          <w:lang w:val="lt-LT"/>
        </w:rPr>
        <w:t xml:space="preserve"> pakeitė anksčiau TPĮ įtvirtintą </w:t>
      </w:r>
      <w:r w:rsidRPr="001A0372">
        <w:rPr>
          <w:bCs/>
          <w:lang w:val="lt-LT"/>
        </w:rPr>
        <w:t>teisinio reguliavimo stebėsenos institutą</w:t>
      </w:r>
      <w:r w:rsidR="004A4FA3" w:rsidRPr="001A0372">
        <w:rPr>
          <w:lang w:val="lt-LT"/>
        </w:rPr>
        <w:t xml:space="preserve">. </w:t>
      </w:r>
      <w:r w:rsidR="00916926" w:rsidRPr="001A0372">
        <w:rPr>
          <w:bCs/>
          <w:lang w:val="lt-LT"/>
        </w:rPr>
        <w:t xml:space="preserve">Teisingumo ministerija </w:t>
      </w:r>
      <w:r w:rsidR="00920C4D" w:rsidRPr="001A0372">
        <w:rPr>
          <w:bCs/>
          <w:lang w:val="lt-LT"/>
        </w:rPr>
        <w:t xml:space="preserve">vykdė </w:t>
      </w:r>
      <w:r w:rsidR="00916926" w:rsidRPr="001A0372">
        <w:rPr>
          <w:bCs/>
          <w:lang w:val="lt-LT"/>
        </w:rPr>
        <w:t>teisinio</w:t>
      </w:r>
      <w:r w:rsidR="00B44C99" w:rsidRPr="001A0372">
        <w:rPr>
          <w:bCs/>
          <w:lang w:val="lt-LT"/>
        </w:rPr>
        <w:t xml:space="preserve"> reguliavimo stebėseną koordin</w:t>
      </w:r>
      <w:r w:rsidR="00920C4D" w:rsidRPr="001A0372">
        <w:rPr>
          <w:bCs/>
          <w:lang w:val="lt-LT"/>
        </w:rPr>
        <w:t>uojančios institucijos funkcijas</w:t>
      </w:r>
      <w:r w:rsidR="002E04BE" w:rsidRPr="001A0372">
        <w:rPr>
          <w:bCs/>
          <w:lang w:val="lt-LT"/>
        </w:rPr>
        <w:t xml:space="preserve"> ir nustatė t</w:t>
      </w:r>
      <w:r w:rsidR="00B44C99" w:rsidRPr="001A0372">
        <w:rPr>
          <w:bCs/>
          <w:lang w:val="lt-LT"/>
        </w:rPr>
        <w:t xml:space="preserve">eisinio reguliavimo </w:t>
      </w:r>
      <w:r w:rsidR="00B44C99" w:rsidRPr="001A0372">
        <w:rPr>
          <w:lang w:val="lt-LT" w:eastAsia="lt-LT"/>
        </w:rPr>
        <w:t xml:space="preserve">stebėsenos atlikimo tvarką </w:t>
      </w:r>
      <w:r w:rsidR="002E04BE" w:rsidRPr="001A0372">
        <w:rPr>
          <w:lang w:val="lt-LT" w:eastAsia="lt-LT"/>
        </w:rPr>
        <w:t>bei tvirtino t</w:t>
      </w:r>
      <w:r w:rsidR="00B44C99" w:rsidRPr="001A0372">
        <w:rPr>
          <w:lang w:val="lt-LT" w:eastAsia="lt-LT"/>
        </w:rPr>
        <w:t xml:space="preserve">eisinio reguliavimo stebėsenos pažymos formą </w:t>
      </w:r>
      <w:r w:rsidR="002E04BE" w:rsidRPr="001A0372">
        <w:rPr>
          <w:lang w:val="lt-LT" w:eastAsia="lt-LT"/>
        </w:rPr>
        <w:t>(</w:t>
      </w:r>
      <w:r w:rsidR="00B44C99" w:rsidRPr="001A0372">
        <w:rPr>
          <w:lang w:val="lt-LT" w:eastAsia="lt-LT"/>
        </w:rPr>
        <w:t>Lietuvos Respublikos teisingumo ministro 2013 m. gegužės 8 d. įsakym</w:t>
      </w:r>
      <w:r w:rsidR="002E04BE" w:rsidRPr="001A0372">
        <w:rPr>
          <w:lang w:val="lt-LT" w:eastAsia="lt-LT"/>
        </w:rPr>
        <w:t>as</w:t>
      </w:r>
      <w:r w:rsidR="00B44C99" w:rsidRPr="001A0372">
        <w:rPr>
          <w:lang w:val="lt-LT" w:eastAsia="lt-LT"/>
        </w:rPr>
        <w:t xml:space="preserve"> Nr. 1R-142 </w:t>
      </w:r>
      <w:r w:rsidR="00B44C99" w:rsidRPr="001A0372">
        <w:rPr>
          <w:rStyle w:val="clear"/>
          <w:lang w:val="lt-LT"/>
        </w:rPr>
        <w:t>„Dėl Teisinio reguliavimo stebėsenos atlikimo tvarkos aprašo ir Teisinio reguliavimo stebėsenos pažymos formos patvirtinimo“</w:t>
      </w:r>
      <w:r w:rsidR="002E04BE" w:rsidRPr="001A0372">
        <w:rPr>
          <w:rStyle w:val="clear"/>
          <w:lang w:val="lt-LT"/>
        </w:rPr>
        <w:t>)</w:t>
      </w:r>
      <w:r w:rsidR="00B44C99" w:rsidRPr="001A0372">
        <w:rPr>
          <w:lang w:val="lt-LT" w:eastAsia="lt-LT"/>
        </w:rPr>
        <w:t>.</w:t>
      </w:r>
    </w:p>
    <w:p w:rsidR="004A4FA3" w:rsidRPr="001A0372" w:rsidRDefault="004A4FA3" w:rsidP="001A0372">
      <w:pPr>
        <w:tabs>
          <w:tab w:val="left" w:pos="2410"/>
        </w:tabs>
        <w:spacing w:line="300" w:lineRule="atLeast"/>
        <w:ind w:firstLine="851"/>
        <w:contextualSpacing/>
        <w:jc w:val="both"/>
        <w:outlineLvl w:val="0"/>
        <w:rPr>
          <w:lang w:val="lt-LT"/>
        </w:rPr>
      </w:pPr>
      <w:r w:rsidRPr="001A0372">
        <w:rPr>
          <w:lang w:val="lt-LT" w:eastAsia="lt-LT"/>
        </w:rPr>
        <w:t>Lietuvos Respublikos Vyriausybės 2020 m. sausio 29 d. nutarimu Nr. 69 „Dėl Lietuvos Respublikos teisėkūros pagrindų įstatymo įgyvendinimo“</w:t>
      </w:r>
      <w:bookmarkStart w:id="1" w:name="pn1_1"/>
      <w:bookmarkStart w:id="2" w:name="pn1_2"/>
      <w:bookmarkEnd w:id="1"/>
      <w:bookmarkEnd w:id="2"/>
      <w:r w:rsidRPr="001A0372">
        <w:rPr>
          <w:lang w:val="lt-LT" w:eastAsia="lt-LT"/>
        </w:rPr>
        <w:t xml:space="preserve"> Teisingumo ministerija paskirta </w:t>
      </w:r>
      <w:r w:rsidRPr="001A0372">
        <w:rPr>
          <w:i/>
          <w:iCs/>
          <w:lang w:val="lt-LT" w:eastAsia="lt-LT"/>
        </w:rPr>
        <w:t>ex post</w:t>
      </w:r>
      <w:r w:rsidRPr="001A0372">
        <w:rPr>
          <w:lang w:val="lt-LT" w:eastAsia="lt-LT"/>
        </w:rPr>
        <w:t xml:space="preserve"> vertinimą koordinuojančia institucija.</w:t>
      </w:r>
      <w:r w:rsidR="002E04BE" w:rsidRPr="001A0372">
        <w:rPr>
          <w:lang w:val="lt-LT" w:eastAsia="lt-LT"/>
        </w:rPr>
        <w:t xml:space="preserve"> Įgaliojimai patvirtinti </w:t>
      </w:r>
      <w:r w:rsidR="002E04BE" w:rsidRPr="001A0372">
        <w:rPr>
          <w:i/>
          <w:lang w:val="lt-LT" w:eastAsia="lt-LT"/>
        </w:rPr>
        <w:t>ex post</w:t>
      </w:r>
      <w:r w:rsidR="002E04BE" w:rsidRPr="001A0372">
        <w:rPr>
          <w:lang w:val="lt-LT" w:eastAsia="lt-LT"/>
        </w:rPr>
        <w:t xml:space="preserve"> vertinimo metodiką ir nustatyti </w:t>
      </w:r>
      <w:r w:rsidR="002E04BE" w:rsidRPr="001A0372">
        <w:rPr>
          <w:i/>
          <w:lang w:val="lt-LT" w:eastAsia="lt-LT"/>
        </w:rPr>
        <w:t>ex post</w:t>
      </w:r>
      <w:r w:rsidR="002E04BE" w:rsidRPr="001A0372">
        <w:rPr>
          <w:lang w:val="lt-LT" w:eastAsia="lt-LT"/>
        </w:rPr>
        <w:t xml:space="preserve"> vertinimo ataskaitos formą Teisingumo ministerijai nebuvo suteikti, todėl buvo parengtas teikiamas Nutarimo projektas.</w:t>
      </w:r>
      <w:r w:rsidR="00920C4D" w:rsidRPr="001A0372">
        <w:rPr>
          <w:lang w:val="lt-LT" w:eastAsia="lt-LT"/>
        </w:rPr>
        <w:t xml:space="preserve"> </w:t>
      </w:r>
      <w:r w:rsidRPr="001A0372">
        <w:rPr>
          <w:lang w:val="lt-LT" w:eastAsia="lt-LT"/>
        </w:rPr>
        <w:t>Nutarimo projekt</w:t>
      </w:r>
      <w:r w:rsidR="00920C4D" w:rsidRPr="001A0372">
        <w:rPr>
          <w:lang w:val="lt-LT" w:eastAsia="lt-LT"/>
        </w:rPr>
        <w:t>u</w:t>
      </w:r>
      <w:r w:rsidRPr="001A0372">
        <w:rPr>
          <w:lang w:val="lt-LT" w:eastAsia="lt-LT"/>
        </w:rPr>
        <w:t xml:space="preserve"> siūloma Vyriausybei patvirtinti minėtus Įstatymą įgyvendinančius teisės aktus.</w:t>
      </w:r>
    </w:p>
    <w:p w:rsidR="004A4FA3" w:rsidRPr="001A0372" w:rsidRDefault="000C4C3C" w:rsidP="001A0372">
      <w:pPr>
        <w:tabs>
          <w:tab w:val="left" w:pos="2410"/>
        </w:tabs>
        <w:spacing w:line="300" w:lineRule="atLeast"/>
        <w:ind w:firstLine="851"/>
        <w:contextualSpacing/>
        <w:jc w:val="both"/>
        <w:outlineLvl w:val="0"/>
        <w:rPr>
          <w:rStyle w:val="clear"/>
          <w:lang w:val="lt-LT"/>
        </w:rPr>
      </w:pPr>
      <w:r w:rsidRPr="001A0372">
        <w:rPr>
          <w:color w:val="000000"/>
          <w:lang w:val="lt-LT"/>
        </w:rPr>
        <w:t>R</w:t>
      </w:r>
      <w:r w:rsidR="004A4FA3" w:rsidRPr="001A0372">
        <w:rPr>
          <w:color w:val="000000"/>
          <w:lang w:val="lt-LT"/>
        </w:rPr>
        <w:t>engiant Nutarimo projektą</w:t>
      </w:r>
      <w:r w:rsidRPr="001A0372">
        <w:rPr>
          <w:color w:val="000000"/>
          <w:lang w:val="lt-LT"/>
        </w:rPr>
        <w:t xml:space="preserve"> buvo remtasi</w:t>
      </w:r>
      <w:r w:rsidR="004A4FA3" w:rsidRPr="001A0372">
        <w:rPr>
          <w:color w:val="000000"/>
          <w:lang w:val="lt-LT"/>
        </w:rPr>
        <w:t xml:space="preserve"> įvairi</w:t>
      </w:r>
      <w:r w:rsidRPr="001A0372">
        <w:rPr>
          <w:color w:val="000000"/>
          <w:lang w:val="lt-LT"/>
        </w:rPr>
        <w:t>ai</w:t>
      </w:r>
      <w:r w:rsidR="004A4FA3" w:rsidRPr="001A0372">
        <w:rPr>
          <w:color w:val="000000"/>
          <w:lang w:val="lt-LT"/>
        </w:rPr>
        <w:t>s šaltini</w:t>
      </w:r>
      <w:r w:rsidRPr="001A0372">
        <w:rPr>
          <w:color w:val="000000"/>
          <w:lang w:val="lt-LT"/>
        </w:rPr>
        <w:t>ais</w:t>
      </w:r>
      <w:r w:rsidR="004A4FA3" w:rsidRPr="001A0372">
        <w:rPr>
          <w:color w:val="000000"/>
          <w:lang w:val="lt-LT"/>
        </w:rPr>
        <w:t>: Teisės instituto atlikta studij</w:t>
      </w:r>
      <w:r w:rsidR="001650AB" w:rsidRPr="001A0372">
        <w:rPr>
          <w:color w:val="000000"/>
          <w:lang w:val="lt-LT"/>
        </w:rPr>
        <w:t>a</w:t>
      </w:r>
      <w:r w:rsidR="004A4FA3" w:rsidRPr="001A0372">
        <w:rPr>
          <w:color w:val="000000"/>
          <w:lang w:val="lt-LT"/>
        </w:rPr>
        <w:t xml:space="preserve"> „Teisinio reguliavimo </w:t>
      </w:r>
      <w:r w:rsidR="004A4FA3" w:rsidRPr="001A0372">
        <w:rPr>
          <w:i/>
          <w:color w:val="000000"/>
          <w:lang w:val="lt-LT"/>
        </w:rPr>
        <w:t>ex post</w:t>
      </w:r>
      <w:r w:rsidR="004A4FA3" w:rsidRPr="001A0372">
        <w:rPr>
          <w:color w:val="000000"/>
          <w:lang w:val="lt-LT"/>
        </w:rPr>
        <w:t xml:space="preserve"> vertinimo perspektyvos Lietuvoje“, Europos Komisijos, užsienio valstybių (Estijos, Jungtinės Karalystės) teisės akt</w:t>
      </w:r>
      <w:r w:rsidR="001650AB" w:rsidRPr="001A0372">
        <w:rPr>
          <w:color w:val="000000"/>
          <w:lang w:val="lt-LT"/>
        </w:rPr>
        <w:t>ai</w:t>
      </w:r>
      <w:r w:rsidR="004A4FA3" w:rsidRPr="001A0372">
        <w:rPr>
          <w:color w:val="000000"/>
          <w:lang w:val="lt-LT"/>
        </w:rPr>
        <w:t xml:space="preserve">s </w:t>
      </w:r>
      <w:r w:rsidR="004A4FA3" w:rsidRPr="001A0372">
        <w:rPr>
          <w:i/>
          <w:color w:val="000000"/>
          <w:lang w:val="lt-LT"/>
        </w:rPr>
        <w:t>ex post</w:t>
      </w:r>
      <w:r w:rsidR="004A4FA3" w:rsidRPr="001A0372">
        <w:rPr>
          <w:color w:val="000000"/>
          <w:lang w:val="lt-LT"/>
        </w:rPr>
        <w:t xml:space="preserve"> vertinimo srityje, Socialinių sąnaudų – naudos analizės metodinėmis gair</w:t>
      </w:r>
      <w:r w:rsidR="001650AB" w:rsidRPr="001A0372">
        <w:rPr>
          <w:color w:val="000000"/>
          <w:lang w:val="lt-LT"/>
        </w:rPr>
        <w:t>ėmi</w:t>
      </w:r>
      <w:r w:rsidR="004A4FA3" w:rsidRPr="001A0372">
        <w:rPr>
          <w:color w:val="000000"/>
          <w:lang w:val="lt-LT"/>
        </w:rPr>
        <w:t>s, Sprendimų poveikio baigiamojo vertinimo gair</w:t>
      </w:r>
      <w:r w:rsidR="001650AB" w:rsidRPr="001A0372">
        <w:rPr>
          <w:color w:val="000000"/>
          <w:lang w:val="lt-LT"/>
        </w:rPr>
        <w:t>ėmi</w:t>
      </w:r>
      <w:r w:rsidR="004A4FA3" w:rsidRPr="001A0372">
        <w:rPr>
          <w:color w:val="000000"/>
          <w:lang w:val="lt-LT"/>
        </w:rPr>
        <w:t xml:space="preserve">s, </w:t>
      </w:r>
      <w:r w:rsidR="004A4FA3" w:rsidRPr="001A0372">
        <w:rPr>
          <w:lang w:val="lt-LT"/>
        </w:rPr>
        <w:t>Viešųjų konsultacijų metodik</w:t>
      </w:r>
      <w:r w:rsidR="001650AB" w:rsidRPr="001A0372">
        <w:rPr>
          <w:lang w:val="lt-LT"/>
        </w:rPr>
        <w:t>a</w:t>
      </w:r>
      <w:r w:rsidR="004A4FA3" w:rsidRPr="001A0372">
        <w:rPr>
          <w:lang w:val="lt-LT"/>
        </w:rPr>
        <w:t xml:space="preserve"> ir jos taikymo gair</w:t>
      </w:r>
      <w:r w:rsidR="001650AB" w:rsidRPr="001A0372">
        <w:rPr>
          <w:lang w:val="lt-LT"/>
        </w:rPr>
        <w:t>ėmi</w:t>
      </w:r>
      <w:r w:rsidR="004A4FA3" w:rsidRPr="001A0372">
        <w:rPr>
          <w:lang w:val="lt-LT"/>
        </w:rPr>
        <w:t>s</w:t>
      </w:r>
      <w:r w:rsidR="004A4FA3" w:rsidRPr="001A0372">
        <w:rPr>
          <w:color w:val="000000"/>
          <w:lang w:val="lt-LT"/>
        </w:rPr>
        <w:t xml:space="preserve">, </w:t>
      </w:r>
      <w:r w:rsidR="004A4FA3" w:rsidRPr="001A0372">
        <w:rPr>
          <w:lang w:val="lt-LT"/>
        </w:rPr>
        <w:t xml:space="preserve">Administracinės naštos </w:t>
      </w:r>
      <w:r w:rsidR="004A4FA3" w:rsidRPr="001A0372">
        <w:rPr>
          <w:lang w:val="lt-LT"/>
        </w:rPr>
        <w:lastRenderedPageBreak/>
        <w:t>piliečiams ir kitiems asmenims nustatymo ir įvertinimo metodik</w:t>
      </w:r>
      <w:r w:rsidR="001650AB" w:rsidRPr="001A0372">
        <w:rPr>
          <w:lang w:val="lt-LT"/>
        </w:rPr>
        <w:t>a</w:t>
      </w:r>
      <w:r w:rsidR="004A4FA3" w:rsidRPr="001A0372">
        <w:rPr>
          <w:lang w:val="lt-LT"/>
        </w:rPr>
        <w:t>,</w:t>
      </w:r>
      <w:r w:rsidR="004A4FA3" w:rsidRPr="001A0372">
        <w:rPr>
          <w:color w:val="000000"/>
          <w:lang w:val="lt-LT"/>
        </w:rPr>
        <w:t xml:space="preserve"> </w:t>
      </w:r>
      <w:r w:rsidR="004A4FA3" w:rsidRPr="001A0372">
        <w:rPr>
          <w:lang w:val="lt-LT"/>
        </w:rPr>
        <w:t>Administracinės naštos ūkio subjektams nustatymo metodik</w:t>
      </w:r>
      <w:r w:rsidR="001650AB" w:rsidRPr="001A0372">
        <w:rPr>
          <w:lang w:val="lt-LT"/>
        </w:rPr>
        <w:t>a</w:t>
      </w:r>
      <w:r w:rsidR="004A4FA3" w:rsidRPr="001A0372">
        <w:rPr>
          <w:rStyle w:val="ELEXCStraipsnis"/>
          <w:rFonts w:ascii="Times New Roman" w:hAnsi="Times New Roman"/>
          <w:sz w:val="24"/>
          <w:lang w:val="lt-LT"/>
        </w:rPr>
        <w:t xml:space="preserve">, </w:t>
      </w:r>
      <w:r w:rsidR="004A4FA3" w:rsidRPr="001A0372">
        <w:rPr>
          <w:rStyle w:val="clear"/>
          <w:lang w:val="lt-LT"/>
        </w:rPr>
        <w:t>Europos Sąjungos teisės aktų įgyvendinimo nacionalinėje teisėje ir administracinės naštos pagrįstumo įvertinimo rekomendacij</w:t>
      </w:r>
      <w:r w:rsidR="001650AB" w:rsidRPr="001A0372">
        <w:rPr>
          <w:rStyle w:val="clear"/>
          <w:lang w:val="lt-LT"/>
        </w:rPr>
        <w:t>omi</w:t>
      </w:r>
      <w:r w:rsidR="004A4FA3" w:rsidRPr="001A0372">
        <w:rPr>
          <w:rStyle w:val="clear"/>
          <w:lang w:val="lt-LT"/>
        </w:rPr>
        <w:t>s, Numatomo teisinio reguliavimo poveikio vertinimo metodik</w:t>
      </w:r>
      <w:r w:rsidR="001650AB" w:rsidRPr="001A0372">
        <w:rPr>
          <w:rStyle w:val="clear"/>
          <w:lang w:val="lt-LT"/>
        </w:rPr>
        <w:t>a</w:t>
      </w:r>
      <w:r w:rsidR="004A4FA3" w:rsidRPr="001A0372">
        <w:rPr>
          <w:rStyle w:val="clear"/>
          <w:lang w:val="lt-LT"/>
        </w:rPr>
        <w:t xml:space="preserve"> (toliau – Poveikio vertinimo metodika).</w:t>
      </w:r>
    </w:p>
    <w:p w:rsidR="00143F51" w:rsidRPr="001A0372" w:rsidRDefault="00143F51" w:rsidP="001A0372">
      <w:pPr>
        <w:tabs>
          <w:tab w:val="left" w:pos="2410"/>
        </w:tabs>
        <w:spacing w:line="300" w:lineRule="atLeast"/>
        <w:ind w:firstLine="851"/>
        <w:contextualSpacing/>
        <w:jc w:val="both"/>
        <w:outlineLvl w:val="0"/>
        <w:rPr>
          <w:color w:val="000000"/>
          <w:lang w:val="lt-LT"/>
        </w:rPr>
      </w:pPr>
    </w:p>
    <w:p w:rsidR="004A4FA3" w:rsidRPr="001A0372" w:rsidRDefault="004A4FA3" w:rsidP="001A0372">
      <w:pPr>
        <w:tabs>
          <w:tab w:val="left" w:pos="2410"/>
        </w:tabs>
        <w:spacing w:line="300" w:lineRule="atLeast"/>
        <w:ind w:firstLine="851"/>
        <w:contextualSpacing/>
        <w:jc w:val="both"/>
        <w:outlineLvl w:val="0"/>
        <w:rPr>
          <w:lang w:val="lt-LT"/>
        </w:rPr>
      </w:pPr>
      <w:r w:rsidRPr="001A0372">
        <w:rPr>
          <w:lang w:val="lt-LT"/>
        </w:rPr>
        <w:t>Nutarimo projekte:</w:t>
      </w:r>
    </w:p>
    <w:tbl>
      <w:tblPr>
        <w:tblW w:w="9600" w:type="dxa"/>
        <w:tblCellMar>
          <w:left w:w="0" w:type="dxa"/>
          <w:right w:w="0" w:type="dxa"/>
        </w:tblCellMar>
        <w:tblLook w:val="04A0" w:firstRow="1" w:lastRow="0" w:firstColumn="1" w:lastColumn="0" w:noHBand="0" w:noVBand="1"/>
      </w:tblPr>
      <w:tblGrid>
        <w:gridCol w:w="1833"/>
        <w:gridCol w:w="7767"/>
      </w:tblGrid>
      <w:tr w:rsidR="004A4FA3" w:rsidRPr="001A0372" w:rsidTr="00D32A70">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autoSpaceDE w:val="0"/>
              <w:autoSpaceDN w:val="0"/>
              <w:spacing w:line="300" w:lineRule="atLeast"/>
              <w:rPr>
                <w:lang w:val="lt-LT" w:eastAsia="lt-LT"/>
              </w:rPr>
            </w:pPr>
            <w:r w:rsidRPr="001A0372">
              <w:rPr>
                <w:color w:val="000000"/>
                <w:lang w:val="lt-LT" w:eastAsia="lt-LT"/>
              </w:rPr>
              <w:t xml:space="preserve">I. </w:t>
            </w:r>
            <w:r w:rsidR="00D32A70" w:rsidRPr="001A0372">
              <w:rPr>
                <w:color w:val="000000"/>
                <w:lang w:val="lt-LT" w:eastAsia="lt-LT"/>
              </w:rPr>
              <w:t>S</w:t>
            </w:r>
            <w:r w:rsidRPr="001A0372">
              <w:rPr>
                <w:color w:val="000000"/>
                <w:lang w:val="lt-LT" w:eastAsia="lt-LT"/>
              </w:rPr>
              <w:t>prendžiamos problemos</w:t>
            </w:r>
          </w:p>
        </w:tc>
        <w:tc>
          <w:tcPr>
            <w:tcW w:w="77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spacing w:line="300" w:lineRule="atLeast"/>
              <w:contextualSpacing/>
              <w:jc w:val="both"/>
              <w:outlineLvl w:val="0"/>
              <w:rPr>
                <w:color w:val="000000"/>
                <w:lang w:val="lt-LT"/>
              </w:rPr>
            </w:pPr>
            <w:r w:rsidRPr="001A0372">
              <w:rPr>
                <w:color w:val="000000"/>
                <w:lang w:val="lt-LT"/>
              </w:rPr>
              <w:t xml:space="preserve">Įgyvendinant Įstatymą, priėmus Nutarimo projektą, į teisėkūros proceso ciklą būtų įdiegtas ne trumpiau kaip 2 metus galiojančio teisinio reguliavimo (pirmiausia – įstatymų) </w:t>
            </w:r>
            <w:r w:rsidRPr="001A0372">
              <w:rPr>
                <w:i/>
                <w:color w:val="000000"/>
                <w:lang w:val="lt-LT"/>
              </w:rPr>
              <w:t>ex post</w:t>
            </w:r>
            <w:r w:rsidRPr="001A0372">
              <w:rPr>
                <w:color w:val="000000"/>
                <w:lang w:val="lt-LT"/>
              </w:rPr>
              <w:t xml:space="preserve"> vertinimo mechanizmas. </w:t>
            </w:r>
            <w:r w:rsidRPr="001A0372">
              <w:rPr>
                <w:i/>
                <w:color w:val="000000"/>
                <w:lang w:val="lt-LT"/>
              </w:rPr>
              <w:t>Ex post</w:t>
            </w:r>
            <w:r w:rsidRPr="001A0372">
              <w:rPr>
                <w:color w:val="000000"/>
                <w:lang w:val="lt-LT"/>
              </w:rPr>
              <w:t xml:space="preserve"> vertinimas būtų atliekamas dėl tų įstatymų, kurių peržiūros nuostatoje jis būtų suplanuotas atlikti, arba ministras priimtų atskirą sprendimą atlikti </w:t>
            </w:r>
            <w:r w:rsidRPr="001A0372">
              <w:rPr>
                <w:i/>
                <w:color w:val="000000"/>
                <w:lang w:val="lt-LT"/>
              </w:rPr>
              <w:t>ex post</w:t>
            </w:r>
            <w:r w:rsidRPr="001A0372">
              <w:rPr>
                <w:color w:val="000000"/>
                <w:lang w:val="lt-LT"/>
              </w:rPr>
              <w:t xml:space="preserve"> vertinimą. Nutarimo projektu siūloma Vyriausybei patvirtinti:</w:t>
            </w:r>
          </w:p>
          <w:p w:rsidR="004A4FA3" w:rsidRPr="001A0372" w:rsidRDefault="004A4FA3"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color w:val="000000"/>
                <w:lang w:val="lt-LT" w:eastAsia="lt-LT"/>
              </w:rPr>
              <w:t xml:space="preserve">Galiojančio teisinio reguliavimo poveikio </w:t>
            </w:r>
            <w:r w:rsidRPr="001A0372">
              <w:rPr>
                <w:i/>
                <w:color w:val="000000"/>
                <w:lang w:val="lt-LT" w:eastAsia="lt-LT"/>
              </w:rPr>
              <w:t xml:space="preserve">ex post </w:t>
            </w:r>
            <w:r w:rsidRPr="001A0372">
              <w:rPr>
                <w:color w:val="000000"/>
                <w:lang w:val="lt-LT" w:eastAsia="lt-LT"/>
              </w:rPr>
              <w:t>vertinimo metodiką (toliau – Metodika);</w:t>
            </w:r>
          </w:p>
          <w:p w:rsidR="004A4FA3" w:rsidRPr="001A0372" w:rsidRDefault="004A4FA3" w:rsidP="001A0372">
            <w:pPr>
              <w:pStyle w:val="Sraopastraipa"/>
              <w:numPr>
                <w:ilvl w:val="0"/>
                <w:numId w:val="3"/>
              </w:numPr>
              <w:tabs>
                <w:tab w:val="left" w:pos="317"/>
              </w:tabs>
              <w:spacing w:line="300" w:lineRule="atLeast"/>
              <w:ind w:left="0" w:firstLine="0"/>
              <w:jc w:val="both"/>
              <w:outlineLvl w:val="0"/>
              <w:rPr>
                <w:lang w:val="lt-LT" w:eastAsia="lt-LT"/>
              </w:rPr>
            </w:pPr>
            <w:r w:rsidRPr="001A0372">
              <w:rPr>
                <w:color w:val="000000"/>
                <w:lang w:val="lt-LT" w:eastAsia="lt-LT"/>
              </w:rPr>
              <w:t xml:space="preserve"> Galiojančio teisinio reguliavimo poveikio </w:t>
            </w:r>
            <w:r w:rsidRPr="001A0372">
              <w:rPr>
                <w:i/>
                <w:color w:val="000000"/>
                <w:lang w:val="lt-LT" w:eastAsia="lt-LT"/>
              </w:rPr>
              <w:t>ex post</w:t>
            </w:r>
            <w:r w:rsidRPr="001A0372">
              <w:rPr>
                <w:color w:val="000000"/>
                <w:lang w:val="lt-LT" w:eastAsia="lt-LT"/>
              </w:rPr>
              <w:t xml:space="preserve"> vertinimo ataskaitos formą (toliau – Forma).</w:t>
            </w:r>
          </w:p>
        </w:tc>
      </w:tr>
      <w:tr w:rsidR="004A4FA3" w:rsidRPr="001A0372" w:rsidTr="00D32A7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autoSpaceDE w:val="0"/>
              <w:autoSpaceDN w:val="0"/>
              <w:spacing w:line="300" w:lineRule="atLeast"/>
              <w:rPr>
                <w:lang w:val="lt-LT" w:eastAsia="lt-LT"/>
              </w:rPr>
            </w:pPr>
            <w:r w:rsidRPr="001A0372">
              <w:rPr>
                <w:color w:val="000000"/>
                <w:lang w:val="lt-LT" w:eastAsia="lt-LT"/>
              </w:rPr>
              <w:t>II. Siūlomos priemonės</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spacing w:line="300" w:lineRule="atLeast"/>
              <w:contextualSpacing/>
              <w:jc w:val="both"/>
              <w:outlineLvl w:val="0"/>
              <w:rPr>
                <w:color w:val="000000"/>
                <w:lang w:val="lt-LT" w:eastAsia="lt-LT"/>
              </w:rPr>
            </w:pPr>
            <w:r w:rsidRPr="001A0372">
              <w:rPr>
                <w:color w:val="000000"/>
                <w:lang w:val="lt-LT" w:eastAsia="lt-LT"/>
              </w:rPr>
              <w:t>Metodikoje siūloma:</w:t>
            </w:r>
          </w:p>
          <w:p w:rsidR="004A4FA3" w:rsidRPr="001A0372" w:rsidRDefault="004A4FA3"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color w:val="000000"/>
                <w:lang w:val="lt-LT" w:eastAsia="lt-LT"/>
              </w:rPr>
              <w:t xml:space="preserve">Apibrėžti </w:t>
            </w:r>
            <w:r w:rsidRPr="001A0372">
              <w:rPr>
                <w:i/>
                <w:lang w:val="lt-LT" w:eastAsia="lt-LT"/>
              </w:rPr>
              <w:t>ex post</w:t>
            </w:r>
            <w:r w:rsidRPr="001A0372">
              <w:rPr>
                <w:lang w:val="lt-LT" w:eastAsia="lt-LT"/>
              </w:rPr>
              <w:t xml:space="preserve"> vertinimo tikslus.</w:t>
            </w:r>
          </w:p>
          <w:p w:rsidR="004A4FA3" w:rsidRPr="001A0372" w:rsidRDefault="004A4FA3"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lang w:val="lt-LT" w:eastAsia="lt-LT"/>
              </w:rPr>
              <w:t xml:space="preserve">Apibrėžti </w:t>
            </w:r>
            <w:r w:rsidRPr="001A0372">
              <w:rPr>
                <w:i/>
                <w:lang w:val="lt-LT" w:eastAsia="lt-LT"/>
              </w:rPr>
              <w:t>ex post</w:t>
            </w:r>
            <w:r w:rsidRPr="001A0372">
              <w:rPr>
                <w:lang w:val="lt-LT" w:eastAsia="lt-LT"/>
              </w:rPr>
              <w:t xml:space="preserve"> vertinimo objekto nustatymo gaires.</w:t>
            </w:r>
          </w:p>
          <w:p w:rsidR="004A4FA3" w:rsidRPr="001A0372" w:rsidRDefault="008E1C2B"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color w:val="000000"/>
                <w:lang w:val="lt-LT" w:eastAsia="lt-LT"/>
              </w:rPr>
              <w:t xml:space="preserve">Detalizuoti peržiūros nuostatos įtraukimo į įstatymą ar ministro sprendimo atlikti </w:t>
            </w:r>
            <w:r w:rsidRPr="001A0372">
              <w:rPr>
                <w:i/>
                <w:lang w:val="lt-LT" w:eastAsia="lt-LT"/>
              </w:rPr>
              <w:t>ex post</w:t>
            </w:r>
            <w:r w:rsidRPr="001A0372">
              <w:rPr>
                <w:lang w:val="lt-LT" w:eastAsia="lt-LT"/>
              </w:rPr>
              <w:t xml:space="preserve"> vertinimą</w:t>
            </w:r>
            <w:r w:rsidRPr="001A0372">
              <w:rPr>
                <w:color w:val="000000"/>
                <w:lang w:val="lt-LT" w:eastAsia="lt-LT"/>
              </w:rPr>
              <w:t xml:space="preserve"> priėmimo atvejus</w:t>
            </w:r>
            <w:r w:rsidR="004A4FA3" w:rsidRPr="001A0372">
              <w:rPr>
                <w:lang w:val="lt-LT" w:eastAsia="lt-LT"/>
              </w:rPr>
              <w:t>.</w:t>
            </w:r>
          </w:p>
          <w:p w:rsidR="004A4FA3" w:rsidRPr="001A0372" w:rsidRDefault="008E1C2B"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color w:val="000000"/>
                <w:lang w:val="lt-LT" w:eastAsia="lt-LT"/>
              </w:rPr>
              <w:t>Nustatyti</w:t>
            </w:r>
            <w:r w:rsidR="004A4FA3" w:rsidRPr="001A0372">
              <w:rPr>
                <w:color w:val="000000"/>
                <w:lang w:val="lt-LT" w:eastAsia="lt-LT"/>
              </w:rPr>
              <w:t xml:space="preserve">, peržiūros </w:t>
            </w:r>
            <w:r w:rsidR="00D32A70" w:rsidRPr="001A0372">
              <w:rPr>
                <w:color w:val="000000"/>
                <w:lang w:val="lt-LT" w:eastAsia="lt-LT"/>
              </w:rPr>
              <w:t xml:space="preserve">nuostatos ir ministro sprendimo dėl </w:t>
            </w:r>
            <w:r w:rsidR="00D32A70" w:rsidRPr="001A0372">
              <w:rPr>
                <w:i/>
                <w:lang w:val="lt-LT" w:eastAsia="lt-LT"/>
              </w:rPr>
              <w:t>ex post</w:t>
            </w:r>
            <w:r w:rsidR="00D32A70" w:rsidRPr="001A0372">
              <w:rPr>
                <w:lang w:val="lt-LT" w:eastAsia="lt-LT"/>
              </w:rPr>
              <w:t xml:space="preserve"> vertinimo turinio elementus.</w:t>
            </w:r>
          </w:p>
          <w:p w:rsidR="004A4FA3" w:rsidRPr="001A0372" w:rsidRDefault="008E1C2B"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lang w:val="lt-LT" w:eastAsia="lt-LT"/>
              </w:rPr>
              <w:t xml:space="preserve">Aprašyti </w:t>
            </w:r>
            <w:r w:rsidR="004A4FA3" w:rsidRPr="001A0372">
              <w:rPr>
                <w:i/>
                <w:lang w:val="lt-LT" w:eastAsia="lt-LT"/>
              </w:rPr>
              <w:t>ex post</w:t>
            </w:r>
            <w:r w:rsidR="004A4FA3" w:rsidRPr="001A0372">
              <w:rPr>
                <w:lang w:val="lt-LT" w:eastAsia="lt-LT"/>
              </w:rPr>
              <w:t xml:space="preserve"> vertinimo proces</w:t>
            </w:r>
            <w:r w:rsidRPr="001A0372">
              <w:rPr>
                <w:lang w:val="lt-LT" w:eastAsia="lt-LT"/>
              </w:rPr>
              <w:t>ą, atskiruose jo etapuose atliktinus veiksmus, atskleisti duomenų rinkimo ir analizės metodus</w:t>
            </w:r>
            <w:r w:rsidR="009829B2" w:rsidRPr="001A0372">
              <w:rPr>
                <w:lang w:val="lt-LT" w:eastAsia="lt-LT"/>
              </w:rPr>
              <w:t xml:space="preserve">, nustatyti kriterijus, pasiūlyti orientacinius klausimus, kurie turėtų palengvinti </w:t>
            </w:r>
            <w:r w:rsidR="009829B2" w:rsidRPr="001A0372">
              <w:rPr>
                <w:i/>
                <w:lang w:val="lt-LT" w:eastAsia="lt-LT"/>
              </w:rPr>
              <w:t>ex post</w:t>
            </w:r>
            <w:r w:rsidR="009829B2" w:rsidRPr="001A0372">
              <w:rPr>
                <w:lang w:val="lt-LT" w:eastAsia="lt-LT"/>
              </w:rPr>
              <w:t xml:space="preserve"> vertinimo atlikimą</w:t>
            </w:r>
            <w:r w:rsidR="0000429D" w:rsidRPr="001A0372">
              <w:rPr>
                <w:lang w:val="lt-LT" w:eastAsia="lt-LT"/>
              </w:rPr>
              <w:t>.</w:t>
            </w:r>
          </w:p>
          <w:p w:rsidR="004A4FA3" w:rsidRPr="001A0372" w:rsidRDefault="004A4FA3"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lang w:val="lt-LT"/>
              </w:rPr>
              <w:t>Detalizuoti konsultavimosi su visuomene bei</w:t>
            </w:r>
            <w:r w:rsidRPr="001A0372">
              <w:rPr>
                <w:i/>
                <w:lang w:val="lt-LT" w:eastAsia="lt-LT"/>
              </w:rPr>
              <w:t xml:space="preserve"> ex post</w:t>
            </w:r>
            <w:r w:rsidRPr="001A0372">
              <w:rPr>
                <w:lang w:val="lt-LT" w:eastAsia="lt-LT"/>
              </w:rPr>
              <w:t xml:space="preserve"> vertinimo viešinimo</w:t>
            </w:r>
            <w:r w:rsidR="00D32A70" w:rsidRPr="001A0372">
              <w:rPr>
                <w:lang w:val="lt-LT"/>
              </w:rPr>
              <w:t xml:space="preserve"> nuostatas.</w:t>
            </w:r>
          </w:p>
          <w:p w:rsidR="004A4FA3" w:rsidRPr="001A0372" w:rsidRDefault="004A4FA3" w:rsidP="001A0372">
            <w:pPr>
              <w:pStyle w:val="Sraopastraipa"/>
              <w:numPr>
                <w:ilvl w:val="0"/>
                <w:numId w:val="3"/>
              </w:numPr>
              <w:tabs>
                <w:tab w:val="left" w:pos="317"/>
              </w:tabs>
              <w:spacing w:line="300" w:lineRule="atLeast"/>
              <w:ind w:left="0" w:firstLine="0"/>
              <w:jc w:val="both"/>
              <w:outlineLvl w:val="0"/>
              <w:rPr>
                <w:color w:val="000000"/>
                <w:lang w:val="lt-LT" w:eastAsia="lt-LT"/>
              </w:rPr>
            </w:pPr>
            <w:r w:rsidRPr="001A0372">
              <w:rPr>
                <w:lang w:val="lt-LT"/>
              </w:rPr>
              <w:t xml:space="preserve">Aprašyti </w:t>
            </w:r>
            <w:r w:rsidR="008E1C2B" w:rsidRPr="001A0372">
              <w:rPr>
                <w:i/>
                <w:lang w:val="lt-LT" w:eastAsia="lt-LT"/>
              </w:rPr>
              <w:t>ex post</w:t>
            </w:r>
            <w:r w:rsidR="008E1C2B" w:rsidRPr="001A0372">
              <w:rPr>
                <w:lang w:val="lt-LT" w:eastAsia="lt-LT"/>
              </w:rPr>
              <w:t xml:space="preserve"> vertinimo </w:t>
            </w:r>
            <w:r w:rsidRPr="001A0372">
              <w:rPr>
                <w:lang w:val="lt-LT"/>
              </w:rPr>
              <w:t>rezultatų panaudojimo ir tolesnių veiksmų įgyvendinimo nuostatas.</w:t>
            </w:r>
          </w:p>
          <w:p w:rsidR="004A4FA3" w:rsidRPr="001A0372" w:rsidRDefault="004A4FA3" w:rsidP="001A0372">
            <w:pPr>
              <w:tabs>
                <w:tab w:val="left" w:pos="2410"/>
                <w:tab w:val="left" w:pos="6450"/>
              </w:tabs>
              <w:autoSpaceDE w:val="0"/>
              <w:autoSpaceDN w:val="0"/>
              <w:spacing w:line="300" w:lineRule="atLeast"/>
              <w:jc w:val="both"/>
              <w:rPr>
                <w:color w:val="000000"/>
                <w:lang w:val="lt-LT" w:eastAsia="lt-LT"/>
              </w:rPr>
            </w:pPr>
            <w:r w:rsidRPr="001A0372">
              <w:rPr>
                <w:color w:val="000000"/>
                <w:lang w:val="lt-LT" w:eastAsia="lt-LT"/>
              </w:rPr>
              <w:t xml:space="preserve">Formoje siūloma surašyti </w:t>
            </w:r>
            <w:r w:rsidRPr="001A0372">
              <w:rPr>
                <w:i/>
                <w:lang w:val="lt-LT" w:eastAsia="lt-LT"/>
              </w:rPr>
              <w:t>ex post</w:t>
            </w:r>
            <w:r w:rsidRPr="001A0372">
              <w:rPr>
                <w:lang w:val="lt-LT" w:eastAsia="lt-LT"/>
              </w:rPr>
              <w:t xml:space="preserve"> vertinimo duomenis</w:t>
            </w:r>
            <w:r w:rsidR="008E1C2B" w:rsidRPr="001A0372">
              <w:rPr>
                <w:lang w:val="lt-LT" w:eastAsia="lt-LT"/>
              </w:rPr>
              <w:t xml:space="preserve"> ir rezultatus</w:t>
            </w:r>
            <w:r w:rsidRPr="001A0372">
              <w:rPr>
                <w:lang w:val="lt-LT" w:eastAsia="lt-LT"/>
              </w:rPr>
              <w:t>.</w:t>
            </w:r>
          </w:p>
        </w:tc>
      </w:tr>
      <w:tr w:rsidR="004A4FA3" w:rsidRPr="001A0372" w:rsidTr="00D32A7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autoSpaceDE w:val="0"/>
              <w:autoSpaceDN w:val="0"/>
              <w:spacing w:line="300" w:lineRule="atLeast"/>
              <w:rPr>
                <w:lang w:val="lt-LT" w:eastAsia="lt-LT"/>
              </w:rPr>
            </w:pPr>
            <w:r w:rsidRPr="001A0372">
              <w:rPr>
                <w:color w:val="000000"/>
                <w:lang w:val="lt-LT" w:eastAsia="lt-LT"/>
              </w:rPr>
              <w:t>III. Priemonių kaštai</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spacing w:line="300" w:lineRule="atLeast"/>
              <w:jc w:val="both"/>
              <w:rPr>
                <w:lang w:val="lt-LT"/>
              </w:rPr>
            </w:pPr>
            <w:r w:rsidRPr="001A0372">
              <w:rPr>
                <w:lang w:val="lt-LT"/>
              </w:rPr>
              <w:t>Nutarimo projektui įgyvendinti papildomų valstybės biudžeto lėšų artimiausiu metu nereikės. Tačiau praėjus mažiau nei porai metų nuo Įstatymo ir Metodikos</w:t>
            </w:r>
            <w:r w:rsidRPr="001A0372">
              <w:rPr>
                <w:bCs/>
                <w:lang w:val="lt-LT"/>
              </w:rPr>
              <w:t xml:space="preserve"> įsigaliojimo, kai bus pradedami atlikti įstatymuose ar ministrų sprendimuose numatyti </w:t>
            </w:r>
            <w:r w:rsidRPr="001A0372">
              <w:rPr>
                <w:bCs/>
                <w:i/>
                <w:lang w:val="lt-LT"/>
              </w:rPr>
              <w:t>ex post</w:t>
            </w:r>
            <w:r w:rsidRPr="001A0372">
              <w:rPr>
                <w:bCs/>
                <w:lang w:val="lt-LT"/>
              </w:rPr>
              <w:t xml:space="preserve"> vertinimai, Teisingumo ministerijai, norint veiksmingai ir deramai vykdyti </w:t>
            </w:r>
            <w:r w:rsidRPr="001A0372">
              <w:rPr>
                <w:i/>
                <w:lang w:val="lt-LT"/>
              </w:rPr>
              <w:t>ex post</w:t>
            </w:r>
            <w:r w:rsidRPr="001A0372">
              <w:rPr>
                <w:lang w:val="lt-LT"/>
              </w:rPr>
              <w:t xml:space="preserve"> vertinimo koordinavimo funkciją, o visoms ministerijoms – atlikti kokybiškus </w:t>
            </w:r>
            <w:r w:rsidRPr="001A0372">
              <w:rPr>
                <w:i/>
                <w:lang w:val="lt-LT"/>
              </w:rPr>
              <w:t>ex post</w:t>
            </w:r>
            <w:r w:rsidRPr="001A0372">
              <w:rPr>
                <w:lang w:val="lt-LT"/>
              </w:rPr>
              <w:t xml:space="preserve"> vertinimus ir parengti galutines ataskaitas, tikėtina, tai pareikalaus planuoti papildomas lėšas darbo užmokesčio fonde. Konkretus jų poreikis dar nėra aiškus ir priklausys nuo</w:t>
            </w:r>
            <w:r w:rsidRPr="001A0372">
              <w:rPr>
                <w:color w:val="1F497D"/>
                <w:lang w:val="lt-LT"/>
              </w:rPr>
              <w:t xml:space="preserve"> </w:t>
            </w:r>
            <w:r w:rsidRPr="001A0372">
              <w:rPr>
                <w:i/>
                <w:lang w:val="lt-LT"/>
              </w:rPr>
              <w:t>ex post</w:t>
            </w:r>
            <w:r w:rsidRPr="001A0372">
              <w:rPr>
                <w:lang w:val="lt-LT"/>
              </w:rPr>
              <w:t xml:space="preserve"> vertinimo apimčių ir koordinavimo funkcijos masto. Atitinkamą poreikį Teisingumo ministerija ir kitos ministerijos teiks 2021 m. ir vėlesnių metų valstybės biudžeto </w:t>
            </w:r>
            <w:r w:rsidRPr="001A0372">
              <w:rPr>
                <w:lang w:val="lt-LT"/>
              </w:rPr>
              <w:lastRenderedPageBreak/>
              <w:t>rengimo etape bei rengdamos 2021-2023 m. ir vėlesnius ministrų valdymo sričių strateginių veiklos planų projektus.</w:t>
            </w:r>
          </w:p>
        </w:tc>
      </w:tr>
      <w:tr w:rsidR="004A4FA3" w:rsidRPr="001A0372" w:rsidTr="00D32A7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4FA3" w:rsidRPr="001A0372" w:rsidRDefault="004A4FA3" w:rsidP="001A0372">
            <w:pPr>
              <w:tabs>
                <w:tab w:val="left" w:pos="2410"/>
              </w:tabs>
              <w:autoSpaceDE w:val="0"/>
              <w:autoSpaceDN w:val="0"/>
              <w:spacing w:line="300" w:lineRule="atLeast"/>
              <w:rPr>
                <w:lang w:val="lt-LT" w:eastAsia="lt-LT"/>
              </w:rPr>
            </w:pPr>
            <w:r w:rsidRPr="001A0372">
              <w:rPr>
                <w:color w:val="000000"/>
                <w:lang w:val="lt-LT" w:eastAsia="lt-LT"/>
              </w:rPr>
              <w:lastRenderedPageBreak/>
              <w:t>IV. Nauda visuomenei</w:t>
            </w:r>
          </w:p>
        </w:tc>
        <w:tc>
          <w:tcPr>
            <w:tcW w:w="7767" w:type="dxa"/>
            <w:tcBorders>
              <w:top w:val="nil"/>
              <w:left w:val="nil"/>
              <w:bottom w:val="single" w:sz="8" w:space="0" w:color="auto"/>
              <w:right w:val="single" w:sz="8" w:space="0" w:color="auto"/>
            </w:tcBorders>
            <w:tcMar>
              <w:top w:w="0" w:type="dxa"/>
              <w:left w:w="108" w:type="dxa"/>
              <w:bottom w:w="0" w:type="dxa"/>
              <w:right w:w="108" w:type="dxa"/>
            </w:tcMar>
            <w:hideMark/>
          </w:tcPr>
          <w:p w:rsidR="00D32A70" w:rsidRPr="001A0372" w:rsidRDefault="004A4FA3" w:rsidP="001A0372">
            <w:pPr>
              <w:tabs>
                <w:tab w:val="left" w:pos="2410"/>
              </w:tabs>
              <w:spacing w:line="300" w:lineRule="atLeast"/>
              <w:jc w:val="both"/>
              <w:rPr>
                <w:lang w:val="lt-LT" w:eastAsia="lt-LT"/>
              </w:rPr>
            </w:pPr>
            <w:r w:rsidRPr="001A0372">
              <w:rPr>
                <w:lang w:val="lt-LT" w:eastAsia="lt-LT"/>
              </w:rPr>
              <w:t xml:space="preserve">Įdiegus </w:t>
            </w:r>
            <w:r w:rsidRPr="001A0372">
              <w:rPr>
                <w:i/>
                <w:lang w:val="lt-LT" w:eastAsia="lt-LT"/>
              </w:rPr>
              <w:t>ex post</w:t>
            </w:r>
            <w:r w:rsidRPr="001A0372">
              <w:rPr>
                <w:lang w:val="lt-LT" w:eastAsia="lt-LT"/>
              </w:rPr>
              <w:t xml:space="preserve"> vertinimą į teisėkūros proceso ciklą, būtų sudaromos prielaidos </w:t>
            </w:r>
            <w:r w:rsidR="008E1C2B" w:rsidRPr="001A0372">
              <w:rPr>
                <w:lang w:val="lt-LT" w:eastAsia="lt-LT"/>
              </w:rPr>
              <w:t xml:space="preserve">išsamiai įvertinti tam tikro galiojančio teisinio reguliavimo taikymą ir veikimą, </w:t>
            </w:r>
            <w:r w:rsidRPr="001A0372">
              <w:rPr>
                <w:lang w:val="lt-LT" w:eastAsia="lt-LT"/>
              </w:rPr>
              <w:t xml:space="preserve">priimti įrodymais pagrįstus sprendimus, siekiant užtikrinti, kad teisės aktai būtų aktualūs, ekonomiškai naudingi ir veiksmingi siekiant keliamų tikslų; taip pat tikimasi prisidėti prie teisės aktų skaičiaus mažinimo. </w:t>
            </w:r>
          </w:p>
          <w:p w:rsidR="00D32A70" w:rsidRPr="001A0372" w:rsidRDefault="004A4FA3" w:rsidP="001A0372">
            <w:pPr>
              <w:tabs>
                <w:tab w:val="left" w:pos="2410"/>
              </w:tabs>
              <w:spacing w:line="300" w:lineRule="atLeast"/>
              <w:jc w:val="both"/>
              <w:rPr>
                <w:lang w:val="lt-LT" w:eastAsia="lt-LT"/>
              </w:rPr>
            </w:pPr>
            <w:r w:rsidRPr="001A0372">
              <w:rPr>
                <w:i/>
                <w:lang w:val="lt-LT" w:eastAsia="lt-LT"/>
              </w:rPr>
              <w:t>Ex post</w:t>
            </w:r>
            <w:r w:rsidRPr="001A0372">
              <w:rPr>
                <w:lang w:val="lt-LT" w:eastAsia="lt-LT"/>
              </w:rPr>
              <w:t xml:space="preserve"> vertinimo įgyvendinimas </w:t>
            </w:r>
            <w:r w:rsidR="009829B2" w:rsidRPr="001A0372">
              <w:rPr>
                <w:lang w:val="lt-LT" w:eastAsia="lt-LT"/>
              </w:rPr>
              <w:t xml:space="preserve">suteiks daugiau galimybių priimti įrodymais grįstus sprendimus, siekiant </w:t>
            </w:r>
            <w:r w:rsidRPr="001A0372">
              <w:rPr>
                <w:lang w:val="lt-LT" w:eastAsia="lt-LT"/>
              </w:rPr>
              <w:t>tobulinti visuotinai privalomas elgesio taisykles, pirmiausia įtvirtintas įstatymuose. Kokybiškesnė teisėkūra turėtų prisidėti prie valstybės tvaraus vystymosi ir visuomenės gerovės kūrimo.</w:t>
            </w:r>
          </w:p>
          <w:p w:rsidR="004A4FA3" w:rsidRPr="001A0372" w:rsidRDefault="004A4FA3" w:rsidP="001A0372">
            <w:pPr>
              <w:tabs>
                <w:tab w:val="left" w:pos="2410"/>
              </w:tabs>
              <w:spacing w:line="300" w:lineRule="atLeast"/>
              <w:jc w:val="both"/>
              <w:rPr>
                <w:color w:val="000000"/>
                <w:lang w:val="lt-LT" w:eastAsia="lt-LT"/>
              </w:rPr>
            </w:pPr>
            <w:r w:rsidRPr="001A0372">
              <w:rPr>
                <w:lang w:val="lt-LT" w:eastAsia="lt-LT"/>
              </w:rPr>
              <w:t>Priėmus Nutarimo projektą, teisės aktų projektų išankstinis (</w:t>
            </w:r>
            <w:r w:rsidRPr="001A0372">
              <w:rPr>
                <w:i/>
                <w:lang w:val="lt-LT" w:eastAsia="lt-LT"/>
              </w:rPr>
              <w:t>ex ante</w:t>
            </w:r>
            <w:r w:rsidRPr="001A0372">
              <w:rPr>
                <w:lang w:val="lt-LT" w:eastAsia="lt-LT"/>
              </w:rPr>
              <w:t xml:space="preserve">) vertinimas, atliekamas pagal </w:t>
            </w:r>
            <w:r w:rsidRPr="001A0372">
              <w:rPr>
                <w:lang w:eastAsia="lt-LT"/>
              </w:rPr>
              <w:t xml:space="preserve">Poveikio vertinimo metodiką, ir </w:t>
            </w:r>
            <w:r w:rsidRPr="001A0372">
              <w:rPr>
                <w:lang w:val="lt-LT" w:eastAsia="lt-LT"/>
              </w:rPr>
              <w:t xml:space="preserve">galiojančio teisinio reguliavimo </w:t>
            </w:r>
            <w:r w:rsidRPr="001A0372">
              <w:rPr>
                <w:i/>
                <w:lang w:val="lt-LT" w:eastAsia="lt-LT"/>
              </w:rPr>
              <w:t>ex post</w:t>
            </w:r>
            <w:r w:rsidRPr="001A0372">
              <w:rPr>
                <w:lang w:val="lt-LT" w:eastAsia="lt-LT"/>
              </w:rPr>
              <w:t xml:space="preserve"> vertinimas, atliekamas pagal Metodiką, bus susieti tarpusavyje ir sudarys teisėkūros tobulinimo metodologinio reguliavimo ciklą.</w:t>
            </w:r>
          </w:p>
        </w:tc>
      </w:tr>
    </w:tbl>
    <w:p w:rsidR="004A4FA3" w:rsidRPr="001A0372" w:rsidRDefault="004A4FA3" w:rsidP="001A0372">
      <w:pPr>
        <w:tabs>
          <w:tab w:val="left" w:pos="2410"/>
        </w:tabs>
        <w:spacing w:line="300" w:lineRule="atLeast"/>
        <w:ind w:firstLine="851"/>
        <w:jc w:val="both"/>
        <w:rPr>
          <w:lang w:val="lt-LT"/>
        </w:rPr>
      </w:pPr>
      <w:r w:rsidRPr="001A0372">
        <w:rPr>
          <w:lang w:val="lt-LT" w:eastAsia="lt-LT"/>
        </w:rPr>
        <w:t xml:space="preserve">Teisinio reguliavimo stebėsena, pradėta pagal iki 2020 m. balandžio 1 d. patvirtintus teisinio reguliavimo stebėsenos planus, bus baigiama vykdyti vadovaujantis </w:t>
      </w:r>
      <w:r w:rsidR="002E04BE" w:rsidRPr="001A0372">
        <w:rPr>
          <w:lang w:val="lt-LT" w:eastAsia="lt-LT"/>
        </w:rPr>
        <w:t xml:space="preserve">Teisinio reguliavimo stebėsenos atlikimo tvarkos aprašu, patvirtintu Lietuvos Respublikos teisingumo ministro 2013 m. gegužės 8 d. įsakymu Nr. 1R-142 </w:t>
      </w:r>
      <w:r w:rsidR="002E04BE" w:rsidRPr="001A0372">
        <w:rPr>
          <w:rStyle w:val="clear"/>
          <w:lang w:val="lt-LT"/>
        </w:rPr>
        <w:t>„Dėl Teisinio reguliavimo stebėsenos atlikimo tvarkos aprašo ir Teisinio reguliavimo stebėsenos pažymos formos patvirtinimo“</w:t>
      </w:r>
      <w:r w:rsidRPr="001A0372">
        <w:rPr>
          <w:lang w:val="lt-LT" w:eastAsia="lt-LT"/>
        </w:rPr>
        <w:t>.</w:t>
      </w:r>
    </w:p>
    <w:p w:rsidR="004A4FA3" w:rsidRPr="001A0372" w:rsidRDefault="004A4FA3" w:rsidP="001A0372">
      <w:pPr>
        <w:tabs>
          <w:tab w:val="left" w:pos="2410"/>
        </w:tabs>
        <w:spacing w:line="300" w:lineRule="atLeast"/>
        <w:ind w:firstLine="851"/>
        <w:contextualSpacing/>
        <w:jc w:val="both"/>
        <w:outlineLvl w:val="0"/>
        <w:rPr>
          <w:lang w:val="lt-LT"/>
        </w:rPr>
      </w:pPr>
      <w:r w:rsidRPr="001A0372">
        <w:rPr>
          <w:lang w:val="lt-LT"/>
        </w:rPr>
        <w:t>Nutarimo projektas atitinka Septynioliktosios Lietuvos Respublikos Vyriausybės veiklos programą. B</w:t>
      </w:r>
      <w:r w:rsidRPr="001A0372">
        <w:rPr>
          <w:bCs/>
          <w:lang w:val="lt-LT"/>
        </w:rPr>
        <w:t>aigiamojo (</w:t>
      </w:r>
      <w:r w:rsidRPr="001A0372">
        <w:rPr>
          <w:bCs/>
          <w:i/>
          <w:lang w:val="lt-LT"/>
        </w:rPr>
        <w:t>ex-post</w:t>
      </w:r>
      <w:r w:rsidRPr="001A0372">
        <w:rPr>
          <w:bCs/>
          <w:lang w:val="lt-LT"/>
        </w:rPr>
        <w:t>) vertinimo įdiegimas į teisėkūros proceso ciklą numatytas Lietuvos Respublikos Vyriausybės programos įgyvendinimo plano, patvirtinto Lietuvos Respublikos Vyriausybės 2017 m. kovo 13 d. nutarimu Nr. 167, 3.1.7.3 papunktyje.</w:t>
      </w:r>
    </w:p>
    <w:p w:rsidR="004A4FA3" w:rsidRPr="001A0372" w:rsidRDefault="004A4FA3" w:rsidP="001A0372">
      <w:pPr>
        <w:tabs>
          <w:tab w:val="left" w:pos="2410"/>
        </w:tabs>
        <w:spacing w:line="300" w:lineRule="atLeast"/>
        <w:ind w:firstLine="851"/>
        <w:jc w:val="both"/>
        <w:rPr>
          <w:lang w:val="lt-LT"/>
        </w:rPr>
      </w:pPr>
      <w:r w:rsidRPr="001A0372">
        <w:rPr>
          <w:lang w:val="lt-LT"/>
        </w:rPr>
        <w:t>Nutarimo projekte sąvokos neapibrėžiamos.</w:t>
      </w:r>
    </w:p>
    <w:p w:rsidR="004A4FA3" w:rsidRPr="001A0372" w:rsidRDefault="004A4FA3" w:rsidP="001A0372">
      <w:pPr>
        <w:tabs>
          <w:tab w:val="left" w:pos="2410"/>
        </w:tabs>
        <w:spacing w:line="300" w:lineRule="atLeast"/>
        <w:ind w:firstLine="851"/>
        <w:contextualSpacing/>
        <w:jc w:val="both"/>
        <w:outlineLvl w:val="0"/>
        <w:rPr>
          <w:lang w:val="lt-LT"/>
        </w:rPr>
      </w:pPr>
      <w:r w:rsidRPr="001A0372">
        <w:rPr>
          <w:lang w:val="lt-LT"/>
        </w:rPr>
        <w:t>Nutarimo projektu nesiūloma perkelti ar įgyvendinti Europos Sąjungos teisės aktų.</w:t>
      </w:r>
    </w:p>
    <w:p w:rsidR="004A4FA3" w:rsidRPr="001A0372" w:rsidRDefault="004A4FA3" w:rsidP="001A0372">
      <w:pPr>
        <w:tabs>
          <w:tab w:val="left" w:pos="2410"/>
        </w:tabs>
        <w:spacing w:line="300" w:lineRule="atLeast"/>
        <w:ind w:firstLine="851"/>
        <w:jc w:val="both"/>
        <w:rPr>
          <w:lang w:val="lt-LT"/>
        </w:rPr>
      </w:pPr>
      <w:r w:rsidRPr="001A0372">
        <w:rPr>
          <w:lang w:val="lt-LT"/>
        </w:rPr>
        <w:t>Nutarimo projektas nėra notifikuotinas Europos Komisijai pagal Informacijos apie techninius reglamentus ir atitikties įvertinimo procedūras teikimo taisykles, patvirtintas Lietuvos Respublikos Vyriausybės 1999 m. gegužės 20 d. nutarimu Nr. 617 „Dėl Informacijos apie techninius reglamentus ir atitikties įvertinimo procedūras teikimo taisyklių patvirtinimo“.</w:t>
      </w:r>
    </w:p>
    <w:p w:rsidR="004A4FA3" w:rsidRPr="001A0372" w:rsidRDefault="004A4FA3" w:rsidP="001A0372">
      <w:pPr>
        <w:tabs>
          <w:tab w:val="left" w:pos="2410"/>
        </w:tabs>
        <w:spacing w:line="300" w:lineRule="atLeast"/>
        <w:ind w:firstLine="851"/>
        <w:jc w:val="both"/>
        <w:rPr>
          <w:lang w:val="lt-LT"/>
        </w:rPr>
      </w:pPr>
      <w:r w:rsidRPr="001A0372">
        <w:rPr>
          <w:lang w:val="lt-LT"/>
        </w:rPr>
        <w:t>Priėmus Nutarimo projektą, jo įgyvendinimui kitų teisės aktų priimti nereikės.</w:t>
      </w:r>
      <w:r w:rsidR="00E14DA9">
        <w:rPr>
          <w:lang w:val="lt-LT"/>
        </w:rPr>
        <w:t xml:space="preserve"> </w:t>
      </w:r>
    </w:p>
    <w:p w:rsidR="00143F51" w:rsidRPr="001A0372" w:rsidRDefault="00F67655" w:rsidP="001A0372">
      <w:pPr>
        <w:tabs>
          <w:tab w:val="left" w:pos="2410"/>
        </w:tabs>
        <w:spacing w:line="300" w:lineRule="atLeast"/>
        <w:ind w:firstLine="851"/>
        <w:jc w:val="both"/>
        <w:rPr>
          <w:lang w:val="lt-LT" w:eastAsia="lt-LT"/>
        </w:rPr>
      </w:pPr>
      <w:r w:rsidRPr="001A0372">
        <w:rPr>
          <w:lang w:val="lt-LT" w:eastAsia="lt-LT"/>
        </w:rPr>
        <w:t xml:space="preserve">Nutarimo projektas </w:t>
      </w:r>
      <w:r w:rsidR="009829B2" w:rsidRPr="001A0372">
        <w:rPr>
          <w:lang w:val="lt-LT" w:eastAsia="lt-LT"/>
        </w:rPr>
        <w:t xml:space="preserve">buvo pateiktas </w:t>
      </w:r>
      <w:r w:rsidRPr="001A0372">
        <w:rPr>
          <w:lang w:val="lt-LT" w:eastAsia="lt-LT"/>
        </w:rPr>
        <w:t xml:space="preserve">derinti </w:t>
      </w:r>
      <w:r w:rsidR="00D174A6" w:rsidRPr="001A0372">
        <w:rPr>
          <w:lang w:val="lt-LT" w:eastAsia="lt-LT"/>
        </w:rPr>
        <w:t xml:space="preserve">visoms ministerijoms, Seimo ir Vyriausybės kanceliarijoms ir </w:t>
      </w:r>
      <w:r w:rsidR="00727869" w:rsidRPr="001A0372">
        <w:rPr>
          <w:color w:val="000000"/>
          <w:lang w:val="lt-LT"/>
        </w:rPr>
        <w:t>Vyriausybės strateginės analizės centrui</w:t>
      </w:r>
      <w:r w:rsidR="005F01EA" w:rsidRPr="001A0372">
        <w:rPr>
          <w:color w:val="000000"/>
          <w:lang w:val="lt-LT"/>
        </w:rPr>
        <w:t xml:space="preserve"> (</w:t>
      </w:r>
      <w:r w:rsidR="009829B2" w:rsidRPr="001A0372">
        <w:rPr>
          <w:color w:val="000000"/>
          <w:lang w:val="lt-LT"/>
        </w:rPr>
        <w:t>STRATA</w:t>
      </w:r>
      <w:r w:rsidR="005F01EA" w:rsidRPr="001A0372">
        <w:rPr>
          <w:color w:val="000000"/>
          <w:lang w:val="lt-LT"/>
        </w:rPr>
        <w:t>)</w:t>
      </w:r>
      <w:r w:rsidR="00727869" w:rsidRPr="001A0372">
        <w:rPr>
          <w:color w:val="000000"/>
          <w:lang w:val="lt-LT"/>
        </w:rPr>
        <w:t>.</w:t>
      </w:r>
      <w:r w:rsidR="00727869" w:rsidRPr="001A0372">
        <w:rPr>
          <w:color w:val="000000"/>
        </w:rPr>
        <w:t xml:space="preserve"> </w:t>
      </w:r>
      <w:r w:rsidR="009829B2" w:rsidRPr="001A0372">
        <w:rPr>
          <w:lang w:val="lt-LT" w:eastAsia="lt-LT"/>
        </w:rPr>
        <w:t>Į</w:t>
      </w:r>
      <w:r w:rsidRPr="001A0372">
        <w:rPr>
          <w:lang w:val="lt-LT" w:eastAsia="lt-LT"/>
        </w:rPr>
        <w:t xml:space="preserve"> daugelį teiktų pastabų </w:t>
      </w:r>
      <w:r w:rsidR="00727869" w:rsidRPr="001A0372">
        <w:rPr>
          <w:lang w:val="lt-LT" w:eastAsia="lt-LT"/>
        </w:rPr>
        <w:t xml:space="preserve">ir pasiūlymų </w:t>
      </w:r>
      <w:r w:rsidRPr="001A0372">
        <w:rPr>
          <w:lang w:val="lt-LT" w:eastAsia="lt-LT"/>
        </w:rPr>
        <w:t>atsižvelgta</w:t>
      </w:r>
      <w:r w:rsidR="00143F51" w:rsidRPr="001A0372">
        <w:rPr>
          <w:lang w:val="lt-LT" w:eastAsia="lt-LT"/>
        </w:rPr>
        <w:t>, po Nutarimo projekto koregavimo dalis pastabų prarado aktualumą</w:t>
      </w:r>
      <w:r w:rsidRPr="001A0372">
        <w:rPr>
          <w:lang w:val="lt-LT" w:eastAsia="lt-LT"/>
        </w:rPr>
        <w:t>.</w:t>
      </w:r>
    </w:p>
    <w:p w:rsidR="0022413F" w:rsidRPr="001A0372" w:rsidRDefault="00143F51" w:rsidP="001A0372">
      <w:pPr>
        <w:tabs>
          <w:tab w:val="left" w:pos="2410"/>
        </w:tabs>
        <w:spacing w:line="300" w:lineRule="atLeast"/>
        <w:ind w:firstLine="851"/>
        <w:jc w:val="both"/>
        <w:rPr>
          <w:lang w:val="lt-LT" w:eastAsia="lt-LT"/>
        </w:rPr>
      </w:pPr>
      <w:r w:rsidRPr="001A0372">
        <w:rPr>
          <w:lang w:val="lt-LT" w:eastAsia="lt-LT"/>
        </w:rPr>
        <w:t>Pirmiausia, a</w:t>
      </w:r>
      <w:r w:rsidR="006B1452" w:rsidRPr="001A0372">
        <w:rPr>
          <w:lang w:val="lt-LT" w:eastAsia="lt-LT"/>
        </w:rPr>
        <w:t xml:space="preserve">tsižvelgiant į išsakytas Vyriausybės kanceliarijos pastabas buvo iš esmės peržiūrėti </w:t>
      </w:r>
      <w:r w:rsidR="006B1452" w:rsidRPr="001A0372">
        <w:rPr>
          <w:i/>
          <w:lang w:val="lt-LT" w:eastAsia="lt-LT"/>
        </w:rPr>
        <w:t>ex post</w:t>
      </w:r>
      <w:r w:rsidR="006B1452" w:rsidRPr="001A0372">
        <w:rPr>
          <w:lang w:val="lt-LT" w:eastAsia="lt-LT"/>
        </w:rPr>
        <w:t xml:space="preserve"> vertinimo tikslai, atsižvelgiant į TPĮ nurodytą </w:t>
      </w:r>
      <w:r w:rsidR="006B1452" w:rsidRPr="001A0372">
        <w:rPr>
          <w:i/>
          <w:lang w:val="lt-LT" w:eastAsia="lt-LT"/>
        </w:rPr>
        <w:t>ex post</w:t>
      </w:r>
      <w:r w:rsidR="006B1452" w:rsidRPr="001A0372">
        <w:rPr>
          <w:lang w:val="lt-LT" w:eastAsia="lt-LT"/>
        </w:rPr>
        <w:t xml:space="preserve"> vertinimo objektą labiau atskleistas galiojančio teisinio reguliavimo taikymo ir veikimo vertinimas, peržiūrėtas </w:t>
      </w:r>
      <w:r w:rsidR="006B1452" w:rsidRPr="001A0372">
        <w:rPr>
          <w:i/>
          <w:lang w:val="lt-LT" w:eastAsia="lt-LT"/>
        </w:rPr>
        <w:t>ex post</w:t>
      </w:r>
      <w:r w:rsidR="006B1452" w:rsidRPr="001A0372">
        <w:rPr>
          <w:lang w:val="lt-LT" w:eastAsia="lt-LT"/>
        </w:rPr>
        <w:t xml:space="preserve"> vertinimo proceso reglamentavimas siekiant jį padaryti </w:t>
      </w:r>
      <w:r w:rsidR="00F8752F" w:rsidRPr="001A0372">
        <w:rPr>
          <w:lang w:val="lt-LT" w:eastAsia="lt-LT"/>
        </w:rPr>
        <w:t xml:space="preserve">paprastai </w:t>
      </w:r>
      <w:r w:rsidR="006B1452" w:rsidRPr="001A0372">
        <w:rPr>
          <w:lang w:val="lt-LT" w:eastAsia="lt-LT"/>
        </w:rPr>
        <w:t xml:space="preserve">įmanomu atlikti vidiniais ministerijų ištekliais, </w:t>
      </w:r>
      <w:r w:rsidR="00745E86" w:rsidRPr="001A0372">
        <w:rPr>
          <w:lang w:val="lt-LT" w:eastAsia="lt-LT"/>
        </w:rPr>
        <w:t xml:space="preserve">įrašyta galimybė atliekant </w:t>
      </w:r>
      <w:r w:rsidR="00745E86" w:rsidRPr="001A0372">
        <w:rPr>
          <w:i/>
          <w:lang w:val="lt-LT" w:eastAsia="lt-LT"/>
        </w:rPr>
        <w:t>ex post</w:t>
      </w:r>
      <w:r w:rsidR="00745E86" w:rsidRPr="001A0372">
        <w:rPr>
          <w:lang w:val="lt-LT" w:eastAsia="lt-LT"/>
        </w:rPr>
        <w:t xml:space="preserve"> vertinimą pasitelkti STRATA, </w:t>
      </w:r>
      <w:r w:rsidR="006B1452" w:rsidRPr="001A0372">
        <w:rPr>
          <w:lang w:val="lt-LT" w:eastAsia="lt-LT"/>
        </w:rPr>
        <w:t xml:space="preserve">sutrumpinta </w:t>
      </w:r>
      <w:r w:rsidR="006B1452" w:rsidRPr="001A0372">
        <w:rPr>
          <w:i/>
          <w:lang w:val="lt-LT" w:eastAsia="lt-LT"/>
        </w:rPr>
        <w:lastRenderedPageBreak/>
        <w:t>ex post</w:t>
      </w:r>
      <w:r w:rsidR="006B1452" w:rsidRPr="001A0372">
        <w:rPr>
          <w:lang w:val="lt-LT" w:eastAsia="lt-LT"/>
        </w:rPr>
        <w:t xml:space="preserve"> vertinimo ataskaitos forma</w:t>
      </w:r>
      <w:r w:rsidR="007E215F" w:rsidRPr="001A0372">
        <w:rPr>
          <w:lang w:val="lt-LT" w:eastAsia="lt-LT"/>
        </w:rPr>
        <w:t>, atsisakant perteklinių jos turinio elementų</w:t>
      </w:r>
      <w:r w:rsidR="006B1452" w:rsidRPr="001A0372">
        <w:rPr>
          <w:lang w:val="lt-LT" w:eastAsia="lt-LT"/>
        </w:rPr>
        <w:t xml:space="preserve">. </w:t>
      </w:r>
      <w:r w:rsidRPr="001A0372">
        <w:rPr>
          <w:lang w:val="lt-LT" w:eastAsia="lt-LT"/>
        </w:rPr>
        <w:t>Suinteresuotų institucijų i</w:t>
      </w:r>
      <w:r w:rsidR="00F8752F" w:rsidRPr="001A0372">
        <w:rPr>
          <w:lang w:val="lt-LT" w:eastAsia="lt-LT"/>
        </w:rPr>
        <w:t xml:space="preserve">švadose </w:t>
      </w:r>
      <w:r w:rsidR="004862E3" w:rsidRPr="001A0372">
        <w:rPr>
          <w:lang w:val="lt-LT" w:eastAsia="lt-LT"/>
        </w:rPr>
        <w:t xml:space="preserve">buvo keliamos abejonės dėl detalių peržiūros nuostatos įtraukimo į įstatymą atvejų reglamentavimo, </w:t>
      </w:r>
      <w:r w:rsidR="009829B2" w:rsidRPr="001A0372">
        <w:rPr>
          <w:lang w:val="lt-LT" w:eastAsia="lt-LT"/>
        </w:rPr>
        <w:t xml:space="preserve">ne kartą pažymėta, kad Metodikoje siūlomas </w:t>
      </w:r>
      <w:r w:rsidR="009829B2" w:rsidRPr="001A0372">
        <w:rPr>
          <w:i/>
          <w:lang w:val="lt-LT" w:eastAsia="lt-LT"/>
        </w:rPr>
        <w:t>ex post</w:t>
      </w:r>
      <w:r w:rsidR="009829B2" w:rsidRPr="001A0372">
        <w:rPr>
          <w:lang w:val="lt-LT" w:eastAsia="lt-LT"/>
        </w:rPr>
        <w:t xml:space="preserve"> vertinimo procesas yra pernelyg sudėtingas</w:t>
      </w:r>
      <w:r w:rsidR="00745E86" w:rsidRPr="001A0372">
        <w:rPr>
          <w:lang w:val="lt-LT" w:eastAsia="lt-LT"/>
        </w:rPr>
        <w:t xml:space="preserve"> etapų prasme</w:t>
      </w:r>
      <w:r w:rsidR="006B1452" w:rsidRPr="001A0372">
        <w:rPr>
          <w:lang w:val="lt-LT" w:eastAsia="lt-LT"/>
        </w:rPr>
        <w:t xml:space="preserve">, </w:t>
      </w:r>
      <w:r w:rsidR="009829B2" w:rsidRPr="001A0372">
        <w:rPr>
          <w:lang w:val="lt-LT" w:eastAsia="lt-LT"/>
        </w:rPr>
        <w:t>kai kurios vartojamos sąvokos yra neapibrėžtos</w:t>
      </w:r>
      <w:r w:rsidR="006B1452" w:rsidRPr="001A0372">
        <w:rPr>
          <w:lang w:val="lt-LT" w:eastAsia="lt-LT"/>
        </w:rPr>
        <w:t xml:space="preserve"> ir todėl neaiškios</w:t>
      </w:r>
      <w:r w:rsidR="009829B2" w:rsidRPr="001A0372">
        <w:rPr>
          <w:lang w:val="lt-LT" w:eastAsia="lt-LT"/>
        </w:rPr>
        <w:t xml:space="preserve">. Dėl pastarojo aspekto pažymime, kad atsižvelgiant į Konstitucinio Teismo suformuotą doktriną poįstatyminiame teisės akte negalėtų būti aiškinamas </w:t>
      </w:r>
      <w:r w:rsidR="006B1452" w:rsidRPr="001A0372">
        <w:rPr>
          <w:lang w:val="lt-LT" w:eastAsia="lt-LT"/>
        </w:rPr>
        <w:t xml:space="preserve">įstatyme vartojamų sąvokų turinys, todėl tais atvejais, kai </w:t>
      </w:r>
      <w:r w:rsidR="00745E86" w:rsidRPr="001A0372">
        <w:rPr>
          <w:lang w:val="lt-LT" w:eastAsia="lt-LT"/>
        </w:rPr>
        <w:t>pastabos teiktos dėl TPĮ vartojamų</w:t>
      </w:r>
      <w:r w:rsidR="006B1452" w:rsidRPr="001A0372">
        <w:rPr>
          <w:lang w:val="lt-LT" w:eastAsia="lt-LT"/>
        </w:rPr>
        <w:t xml:space="preserve"> sąvokų</w:t>
      </w:r>
      <w:r w:rsidR="007E215F" w:rsidRPr="001A0372">
        <w:rPr>
          <w:lang w:val="lt-LT" w:eastAsia="lt-LT"/>
        </w:rPr>
        <w:t xml:space="preserve"> (pavyzdžiui, „didelė įtaka“, „esminiai pakeitimai“)</w:t>
      </w:r>
      <w:r w:rsidR="00745E86" w:rsidRPr="001A0372">
        <w:rPr>
          <w:lang w:val="lt-LT" w:eastAsia="lt-LT"/>
        </w:rPr>
        <w:t xml:space="preserve">, </w:t>
      </w:r>
      <w:r w:rsidR="006B1452" w:rsidRPr="001A0372">
        <w:rPr>
          <w:lang w:val="lt-LT" w:eastAsia="lt-LT"/>
        </w:rPr>
        <w:t xml:space="preserve">Metodikoje pasiūlytos gairės, kurios turėtų padėti palengvinti atitinkamų nuostatų taikymą. Taip pat buvo </w:t>
      </w:r>
      <w:r w:rsidR="004862E3" w:rsidRPr="001A0372">
        <w:rPr>
          <w:lang w:val="lt-LT" w:eastAsia="lt-LT"/>
        </w:rPr>
        <w:t xml:space="preserve">atsisakyta detalių peržiūros nuostatos įtraukimo į įstatymą atvejų reglamentavimo, </w:t>
      </w:r>
      <w:r w:rsidR="006B1452" w:rsidRPr="001A0372">
        <w:rPr>
          <w:lang w:val="lt-LT" w:eastAsia="lt-LT"/>
        </w:rPr>
        <w:t xml:space="preserve">iš esmės peržiūrėtos </w:t>
      </w:r>
      <w:r w:rsidR="00F8752F" w:rsidRPr="001A0372">
        <w:rPr>
          <w:i/>
          <w:lang w:val="lt-LT" w:eastAsia="lt-LT"/>
        </w:rPr>
        <w:t>ex post</w:t>
      </w:r>
      <w:r w:rsidR="00F8752F" w:rsidRPr="001A0372">
        <w:rPr>
          <w:lang w:val="lt-LT" w:eastAsia="lt-LT"/>
        </w:rPr>
        <w:t xml:space="preserve"> vertinimo etapus reglamentuojančios nuostatos, </w:t>
      </w:r>
      <w:r w:rsidR="00745E86" w:rsidRPr="001A0372">
        <w:rPr>
          <w:lang w:val="lt-LT" w:eastAsia="lt-LT"/>
        </w:rPr>
        <w:t xml:space="preserve">kriterijai, klausimynai, </w:t>
      </w:r>
      <w:r w:rsidR="007E215F" w:rsidRPr="001A0372">
        <w:rPr>
          <w:lang w:val="lt-LT" w:eastAsia="lt-LT"/>
        </w:rPr>
        <w:t xml:space="preserve">juos </w:t>
      </w:r>
      <w:r w:rsidR="007E215F" w:rsidRPr="001A0372">
        <w:rPr>
          <w:rFonts w:eastAsiaTheme="minorHAnsi"/>
          <w:lang w:val="lt-LT"/>
        </w:rPr>
        <w:t xml:space="preserve">aiškiau susiejant su TPĮ nustatytu </w:t>
      </w:r>
      <w:r w:rsidR="007E215F" w:rsidRPr="001A0372">
        <w:rPr>
          <w:rFonts w:eastAsiaTheme="minorHAnsi"/>
          <w:i/>
          <w:lang w:val="lt-LT"/>
        </w:rPr>
        <w:t>ex post</w:t>
      </w:r>
      <w:r w:rsidR="007E215F" w:rsidRPr="001A0372">
        <w:rPr>
          <w:rFonts w:eastAsiaTheme="minorHAnsi"/>
          <w:lang w:val="lt-LT"/>
        </w:rPr>
        <w:t xml:space="preserve"> vertinimo objekto turiniu,</w:t>
      </w:r>
      <w:r w:rsidR="007E215F" w:rsidRPr="001A0372">
        <w:rPr>
          <w:lang w:val="lt-LT" w:eastAsia="lt-LT"/>
        </w:rPr>
        <w:t xml:space="preserve"> </w:t>
      </w:r>
      <w:r w:rsidR="00745E86" w:rsidRPr="001A0372">
        <w:rPr>
          <w:lang w:val="lt-LT" w:eastAsia="lt-LT"/>
        </w:rPr>
        <w:t xml:space="preserve">pagal STRATA darbo tvarka pateiktus pasiūlymus patobulintos nuostatos dėl </w:t>
      </w:r>
      <w:r w:rsidR="00BF508E" w:rsidRPr="001A0372">
        <w:rPr>
          <w:lang w:val="lt-LT" w:eastAsia="lt-LT"/>
        </w:rPr>
        <w:t xml:space="preserve">duomenų surinkimo metodų ir duomenų vertinimo, </w:t>
      </w:r>
      <w:r w:rsidRPr="001A0372">
        <w:rPr>
          <w:rFonts w:eastAsiaTheme="minorHAnsi"/>
          <w:lang w:val="lt-LT"/>
        </w:rPr>
        <w:t>nustatyta, kad</w:t>
      </w:r>
      <w:r w:rsidR="00BF508E" w:rsidRPr="001A0372">
        <w:rPr>
          <w:lang w:val="lt-LT"/>
        </w:rPr>
        <w:t xml:space="preserve"> </w:t>
      </w:r>
      <w:r w:rsidR="00BF508E" w:rsidRPr="001A0372">
        <w:rPr>
          <w:i/>
          <w:iCs/>
          <w:lang w:val="lt-LT"/>
        </w:rPr>
        <w:t xml:space="preserve">ex post </w:t>
      </w:r>
      <w:r w:rsidR="00BF508E" w:rsidRPr="001A0372">
        <w:rPr>
          <w:lang w:val="lt-LT"/>
        </w:rPr>
        <w:t>vertinimo ataskaitos projektas taip pat teikiamas visuomenės vertinimui</w:t>
      </w:r>
      <w:r w:rsidRPr="001A0372">
        <w:rPr>
          <w:lang w:val="lt-LT"/>
        </w:rPr>
        <w:t xml:space="preserve"> per TAIS</w:t>
      </w:r>
      <w:r w:rsidR="00BF508E" w:rsidRPr="001A0372">
        <w:rPr>
          <w:lang w:val="lt-LT"/>
        </w:rPr>
        <w:t xml:space="preserve">, tokiu būdu dar labiau didinant visuomenės įsitraukimo į </w:t>
      </w:r>
      <w:r w:rsidR="00BF508E" w:rsidRPr="001A0372">
        <w:rPr>
          <w:i/>
          <w:lang w:val="lt-LT" w:eastAsia="lt-LT"/>
        </w:rPr>
        <w:t>ex post</w:t>
      </w:r>
      <w:r w:rsidR="00BF508E" w:rsidRPr="001A0372">
        <w:rPr>
          <w:lang w:val="lt-LT" w:eastAsia="lt-LT"/>
        </w:rPr>
        <w:t xml:space="preserve"> vertinimą galimybes. </w:t>
      </w:r>
      <w:r w:rsidRPr="001A0372">
        <w:rPr>
          <w:lang w:val="lt-LT" w:eastAsia="lt-LT"/>
        </w:rPr>
        <w:t xml:space="preserve">Pažymime, kad </w:t>
      </w:r>
      <w:r w:rsidR="00BF508E" w:rsidRPr="001A0372">
        <w:rPr>
          <w:lang w:val="lt-LT"/>
        </w:rPr>
        <w:t>TAIS</w:t>
      </w:r>
      <w:r w:rsidR="00BF508E" w:rsidRPr="001A0372" w:rsidDel="009829B2">
        <w:rPr>
          <w:lang w:val="lt-LT" w:eastAsia="lt-LT"/>
        </w:rPr>
        <w:t xml:space="preserve"> </w:t>
      </w:r>
      <w:r w:rsidR="00BF508E" w:rsidRPr="001A0372">
        <w:rPr>
          <w:lang w:val="lt-LT" w:eastAsia="lt-LT"/>
        </w:rPr>
        <w:t xml:space="preserve">skelbtini </w:t>
      </w:r>
      <w:r w:rsidR="00BF508E" w:rsidRPr="001A0372">
        <w:rPr>
          <w:i/>
          <w:lang w:val="lt-LT" w:eastAsia="lt-LT"/>
        </w:rPr>
        <w:t>ex post</w:t>
      </w:r>
      <w:r w:rsidR="00BF508E" w:rsidRPr="001A0372">
        <w:rPr>
          <w:lang w:val="lt-LT" w:eastAsia="lt-LT"/>
        </w:rPr>
        <w:t xml:space="preserve"> vertinimo plano projektas, </w:t>
      </w:r>
      <w:r w:rsidR="00BF508E" w:rsidRPr="001A0372">
        <w:rPr>
          <w:i/>
          <w:iCs/>
          <w:lang w:val="lt-LT"/>
        </w:rPr>
        <w:t xml:space="preserve">ex post </w:t>
      </w:r>
      <w:r w:rsidR="00BF508E" w:rsidRPr="001A0372">
        <w:rPr>
          <w:lang w:val="lt-LT"/>
        </w:rPr>
        <w:t>vertinimo ataskaitos projektas nėra lai</w:t>
      </w:r>
      <w:r w:rsidR="007E215F" w:rsidRPr="001A0372">
        <w:rPr>
          <w:lang w:val="lt-LT"/>
        </w:rPr>
        <w:t>kytini teisės aktų projektais, tačiau tai svarbi</w:t>
      </w:r>
      <w:r w:rsidR="00BF508E" w:rsidRPr="001A0372">
        <w:rPr>
          <w:lang w:val="lt-LT"/>
        </w:rPr>
        <w:t xml:space="preserve"> informacija</w:t>
      </w:r>
      <w:r w:rsidR="007E215F" w:rsidRPr="001A0372">
        <w:rPr>
          <w:lang w:val="lt-LT"/>
        </w:rPr>
        <w:t>, nurodanti</w:t>
      </w:r>
      <w:r w:rsidR="00BF508E" w:rsidRPr="001A0372">
        <w:rPr>
          <w:lang w:val="lt-LT"/>
        </w:rPr>
        <w:t xml:space="preserve"> numatomo atlikti </w:t>
      </w:r>
      <w:r w:rsidR="00BF508E" w:rsidRPr="001A0372">
        <w:rPr>
          <w:i/>
          <w:lang w:val="lt-LT"/>
        </w:rPr>
        <w:t>ex post</w:t>
      </w:r>
      <w:r w:rsidR="00BF508E" w:rsidRPr="001A0372">
        <w:rPr>
          <w:lang w:val="lt-LT"/>
        </w:rPr>
        <w:t xml:space="preserve"> vertinimo gaires ir atlikto </w:t>
      </w:r>
      <w:r w:rsidR="00BF508E" w:rsidRPr="001A0372">
        <w:rPr>
          <w:i/>
          <w:lang w:val="lt-LT"/>
        </w:rPr>
        <w:t>ex post</w:t>
      </w:r>
      <w:r w:rsidR="00BF508E" w:rsidRPr="001A0372">
        <w:rPr>
          <w:lang w:val="lt-LT"/>
        </w:rPr>
        <w:t xml:space="preserve"> vertinimo rezultatus, todėl šios informacijos viešinimui TAIS, derinimui su visuomene ir visos kitos su </w:t>
      </w:r>
      <w:r w:rsidR="00BF508E" w:rsidRPr="001A0372">
        <w:rPr>
          <w:i/>
          <w:iCs/>
          <w:lang w:val="lt-LT"/>
        </w:rPr>
        <w:t xml:space="preserve">ex post </w:t>
      </w:r>
      <w:r w:rsidR="00BF508E" w:rsidRPr="001A0372">
        <w:rPr>
          <w:lang w:val="lt-LT"/>
        </w:rPr>
        <w:t>vertinimu susijusios informacijos susiejimui, kad ją būtų galima rasti vienoje vietoje TAIS</w:t>
      </w:r>
      <w:r w:rsidR="007E215F" w:rsidRPr="001A0372">
        <w:rPr>
          <w:lang w:val="lt-LT"/>
        </w:rPr>
        <w:t>,</w:t>
      </w:r>
      <w:r w:rsidR="00BF508E" w:rsidRPr="001A0372">
        <w:rPr>
          <w:lang w:val="lt-LT"/>
        </w:rPr>
        <w:t xml:space="preserve"> turi būti skiriamas deramas dėmesys</w:t>
      </w:r>
      <w:r w:rsidR="007E215F" w:rsidRPr="001A0372">
        <w:rPr>
          <w:lang w:val="lt-LT"/>
        </w:rPr>
        <w:t>.</w:t>
      </w:r>
    </w:p>
    <w:p w:rsidR="007E215F" w:rsidRPr="001A0372" w:rsidRDefault="007E215F" w:rsidP="001A0372">
      <w:pPr>
        <w:tabs>
          <w:tab w:val="left" w:pos="2410"/>
        </w:tabs>
        <w:spacing w:line="300" w:lineRule="atLeast"/>
        <w:ind w:firstLine="851"/>
        <w:jc w:val="both"/>
        <w:rPr>
          <w:lang w:val="lt-LT" w:eastAsia="lt-LT"/>
        </w:rPr>
      </w:pPr>
      <w:r w:rsidRPr="001A0372">
        <w:rPr>
          <w:lang w:val="lt-LT"/>
        </w:rPr>
        <w:t xml:space="preserve">STRATA ir Kultūros ministerija taip pat pateikė konceptualių pastabų dėl to, kad </w:t>
      </w:r>
      <w:r w:rsidRPr="001A0372">
        <w:rPr>
          <w:i/>
          <w:lang w:val="lt-LT"/>
        </w:rPr>
        <w:t>ex ante</w:t>
      </w:r>
      <w:r w:rsidRPr="001A0372">
        <w:rPr>
          <w:lang w:val="lt-LT"/>
        </w:rPr>
        <w:t xml:space="preserve"> ir </w:t>
      </w:r>
      <w:r w:rsidRPr="001A0372">
        <w:rPr>
          <w:i/>
          <w:lang w:val="lt-LT"/>
        </w:rPr>
        <w:t>ex post</w:t>
      </w:r>
      <w:r w:rsidRPr="001A0372">
        <w:rPr>
          <w:lang w:val="lt-LT"/>
        </w:rPr>
        <w:t xml:space="preserve"> vertinimas bus instituciškai atskirtas ir </w:t>
      </w:r>
      <w:r w:rsidR="004862E3" w:rsidRPr="001A0372">
        <w:rPr>
          <w:lang w:val="lt-LT"/>
        </w:rPr>
        <w:t>abiejų vertinimų teisinis</w:t>
      </w:r>
      <w:r w:rsidRPr="001A0372">
        <w:rPr>
          <w:lang w:val="lt-LT"/>
        </w:rPr>
        <w:t xml:space="preserve"> reguliavim</w:t>
      </w:r>
      <w:r w:rsidR="004862E3" w:rsidRPr="001A0372">
        <w:rPr>
          <w:lang w:val="lt-LT"/>
        </w:rPr>
        <w:t>as nebus įtvirtintas</w:t>
      </w:r>
      <w:r w:rsidRPr="001A0372">
        <w:rPr>
          <w:lang w:val="lt-LT"/>
        </w:rPr>
        <w:t xml:space="preserve"> viename teisės akte. Atkreipiame dėmesį, kad tokia galimybė ilgai buvo svarstoma prieš Vyriausybei priimant sprendimą dėl </w:t>
      </w:r>
      <w:r w:rsidRPr="001A0372">
        <w:rPr>
          <w:i/>
          <w:lang w:val="lt-LT" w:eastAsia="lt-LT"/>
        </w:rPr>
        <w:t>ex post</w:t>
      </w:r>
      <w:r w:rsidRPr="001A0372">
        <w:rPr>
          <w:lang w:val="lt-LT" w:eastAsia="lt-LT"/>
        </w:rPr>
        <w:t xml:space="preserve"> vertinimą koordinuojančios institucijos paskyrimo, o kadangi </w:t>
      </w:r>
      <w:r w:rsidR="004862E3" w:rsidRPr="001A0372">
        <w:rPr>
          <w:lang w:val="lt-LT" w:eastAsia="lt-LT"/>
        </w:rPr>
        <w:t xml:space="preserve">galiausiai </w:t>
      </w:r>
      <w:r w:rsidRPr="001A0372">
        <w:rPr>
          <w:lang w:val="lt-LT" w:eastAsia="lt-LT"/>
        </w:rPr>
        <w:t xml:space="preserve">buvo nuspręsta </w:t>
      </w:r>
      <w:r w:rsidR="004862E3" w:rsidRPr="001A0372">
        <w:rPr>
          <w:i/>
          <w:lang w:val="lt-LT"/>
        </w:rPr>
        <w:t>ex ante</w:t>
      </w:r>
      <w:r w:rsidR="004862E3" w:rsidRPr="001A0372">
        <w:rPr>
          <w:lang w:val="lt-LT"/>
        </w:rPr>
        <w:t xml:space="preserve"> ir </w:t>
      </w:r>
      <w:r w:rsidR="004862E3" w:rsidRPr="001A0372">
        <w:rPr>
          <w:i/>
          <w:lang w:val="lt-LT"/>
        </w:rPr>
        <w:t>ex post</w:t>
      </w:r>
      <w:r w:rsidR="004862E3" w:rsidRPr="001A0372">
        <w:rPr>
          <w:lang w:val="lt-LT"/>
        </w:rPr>
        <w:t xml:space="preserve"> vertinimų koordinavimą pavesti skirtingoms institucijoms, buvo atsisakyta ir teisės aktų jungimo idėjos.</w:t>
      </w:r>
    </w:p>
    <w:p w:rsidR="001122ED" w:rsidRPr="001A0372" w:rsidRDefault="004862E3" w:rsidP="001A0372">
      <w:pPr>
        <w:tabs>
          <w:tab w:val="left" w:pos="2410"/>
        </w:tabs>
        <w:spacing w:line="300" w:lineRule="atLeast"/>
        <w:ind w:firstLine="851"/>
        <w:jc w:val="both"/>
        <w:rPr>
          <w:lang w:val="lt-LT" w:eastAsia="lt-LT"/>
        </w:rPr>
      </w:pPr>
      <w:r w:rsidRPr="001A0372">
        <w:rPr>
          <w:lang w:val="lt-LT" w:eastAsia="lt-LT"/>
        </w:rPr>
        <w:t>Dėl kitų pastabų ir siūlymų, į kuriuos nebuvo atsižvelgta ir dėl kurių nepateikti paaiškinimai aukščiau, p</w:t>
      </w:r>
      <w:r w:rsidR="009829B2" w:rsidRPr="001A0372">
        <w:rPr>
          <w:lang w:val="lt-LT" w:eastAsia="lt-LT"/>
        </w:rPr>
        <w:t>ridedama derinimo pažyma.</w:t>
      </w:r>
    </w:p>
    <w:p w:rsidR="004A4FA3" w:rsidRPr="001A0372" w:rsidRDefault="004A4FA3" w:rsidP="001A0372">
      <w:pPr>
        <w:tabs>
          <w:tab w:val="left" w:pos="2410"/>
        </w:tabs>
        <w:spacing w:line="300" w:lineRule="atLeast"/>
        <w:ind w:firstLine="851"/>
        <w:jc w:val="both"/>
        <w:rPr>
          <w:bCs/>
          <w:lang w:val="lt-LT"/>
        </w:rPr>
      </w:pPr>
      <w:r w:rsidRPr="001A0372">
        <w:rPr>
          <w:bCs/>
          <w:lang w:val="lt-LT"/>
        </w:rPr>
        <w:t xml:space="preserve">Nutarimo projektą parengė Lietuvos Respublikos teisingumo ministerijos Teisės sistemos grupė (vadovė Dalia Baležentė, tel. (8 5) 266 2908, el. p. dalia.balezente@tm.lt, ir patarėja Inga Grigienė, tel. (8 5) 266 2963, el. p. </w:t>
      </w:r>
      <w:r w:rsidR="004862E3" w:rsidRPr="001A0372">
        <w:t>inga.grigiene@tm.lt</w:t>
      </w:r>
      <w:r w:rsidRPr="001A0372">
        <w:rPr>
          <w:lang w:val="lt-LT"/>
        </w:rPr>
        <w:t>)</w:t>
      </w:r>
      <w:r w:rsidRPr="001A0372">
        <w:rPr>
          <w:bCs/>
          <w:lang w:val="lt-LT"/>
        </w:rPr>
        <w:t>.</w:t>
      </w:r>
    </w:p>
    <w:p w:rsidR="004862E3" w:rsidRPr="001A0372" w:rsidRDefault="004862E3" w:rsidP="001A0372">
      <w:pPr>
        <w:tabs>
          <w:tab w:val="left" w:pos="2410"/>
        </w:tabs>
        <w:spacing w:line="300" w:lineRule="atLeast"/>
        <w:ind w:firstLine="851"/>
        <w:jc w:val="both"/>
        <w:rPr>
          <w:bCs/>
          <w:lang w:val="lt-LT"/>
        </w:rPr>
      </w:pPr>
    </w:p>
    <w:p w:rsidR="00F67655" w:rsidRPr="001A0372" w:rsidRDefault="004A4FA3" w:rsidP="001A0372">
      <w:pPr>
        <w:tabs>
          <w:tab w:val="left" w:pos="2410"/>
        </w:tabs>
        <w:spacing w:line="300" w:lineRule="atLeast"/>
        <w:ind w:firstLine="851"/>
        <w:jc w:val="both"/>
        <w:rPr>
          <w:lang w:val="lt-LT"/>
        </w:rPr>
      </w:pPr>
      <w:r w:rsidRPr="001A0372">
        <w:rPr>
          <w:lang w:val="lt-LT"/>
        </w:rPr>
        <w:t>PRIDEDAMA</w:t>
      </w:r>
      <w:r w:rsidR="00F67655" w:rsidRPr="001A0372">
        <w:rPr>
          <w:lang w:val="lt-LT"/>
        </w:rPr>
        <w:t>:</w:t>
      </w:r>
    </w:p>
    <w:p w:rsidR="004A4FA3" w:rsidRPr="00FE067D" w:rsidRDefault="004A4FA3" w:rsidP="001A0372">
      <w:pPr>
        <w:pStyle w:val="Sraopastraipa"/>
        <w:numPr>
          <w:ilvl w:val="0"/>
          <w:numId w:val="4"/>
        </w:numPr>
        <w:tabs>
          <w:tab w:val="left" w:pos="2410"/>
        </w:tabs>
        <w:spacing w:line="300" w:lineRule="atLeast"/>
        <w:ind w:left="1134" w:hanging="283"/>
        <w:jc w:val="both"/>
        <w:rPr>
          <w:lang w:val="lt-LT"/>
        </w:rPr>
      </w:pPr>
      <w:r w:rsidRPr="00FE067D">
        <w:rPr>
          <w:lang w:val="lt-LT"/>
        </w:rPr>
        <w:t>Nutarimo</w:t>
      </w:r>
      <w:r w:rsidRPr="00FE067D">
        <w:rPr>
          <w:lang w:val="lt-LT" w:eastAsia="lt-LT"/>
        </w:rPr>
        <w:t xml:space="preserve"> </w:t>
      </w:r>
      <w:r w:rsidR="00CB5BF7" w:rsidRPr="00FE067D">
        <w:rPr>
          <w:lang w:val="lt-LT"/>
        </w:rPr>
        <w:t>projektas, 2</w:t>
      </w:r>
      <w:r w:rsidR="004862E3" w:rsidRPr="00FE067D">
        <w:rPr>
          <w:lang w:val="lt-LT"/>
        </w:rPr>
        <w:t>0</w:t>
      </w:r>
      <w:r w:rsidR="00CB5BF7" w:rsidRPr="00FE067D">
        <w:rPr>
          <w:lang w:val="lt-LT"/>
        </w:rPr>
        <w:t xml:space="preserve"> lap</w:t>
      </w:r>
      <w:r w:rsidR="004862E3" w:rsidRPr="00FE067D">
        <w:rPr>
          <w:lang w:val="lt-LT"/>
        </w:rPr>
        <w:t>ų</w:t>
      </w:r>
      <w:r w:rsidRPr="00FE067D">
        <w:rPr>
          <w:lang w:val="lt-LT"/>
        </w:rPr>
        <w:t xml:space="preserve">. </w:t>
      </w:r>
    </w:p>
    <w:p w:rsidR="004862E3" w:rsidRPr="00FE067D" w:rsidRDefault="004862E3" w:rsidP="001A0372">
      <w:pPr>
        <w:pStyle w:val="Sraopastraipa"/>
        <w:numPr>
          <w:ilvl w:val="0"/>
          <w:numId w:val="4"/>
        </w:numPr>
        <w:tabs>
          <w:tab w:val="left" w:pos="2410"/>
        </w:tabs>
        <w:spacing w:line="300" w:lineRule="atLeast"/>
        <w:ind w:left="1134" w:hanging="283"/>
        <w:jc w:val="both"/>
        <w:rPr>
          <w:lang w:val="lt-LT"/>
        </w:rPr>
      </w:pPr>
      <w:r w:rsidRPr="00FE067D">
        <w:rPr>
          <w:lang w:val="lt-LT"/>
        </w:rPr>
        <w:t xml:space="preserve">Suinteresuotų institucijų išvados, </w:t>
      </w:r>
      <w:r w:rsidR="009548DB">
        <w:rPr>
          <w:lang w:val="lt-LT"/>
        </w:rPr>
        <w:t>40 lapų</w:t>
      </w:r>
      <w:r w:rsidRPr="00FE067D">
        <w:rPr>
          <w:lang w:val="lt-LT"/>
        </w:rPr>
        <w:t>.</w:t>
      </w:r>
    </w:p>
    <w:p w:rsidR="00F67655" w:rsidRPr="00FE067D" w:rsidRDefault="00F67655" w:rsidP="001A0372">
      <w:pPr>
        <w:pStyle w:val="Sraopastraipa"/>
        <w:numPr>
          <w:ilvl w:val="0"/>
          <w:numId w:val="4"/>
        </w:numPr>
        <w:tabs>
          <w:tab w:val="left" w:pos="2410"/>
        </w:tabs>
        <w:spacing w:line="300" w:lineRule="atLeast"/>
        <w:ind w:left="1134" w:hanging="283"/>
        <w:jc w:val="both"/>
        <w:rPr>
          <w:lang w:val="lt-LT"/>
        </w:rPr>
      </w:pPr>
      <w:r w:rsidRPr="00FE067D">
        <w:rPr>
          <w:lang w:val="lt-LT"/>
        </w:rPr>
        <w:t>D</w:t>
      </w:r>
      <w:r w:rsidR="00D83271" w:rsidRPr="00FE067D">
        <w:rPr>
          <w:lang w:val="lt-LT"/>
        </w:rPr>
        <w:t>erinimo pažyma</w:t>
      </w:r>
      <w:r w:rsidR="002D419A" w:rsidRPr="00FE067D">
        <w:rPr>
          <w:lang w:val="lt-LT"/>
        </w:rPr>
        <w:t xml:space="preserve">, </w:t>
      </w:r>
      <w:r w:rsidR="00FE067D" w:rsidRPr="00FE067D">
        <w:rPr>
          <w:lang w:val="lt-LT"/>
        </w:rPr>
        <w:t>4</w:t>
      </w:r>
      <w:r w:rsidRPr="00FE067D">
        <w:rPr>
          <w:lang w:val="lt-LT"/>
        </w:rPr>
        <w:t xml:space="preserve"> lapai.</w:t>
      </w:r>
    </w:p>
    <w:p w:rsidR="004A4FA3" w:rsidRPr="001A0372" w:rsidRDefault="004A4FA3" w:rsidP="001A0372">
      <w:pPr>
        <w:spacing w:line="300" w:lineRule="atLeast"/>
        <w:jc w:val="both"/>
        <w:rPr>
          <w:lang w:val="lt-LT"/>
        </w:rPr>
      </w:pPr>
    </w:p>
    <w:p w:rsidR="00D32A70" w:rsidRPr="001A0372" w:rsidRDefault="00D32A70" w:rsidP="001A0372">
      <w:pPr>
        <w:spacing w:line="300" w:lineRule="atLeast"/>
        <w:jc w:val="both"/>
        <w:rPr>
          <w:lang w:val="lt-LT"/>
        </w:rPr>
      </w:pPr>
    </w:p>
    <w:p w:rsidR="00D32A70" w:rsidRPr="001A0372" w:rsidRDefault="00D32A70" w:rsidP="001A0372">
      <w:pPr>
        <w:spacing w:line="300" w:lineRule="atLeast"/>
        <w:jc w:val="both"/>
        <w:rPr>
          <w:lang w:val="lt-LT"/>
        </w:rPr>
      </w:pPr>
    </w:p>
    <w:p w:rsidR="00D32A70" w:rsidRPr="001A0372" w:rsidRDefault="00D32A70" w:rsidP="001A0372">
      <w:pPr>
        <w:spacing w:line="300" w:lineRule="atLeast"/>
        <w:jc w:val="both"/>
        <w:rPr>
          <w:lang w:val="lt-LT"/>
        </w:rPr>
      </w:pPr>
    </w:p>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4A4FA3" w:rsidRPr="001A0372" w:rsidTr="008B1912">
        <w:tc>
          <w:tcPr>
            <w:tcW w:w="4821" w:type="dxa"/>
          </w:tcPr>
          <w:p w:rsidR="004A4FA3" w:rsidRPr="001A0372" w:rsidRDefault="004A4FA3" w:rsidP="001A0372">
            <w:pPr>
              <w:spacing w:line="300" w:lineRule="atLeast"/>
              <w:rPr>
                <w:lang w:val="lt-LT"/>
              </w:rPr>
            </w:pPr>
            <w:r w:rsidRPr="001A0372">
              <w:rPr>
                <w:lang w:val="lt-LT"/>
              </w:rPr>
              <w:t>Teisingumo ministras</w:t>
            </w:r>
          </w:p>
        </w:tc>
        <w:tc>
          <w:tcPr>
            <w:tcW w:w="4817" w:type="dxa"/>
          </w:tcPr>
          <w:p w:rsidR="004A4FA3" w:rsidRPr="001A0372" w:rsidRDefault="004A4FA3" w:rsidP="001A0372">
            <w:pPr>
              <w:spacing w:line="300" w:lineRule="atLeast"/>
              <w:ind w:firstLine="1298"/>
              <w:jc w:val="right"/>
              <w:rPr>
                <w:lang w:val="lt-LT"/>
              </w:rPr>
            </w:pPr>
            <w:r w:rsidRPr="001A0372">
              <w:rPr>
                <w:lang w:val="lt-LT"/>
              </w:rPr>
              <w:t>Elvinas Jankevičius</w:t>
            </w:r>
          </w:p>
        </w:tc>
      </w:tr>
    </w:tbl>
    <w:p w:rsidR="004A4FA3" w:rsidRPr="001A0372" w:rsidRDefault="004A4FA3" w:rsidP="001A0372">
      <w:pPr>
        <w:tabs>
          <w:tab w:val="decimal" w:pos="9638"/>
        </w:tabs>
        <w:suppressAutoHyphens/>
        <w:spacing w:line="300" w:lineRule="atLeast"/>
        <w:rPr>
          <w:color w:val="000000" w:themeColor="text1"/>
          <w:lang w:val="lt-LT" w:eastAsia="ar-SA"/>
        </w:rPr>
      </w:pPr>
    </w:p>
    <w:p w:rsidR="004A4FA3" w:rsidRPr="001A0372" w:rsidRDefault="004A4FA3" w:rsidP="004A4FA3">
      <w:pPr>
        <w:tabs>
          <w:tab w:val="decimal" w:pos="9638"/>
        </w:tabs>
        <w:suppressAutoHyphens/>
        <w:rPr>
          <w:color w:val="000000" w:themeColor="text1"/>
          <w:lang w:val="lt-LT" w:eastAsia="ar-SA"/>
        </w:rPr>
      </w:pPr>
    </w:p>
    <w:p w:rsidR="004A4FA3" w:rsidRPr="001A0372" w:rsidRDefault="004A4FA3" w:rsidP="004A4FA3">
      <w:pPr>
        <w:tabs>
          <w:tab w:val="decimal" w:pos="9638"/>
        </w:tabs>
        <w:suppressAutoHyphens/>
        <w:rPr>
          <w:color w:val="000000" w:themeColor="text1"/>
          <w:lang w:val="lt-LT" w:eastAsia="ar-SA"/>
        </w:rPr>
      </w:pPr>
    </w:p>
    <w:p w:rsidR="00D83271" w:rsidRPr="001A0372" w:rsidRDefault="00D83271" w:rsidP="004A4FA3">
      <w:pPr>
        <w:tabs>
          <w:tab w:val="decimal" w:pos="9638"/>
        </w:tabs>
        <w:suppressAutoHyphens/>
        <w:rPr>
          <w:color w:val="000000" w:themeColor="text1"/>
          <w:lang w:val="lt-LT" w:eastAsia="ar-SA"/>
        </w:rPr>
      </w:pPr>
    </w:p>
    <w:p w:rsidR="00D83271" w:rsidRPr="001A0372" w:rsidRDefault="00D83271" w:rsidP="004A4FA3">
      <w:pPr>
        <w:tabs>
          <w:tab w:val="decimal" w:pos="9638"/>
        </w:tabs>
        <w:suppressAutoHyphens/>
        <w:rPr>
          <w:color w:val="000000" w:themeColor="text1"/>
          <w:lang w:val="lt-LT" w:eastAsia="ar-SA"/>
        </w:rPr>
      </w:pPr>
    </w:p>
    <w:p w:rsidR="00D83271" w:rsidRPr="001A0372" w:rsidRDefault="00D83271" w:rsidP="004A4FA3">
      <w:pPr>
        <w:tabs>
          <w:tab w:val="decimal" w:pos="9638"/>
        </w:tabs>
        <w:suppressAutoHyphens/>
        <w:rPr>
          <w:color w:val="000000" w:themeColor="text1"/>
          <w:lang w:val="lt-LT" w:eastAsia="ar-SA"/>
        </w:rPr>
      </w:pPr>
    </w:p>
    <w:p w:rsidR="00D83271" w:rsidRPr="001A0372" w:rsidRDefault="00D83271" w:rsidP="004A4FA3">
      <w:pPr>
        <w:tabs>
          <w:tab w:val="decimal" w:pos="9638"/>
        </w:tabs>
        <w:suppressAutoHyphens/>
        <w:rPr>
          <w:color w:val="000000" w:themeColor="text1"/>
          <w:lang w:val="lt-LT" w:eastAsia="ar-SA"/>
        </w:rPr>
      </w:pPr>
    </w:p>
    <w:p w:rsidR="00D83271" w:rsidRPr="001A0372" w:rsidRDefault="00D83271" w:rsidP="004A4FA3">
      <w:pPr>
        <w:tabs>
          <w:tab w:val="decimal" w:pos="9638"/>
        </w:tabs>
        <w:suppressAutoHyphens/>
        <w:rPr>
          <w:color w:val="000000" w:themeColor="text1"/>
          <w:lang w:val="lt-LT" w:eastAsia="ar-SA"/>
        </w:rPr>
      </w:pPr>
    </w:p>
    <w:p w:rsidR="00FB79EB" w:rsidRPr="001A0372" w:rsidRDefault="00FB79EB" w:rsidP="004A4FA3">
      <w:pPr>
        <w:tabs>
          <w:tab w:val="decimal" w:pos="9638"/>
        </w:tabs>
        <w:suppressAutoHyphens/>
        <w:rPr>
          <w:color w:val="000000" w:themeColor="text1"/>
          <w:lang w:val="lt-LT" w:eastAsia="ar-SA"/>
        </w:rPr>
      </w:pPr>
    </w:p>
    <w:p w:rsidR="00FB79EB" w:rsidRPr="001A0372" w:rsidRDefault="00FB79EB" w:rsidP="004A4FA3">
      <w:pPr>
        <w:tabs>
          <w:tab w:val="decimal" w:pos="9638"/>
        </w:tabs>
        <w:suppressAutoHyphens/>
        <w:rPr>
          <w:color w:val="000000" w:themeColor="text1"/>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FB79EB" w:rsidRDefault="00FB79EB" w:rsidP="004A4FA3">
      <w:pPr>
        <w:tabs>
          <w:tab w:val="decimal" w:pos="9638"/>
        </w:tabs>
        <w:suppressAutoHyphens/>
        <w:rPr>
          <w:color w:val="000000" w:themeColor="text1"/>
          <w:sz w:val="20"/>
          <w:szCs w:val="20"/>
          <w:lang w:val="lt-LT" w:eastAsia="ar-SA"/>
        </w:rPr>
      </w:pPr>
    </w:p>
    <w:p w:rsidR="002A6D4F" w:rsidRPr="00D32A70" w:rsidRDefault="004A4FA3" w:rsidP="00D32A70">
      <w:pPr>
        <w:tabs>
          <w:tab w:val="decimal" w:pos="9638"/>
        </w:tabs>
        <w:suppressAutoHyphens/>
        <w:rPr>
          <w:lang w:val="lt-LT"/>
        </w:rPr>
      </w:pPr>
      <w:r w:rsidRPr="00EC142B">
        <w:rPr>
          <w:color w:val="000000" w:themeColor="text1"/>
          <w:sz w:val="20"/>
          <w:szCs w:val="20"/>
          <w:lang w:val="lt-LT" w:eastAsia="ar-SA"/>
        </w:rPr>
        <w:t xml:space="preserve">Inga Grigienė, (8 5) </w:t>
      </w:r>
      <w:r w:rsidRPr="00EC142B">
        <w:rPr>
          <w:color w:val="333333"/>
          <w:sz w:val="20"/>
          <w:szCs w:val="20"/>
          <w:lang w:val="lt-LT" w:eastAsia="ar-SA"/>
        </w:rPr>
        <w:t>2662963</w:t>
      </w:r>
      <w:r w:rsidRPr="00EC142B">
        <w:rPr>
          <w:color w:val="000000" w:themeColor="text1"/>
          <w:sz w:val="20"/>
          <w:szCs w:val="20"/>
          <w:lang w:val="lt-LT" w:eastAsia="ar-SA"/>
        </w:rPr>
        <w:t>, el. p.</w:t>
      </w:r>
      <w:r w:rsidRPr="00EC142B">
        <w:rPr>
          <w:sz w:val="20"/>
          <w:szCs w:val="20"/>
          <w:lang w:val="lt-LT" w:eastAsia="ar-SA"/>
        </w:rPr>
        <w:t xml:space="preserve"> </w:t>
      </w:r>
      <w:hyperlink r:id="rId7" w:history="1">
        <w:r w:rsidRPr="00EC142B">
          <w:rPr>
            <w:sz w:val="20"/>
            <w:szCs w:val="20"/>
            <w:lang w:val="lt-LT" w:eastAsia="ar-SA"/>
          </w:rPr>
          <w:t>i.grigiene@tm.lt</w:t>
        </w:r>
      </w:hyperlink>
    </w:p>
    <w:sectPr w:rsidR="002A6D4F" w:rsidRPr="00D32A70" w:rsidSect="0050478F">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981" w:rsidRDefault="001D3981">
      <w:r>
        <w:separator/>
      </w:r>
    </w:p>
  </w:endnote>
  <w:endnote w:type="continuationSeparator" w:id="0">
    <w:p w:rsidR="001D3981" w:rsidRDefault="001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981" w:rsidRDefault="001D3981">
      <w:r>
        <w:separator/>
      </w:r>
    </w:p>
  </w:footnote>
  <w:footnote w:type="continuationSeparator" w:id="0">
    <w:p w:rsidR="001D3981" w:rsidRDefault="001D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69732"/>
      <w:docPartObj>
        <w:docPartGallery w:val="Page Numbers (Top of Page)"/>
        <w:docPartUnique/>
      </w:docPartObj>
    </w:sdtPr>
    <w:sdtEndPr/>
    <w:sdtContent>
      <w:p w:rsidR="00FE1965" w:rsidRDefault="00497FFD">
        <w:pPr>
          <w:pStyle w:val="Antrats"/>
          <w:jc w:val="center"/>
        </w:pPr>
        <w:r>
          <w:fldChar w:fldCharType="begin"/>
        </w:r>
        <w:r>
          <w:instrText xml:space="preserve"> PAGE   \* MERGEFORMAT </w:instrText>
        </w:r>
        <w:r>
          <w:fldChar w:fldCharType="separate"/>
        </w:r>
        <w:r w:rsidR="00EC3337">
          <w:rPr>
            <w:noProof/>
          </w:rPr>
          <w:t>4</w:t>
        </w:r>
        <w:r>
          <w:rPr>
            <w:noProof/>
          </w:rPr>
          <w:fldChar w:fldCharType="end"/>
        </w:r>
      </w:p>
    </w:sdtContent>
  </w:sdt>
  <w:p w:rsidR="00FE1965" w:rsidRDefault="001D3981" w:rsidP="009C658C">
    <w:pPr>
      <w:pStyle w:val="Antrats"/>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2FB" w:rsidRPr="006A0169" w:rsidRDefault="00497FFD" w:rsidP="00E972FB">
    <w:pPr>
      <w:tabs>
        <w:tab w:val="right" w:pos="8306"/>
      </w:tabs>
      <w:jc w:val="center"/>
      <w:rPr>
        <w:sz w:val="20"/>
      </w:rPr>
    </w:pPr>
    <w:r>
      <w:rPr>
        <w:noProof/>
        <w:lang w:val="lt-LT" w:eastAsia="lt-LT"/>
      </w:rPr>
      <w:drawing>
        <wp:inline distT="0" distB="0" distL="0" distR="0" wp14:anchorId="083168DD" wp14:editId="6A909FE7">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E972FB" w:rsidRPr="006A0169" w:rsidRDefault="001D3981" w:rsidP="00E972FB">
    <w:pPr>
      <w:tabs>
        <w:tab w:val="right" w:pos="8306"/>
      </w:tabs>
      <w:jc w:val="center"/>
      <w:rPr>
        <w:sz w:val="16"/>
      </w:rPr>
    </w:pPr>
  </w:p>
  <w:p w:rsidR="00E972FB" w:rsidRPr="006A0169" w:rsidRDefault="00497FFD" w:rsidP="00E972FB">
    <w:pPr>
      <w:jc w:val="center"/>
      <w:rPr>
        <w:b/>
        <w:bCs/>
        <w:sz w:val="26"/>
      </w:rPr>
    </w:pPr>
    <w:r w:rsidRPr="006A0169">
      <w:rPr>
        <w:b/>
        <w:bCs/>
        <w:sz w:val="26"/>
      </w:rPr>
      <w:t>LIETUVOS RESPUBLIKOS TEISINGUMO MINISTERIJA</w:t>
    </w:r>
  </w:p>
  <w:p w:rsidR="00E972FB" w:rsidRPr="006A0169" w:rsidRDefault="001D3981" w:rsidP="00E972FB">
    <w:pPr>
      <w:jc w:val="center"/>
      <w:rPr>
        <w:b/>
        <w:bCs/>
        <w:sz w:val="26"/>
      </w:rPr>
    </w:pPr>
  </w:p>
  <w:p w:rsidR="00E972FB" w:rsidRPr="006A0169" w:rsidRDefault="00497FFD" w:rsidP="00E972FB">
    <w:pPr>
      <w:pBdr>
        <w:bottom w:val="single" w:sz="4" w:space="1" w:color="auto"/>
      </w:pBdr>
      <w:jc w:val="center"/>
      <w:rPr>
        <w:sz w:val="20"/>
      </w:rPr>
    </w:pPr>
    <w:r>
      <w:rPr>
        <w:sz w:val="20"/>
      </w:rPr>
      <w:t>B</w:t>
    </w:r>
    <w:r w:rsidRPr="006A0169">
      <w:rPr>
        <w:sz w:val="20"/>
      </w:rPr>
      <w:t xml:space="preserve">iudžetinė įstaiga, Gedimino pr. 30, LT-01104 Vilnius, </w:t>
    </w:r>
  </w:p>
  <w:p w:rsidR="00E972FB" w:rsidRPr="006A0169" w:rsidRDefault="00497FFD" w:rsidP="00E972FB">
    <w:pPr>
      <w:pBdr>
        <w:bottom w:val="single" w:sz="4" w:space="1" w:color="auto"/>
      </w:pBdr>
      <w:jc w:val="center"/>
      <w:rPr>
        <w:sz w:val="20"/>
      </w:rPr>
    </w:pPr>
    <w:r w:rsidRPr="006A0169">
      <w:rPr>
        <w:sz w:val="20"/>
      </w:rPr>
      <w:t>tel. (8 5) 266 29</w:t>
    </w:r>
    <w:r>
      <w:rPr>
        <w:sz w:val="20"/>
      </w:rPr>
      <w:t>84</w:t>
    </w:r>
    <w:r w:rsidRPr="006A0169">
      <w:rPr>
        <w:sz w:val="20"/>
      </w:rPr>
      <w:t xml:space="preserve">, faks. (8 5) 262 5940, el. p. </w:t>
    </w:r>
    <w:r>
      <w:rPr>
        <w:sz w:val="20"/>
      </w:rPr>
      <w:t>rastine</w:t>
    </w:r>
    <w:r w:rsidRPr="006A0169">
      <w:rPr>
        <w:sz w:val="20"/>
      </w:rPr>
      <w:t>@tm.lt,</w:t>
    </w:r>
  </w:p>
  <w:p w:rsidR="00E972FB" w:rsidRPr="00D26500" w:rsidRDefault="00497FFD" w:rsidP="00E972FB">
    <w:pPr>
      <w:pBdr>
        <w:bottom w:val="single" w:sz="4" w:space="1" w:color="auto"/>
      </w:pBdr>
      <w:jc w:val="center"/>
      <w:rPr>
        <w:sz w:val="20"/>
        <w:szCs w:val="20"/>
      </w:rPr>
    </w:pPr>
    <w:r w:rsidRPr="00D26500">
      <w:rPr>
        <w:sz w:val="20"/>
        <w:szCs w:val="20"/>
      </w:rPr>
      <w:t>atsisk. sąskaita LT57 4010 0510 0467 0211 Luminor Bank AS, banko kodas 40100</w:t>
    </w:r>
  </w:p>
  <w:p w:rsidR="00E972FB" w:rsidRPr="006A0169" w:rsidRDefault="00497FFD" w:rsidP="00E972FB">
    <w:pPr>
      <w:pBdr>
        <w:bottom w:val="single" w:sz="4" w:space="1" w:color="auto"/>
      </w:pBdr>
      <w:jc w:val="center"/>
      <w:rPr>
        <w:sz w:val="20"/>
      </w:rPr>
    </w:pPr>
    <w:r w:rsidRPr="006A0169">
      <w:rPr>
        <w:sz w:val="20"/>
      </w:rPr>
      <w:t>Duomenys kaupiami ir saugomi Juridinių asmenų registre, kodas 188604955</w:t>
    </w:r>
  </w:p>
  <w:p w:rsidR="00E972FB" w:rsidRPr="006A0169" w:rsidRDefault="001D3981" w:rsidP="00E972FB">
    <w:pPr>
      <w:pStyle w:val="Antrats"/>
      <w:rPr>
        <w:szCs w:val="14"/>
      </w:rPr>
    </w:pPr>
  </w:p>
  <w:p w:rsidR="00FE1965" w:rsidRPr="00E972FB" w:rsidRDefault="001D3981" w:rsidP="00E972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816"/>
    <w:multiLevelType w:val="hybridMultilevel"/>
    <w:tmpl w:val="FECED5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B92F5D"/>
    <w:multiLevelType w:val="hybridMultilevel"/>
    <w:tmpl w:val="E33036A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F04F02"/>
    <w:multiLevelType w:val="hybridMultilevel"/>
    <w:tmpl w:val="2B8E61A6"/>
    <w:lvl w:ilvl="0" w:tplc="697C152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6AC37F7C"/>
    <w:multiLevelType w:val="hybridMultilevel"/>
    <w:tmpl w:val="6CE645DC"/>
    <w:lvl w:ilvl="0" w:tplc="188058C2">
      <w:numFmt w:val="bullet"/>
      <w:lvlText w:val=""/>
      <w:lvlJc w:val="left"/>
      <w:pPr>
        <w:ind w:left="1080" w:hanging="360"/>
      </w:pPr>
      <w:rPr>
        <w:rFonts w:ascii="Symbol" w:eastAsia="Times New Roman" w:hAnsi="Symbol"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A3"/>
    <w:rsid w:val="0000429D"/>
    <w:rsid w:val="000062A0"/>
    <w:rsid w:val="00022F17"/>
    <w:rsid w:val="00032364"/>
    <w:rsid w:val="000A0A47"/>
    <w:rsid w:val="000A5874"/>
    <w:rsid w:val="000C4C3C"/>
    <w:rsid w:val="000C5722"/>
    <w:rsid w:val="000D6D9F"/>
    <w:rsid w:val="000F4214"/>
    <w:rsid w:val="001122ED"/>
    <w:rsid w:val="00143F51"/>
    <w:rsid w:val="00152410"/>
    <w:rsid w:val="001650AB"/>
    <w:rsid w:val="001A0372"/>
    <w:rsid w:val="001D0A7B"/>
    <w:rsid w:val="001D3981"/>
    <w:rsid w:val="001E45C8"/>
    <w:rsid w:val="001F06A3"/>
    <w:rsid w:val="001F5AF9"/>
    <w:rsid w:val="00202C71"/>
    <w:rsid w:val="0022413F"/>
    <w:rsid w:val="002838F2"/>
    <w:rsid w:val="00287585"/>
    <w:rsid w:val="00293E62"/>
    <w:rsid w:val="002A6D4F"/>
    <w:rsid w:val="002D419A"/>
    <w:rsid w:val="002D706A"/>
    <w:rsid w:val="002E04BE"/>
    <w:rsid w:val="00306693"/>
    <w:rsid w:val="003256FE"/>
    <w:rsid w:val="00361002"/>
    <w:rsid w:val="0037501F"/>
    <w:rsid w:val="003939AC"/>
    <w:rsid w:val="003A494A"/>
    <w:rsid w:val="003D396B"/>
    <w:rsid w:val="003E1E21"/>
    <w:rsid w:val="00415587"/>
    <w:rsid w:val="00485530"/>
    <w:rsid w:val="004862E3"/>
    <w:rsid w:val="00487A96"/>
    <w:rsid w:val="00497FFD"/>
    <w:rsid w:val="004A4FA3"/>
    <w:rsid w:val="004B3D06"/>
    <w:rsid w:val="00527FD3"/>
    <w:rsid w:val="005D3D2C"/>
    <w:rsid w:val="005F01EA"/>
    <w:rsid w:val="00602B30"/>
    <w:rsid w:val="00621AE0"/>
    <w:rsid w:val="00636885"/>
    <w:rsid w:val="00643588"/>
    <w:rsid w:val="00655B51"/>
    <w:rsid w:val="00661EE5"/>
    <w:rsid w:val="0067094F"/>
    <w:rsid w:val="006A3581"/>
    <w:rsid w:val="006A48CC"/>
    <w:rsid w:val="006A7276"/>
    <w:rsid w:val="006B1452"/>
    <w:rsid w:val="006C7C60"/>
    <w:rsid w:val="007043D4"/>
    <w:rsid w:val="00727869"/>
    <w:rsid w:val="00745E86"/>
    <w:rsid w:val="007C39B7"/>
    <w:rsid w:val="007C7685"/>
    <w:rsid w:val="007E215F"/>
    <w:rsid w:val="007F20D4"/>
    <w:rsid w:val="00811818"/>
    <w:rsid w:val="008E1C2B"/>
    <w:rsid w:val="00916926"/>
    <w:rsid w:val="00920C4D"/>
    <w:rsid w:val="00952C07"/>
    <w:rsid w:val="009548DB"/>
    <w:rsid w:val="009829B2"/>
    <w:rsid w:val="009A200C"/>
    <w:rsid w:val="00A07A73"/>
    <w:rsid w:val="00A35065"/>
    <w:rsid w:val="00A829F3"/>
    <w:rsid w:val="00A85F4C"/>
    <w:rsid w:val="00AB0B0E"/>
    <w:rsid w:val="00B3713A"/>
    <w:rsid w:val="00B44C99"/>
    <w:rsid w:val="00B90B10"/>
    <w:rsid w:val="00B95B57"/>
    <w:rsid w:val="00BD20BD"/>
    <w:rsid w:val="00BE1CB7"/>
    <w:rsid w:val="00BE3AAB"/>
    <w:rsid w:val="00BF508E"/>
    <w:rsid w:val="00C137AB"/>
    <w:rsid w:val="00C21892"/>
    <w:rsid w:val="00C40DC1"/>
    <w:rsid w:val="00C530A9"/>
    <w:rsid w:val="00CB5BF7"/>
    <w:rsid w:val="00D174A6"/>
    <w:rsid w:val="00D201C9"/>
    <w:rsid w:val="00D32A70"/>
    <w:rsid w:val="00D50974"/>
    <w:rsid w:val="00D56EE0"/>
    <w:rsid w:val="00D83271"/>
    <w:rsid w:val="00DB406A"/>
    <w:rsid w:val="00DB6593"/>
    <w:rsid w:val="00DD0DC1"/>
    <w:rsid w:val="00DD1531"/>
    <w:rsid w:val="00DF13E2"/>
    <w:rsid w:val="00E14DA9"/>
    <w:rsid w:val="00E2272A"/>
    <w:rsid w:val="00E25263"/>
    <w:rsid w:val="00E556DD"/>
    <w:rsid w:val="00E87486"/>
    <w:rsid w:val="00EC3337"/>
    <w:rsid w:val="00F536EA"/>
    <w:rsid w:val="00F67655"/>
    <w:rsid w:val="00F67EEE"/>
    <w:rsid w:val="00F8752F"/>
    <w:rsid w:val="00F95889"/>
    <w:rsid w:val="00FB1625"/>
    <w:rsid w:val="00FB79EB"/>
    <w:rsid w:val="00FD2FF0"/>
    <w:rsid w:val="00FE0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81181-086C-461A-9027-DD86526B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FA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A4FA3"/>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4A4FA3"/>
    <w:rPr>
      <w:rFonts w:ascii="Times New Roman" w:eastAsia="Times New Roman" w:hAnsi="Times New Roman" w:cs="Times New Roman"/>
      <w:sz w:val="24"/>
      <w:szCs w:val="24"/>
    </w:rPr>
  </w:style>
  <w:style w:type="table" w:styleId="Lentelstinklelis">
    <w:name w:val="Table Grid"/>
    <w:basedOn w:val="prastojilentel"/>
    <w:uiPriority w:val="59"/>
    <w:rsid w:val="004A4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4A4FA3"/>
    <w:pPr>
      <w:ind w:left="720"/>
      <w:contextualSpacing/>
    </w:pPr>
  </w:style>
  <w:style w:type="character" w:customStyle="1" w:styleId="clear">
    <w:name w:val="clear"/>
    <w:basedOn w:val="Numatytasispastraiposriftas"/>
    <w:rsid w:val="004A4FA3"/>
  </w:style>
  <w:style w:type="character" w:customStyle="1" w:styleId="ELEXCStraipsnis">
    <w:name w:val="ELEX_C_Straipsnis"/>
    <w:rsid w:val="004A4FA3"/>
    <w:rPr>
      <w:rFonts w:ascii="Arial" w:hAnsi="Arial"/>
      <w:sz w:val="20"/>
    </w:rPr>
  </w:style>
  <w:style w:type="paragraph" w:customStyle="1" w:styleId="tactin">
    <w:name w:val="tactin"/>
    <w:basedOn w:val="prastasis"/>
    <w:rsid w:val="00B3713A"/>
    <w:pPr>
      <w:spacing w:after="150"/>
    </w:pPr>
    <w:rPr>
      <w:lang w:val="lt-LT" w:eastAsia="lt-LT"/>
    </w:rPr>
  </w:style>
  <w:style w:type="paragraph" w:customStyle="1" w:styleId="tajtip">
    <w:name w:val="tajtip"/>
    <w:basedOn w:val="prastasis"/>
    <w:rsid w:val="00B3713A"/>
    <w:pPr>
      <w:spacing w:after="150"/>
    </w:pPr>
    <w:rPr>
      <w:lang w:val="lt-LT" w:eastAsia="lt-LT"/>
    </w:rPr>
  </w:style>
  <w:style w:type="paragraph" w:customStyle="1" w:styleId="tartin">
    <w:name w:val="tartin"/>
    <w:basedOn w:val="prastasis"/>
    <w:rsid w:val="00B3713A"/>
    <w:pPr>
      <w:spacing w:after="150"/>
    </w:pPr>
    <w:rPr>
      <w:lang w:val="lt-LT" w:eastAsia="lt-LT"/>
    </w:rPr>
  </w:style>
  <w:style w:type="paragraph" w:customStyle="1" w:styleId="n">
    <w:name w:val="n"/>
    <w:basedOn w:val="prastasis"/>
    <w:rsid w:val="00B3713A"/>
    <w:pPr>
      <w:spacing w:after="150"/>
    </w:pPr>
    <w:rPr>
      <w:lang w:val="lt-LT" w:eastAsia="lt-LT"/>
    </w:rPr>
  </w:style>
  <w:style w:type="character" w:styleId="Komentaronuoroda">
    <w:name w:val="annotation reference"/>
    <w:basedOn w:val="Numatytasispastraiposriftas"/>
    <w:uiPriority w:val="99"/>
    <w:semiHidden/>
    <w:unhideWhenUsed/>
    <w:rsid w:val="005F01EA"/>
    <w:rPr>
      <w:sz w:val="16"/>
      <w:szCs w:val="16"/>
    </w:rPr>
  </w:style>
  <w:style w:type="paragraph" w:styleId="Komentarotekstas">
    <w:name w:val="annotation text"/>
    <w:basedOn w:val="prastasis"/>
    <w:link w:val="KomentarotekstasDiagrama"/>
    <w:uiPriority w:val="99"/>
    <w:semiHidden/>
    <w:unhideWhenUsed/>
    <w:rsid w:val="005F01EA"/>
    <w:rPr>
      <w:sz w:val="20"/>
      <w:szCs w:val="20"/>
    </w:rPr>
  </w:style>
  <w:style w:type="character" w:customStyle="1" w:styleId="KomentarotekstasDiagrama">
    <w:name w:val="Komentaro tekstas Diagrama"/>
    <w:basedOn w:val="Numatytasispastraiposriftas"/>
    <w:link w:val="Komentarotekstas"/>
    <w:uiPriority w:val="99"/>
    <w:semiHidden/>
    <w:rsid w:val="005F01E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F01EA"/>
    <w:rPr>
      <w:b/>
      <w:bCs/>
    </w:rPr>
  </w:style>
  <w:style w:type="character" w:customStyle="1" w:styleId="KomentarotemaDiagrama">
    <w:name w:val="Komentaro tema Diagrama"/>
    <w:basedOn w:val="KomentarotekstasDiagrama"/>
    <w:link w:val="Komentarotema"/>
    <w:uiPriority w:val="99"/>
    <w:semiHidden/>
    <w:rsid w:val="005F01E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5F01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1EA"/>
    <w:rPr>
      <w:rFonts w:ascii="Segoe UI" w:eastAsia="Times New Roman" w:hAnsi="Segoe UI" w:cs="Segoe UI"/>
      <w:sz w:val="18"/>
      <w:szCs w:val="18"/>
      <w:lang w:val="en-US"/>
    </w:rPr>
  </w:style>
  <w:style w:type="character" w:styleId="Hipersaitas">
    <w:name w:val="Hyperlink"/>
    <w:basedOn w:val="Numatytasispastraiposriftas"/>
    <w:uiPriority w:val="99"/>
    <w:unhideWhenUsed/>
    <w:rsid w:val="00486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5451">
      <w:bodyDiv w:val="1"/>
      <w:marLeft w:val="0"/>
      <w:marRight w:val="0"/>
      <w:marTop w:val="0"/>
      <w:marBottom w:val="0"/>
      <w:divBdr>
        <w:top w:val="none" w:sz="0" w:space="0" w:color="auto"/>
        <w:left w:val="none" w:sz="0" w:space="0" w:color="auto"/>
        <w:bottom w:val="none" w:sz="0" w:space="0" w:color="auto"/>
        <w:right w:val="none" w:sz="0" w:space="0" w:color="auto"/>
      </w:divBdr>
      <w:divsChild>
        <w:div w:id="916481081">
          <w:marLeft w:val="0"/>
          <w:marRight w:val="0"/>
          <w:marTop w:val="0"/>
          <w:marBottom w:val="0"/>
          <w:divBdr>
            <w:top w:val="none" w:sz="0" w:space="0" w:color="auto"/>
            <w:left w:val="none" w:sz="0" w:space="0" w:color="auto"/>
            <w:bottom w:val="none" w:sz="0" w:space="0" w:color="auto"/>
            <w:right w:val="none" w:sz="0" w:space="0" w:color="auto"/>
          </w:divBdr>
          <w:divsChild>
            <w:div w:id="879242538">
              <w:marLeft w:val="0"/>
              <w:marRight w:val="0"/>
              <w:marTop w:val="0"/>
              <w:marBottom w:val="0"/>
              <w:divBdr>
                <w:top w:val="none" w:sz="0" w:space="0" w:color="auto"/>
                <w:left w:val="none" w:sz="0" w:space="0" w:color="auto"/>
                <w:bottom w:val="none" w:sz="0" w:space="0" w:color="auto"/>
                <w:right w:val="none" w:sz="0" w:space="0" w:color="auto"/>
              </w:divBdr>
              <w:divsChild>
                <w:div w:id="682055921">
                  <w:marLeft w:val="0"/>
                  <w:marRight w:val="0"/>
                  <w:marTop w:val="0"/>
                  <w:marBottom w:val="0"/>
                  <w:divBdr>
                    <w:top w:val="none" w:sz="0" w:space="0" w:color="auto"/>
                    <w:left w:val="none" w:sz="0" w:space="0" w:color="auto"/>
                    <w:bottom w:val="none" w:sz="0" w:space="0" w:color="auto"/>
                    <w:right w:val="none" w:sz="0" w:space="0" w:color="auto"/>
                  </w:divBdr>
                  <w:divsChild>
                    <w:div w:id="1260412549">
                      <w:marLeft w:val="0"/>
                      <w:marRight w:val="0"/>
                      <w:marTop w:val="0"/>
                      <w:marBottom w:val="0"/>
                      <w:divBdr>
                        <w:top w:val="none" w:sz="0" w:space="0" w:color="auto"/>
                        <w:left w:val="none" w:sz="0" w:space="0" w:color="auto"/>
                        <w:bottom w:val="none" w:sz="0" w:space="0" w:color="auto"/>
                        <w:right w:val="none" w:sz="0" w:space="0" w:color="auto"/>
                      </w:divBdr>
                      <w:divsChild>
                        <w:div w:id="157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41200">
      <w:bodyDiv w:val="1"/>
      <w:marLeft w:val="0"/>
      <w:marRight w:val="0"/>
      <w:marTop w:val="0"/>
      <w:marBottom w:val="0"/>
      <w:divBdr>
        <w:top w:val="none" w:sz="0" w:space="0" w:color="auto"/>
        <w:left w:val="none" w:sz="0" w:space="0" w:color="auto"/>
        <w:bottom w:val="none" w:sz="0" w:space="0" w:color="auto"/>
        <w:right w:val="none" w:sz="0" w:space="0" w:color="auto"/>
      </w:divBdr>
      <w:divsChild>
        <w:div w:id="525755734">
          <w:marLeft w:val="0"/>
          <w:marRight w:val="0"/>
          <w:marTop w:val="0"/>
          <w:marBottom w:val="0"/>
          <w:divBdr>
            <w:top w:val="none" w:sz="0" w:space="0" w:color="auto"/>
            <w:left w:val="none" w:sz="0" w:space="0" w:color="auto"/>
            <w:bottom w:val="none" w:sz="0" w:space="0" w:color="auto"/>
            <w:right w:val="none" w:sz="0" w:space="0" w:color="auto"/>
          </w:divBdr>
          <w:divsChild>
            <w:div w:id="262342811">
              <w:marLeft w:val="0"/>
              <w:marRight w:val="0"/>
              <w:marTop w:val="0"/>
              <w:marBottom w:val="0"/>
              <w:divBdr>
                <w:top w:val="none" w:sz="0" w:space="0" w:color="auto"/>
                <w:left w:val="none" w:sz="0" w:space="0" w:color="auto"/>
                <w:bottom w:val="none" w:sz="0" w:space="0" w:color="auto"/>
                <w:right w:val="none" w:sz="0" w:space="0" w:color="auto"/>
              </w:divBdr>
              <w:divsChild>
                <w:div w:id="341130248">
                  <w:marLeft w:val="0"/>
                  <w:marRight w:val="0"/>
                  <w:marTop w:val="0"/>
                  <w:marBottom w:val="0"/>
                  <w:divBdr>
                    <w:top w:val="none" w:sz="0" w:space="0" w:color="auto"/>
                    <w:left w:val="none" w:sz="0" w:space="0" w:color="auto"/>
                    <w:bottom w:val="none" w:sz="0" w:space="0" w:color="auto"/>
                    <w:right w:val="none" w:sz="0" w:space="0" w:color="auto"/>
                  </w:divBdr>
                  <w:divsChild>
                    <w:div w:id="677582753">
                      <w:marLeft w:val="0"/>
                      <w:marRight w:val="0"/>
                      <w:marTop w:val="0"/>
                      <w:marBottom w:val="0"/>
                      <w:divBdr>
                        <w:top w:val="none" w:sz="0" w:space="0" w:color="auto"/>
                        <w:left w:val="none" w:sz="0" w:space="0" w:color="auto"/>
                        <w:bottom w:val="none" w:sz="0" w:space="0" w:color="auto"/>
                        <w:right w:val="none" w:sz="0" w:space="0" w:color="auto"/>
                      </w:divBdr>
                      <w:divsChild>
                        <w:div w:id="13568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18520">
      <w:bodyDiv w:val="1"/>
      <w:marLeft w:val="0"/>
      <w:marRight w:val="0"/>
      <w:marTop w:val="0"/>
      <w:marBottom w:val="0"/>
      <w:divBdr>
        <w:top w:val="none" w:sz="0" w:space="0" w:color="auto"/>
        <w:left w:val="none" w:sz="0" w:space="0" w:color="auto"/>
        <w:bottom w:val="none" w:sz="0" w:space="0" w:color="auto"/>
        <w:right w:val="none" w:sz="0" w:space="0" w:color="auto"/>
      </w:divBdr>
      <w:divsChild>
        <w:div w:id="1656178616">
          <w:marLeft w:val="0"/>
          <w:marRight w:val="0"/>
          <w:marTop w:val="0"/>
          <w:marBottom w:val="0"/>
          <w:divBdr>
            <w:top w:val="none" w:sz="0" w:space="0" w:color="auto"/>
            <w:left w:val="none" w:sz="0" w:space="0" w:color="auto"/>
            <w:bottom w:val="none" w:sz="0" w:space="0" w:color="auto"/>
            <w:right w:val="none" w:sz="0" w:space="0" w:color="auto"/>
          </w:divBdr>
          <w:divsChild>
            <w:div w:id="395904383">
              <w:marLeft w:val="0"/>
              <w:marRight w:val="0"/>
              <w:marTop w:val="0"/>
              <w:marBottom w:val="0"/>
              <w:divBdr>
                <w:top w:val="none" w:sz="0" w:space="0" w:color="auto"/>
                <w:left w:val="none" w:sz="0" w:space="0" w:color="auto"/>
                <w:bottom w:val="none" w:sz="0" w:space="0" w:color="auto"/>
                <w:right w:val="none" w:sz="0" w:space="0" w:color="auto"/>
              </w:divBdr>
              <w:divsChild>
                <w:div w:id="197472480">
                  <w:marLeft w:val="0"/>
                  <w:marRight w:val="0"/>
                  <w:marTop w:val="0"/>
                  <w:marBottom w:val="0"/>
                  <w:divBdr>
                    <w:top w:val="none" w:sz="0" w:space="0" w:color="auto"/>
                    <w:left w:val="none" w:sz="0" w:space="0" w:color="auto"/>
                    <w:bottom w:val="none" w:sz="0" w:space="0" w:color="auto"/>
                    <w:right w:val="none" w:sz="0" w:space="0" w:color="auto"/>
                  </w:divBdr>
                  <w:divsChild>
                    <w:div w:id="556554743">
                      <w:marLeft w:val="0"/>
                      <w:marRight w:val="0"/>
                      <w:marTop w:val="0"/>
                      <w:marBottom w:val="0"/>
                      <w:divBdr>
                        <w:top w:val="none" w:sz="0" w:space="0" w:color="auto"/>
                        <w:left w:val="none" w:sz="0" w:space="0" w:color="auto"/>
                        <w:bottom w:val="none" w:sz="0" w:space="0" w:color="auto"/>
                        <w:right w:val="none" w:sz="0" w:space="0" w:color="auto"/>
                      </w:divBdr>
                      <w:divsChild>
                        <w:div w:id="2640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i.grigiene@tm.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7440</Words>
  <Characters>4241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2020-06-16T11:05:00Z</dcterms:created>
  <dc:creator>Forumas</dc:creator>
  <cp:lastModifiedBy>Inga Grigienė</cp:lastModifiedBy>
  <dcterms:modified xsi:type="dcterms:W3CDTF">2020-06-16T11:05:00Z</dcterms:modified>
  <cp:revision>2</cp:revision>
</cp:coreProperties>
</file>