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5F8E91" w14:textId="61988ED8" w:rsidR="001024C7" w:rsidRPr="0096697A" w:rsidRDefault="001024C7" w:rsidP="005F0023">
      <w:pPr>
        <w:pStyle w:val="Standard"/>
        <w:jc w:val="center"/>
        <w:rPr>
          <w:b/>
          <w:bCs/>
          <w:lang w:val="lt-LT" w:eastAsia="en-US"/>
        </w:rPr>
      </w:pPr>
      <w:r w:rsidRPr="00F1023F">
        <w:rPr>
          <w:b/>
          <w:szCs w:val="24"/>
          <w:lang w:val="lt-LT"/>
        </w:rPr>
        <w:t xml:space="preserve">DERINIMO PAŽYMA DĖL </w:t>
      </w:r>
      <w:r w:rsidR="005F0023" w:rsidRPr="0096697A">
        <w:rPr>
          <w:b/>
          <w:bCs/>
          <w:lang w:val="lt-LT" w:eastAsia="en-US"/>
        </w:rPr>
        <w:t>LIETUVOS RESPUBLIKOS BAUDŽIAMOJO KODEKSO 281 STRAIPSNIO PAKEITIMO ĮSTATYMO PROJEKTO, LIETUVOS RESPUBLIKOS BAUDŽIAMOJO PROCESO KODEKSO 120, 121 STRAIPSNIŲ PAKEITIMO IR KODEKSO PAPILDYMO 134</w:t>
      </w:r>
      <w:r w:rsidR="005F0023" w:rsidRPr="0096697A">
        <w:rPr>
          <w:b/>
          <w:bCs/>
          <w:vertAlign w:val="superscript"/>
          <w:lang w:val="lt-LT" w:eastAsia="en-US"/>
        </w:rPr>
        <w:t>1</w:t>
      </w:r>
      <w:r w:rsidR="005F0023" w:rsidRPr="0096697A">
        <w:rPr>
          <w:b/>
          <w:bCs/>
          <w:lang w:val="lt-LT" w:eastAsia="en-US"/>
        </w:rPr>
        <w:t xml:space="preserve"> STRAIPSNIU ĮSTATYMO PROJEKTO IR LIETUVOS RESPUBLIKOS ADMINISTRACINIŲ NUSIŽENGIMŲ KODEKSO </w:t>
      </w:r>
      <w:r w:rsidR="006817EB" w:rsidRPr="0096697A">
        <w:rPr>
          <w:b/>
          <w:bCs/>
          <w:lang w:val="lt-LT" w:eastAsia="en-US"/>
        </w:rPr>
        <w:t xml:space="preserve">71, </w:t>
      </w:r>
      <w:r w:rsidR="005F0023" w:rsidRPr="0096697A">
        <w:rPr>
          <w:b/>
          <w:bCs/>
          <w:lang w:val="lt-LT" w:eastAsia="en-US"/>
        </w:rPr>
        <w:t>420, 422, 423, 424</w:t>
      </w:r>
      <w:r w:rsidR="006817EB" w:rsidRPr="0096697A">
        <w:rPr>
          <w:b/>
          <w:bCs/>
          <w:lang w:val="lt-LT" w:eastAsia="en-US"/>
        </w:rPr>
        <w:t>, 427 IR 603</w:t>
      </w:r>
      <w:r w:rsidR="005F0023" w:rsidRPr="0096697A">
        <w:rPr>
          <w:b/>
          <w:bCs/>
          <w:lang w:val="lt-LT" w:eastAsia="en-US"/>
        </w:rPr>
        <w:t xml:space="preserve"> STRAIPSNIŲ PAKEITIMO ĮSTATYMO PROJEKTO</w:t>
      </w:r>
    </w:p>
    <w:p w14:paraId="0D38F1DD" w14:textId="77777777" w:rsidR="005F0023" w:rsidRPr="0096697A" w:rsidRDefault="005F0023" w:rsidP="005F0023">
      <w:pPr>
        <w:pStyle w:val="Standard"/>
        <w:jc w:val="center"/>
        <w:rPr>
          <w:lang w:val="lt-LT"/>
        </w:rPr>
      </w:pPr>
    </w:p>
    <w:tbl>
      <w:tblPr>
        <w:tblStyle w:val="Lentelstinklelis"/>
        <w:tblW w:w="15168" w:type="dxa"/>
        <w:tblInd w:w="-147" w:type="dxa"/>
        <w:tblLayout w:type="fixed"/>
        <w:tblLook w:val="04A0" w:firstRow="1" w:lastRow="0" w:firstColumn="1" w:lastColumn="0" w:noHBand="0" w:noVBand="1"/>
      </w:tblPr>
      <w:tblGrid>
        <w:gridCol w:w="1702"/>
        <w:gridCol w:w="7654"/>
        <w:gridCol w:w="5812"/>
      </w:tblGrid>
      <w:tr w:rsidR="00D32280" w:rsidRPr="00F1023F" w14:paraId="230102DE" w14:textId="77777777" w:rsidTr="00CA2132">
        <w:trPr>
          <w:trHeight w:val="1015"/>
        </w:trPr>
        <w:tc>
          <w:tcPr>
            <w:tcW w:w="1702" w:type="dxa"/>
            <w:vAlign w:val="center"/>
          </w:tcPr>
          <w:p w14:paraId="69510E11" w14:textId="465CD443" w:rsidR="002E2DE6" w:rsidRPr="00F1023F" w:rsidRDefault="002E2DE6" w:rsidP="0067247D">
            <w:pPr>
              <w:rPr>
                <w:b/>
                <w:sz w:val="23"/>
                <w:szCs w:val="23"/>
              </w:rPr>
            </w:pPr>
            <w:r w:rsidRPr="00F1023F">
              <w:rPr>
                <w:b/>
                <w:sz w:val="23"/>
                <w:szCs w:val="23"/>
              </w:rPr>
              <w:t>Institucijos pavadinimas (rašto data ir Nr.)</w:t>
            </w:r>
          </w:p>
        </w:tc>
        <w:tc>
          <w:tcPr>
            <w:tcW w:w="7654" w:type="dxa"/>
            <w:vAlign w:val="center"/>
          </w:tcPr>
          <w:p w14:paraId="65958D3F" w14:textId="77777777" w:rsidR="002E2DE6" w:rsidRPr="00F1023F" w:rsidRDefault="002E2DE6" w:rsidP="0067247D">
            <w:pPr>
              <w:jc w:val="center"/>
              <w:rPr>
                <w:b/>
                <w:sz w:val="23"/>
                <w:szCs w:val="23"/>
              </w:rPr>
            </w:pPr>
            <w:r w:rsidRPr="00F1023F">
              <w:rPr>
                <w:b/>
                <w:sz w:val="23"/>
                <w:szCs w:val="23"/>
              </w:rPr>
              <w:t>Pastabos ir pasiūlymai</w:t>
            </w:r>
          </w:p>
        </w:tc>
        <w:tc>
          <w:tcPr>
            <w:tcW w:w="5812" w:type="dxa"/>
            <w:vAlign w:val="center"/>
          </w:tcPr>
          <w:p w14:paraId="35589962" w14:textId="77777777" w:rsidR="002E2DE6" w:rsidRPr="00F1023F" w:rsidRDefault="002E2DE6" w:rsidP="0067247D">
            <w:pPr>
              <w:jc w:val="center"/>
              <w:rPr>
                <w:b/>
                <w:sz w:val="23"/>
                <w:szCs w:val="23"/>
              </w:rPr>
            </w:pPr>
            <w:r w:rsidRPr="00F1023F">
              <w:rPr>
                <w:b/>
                <w:sz w:val="23"/>
                <w:szCs w:val="23"/>
              </w:rPr>
              <w:t>Paaiškinimai dėl pastabų</w:t>
            </w:r>
          </w:p>
        </w:tc>
      </w:tr>
      <w:tr w:rsidR="00507093" w:rsidRPr="00F1023F" w14:paraId="49B81763" w14:textId="77777777" w:rsidTr="00CA2132">
        <w:tc>
          <w:tcPr>
            <w:tcW w:w="1702" w:type="dxa"/>
          </w:tcPr>
          <w:p w14:paraId="1B39F124" w14:textId="18E4A974" w:rsidR="005F0023" w:rsidRPr="0096697A" w:rsidRDefault="005F0023" w:rsidP="005F0023">
            <w:pPr>
              <w:pStyle w:val="Bodytext20"/>
              <w:shd w:val="clear" w:color="auto" w:fill="auto"/>
              <w:tabs>
                <w:tab w:val="left" w:pos="740"/>
              </w:tabs>
              <w:spacing w:before="0" w:after="0" w:line="240" w:lineRule="auto"/>
              <w:jc w:val="left"/>
              <w:rPr>
                <w:rStyle w:val="Teletype"/>
                <w:rFonts w:ascii="Times New Roman" w:hAnsi="Times New Roman" w:cs="Times New Roman"/>
                <w:color w:val="000000"/>
              </w:rPr>
            </w:pPr>
            <w:r w:rsidRPr="00F1023F">
              <w:rPr>
                <w:rStyle w:val="Teletype"/>
                <w:rFonts w:ascii="Times New Roman" w:hAnsi="Times New Roman" w:cs="Times New Roman"/>
                <w:color w:val="000000"/>
              </w:rPr>
              <w:t>Teisingumo ministerija</w:t>
            </w:r>
          </w:p>
          <w:p w14:paraId="4174D139" w14:textId="0BA79B26" w:rsidR="00507093" w:rsidRPr="00F1023F" w:rsidRDefault="00507093" w:rsidP="005F0023">
            <w:pPr>
              <w:pStyle w:val="Bodytext20"/>
              <w:shd w:val="clear" w:color="auto" w:fill="auto"/>
              <w:tabs>
                <w:tab w:val="left" w:pos="740"/>
              </w:tabs>
              <w:spacing w:before="0" w:after="0" w:line="240" w:lineRule="auto"/>
              <w:jc w:val="left"/>
            </w:pPr>
            <w:r w:rsidRPr="00F1023F">
              <w:rPr>
                <w:rStyle w:val="Teletype"/>
                <w:rFonts w:ascii="Times New Roman" w:hAnsi="Times New Roman" w:cs="Times New Roman"/>
                <w:color w:val="000000"/>
              </w:rPr>
              <w:t>(</w:t>
            </w:r>
            <w:r w:rsidR="005F0023" w:rsidRPr="00F1023F">
              <w:rPr>
                <w:rStyle w:val="Teletype"/>
                <w:rFonts w:ascii="Times New Roman" w:hAnsi="Times New Roman" w:cs="Times New Roman"/>
                <w:color w:val="000000"/>
              </w:rPr>
              <w:t>2018-06-20 raštas Nr. (1.36)2T-442</w:t>
            </w:r>
            <w:r w:rsidRPr="00F1023F">
              <w:rPr>
                <w:rStyle w:val="Teletype"/>
                <w:rFonts w:ascii="Times New Roman" w:hAnsi="Times New Roman" w:cs="Times New Roman"/>
                <w:color w:val="000000"/>
              </w:rPr>
              <w:t>)</w:t>
            </w:r>
          </w:p>
        </w:tc>
        <w:tc>
          <w:tcPr>
            <w:tcW w:w="7654" w:type="dxa"/>
          </w:tcPr>
          <w:p w14:paraId="398B499B" w14:textId="74285601" w:rsidR="00507093" w:rsidRPr="0096697A" w:rsidRDefault="005F0023" w:rsidP="00507093">
            <w:pPr>
              <w:pStyle w:val="Sraopastraipa"/>
              <w:tabs>
                <w:tab w:val="left" w:pos="0"/>
                <w:tab w:val="left" w:pos="317"/>
              </w:tabs>
              <w:ind w:left="0"/>
              <w:jc w:val="both"/>
              <w:rPr>
                <w:rStyle w:val="Teletype"/>
                <w:rFonts w:ascii="Times New Roman" w:hAnsi="Times New Roman" w:cs="Times New Roman"/>
                <w:bCs/>
                <w:color w:val="000000"/>
              </w:rPr>
            </w:pPr>
            <w:r w:rsidRPr="00F1023F">
              <w:rPr>
                <w:rStyle w:val="Teletype"/>
                <w:rFonts w:ascii="Times New Roman" w:hAnsi="Times New Roman" w:cs="Times New Roman"/>
                <w:bCs/>
                <w:color w:val="000000"/>
              </w:rPr>
              <w:t xml:space="preserve">2.    Abejonių kelia siūlymas BK 281 straipsnį papildyti nauja 9 dalimi ir nustatyti, kad asmuo baudžiamojon atsakomybėn traukiamas už dėl neatsargumo padarytą BK 281 straipsnio 7 dalyje numatytą veiką. Įstatymų projektų aiškinamajame rašte netiksliai nurodoma, kad BK 281 straipsnio 7 dalyje numatyta veika gali būti padaryta tiek tyčia, tiek dėl neatsargumo (dėl nusikalstamo pasitikėjimo ar nusikalstamo nerūpestingumo), t. y. asmuo vartodamas alkoholį ir po to vairuodamas transporto priemonę numato, kad gali atsirasti BK 281 straipsnio 7 dalyje numatytų padarinių, tačiau lengvabūdiškai tikisi, kad jo biologinėse organizmo terpėse bus mažiau negu 1,51 promilės alkoholio. Pastebėtina, kad baudžiamojo įstatymo numatyti padariniai yra neigiamos, žalingos pasekmės, kurios atsiranda padarius baudžiamojo įstatymo uždraustą veiką. Asmens neblaivumas pats savaime nėra baudžiamojo įstatymo uždraustos veikos padarinys; tai yra nusikalstamos veikos padarymo būdas. BK 281 straipsnio 7 dalyje uždrausta nusikalstama veika apibrėžiama „formaliąja“ nusikaltimo sudėtimi ir ji padaroma tiesiogine tyčia (asmuo žino, kad baudžiamasis įstatymas imperatyviai draudžia vairuoti transporto priemones esant neblaiviam, suvokia pavojingą nusikalstamos veikos pobūdį ir vis tiek vairuoja automobilį būdamas apsvaigęs nuo alkoholio), o atsiradę ar galintys atsirasti nusikalstamos veikos padariniai (sukeltas pavojus eismo saugumui ar pan.) yra už baudžiamojo įstatymo ribų. BK 16 straipsnyje neatsargūs nusikaltimai ir baudžiamieji nusižengimai apibrėžiami per asmens santykį su BK numatytais nusikalstamos veikos padariniais. Kadangi BK 281 straipsnio 7 dalyje nėra numatyti jokie nusikalstamos veikos padariniai, vadinasi, negali būti kriminalizuojamas jos padarymas dėl neatsargumo. Pažymėtina, kad teismų praktikoje yra pateiktos taisyklės, kaip vertinti tokius gynybos pateikiamus argumentus. Lietuvos </w:t>
            </w:r>
            <w:r w:rsidRPr="00F1023F">
              <w:rPr>
                <w:rStyle w:val="Teletype"/>
                <w:rFonts w:ascii="Times New Roman" w:hAnsi="Times New Roman" w:cs="Times New Roman"/>
                <w:bCs/>
                <w:color w:val="000000"/>
              </w:rPr>
              <w:lastRenderedPageBreak/>
              <w:t>Aukščiausiojo Teismo Baudžiamųjų bylų skyrius 2017 m. gruodžio 20 d. nutartimi baudžiamojoje byloje Nr. 2K-392-699/2017 atmetė kasatoriaus argumentus, kad BK 281 straipsnio 7 dalyje numatyta nusikalstama veika nagrinėjamu atveju galėjo būti padaryta neatsargia kaltės forma (kasatorius teigė, kad iš nuteistojo S. G. parodymų matyti, kad „jis atsikėlė pamiegojęs, daugiau alkoholio nevartojo, jautėsi blaivus, todėl sėdo vairuoti, nežinojo ir nejautė, kad jo kraujyje yra daugiau nei 1,5 promilės alkoholio, nes be specialiosios įrangos pasitikrinti blaivumo negalėjo. Šios aplinkybės nerodo asmens tyčios padaryti nusikalstamą veiką, tačiau rodo nusikalstamą nerūpestingumą“). Teismas pažymėjo, kad Kelių eismo taisyklės draudžia vairuoti transporto priemonę asmenims, neturintiems šios teisės, taip pat neblaiviems, apsvaigusiems nuo psichiką veikiančių medžiagų ar nepasinaudojusiems teisės aktų nustatytu privalomu kasdieniu poilsiu. Taip pat neleidžiama vairuoti susirgus ar pavargus, jeigu dėl to gali kilti pavojus eismo saugumui, duoti transporto priemonę vairuoti asmenims, kurie yra paveikti bent vieno iš pirmiau nurodytų veiksnių arba neturi teisės vairuoti šią transporto priemonę. Vairuodamas transporto priemonę, vairuotojas privalo laikytis vairuotojo pažymėjime nurodytų sąlygų (Kelių eismo taisyklių 14 punktas). Kasaciniame skunde dėstomi pasisakymai, kad nuteistasis, prieš vairuodamas automobilį, jautėsi gerai ar negalėjo žinoti, kad jo apsvaigimas nuo alkoholio yra didesnis nei 1,5 promilės, nėra pagrindas pripažinti, kad nusikalstama veika padaryta dėl neatsargumo. Esant kraujyje tokiam kiekiui alkoholio, asmuo negali jaustis taip, kaip būdamas blaivus ar esant įstatymo leistinam apsvaigimui nuo alkoholio – nuo 0,0 iki 0,4 promilės. Įvertinus tai, kad S. G. Kelių eismo taisyklių reikalavimai, keliami vairuotojams, yra žinomi, tai, kad jam buvo nustatytas vidutinis girtumas, patvirtina, kad jis suvokė, jog yra apsvaigęs, o Kelių eismo taisyklės draudžia tokios būsenos vairuoti transporto priemonę, vis tiek vairavo transporto priemonę, t. y. jo veiksmai buvo tyčiniai. Lietuvos Aukščiausiasis Teismas konstatavo, kad pagal nustatytas faktines bylos aplinkybes S. G. baudžiamasis įstatymas – BK 281 straipsnio 7 dalis – pritaikytas tinkamai.</w:t>
            </w:r>
          </w:p>
        </w:tc>
        <w:tc>
          <w:tcPr>
            <w:tcW w:w="5812" w:type="dxa"/>
          </w:tcPr>
          <w:p w14:paraId="24125D45" w14:textId="77777777" w:rsidR="00507093" w:rsidRPr="00F1023F" w:rsidRDefault="00507093" w:rsidP="00507093">
            <w:pPr>
              <w:pStyle w:val="Standard"/>
              <w:snapToGrid w:val="0"/>
              <w:jc w:val="both"/>
              <w:rPr>
                <w:b/>
                <w:bCs/>
                <w:lang w:val="lt-LT"/>
              </w:rPr>
            </w:pPr>
            <w:r w:rsidRPr="00F1023F">
              <w:rPr>
                <w:b/>
                <w:bCs/>
                <w:lang w:val="lt-LT"/>
              </w:rPr>
              <w:lastRenderedPageBreak/>
              <w:t xml:space="preserve">Neatsižvelgta. </w:t>
            </w:r>
          </w:p>
          <w:p w14:paraId="53DD8F45" w14:textId="64CCDE50" w:rsidR="00E35B25" w:rsidRPr="00E35B25" w:rsidRDefault="005F0023" w:rsidP="00E35B25">
            <w:pPr>
              <w:pStyle w:val="Standard"/>
              <w:snapToGrid w:val="0"/>
              <w:jc w:val="both"/>
              <w:rPr>
                <w:rFonts w:eastAsiaTheme="minorHAnsi"/>
                <w:szCs w:val="24"/>
                <w:lang w:val="lt-LT"/>
              </w:rPr>
            </w:pPr>
            <w:r w:rsidRPr="00F1023F">
              <w:rPr>
                <w:rStyle w:val="Teletype"/>
                <w:rFonts w:ascii="Times New Roman" w:hAnsi="Times New Roman" w:cs="Times New Roman"/>
                <w:lang w:val="lt-LT"/>
              </w:rPr>
              <w:t xml:space="preserve">Teisėkūros </w:t>
            </w:r>
            <w:r w:rsidRPr="00F1023F">
              <w:rPr>
                <w:rStyle w:val="Teletype"/>
                <w:rFonts w:ascii="Times New Roman" w:hAnsi="Times New Roman" w:cs="Times New Roman"/>
                <w:color w:val="000000"/>
                <w:lang w:val="lt-LT"/>
              </w:rPr>
              <w:t>aiškumo principas reikalauja, kad teisės aktuose nustatytas teisinis reguliavimas turi būti suprantamas, tikslus, aiškus ir nedviprasmiškas. Teisingumo ministerijos pastaboje pateiktas pavyzdys (</w:t>
            </w:r>
            <w:r w:rsidRPr="00F1023F">
              <w:rPr>
                <w:rStyle w:val="Teletype"/>
                <w:rFonts w:ascii="Times New Roman" w:hAnsi="Times New Roman" w:cs="Times New Roman"/>
                <w:bCs/>
                <w:color w:val="000000"/>
                <w:lang w:val="lt-LT"/>
              </w:rPr>
              <w:t>baudžiamoji byla Nr. 2K-392-699/2017) leidžia teigti, kad praktikoje pasitaiko atvejų, kai dėl nepakankamai aiškaus BK 281 straipsnio 7 dalies reglamentavimo mėginama išvengti atsakomybės dėl vairavimo, kai nustatomas didesnis nei 1,5 promilės neblaivumas, siekiant įrodyti, kad veika buvo padaryta dėl neatsargumo. Pažymėtina, kad Lietuvos Respublikos Seimo kanceliarijos Teisės departamentas</w:t>
            </w:r>
            <w:r w:rsidR="00F1023F">
              <w:rPr>
                <w:rStyle w:val="Teletype"/>
                <w:rFonts w:ascii="Times New Roman" w:hAnsi="Times New Roman" w:cs="Times New Roman"/>
                <w:bCs/>
                <w:color w:val="000000"/>
                <w:lang w:val="lt-LT"/>
              </w:rPr>
              <w:t>,</w:t>
            </w:r>
            <w:r w:rsidRPr="00F1023F">
              <w:rPr>
                <w:rStyle w:val="Teletype"/>
                <w:rFonts w:ascii="Times New Roman" w:hAnsi="Times New Roman" w:cs="Times New Roman"/>
                <w:bCs/>
                <w:color w:val="000000"/>
                <w:lang w:val="lt-LT"/>
              </w:rPr>
              <w:t xml:space="preserve"> teikdamas išvadą (</w:t>
            </w:r>
            <w:r w:rsidRPr="00F1023F">
              <w:rPr>
                <w:rStyle w:val="Teletype"/>
                <w:rFonts w:ascii="Times New Roman" w:hAnsi="Times New Roman" w:cs="Times New Roman"/>
                <w:bCs/>
                <w:i/>
                <w:color w:val="000000"/>
                <w:lang w:val="lt-LT"/>
              </w:rPr>
              <w:t>2016 m. gruodžio 30 d. išvada Nr. XIIIP-264</w:t>
            </w:r>
            <w:r w:rsidRPr="00F1023F">
              <w:rPr>
                <w:rStyle w:val="Teletype"/>
                <w:rFonts w:ascii="Times New Roman" w:hAnsi="Times New Roman" w:cs="Times New Roman"/>
                <w:bCs/>
                <w:color w:val="000000"/>
                <w:lang w:val="lt-LT"/>
              </w:rPr>
              <w:t xml:space="preserve">) dėl Lietuvos Respublikos baudžiamojo kodekso 281 straipsnio pakeitimo įstatymo projekto Nr. XIIIP-264, pažymėjo, kad </w:t>
            </w:r>
            <w:r w:rsidRPr="00F1023F">
              <w:rPr>
                <w:bCs/>
                <w:color w:val="000000"/>
                <w:lang w:val="lt-LT"/>
              </w:rPr>
              <w:t xml:space="preserve">BK 281 straipsnio atskiroje dalyje taip pat būtina tiesiogiai nurodyti, kad „šio straipsnio 7 dalyje numatyta veika yra nusikalstama ir tais atvejais, kai ji padaryta dėl neatsargumo“, nes priešingu atveju paliekama teisės spraga panaikinant administracinę atsakomybę vairuotojams už vidutinį ar sunkų neblaivumo laipsnį, o baudžiamąją atsakomybę nustatant tik už tyčinę veiką. Atkreiptinas dėmesys į tai, kad teisės doktrinoje taip pat pripažįstama, jog analizuojant BK specialiosios dalies normas, numatančias baudžiamosios atsakomybės taikymo galimybę ir už neatsargiai padaromas </w:t>
            </w:r>
            <w:r w:rsidRPr="00F1023F">
              <w:rPr>
                <w:bCs/>
                <w:color w:val="000000"/>
                <w:lang w:val="lt-LT"/>
              </w:rPr>
              <w:lastRenderedPageBreak/>
              <w:t xml:space="preserve">nusikalstamas veikas, akivaizdu, kad ne visos jos yra formuluojamos įtraukiant į sudėtį </w:t>
            </w:r>
            <w:r w:rsidR="001E4474" w:rsidRPr="00F1023F">
              <w:rPr>
                <w:bCs/>
                <w:color w:val="000000"/>
                <w:lang w:val="lt-LT"/>
              </w:rPr>
              <w:t xml:space="preserve">kilusius padarinius </w:t>
            </w:r>
            <w:r w:rsidRPr="00F1023F">
              <w:rPr>
                <w:bCs/>
                <w:color w:val="000000"/>
                <w:lang w:val="lt-LT"/>
              </w:rPr>
              <w:t>kaip būtiną požymį</w:t>
            </w:r>
            <w:r w:rsidR="001E4474" w:rsidRPr="00F1023F">
              <w:rPr>
                <w:bCs/>
                <w:color w:val="000000"/>
                <w:lang w:val="lt-LT"/>
              </w:rPr>
              <w:t xml:space="preserve">. Elgiantis neatsargiai, nusikalstamos veikos </w:t>
            </w:r>
            <w:r w:rsidR="001E4474" w:rsidRPr="003C290E">
              <w:rPr>
                <w:bCs/>
                <w:color w:val="000000"/>
                <w:lang w:val="lt-LT"/>
              </w:rPr>
              <w:t>pavojingumas gali slypėti ir pačios veikos atlikime, o ne vien jos sukeliamuose teisiniuose padariniuose</w:t>
            </w:r>
            <w:r w:rsidRPr="003C290E">
              <w:rPr>
                <w:bCs/>
                <w:color w:val="000000"/>
                <w:lang w:val="lt-LT"/>
              </w:rPr>
              <w:t xml:space="preserve"> (</w:t>
            </w:r>
            <w:r w:rsidR="00F1023F" w:rsidRPr="003C290E">
              <w:rPr>
                <w:bCs/>
                <w:color w:val="000000"/>
                <w:lang w:val="lt-LT"/>
              </w:rPr>
              <w:t xml:space="preserve">išsamiau – </w:t>
            </w:r>
            <w:r w:rsidRPr="003C290E">
              <w:rPr>
                <w:bCs/>
                <w:i/>
                <w:color w:val="000000"/>
                <w:lang w:val="lt-LT"/>
              </w:rPr>
              <w:t xml:space="preserve">Šukytė, </w:t>
            </w:r>
            <w:r w:rsidRPr="00997071">
              <w:rPr>
                <w:bCs/>
                <w:i/>
                <w:color w:val="000000"/>
                <w:lang w:val="lt-LT"/>
              </w:rPr>
              <w:t>J., Neatsargios kaltės numatymo nusikalstamų veikų sudėtyse problemos. Socialinių mokslų studijos (Nr. 5(2), 2013</w:t>
            </w:r>
            <w:r w:rsidRPr="00997071">
              <w:rPr>
                <w:bCs/>
                <w:color w:val="000000"/>
                <w:lang w:val="lt-LT"/>
              </w:rPr>
              <w:t>).</w:t>
            </w:r>
            <w:r w:rsidR="00E35B25" w:rsidRPr="00997071">
              <w:rPr>
                <w:bCs/>
                <w:color w:val="000000"/>
                <w:lang w:val="lt-LT"/>
              </w:rPr>
              <w:t xml:space="preserve"> </w:t>
            </w:r>
            <w:r w:rsidR="00EB75E5" w:rsidRPr="00997071">
              <w:rPr>
                <w:bCs/>
                <w:color w:val="000000"/>
                <w:lang w:val="lt-LT"/>
              </w:rPr>
              <w:t xml:space="preserve">Analizuojamos problemos </w:t>
            </w:r>
            <w:r w:rsidR="00CF6EB6" w:rsidRPr="00997071">
              <w:rPr>
                <w:bCs/>
                <w:color w:val="000000"/>
                <w:lang w:val="lt-LT"/>
              </w:rPr>
              <w:t>kontekste</w:t>
            </w:r>
            <w:r w:rsidR="00EB75E5" w:rsidRPr="00997071">
              <w:rPr>
                <w:bCs/>
                <w:color w:val="000000"/>
                <w:lang w:val="lt-LT"/>
              </w:rPr>
              <w:t xml:space="preserve"> k</w:t>
            </w:r>
            <w:r w:rsidR="00D91527" w:rsidRPr="00997071">
              <w:rPr>
                <w:bCs/>
                <w:color w:val="000000"/>
                <w:lang w:val="lt-LT"/>
              </w:rPr>
              <w:t xml:space="preserve">aip pavyzdį </w:t>
            </w:r>
            <w:r w:rsidR="00595CC0" w:rsidRPr="00997071">
              <w:rPr>
                <w:bCs/>
                <w:color w:val="000000"/>
                <w:lang w:val="lt-LT"/>
              </w:rPr>
              <w:t>galima</w:t>
            </w:r>
            <w:r w:rsidR="00D91527" w:rsidRPr="00997071">
              <w:rPr>
                <w:bCs/>
                <w:color w:val="000000"/>
                <w:lang w:val="lt-LT"/>
              </w:rPr>
              <w:t xml:space="preserve"> paminėti ir </w:t>
            </w:r>
            <w:r w:rsidR="00A70469" w:rsidRPr="00997071">
              <w:rPr>
                <w:rFonts w:eastAsiaTheme="minorHAnsi"/>
                <w:szCs w:val="24"/>
                <w:lang w:val="lt-LT"/>
              </w:rPr>
              <w:t>Lietuvos Aukščiausiojo</w:t>
            </w:r>
            <w:r w:rsidR="00E35B25" w:rsidRPr="00997071">
              <w:rPr>
                <w:rFonts w:eastAsiaTheme="minorHAnsi"/>
                <w:szCs w:val="24"/>
                <w:lang w:val="lt-LT"/>
              </w:rPr>
              <w:t xml:space="preserve"> </w:t>
            </w:r>
            <w:r w:rsidR="00A70469" w:rsidRPr="00997071">
              <w:rPr>
                <w:rFonts w:eastAsiaTheme="minorHAnsi"/>
                <w:szCs w:val="24"/>
                <w:lang w:val="lt-LT"/>
              </w:rPr>
              <w:t>Teismo</w:t>
            </w:r>
            <w:r w:rsidR="00D91527" w:rsidRPr="00997071">
              <w:rPr>
                <w:rFonts w:eastAsiaTheme="minorHAnsi"/>
                <w:szCs w:val="24"/>
                <w:lang w:val="lt-LT"/>
              </w:rPr>
              <w:t xml:space="preserve"> 2005 m. gruodžio 13 d. nutartį</w:t>
            </w:r>
            <w:r w:rsidR="00E35B25" w:rsidRPr="00997071">
              <w:rPr>
                <w:rFonts w:eastAsiaTheme="minorHAnsi"/>
                <w:szCs w:val="24"/>
                <w:lang w:val="lt-LT"/>
              </w:rPr>
              <w:t xml:space="preserve"> baudžiamojoje byloje 2K-7-544/2005</w:t>
            </w:r>
            <w:r w:rsidR="00D91527" w:rsidRPr="00997071">
              <w:rPr>
                <w:rFonts w:eastAsiaTheme="minorHAnsi"/>
                <w:szCs w:val="24"/>
                <w:lang w:val="lt-LT"/>
              </w:rPr>
              <w:t xml:space="preserve"> – Teismas</w:t>
            </w:r>
            <w:r w:rsidR="007B41C7" w:rsidRPr="00997071">
              <w:rPr>
                <w:rFonts w:eastAsiaTheme="minorHAnsi"/>
                <w:szCs w:val="24"/>
                <w:lang w:val="lt-LT"/>
              </w:rPr>
              <w:t>,</w:t>
            </w:r>
            <w:r w:rsidR="00E35B25" w:rsidRPr="00997071">
              <w:rPr>
                <w:rFonts w:eastAsiaTheme="minorHAnsi"/>
                <w:szCs w:val="24"/>
                <w:lang w:val="lt-LT"/>
              </w:rPr>
              <w:t xml:space="preserve"> nagrinėdamas valstybės paslapties atskleidimą</w:t>
            </w:r>
            <w:r w:rsidR="007B41C7" w:rsidRPr="00997071">
              <w:rPr>
                <w:rFonts w:eastAsiaTheme="minorHAnsi"/>
                <w:szCs w:val="24"/>
                <w:lang w:val="lt-LT"/>
              </w:rPr>
              <w:t>,</w:t>
            </w:r>
            <w:r w:rsidR="00E35B25" w:rsidRPr="00997071">
              <w:rPr>
                <w:rFonts w:eastAsiaTheme="minorHAnsi"/>
                <w:szCs w:val="24"/>
                <w:lang w:val="lt-LT"/>
              </w:rPr>
              <w:t xml:space="preserve"> konstatavo, „</w:t>
            </w:r>
            <w:r w:rsidR="00E35B25" w:rsidRPr="00997071">
              <w:rPr>
                <w:rFonts w:eastAsiaTheme="minorHAnsi"/>
                <w:iCs/>
                <w:szCs w:val="24"/>
                <w:lang w:val="lt-LT"/>
              </w:rPr>
              <w:t>jog įstatyminė šios nusikalstamos veikos formuluotė įtvirtina galimybę valstybės paslaptį atskleisti neatsargiai</w:t>
            </w:r>
            <w:r w:rsidR="00E35B25" w:rsidRPr="00997071">
              <w:rPr>
                <w:rFonts w:eastAsiaTheme="minorHAnsi"/>
                <w:szCs w:val="24"/>
                <w:lang w:val="lt-LT"/>
              </w:rPr>
              <w:t>“.</w:t>
            </w:r>
            <w:r w:rsidR="003C290E" w:rsidRPr="00997071">
              <w:rPr>
                <w:rFonts w:eastAsiaTheme="minorHAnsi"/>
                <w:szCs w:val="24"/>
                <w:lang w:val="lt-LT"/>
              </w:rPr>
              <w:t xml:space="preserve"> </w:t>
            </w:r>
            <w:r w:rsidR="00E35B25" w:rsidRPr="00997071">
              <w:rPr>
                <w:rFonts w:eastAsiaTheme="minorHAnsi"/>
                <w:szCs w:val="24"/>
                <w:lang w:val="lt-LT"/>
              </w:rPr>
              <w:t>Minėtoje byloje Teismas</w:t>
            </w:r>
            <w:r w:rsidR="00455564" w:rsidRPr="00997071">
              <w:rPr>
                <w:rFonts w:eastAsiaTheme="minorHAnsi"/>
                <w:szCs w:val="24"/>
                <w:lang w:val="lt-LT"/>
              </w:rPr>
              <w:t>, įvertinęs tai, kad</w:t>
            </w:r>
            <w:bookmarkStart w:id="0" w:name="_GoBack"/>
            <w:bookmarkEnd w:id="0"/>
            <w:r w:rsidR="00455564" w:rsidRPr="00997071">
              <w:rPr>
                <w:rFonts w:eastAsiaTheme="minorHAnsi"/>
                <w:szCs w:val="24"/>
                <w:lang w:val="lt-LT"/>
              </w:rPr>
              <w:t xml:space="preserve"> </w:t>
            </w:r>
            <w:r w:rsidR="00455564" w:rsidRPr="00997071">
              <w:rPr>
                <w:szCs w:val="24"/>
                <w:lang w:val="lt-LT"/>
              </w:rPr>
              <w:t>valstybės paslapties atskleidimas priskirtas formalioms nusikalstamų veikų sudėtims,</w:t>
            </w:r>
            <w:r w:rsidR="00E35B25" w:rsidRPr="00997071">
              <w:rPr>
                <w:rFonts w:eastAsiaTheme="minorHAnsi"/>
                <w:szCs w:val="24"/>
                <w:lang w:val="lt-LT"/>
              </w:rPr>
              <w:t xml:space="preserve"> akcentavo, </w:t>
            </w:r>
            <w:r w:rsidR="007B41C7" w:rsidRPr="00997071">
              <w:rPr>
                <w:rFonts w:eastAsiaTheme="minorHAnsi"/>
                <w:szCs w:val="24"/>
                <w:lang w:val="lt-LT"/>
              </w:rPr>
              <w:t xml:space="preserve">jog, </w:t>
            </w:r>
            <w:r w:rsidR="00E35B25" w:rsidRPr="00997071">
              <w:rPr>
                <w:rFonts w:eastAsiaTheme="minorHAnsi"/>
                <w:szCs w:val="24"/>
                <w:lang w:val="lt-LT"/>
              </w:rPr>
              <w:t>„</w:t>
            </w:r>
            <w:r w:rsidR="00E35B25" w:rsidRPr="00997071">
              <w:rPr>
                <w:rFonts w:eastAsiaTheme="minorHAnsi"/>
                <w:iCs/>
                <w:szCs w:val="24"/>
                <w:lang w:val="lt-LT"/>
              </w:rPr>
              <w:t>nusikalstamas nerūpestingumas pasireiškia tuo, kad asmuo nesuvokia, kad savo veika atskleidžia valstybės paslaptį, nenori jos atskleisti, tačiau turi ir gali suvokti, kad savo veiksmais atskleidžia kitam asmeniui, neturinčiam teisės žinoti, informaciją, kuri yra valstybės paslaptis</w:t>
            </w:r>
            <w:r w:rsidR="00E35B25" w:rsidRPr="00997071">
              <w:rPr>
                <w:rFonts w:eastAsiaTheme="minorHAnsi"/>
                <w:szCs w:val="24"/>
                <w:lang w:val="lt-LT"/>
              </w:rPr>
              <w:t>“.</w:t>
            </w:r>
          </w:p>
          <w:p w14:paraId="2F93873E" w14:textId="34ACF186" w:rsidR="00E35B25" w:rsidRPr="00F1023F" w:rsidRDefault="00E35B25">
            <w:pPr>
              <w:pStyle w:val="Standard"/>
              <w:snapToGrid w:val="0"/>
              <w:jc w:val="both"/>
              <w:rPr>
                <w:rStyle w:val="Teletype"/>
                <w:rFonts w:ascii="Times New Roman" w:hAnsi="Times New Roman" w:cs="Times New Roman"/>
                <w:b/>
                <w:bCs/>
                <w:szCs w:val="24"/>
                <w:lang w:val="lt-LT"/>
              </w:rPr>
            </w:pPr>
          </w:p>
        </w:tc>
      </w:tr>
    </w:tbl>
    <w:p w14:paraId="6696F0F6" w14:textId="2AADC905" w:rsidR="00E05A7B" w:rsidRPr="00F1023F" w:rsidRDefault="00E05A7B" w:rsidP="00966562">
      <w:pPr>
        <w:jc w:val="center"/>
        <w:rPr>
          <w:sz w:val="22"/>
          <w:szCs w:val="22"/>
        </w:rPr>
      </w:pPr>
    </w:p>
    <w:p w14:paraId="38BA0244" w14:textId="5ABF1135" w:rsidR="002E2DE6" w:rsidRPr="00F1023F" w:rsidRDefault="00966562" w:rsidP="00966562">
      <w:pPr>
        <w:jc w:val="center"/>
        <w:rPr>
          <w:sz w:val="22"/>
          <w:szCs w:val="22"/>
        </w:rPr>
      </w:pPr>
      <w:r w:rsidRPr="00F1023F">
        <w:rPr>
          <w:sz w:val="22"/>
          <w:szCs w:val="22"/>
        </w:rPr>
        <w:t>___________________________________________________</w:t>
      </w:r>
    </w:p>
    <w:sectPr w:rsidR="002E2DE6" w:rsidRPr="00F1023F" w:rsidSect="0067247D">
      <w:headerReference w:type="default" r:id="rId8"/>
      <w:pgSz w:w="16838" w:h="11906" w:orient="landscape" w:code="9"/>
      <w:pgMar w:top="1531"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86CA6" w14:textId="77777777" w:rsidR="005C19C0" w:rsidRDefault="005C19C0" w:rsidP="00FE70B6">
      <w:r>
        <w:separator/>
      </w:r>
    </w:p>
  </w:endnote>
  <w:endnote w:type="continuationSeparator" w:id="0">
    <w:p w14:paraId="5A73E47F" w14:textId="77777777" w:rsidR="005C19C0" w:rsidRDefault="005C19C0" w:rsidP="00FE7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Mono">
    <w:altName w:val="Courier New"/>
    <w:charset w:val="BA"/>
    <w:family w:val="roman"/>
    <w:pitch w:val="variable"/>
  </w:font>
  <w:font w:name="NSimSun">
    <w:panose1 w:val="02010609030101010101"/>
    <w:charset w:val="86"/>
    <w:family w:val="modern"/>
    <w:pitch w:val="fixed"/>
    <w:sig w:usb0="00000003" w:usb1="288F0000" w:usb2="00000016" w:usb3="00000000" w:csb0="00040001"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4B125" w14:textId="77777777" w:rsidR="005C19C0" w:rsidRDefault="005C19C0" w:rsidP="00FE70B6">
      <w:r>
        <w:separator/>
      </w:r>
    </w:p>
  </w:footnote>
  <w:footnote w:type="continuationSeparator" w:id="0">
    <w:p w14:paraId="6A111F60" w14:textId="77777777" w:rsidR="005C19C0" w:rsidRDefault="005C19C0" w:rsidP="00FE70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7153240"/>
      <w:docPartObj>
        <w:docPartGallery w:val="Page Numbers (Top of Page)"/>
        <w:docPartUnique/>
      </w:docPartObj>
    </w:sdtPr>
    <w:sdtEndPr/>
    <w:sdtContent>
      <w:p w14:paraId="77E40596" w14:textId="7CE06865" w:rsidR="00FE70B6" w:rsidRDefault="00FE70B6">
        <w:pPr>
          <w:pStyle w:val="Antrats"/>
          <w:jc w:val="center"/>
        </w:pPr>
        <w:r>
          <w:fldChar w:fldCharType="begin"/>
        </w:r>
        <w:r>
          <w:instrText>PAGE   \* MERGEFORMAT</w:instrText>
        </w:r>
        <w:r>
          <w:fldChar w:fldCharType="separate"/>
        </w:r>
        <w:r w:rsidR="00997071">
          <w:rPr>
            <w:noProof/>
          </w:rPr>
          <w:t>2</w:t>
        </w:r>
        <w:r>
          <w:fldChar w:fldCharType="end"/>
        </w:r>
      </w:p>
    </w:sdtContent>
  </w:sdt>
  <w:p w14:paraId="01B74BB3" w14:textId="77777777" w:rsidR="00FE70B6" w:rsidRDefault="00FE70B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5A0740"/>
    <w:multiLevelType w:val="hybridMultilevel"/>
    <w:tmpl w:val="194601E0"/>
    <w:lvl w:ilvl="0" w:tplc="62F23D54">
      <w:start w:val="1"/>
      <w:numFmt w:val="decimal"/>
      <w:lvlText w:val="%1."/>
      <w:lvlJc w:val="left"/>
      <w:pPr>
        <w:ind w:left="927"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nsid w:val="23693528"/>
    <w:multiLevelType w:val="hybridMultilevel"/>
    <w:tmpl w:val="F960645C"/>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2">
    <w:nsid w:val="5728583F"/>
    <w:multiLevelType w:val="hybridMultilevel"/>
    <w:tmpl w:val="63728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57FC364A"/>
    <w:multiLevelType w:val="hybridMultilevel"/>
    <w:tmpl w:val="9C8E9CC6"/>
    <w:lvl w:ilvl="0" w:tplc="4A0065EC">
      <w:start w:val="1"/>
      <w:numFmt w:val="decimal"/>
      <w:lvlText w:val="%1."/>
      <w:lvlJc w:val="left"/>
      <w:pPr>
        <w:ind w:left="1211"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DE6"/>
    <w:rsid w:val="000158EB"/>
    <w:rsid w:val="00017A39"/>
    <w:rsid w:val="00021FDA"/>
    <w:rsid w:val="0003172A"/>
    <w:rsid w:val="00031832"/>
    <w:rsid w:val="00033AAB"/>
    <w:rsid w:val="000340A5"/>
    <w:rsid w:val="00034495"/>
    <w:rsid w:val="00035D15"/>
    <w:rsid w:val="00052053"/>
    <w:rsid w:val="00052F4C"/>
    <w:rsid w:val="000740A5"/>
    <w:rsid w:val="0008763B"/>
    <w:rsid w:val="00087EC2"/>
    <w:rsid w:val="000A7244"/>
    <w:rsid w:val="000B2C0A"/>
    <w:rsid w:val="000C65AD"/>
    <w:rsid w:val="000D4DE1"/>
    <w:rsid w:val="000D5FFD"/>
    <w:rsid w:val="000E1AAD"/>
    <w:rsid w:val="000E1D5E"/>
    <w:rsid w:val="000F1597"/>
    <w:rsid w:val="0010105B"/>
    <w:rsid w:val="0010208E"/>
    <w:rsid w:val="001024C7"/>
    <w:rsid w:val="00120AF6"/>
    <w:rsid w:val="00121335"/>
    <w:rsid w:val="00143B1A"/>
    <w:rsid w:val="00145D75"/>
    <w:rsid w:val="00147F62"/>
    <w:rsid w:val="00160007"/>
    <w:rsid w:val="00186656"/>
    <w:rsid w:val="00191E9C"/>
    <w:rsid w:val="00193386"/>
    <w:rsid w:val="00197241"/>
    <w:rsid w:val="001C49D1"/>
    <w:rsid w:val="001E4474"/>
    <w:rsid w:val="001E6F66"/>
    <w:rsid w:val="001F2A70"/>
    <w:rsid w:val="001F376B"/>
    <w:rsid w:val="0020099D"/>
    <w:rsid w:val="002038FF"/>
    <w:rsid w:val="002118B7"/>
    <w:rsid w:val="002120DB"/>
    <w:rsid w:val="00230AD7"/>
    <w:rsid w:val="002338EC"/>
    <w:rsid w:val="002415A5"/>
    <w:rsid w:val="0024792D"/>
    <w:rsid w:val="00257AFB"/>
    <w:rsid w:val="00266F76"/>
    <w:rsid w:val="00282D7B"/>
    <w:rsid w:val="002860A6"/>
    <w:rsid w:val="002934F7"/>
    <w:rsid w:val="0029664B"/>
    <w:rsid w:val="002A6F47"/>
    <w:rsid w:val="002B2F4F"/>
    <w:rsid w:val="002C0F27"/>
    <w:rsid w:val="002C228B"/>
    <w:rsid w:val="002C6F85"/>
    <w:rsid w:val="002D0D1A"/>
    <w:rsid w:val="002D19DC"/>
    <w:rsid w:val="002D1E71"/>
    <w:rsid w:val="002D4E7D"/>
    <w:rsid w:val="002E2DE6"/>
    <w:rsid w:val="002F5A91"/>
    <w:rsid w:val="00306040"/>
    <w:rsid w:val="00321321"/>
    <w:rsid w:val="00325C92"/>
    <w:rsid w:val="00331138"/>
    <w:rsid w:val="00333D8F"/>
    <w:rsid w:val="0034053E"/>
    <w:rsid w:val="00340AE4"/>
    <w:rsid w:val="00343E25"/>
    <w:rsid w:val="00347916"/>
    <w:rsid w:val="00351158"/>
    <w:rsid w:val="0035505E"/>
    <w:rsid w:val="0036021B"/>
    <w:rsid w:val="00362638"/>
    <w:rsid w:val="0036263A"/>
    <w:rsid w:val="0036380F"/>
    <w:rsid w:val="00365C03"/>
    <w:rsid w:val="003A60F9"/>
    <w:rsid w:val="003B3569"/>
    <w:rsid w:val="003C0801"/>
    <w:rsid w:val="003C25E0"/>
    <w:rsid w:val="003C290E"/>
    <w:rsid w:val="003D39D4"/>
    <w:rsid w:val="003E4B6D"/>
    <w:rsid w:val="003F02C4"/>
    <w:rsid w:val="00411E7F"/>
    <w:rsid w:val="00423C26"/>
    <w:rsid w:val="00426CB0"/>
    <w:rsid w:val="00455564"/>
    <w:rsid w:val="00482F26"/>
    <w:rsid w:val="004C3722"/>
    <w:rsid w:val="004D150C"/>
    <w:rsid w:val="004D1FC4"/>
    <w:rsid w:val="004D2DC7"/>
    <w:rsid w:val="004E2CCF"/>
    <w:rsid w:val="00502BB2"/>
    <w:rsid w:val="00507093"/>
    <w:rsid w:val="00514560"/>
    <w:rsid w:val="005216FD"/>
    <w:rsid w:val="00522C91"/>
    <w:rsid w:val="00524B41"/>
    <w:rsid w:val="00532A19"/>
    <w:rsid w:val="005506D5"/>
    <w:rsid w:val="00553FE0"/>
    <w:rsid w:val="00554A81"/>
    <w:rsid w:val="00562241"/>
    <w:rsid w:val="00562C27"/>
    <w:rsid w:val="00571541"/>
    <w:rsid w:val="0057778E"/>
    <w:rsid w:val="005812E3"/>
    <w:rsid w:val="00595CC0"/>
    <w:rsid w:val="005A1F2E"/>
    <w:rsid w:val="005A269E"/>
    <w:rsid w:val="005C0E8F"/>
    <w:rsid w:val="005C1562"/>
    <w:rsid w:val="005C1912"/>
    <w:rsid w:val="005C19C0"/>
    <w:rsid w:val="005C1D38"/>
    <w:rsid w:val="005C4994"/>
    <w:rsid w:val="005C5582"/>
    <w:rsid w:val="005D544E"/>
    <w:rsid w:val="005D6E48"/>
    <w:rsid w:val="005E534E"/>
    <w:rsid w:val="005F0023"/>
    <w:rsid w:val="005F66E7"/>
    <w:rsid w:val="006007BF"/>
    <w:rsid w:val="00605209"/>
    <w:rsid w:val="00640894"/>
    <w:rsid w:val="00644243"/>
    <w:rsid w:val="00646590"/>
    <w:rsid w:val="00650C95"/>
    <w:rsid w:val="0066335E"/>
    <w:rsid w:val="00666132"/>
    <w:rsid w:val="00666BE9"/>
    <w:rsid w:val="00671562"/>
    <w:rsid w:val="0067247D"/>
    <w:rsid w:val="006817EB"/>
    <w:rsid w:val="00682412"/>
    <w:rsid w:val="00682601"/>
    <w:rsid w:val="00687FA0"/>
    <w:rsid w:val="00691677"/>
    <w:rsid w:val="006A6009"/>
    <w:rsid w:val="006A6605"/>
    <w:rsid w:val="006C1967"/>
    <w:rsid w:val="006D049F"/>
    <w:rsid w:val="006E184E"/>
    <w:rsid w:val="006E685E"/>
    <w:rsid w:val="006E6E43"/>
    <w:rsid w:val="006E788F"/>
    <w:rsid w:val="006F266D"/>
    <w:rsid w:val="006F2FA8"/>
    <w:rsid w:val="00703BCB"/>
    <w:rsid w:val="00714655"/>
    <w:rsid w:val="007527A7"/>
    <w:rsid w:val="00761EFB"/>
    <w:rsid w:val="00770B62"/>
    <w:rsid w:val="0079045E"/>
    <w:rsid w:val="007A794E"/>
    <w:rsid w:val="007B19EE"/>
    <w:rsid w:val="007B41C7"/>
    <w:rsid w:val="007B732E"/>
    <w:rsid w:val="007C1AA1"/>
    <w:rsid w:val="007C3EBC"/>
    <w:rsid w:val="007C469D"/>
    <w:rsid w:val="007D1DB4"/>
    <w:rsid w:val="007D5548"/>
    <w:rsid w:val="007D76D9"/>
    <w:rsid w:val="007E5851"/>
    <w:rsid w:val="007F195D"/>
    <w:rsid w:val="007F754E"/>
    <w:rsid w:val="00822BB0"/>
    <w:rsid w:val="0083354C"/>
    <w:rsid w:val="00835F7E"/>
    <w:rsid w:val="008378CB"/>
    <w:rsid w:val="00852B7F"/>
    <w:rsid w:val="00867214"/>
    <w:rsid w:val="008679C3"/>
    <w:rsid w:val="0087516A"/>
    <w:rsid w:val="00875B1D"/>
    <w:rsid w:val="00876C1C"/>
    <w:rsid w:val="00880402"/>
    <w:rsid w:val="00881139"/>
    <w:rsid w:val="0089273D"/>
    <w:rsid w:val="008C717B"/>
    <w:rsid w:val="008D17E3"/>
    <w:rsid w:val="008D29B2"/>
    <w:rsid w:val="008D3C2B"/>
    <w:rsid w:val="008E222A"/>
    <w:rsid w:val="008E304B"/>
    <w:rsid w:val="00902F50"/>
    <w:rsid w:val="009055D3"/>
    <w:rsid w:val="00907D8E"/>
    <w:rsid w:val="00943951"/>
    <w:rsid w:val="009455BF"/>
    <w:rsid w:val="00950C88"/>
    <w:rsid w:val="00953CB4"/>
    <w:rsid w:val="00956FF9"/>
    <w:rsid w:val="00966562"/>
    <w:rsid w:val="0096697A"/>
    <w:rsid w:val="00973C24"/>
    <w:rsid w:val="00974F95"/>
    <w:rsid w:val="00997071"/>
    <w:rsid w:val="009A3362"/>
    <w:rsid w:val="009B2B01"/>
    <w:rsid w:val="009B603C"/>
    <w:rsid w:val="009C0240"/>
    <w:rsid w:val="009C1C50"/>
    <w:rsid w:val="009C1C7F"/>
    <w:rsid w:val="009D0C72"/>
    <w:rsid w:val="009D1D1D"/>
    <w:rsid w:val="009E4EC6"/>
    <w:rsid w:val="009E4F17"/>
    <w:rsid w:val="00A11C57"/>
    <w:rsid w:val="00A13451"/>
    <w:rsid w:val="00A3163A"/>
    <w:rsid w:val="00A33FF5"/>
    <w:rsid w:val="00A35F44"/>
    <w:rsid w:val="00A3602E"/>
    <w:rsid w:val="00A41F3D"/>
    <w:rsid w:val="00A529CF"/>
    <w:rsid w:val="00A55C51"/>
    <w:rsid w:val="00A70469"/>
    <w:rsid w:val="00A71180"/>
    <w:rsid w:val="00AA3A58"/>
    <w:rsid w:val="00AB0A58"/>
    <w:rsid w:val="00AC1C3C"/>
    <w:rsid w:val="00AC1DF0"/>
    <w:rsid w:val="00AC4FDA"/>
    <w:rsid w:val="00AD3532"/>
    <w:rsid w:val="00AF1B76"/>
    <w:rsid w:val="00AF2C46"/>
    <w:rsid w:val="00B03003"/>
    <w:rsid w:val="00B0750C"/>
    <w:rsid w:val="00B32C2D"/>
    <w:rsid w:val="00B45D84"/>
    <w:rsid w:val="00B6007A"/>
    <w:rsid w:val="00B6338F"/>
    <w:rsid w:val="00B7288F"/>
    <w:rsid w:val="00B77805"/>
    <w:rsid w:val="00B8252B"/>
    <w:rsid w:val="00B945E6"/>
    <w:rsid w:val="00BA459B"/>
    <w:rsid w:val="00BB7C1E"/>
    <w:rsid w:val="00BF4164"/>
    <w:rsid w:val="00C01FC9"/>
    <w:rsid w:val="00C1082C"/>
    <w:rsid w:val="00C132A0"/>
    <w:rsid w:val="00C40898"/>
    <w:rsid w:val="00C53056"/>
    <w:rsid w:val="00C56C26"/>
    <w:rsid w:val="00C6698B"/>
    <w:rsid w:val="00C70AC1"/>
    <w:rsid w:val="00C87863"/>
    <w:rsid w:val="00CA2132"/>
    <w:rsid w:val="00CA27B1"/>
    <w:rsid w:val="00CA4D6B"/>
    <w:rsid w:val="00CB6ADB"/>
    <w:rsid w:val="00CC14E5"/>
    <w:rsid w:val="00CC7FB4"/>
    <w:rsid w:val="00CF06D3"/>
    <w:rsid w:val="00CF6EB6"/>
    <w:rsid w:val="00D008E9"/>
    <w:rsid w:val="00D25202"/>
    <w:rsid w:val="00D25724"/>
    <w:rsid w:val="00D311D2"/>
    <w:rsid w:val="00D32280"/>
    <w:rsid w:val="00D45342"/>
    <w:rsid w:val="00D46265"/>
    <w:rsid w:val="00D81B11"/>
    <w:rsid w:val="00D8346B"/>
    <w:rsid w:val="00D85F64"/>
    <w:rsid w:val="00D91527"/>
    <w:rsid w:val="00D919B6"/>
    <w:rsid w:val="00D92DF1"/>
    <w:rsid w:val="00DA7951"/>
    <w:rsid w:val="00DB299E"/>
    <w:rsid w:val="00DC2C0E"/>
    <w:rsid w:val="00DD7071"/>
    <w:rsid w:val="00DE5C45"/>
    <w:rsid w:val="00DE60BD"/>
    <w:rsid w:val="00DE7B75"/>
    <w:rsid w:val="00DF5BC6"/>
    <w:rsid w:val="00E055A9"/>
    <w:rsid w:val="00E05A7B"/>
    <w:rsid w:val="00E23D35"/>
    <w:rsid w:val="00E25F78"/>
    <w:rsid w:val="00E35B25"/>
    <w:rsid w:val="00E4319D"/>
    <w:rsid w:val="00E46F70"/>
    <w:rsid w:val="00E5678D"/>
    <w:rsid w:val="00E574E3"/>
    <w:rsid w:val="00E937DF"/>
    <w:rsid w:val="00EA06BD"/>
    <w:rsid w:val="00EB35F1"/>
    <w:rsid w:val="00EB75E5"/>
    <w:rsid w:val="00EC3FB7"/>
    <w:rsid w:val="00ED7825"/>
    <w:rsid w:val="00EE46B6"/>
    <w:rsid w:val="00EF11EA"/>
    <w:rsid w:val="00F03FD2"/>
    <w:rsid w:val="00F1023F"/>
    <w:rsid w:val="00F153C3"/>
    <w:rsid w:val="00F21C9C"/>
    <w:rsid w:val="00F24CC9"/>
    <w:rsid w:val="00F40869"/>
    <w:rsid w:val="00F524D3"/>
    <w:rsid w:val="00F5340B"/>
    <w:rsid w:val="00F6098D"/>
    <w:rsid w:val="00F623F5"/>
    <w:rsid w:val="00F67E21"/>
    <w:rsid w:val="00F70186"/>
    <w:rsid w:val="00F73239"/>
    <w:rsid w:val="00F76E3D"/>
    <w:rsid w:val="00F935CE"/>
    <w:rsid w:val="00FB1396"/>
    <w:rsid w:val="00FB7CA6"/>
    <w:rsid w:val="00FD3779"/>
    <w:rsid w:val="00FD5989"/>
    <w:rsid w:val="00FE2E4E"/>
    <w:rsid w:val="00FE48BB"/>
    <w:rsid w:val="00FE70B6"/>
    <w:rsid w:val="00FE7AFE"/>
    <w:rsid w:val="00FF53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97F03"/>
  <w15:docId w15:val="{9B3DE8B1-0B23-48B5-8456-66231FF2F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2DE6"/>
    <w:rPr>
      <w:rFonts w:eastAsia="Times New Roman"/>
      <w:szCs w:val="20"/>
    </w:rPr>
  </w:style>
  <w:style w:type="paragraph" w:styleId="Antrat2">
    <w:name w:val="heading 2"/>
    <w:basedOn w:val="prastasis"/>
    <w:next w:val="prastasis"/>
    <w:link w:val="Antrat2Diagrama"/>
    <w:qFormat/>
    <w:rsid w:val="002E2DE6"/>
    <w:pPr>
      <w:keepNext/>
      <w:ind w:firstLine="720"/>
      <w:jc w:val="both"/>
      <w:outlineLvl w:val="1"/>
    </w:pPr>
    <w:rPr>
      <w:b/>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2E2DE6"/>
    <w:rPr>
      <w:rFonts w:eastAsia="Times New Roman"/>
      <w:b/>
      <w:sz w:val="20"/>
      <w:szCs w:val="20"/>
    </w:rPr>
  </w:style>
  <w:style w:type="table" w:styleId="Lentelstinklelis">
    <w:name w:val="Table Grid"/>
    <w:basedOn w:val="prastojilentel"/>
    <w:uiPriority w:val="39"/>
    <w:rsid w:val="002E2D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formatted">
    <w:name w:val="Preformatted"/>
    <w:basedOn w:val="prastasis"/>
    <w:rsid w:val="002E2DE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character" w:customStyle="1" w:styleId="Bodytext2">
    <w:name w:val="Body text (2)_"/>
    <w:basedOn w:val="Numatytasispastraiposriftas"/>
    <w:link w:val="Bodytext20"/>
    <w:rsid w:val="002E2DE6"/>
    <w:rPr>
      <w:rFonts w:eastAsia="Times New Roman"/>
      <w:shd w:val="clear" w:color="auto" w:fill="FFFFFF"/>
    </w:rPr>
  </w:style>
  <w:style w:type="paragraph" w:customStyle="1" w:styleId="Bodytext20">
    <w:name w:val="Body text (2)"/>
    <w:basedOn w:val="prastasis"/>
    <w:link w:val="Bodytext2"/>
    <w:rsid w:val="002E2DE6"/>
    <w:pPr>
      <w:widowControl w:val="0"/>
      <w:shd w:val="clear" w:color="auto" w:fill="FFFFFF"/>
      <w:spacing w:before="480" w:after="60" w:line="0" w:lineRule="atLeast"/>
      <w:jc w:val="both"/>
    </w:pPr>
    <w:rPr>
      <w:szCs w:val="24"/>
    </w:rPr>
  </w:style>
  <w:style w:type="paragraph" w:styleId="Debesliotekstas">
    <w:name w:val="Balloon Text"/>
    <w:basedOn w:val="prastasis"/>
    <w:link w:val="DebesliotekstasDiagrama"/>
    <w:uiPriority w:val="99"/>
    <w:semiHidden/>
    <w:unhideWhenUsed/>
    <w:rsid w:val="0088113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1139"/>
    <w:rPr>
      <w:rFonts w:ascii="Segoe UI" w:eastAsia="Times New Roman" w:hAnsi="Segoe UI" w:cs="Segoe UI"/>
      <w:sz w:val="18"/>
      <w:szCs w:val="18"/>
      <w:lang w:val="en-US"/>
    </w:rPr>
  </w:style>
  <w:style w:type="paragraph" w:styleId="Porat">
    <w:name w:val="footer"/>
    <w:basedOn w:val="prastasis"/>
    <w:link w:val="PoratDiagrama"/>
    <w:unhideWhenUsed/>
    <w:rsid w:val="007F754E"/>
    <w:pPr>
      <w:tabs>
        <w:tab w:val="center" w:pos="4680"/>
        <w:tab w:val="right" w:pos="9360"/>
      </w:tabs>
    </w:pPr>
    <w:rPr>
      <w:rFonts w:asciiTheme="minorHAnsi" w:eastAsiaTheme="minorHAnsi" w:hAnsiTheme="minorHAnsi" w:cstheme="minorBidi"/>
      <w:sz w:val="22"/>
      <w:szCs w:val="22"/>
    </w:rPr>
  </w:style>
  <w:style w:type="character" w:customStyle="1" w:styleId="PoratDiagrama">
    <w:name w:val="Poraštė Diagrama"/>
    <w:basedOn w:val="Numatytasispastraiposriftas"/>
    <w:link w:val="Porat"/>
    <w:uiPriority w:val="99"/>
    <w:rsid w:val="007F754E"/>
    <w:rPr>
      <w:rFonts w:asciiTheme="minorHAnsi" w:hAnsiTheme="minorHAnsi" w:cstheme="minorBidi"/>
      <w:sz w:val="22"/>
      <w:szCs w:val="22"/>
      <w:lang w:val="en-US"/>
    </w:rPr>
  </w:style>
  <w:style w:type="paragraph" w:styleId="Antrats">
    <w:name w:val="header"/>
    <w:basedOn w:val="prastasis"/>
    <w:link w:val="AntratsDiagrama"/>
    <w:uiPriority w:val="99"/>
    <w:unhideWhenUsed/>
    <w:rsid w:val="00FE70B6"/>
    <w:pPr>
      <w:tabs>
        <w:tab w:val="center" w:pos="4819"/>
        <w:tab w:val="right" w:pos="9638"/>
      </w:tabs>
    </w:pPr>
  </w:style>
  <w:style w:type="character" w:customStyle="1" w:styleId="AntratsDiagrama">
    <w:name w:val="Antraštės Diagrama"/>
    <w:basedOn w:val="Numatytasispastraiposriftas"/>
    <w:link w:val="Antrats"/>
    <w:uiPriority w:val="99"/>
    <w:rsid w:val="00FE70B6"/>
    <w:rPr>
      <w:rFonts w:eastAsia="Times New Roman"/>
      <w:szCs w:val="20"/>
      <w:lang w:val="en-US"/>
    </w:rPr>
  </w:style>
  <w:style w:type="character" w:styleId="Komentaronuoroda">
    <w:name w:val="annotation reference"/>
    <w:basedOn w:val="Numatytasispastraiposriftas"/>
    <w:uiPriority w:val="99"/>
    <w:semiHidden/>
    <w:unhideWhenUsed/>
    <w:rsid w:val="00703BCB"/>
    <w:rPr>
      <w:sz w:val="16"/>
      <w:szCs w:val="16"/>
    </w:rPr>
  </w:style>
  <w:style w:type="paragraph" w:styleId="Komentarotekstas">
    <w:name w:val="annotation text"/>
    <w:basedOn w:val="prastasis"/>
    <w:link w:val="KomentarotekstasDiagrama"/>
    <w:unhideWhenUsed/>
    <w:rsid w:val="00703BCB"/>
    <w:rPr>
      <w:sz w:val="20"/>
    </w:rPr>
  </w:style>
  <w:style w:type="character" w:customStyle="1" w:styleId="KomentarotekstasDiagrama">
    <w:name w:val="Komentaro tekstas Diagrama"/>
    <w:basedOn w:val="Numatytasispastraiposriftas"/>
    <w:link w:val="Komentarotekstas"/>
    <w:rsid w:val="00703BCB"/>
    <w:rPr>
      <w:rFonts w:eastAsia="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703BCB"/>
    <w:rPr>
      <w:b/>
      <w:bCs/>
    </w:rPr>
  </w:style>
  <w:style w:type="character" w:customStyle="1" w:styleId="KomentarotemaDiagrama">
    <w:name w:val="Komentaro tema Diagrama"/>
    <w:basedOn w:val="KomentarotekstasDiagrama"/>
    <w:link w:val="Komentarotema"/>
    <w:uiPriority w:val="99"/>
    <w:semiHidden/>
    <w:rsid w:val="00703BCB"/>
    <w:rPr>
      <w:rFonts w:eastAsia="Times New Roman"/>
      <w:b/>
      <w:bCs/>
      <w:sz w:val="20"/>
      <w:szCs w:val="20"/>
      <w:lang w:val="en-US"/>
    </w:rPr>
  </w:style>
  <w:style w:type="paragraph" w:customStyle="1" w:styleId="Adresas">
    <w:name w:val="Adresas"/>
    <w:basedOn w:val="prastasis"/>
    <w:qFormat/>
    <w:rsid w:val="00306040"/>
    <w:pPr>
      <w:suppressAutoHyphens/>
      <w:ind w:right="318"/>
    </w:pPr>
    <w:rPr>
      <w:szCs w:val="24"/>
      <w:lang w:eastAsia="ar-SA"/>
    </w:rPr>
  </w:style>
  <w:style w:type="paragraph" w:styleId="Sraopastraipa">
    <w:name w:val="List Paragraph"/>
    <w:basedOn w:val="prastasis"/>
    <w:qFormat/>
    <w:rsid w:val="00E23D35"/>
    <w:pPr>
      <w:suppressAutoHyphens/>
      <w:ind w:left="720"/>
      <w:contextualSpacing/>
    </w:pPr>
    <w:rPr>
      <w:szCs w:val="24"/>
      <w:lang w:eastAsia="ar-SA"/>
    </w:rPr>
  </w:style>
  <w:style w:type="character" w:customStyle="1" w:styleId="Bodytext2Italic">
    <w:name w:val="Body text (2) + Italic"/>
    <w:basedOn w:val="Numatytasispastraiposriftas"/>
    <w:rsid w:val="00E23D35"/>
    <w:rPr>
      <w:rFonts w:ascii="Times New Roman" w:eastAsia="Times New Roman" w:hAnsi="Times New Roman" w:cs="Times New Roman"/>
      <w:i/>
      <w:iCs/>
      <w:color w:val="000000"/>
      <w:spacing w:val="0"/>
      <w:w w:val="100"/>
      <w:position w:val="0"/>
      <w:sz w:val="24"/>
      <w:szCs w:val="24"/>
      <w:shd w:val="clear" w:color="auto" w:fill="FFFFFF"/>
      <w:lang w:val="lt-LT" w:eastAsia="lt-LT" w:bidi="lt-LT"/>
    </w:rPr>
  </w:style>
  <w:style w:type="paragraph" w:styleId="Betarp">
    <w:name w:val="No Spacing"/>
    <w:uiPriority w:val="1"/>
    <w:qFormat/>
    <w:rsid w:val="007C1AA1"/>
    <w:rPr>
      <w:rFonts w:eastAsia="Times New Roman"/>
      <w:szCs w:val="20"/>
      <w:lang w:val="en-US"/>
    </w:rPr>
  </w:style>
  <w:style w:type="paragraph" w:customStyle="1" w:styleId="Pastraipanenumeruota">
    <w:name w:val="Pastraipa (nenumeruota)"/>
    <w:basedOn w:val="prastasis"/>
    <w:uiPriority w:val="9"/>
    <w:qFormat/>
    <w:rsid w:val="001C49D1"/>
    <w:pPr>
      <w:ind w:firstLine="720"/>
      <w:jc w:val="both"/>
    </w:pPr>
    <w:rPr>
      <w:rFonts w:eastAsiaTheme="minorHAnsi" w:cstheme="minorBidi"/>
      <w:szCs w:val="24"/>
    </w:rPr>
  </w:style>
  <w:style w:type="paragraph" w:styleId="Pagrindinistekstas">
    <w:name w:val="Body Text"/>
    <w:basedOn w:val="prastasis"/>
    <w:link w:val="PagrindinistekstasDiagrama"/>
    <w:rsid w:val="007B19EE"/>
    <w:pPr>
      <w:ind w:firstLine="1247"/>
      <w:jc w:val="both"/>
    </w:pPr>
  </w:style>
  <w:style w:type="character" w:customStyle="1" w:styleId="PagrindinistekstasDiagrama">
    <w:name w:val="Pagrindinis tekstas Diagrama"/>
    <w:basedOn w:val="Numatytasispastraiposriftas"/>
    <w:link w:val="Pagrindinistekstas"/>
    <w:rsid w:val="007B19EE"/>
    <w:rPr>
      <w:rFonts w:eastAsia="Times New Roman"/>
      <w:szCs w:val="20"/>
    </w:rPr>
  </w:style>
  <w:style w:type="paragraph" w:customStyle="1" w:styleId="Standard">
    <w:name w:val="Standard"/>
    <w:rsid w:val="001024C7"/>
    <w:pPr>
      <w:suppressAutoHyphens/>
      <w:autoSpaceDN w:val="0"/>
      <w:textAlignment w:val="baseline"/>
    </w:pPr>
    <w:rPr>
      <w:rFonts w:eastAsia="Times New Roman"/>
      <w:kern w:val="3"/>
      <w:szCs w:val="20"/>
      <w:lang w:val="en-US" w:eastAsia="zh-CN"/>
    </w:rPr>
  </w:style>
  <w:style w:type="paragraph" w:customStyle="1" w:styleId="Textbody">
    <w:name w:val="Text body"/>
    <w:basedOn w:val="Standard"/>
    <w:rsid w:val="001024C7"/>
    <w:pPr>
      <w:jc w:val="both"/>
    </w:pPr>
    <w:rPr>
      <w:lang w:val="lt-LT"/>
    </w:rPr>
  </w:style>
  <w:style w:type="character" w:customStyle="1" w:styleId="Teletype">
    <w:name w:val="Teletype"/>
    <w:rsid w:val="001024C7"/>
    <w:rPr>
      <w:rFonts w:ascii="Liberation Mono" w:eastAsia="NSimSun" w:hAnsi="Liberation Mono" w:cs="Liberation Mono"/>
    </w:rPr>
  </w:style>
  <w:style w:type="paragraph" w:customStyle="1" w:styleId="Pagrindiniotekstotrauka21">
    <w:name w:val="Pagrindinio teksto įtrauka 21"/>
    <w:basedOn w:val="prastasis"/>
    <w:rsid w:val="00426CB0"/>
    <w:pPr>
      <w:tabs>
        <w:tab w:val="left" w:pos="0"/>
      </w:tabs>
      <w:suppressAutoHyphens/>
      <w:autoSpaceDN w:val="0"/>
      <w:ind w:firstLine="1134"/>
      <w:jc w:val="both"/>
      <w:textAlignment w:val="baseline"/>
    </w:pPr>
    <w:rPr>
      <w:rFonts w:ascii="Arial" w:eastAsia="Arial" w:hAnsi="Arial" w:cs="Arial"/>
      <w:color w:val="00000A"/>
      <w:kern w:val="3"/>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140201">
      <w:bodyDiv w:val="1"/>
      <w:marLeft w:val="0"/>
      <w:marRight w:val="0"/>
      <w:marTop w:val="0"/>
      <w:marBottom w:val="0"/>
      <w:divBdr>
        <w:top w:val="none" w:sz="0" w:space="0" w:color="auto"/>
        <w:left w:val="none" w:sz="0" w:space="0" w:color="auto"/>
        <w:bottom w:val="none" w:sz="0" w:space="0" w:color="auto"/>
        <w:right w:val="none" w:sz="0" w:space="0" w:color="auto"/>
      </w:divBdr>
      <w:divsChild>
        <w:div w:id="1820727241">
          <w:marLeft w:val="0"/>
          <w:marRight w:val="0"/>
          <w:marTop w:val="0"/>
          <w:marBottom w:val="0"/>
          <w:divBdr>
            <w:top w:val="none" w:sz="0" w:space="0" w:color="auto"/>
            <w:left w:val="none" w:sz="0" w:space="0" w:color="auto"/>
            <w:bottom w:val="none" w:sz="0" w:space="0" w:color="auto"/>
            <w:right w:val="none" w:sz="0" w:space="0" w:color="auto"/>
          </w:divBdr>
        </w:div>
      </w:divsChild>
    </w:div>
    <w:div w:id="1095319439">
      <w:bodyDiv w:val="1"/>
      <w:marLeft w:val="0"/>
      <w:marRight w:val="0"/>
      <w:marTop w:val="0"/>
      <w:marBottom w:val="0"/>
      <w:divBdr>
        <w:top w:val="none" w:sz="0" w:space="0" w:color="auto"/>
        <w:left w:val="none" w:sz="0" w:space="0" w:color="auto"/>
        <w:bottom w:val="none" w:sz="0" w:space="0" w:color="auto"/>
        <w:right w:val="none" w:sz="0" w:space="0" w:color="auto"/>
      </w:divBdr>
      <w:divsChild>
        <w:div w:id="1663511254">
          <w:marLeft w:val="0"/>
          <w:marRight w:val="0"/>
          <w:marTop w:val="0"/>
          <w:marBottom w:val="0"/>
          <w:divBdr>
            <w:top w:val="none" w:sz="0" w:space="0" w:color="auto"/>
            <w:left w:val="none" w:sz="0" w:space="0" w:color="auto"/>
            <w:bottom w:val="none" w:sz="0" w:space="0" w:color="auto"/>
            <w:right w:val="none" w:sz="0" w:space="0" w:color="auto"/>
          </w:divBdr>
        </w:div>
        <w:div w:id="2072271349">
          <w:marLeft w:val="0"/>
          <w:marRight w:val="0"/>
          <w:marTop w:val="0"/>
          <w:marBottom w:val="0"/>
          <w:divBdr>
            <w:top w:val="none" w:sz="0" w:space="0" w:color="auto"/>
            <w:left w:val="none" w:sz="0" w:space="0" w:color="auto"/>
            <w:bottom w:val="none" w:sz="0" w:space="0" w:color="auto"/>
            <w:right w:val="none" w:sz="0" w:space="0" w:color="auto"/>
          </w:divBdr>
        </w:div>
      </w:divsChild>
    </w:div>
    <w:div w:id="1434352915">
      <w:bodyDiv w:val="1"/>
      <w:marLeft w:val="0"/>
      <w:marRight w:val="0"/>
      <w:marTop w:val="0"/>
      <w:marBottom w:val="0"/>
      <w:divBdr>
        <w:top w:val="none" w:sz="0" w:space="0" w:color="auto"/>
        <w:left w:val="none" w:sz="0" w:space="0" w:color="auto"/>
        <w:bottom w:val="none" w:sz="0" w:space="0" w:color="auto"/>
        <w:right w:val="none" w:sz="0" w:space="0" w:color="auto"/>
      </w:divBdr>
      <w:divsChild>
        <w:div w:id="753672060">
          <w:marLeft w:val="0"/>
          <w:marRight w:val="0"/>
          <w:marTop w:val="0"/>
          <w:marBottom w:val="0"/>
          <w:divBdr>
            <w:top w:val="none" w:sz="0" w:space="0" w:color="auto"/>
            <w:left w:val="none" w:sz="0" w:space="0" w:color="auto"/>
            <w:bottom w:val="none" w:sz="0" w:space="0" w:color="auto"/>
            <w:right w:val="none" w:sz="0" w:space="0" w:color="auto"/>
          </w:divBdr>
        </w:div>
        <w:div w:id="1618292127">
          <w:marLeft w:val="0"/>
          <w:marRight w:val="0"/>
          <w:marTop w:val="0"/>
          <w:marBottom w:val="0"/>
          <w:divBdr>
            <w:top w:val="none" w:sz="0" w:space="0" w:color="auto"/>
            <w:left w:val="none" w:sz="0" w:space="0" w:color="auto"/>
            <w:bottom w:val="none" w:sz="0" w:space="0" w:color="auto"/>
            <w:right w:val="none" w:sz="0" w:space="0" w:color="auto"/>
          </w:divBdr>
        </w:div>
        <w:div w:id="1394545129">
          <w:marLeft w:val="0"/>
          <w:marRight w:val="0"/>
          <w:marTop w:val="0"/>
          <w:marBottom w:val="0"/>
          <w:divBdr>
            <w:top w:val="none" w:sz="0" w:space="0" w:color="auto"/>
            <w:left w:val="none" w:sz="0" w:space="0" w:color="auto"/>
            <w:bottom w:val="none" w:sz="0" w:space="0" w:color="auto"/>
            <w:right w:val="none" w:sz="0" w:space="0" w:color="auto"/>
          </w:divBdr>
        </w:div>
        <w:div w:id="731391448">
          <w:marLeft w:val="0"/>
          <w:marRight w:val="0"/>
          <w:marTop w:val="0"/>
          <w:marBottom w:val="0"/>
          <w:divBdr>
            <w:top w:val="none" w:sz="0" w:space="0" w:color="auto"/>
            <w:left w:val="none" w:sz="0" w:space="0" w:color="auto"/>
            <w:bottom w:val="none" w:sz="0" w:space="0" w:color="auto"/>
            <w:right w:val="none" w:sz="0" w:space="0" w:color="auto"/>
          </w:divBdr>
        </w:div>
      </w:divsChild>
    </w:div>
    <w:div w:id="1910915899">
      <w:bodyDiv w:val="1"/>
      <w:marLeft w:val="0"/>
      <w:marRight w:val="0"/>
      <w:marTop w:val="0"/>
      <w:marBottom w:val="0"/>
      <w:divBdr>
        <w:top w:val="none" w:sz="0" w:space="0" w:color="auto"/>
        <w:left w:val="none" w:sz="0" w:space="0" w:color="auto"/>
        <w:bottom w:val="none" w:sz="0" w:space="0" w:color="auto"/>
        <w:right w:val="none" w:sz="0" w:space="0" w:color="auto"/>
      </w:divBdr>
    </w:div>
    <w:div w:id="2134055193">
      <w:bodyDiv w:val="1"/>
      <w:marLeft w:val="0"/>
      <w:marRight w:val="0"/>
      <w:marTop w:val="0"/>
      <w:marBottom w:val="0"/>
      <w:divBdr>
        <w:top w:val="none" w:sz="0" w:space="0" w:color="auto"/>
        <w:left w:val="none" w:sz="0" w:space="0" w:color="auto"/>
        <w:bottom w:val="none" w:sz="0" w:space="0" w:color="auto"/>
        <w:right w:val="none" w:sz="0" w:space="0" w:color="auto"/>
      </w:divBdr>
      <w:divsChild>
        <w:div w:id="2118135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9C85B-230B-4F17-8A2F-84890ECF7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4666</Words>
  <Characters>2661</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Ilona Šimkūnaitė</dc:creator>
  <cp:lastModifiedBy>Jurgita Laskevičiūtė</cp:lastModifiedBy>
  <cp:revision>19</cp:revision>
  <cp:lastPrinted>2016-12-30T07:20:00Z</cp:lastPrinted>
  <dcterms:created xsi:type="dcterms:W3CDTF">2018-08-06T10:34:00Z</dcterms:created>
  <dcterms:modified xsi:type="dcterms:W3CDTF">2018-08-31T10:42:00Z</dcterms:modified>
</cp:coreProperties>
</file>