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F93" w:rsidRPr="00BE4665" w:rsidRDefault="00536F93" w:rsidP="005079FB">
      <w:pPr>
        <w:jc w:val="center"/>
        <w:rPr>
          <w:b/>
          <w:sz w:val="24"/>
          <w:szCs w:val="24"/>
          <w:lang w:val="lt-LT"/>
        </w:rPr>
      </w:pPr>
      <w:r w:rsidRPr="00BE4665">
        <w:rPr>
          <w:b/>
          <w:sz w:val="24"/>
          <w:szCs w:val="24"/>
          <w:lang w:val="lt-LT"/>
        </w:rPr>
        <w:t xml:space="preserve">PAŽYMA </w:t>
      </w:r>
    </w:p>
    <w:p w:rsidR="00536F93" w:rsidRPr="00BE4665" w:rsidRDefault="00536F93" w:rsidP="005079FB">
      <w:pPr>
        <w:jc w:val="center"/>
        <w:rPr>
          <w:b/>
          <w:sz w:val="24"/>
          <w:szCs w:val="24"/>
          <w:lang w:val="lt-LT"/>
        </w:rPr>
      </w:pPr>
      <w:r w:rsidRPr="00BE4665">
        <w:rPr>
          <w:b/>
          <w:sz w:val="24"/>
          <w:szCs w:val="24"/>
          <w:lang w:val="lt-LT"/>
        </w:rPr>
        <w:t xml:space="preserve">DĖL </w:t>
      </w:r>
      <w:r w:rsidR="005079FB" w:rsidRPr="00BE4665">
        <w:rPr>
          <w:b/>
          <w:sz w:val="24"/>
          <w:szCs w:val="24"/>
          <w:lang w:val="lt-LT"/>
        </w:rPr>
        <w:t xml:space="preserve">KLAUSIMŲ, </w:t>
      </w:r>
      <w:r w:rsidR="00BA4D69" w:rsidRPr="00BE4665">
        <w:rPr>
          <w:b/>
          <w:sz w:val="24"/>
          <w:szCs w:val="24"/>
          <w:lang w:val="lt-LT"/>
        </w:rPr>
        <w:t xml:space="preserve">KURIE BUS SVARSTOMI </w:t>
      </w:r>
      <w:r w:rsidR="005079FB" w:rsidRPr="00BE4665">
        <w:rPr>
          <w:b/>
          <w:sz w:val="24"/>
          <w:szCs w:val="24"/>
          <w:lang w:val="lt-LT"/>
        </w:rPr>
        <w:t>EUROPOS SĄJUNGOS TRANSPORTO, TELEKOMUNIKACIJŲ IR ENERGETIKOS TARYBOJE</w:t>
      </w:r>
      <w:r w:rsidRPr="00BE4665">
        <w:rPr>
          <w:b/>
          <w:sz w:val="24"/>
          <w:szCs w:val="24"/>
          <w:lang w:val="lt-LT"/>
        </w:rPr>
        <w:t xml:space="preserve"> </w:t>
      </w:r>
    </w:p>
    <w:p w:rsidR="005079FB" w:rsidRPr="00BE4665" w:rsidRDefault="004D2269" w:rsidP="005079FB">
      <w:pPr>
        <w:jc w:val="center"/>
        <w:rPr>
          <w:b/>
          <w:sz w:val="24"/>
          <w:szCs w:val="24"/>
          <w:lang w:val="lt-LT"/>
        </w:rPr>
      </w:pPr>
      <w:r w:rsidRPr="00BE4665">
        <w:rPr>
          <w:b/>
          <w:sz w:val="24"/>
          <w:szCs w:val="24"/>
          <w:lang w:val="lt-LT"/>
        </w:rPr>
        <w:t>2018</w:t>
      </w:r>
      <w:r w:rsidR="0011730F" w:rsidRPr="00BE4665">
        <w:rPr>
          <w:b/>
          <w:sz w:val="24"/>
          <w:szCs w:val="24"/>
          <w:lang w:val="lt-LT"/>
        </w:rPr>
        <w:t xml:space="preserve"> m</w:t>
      </w:r>
      <w:r w:rsidR="00215E19" w:rsidRPr="00BE4665">
        <w:rPr>
          <w:b/>
          <w:sz w:val="24"/>
          <w:szCs w:val="24"/>
          <w:lang w:val="lt-LT"/>
        </w:rPr>
        <w:t xml:space="preserve">. </w:t>
      </w:r>
      <w:r w:rsidR="006B4D7A" w:rsidRPr="00BE4665">
        <w:rPr>
          <w:b/>
          <w:sz w:val="24"/>
          <w:szCs w:val="24"/>
          <w:lang w:val="lt-LT"/>
        </w:rPr>
        <w:t xml:space="preserve">gruodžio 3 ir 4 </w:t>
      </w:r>
      <w:r w:rsidR="00215E19" w:rsidRPr="00BE4665">
        <w:rPr>
          <w:b/>
          <w:sz w:val="24"/>
          <w:szCs w:val="24"/>
          <w:lang w:val="lt-LT"/>
        </w:rPr>
        <w:t xml:space="preserve"> </w:t>
      </w:r>
      <w:r w:rsidR="0011730F" w:rsidRPr="00BE4665">
        <w:rPr>
          <w:b/>
          <w:sz w:val="24"/>
          <w:szCs w:val="24"/>
          <w:lang w:val="lt-LT"/>
        </w:rPr>
        <w:t>d</w:t>
      </w:r>
      <w:r w:rsidR="00536F93" w:rsidRPr="00BE4665">
        <w:rPr>
          <w:b/>
          <w:sz w:val="24"/>
          <w:szCs w:val="24"/>
          <w:lang w:val="lt-LT"/>
        </w:rPr>
        <w:t>.</w:t>
      </w:r>
    </w:p>
    <w:p w:rsidR="009A713F" w:rsidRPr="00BE4665" w:rsidRDefault="009A713F" w:rsidP="005079FB">
      <w:pPr>
        <w:jc w:val="both"/>
        <w:rPr>
          <w:sz w:val="24"/>
          <w:szCs w:val="24"/>
          <w:lang w:val="lt-LT"/>
        </w:rPr>
      </w:pPr>
    </w:p>
    <w:p w:rsidR="006C7A59" w:rsidRPr="00BE4665" w:rsidRDefault="006C7A59" w:rsidP="005079FB">
      <w:pPr>
        <w:jc w:val="both"/>
        <w:rPr>
          <w:sz w:val="24"/>
          <w:szCs w:val="24"/>
          <w:lang w:val="lt-LT"/>
        </w:rPr>
      </w:pPr>
    </w:p>
    <w:p w:rsidR="008C5732" w:rsidRPr="00BE4665" w:rsidRDefault="00BD170A" w:rsidP="003F4CB7">
      <w:pPr>
        <w:ind w:firstLine="709"/>
        <w:jc w:val="both"/>
        <w:rPr>
          <w:sz w:val="24"/>
          <w:szCs w:val="24"/>
          <w:lang w:val="lt-LT"/>
        </w:rPr>
      </w:pPr>
      <w:r w:rsidRPr="00BE4665">
        <w:rPr>
          <w:sz w:val="24"/>
          <w:szCs w:val="24"/>
          <w:lang w:val="lt-LT"/>
        </w:rPr>
        <w:t>201</w:t>
      </w:r>
      <w:r w:rsidR="004D2269" w:rsidRPr="00BE4665">
        <w:rPr>
          <w:sz w:val="24"/>
          <w:szCs w:val="24"/>
          <w:lang w:val="lt-LT"/>
        </w:rPr>
        <w:t>8</w:t>
      </w:r>
      <w:r w:rsidR="005079FB" w:rsidRPr="00BE4665">
        <w:rPr>
          <w:sz w:val="24"/>
          <w:szCs w:val="24"/>
          <w:lang w:val="lt-LT"/>
        </w:rPr>
        <w:t xml:space="preserve"> m. </w:t>
      </w:r>
      <w:r w:rsidR="006B4D7A" w:rsidRPr="00BE4665">
        <w:rPr>
          <w:sz w:val="24"/>
          <w:szCs w:val="24"/>
          <w:lang w:val="lt-LT"/>
        </w:rPr>
        <w:t>gruodžio 3 ir 4</w:t>
      </w:r>
      <w:r w:rsidR="00B42FCE" w:rsidRPr="00BE4665">
        <w:rPr>
          <w:sz w:val="24"/>
          <w:szCs w:val="24"/>
          <w:lang w:val="lt-LT"/>
        </w:rPr>
        <w:t xml:space="preserve"> </w:t>
      </w:r>
      <w:r w:rsidR="0040577F" w:rsidRPr="00BE4665">
        <w:rPr>
          <w:sz w:val="24"/>
          <w:szCs w:val="24"/>
          <w:lang w:val="lt-LT"/>
        </w:rPr>
        <w:t>d.</w:t>
      </w:r>
      <w:r w:rsidR="005079FB" w:rsidRPr="00BE4665">
        <w:rPr>
          <w:sz w:val="24"/>
          <w:szCs w:val="24"/>
          <w:lang w:val="lt-LT"/>
        </w:rPr>
        <w:t xml:space="preserve"> vyksianči</w:t>
      </w:r>
      <w:r w:rsidR="00270EBE" w:rsidRPr="00BE4665">
        <w:rPr>
          <w:sz w:val="24"/>
          <w:szCs w:val="24"/>
          <w:lang w:val="lt-LT"/>
        </w:rPr>
        <w:t>o</w:t>
      </w:r>
      <w:r w:rsidR="005079FB" w:rsidRPr="00BE4665">
        <w:rPr>
          <w:sz w:val="24"/>
          <w:szCs w:val="24"/>
          <w:lang w:val="lt-LT"/>
        </w:rPr>
        <w:t xml:space="preserve"> Europos Sąjungos Transporto, telekomunikacijų ir en</w:t>
      </w:r>
      <w:r w:rsidR="008C5732" w:rsidRPr="00BE4665">
        <w:rPr>
          <w:sz w:val="24"/>
          <w:szCs w:val="24"/>
          <w:lang w:val="lt-LT"/>
        </w:rPr>
        <w:t xml:space="preserve">ergetikos </w:t>
      </w:r>
      <w:r w:rsidR="001F24D9" w:rsidRPr="00BE4665">
        <w:rPr>
          <w:sz w:val="24"/>
          <w:szCs w:val="24"/>
          <w:lang w:val="lt-LT"/>
        </w:rPr>
        <w:t xml:space="preserve">(toliau – TTE) </w:t>
      </w:r>
      <w:r w:rsidR="008C5732" w:rsidRPr="00BE4665">
        <w:rPr>
          <w:sz w:val="24"/>
          <w:szCs w:val="24"/>
          <w:lang w:val="lt-LT"/>
        </w:rPr>
        <w:t xml:space="preserve">Tarybos posėdžio darbotvarkėje numatyti </w:t>
      </w:r>
      <w:r w:rsidR="006B10F3" w:rsidRPr="00BE4665">
        <w:rPr>
          <w:sz w:val="24"/>
          <w:szCs w:val="24"/>
          <w:lang w:val="lt-LT"/>
        </w:rPr>
        <w:t xml:space="preserve">šie </w:t>
      </w:r>
      <w:r w:rsidR="007508A2" w:rsidRPr="00BE4665">
        <w:rPr>
          <w:sz w:val="24"/>
          <w:szCs w:val="24"/>
          <w:lang w:val="lt-LT"/>
        </w:rPr>
        <w:t>klausimai:</w:t>
      </w:r>
    </w:p>
    <w:p w:rsidR="006B4D7A" w:rsidRPr="00BE4665" w:rsidRDefault="006B4D7A" w:rsidP="003F4CB7">
      <w:pPr>
        <w:pStyle w:val="PointManual"/>
        <w:numPr>
          <w:ilvl w:val="0"/>
          <w:numId w:val="35"/>
        </w:numPr>
        <w:spacing w:before="360"/>
        <w:ind w:left="426"/>
        <w:jc w:val="both"/>
        <w:rPr>
          <w:b/>
        </w:rPr>
      </w:pPr>
      <w:r w:rsidRPr="00BE4665">
        <w:rPr>
          <w:b/>
        </w:rPr>
        <w:t xml:space="preserve">Mobilumo paketas I </w:t>
      </w:r>
    </w:p>
    <w:p w:rsidR="006B4D7A" w:rsidRPr="00BE4665" w:rsidRDefault="006B4D7A" w:rsidP="003F4CB7">
      <w:pPr>
        <w:pStyle w:val="Betarp"/>
        <w:jc w:val="both"/>
        <w:rPr>
          <w:lang w:val="lt-LT"/>
        </w:rPr>
      </w:pPr>
    </w:p>
    <w:p w:rsidR="006B4D7A" w:rsidRPr="00BE4665" w:rsidRDefault="006B4D7A" w:rsidP="003F4CB7">
      <w:pPr>
        <w:pStyle w:val="Betarp"/>
        <w:numPr>
          <w:ilvl w:val="0"/>
          <w:numId w:val="36"/>
        </w:numPr>
        <w:jc w:val="both"/>
        <w:rPr>
          <w:sz w:val="24"/>
          <w:szCs w:val="24"/>
          <w:lang w:val="lt-LT"/>
        </w:rPr>
      </w:pPr>
      <w:r w:rsidRPr="00BE4665">
        <w:rPr>
          <w:sz w:val="24"/>
          <w:szCs w:val="24"/>
          <w:lang w:val="lt-LT"/>
        </w:rPr>
        <w:t>Pasiūlymas dėl Europos Parlamento ir Tarybos reglamento, kuriuo iš dalies keičiami Reglamentas (EB) Nr. 1071/2009 ir Reglamentas (EB) Nr. 1072/2009 siekiant juos pritaikyti prie pokyčių sektoriuje;</w:t>
      </w:r>
    </w:p>
    <w:p w:rsidR="006B4D7A" w:rsidRPr="00BE4665" w:rsidRDefault="006B4D7A" w:rsidP="003F4CB7">
      <w:pPr>
        <w:pStyle w:val="Betarp"/>
        <w:numPr>
          <w:ilvl w:val="0"/>
          <w:numId w:val="36"/>
        </w:numPr>
        <w:jc w:val="both"/>
        <w:rPr>
          <w:sz w:val="24"/>
          <w:szCs w:val="24"/>
          <w:lang w:val="lt-LT"/>
        </w:rPr>
      </w:pPr>
      <w:r w:rsidRPr="00BE4665">
        <w:rPr>
          <w:sz w:val="24"/>
          <w:szCs w:val="24"/>
          <w:lang w:val="lt-LT"/>
        </w:rPr>
        <w:t xml:space="preserve">Pasiūlymas dėl Europos Parlamento ir Tarybos reglamento, kuriuo iš dalies keičiamas Reglamentas (EB) Nr. 561/2006 dėl būtiniausių reikalavimų, taikytinų didžiausiai kasdienio ir kassavaitinio vairavimo trukmei, minimalioms pertraukoms ir kasdienio ir kassavaitinio poilsio laikotarpiams, ir Reglamentas (ES) Nr. 165/2014 dėl vietos nustatymo naudojant </w:t>
      </w:r>
      <w:proofErr w:type="spellStart"/>
      <w:r w:rsidRPr="00BE4665">
        <w:rPr>
          <w:sz w:val="24"/>
          <w:szCs w:val="24"/>
          <w:lang w:val="lt-LT"/>
        </w:rPr>
        <w:t>tachografus</w:t>
      </w:r>
      <w:proofErr w:type="spellEnd"/>
      <w:r w:rsidRPr="00BE4665">
        <w:rPr>
          <w:sz w:val="24"/>
          <w:szCs w:val="24"/>
          <w:lang w:val="lt-LT"/>
        </w:rPr>
        <w:t>;</w:t>
      </w:r>
    </w:p>
    <w:p w:rsidR="006B4D7A" w:rsidRPr="00BE4665" w:rsidRDefault="006B4D7A" w:rsidP="003F4CB7">
      <w:pPr>
        <w:pStyle w:val="Betarp"/>
        <w:numPr>
          <w:ilvl w:val="0"/>
          <w:numId w:val="36"/>
        </w:numPr>
        <w:jc w:val="both"/>
        <w:rPr>
          <w:sz w:val="24"/>
          <w:szCs w:val="24"/>
          <w:lang w:val="lt-LT"/>
        </w:rPr>
      </w:pPr>
      <w:r w:rsidRPr="00BE4665">
        <w:rPr>
          <w:sz w:val="24"/>
          <w:szCs w:val="24"/>
          <w:lang w:val="lt-LT"/>
        </w:rPr>
        <w:t>Pasiūlymas dėl Europos Parlamento ir Tarybos direktyvos, kuria iš dalies keičiama Direktyva 2006/22/EB dėl reikalavimų vykdymo ir nustatomos konkrečios taisyklės Direktyvos 96/71/EB ir Direktyvos 2014/67/ES dėl vairuotojų komandiravimo kelių transporto sektoriuje atžvilgiu.</w:t>
      </w:r>
    </w:p>
    <w:p w:rsidR="006B4D7A" w:rsidRPr="00BE4665" w:rsidRDefault="006B4D7A" w:rsidP="003F4CB7">
      <w:pPr>
        <w:pStyle w:val="prastasiniatinklio"/>
        <w:spacing w:before="240" w:beforeAutospacing="0" w:after="240" w:afterAutospacing="0"/>
        <w:jc w:val="both"/>
        <w:rPr>
          <w:i/>
        </w:rPr>
      </w:pPr>
      <w:r w:rsidRPr="00BE4665">
        <w:rPr>
          <w:i/>
        </w:rPr>
        <w:t>Klausimo esmė</w:t>
      </w:r>
    </w:p>
    <w:p w:rsidR="00BE4665" w:rsidRDefault="00BE4665" w:rsidP="003F4CB7">
      <w:pPr>
        <w:spacing w:before="240" w:after="240"/>
        <w:jc w:val="both"/>
        <w:rPr>
          <w:color w:val="000000"/>
          <w:sz w:val="24"/>
          <w:szCs w:val="24"/>
          <w:lang w:val="lt-LT"/>
        </w:rPr>
      </w:pPr>
      <w:r>
        <w:rPr>
          <w:color w:val="000000"/>
          <w:sz w:val="24"/>
          <w:szCs w:val="24"/>
          <w:lang w:val="lt-LT"/>
        </w:rPr>
        <w:t>Mobilumo paketą I</w:t>
      </w:r>
      <w:r w:rsidR="0082562A">
        <w:rPr>
          <w:color w:val="000000"/>
          <w:sz w:val="24"/>
          <w:szCs w:val="24"/>
          <w:lang w:val="lt-LT"/>
        </w:rPr>
        <w:t xml:space="preserve"> sudaro </w:t>
      </w:r>
      <w:r w:rsidR="00AA3302">
        <w:rPr>
          <w:color w:val="000000"/>
          <w:sz w:val="24"/>
          <w:szCs w:val="24"/>
          <w:lang w:val="lt-LT"/>
        </w:rPr>
        <w:t xml:space="preserve">3 </w:t>
      </w:r>
      <w:r w:rsidR="0082562A">
        <w:rPr>
          <w:color w:val="000000"/>
          <w:sz w:val="24"/>
          <w:szCs w:val="24"/>
          <w:lang w:val="lt-LT"/>
        </w:rPr>
        <w:t>pasiūlymai</w:t>
      </w:r>
      <w:r>
        <w:rPr>
          <w:color w:val="000000"/>
          <w:sz w:val="24"/>
          <w:szCs w:val="24"/>
          <w:lang w:val="lt-LT"/>
        </w:rPr>
        <w:t>:</w:t>
      </w:r>
    </w:p>
    <w:p w:rsidR="006B4D7A" w:rsidRPr="00BE4665" w:rsidRDefault="0082562A" w:rsidP="003F4CB7">
      <w:pPr>
        <w:spacing w:before="240" w:after="240"/>
        <w:jc w:val="both"/>
        <w:rPr>
          <w:sz w:val="24"/>
          <w:szCs w:val="24"/>
          <w:lang w:val="lt-LT"/>
        </w:rPr>
      </w:pPr>
      <w:r>
        <w:rPr>
          <w:color w:val="000000"/>
          <w:sz w:val="24"/>
          <w:szCs w:val="24"/>
          <w:lang w:val="lt-LT"/>
        </w:rPr>
        <w:t xml:space="preserve">a) </w:t>
      </w:r>
      <w:r w:rsidR="006B4D7A" w:rsidRPr="00BE4665">
        <w:rPr>
          <w:color w:val="000000"/>
          <w:sz w:val="24"/>
          <w:szCs w:val="24"/>
          <w:u w:val="single"/>
          <w:lang w:val="lt-LT"/>
        </w:rPr>
        <w:t>dėl vertimosi profesine vežimo kelių transportu veikla ir patekimo į rinką (Reglamentai 1071/2009 ir 1072/2009)</w:t>
      </w:r>
      <w:r w:rsidR="006B4D7A" w:rsidRPr="00BE4665">
        <w:rPr>
          <w:color w:val="000000"/>
          <w:sz w:val="24"/>
          <w:szCs w:val="24"/>
          <w:lang w:val="lt-LT"/>
        </w:rPr>
        <w:t>:</w:t>
      </w:r>
    </w:p>
    <w:p w:rsidR="006B4D7A" w:rsidRDefault="006B4D7A" w:rsidP="003F4CB7">
      <w:pPr>
        <w:pStyle w:val="Betarp"/>
        <w:jc w:val="both"/>
        <w:rPr>
          <w:sz w:val="24"/>
          <w:szCs w:val="24"/>
          <w:lang w:val="lt-LT"/>
        </w:rPr>
      </w:pPr>
      <w:r w:rsidRPr="00BE4665">
        <w:rPr>
          <w:lang w:val="lt-LT"/>
        </w:rPr>
        <w:t> </w:t>
      </w:r>
      <w:r w:rsidR="0082562A">
        <w:rPr>
          <w:lang w:val="lt-LT"/>
        </w:rPr>
        <w:t xml:space="preserve">- </w:t>
      </w:r>
      <w:r w:rsidRPr="0082562A">
        <w:rPr>
          <w:sz w:val="24"/>
          <w:szCs w:val="24"/>
          <w:lang w:val="lt-LT"/>
        </w:rPr>
        <w:t>įmonių steigimo sąlygų griežtinimas ir suderinimas (patikslinimai susiję su siek</w:t>
      </w:r>
      <w:r w:rsidR="00F34CC1">
        <w:rPr>
          <w:sz w:val="24"/>
          <w:szCs w:val="24"/>
          <w:lang w:val="lt-LT"/>
        </w:rPr>
        <w:t>i</w:t>
      </w:r>
      <w:r w:rsidRPr="0082562A">
        <w:rPr>
          <w:sz w:val="24"/>
          <w:szCs w:val="24"/>
          <w:lang w:val="lt-LT"/>
        </w:rPr>
        <w:t>u naikinti fiktyvias kompanijas – pvz., įvedamas proporcingumo kriterijus: įmonės turimas turtas ir personalas turi būti proporcingi veiklos apimčiai);</w:t>
      </w:r>
    </w:p>
    <w:p w:rsidR="00F34CC1" w:rsidRPr="0082562A" w:rsidRDefault="00F34CC1" w:rsidP="003F4CB7">
      <w:pPr>
        <w:pStyle w:val="Betarp"/>
        <w:jc w:val="both"/>
        <w:rPr>
          <w:sz w:val="24"/>
          <w:szCs w:val="24"/>
          <w:lang w:val="lt-LT"/>
        </w:rPr>
      </w:pPr>
      <w:r>
        <w:rPr>
          <w:sz w:val="24"/>
          <w:szCs w:val="24"/>
          <w:lang w:val="lt-LT"/>
        </w:rPr>
        <w:t>- įvedamas reikalavimas vilkikui reguliariai grįžti į registracijos šalį (įmonės buveinės šalį);</w:t>
      </w:r>
    </w:p>
    <w:p w:rsidR="00F34CC1" w:rsidRDefault="0082562A" w:rsidP="003F4CB7">
      <w:pPr>
        <w:pStyle w:val="Betarp"/>
        <w:jc w:val="both"/>
        <w:rPr>
          <w:sz w:val="24"/>
          <w:szCs w:val="24"/>
          <w:lang w:val="lt-LT"/>
        </w:rPr>
      </w:pPr>
      <w:r>
        <w:rPr>
          <w:sz w:val="24"/>
          <w:szCs w:val="24"/>
          <w:lang w:val="lt-LT"/>
        </w:rPr>
        <w:t xml:space="preserve">- </w:t>
      </w:r>
      <w:r w:rsidR="006B4D7A" w:rsidRPr="0082562A">
        <w:rPr>
          <w:sz w:val="24"/>
          <w:szCs w:val="24"/>
          <w:lang w:val="lt-LT"/>
        </w:rPr>
        <w:t xml:space="preserve">lengvųjų komercinių transporto priemonių (nuo 2,5 iki 3,5 t) operatorių licencijavimas – pagrindinis reikalavimas turėti atitinkamą finansinį pajėgumą (1800 Eur vienai transporto priemonei ir 900 Eur kiekvienai kitai transporto priemonei); </w:t>
      </w:r>
    </w:p>
    <w:p w:rsidR="006B4D7A" w:rsidRPr="0082562A" w:rsidRDefault="00F34CC1" w:rsidP="003F4CB7">
      <w:pPr>
        <w:pStyle w:val="Betarp"/>
        <w:jc w:val="both"/>
        <w:rPr>
          <w:sz w:val="24"/>
          <w:szCs w:val="24"/>
          <w:lang w:val="lt-LT"/>
        </w:rPr>
      </w:pPr>
      <w:r>
        <w:rPr>
          <w:sz w:val="24"/>
          <w:szCs w:val="24"/>
          <w:lang w:val="lt-LT"/>
        </w:rPr>
        <w:t xml:space="preserve">- </w:t>
      </w:r>
      <w:r w:rsidR="006B4D7A" w:rsidRPr="0082562A">
        <w:rPr>
          <w:sz w:val="24"/>
          <w:szCs w:val="24"/>
          <w:lang w:val="lt-LT"/>
        </w:rPr>
        <w:t>3 kabotažo operacij</w:t>
      </w:r>
      <w:r>
        <w:rPr>
          <w:sz w:val="24"/>
          <w:szCs w:val="24"/>
          <w:lang w:val="lt-LT"/>
        </w:rPr>
        <w:t>o</w:t>
      </w:r>
      <w:r w:rsidR="006B4D7A" w:rsidRPr="0082562A">
        <w:rPr>
          <w:sz w:val="24"/>
          <w:szCs w:val="24"/>
          <w:lang w:val="lt-LT"/>
        </w:rPr>
        <w:t xml:space="preserve">s per 7 dienas (paliekamas </w:t>
      </w:r>
      <w:r w:rsidR="006B4D7A" w:rsidRPr="0082562A">
        <w:rPr>
          <w:i/>
          <w:sz w:val="24"/>
          <w:szCs w:val="24"/>
          <w:lang w:val="lt-LT"/>
        </w:rPr>
        <w:t>status quo</w:t>
      </w:r>
      <w:r w:rsidR="006B4D7A" w:rsidRPr="0082562A">
        <w:rPr>
          <w:sz w:val="24"/>
          <w:szCs w:val="24"/>
          <w:lang w:val="lt-LT"/>
        </w:rPr>
        <w:t xml:space="preserve">), </w:t>
      </w:r>
      <w:r>
        <w:rPr>
          <w:sz w:val="24"/>
          <w:szCs w:val="24"/>
          <w:lang w:val="lt-LT"/>
        </w:rPr>
        <w:t xml:space="preserve">tačiau </w:t>
      </w:r>
      <w:r w:rsidR="006B4D7A" w:rsidRPr="0082562A">
        <w:rPr>
          <w:sz w:val="24"/>
          <w:szCs w:val="24"/>
          <w:lang w:val="lt-LT"/>
        </w:rPr>
        <w:t>po to</w:t>
      </w:r>
      <w:r>
        <w:rPr>
          <w:sz w:val="24"/>
          <w:szCs w:val="24"/>
          <w:lang w:val="lt-LT"/>
        </w:rPr>
        <w:t xml:space="preserve"> siūloma nustatyti „atvėsimo laikotarpį (</w:t>
      </w:r>
      <w:proofErr w:type="spellStart"/>
      <w:r w:rsidR="006B4D7A" w:rsidRPr="0082562A">
        <w:rPr>
          <w:i/>
          <w:sz w:val="24"/>
          <w:szCs w:val="24"/>
          <w:lang w:val="lt-LT"/>
        </w:rPr>
        <w:t>cooling</w:t>
      </w:r>
      <w:proofErr w:type="spellEnd"/>
      <w:r w:rsidR="006B4D7A" w:rsidRPr="0082562A">
        <w:rPr>
          <w:i/>
          <w:sz w:val="24"/>
          <w:szCs w:val="24"/>
          <w:lang w:val="lt-LT"/>
        </w:rPr>
        <w:t xml:space="preserve"> </w:t>
      </w:r>
      <w:proofErr w:type="spellStart"/>
      <w:r w:rsidR="006B4D7A" w:rsidRPr="0082562A">
        <w:rPr>
          <w:i/>
          <w:sz w:val="24"/>
          <w:szCs w:val="24"/>
          <w:lang w:val="lt-LT"/>
        </w:rPr>
        <w:t>off</w:t>
      </w:r>
      <w:proofErr w:type="spellEnd"/>
      <w:r>
        <w:rPr>
          <w:i/>
          <w:sz w:val="24"/>
          <w:szCs w:val="24"/>
          <w:lang w:val="lt-LT"/>
        </w:rPr>
        <w:t>)</w:t>
      </w:r>
      <w:r>
        <w:rPr>
          <w:sz w:val="24"/>
          <w:szCs w:val="24"/>
          <w:lang w:val="lt-LT"/>
        </w:rPr>
        <w:t>, dėl kurio trukmės šalys teikia įvairius pasiūlymus (AT Pirm siūlo 7 dienas)</w:t>
      </w:r>
      <w:r w:rsidR="006B4D7A" w:rsidRPr="0082562A">
        <w:rPr>
          <w:sz w:val="24"/>
          <w:szCs w:val="24"/>
          <w:lang w:val="lt-LT"/>
        </w:rPr>
        <w:t>;</w:t>
      </w:r>
    </w:p>
    <w:p w:rsidR="006B4D7A" w:rsidRPr="0082562A" w:rsidRDefault="0082562A" w:rsidP="003F4CB7">
      <w:pPr>
        <w:pStyle w:val="Betarp"/>
        <w:jc w:val="both"/>
        <w:rPr>
          <w:sz w:val="24"/>
          <w:szCs w:val="24"/>
          <w:lang w:val="lt-LT"/>
        </w:rPr>
      </w:pPr>
      <w:r>
        <w:rPr>
          <w:sz w:val="24"/>
          <w:szCs w:val="24"/>
          <w:lang w:val="lt-LT"/>
        </w:rPr>
        <w:t xml:space="preserve">- </w:t>
      </w:r>
      <w:r w:rsidR="006B4D7A" w:rsidRPr="0082562A">
        <w:rPr>
          <w:sz w:val="24"/>
          <w:szCs w:val="24"/>
          <w:lang w:val="lt-LT"/>
        </w:rPr>
        <w:t>kontrolės mechanizmai (sustiprinamas valstybių narių bendradarbiavimas).</w:t>
      </w:r>
    </w:p>
    <w:p w:rsidR="006B4D7A" w:rsidRPr="00BE4665" w:rsidRDefault="006B4D7A" w:rsidP="003F4CB7">
      <w:pPr>
        <w:spacing w:before="240" w:after="240"/>
        <w:jc w:val="both"/>
        <w:rPr>
          <w:sz w:val="24"/>
          <w:szCs w:val="24"/>
          <w:lang w:val="lt-LT"/>
        </w:rPr>
      </w:pPr>
      <w:r w:rsidRPr="00BE4665">
        <w:rPr>
          <w:color w:val="000000"/>
          <w:sz w:val="24"/>
          <w:szCs w:val="24"/>
          <w:lang w:val="lt-LT"/>
        </w:rPr>
        <w:t> </w:t>
      </w:r>
      <w:r w:rsidR="0082562A">
        <w:rPr>
          <w:color w:val="000000"/>
          <w:sz w:val="24"/>
          <w:szCs w:val="24"/>
          <w:lang w:val="lt-LT"/>
        </w:rPr>
        <w:t xml:space="preserve">b) </w:t>
      </w:r>
      <w:r w:rsidRPr="00BE4665">
        <w:rPr>
          <w:color w:val="000000"/>
          <w:sz w:val="24"/>
          <w:szCs w:val="24"/>
          <w:u w:val="single"/>
          <w:lang w:val="lt-LT"/>
        </w:rPr>
        <w:t xml:space="preserve">dėl vairavimo ir poilsio laikų (reglamentas 561/2006) ir </w:t>
      </w:r>
      <w:proofErr w:type="spellStart"/>
      <w:r w:rsidRPr="00BE4665">
        <w:rPr>
          <w:color w:val="000000"/>
          <w:sz w:val="24"/>
          <w:szCs w:val="24"/>
          <w:u w:val="single"/>
          <w:lang w:val="lt-LT"/>
        </w:rPr>
        <w:t>tachografų</w:t>
      </w:r>
      <w:proofErr w:type="spellEnd"/>
      <w:r w:rsidRPr="00BE4665">
        <w:rPr>
          <w:color w:val="000000"/>
          <w:sz w:val="24"/>
          <w:szCs w:val="24"/>
          <w:u w:val="single"/>
          <w:lang w:val="lt-LT"/>
        </w:rPr>
        <w:t xml:space="preserve"> (reglamentas 165/2014)</w:t>
      </w:r>
      <w:r w:rsidRPr="00BE4665">
        <w:rPr>
          <w:color w:val="000000"/>
          <w:sz w:val="24"/>
          <w:szCs w:val="24"/>
          <w:lang w:val="lt-LT"/>
        </w:rPr>
        <w:t>:</w:t>
      </w:r>
    </w:p>
    <w:p w:rsidR="006B4D7A" w:rsidRPr="0082562A" w:rsidRDefault="0082562A" w:rsidP="003F4CB7">
      <w:pPr>
        <w:pStyle w:val="Betarp"/>
        <w:jc w:val="both"/>
        <w:rPr>
          <w:sz w:val="24"/>
          <w:szCs w:val="24"/>
          <w:lang w:val="lt-LT"/>
        </w:rPr>
      </w:pPr>
      <w:r w:rsidRPr="0082562A">
        <w:rPr>
          <w:sz w:val="24"/>
          <w:szCs w:val="24"/>
          <w:lang w:val="lt-LT"/>
        </w:rPr>
        <w:t xml:space="preserve">- </w:t>
      </w:r>
      <w:r w:rsidR="006B4D7A" w:rsidRPr="0082562A">
        <w:rPr>
          <w:sz w:val="24"/>
          <w:szCs w:val="24"/>
          <w:lang w:val="lt-LT"/>
        </w:rPr>
        <w:t>per 4 iš eilės einančias savait</w:t>
      </w:r>
      <w:r w:rsidR="00061A7C">
        <w:rPr>
          <w:sz w:val="24"/>
          <w:szCs w:val="24"/>
          <w:lang w:val="lt-LT"/>
        </w:rPr>
        <w:t>e</w:t>
      </w:r>
      <w:r w:rsidR="006B4D7A" w:rsidRPr="0082562A">
        <w:rPr>
          <w:sz w:val="24"/>
          <w:szCs w:val="24"/>
          <w:lang w:val="lt-LT"/>
        </w:rPr>
        <w:t>s vairuotojas turi turėti mažiausiai 2 sutrumpintus savaitinius poilsius ir 2 normalius savaitinius poilsius;</w:t>
      </w:r>
    </w:p>
    <w:p w:rsidR="006B4D7A" w:rsidRPr="0082562A" w:rsidRDefault="0082562A" w:rsidP="003F4CB7">
      <w:pPr>
        <w:pStyle w:val="Betarp"/>
        <w:jc w:val="both"/>
        <w:rPr>
          <w:sz w:val="24"/>
          <w:szCs w:val="24"/>
          <w:lang w:val="lt-LT"/>
        </w:rPr>
      </w:pPr>
      <w:r w:rsidRPr="0082562A">
        <w:rPr>
          <w:sz w:val="24"/>
          <w:szCs w:val="24"/>
          <w:lang w:val="lt-LT"/>
        </w:rPr>
        <w:t xml:space="preserve">- </w:t>
      </w:r>
      <w:r w:rsidR="006B4D7A" w:rsidRPr="0082562A">
        <w:rPr>
          <w:sz w:val="24"/>
          <w:szCs w:val="24"/>
          <w:lang w:val="lt-LT"/>
        </w:rPr>
        <w:t xml:space="preserve">poilsis transporto priemonės kabinoje (kasdienis poilsis ir sutrumpinti savaitiniai poilsiai galimi kabinoje, jeigu joje yra miegojimo vieta. Normalūs savaitiniai poilsiai kabinoje draudžiami, išskyrus atvejus, jeigu transporto priemonė stovės specialioje stovėjimo zonoje, kurioje yra maitinimas bei sanitarinės sąlygos); </w:t>
      </w:r>
    </w:p>
    <w:p w:rsidR="006B4D7A" w:rsidRPr="0082562A" w:rsidRDefault="0082562A" w:rsidP="003F4CB7">
      <w:pPr>
        <w:pStyle w:val="Betarp"/>
        <w:jc w:val="both"/>
        <w:rPr>
          <w:sz w:val="24"/>
          <w:szCs w:val="24"/>
          <w:lang w:val="lt-LT"/>
        </w:rPr>
      </w:pPr>
      <w:r w:rsidRPr="0082562A">
        <w:rPr>
          <w:sz w:val="24"/>
          <w:szCs w:val="24"/>
          <w:lang w:val="lt-LT"/>
        </w:rPr>
        <w:t xml:space="preserve">- </w:t>
      </w:r>
      <w:r w:rsidR="006B4D7A" w:rsidRPr="0082562A">
        <w:rPr>
          <w:sz w:val="24"/>
          <w:szCs w:val="24"/>
          <w:lang w:val="lt-LT"/>
        </w:rPr>
        <w:t>Draudimas normalų savaitinį poilsį atlikti kabinoje negalioja tol, kol nėra išplėtojamas pakankamas specialių stovėjimo zonų tinklas</w:t>
      </w:r>
      <w:r w:rsidR="00061A7C">
        <w:rPr>
          <w:sz w:val="24"/>
          <w:szCs w:val="24"/>
          <w:lang w:val="lt-LT"/>
        </w:rPr>
        <w:t xml:space="preserve"> –</w:t>
      </w:r>
      <w:r w:rsidR="00565EBB">
        <w:rPr>
          <w:sz w:val="24"/>
          <w:szCs w:val="24"/>
          <w:lang w:val="lt-LT"/>
        </w:rPr>
        <w:t xml:space="preserve"> siūloma nuo 1,</w:t>
      </w:r>
      <w:r w:rsidR="00061A7C">
        <w:rPr>
          <w:sz w:val="24"/>
          <w:szCs w:val="24"/>
          <w:lang w:val="lt-LT"/>
        </w:rPr>
        <w:t xml:space="preserve">5 iki </w:t>
      </w:r>
      <w:r w:rsidR="00565EBB">
        <w:rPr>
          <w:sz w:val="24"/>
          <w:szCs w:val="24"/>
          <w:lang w:val="lt-LT"/>
        </w:rPr>
        <w:t>3 metų;</w:t>
      </w:r>
    </w:p>
    <w:p w:rsidR="006B4D7A" w:rsidRPr="0082562A" w:rsidRDefault="0082562A" w:rsidP="003F4CB7">
      <w:pPr>
        <w:pStyle w:val="Betarp"/>
        <w:jc w:val="both"/>
        <w:rPr>
          <w:sz w:val="24"/>
          <w:szCs w:val="24"/>
          <w:lang w:val="lt-LT"/>
        </w:rPr>
      </w:pPr>
      <w:r w:rsidRPr="0082562A">
        <w:rPr>
          <w:sz w:val="24"/>
          <w:szCs w:val="24"/>
          <w:lang w:val="lt-LT"/>
        </w:rPr>
        <w:t xml:space="preserve">- </w:t>
      </w:r>
      <w:r w:rsidR="006B4D7A" w:rsidRPr="0082562A">
        <w:rPr>
          <w:sz w:val="24"/>
          <w:szCs w:val="24"/>
          <w:lang w:val="lt-LT"/>
        </w:rPr>
        <w:t>vairuotoj</w:t>
      </w:r>
      <w:r w:rsidR="00061A7C">
        <w:rPr>
          <w:sz w:val="24"/>
          <w:szCs w:val="24"/>
          <w:lang w:val="lt-LT"/>
        </w:rPr>
        <w:t xml:space="preserve">o darbo laikas turi būti organizuojamas taip, kad jis bent </w:t>
      </w:r>
      <w:r w:rsidR="006B4D7A" w:rsidRPr="0082562A">
        <w:rPr>
          <w:sz w:val="24"/>
          <w:szCs w:val="24"/>
          <w:lang w:val="lt-LT"/>
        </w:rPr>
        <w:t>kas 4 savait</w:t>
      </w:r>
      <w:r w:rsidR="00061A7C">
        <w:rPr>
          <w:sz w:val="24"/>
          <w:szCs w:val="24"/>
          <w:lang w:val="lt-LT"/>
        </w:rPr>
        <w:t>e</w:t>
      </w:r>
      <w:r w:rsidR="006B4D7A" w:rsidRPr="0082562A">
        <w:rPr>
          <w:sz w:val="24"/>
          <w:szCs w:val="24"/>
          <w:lang w:val="lt-LT"/>
        </w:rPr>
        <w:t xml:space="preserve">s </w:t>
      </w:r>
      <w:r w:rsidR="00061A7C">
        <w:rPr>
          <w:sz w:val="24"/>
          <w:szCs w:val="24"/>
          <w:lang w:val="lt-LT"/>
        </w:rPr>
        <w:t xml:space="preserve">grįžtų </w:t>
      </w:r>
      <w:r w:rsidR="006B4D7A" w:rsidRPr="0082562A">
        <w:rPr>
          <w:sz w:val="24"/>
          <w:szCs w:val="24"/>
          <w:lang w:val="lt-LT"/>
        </w:rPr>
        <w:t>į vežėjo buveinės vietą/centrą arba į vairuotojo gyvenamąją vietą</w:t>
      </w:r>
      <w:r w:rsidR="00061A7C">
        <w:rPr>
          <w:sz w:val="24"/>
          <w:szCs w:val="24"/>
          <w:lang w:val="lt-LT"/>
        </w:rPr>
        <w:t>;</w:t>
      </w:r>
    </w:p>
    <w:p w:rsidR="006B4D7A" w:rsidRPr="0082562A" w:rsidRDefault="0082562A" w:rsidP="003F4CB7">
      <w:pPr>
        <w:pStyle w:val="Betarp"/>
        <w:jc w:val="both"/>
        <w:rPr>
          <w:sz w:val="24"/>
          <w:szCs w:val="24"/>
          <w:lang w:val="lt-LT"/>
        </w:rPr>
      </w:pPr>
      <w:r w:rsidRPr="0082562A">
        <w:rPr>
          <w:sz w:val="24"/>
          <w:szCs w:val="24"/>
          <w:lang w:val="lt-LT"/>
        </w:rPr>
        <w:t xml:space="preserve">- </w:t>
      </w:r>
      <w:r w:rsidR="006B4D7A" w:rsidRPr="0082562A">
        <w:rPr>
          <w:sz w:val="24"/>
          <w:szCs w:val="24"/>
          <w:lang w:val="lt-LT"/>
        </w:rPr>
        <w:t>nustatoma, kad nuo:</w:t>
      </w:r>
    </w:p>
    <w:p w:rsidR="006B4D7A" w:rsidRPr="0082562A" w:rsidRDefault="006B4D7A" w:rsidP="003F4CB7">
      <w:pPr>
        <w:pStyle w:val="Betarp"/>
        <w:jc w:val="both"/>
        <w:rPr>
          <w:sz w:val="24"/>
          <w:szCs w:val="24"/>
          <w:lang w:val="lt-LT"/>
        </w:rPr>
      </w:pPr>
      <w:r w:rsidRPr="0082562A">
        <w:rPr>
          <w:sz w:val="24"/>
          <w:szCs w:val="24"/>
          <w:lang w:val="lt-LT"/>
        </w:rPr>
        <w:lastRenderedPageBreak/>
        <w:t xml:space="preserve">2022 m. visuose naujuose vilkikuose turi būti įrengti II versijos išmanūs </w:t>
      </w:r>
      <w:proofErr w:type="spellStart"/>
      <w:r w:rsidRPr="0082562A">
        <w:rPr>
          <w:sz w:val="24"/>
          <w:szCs w:val="24"/>
          <w:lang w:val="lt-LT"/>
        </w:rPr>
        <w:t>tachografai</w:t>
      </w:r>
      <w:proofErr w:type="spellEnd"/>
      <w:r w:rsidRPr="0082562A">
        <w:rPr>
          <w:sz w:val="24"/>
          <w:szCs w:val="24"/>
          <w:lang w:val="lt-LT"/>
        </w:rPr>
        <w:t xml:space="preserve"> (</w:t>
      </w:r>
      <w:proofErr w:type="spellStart"/>
      <w:r w:rsidRPr="0082562A">
        <w:rPr>
          <w:sz w:val="24"/>
          <w:szCs w:val="24"/>
          <w:lang w:val="lt-LT"/>
        </w:rPr>
        <w:t>Smart</w:t>
      </w:r>
      <w:proofErr w:type="spellEnd"/>
      <w:r w:rsidRPr="0082562A">
        <w:rPr>
          <w:sz w:val="24"/>
          <w:szCs w:val="24"/>
          <w:lang w:val="lt-LT"/>
        </w:rPr>
        <w:t xml:space="preserve"> </w:t>
      </w:r>
      <w:proofErr w:type="spellStart"/>
      <w:r w:rsidRPr="0082562A">
        <w:rPr>
          <w:sz w:val="24"/>
          <w:szCs w:val="24"/>
          <w:lang w:val="lt-LT"/>
        </w:rPr>
        <w:t>tachograph</w:t>
      </w:r>
      <w:proofErr w:type="spellEnd"/>
      <w:r w:rsidRPr="0082562A">
        <w:rPr>
          <w:sz w:val="24"/>
          <w:szCs w:val="24"/>
          <w:lang w:val="lt-LT"/>
        </w:rPr>
        <w:t>), automatinių būdu fiksuojantys sienos kirtimą;</w:t>
      </w:r>
    </w:p>
    <w:p w:rsidR="006B4D7A" w:rsidRPr="0082562A" w:rsidRDefault="006B4D7A" w:rsidP="003F4CB7">
      <w:pPr>
        <w:pStyle w:val="Betarp"/>
        <w:jc w:val="both"/>
        <w:rPr>
          <w:sz w:val="24"/>
          <w:szCs w:val="24"/>
          <w:lang w:val="lt-LT"/>
        </w:rPr>
      </w:pPr>
      <w:r w:rsidRPr="0082562A">
        <w:rPr>
          <w:sz w:val="24"/>
          <w:szCs w:val="24"/>
          <w:lang w:val="lt-LT"/>
        </w:rPr>
        <w:t xml:space="preserve">2024 m. visuose vilkikuose, vykdančių tarptautinius krovinių vežimus, turi būti įrengti II versijos išmanūs </w:t>
      </w:r>
      <w:proofErr w:type="spellStart"/>
      <w:r w:rsidRPr="0082562A">
        <w:rPr>
          <w:sz w:val="24"/>
          <w:szCs w:val="24"/>
          <w:lang w:val="lt-LT"/>
        </w:rPr>
        <w:t>tachografai</w:t>
      </w:r>
      <w:proofErr w:type="spellEnd"/>
      <w:r w:rsidRPr="0082562A">
        <w:rPr>
          <w:sz w:val="24"/>
          <w:szCs w:val="24"/>
          <w:lang w:val="lt-LT"/>
        </w:rPr>
        <w:t xml:space="preserve"> (</w:t>
      </w:r>
      <w:proofErr w:type="spellStart"/>
      <w:r w:rsidRPr="0082562A">
        <w:rPr>
          <w:sz w:val="24"/>
          <w:szCs w:val="24"/>
          <w:lang w:val="lt-LT"/>
        </w:rPr>
        <w:t>Smart</w:t>
      </w:r>
      <w:proofErr w:type="spellEnd"/>
      <w:r w:rsidRPr="0082562A">
        <w:rPr>
          <w:sz w:val="24"/>
          <w:szCs w:val="24"/>
          <w:lang w:val="lt-LT"/>
        </w:rPr>
        <w:t xml:space="preserve"> </w:t>
      </w:r>
      <w:proofErr w:type="spellStart"/>
      <w:r w:rsidRPr="0082562A">
        <w:rPr>
          <w:sz w:val="24"/>
          <w:szCs w:val="24"/>
          <w:lang w:val="lt-LT"/>
        </w:rPr>
        <w:t>tachograph</w:t>
      </w:r>
      <w:proofErr w:type="spellEnd"/>
      <w:r w:rsidRPr="0082562A">
        <w:rPr>
          <w:sz w:val="24"/>
          <w:szCs w:val="24"/>
          <w:lang w:val="lt-LT"/>
        </w:rPr>
        <w:t>);</w:t>
      </w:r>
    </w:p>
    <w:p w:rsidR="006B4D7A" w:rsidRPr="00BE4665" w:rsidRDefault="0082562A" w:rsidP="003F4CB7">
      <w:pPr>
        <w:spacing w:before="240" w:after="240"/>
        <w:jc w:val="both"/>
        <w:rPr>
          <w:color w:val="000000"/>
          <w:sz w:val="24"/>
          <w:szCs w:val="24"/>
          <w:lang w:val="lt-LT" w:eastAsia="lt-LT" w:bidi="lt-LT"/>
        </w:rPr>
      </w:pPr>
      <w:r>
        <w:rPr>
          <w:color w:val="000000"/>
          <w:sz w:val="24"/>
          <w:szCs w:val="24"/>
          <w:lang w:val="lt-LT" w:eastAsia="lt-LT" w:bidi="lt-LT"/>
        </w:rPr>
        <w:t>c)</w:t>
      </w:r>
      <w:r w:rsidR="006B4D7A" w:rsidRPr="00BE4665">
        <w:rPr>
          <w:color w:val="000000"/>
          <w:sz w:val="24"/>
          <w:szCs w:val="24"/>
          <w:lang w:val="lt-LT" w:eastAsia="lt-LT" w:bidi="lt-LT"/>
        </w:rPr>
        <w:t xml:space="preserve"> </w:t>
      </w:r>
      <w:r w:rsidR="006B4D7A" w:rsidRPr="00BE4665">
        <w:rPr>
          <w:color w:val="000000"/>
          <w:sz w:val="24"/>
          <w:szCs w:val="24"/>
          <w:u w:val="single"/>
          <w:lang w:val="lt-LT" w:eastAsia="lt-LT" w:bidi="lt-LT"/>
        </w:rPr>
        <w:t xml:space="preserve">kelių transporto darbuotojų komandiravimas ir socialinių teisės aktų vykdymas (direktyva 2006/22/EC ir </w:t>
      </w:r>
      <w:proofErr w:type="spellStart"/>
      <w:r w:rsidR="006B4D7A" w:rsidRPr="00BE4665">
        <w:rPr>
          <w:i/>
          <w:color w:val="000000"/>
          <w:sz w:val="24"/>
          <w:szCs w:val="24"/>
          <w:u w:val="single"/>
          <w:lang w:val="lt-LT" w:eastAsia="lt-LT" w:bidi="lt-LT"/>
        </w:rPr>
        <w:t>lex</w:t>
      </w:r>
      <w:proofErr w:type="spellEnd"/>
      <w:r w:rsidR="006B4D7A" w:rsidRPr="00BE4665">
        <w:rPr>
          <w:i/>
          <w:color w:val="000000"/>
          <w:sz w:val="24"/>
          <w:szCs w:val="24"/>
          <w:u w:val="single"/>
          <w:lang w:val="lt-LT" w:eastAsia="lt-LT" w:bidi="lt-LT"/>
        </w:rPr>
        <w:t xml:space="preserve"> </w:t>
      </w:r>
      <w:proofErr w:type="spellStart"/>
      <w:r w:rsidR="006B4D7A" w:rsidRPr="00BE4665">
        <w:rPr>
          <w:i/>
          <w:color w:val="000000"/>
          <w:sz w:val="24"/>
          <w:szCs w:val="24"/>
          <w:u w:val="single"/>
          <w:lang w:val="lt-LT" w:eastAsia="lt-LT" w:bidi="lt-LT"/>
        </w:rPr>
        <w:t>specialis</w:t>
      </w:r>
      <w:proofErr w:type="spellEnd"/>
      <w:r w:rsidR="006B4D7A" w:rsidRPr="00BE4665">
        <w:rPr>
          <w:color w:val="000000"/>
          <w:sz w:val="24"/>
          <w:szCs w:val="24"/>
          <w:u w:val="single"/>
          <w:lang w:val="lt-LT" w:eastAsia="lt-LT" w:bidi="lt-LT"/>
        </w:rPr>
        <w:t>)</w:t>
      </w:r>
      <w:r w:rsidR="006B4D7A" w:rsidRPr="00BE4665">
        <w:rPr>
          <w:color w:val="000000"/>
          <w:sz w:val="24"/>
          <w:szCs w:val="24"/>
          <w:lang w:val="lt-LT" w:eastAsia="lt-LT" w:bidi="lt-LT"/>
        </w:rPr>
        <w:t>:</w:t>
      </w:r>
    </w:p>
    <w:p w:rsidR="006B4D7A" w:rsidRPr="0082562A" w:rsidRDefault="0082562A" w:rsidP="003F4CB7">
      <w:pPr>
        <w:pStyle w:val="Betarp"/>
        <w:jc w:val="both"/>
        <w:rPr>
          <w:sz w:val="24"/>
          <w:szCs w:val="24"/>
          <w:lang w:val="lt-LT" w:eastAsia="lt-LT" w:bidi="lt-LT"/>
        </w:rPr>
      </w:pPr>
      <w:r>
        <w:rPr>
          <w:sz w:val="24"/>
          <w:szCs w:val="24"/>
          <w:lang w:val="lt-LT" w:eastAsia="lt-LT" w:bidi="lt-LT"/>
        </w:rPr>
        <w:t xml:space="preserve">- </w:t>
      </w:r>
      <w:r w:rsidR="006B4D7A" w:rsidRPr="0082562A">
        <w:rPr>
          <w:sz w:val="24"/>
          <w:szCs w:val="24"/>
          <w:lang w:val="lt-LT" w:eastAsia="lt-LT" w:bidi="lt-LT"/>
        </w:rPr>
        <w:t xml:space="preserve">tarptautinio transporto skaidymas, t. y., vairuotojams, kurie vykdo dvišalį pervežimą iš įsikūrimo šalies į kitą ES šalį, nebūtų taikomas komandiravimas, tačiau vairuotojams, kurie vykdo pervežimus tarp kitų šalių nei jų vežėjo įsikūrimo šalis, būtų taikomas komandiravimas nuo pirmos dienos; </w:t>
      </w:r>
    </w:p>
    <w:p w:rsidR="006B4D7A" w:rsidRPr="0082562A" w:rsidRDefault="0082562A" w:rsidP="003F4CB7">
      <w:pPr>
        <w:pStyle w:val="Betarp"/>
        <w:jc w:val="both"/>
        <w:rPr>
          <w:sz w:val="24"/>
          <w:szCs w:val="24"/>
          <w:lang w:val="lt-LT" w:eastAsia="lt-LT" w:bidi="lt-LT"/>
        </w:rPr>
      </w:pPr>
      <w:r>
        <w:rPr>
          <w:sz w:val="24"/>
          <w:szCs w:val="24"/>
          <w:lang w:val="lt-LT" w:eastAsia="lt-LT" w:bidi="lt-LT"/>
        </w:rPr>
        <w:t xml:space="preserve">- </w:t>
      </w:r>
      <w:r w:rsidR="006B4D7A" w:rsidRPr="0082562A">
        <w:rPr>
          <w:sz w:val="24"/>
          <w:szCs w:val="24"/>
          <w:lang w:val="lt-LT" w:eastAsia="lt-LT" w:bidi="lt-LT"/>
        </w:rPr>
        <w:t>duomenų apie komandiruojamus darbuotojus teikimas – įvedama komandiravimo deklaracija ir visais kitais dokumentais keičiamasi per vieningą ES el. sistemą (</w:t>
      </w:r>
      <w:proofErr w:type="spellStart"/>
      <w:r w:rsidR="006B4D7A" w:rsidRPr="0082562A">
        <w:rPr>
          <w:i/>
          <w:sz w:val="24"/>
          <w:szCs w:val="24"/>
          <w:lang w:val="lt-LT" w:eastAsia="lt-LT" w:bidi="lt-LT"/>
        </w:rPr>
        <w:t>Internal</w:t>
      </w:r>
      <w:proofErr w:type="spellEnd"/>
      <w:r w:rsidR="006B4D7A" w:rsidRPr="0082562A">
        <w:rPr>
          <w:i/>
          <w:sz w:val="24"/>
          <w:szCs w:val="24"/>
          <w:lang w:val="lt-LT" w:eastAsia="lt-LT" w:bidi="lt-LT"/>
        </w:rPr>
        <w:t xml:space="preserve"> Market </w:t>
      </w:r>
      <w:proofErr w:type="spellStart"/>
      <w:r w:rsidR="006B4D7A" w:rsidRPr="0082562A">
        <w:rPr>
          <w:i/>
          <w:sz w:val="24"/>
          <w:szCs w:val="24"/>
          <w:lang w:val="lt-LT" w:eastAsia="lt-LT" w:bidi="lt-LT"/>
        </w:rPr>
        <w:t>Information</w:t>
      </w:r>
      <w:proofErr w:type="spellEnd"/>
      <w:r w:rsidR="006B4D7A" w:rsidRPr="0082562A">
        <w:rPr>
          <w:i/>
          <w:sz w:val="24"/>
          <w:szCs w:val="24"/>
          <w:lang w:val="lt-LT" w:eastAsia="lt-LT" w:bidi="lt-LT"/>
        </w:rPr>
        <w:t xml:space="preserve"> System – IMI).</w:t>
      </w:r>
    </w:p>
    <w:p w:rsidR="003F4CB7" w:rsidRPr="00580D27" w:rsidRDefault="003F4CB7" w:rsidP="003F4CB7">
      <w:pPr>
        <w:pStyle w:val="Betarp"/>
        <w:rPr>
          <w:lang w:val="lt-LT"/>
        </w:rPr>
      </w:pPr>
    </w:p>
    <w:p w:rsidR="006B4D7A" w:rsidRPr="003F4CB7" w:rsidRDefault="006B4D7A" w:rsidP="003F4CB7">
      <w:pPr>
        <w:pStyle w:val="Betarp"/>
        <w:rPr>
          <w:i/>
          <w:sz w:val="24"/>
          <w:szCs w:val="24"/>
          <w:lang w:val="lt-LT"/>
        </w:rPr>
      </w:pPr>
      <w:r w:rsidRPr="003F4CB7">
        <w:rPr>
          <w:i/>
          <w:sz w:val="24"/>
          <w:szCs w:val="24"/>
          <w:lang w:val="lt-LT"/>
        </w:rPr>
        <w:t>Lietuvos pozicija</w:t>
      </w:r>
    </w:p>
    <w:p w:rsidR="00F16327" w:rsidRPr="00580D27" w:rsidRDefault="00EE661E" w:rsidP="00580D27">
      <w:pPr>
        <w:pStyle w:val="Betarp"/>
        <w:ind w:firstLine="567"/>
        <w:jc w:val="both"/>
        <w:rPr>
          <w:color w:val="000000"/>
          <w:sz w:val="24"/>
          <w:szCs w:val="24"/>
          <w:lang w:val="lt-LT" w:eastAsia="lt-LT" w:bidi="lt-LT"/>
        </w:rPr>
      </w:pPr>
      <w:r w:rsidRPr="003F4CB7">
        <w:rPr>
          <w:color w:val="000000"/>
          <w:sz w:val="24"/>
          <w:szCs w:val="24"/>
          <w:lang w:val="lt-LT" w:eastAsia="lt-LT" w:bidi="lt-LT"/>
        </w:rPr>
        <w:t xml:space="preserve">Nepritarti siūlomam AT Pirmininkaujančios šalies siūlomam kompromisiniam tekstui dėl viso </w:t>
      </w:r>
      <w:r w:rsidR="0082562A" w:rsidRPr="003F4CB7">
        <w:rPr>
          <w:color w:val="000000"/>
          <w:sz w:val="24"/>
          <w:szCs w:val="24"/>
          <w:lang w:val="lt-LT" w:eastAsia="lt-LT" w:bidi="lt-LT"/>
        </w:rPr>
        <w:t>M</w:t>
      </w:r>
      <w:r w:rsidRPr="003F4CB7">
        <w:rPr>
          <w:color w:val="000000"/>
          <w:sz w:val="24"/>
          <w:szCs w:val="24"/>
          <w:lang w:val="lt-LT" w:eastAsia="lt-LT" w:bidi="lt-LT"/>
        </w:rPr>
        <w:t>obilumo paketo I.</w:t>
      </w:r>
      <w:r w:rsidR="00590017">
        <w:rPr>
          <w:color w:val="000000"/>
          <w:sz w:val="24"/>
          <w:szCs w:val="24"/>
          <w:lang w:val="lt-LT" w:eastAsia="lt-LT" w:bidi="lt-LT"/>
        </w:rPr>
        <w:t xml:space="preserve"> Akcentuotini šie esminiai Lietuvai nepriimtini pasiūlymo elementai: reguliarus vilkiko grąžinimas nėra tiesiogiai susijęs su vairuotojo socialine gerove ar darbo sąlygomis ir yra priskirtinas tiesioginiam patekimo į užsienio rinką apribojimui. </w:t>
      </w:r>
      <w:r w:rsidR="00933627">
        <w:rPr>
          <w:color w:val="000000"/>
          <w:sz w:val="24"/>
          <w:szCs w:val="24"/>
          <w:lang w:val="lt-LT" w:eastAsia="lt-LT" w:bidi="lt-LT"/>
        </w:rPr>
        <w:t xml:space="preserve">Pažymėtina, kad vairuotojo reguliarus grįžimas turi būti pakankama </w:t>
      </w:r>
      <w:r w:rsidR="00D12415">
        <w:rPr>
          <w:color w:val="000000"/>
          <w:sz w:val="24"/>
          <w:szCs w:val="24"/>
          <w:lang w:val="lt-LT" w:eastAsia="lt-LT" w:bidi="lt-LT"/>
        </w:rPr>
        <w:t>priemone, tačiau turi būti užtik</w:t>
      </w:r>
      <w:r w:rsidR="00933627">
        <w:rPr>
          <w:color w:val="000000"/>
          <w:sz w:val="24"/>
          <w:szCs w:val="24"/>
          <w:lang w:val="lt-LT" w:eastAsia="lt-LT" w:bidi="lt-LT"/>
        </w:rPr>
        <w:t>rinta vairuotojo laisv</w:t>
      </w:r>
      <w:r w:rsidR="00D12415">
        <w:rPr>
          <w:color w:val="000000"/>
          <w:sz w:val="24"/>
          <w:szCs w:val="24"/>
          <w:lang w:val="lt-LT" w:eastAsia="lt-LT" w:bidi="lt-LT"/>
        </w:rPr>
        <w:t>ė</w:t>
      </w:r>
      <w:r w:rsidR="00933627">
        <w:rPr>
          <w:color w:val="000000"/>
          <w:sz w:val="24"/>
          <w:szCs w:val="24"/>
          <w:lang w:val="lt-LT" w:eastAsia="lt-LT" w:bidi="lt-LT"/>
        </w:rPr>
        <w:t xml:space="preserve"> pasirinkti </w:t>
      </w:r>
      <w:r w:rsidR="00D12415">
        <w:rPr>
          <w:color w:val="000000"/>
          <w:sz w:val="24"/>
          <w:szCs w:val="24"/>
          <w:lang w:val="lt-LT" w:eastAsia="lt-LT" w:bidi="lt-LT"/>
        </w:rPr>
        <w:t>poilsio vietą nebūtinai registracijos šalyje</w:t>
      </w:r>
      <w:r w:rsidR="00933627">
        <w:rPr>
          <w:color w:val="000000"/>
          <w:sz w:val="24"/>
          <w:szCs w:val="24"/>
          <w:lang w:val="lt-LT" w:eastAsia="lt-LT" w:bidi="lt-LT"/>
        </w:rPr>
        <w:t xml:space="preserve">. </w:t>
      </w:r>
      <w:r w:rsidR="00590017">
        <w:rPr>
          <w:color w:val="000000"/>
          <w:sz w:val="24"/>
          <w:szCs w:val="24"/>
          <w:lang w:val="lt-LT" w:eastAsia="lt-LT" w:bidi="lt-LT"/>
        </w:rPr>
        <w:t xml:space="preserve">Tarptautinio transporto skaidymas į dvi atskiras kategorijas (dvišalį pervežimą ir tarptautinį pervežimą) neatitinka bendrosios rinkos veikimo principų – ES viduje turi būti tik viena tarptautinio pervežimo samprata. Be to, ilguoju laikotarpiu skaidymas sukuria pagrindą toliau riboti tam tikrą šios rinkos segmentą, kurti papildomus reikalavimus tarptautinei transporto rinkai. </w:t>
      </w:r>
      <w:r w:rsidR="00F16327">
        <w:rPr>
          <w:color w:val="000000"/>
          <w:sz w:val="24"/>
          <w:szCs w:val="24"/>
          <w:lang w:val="lt-LT" w:eastAsia="lt-LT" w:bidi="lt-LT"/>
        </w:rPr>
        <w:t>Lietuva ir kitos šalys taip pat nepalaiko ir „atvėsimo“ laikotarpio įvedimo bei kitų papildomų rinkos apribojimų.</w:t>
      </w:r>
    </w:p>
    <w:p w:rsidR="00EE661E" w:rsidRPr="0082562A" w:rsidRDefault="0082562A" w:rsidP="003F4CB7">
      <w:pPr>
        <w:pStyle w:val="PointManual"/>
        <w:spacing w:before="240" w:after="240"/>
        <w:ind w:left="0" w:firstLine="0"/>
        <w:jc w:val="both"/>
        <w:rPr>
          <w:b/>
          <w:szCs w:val="24"/>
        </w:rPr>
      </w:pPr>
      <w:r w:rsidRPr="0082562A">
        <w:rPr>
          <w:b/>
          <w:szCs w:val="24"/>
        </w:rPr>
        <w:t xml:space="preserve">2. </w:t>
      </w:r>
      <w:r w:rsidR="00EE661E" w:rsidRPr="0082562A">
        <w:rPr>
          <w:b/>
          <w:szCs w:val="24"/>
        </w:rPr>
        <w:t xml:space="preserve">Mobilumo paketas II. </w:t>
      </w:r>
      <w:r w:rsidR="00EE661E" w:rsidRPr="0082562A">
        <w:rPr>
          <w:b/>
          <w:color w:val="000000"/>
          <w:szCs w:val="24"/>
        </w:rPr>
        <w:t xml:space="preserve">Pasiūlymas dėl </w:t>
      </w:r>
      <w:r w:rsidRPr="0082562A">
        <w:rPr>
          <w:b/>
          <w:color w:val="000000"/>
          <w:szCs w:val="24"/>
        </w:rPr>
        <w:t>Europos Parlamento ir Tarybos direktyvos</w:t>
      </w:r>
      <w:r w:rsidR="00EE661E" w:rsidRPr="0082562A">
        <w:rPr>
          <w:b/>
          <w:color w:val="000000"/>
          <w:szCs w:val="24"/>
        </w:rPr>
        <w:t>, kuria iš dalies keičiama Direktyva 92/106/EEB dėl tam tikrų kombinuoto krovinių vežimo tarp valstybių narių tipų bendrųjų taisyklių nustatymo</w:t>
      </w:r>
    </w:p>
    <w:p w:rsidR="00EE661E" w:rsidRPr="00580D27" w:rsidRDefault="00EE661E" w:rsidP="00D53304">
      <w:pPr>
        <w:pStyle w:val="Betarp"/>
        <w:jc w:val="both"/>
        <w:rPr>
          <w:i/>
          <w:sz w:val="24"/>
          <w:szCs w:val="24"/>
          <w:lang w:val="lt-LT"/>
        </w:rPr>
      </w:pPr>
      <w:r w:rsidRPr="00580D27">
        <w:rPr>
          <w:i/>
          <w:sz w:val="24"/>
          <w:szCs w:val="24"/>
          <w:lang w:val="lt-LT"/>
        </w:rPr>
        <w:t>Klausimo esmė</w:t>
      </w:r>
    </w:p>
    <w:p w:rsidR="00EE661E" w:rsidRPr="003F4CB7" w:rsidRDefault="00EE661E" w:rsidP="00D53304">
      <w:pPr>
        <w:pStyle w:val="Betarp"/>
        <w:ind w:firstLine="567"/>
        <w:jc w:val="both"/>
        <w:rPr>
          <w:sz w:val="24"/>
          <w:szCs w:val="24"/>
          <w:lang w:val="lt-LT" w:eastAsia="lt-LT" w:bidi="lt-LT"/>
        </w:rPr>
      </w:pPr>
      <w:r w:rsidRPr="003F4CB7">
        <w:rPr>
          <w:sz w:val="24"/>
          <w:szCs w:val="24"/>
          <w:lang w:val="lt-LT" w:eastAsia="lt-LT" w:bidi="lt-LT"/>
        </w:rPr>
        <w:t xml:space="preserve">Pasiūlymas skirtas paskatinti kombinuotojo transporto operacijas, pritaikant direktyvą prie šių dienų transporto rinkos. Kombinuotojo transporto operacija apima kelių transporto operaciją vežimo pirminėje ir paskutinėje atkarpoje ir pervežimą mažiau taršiomis transporto šakomis (geležinkeliu, jūromis arba vidaus vandenimis) tarp jų. </w:t>
      </w:r>
    </w:p>
    <w:p w:rsidR="00EE661E" w:rsidRPr="003F4CB7" w:rsidRDefault="00EE661E" w:rsidP="00D53304">
      <w:pPr>
        <w:pStyle w:val="Betarp"/>
        <w:jc w:val="both"/>
        <w:rPr>
          <w:sz w:val="24"/>
          <w:szCs w:val="24"/>
          <w:lang w:val="lt-LT" w:eastAsia="lt-LT" w:bidi="lt-LT"/>
        </w:rPr>
      </w:pPr>
      <w:r w:rsidRPr="003F4CB7">
        <w:rPr>
          <w:sz w:val="24"/>
          <w:szCs w:val="24"/>
          <w:lang w:val="lt-LT" w:eastAsia="lt-LT" w:bidi="lt-LT"/>
        </w:rPr>
        <w:t xml:space="preserve">Svarbiausi pasiūlymo elementai: </w:t>
      </w:r>
    </w:p>
    <w:p w:rsidR="00EE661E" w:rsidRPr="003F4CB7" w:rsidRDefault="0082562A" w:rsidP="00D53304">
      <w:pPr>
        <w:pStyle w:val="Betarp"/>
        <w:jc w:val="both"/>
        <w:rPr>
          <w:sz w:val="24"/>
          <w:szCs w:val="24"/>
          <w:lang w:val="lt-LT" w:eastAsia="lt-LT" w:bidi="lt-LT"/>
        </w:rPr>
      </w:pPr>
      <w:r w:rsidRPr="003F4CB7">
        <w:rPr>
          <w:sz w:val="24"/>
          <w:szCs w:val="24"/>
          <w:lang w:val="lt-LT" w:eastAsia="lt-LT" w:bidi="lt-LT"/>
        </w:rPr>
        <w:t xml:space="preserve">- </w:t>
      </w:r>
      <w:r w:rsidR="00EE661E" w:rsidRPr="003F4CB7">
        <w:rPr>
          <w:sz w:val="24"/>
          <w:szCs w:val="24"/>
          <w:lang w:val="lt-LT" w:eastAsia="lt-LT" w:bidi="lt-LT"/>
        </w:rPr>
        <w:t xml:space="preserve">Praplečiama kombinuotojo transporto apimtis. Šiuo metu kombinuotojo transporto operacijos yra tik tarptautinės operacijos. Pasiūlymu apimamos ir tokios kombinuotojo transporto operacijos, kurios vykdomos vienoje šalyje. </w:t>
      </w:r>
    </w:p>
    <w:p w:rsidR="00EE661E" w:rsidRPr="003F4CB7" w:rsidRDefault="0082562A" w:rsidP="00D53304">
      <w:pPr>
        <w:pStyle w:val="Betarp"/>
        <w:jc w:val="both"/>
        <w:rPr>
          <w:sz w:val="24"/>
          <w:szCs w:val="24"/>
          <w:lang w:val="lt-LT" w:eastAsia="lt-LT" w:bidi="lt-LT"/>
        </w:rPr>
      </w:pPr>
      <w:r w:rsidRPr="003F4CB7">
        <w:rPr>
          <w:sz w:val="24"/>
          <w:szCs w:val="24"/>
          <w:lang w:val="lt-LT" w:eastAsia="lt-LT" w:bidi="lt-LT"/>
        </w:rPr>
        <w:t xml:space="preserve">- </w:t>
      </w:r>
      <w:r w:rsidR="00EE661E" w:rsidRPr="003F4CB7">
        <w:rPr>
          <w:sz w:val="24"/>
          <w:szCs w:val="24"/>
          <w:lang w:val="lt-LT" w:eastAsia="lt-LT" w:bidi="lt-LT"/>
        </w:rPr>
        <w:t>Pateikiamas galutinis dokumentų, reikalingų įrodyti kombinuotojo transporto operaciją, sąrašas. Galima naudoti elektroninius dokumentus.</w:t>
      </w:r>
    </w:p>
    <w:p w:rsidR="00EE661E" w:rsidRDefault="0082562A" w:rsidP="00D53304">
      <w:pPr>
        <w:pStyle w:val="Betarp"/>
        <w:jc w:val="both"/>
        <w:rPr>
          <w:sz w:val="24"/>
          <w:szCs w:val="24"/>
          <w:lang w:val="lt-LT" w:eastAsia="lt-LT" w:bidi="lt-LT"/>
        </w:rPr>
      </w:pPr>
      <w:r w:rsidRPr="003F4CB7">
        <w:rPr>
          <w:sz w:val="24"/>
          <w:szCs w:val="24"/>
          <w:lang w:val="lt-LT" w:eastAsia="lt-LT" w:bidi="lt-LT"/>
        </w:rPr>
        <w:t xml:space="preserve">- </w:t>
      </w:r>
      <w:r w:rsidR="00EE661E" w:rsidRPr="003F4CB7">
        <w:rPr>
          <w:sz w:val="24"/>
          <w:szCs w:val="24"/>
          <w:lang w:val="lt-LT" w:eastAsia="lt-LT" w:bidi="lt-LT"/>
        </w:rPr>
        <w:t xml:space="preserve">Nustatoma pareiga valstybėms narėms plėtoti paskirstymo terminalus ir jų pajėgumus TEN-T tinkle. </w:t>
      </w:r>
      <w:r w:rsidR="00D53304">
        <w:rPr>
          <w:sz w:val="24"/>
          <w:szCs w:val="24"/>
          <w:lang w:val="lt-LT" w:eastAsia="lt-LT" w:bidi="lt-LT"/>
        </w:rPr>
        <w:t xml:space="preserve">- </w:t>
      </w:r>
      <w:r w:rsidR="00EE661E" w:rsidRPr="003F4CB7">
        <w:rPr>
          <w:sz w:val="24"/>
          <w:szCs w:val="24"/>
          <w:lang w:val="lt-LT" w:eastAsia="lt-LT" w:bidi="lt-LT"/>
        </w:rPr>
        <w:t>Siūloma, kad atsižvelgiant į gyventojų tankumą, geografinius ar gamtinius apribojimus, rinkos sąlygas, prekybos ir krovinių srautus, valstybės narės ilgalaikėje perspektyvoje užtikrintų, jog iš bet kurios Sąjungos vietos paskirstymo terminalą būtų galima pasiekti ne didesniu nei 150 km atstumu. </w:t>
      </w:r>
    </w:p>
    <w:p w:rsidR="00D53304" w:rsidRPr="00D53304" w:rsidRDefault="00D53304" w:rsidP="00D53304">
      <w:pPr>
        <w:rPr>
          <w:sz w:val="24"/>
          <w:szCs w:val="24"/>
          <w:lang w:val="lt-LT"/>
        </w:rPr>
      </w:pPr>
      <w:r>
        <w:rPr>
          <w:b/>
          <w:sz w:val="24"/>
          <w:szCs w:val="24"/>
          <w:lang w:val="lt-LT"/>
        </w:rPr>
        <w:t xml:space="preserve">- </w:t>
      </w:r>
      <w:r>
        <w:rPr>
          <w:sz w:val="24"/>
          <w:szCs w:val="24"/>
          <w:lang w:val="lt-LT"/>
        </w:rPr>
        <w:t>S</w:t>
      </w:r>
      <w:r w:rsidRPr="00D53304">
        <w:rPr>
          <w:sz w:val="24"/>
          <w:szCs w:val="24"/>
          <w:lang w:val="lt-LT"/>
        </w:rPr>
        <w:t>uteikiama teis</w:t>
      </w:r>
      <w:r>
        <w:rPr>
          <w:sz w:val="24"/>
          <w:szCs w:val="24"/>
          <w:lang w:val="lt-LT"/>
        </w:rPr>
        <w:t>ė</w:t>
      </w:r>
      <w:r w:rsidRPr="00D53304">
        <w:rPr>
          <w:sz w:val="24"/>
          <w:szCs w:val="24"/>
          <w:lang w:val="lt-LT"/>
        </w:rPr>
        <w:t xml:space="preserve"> VN įvesti apribojimus (laikotarpius) dėl kabotažinių vežimų (4 str.).</w:t>
      </w:r>
    </w:p>
    <w:p w:rsidR="00D53304" w:rsidRPr="00D53304" w:rsidRDefault="00D53304" w:rsidP="00D53304">
      <w:pPr>
        <w:pStyle w:val="Betarp"/>
        <w:jc w:val="both"/>
        <w:rPr>
          <w:sz w:val="24"/>
          <w:szCs w:val="24"/>
          <w:lang w:val="lt-LT"/>
        </w:rPr>
      </w:pPr>
    </w:p>
    <w:p w:rsidR="00EE661E" w:rsidRPr="00D53304" w:rsidRDefault="00EE661E" w:rsidP="00D53304">
      <w:pPr>
        <w:pStyle w:val="Betarp"/>
        <w:rPr>
          <w:i/>
          <w:sz w:val="24"/>
          <w:szCs w:val="24"/>
          <w:lang w:val="lt-LT"/>
        </w:rPr>
      </w:pPr>
      <w:r w:rsidRPr="00D53304">
        <w:rPr>
          <w:i/>
          <w:sz w:val="24"/>
          <w:szCs w:val="24"/>
          <w:lang w:val="lt-LT"/>
        </w:rPr>
        <w:t>Lietuvos pozicija</w:t>
      </w:r>
    </w:p>
    <w:p w:rsidR="00EE661E" w:rsidRPr="00D53304" w:rsidRDefault="00EE661E" w:rsidP="00D53304">
      <w:pPr>
        <w:pStyle w:val="Betarp"/>
        <w:ind w:firstLine="567"/>
        <w:rPr>
          <w:b/>
          <w:sz w:val="24"/>
          <w:szCs w:val="24"/>
          <w:lang w:val="lt-LT"/>
        </w:rPr>
      </w:pPr>
      <w:r w:rsidRPr="00D53304">
        <w:rPr>
          <w:color w:val="000000"/>
          <w:sz w:val="24"/>
          <w:szCs w:val="24"/>
          <w:lang w:val="lt-LT" w:eastAsia="lt-LT" w:bidi="lt-LT"/>
        </w:rPr>
        <w:t xml:space="preserve">Mišriųjų vežimų direktyvos pasiūlymo pakeitimams, </w:t>
      </w:r>
      <w:r w:rsidR="00985F14">
        <w:rPr>
          <w:color w:val="000000"/>
          <w:sz w:val="24"/>
          <w:szCs w:val="24"/>
          <w:lang w:val="lt-LT" w:eastAsia="lt-LT" w:bidi="lt-LT"/>
        </w:rPr>
        <w:t xml:space="preserve">galima pritarti </w:t>
      </w:r>
      <w:r w:rsidRPr="00D53304">
        <w:rPr>
          <w:color w:val="000000"/>
          <w:sz w:val="24"/>
          <w:szCs w:val="24"/>
          <w:lang w:val="lt-LT" w:eastAsia="lt-LT" w:bidi="lt-LT"/>
        </w:rPr>
        <w:t>tik galutinai sutarus dėl mobilumo paketo I failų. </w:t>
      </w:r>
      <w:r w:rsidR="00985F14">
        <w:rPr>
          <w:color w:val="000000"/>
          <w:sz w:val="24"/>
          <w:szCs w:val="24"/>
          <w:lang w:val="lt-LT" w:eastAsia="lt-LT" w:bidi="lt-LT"/>
        </w:rPr>
        <w:t xml:space="preserve">Lietuva ir kitos bendramintės šalys nepalaiko </w:t>
      </w:r>
      <w:r w:rsidR="00D53304" w:rsidRPr="00D53304">
        <w:rPr>
          <w:color w:val="000000"/>
          <w:sz w:val="24"/>
          <w:szCs w:val="24"/>
          <w:lang w:val="lt-LT" w:eastAsia="lt-LT" w:bidi="lt-LT"/>
        </w:rPr>
        <w:t>naujai pasiūlytam 4 str., kuriame numatoma galimybė apriboti kabotažo operacijas</w:t>
      </w:r>
      <w:r w:rsidR="00985F14">
        <w:rPr>
          <w:color w:val="000000"/>
          <w:sz w:val="24"/>
          <w:szCs w:val="24"/>
          <w:lang w:val="lt-LT" w:eastAsia="lt-LT" w:bidi="lt-LT"/>
        </w:rPr>
        <w:t>, kai jos sudaro kombinuotojo transporto dalį</w:t>
      </w:r>
      <w:r w:rsidR="00D53304">
        <w:rPr>
          <w:color w:val="000000"/>
          <w:sz w:val="24"/>
          <w:szCs w:val="24"/>
          <w:lang w:val="lt-LT" w:eastAsia="lt-LT" w:bidi="lt-LT"/>
        </w:rPr>
        <w:t>.</w:t>
      </w:r>
    </w:p>
    <w:p w:rsidR="006A5417" w:rsidRPr="00BE4665" w:rsidRDefault="006A5417" w:rsidP="003F4CB7">
      <w:pPr>
        <w:spacing w:before="240" w:after="240"/>
        <w:jc w:val="both"/>
        <w:rPr>
          <w:b/>
          <w:color w:val="000000"/>
          <w:sz w:val="24"/>
          <w:szCs w:val="24"/>
          <w:lang w:val="lt-LT" w:eastAsia="lt-LT" w:bidi="lt-LT"/>
        </w:rPr>
      </w:pPr>
      <w:r w:rsidRPr="00BE4665">
        <w:rPr>
          <w:b/>
          <w:sz w:val="24"/>
          <w:szCs w:val="24"/>
          <w:lang w:val="lt-LT"/>
        </w:rPr>
        <w:lastRenderedPageBreak/>
        <w:t xml:space="preserve">3. </w:t>
      </w:r>
      <w:r w:rsidRPr="00BE4665">
        <w:rPr>
          <w:b/>
          <w:color w:val="000000"/>
          <w:sz w:val="24"/>
          <w:szCs w:val="24"/>
          <w:lang w:val="lt-LT" w:eastAsia="lt-LT" w:bidi="lt-LT"/>
        </w:rPr>
        <w:t xml:space="preserve">Pasiūlymas dėl </w:t>
      </w:r>
      <w:r w:rsidR="00661381" w:rsidRPr="00BE4665">
        <w:rPr>
          <w:b/>
          <w:color w:val="000000"/>
          <w:sz w:val="24"/>
          <w:szCs w:val="24"/>
          <w:lang w:val="lt-LT" w:eastAsia="lt-LT" w:bidi="lt-LT"/>
        </w:rPr>
        <w:t xml:space="preserve">Europos Parlamento Ir Tarybos </w:t>
      </w:r>
      <w:r w:rsidR="00661381">
        <w:rPr>
          <w:b/>
          <w:color w:val="000000"/>
          <w:sz w:val="24"/>
          <w:szCs w:val="24"/>
          <w:lang w:val="lt-LT" w:eastAsia="lt-LT" w:bidi="lt-LT"/>
        </w:rPr>
        <w:t>d</w:t>
      </w:r>
      <w:r w:rsidR="00661381" w:rsidRPr="00BE4665">
        <w:rPr>
          <w:b/>
          <w:color w:val="000000"/>
          <w:sz w:val="24"/>
          <w:szCs w:val="24"/>
          <w:lang w:val="lt-LT" w:eastAsia="lt-LT" w:bidi="lt-LT"/>
        </w:rPr>
        <w:t>irektyvos</w:t>
      </w:r>
      <w:r w:rsidRPr="00BE4665">
        <w:rPr>
          <w:b/>
          <w:color w:val="000000"/>
          <w:sz w:val="24"/>
          <w:szCs w:val="24"/>
          <w:lang w:val="lt-LT" w:eastAsia="lt-LT" w:bidi="lt-LT"/>
        </w:rPr>
        <w:t>, kuria iš dalies keičiama Direktyva 2008/96/EB dėl kelių infrastruktūros saugumo valdymo</w:t>
      </w:r>
      <w:r w:rsidR="00835474">
        <w:rPr>
          <w:b/>
          <w:color w:val="000000"/>
          <w:sz w:val="24"/>
          <w:szCs w:val="24"/>
          <w:lang w:val="lt-LT" w:eastAsia="lt-LT" w:bidi="lt-LT"/>
        </w:rPr>
        <w:t xml:space="preserve"> – Bendrasis požiūris</w:t>
      </w:r>
    </w:p>
    <w:p w:rsidR="00EE661E" w:rsidRPr="00661381" w:rsidRDefault="006A5417" w:rsidP="003F4CB7">
      <w:pPr>
        <w:pStyle w:val="PointManual"/>
        <w:spacing w:before="360"/>
        <w:ind w:left="0" w:firstLine="0"/>
        <w:jc w:val="both"/>
        <w:rPr>
          <w:i/>
          <w:szCs w:val="24"/>
        </w:rPr>
      </w:pPr>
      <w:r w:rsidRPr="00661381">
        <w:rPr>
          <w:i/>
          <w:szCs w:val="24"/>
        </w:rPr>
        <w:t>Klausimo esmė</w:t>
      </w:r>
    </w:p>
    <w:p w:rsidR="00661381" w:rsidRPr="00BE4665" w:rsidRDefault="006A5417" w:rsidP="003F4CB7">
      <w:pPr>
        <w:pStyle w:val="Betarp"/>
        <w:jc w:val="both"/>
        <w:rPr>
          <w:sz w:val="24"/>
          <w:szCs w:val="24"/>
          <w:lang w:val="lt-LT" w:eastAsia="lt-LT" w:bidi="lt-LT"/>
        </w:rPr>
      </w:pPr>
      <w:r w:rsidRPr="00BE4665">
        <w:rPr>
          <w:sz w:val="24"/>
          <w:szCs w:val="24"/>
          <w:lang w:val="lt-LT" w:eastAsia="lt-LT" w:bidi="lt-LT"/>
        </w:rPr>
        <w:t>Bendrasis siūlomos iniciatyvos tikslas – gerinti kelių infrastruktūros saugumą ir taip mažinti žūstančiųjų ir sunkiai sužalojamųjų ES keliuose.</w:t>
      </w:r>
      <w:r w:rsidR="00661381">
        <w:rPr>
          <w:sz w:val="24"/>
          <w:szCs w:val="24"/>
          <w:lang w:val="lt-LT" w:eastAsia="lt-LT" w:bidi="lt-LT"/>
        </w:rPr>
        <w:t xml:space="preserve"> Siekiant šio tikslo direktyvoje numatoma:</w:t>
      </w:r>
    </w:p>
    <w:p w:rsidR="006A5417" w:rsidRPr="00BE4665" w:rsidRDefault="006A5417" w:rsidP="003F4CB7">
      <w:pPr>
        <w:pStyle w:val="Betarp"/>
        <w:jc w:val="both"/>
        <w:rPr>
          <w:sz w:val="24"/>
          <w:szCs w:val="24"/>
          <w:lang w:val="lt-LT" w:eastAsia="lt-LT" w:bidi="lt-LT"/>
        </w:rPr>
      </w:pPr>
      <w:r w:rsidRPr="00BE4665">
        <w:rPr>
          <w:sz w:val="24"/>
          <w:szCs w:val="24"/>
          <w:lang w:val="lt-LT" w:eastAsia="lt-LT" w:bidi="lt-LT"/>
        </w:rPr>
        <w:t>– nustatyti reikalavimą užtikrinti infrastruktūros saugumo valdymo procedūrų skaidrumą ir tolesnes priemones;</w:t>
      </w:r>
    </w:p>
    <w:p w:rsidR="006A5417" w:rsidRPr="00BE4665" w:rsidRDefault="006A5417" w:rsidP="003F4CB7">
      <w:pPr>
        <w:pStyle w:val="Betarp"/>
        <w:jc w:val="both"/>
        <w:rPr>
          <w:sz w:val="24"/>
          <w:szCs w:val="24"/>
          <w:lang w:val="lt-LT" w:eastAsia="lt-LT" w:bidi="lt-LT"/>
        </w:rPr>
      </w:pPr>
      <w:r w:rsidRPr="00BE4665">
        <w:rPr>
          <w:sz w:val="24"/>
          <w:szCs w:val="24"/>
          <w:lang w:val="lt-LT" w:eastAsia="lt-LT" w:bidi="lt-LT"/>
        </w:rPr>
        <w:t>– sukurti viso kelių tinklo vertinimo sistemą, sistemingą ir aktyvią rizikos vertinimo procedūrą būdingai kelių eismo saugumo rizikai visoje ES vertinti;</w:t>
      </w:r>
    </w:p>
    <w:p w:rsidR="006A5417" w:rsidRPr="00BE4665" w:rsidRDefault="006A5417" w:rsidP="003F4CB7">
      <w:pPr>
        <w:pStyle w:val="Betarp"/>
        <w:jc w:val="both"/>
        <w:rPr>
          <w:sz w:val="24"/>
          <w:szCs w:val="24"/>
          <w:lang w:val="lt-LT" w:eastAsia="lt-LT" w:bidi="lt-LT"/>
        </w:rPr>
      </w:pPr>
      <w:r w:rsidRPr="00BE4665">
        <w:rPr>
          <w:sz w:val="24"/>
          <w:szCs w:val="24"/>
          <w:lang w:val="lt-LT" w:eastAsia="lt-LT" w:bidi="lt-LT"/>
        </w:rPr>
        <w:t xml:space="preserve">– išplėsti direktyvos taikymo sritį, kad ji apimtų ne tik </w:t>
      </w:r>
      <w:proofErr w:type="spellStart"/>
      <w:r w:rsidRPr="00BE4665">
        <w:rPr>
          <w:sz w:val="24"/>
          <w:szCs w:val="24"/>
          <w:lang w:val="lt-LT" w:eastAsia="lt-LT" w:bidi="lt-LT"/>
        </w:rPr>
        <w:t>transeuropinį</w:t>
      </w:r>
      <w:proofErr w:type="spellEnd"/>
      <w:r w:rsidRPr="00BE4665">
        <w:rPr>
          <w:sz w:val="24"/>
          <w:szCs w:val="24"/>
          <w:lang w:val="lt-LT" w:eastAsia="lt-LT" w:bidi="lt-LT"/>
        </w:rPr>
        <w:t xml:space="preserve"> transporto tinklą (TEN-T), bet ir greitkelius bei pagrindinius kelius, kurie nėra to tinklo dalis, taip pat visus ne miesto teritorijoje esančius kelius, nutiestus vien arba iš dalies ES lėšomis;</w:t>
      </w:r>
    </w:p>
    <w:p w:rsidR="006A5417" w:rsidRPr="00BE4665" w:rsidRDefault="006A5417" w:rsidP="003F4CB7">
      <w:pPr>
        <w:pStyle w:val="Betarp"/>
        <w:jc w:val="both"/>
        <w:rPr>
          <w:sz w:val="24"/>
          <w:szCs w:val="24"/>
          <w:lang w:val="lt-LT" w:eastAsia="lt-LT" w:bidi="lt-LT"/>
        </w:rPr>
      </w:pPr>
      <w:r w:rsidRPr="00BE4665">
        <w:rPr>
          <w:sz w:val="24"/>
          <w:szCs w:val="24"/>
          <w:lang w:val="lt-LT" w:eastAsia="lt-LT" w:bidi="lt-LT"/>
        </w:rPr>
        <w:t>– nustatyti bendruosius kelių ženklinimo ir kelių ženklų eksploatacinius reikalavimus siekiant užtikrinti, kad būtų lengviau įdiegti sąveikiojo, susietojo ir automatizuoto judumo sistemas, ir</w:t>
      </w:r>
    </w:p>
    <w:p w:rsidR="006A5417" w:rsidRDefault="006A5417" w:rsidP="003F4CB7">
      <w:pPr>
        <w:pStyle w:val="Betarp"/>
        <w:jc w:val="both"/>
        <w:rPr>
          <w:sz w:val="24"/>
          <w:szCs w:val="24"/>
          <w:lang w:val="lt-LT" w:eastAsia="lt-LT" w:bidi="lt-LT"/>
        </w:rPr>
      </w:pPr>
      <w:r w:rsidRPr="00BE4665">
        <w:rPr>
          <w:sz w:val="24"/>
          <w:szCs w:val="24"/>
          <w:lang w:val="lt-LT" w:eastAsia="lt-LT" w:bidi="lt-LT"/>
        </w:rPr>
        <w:t>– nustatyti privalomą reikalavimą atliekant visas kelių eismo saugumo procedūras sistemingai atsižvelgti į pažeidžiamus kelių eismo dalyvius.</w:t>
      </w:r>
    </w:p>
    <w:p w:rsidR="00D53304" w:rsidRPr="00BE4665" w:rsidRDefault="00D53304" w:rsidP="003F4CB7">
      <w:pPr>
        <w:pStyle w:val="Betarp"/>
        <w:jc w:val="both"/>
        <w:rPr>
          <w:b/>
          <w:sz w:val="24"/>
          <w:szCs w:val="24"/>
          <w:lang w:val="lt-LT"/>
        </w:rPr>
      </w:pPr>
    </w:p>
    <w:p w:rsidR="006A5417" w:rsidRPr="00580D27" w:rsidRDefault="006A5417" w:rsidP="00D53304">
      <w:pPr>
        <w:pStyle w:val="Betarp"/>
        <w:rPr>
          <w:i/>
          <w:sz w:val="24"/>
          <w:szCs w:val="24"/>
          <w:lang w:val="lt-LT"/>
        </w:rPr>
      </w:pPr>
      <w:r w:rsidRPr="00580D27">
        <w:rPr>
          <w:i/>
          <w:sz w:val="24"/>
          <w:szCs w:val="24"/>
          <w:lang w:val="lt-LT"/>
        </w:rPr>
        <w:t>Lietuvos pozicija</w:t>
      </w:r>
    </w:p>
    <w:p w:rsidR="009F6E63" w:rsidRPr="00D53304" w:rsidRDefault="00835474" w:rsidP="00D53304">
      <w:pPr>
        <w:pStyle w:val="Betarp"/>
        <w:ind w:firstLine="567"/>
        <w:rPr>
          <w:color w:val="000000"/>
          <w:sz w:val="24"/>
          <w:szCs w:val="24"/>
          <w:lang w:val="lt-LT" w:eastAsia="lt-LT" w:bidi="lt-LT"/>
        </w:rPr>
      </w:pPr>
      <w:r w:rsidRPr="00D53304">
        <w:rPr>
          <w:color w:val="000000"/>
          <w:sz w:val="24"/>
          <w:szCs w:val="24"/>
          <w:lang w:val="lt-LT" w:eastAsia="lt-LT" w:bidi="lt-LT"/>
        </w:rPr>
        <w:t>Lietuva iš esmės pritaria pasiūlymui</w:t>
      </w:r>
      <w:r w:rsidR="009F6E63" w:rsidRPr="00D53304">
        <w:rPr>
          <w:color w:val="000000"/>
          <w:sz w:val="24"/>
          <w:szCs w:val="24"/>
          <w:lang w:val="lt-LT" w:eastAsia="lt-LT" w:bidi="lt-LT"/>
        </w:rPr>
        <w:t>, kadangi L</w:t>
      </w:r>
      <w:r w:rsidRPr="00D53304">
        <w:rPr>
          <w:color w:val="000000"/>
          <w:sz w:val="24"/>
          <w:szCs w:val="24"/>
          <w:lang w:val="lt-LT" w:eastAsia="lt-LT" w:bidi="lt-LT"/>
        </w:rPr>
        <w:t>ietuva t</w:t>
      </w:r>
      <w:r w:rsidR="009F6E63" w:rsidRPr="00D53304">
        <w:rPr>
          <w:color w:val="000000"/>
          <w:sz w:val="24"/>
          <w:szCs w:val="24"/>
          <w:lang w:val="lt-LT" w:eastAsia="lt-LT" w:bidi="lt-LT"/>
        </w:rPr>
        <w:t>aiko kelių saugumo audito procedūrą ne tik TEN-T kelių tinklui, bet ir visam kitam kelių tinklui, t. y. automagistralėms, greitkeliams, magistraliniams, krašto, rajoniniams keliams, taip pat vietinės reikšmės keliams (savivaldybių gatvėms), kai savivaldybės gatvė finansuojama iš Europos Sąjungos lėšų.</w:t>
      </w:r>
    </w:p>
    <w:p w:rsidR="009F6E63" w:rsidRPr="00BE4665" w:rsidRDefault="009F6E63" w:rsidP="003F4CB7">
      <w:pPr>
        <w:spacing w:before="240" w:after="240"/>
        <w:jc w:val="both"/>
        <w:rPr>
          <w:b/>
          <w:color w:val="000000"/>
          <w:sz w:val="24"/>
          <w:szCs w:val="24"/>
          <w:lang w:val="lt-LT" w:eastAsia="lt-LT" w:bidi="lt-LT"/>
        </w:rPr>
      </w:pPr>
      <w:r w:rsidRPr="00BE4665">
        <w:rPr>
          <w:b/>
          <w:sz w:val="24"/>
          <w:szCs w:val="24"/>
          <w:lang w:val="lt-LT"/>
        </w:rPr>
        <w:t xml:space="preserve">4. </w:t>
      </w:r>
      <w:r w:rsidRPr="00BE4665">
        <w:rPr>
          <w:b/>
          <w:color w:val="000000"/>
          <w:sz w:val="24"/>
          <w:szCs w:val="24"/>
          <w:lang w:val="lt-LT" w:eastAsia="lt-LT" w:bidi="lt-LT"/>
        </w:rPr>
        <w:t xml:space="preserve">Pasiūlymas dėl </w:t>
      </w:r>
      <w:r w:rsidR="00835474" w:rsidRPr="00BE4665">
        <w:rPr>
          <w:b/>
          <w:color w:val="000000"/>
          <w:sz w:val="24"/>
          <w:szCs w:val="24"/>
          <w:lang w:val="lt-LT" w:eastAsia="lt-LT" w:bidi="lt-LT"/>
        </w:rPr>
        <w:t xml:space="preserve">Europos Parlamento Ir Tarybos </w:t>
      </w:r>
      <w:r w:rsidR="00835474">
        <w:rPr>
          <w:b/>
          <w:color w:val="000000"/>
          <w:sz w:val="24"/>
          <w:szCs w:val="24"/>
          <w:lang w:val="lt-LT" w:eastAsia="lt-LT" w:bidi="lt-LT"/>
        </w:rPr>
        <w:t>d</w:t>
      </w:r>
      <w:r w:rsidR="00835474" w:rsidRPr="00BE4665">
        <w:rPr>
          <w:b/>
          <w:color w:val="000000"/>
          <w:sz w:val="24"/>
          <w:szCs w:val="24"/>
          <w:lang w:val="lt-LT" w:eastAsia="lt-LT" w:bidi="lt-LT"/>
        </w:rPr>
        <w:t>irektyvos</w:t>
      </w:r>
      <w:r w:rsidRPr="00BE4665">
        <w:rPr>
          <w:b/>
          <w:color w:val="000000"/>
          <w:sz w:val="24"/>
          <w:szCs w:val="24"/>
          <w:lang w:val="lt-LT" w:eastAsia="lt-LT" w:bidi="lt-LT"/>
        </w:rPr>
        <w:t xml:space="preserve">, kuria panaikinamas sezoninis laiko keitimas ir panaikinama Direktyva 2000/84/EB </w:t>
      </w:r>
      <w:r w:rsidR="00C7486A">
        <w:rPr>
          <w:b/>
          <w:color w:val="000000"/>
          <w:sz w:val="24"/>
          <w:szCs w:val="24"/>
          <w:lang w:val="lt-LT" w:eastAsia="lt-LT" w:bidi="lt-LT"/>
        </w:rPr>
        <w:t>– Pažangos ataskaita</w:t>
      </w:r>
    </w:p>
    <w:p w:rsidR="006A5417" w:rsidRPr="00835474" w:rsidRDefault="009F6E63" w:rsidP="003F4CB7">
      <w:pPr>
        <w:pStyle w:val="PointManual"/>
        <w:spacing w:before="360"/>
        <w:jc w:val="both"/>
        <w:rPr>
          <w:i/>
          <w:szCs w:val="24"/>
        </w:rPr>
      </w:pPr>
      <w:r w:rsidRPr="00835474">
        <w:rPr>
          <w:i/>
          <w:szCs w:val="24"/>
        </w:rPr>
        <w:t>Klausimo esmė</w:t>
      </w:r>
    </w:p>
    <w:p w:rsidR="009F6E63" w:rsidRDefault="009F6E63" w:rsidP="003F4CB7">
      <w:pPr>
        <w:spacing w:before="120" w:after="120"/>
        <w:ind w:firstLine="851"/>
        <w:jc w:val="both"/>
        <w:rPr>
          <w:rFonts w:eastAsia="Calibri"/>
          <w:sz w:val="24"/>
          <w:szCs w:val="22"/>
          <w:lang w:val="lt-LT"/>
        </w:rPr>
      </w:pPr>
      <w:r w:rsidRPr="00BE4665">
        <w:rPr>
          <w:rFonts w:eastAsia="Calibri"/>
          <w:noProof/>
          <w:sz w:val="24"/>
          <w:szCs w:val="22"/>
          <w:lang w:val="lt-LT"/>
        </w:rPr>
        <w:t xml:space="preserve">Atsižvelgdama į viešųjų konsultacijų rezultatus, 2018 m. rugsėjo 13 d. Europos Komisija pateikė pasiūlymą direktyvai, </w:t>
      </w:r>
      <w:r w:rsidRPr="00BE4665">
        <w:rPr>
          <w:rFonts w:eastAsia="Calibri"/>
          <w:sz w:val="24"/>
          <w:szCs w:val="22"/>
          <w:lang w:val="lt-LT"/>
        </w:rPr>
        <w:t>kuria panaikinamas sezoninis (vasaros / žiemos) laiko keitimas</w:t>
      </w:r>
      <w:r w:rsidR="00CB164B">
        <w:rPr>
          <w:rFonts w:eastAsia="Calibri"/>
          <w:sz w:val="24"/>
          <w:szCs w:val="22"/>
          <w:lang w:val="lt-LT"/>
        </w:rPr>
        <w:t xml:space="preserve">. </w:t>
      </w:r>
      <w:r w:rsidR="00C7486A">
        <w:rPr>
          <w:rFonts w:eastAsia="Calibri"/>
          <w:sz w:val="24"/>
          <w:szCs w:val="22"/>
          <w:lang w:val="lt-LT"/>
        </w:rPr>
        <w:t>Pagrindiniai pasiūlymo elementai:</w:t>
      </w:r>
    </w:p>
    <w:p w:rsidR="00040564" w:rsidRPr="00C7486A" w:rsidRDefault="00040564" w:rsidP="003F4CB7">
      <w:pPr>
        <w:pStyle w:val="Sraopastraipa"/>
        <w:numPr>
          <w:ilvl w:val="0"/>
          <w:numId w:val="39"/>
        </w:numPr>
        <w:spacing w:before="240" w:after="240"/>
        <w:ind w:left="284"/>
        <w:jc w:val="both"/>
        <w:rPr>
          <w:sz w:val="24"/>
          <w:szCs w:val="24"/>
          <w:lang w:val="lt-LT"/>
        </w:rPr>
      </w:pPr>
      <w:r w:rsidRPr="00C7486A">
        <w:rPr>
          <w:sz w:val="24"/>
          <w:szCs w:val="24"/>
          <w:lang w:val="lt-LT"/>
        </w:rPr>
        <w:t>nuo 2019 m. balandžio 1 d. nebekeisti standartinio laiko dėl sezonų kaitos. 2019 m. kovo 31 d. valstybės narės dar pereis prie vasaros laiko pagal Direktyvą 2000/84/EB,</w:t>
      </w:r>
    </w:p>
    <w:p w:rsidR="00040564" w:rsidRPr="00C7486A" w:rsidRDefault="00040564" w:rsidP="003F4CB7">
      <w:pPr>
        <w:pStyle w:val="Sraopastraipa"/>
        <w:numPr>
          <w:ilvl w:val="0"/>
          <w:numId w:val="39"/>
        </w:numPr>
        <w:spacing w:before="240" w:after="240"/>
        <w:ind w:left="284"/>
        <w:jc w:val="both"/>
        <w:rPr>
          <w:sz w:val="24"/>
          <w:szCs w:val="24"/>
          <w:lang w:val="lt-LT"/>
        </w:rPr>
      </w:pPr>
      <w:r w:rsidRPr="00C7486A">
        <w:rPr>
          <w:sz w:val="24"/>
          <w:szCs w:val="24"/>
          <w:lang w:val="lt-LT"/>
        </w:rPr>
        <w:t>valstybės narės turės galimybę paskutinį kartą pakeisti "vasaros" laiką į "žiemos" paskutinį 2019 m. spalio mėn. sekmadienį.</w:t>
      </w:r>
    </w:p>
    <w:p w:rsidR="00040564" w:rsidRPr="00953D46" w:rsidRDefault="00040564" w:rsidP="003F4CB7">
      <w:pPr>
        <w:pStyle w:val="Sraopastraipa"/>
        <w:numPr>
          <w:ilvl w:val="0"/>
          <w:numId w:val="39"/>
        </w:numPr>
        <w:spacing w:before="240" w:after="240"/>
        <w:ind w:left="284"/>
        <w:jc w:val="both"/>
        <w:rPr>
          <w:sz w:val="24"/>
          <w:szCs w:val="24"/>
          <w:lang w:val="lt-LT"/>
        </w:rPr>
      </w:pPr>
      <w:r w:rsidRPr="00953D46">
        <w:rPr>
          <w:sz w:val="24"/>
          <w:szCs w:val="24"/>
          <w:lang w:val="lt-LT"/>
        </w:rPr>
        <w:t>sukurti notifikavimo apie laiko pakeitimus ateityje sistemą.</w:t>
      </w:r>
    </w:p>
    <w:p w:rsidR="00040564" w:rsidRPr="00C7486A" w:rsidRDefault="00040564" w:rsidP="003F4CB7">
      <w:pPr>
        <w:spacing w:before="240" w:after="240"/>
        <w:ind w:firstLine="284"/>
        <w:jc w:val="both"/>
        <w:rPr>
          <w:sz w:val="24"/>
          <w:szCs w:val="24"/>
          <w:lang w:val="lt-LT"/>
        </w:rPr>
      </w:pPr>
      <w:r w:rsidRPr="00C7486A">
        <w:rPr>
          <w:sz w:val="24"/>
          <w:szCs w:val="24"/>
          <w:lang w:val="lt-LT"/>
        </w:rPr>
        <w:t>Svarstant pasiūlymą paaiškėjo, kad valstybės narės dar neturi galutinės pozicijos šiuo klausimu. Keletas delegacijų prašė Komisijos atlikti išsamų poveikio vertinimą, kas padėtų priimti pagrįstą sprendimą. Visos valstybės narės pabrėžė, kad labai svarbu užtikrinti tinkamą Bendros rinkos funkcionavimą ir išvengti bendros erdvės fragmentavimo. Siekiant suteikti pakankamai laiko konsultacijoms su visuomene ir kaimynin</w:t>
      </w:r>
      <w:r w:rsidR="00C7486A">
        <w:rPr>
          <w:sz w:val="24"/>
          <w:szCs w:val="24"/>
          <w:lang w:val="lt-LT"/>
        </w:rPr>
        <w:t>ė</w:t>
      </w:r>
      <w:r w:rsidRPr="00C7486A">
        <w:rPr>
          <w:sz w:val="24"/>
          <w:szCs w:val="24"/>
          <w:lang w:val="lt-LT"/>
        </w:rPr>
        <w:t xml:space="preserve">mis šalimis buvo </w:t>
      </w:r>
      <w:r w:rsidR="006F1447">
        <w:rPr>
          <w:sz w:val="24"/>
          <w:szCs w:val="24"/>
          <w:lang w:val="lt-LT"/>
        </w:rPr>
        <w:t>pasiūlyta</w:t>
      </w:r>
      <w:r w:rsidR="006F1447" w:rsidRPr="00C7486A">
        <w:rPr>
          <w:sz w:val="24"/>
          <w:szCs w:val="24"/>
          <w:lang w:val="lt-LT"/>
        </w:rPr>
        <w:t xml:space="preserve"> </w:t>
      </w:r>
      <w:r w:rsidRPr="00C7486A">
        <w:rPr>
          <w:sz w:val="24"/>
          <w:szCs w:val="24"/>
          <w:lang w:val="lt-LT"/>
        </w:rPr>
        <w:t>atidėti Direktyvos įsigaliojimą iki 2021 m. balandžio 1 d.</w:t>
      </w:r>
      <w:r w:rsidR="006F1447">
        <w:rPr>
          <w:sz w:val="24"/>
          <w:szCs w:val="24"/>
          <w:lang w:val="lt-LT"/>
        </w:rPr>
        <w:t>, o galiausiai nutarta Tarybai pateikti pažangos ataskaitą.</w:t>
      </w:r>
    </w:p>
    <w:p w:rsidR="00117C80" w:rsidRPr="00BE4665" w:rsidRDefault="00117C80" w:rsidP="00D53304">
      <w:pPr>
        <w:spacing w:before="120" w:after="120"/>
        <w:jc w:val="both"/>
        <w:rPr>
          <w:rFonts w:eastAsia="Calibri"/>
          <w:i/>
          <w:sz w:val="24"/>
          <w:szCs w:val="22"/>
          <w:lang w:val="lt-LT"/>
        </w:rPr>
      </w:pPr>
      <w:r w:rsidRPr="00BE4665">
        <w:rPr>
          <w:rFonts w:eastAsia="Calibri"/>
          <w:i/>
          <w:sz w:val="24"/>
          <w:szCs w:val="22"/>
          <w:lang w:val="lt-LT"/>
        </w:rPr>
        <w:t>Lietuvos pozicija</w:t>
      </w:r>
    </w:p>
    <w:p w:rsidR="00117C80" w:rsidRPr="00C7486A" w:rsidRDefault="00C7486A" w:rsidP="003F4CB7">
      <w:pPr>
        <w:spacing w:before="120" w:after="120"/>
        <w:ind w:firstLine="851"/>
        <w:jc w:val="both"/>
        <w:rPr>
          <w:rFonts w:eastAsia="Calibri"/>
          <w:sz w:val="24"/>
          <w:szCs w:val="24"/>
          <w:lang w:val="lt-LT"/>
        </w:rPr>
      </w:pPr>
      <w:r w:rsidRPr="00C7486A">
        <w:rPr>
          <w:sz w:val="24"/>
          <w:szCs w:val="24"/>
          <w:lang w:val="lt-LT"/>
        </w:rPr>
        <w:t xml:space="preserve">Lietuva pritaria pažangos ataskaitai, tačiau apgailestauja, kad nepavyko pasiekti bendro sutarimo dėl šio pasiūlymo. </w:t>
      </w:r>
      <w:r w:rsidR="00146FBF">
        <w:rPr>
          <w:sz w:val="24"/>
          <w:szCs w:val="24"/>
          <w:lang w:val="lt-LT"/>
        </w:rPr>
        <w:t xml:space="preserve">Lietuva pažymi, kad tiek vidines konsultacijas su suinteresuotais subjektais, tiek visuomenės nuomonės apklausą, tiek nuomonių apsikeitimą su kaimynais ketinama atlikti dar šiais metais. </w:t>
      </w:r>
      <w:r w:rsidRPr="00C7486A">
        <w:rPr>
          <w:sz w:val="24"/>
          <w:szCs w:val="24"/>
          <w:lang w:val="lt-LT"/>
        </w:rPr>
        <w:t>Laikomės nuomonės, kad sprendimas</w:t>
      </w:r>
      <w:r w:rsidR="00660EDE">
        <w:rPr>
          <w:sz w:val="24"/>
          <w:szCs w:val="24"/>
          <w:lang w:val="lt-LT"/>
        </w:rPr>
        <w:t xml:space="preserve"> ES mastu</w:t>
      </w:r>
      <w:r w:rsidRPr="00C7486A">
        <w:rPr>
          <w:sz w:val="24"/>
          <w:szCs w:val="24"/>
          <w:lang w:val="lt-LT"/>
        </w:rPr>
        <w:t xml:space="preserve"> turi būti priimtas kuo greičiau, nelaukiant visaapimančio sprendimo dėl koordinavimo tarp visų ES valstybių narių.  </w:t>
      </w:r>
    </w:p>
    <w:p w:rsidR="00D53304" w:rsidRDefault="00D53304" w:rsidP="003F4CB7">
      <w:pPr>
        <w:pStyle w:val="Betarp"/>
        <w:jc w:val="both"/>
        <w:rPr>
          <w:b/>
          <w:sz w:val="24"/>
          <w:szCs w:val="24"/>
          <w:lang w:val="lt-LT"/>
        </w:rPr>
      </w:pPr>
    </w:p>
    <w:p w:rsidR="00117C80" w:rsidRPr="00D53304" w:rsidRDefault="00117C80" w:rsidP="003F4CB7">
      <w:pPr>
        <w:pStyle w:val="Betarp"/>
        <w:jc w:val="both"/>
        <w:rPr>
          <w:b/>
          <w:i/>
          <w:sz w:val="24"/>
          <w:szCs w:val="24"/>
          <w:lang w:val="lt-LT"/>
        </w:rPr>
      </w:pPr>
      <w:r w:rsidRPr="00BE4665">
        <w:rPr>
          <w:b/>
          <w:sz w:val="24"/>
          <w:szCs w:val="24"/>
          <w:lang w:val="lt-LT"/>
        </w:rPr>
        <w:t>5. Reglamentas dėl geležinkelių keleivių teisių</w:t>
      </w:r>
      <w:r w:rsidR="00D53304">
        <w:rPr>
          <w:b/>
          <w:sz w:val="24"/>
          <w:szCs w:val="24"/>
          <w:lang w:val="lt-LT"/>
        </w:rPr>
        <w:t xml:space="preserve"> – </w:t>
      </w:r>
      <w:r w:rsidRPr="00D53304">
        <w:rPr>
          <w:b/>
          <w:i/>
          <w:sz w:val="24"/>
          <w:szCs w:val="24"/>
          <w:lang w:val="lt-LT"/>
        </w:rPr>
        <w:t>Pažangos ataskaita</w:t>
      </w:r>
    </w:p>
    <w:p w:rsidR="00117C80" w:rsidRPr="00BE4665" w:rsidRDefault="00117C80" w:rsidP="003F4CB7">
      <w:pPr>
        <w:pStyle w:val="Betarp"/>
        <w:jc w:val="both"/>
        <w:rPr>
          <w:sz w:val="24"/>
          <w:szCs w:val="24"/>
          <w:lang w:val="lt-LT"/>
        </w:rPr>
      </w:pPr>
    </w:p>
    <w:p w:rsidR="00117C80" w:rsidRPr="00BE4665" w:rsidRDefault="00117C80" w:rsidP="00D53304">
      <w:pPr>
        <w:pStyle w:val="Betarp"/>
        <w:ind w:firstLine="567"/>
        <w:rPr>
          <w:i/>
          <w:sz w:val="24"/>
          <w:szCs w:val="24"/>
          <w:lang w:val="lt-LT"/>
        </w:rPr>
      </w:pPr>
      <w:r w:rsidRPr="00BE4665">
        <w:rPr>
          <w:i/>
          <w:sz w:val="24"/>
          <w:szCs w:val="24"/>
          <w:lang w:val="lt-LT"/>
        </w:rPr>
        <w:t>Klausimo esmė</w:t>
      </w:r>
    </w:p>
    <w:p w:rsidR="00C7486A" w:rsidRPr="00BE4665" w:rsidRDefault="00C7486A" w:rsidP="00C7486A">
      <w:pPr>
        <w:pStyle w:val="Betarp"/>
        <w:jc w:val="both"/>
        <w:rPr>
          <w:sz w:val="24"/>
          <w:szCs w:val="24"/>
          <w:lang w:val="lt-LT"/>
        </w:rPr>
      </w:pPr>
      <w:r w:rsidRPr="00BE4665">
        <w:rPr>
          <w:sz w:val="24"/>
          <w:szCs w:val="24"/>
          <w:lang w:val="lt-LT"/>
        </w:rPr>
        <w:t>Pasiūlymu siekiama:</w:t>
      </w:r>
    </w:p>
    <w:p w:rsidR="00C7486A" w:rsidRPr="00BE4665" w:rsidRDefault="00C7486A" w:rsidP="00C7486A">
      <w:pPr>
        <w:pStyle w:val="Betarp"/>
        <w:jc w:val="both"/>
        <w:rPr>
          <w:sz w:val="24"/>
          <w:szCs w:val="24"/>
          <w:lang w:val="lt-LT"/>
        </w:rPr>
      </w:pPr>
      <w:r w:rsidRPr="00BE4665">
        <w:rPr>
          <w:sz w:val="24"/>
          <w:szCs w:val="24"/>
          <w:lang w:val="lt-LT"/>
        </w:rPr>
        <w:t>1) panaikinti kuo daugiau ES valstybėse narėse padarytų išimčių ir taip suvienodinti keleivių apsaugos lygį visoje ES. Numatoma, kad įgyvendinus pasiūlymą, iki 2020 m nacionalinio tolimojo susisiekimo paslaugoms padarytos išimtys būtų panaikintos. Jeigu paslaugos teikiamos už ES ribų, reikalaujama, kad ES valstybės narės išimtis darytų tik jeigu jos gali įrodyti, kad jų teritorijose keleivių teisės yra saugomos pakankamai gerai. Siekiant teisinio tikrumo, pasienio regionuose tarptautinėms miesto, priemiesčių ir regioninio vežimo paslaugoms siūloma taikyti visus pasiūlymo reikalavimus. Akcentuotina, kad nors pasiūlymu suteikiama teisė ES valstybei narei išimties tvarka netaikyti pasiūlymo reikalavimų keleivių vežimo tarptautiniais maršrutais paslaugoms, kai didelė dalis šių paslaugų, įskaitant bent vieną sustojimą geležinkelio stotyje pagal tvarkaraštį, suteikiama už Europos Sąjungos valstybės narės ribų, eilė pasiūlymo nuostatų turėtų būti taikomos net taikant minėtą išimtį; pasiūlyme išimties keleivių vežimo geležinkelių transportu vietinio susisiekimo maršrutais paslaugoms atsisakoma, t. y. pasiūlymo nuostatos turėtų būti taikomos visa apimtimi;</w:t>
      </w:r>
    </w:p>
    <w:p w:rsidR="00C7486A" w:rsidRPr="00BE4665" w:rsidRDefault="00C7486A" w:rsidP="00C7486A">
      <w:pPr>
        <w:pStyle w:val="Betarp"/>
        <w:jc w:val="both"/>
        <w:rPr>
          <w:sz w:val="24"/>
          <w:szCs w:val="24"/>
          <w:lang w:val="lt-LT"/>
        </w:rPr>
      </w:pPr>
      <w:r w:rsidRPr="00BE4665">
        <w:rPr>
          <w:sz w:val="24"/>
          <w:szCs w:val="24"/>
          <w:lang w:val="lt-LT"/>
        </w:rPr>
        <w:t>2) nustatyti daugiau teisių neįgaliesiems ir riboto judumo asmenims</w:t>
      </w:r>
      <w:r w:rsidR="00953D46">
        <w:rPr>
          <w:sz w:val="24"/>
          <w:szCs w:val="24"/>
          <w:lang w:val="lt-LT"/>
        </w:rPr>
        <w:t>;</w:t>
      </w:r>
    </w:p>
    <w:p w:rsidR="00C7486A" w:rsidRPr="00BE4665" w:rsidRDefault="00C7486A" w:rsidP="00C7486A">
      <w:pPr>
        <w:pStyle w:val="Betarp"/>
        <w:jc w:val="both"/>
        <w:rPr>
          <w:sz w:val="24"/>
          <w:szCs w:val="24"/>
          <w:lang w:val="lt-LT"/>
        </w:rPr>
      </w:pPr>
      <w:r w:rsidRPr="00BE4665">
        <w:rPr>
          <w:sz w:val="24"/>
          <w:szCs w:val="24"/>
          <w:lang w:val="lt-LT"/>
        </w:rPr>
        <w:t>3) nustatyti reikalavimą pagrindinę informaciją keleiviams apie jų teises suteikti, kai užsakomas bilietas, nustatyti reikalavimą informacijos apie keleivių teises skelbti geležinkelio stotyse ir traukiniuose matomose vietose</w:t>
      </w:r>
      <w:r w:rsidR="00953D46">
        <w:rPr>
          <w:sz w:val="24"/>
          <w:szCs w:val="24"/>
          <w:lang w:val="lt-LT"/>
        </w:rPr>
        <w:t>.</w:t>
      </w:r>
    </w:p>
    <w:p w:rsidR="00C7486A" w:rsidRPr="00C7486A" w:rsidRDefault="00C7486A" w:rsidP="00C7486A">
      <w:pPr>
        <w:pStyle w:val="Betarp"/>
        <w:ind w:firstLine="567"/>
        <w:jc w:val="both"/>
        <w:rPr>
          <w:sz w:val="24"/>
          <w:szCs w:val="24"/>
          <w:lang w:val="lt-LT"/>
        </w:rPr>
      </w:pPr>
      <w:r w:rsidRPr="00C7486A">
        <w:rPr>
          <w:sz w:val="24"/>
          <w:szCs w:val="24"/>
          <w:lang w:val="lt-LT"/>
        </w:rPr>
        <w:t>Pažangos ataskait</w:t>
      </w:r>
      <w:r>
        <w:rPr>
          <w:sz w:val="24"/>
          <w:szCs w:val="24"/>
          <w:lang w:val="lt-LT"/>
        </w:rPr>
        <w:t>oje</w:t>
      </w:r>
      <w:r w:rsidRPr="00C7486A">
        <w:rPr>
          <w:sz w:val="24"/>
          <w:szCs w:val="24"/>
          <w:lang w:val="lt-LT"/>
        </w:rPr>
        <w:t xml:space="preserve"> pristatomas Austrijos pirmininkavimo ES Tarybai metu atliktas darbas derinant Europos Parlamento ir Tarybos Reglamento Dėl geležinkelių keleivių teisių ir pareigų (nauja redakcija) projektą.</w:t>
      </w:r>
    </w:p>
    <w:p w:rsidR="00C7486A" w:rsidRPr="00C7486A" w:rsidRDefault="00C7486A" w:rsidP="00C7486A">
      <w:pPr>
        <w:pStyle w:val="Betarp"/>
        <w:jc w:val="both"/>
        <w:rPr>
          <w:sz w:val="24"/>
          <w:szCs w:val="24"/>
          <w:lang w:val="lt-LT"/>
        </w:rPr>
      </w:pPr>
      <w:r>
        <w:rPr>
          <w:sz w:val="24"/>
          <w:szCs w:val="24"/>
          <w:lang w:val="lt-LT"/>
        </w:rPr>
        <w:t xml:space="preserve">Ataskaitoje </w:t>
      </w:r>
      <w:r w:rsidRPr="00C7486A">
        <w:rPr>
          <w:sz w:val="24"/>
          <w:szCs w:val="24"/>
          <w:lang w:val="lt-LT"/>
        </w:rPr>
        <w:t>pažymi</w:t>
      </w:r>
      <w:r>
        <w:rPr>
          <w:sz w:val="24"/>
          <w:szCs w:val="24"/>
          <w:lang w:val="lt-LT"/>
        </w:rPr>
        <w:t>ma</w:t>
      </w:r>
      <w:r w:rsidRPr="00C7486A">
        <w:rPr>
          <w:sz w:val="24"/>
          <w:szCs w:val="24"/>
          <w:lang w:val="lt-LT"/>
        </w:rPr>
        <w:t xml:space="preserve"> keleivių teisių apsaugos svarb</w:t>
      </w:r>
      <w:r>
        <w:rPr>
          <w:sz w:val="24"/>
          <w:szCs w:val="24"/>
          <w:lang w:val="lt-LT"/>
        </w:rPr>
        <w:t>a</w:t>
      </w:r>
      <w:r w:rsidRPr="00C7486A">
        <w:rPr>
          <w:sz w:val="24"/>
          <w:szCs w:val="24"/>
          <w:lang w:val="lt-LT"/>
        </w:rPr>
        <w:t>, ir tai, kad užtikrinant apsaugą protingai ir subalansuotai gali būti padidinamas geležinkelių paslaugų patrauklumas.</w:t>
      </w:r>
      <w:r>
        <w:rPr>
          <w:sz w:val="24"/>
          <w:szCs w:val="24"/>
          <w:lang w:val="lt-LT"/>
        </w:rPr>
        <w:t xml:space="preserve"> Tačiau </w:t>
      </w:r>
      <w:r w:rsidRPr="00C7486A">
        <w:rPr>
          <w:sz w:val="24"/>
          <w:szCs w:val="24"/>
          <w:lang w:val="lt-LT"/>
        </w:rPr>
        <w:t>iššūkis pasiekti techniškai teisingą ir subalansuotą sprendimą yra didelis ir tinkamiausios politikos pasirinkimo apibrėžimas ir toliau reikalaus detalaus ir išsamaus tyrimo.</w:t>
      </w:r>
    </w:p>
    <w:p w:rsidR="00C7486A" w:rsidRDefault="00C7486A" w:rsidP="00C7486A">
      <w:pPr>
        <w:pStyle w:val="Betarp"/>
        <w:jc w:val="both"/>
        <w:rPr>
          <w:sz w:val="24"/>
          <w:szCs w:val="24"/>
          <w:lang w:val="lt-LT"/>
        </w:rPr>
      </w:pPr>
    </w:p>
    <w:p w:rsidR="00117C80" w:rsidRPr="00BE4665" w:rsidRDefault="00117C80" w:rsidP="00117C80">
      <w:pPr>
        <w:pStyle w:val="Betarp"/>
        <w:jc w:val="both"/>
        <w:rPr>
          <w:i/>
          <w:sz w:val="24"/>
          <w:szCs w:val="24"/>
          <w:lang w:val="lt-LT"/>
        </w:rPr>
      </w:pPr>
      <w:r w:rsidRPr="00BE4665">
        <w:rPr>
          <w:i/>
          <w:sz w:val="24"/>
          <w:szCs w:val="24"/>
          <w:lang w:val="lt-LT"/>
        </w:rPr>
        <w:t>Lietuvos pozicija</w:t>
      </w:r>
    </w:p>
    <w:p w:rsidR="00117C80" w:rsidRPr="00BE4665" w:rsidRDefault="00117C80" w:rsidP="00117C80">
      <w:pPr>
        <w:pStyle w:val="Betarp"/>
        <w:ind w:firstLine="567"/>
        <w:jc w:val="both"/>
        <w:rPr>
          <w:sz w:val="24"/>
          <w:szCs w:val="24"/>
          <w:lang w:val="lt-LT"/>
        </w:rPr>
      </w:pPr>
      <w:r w:rsidRPr="00BE4665">
        <w:rPr>
          <w:sz w:val="24"/>
          <w:szCs w:val="24"/>
          <w:lang w:val="lt-LT"/>
        </w:rPr>
        <w:t>Pritarti pažangos ataskaita</w:t>
      </w:r>
      <w:r w:rsidR="003F4CB7">
        <w:rPr>
          <w:sz w:val="24"/>
          <w:szCs w:val="24"/>
          <w:lang w:val="lt-LT"/>
        </w:rPr>
        <w:t>i.</w:t>
      </w:r>
    </w:p>
    <w:p w:rsidR="00117C80" w:rsidRPr="00953D46" w:rsidRDefault="00117C80" w:rsidP="00953D46">
      <w:pPr>
        <w:spacing w:before="240" w:after="240"/>
        <w:jc w:val="both"/>
        <w:rPr>
          <w:b/>
          <w:color w:val="000000"/>
          <w:sz w:val="24"/>
          <w:szCs w:val="24"/>
          <w:lang w:val="lt-LT" w:eastAsia="lt-LT" w:bidi="lt-LT"/>
        </w:rPr>
      </w:pPr>
      <w:r w:rsidRPr="00953D46">
        <w:rPr>
          <w:b/>
          <w:color w:val="000000"/>
          <w:sz w:val="24"/>
          <w:szCs w:val="24"/>
          <w:lang w:val="lt-LT" w:eastAsia="lt-LT" w:bidi="lt-LT"/>
        </w:rPr>
        <w:t xml:space="preserve">6. Pasiūlymas dėl </w:t>
      </w:r>
      <w:r w:rsidR="00953D46">
        <w:rPr>
          <w:b/>
          <w:color w:val="000000"/>
          <w:sz w:val="24"/>
          <w:szCs w:val="24"/>
          <w:lang w:val="lt-LT" w:eastAsia="lt-LT" w:bidi="lt-LT"/>
        </w:rPr>
        <w:t>E</w:t>
      </w:r>
      <w:r w:rsidR="00953D46" w:rsidRPr="00953D46">
        <w:rPr>
          <w:b/>
          <w:color w:val="000000"/>
          <w:sz w:val="24"/>
          <w:szCs w:val="24"/>
          <w:lang w:val="lt-LT" w:eastAsia="lt-LT" w:bidi="lt-LT"/>
        </w:rPr>
        <w:t xml:space="preserve">uropos </w:t>
      </w:r>
      <w:r w:rsidR="00953D46">
        <w:rPr>
          <w:b/>
          <w:color w:val="000000"/>
          <w:sz w:val="24"/>
          <w:szCs w:val="24"/>
          <w:lang w:val="lt-LT" w:eastAsia="lt-LT" w:bidi="lt-LT"/>
        </w:rPr>
        <w:t>P</w:t>
      </w:r>
      <w:r w:rsidR="00953D46" w:rsidRPr="00953D46">
        <w:rPr>
          <w:b/>
          <w:color w:val="000000"/>
          <w:sz w:val="24"/>
          <w:szCs w:val="24"/>
          <w:lang w:val="lt-LT" w:eastAsia="lt-LT" w:bidi="lt-LT"/>
        </w:rPr>
        <w:t xml:space="preserve">arlamento ir </w:t>
      </w:r>
      <w:r w:rsidR="00953D46">
        <w:rPr>
          <w:b/>
          <w:color w:val="000000"/>
          <w:sz w:val="24"/>
          <w:szCs w:val="24"/>
          <w:lang w:val="lt-LT" w:eastAsia="lt-LT" w:bidi="lt-LT"/>
        </w:rPr>
        <w:t>T</w:t>
      </w:r>
      <w:r w:rsidR="00953D46" w:rsidRPr="00953D46">
        <w:rPr>
          <w:b/>
          <w:color w:val="000000"/>
          <w:sz w:val="24"/>
          <w:szCs w:val="24"/>
          <w:lang w:val="lt-LT" w:eastAsia="lt-LT" w:bidi="lt-LT"/>
        </w:rPr>
        <w:t>arybos direktyvos</w:t>
      </w:r>
      <w:r w:rsidRPr="00953D46">
        <w:rPr>
          <w:b/>
          <w:color w:val="000000"/>
          <w:sz w:val="24"/>
          <w:szCs w:val="24"/>
          <w:lang w:val="lt-LT" w:eastAsia="lt-LT" w:bidi="lt-LT"/>
        </w:rPr>
        <w:t xml:space="preserve">, kuria iš dalies keičiama Direktyva 2008/106/EB dėl minimalaus jūrininkų rengimo ir panaikinama Direktyva 2005/45/EB </w:t>
      </w:r>
      <w:r w:rsidR="00953D46">
        <w:rPr>
          <w:b/>
          <w:color w:val="000000"/>
          <w:sz w:val="24"/>
          <w:szCs w:val="24"/>
          <w:lang w:val="lt-LT" w:eastAsia="lt-LT" w:bidi="lt-LT"/>
        </w:rPr>
        <w:t>– Bendrasis požiūris</w:t>
      </w:r>
    </w:p>
    <w:p w:rsidR="00117C80" w:rsidRPr="00017964" w:rsidRDefault="00117C80" w:rsidP="00D53304">
      <w:pPr>
        <w:pStyle w:val="Betarp"/>
        <w:ind w:firstLine="567"/>
        <w:rPr>
          <w:i/>
          <w:sz w:val="24"/>
          <w:szCs w:val="24"/>
          <w:lang w:val="lt-LT"/>
        </w:rPr>
      </w:pPr>
      <w:r w:rsidRPr="00017964">
        <w:rPr>
          <w:i/>
          <w:sz w:val="24"/>
          <w:szCs w:val="24"/>
          <w:lang w:val="lt-LT"/>
        </w:rPr>
        <w:t>Klausimo esmė</w:t>
      </w:r>
    </w:p>
    <w:p w:rsidR="00117C80" w:rsidRPr="00953D46" w:rsidRDefault="00117C80" w:rsidP="00953D46">
      <w:pPr>
        <w:pStyle w:val="Betarp"/>
        <w:rPr>
          <w:color w:val="000000"/>
          <w:sz w:val="24"/>
          <w:szCs w:val="24"/>
          <w:lang w:val="lt-LT" w:eastAsia="lt-LT" w:bidi="lt-LT"/>
        </w:rPr>
      </w:pPr>
      <w:r w:rsidRPr="00953D46">
        <w:rPr>
          <w:color w:val="000000"/>
          <w:sz w:val="24"/>
          <w:szCs w:val="24"/>
          <w:lang w:val="lt-LT" w:eastAsia="lt-LT" w:bidi="lt-LT"/>
        </w:rPr>
        <w:t>1. Siūloma užtikrinti, kad ES taisyklės atitiktų tarptautinę sistemą (direktyvos nuostatas suderinti su 1978 m. tarptautinės konvencijos dėl jūrininkų rengimo, atestavimo ir budėjimo normatyvų);</w:t>
      </w:r>
    </w:p>
    <w:p w:rsidR="00117C80" w:rsidRPr="00953D46" w:rsidRDefault="00117C80" w:rsidP="00953D46">
      <w:pPr>
        <w:pStyle w:val="Betarp"/>
        <w:rPr>
          <w:color w:val="000000"/>
          <w:sz w:val="24"/>
          <w:szCs w:val="24"/>
          <w:lang w:val="lt-LT" w:eastAsia="lt-LT" w:bidi="lt-LT"/>
        </w:rPr>
      </w:pPr>
      <w:r w:rsidRPr="00953D46">
        <w:rPr>
          <w:color w:val="000000"/>
          <w:sz w:val="24"/>
          <w:szCs w:val="24"/>
          <w:lang w:val="lt-LT" w:eastAsia="lt-LT" w:bidi="lt-LT"/>
        </w:rPr>
        <w:t>2. Siūloma įdiegti trečiųjų šalių pripažinimo ir pakartotinio vertinimo sistemą, pailginant trečiųjų šalių pripažinimo terminą nuo 18 iki 24 mėn., o tam tikrais išimtiniais atvejais – iki 36 mėn.;</w:t>
      </w:r>
    </w:p>
    <w:p w:rsidR="00117C80" w:rsidRPr="00953D46" w:rsidRDefault="00117C80" w:rsidP="00953D46">
      <w:pPr>
        <w:pStyle w:val="Betarp"/>
        <w:rPr>
          <w:color w:val="000000"/>
          <w:sz w:val="24"/>
          <w:lang w:val="lt-LT" w:eastAsia="lt-LT" w:bidi="lt-LT"/>
        </w:rPr>
      </w:pPr>
      <w:r w:rsidRPr="00953D46">
        <w:rPr>
          <w:color w:val="000000"/>
          <w:sz w:val="24"/>
          <w:szCs w:val="24"/>
          <w:lang w:val="lt-LT" w:eastAsia="lt-LT" w:bidi="lt-LT"/>
        </w:rPr>
        <w:t>3. Siūloma pagerinti jūrininkų pažymėjimų abipusio</w:t>
      </w:r>
      <w:r w:rsidRPr="00953D46">
        <w:rPr>
          <w:color w:val="000000"/>
          <w:sz w:val="24"/>
          <w:lang w:val="lt-LT" w:eastAsia="lt-LT" w:bidi="lt-LT"/>
        </w:rPr>
        <w:t xml:space="preserve"> pripažinimo sistemos teisinį aiškumą</w:t>
      </w:r>
    </w:p>
    <w:p w:rsidR="00953D46" w:rsidRPr="00017964" w:rsidRDefault="00953D46" w:rsidP="00953D46">
      <w:pPr>
        <w:pStyle w:val="Betarp"/>
        <w:rPr>
          <w:i/>
          <w:sz w:val="24"/>
          <w:szCs w:val="24"/>
          <w:lang w:val="lt-LT"/>
        </w:rPr>
      </w:pPr>
    </w:p>
    <w:p w:rsidR="00117C80" w:rsidRPr="00017964" w:rsidRDefault="00117C80" w:rsidP="00D53304">
      <w:pPr>
        <w:pStyle w:val="Betarp"/>
        <w:ind w:firstLine="567"/>
        <w:rPr>
          <w:i/>
          <w:sz w:val="24"/>
          <w:szCs w:val="24"/>
          <w:lang w:val="lt-LT"/>
        </w:rPr>
      </w:pPr>
      <w:r w:rsidRPr="00017964">
        <w:rPr>
          <w:i/>
          <w:sz w:val="24"/>
          <w:szCs w:val="24"/>
          <w:lang w:val="lt-LT"/>
        </w:rPr>
        <w:t>Lietuvos pozicija</w:t>
      </w:r>
    </w:p>
    <w:p w:rsidR="00117C80" w:rsidRPr="00017964" w:rsidRDefault="00117C80" w:rsidP="00953D46">
      <w:pPr>
        <w:pStyle w:val="Betarp"/>
        <w:rPr>
          <w:color w:val="000000"/>
          <w:sz w:val="24"/>
          <w:lang w:val="lt-LT" w:eastAsia="lt-LT" w:bidi="lt-LT"/>
        </w:rPr>
      </w:pPr>
      <w:r w:rsidRPr="00017964">
        <w:rPr>
          <w:color w:val="000000"/>
          <w:sz w:val="24"/>
          <w:szCs w:val="24"/>
          <w:lang w:val="lt-LT" w:eastAsia="lt-LT" w:bidi="lt-LT"/>
        </w:rPr>
        <w:t>Atsižvelgiant į tai, kad Pasiūlymu siekiama racionalizuoti esamą jūrininkų rengimo ir atestavimo reglamentavimo</w:t>
      </w:r>
      <w:r w:rsidRPr="00017964">
        <w:rPr>
          <w:color w:val="000000"/>
          <w:sz w:val="24"/>
          <w:lang w:val="lt-LT" w:eastAsia="lt-LT" w:bidi="lt-LT"/>
        </w:rPr>
        <w:t xml:space="preserve"> tvarką, siūloma pritarti Pasiūlymo priėmimui.</w:t>
      </w:r>
    </w:p>
    <w:p w:rsidR="00117C80" w:rsidRPr="00BE4665" w:rsidRDefault="00117C80" w:rsidP="00430FD6">
      <w:pPr>
        <w:pStyle w:val="PointManual"/>
        <w:spacing w:before="360"/>
        <w:ind w:left="0" w:firstLine="0"/>
        <w:jc w:val="both"/>
        <w:rPr>
          <w:b/>
          <w:szCs w:val="24"/>
        </w:rPr>
      </w:pPr>
    </w:p>
    <w:p w:rsidR="00117C80" w:rsidRPr="00953D46" w:rsidRDefault="00117C80" w:rsidP="00117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b/>
          <w:color w:val="000000"/>
          <w:sz w:val="24"/>
          <w:szCs w:val="24"/>
          <w:lang w:val="lt-LT" w:eastAsia="lt-LT" w:bidi="lt-LT"/>
        </w:rPr>
      </w:pPr>
      <w:r w:rsidRPr="00953D46">
        <w:rPr>
          <w:b/>
          <w:sz w:val="24"/>
          <w:szCs w:val="24"/>
          <w:lang w:val="lt-LT"/>
        </w:rPr>
        <w:t xml:space="preserve">7. </w:t>
      </w:r>
      <w:r w:rsidRPr="00953D46">
        <w:rPr>
          <w:b/>
          <w:color w:val="000000"/>
          <w:sz w:val="24"/>
          <w:szCs w:val="24"/>
          <w:lang w:val="lt-LT" w:eastAsia="lt-LT" w:bidi="lt-LT"/>
        </w:rPr>
        <w:t>Pasiūlymas dėl Europos Parlamento ir Tarybos reglamento, kuriuo sukuriama bendra Europos jūrų aplinkos erdvė ir panaikinama Direktyva 2010/65/ES</w:t>
      </w:r>
      <w:r w:rsidR="00953D46">
        <w:rPr>
          <w:b/>
          <w:color w:val="000000"/>
          <w:sz w:val="24"/>
          <w:szCs w:val="24"/>
          <w:lang w:val="lt-LT" w:eastAsia="lt-LT" w:bidi="lt-LT"/>
        </w:rPr>
        <w:t xml:space="preserve"> – Bendrasis požiūris</w:t>
      </w:r>
    </w:p>
    <w:p w:rsidR="00117C80" w:rsidRPr="00017964" w:rsidRDefault="00117C80" w:rsidP="00D53304">
      <w:pPr>
        <w:pStyle w:val="Betarp"/>
        <w:ind w:firstLine="567"/>
        <w:rPr>
          <w:i/>
          <w:sz w:val="24"/>
          <w:szCs w:val="24"/>
          <w:lang w:val="lt-LT"/>
        </w:rPr>
      </w:pPr>
      <w:r w:rsidRPr="00017964">
        <w:rPr>
          <w:i/>
          <w:sz w:val="24"/>
          <w:szCs w:val="24"/>
          <w:lang w:val="lt-LT"/>
        </w:rPr>
        <w:t>Klausimo esmė</w:t>
      </w:r>
    </w:p>
    <w:p w:rsidR="00117C80" w:rsidRPr="00953D46" w:rsidRDefault="00117C80" w:rsidP="00D53304">
      <w:pPr>
        <w:pStyle w:val="Betarp"/>
        <w:ind w:firstLine="567"/>
        <w:rPr>
          <w:color w:val="000000"/>
          <w:sz w:val="24"/>
          <w:szCs w:val="24"/>
          <w:lang w:val="lt-LT" w:eastAsia="lt-LT" w:bidi="lt-LT"/>
        </w:rPr>
      </w:pPr>
      <w:r w:rsidRPr="00953D46">
        <w:rPr>
          <w:color w:val="000000"/>
          <w:sz w:val="24"/>
          <w:szCs w:val="24"/>
          <w:lang w:val="lt-LT" w:eastAsia="lt-LT" w:bidi="lt-LT"/>
        </w:rPr>
        <w:lastRenderedPageBreak/>
        <w:t>Pasiūlymo tikslas – ES lygmeniu suvienodinti laivų ataskaitų teikimo tvarką, palengvinti informacijos perdavimą,  formuoti sklandų bendrosios rinkos veikimą ir palengvinti prekybą bei transportą, supaprastinant procedūras, taikomas laivams, atplaukiantiems į ES uostus;</w:t>
      </w:r>
    </w:p>
    <w:p w:rsidR="00117C80" w:rsidRPr="00953D46" w:rsidRDefault="00117C80" w:rsidP="00953D46">
      <w:pPr>
        <w:pStyle w:val="Betarp"/>
        <w:rPr>
          <w:color w:val="000000"/>
          <w:sz w:val="24"/>
          <w:szCs w:val="24"/>
          <w:lang w:val="lt-LT" w:eastAsia="lt-LT" w:bidi="lt-LT"/>
        </w:rPr>
      </w:pPr>
      <w:r w:rsidRPr="00953D46">
        <w:rPr>
          <w:color w:val="000000"/>
          <w:sz w:val="24"/>
          <w:szCs w:val="24"/>
          <w:lang w:val="lt-LT" w:eastAsia="lt-LT" w:bidi="lt-LT"/>
        </w:rPr>
        <w:t>Pasiūlymu siekiama, jog visi duomenys būtų teikiami elektroninėmis priemonėmis;</w:t>
      </w:r>
    </w:p>
    <w:p w:rsidR="00117C80" w:rsidRPr="00953D46" w:rsidRDefault="00117C80" w:rsidP="00953D46">
      <w:pPr>
        <w:pStyle w:val="Betarp"/>
        <w:rPr>
          <w:color w:val="000000"/>
          <w:sz w:val="24"/>
          <w:szCs w:val="24"/>
          <w:lang w:val="lt-LT" w:eastAsia="lt-LT" w:bidi="lt-LT"/>
        </w:rPr>
      </w:pPr>
      <w:r w:rsidRPr="00953D46">
        <w:rPr>
          <w:color w:val="000000"/>
          <w:sz w:val="24"/>
          <w:szCs w:val="24"/>
          <w:lang w:val="lt-LT" w:eastAsia="lt-LT" w:bidi="lt-LT"/>
        </w:rPr>
        <w:t>Pasiūlymu siekiama pagerinti atitinkamų sistemų sąveiką, tokiu būdu suteikiant galimybę dalytis ir efektyviau naudoti duomenis. Sukūrus vieningą sistemą teikiami duomenys būtų tikslesni, taip pat greičiau pasiekiami;</w:t>
      </w:r>
    </w:p>
    <w:p w:rsidR="00117C80" w:rsidRPr="00017964" w:rsidRDefault="00117C80" w:rsidP="00953D46">
      <w:pPr>
        <w:pStyle w:val="Betarp"/>
        <w:rPr>
          <w:sz w:val="24"/>
          <w:szCs w:val="24"/>
          <w:lang w:val="lt-LT"/>
        </w:rPr>
      </w:pPr>
      <w:r w:rsidRPr="00017964">
        <w:rPr>
          <w:color w:val="000000"/>
          <w:sz w:val="24"/>
          <w:szCs w:val="24"/>
          <w:lang w:val="lt-LT" w:eastAsia="lt-LT" w:bidi="lt-LT"/>
        </w:rPr>
        <w:t>Pasiūlymu siekiama, kad ataskaitos būtų teikiamos tik vieną kartą, išvengiant tų pačių ataskaitų teikimo pakartotinumo</w:t>
      </w:r>
    </w:p>
    <w:p w:rsidR="00953D46" w:rsidRPr="00017964" w:rsidRDefault="00953D46" w:rsidP="00953D46">
      <w:pPr>
        <w:pStyle w:val="Betarp"/>
        <w:rPr>
          <w:sz w:val="24"/>
          <w:szCs w:val="24"/>
          <w:lang w:val="lt-LT"/>
        </w:rPr>
      </w:pPr>
    </w:p>
    <w:p w:rsidR="00117C80" w:rsidRPr="00953D46" w:rsidRDefault="00117C80" w:rsidP="00D53304">
      <w:pPr>
        <w:pStyle w:val="Betarp"/>
        <w:ind w:firstLine="567"/>
        <w:rPr>
          <w:i/>
          <w:sz w:val="24"/>
          <w:szCs w:val="24"/>
          <w:lang w:val="lt-LT"/>
        </w:rPr>
      </w:pPr>
      <w:r w:rsidRPr="00953D46">
        <w:rPr>
          <w:i/>
          <w:sz w:val="24"/>
          <w:szCs w:val="24"/>
          <w:lang w:val="lt-LT"/>
        </w:rPr>
        <w:t>Lietuvos pozicija</w:t>
      </w:r>
    </w:p>
    <w:p w:rsidR="00117C80" w:rsidRPr="00064F2D" w:rsidRDefault="00953D46" w:rsidP="00953D46">
      <w:pPr>
        <w:pStyle w:val="Betarp"/>
        <w:rPr>
          <w:color w:val="000000"/>
          <w:sz w:val="24"/>
          <w:szCs w:val="24"/>
          <w:lang w:val="lt-LT" w:eastAsia="lt-LT" w:bidi="lt-LT"/>
        </w:rPr>
      </w:pPr>
      <w:r w:rsidRPr="00064F2D">
        <w:rPr>
          <w:color w:val="000000"/>
          <w:sz w:val="24"/>
          <w:szCs w:val="24"/>
          <w:lang w:val="lt-LT" w:eastAsia="lt-LT" w:bidi="lt-LT"/>
        </w:rPr>
        <w:t>Pritarti Bendrajam požiūriui</w:t>
      </w:r>
      <w:r w:rsidR="00D53304">
        <w:rPr>
          <w:color w:val="000000"/>
          <w:sz w:val="24"/>
          <w:szCs w:val="24"/>
          <w:lang w:val="lt-LT" w:eastAsia="lt-LT" w:bidi="lt-LT"/>
        </w:rPr>
        <w:t>.</w:t>
      </w:r>
    </w:p>
    <w:p w:rsidR="008F27DF" w:rsidRPr="003F4CB7" w:rsidRDefault="00117C80" w:rsidP="008F27DF">
      <w:pPr>
        <w:spacing w:before="240" w:after="240"/>
        <w:rPr>
          <w:b/>
          <w:color w:val="000000"/>
          <w:sz w:val="24"/>
          <w:szCs w:val="24"/>
          <w:lang w:val="lt-LT" w:eastAsia="lt-LT" w:bidi="lt-LT"/>
        </w:rPr>
      </w:pPr>
      <w:r w:rsidRPr="003F4CB7">
        <w:rPr>
          <w:b/>
          <w:sz w:val="24"/>
          <w:szCs w:val="24"/>
          <w:lang w:val="lt-LT"/>
        </w:rPr>
        <w:t>8.</w:t>
      </w:r>
      <w:r w:rsidR="008F27DF" w:rsidRPr="003F4CB7">
        <w:rPr>
          <w:b/>
          <w:color w:val="000000"/>
          <w:sz w:val="24"/>
          <w:szCs w:val="24"/>
          <w:lang w:val="lt-LT" w:eastAsia="lt-LT" w:bidi="lt-LT"/>
        </w:rPr>
        <w:t xml:space="preserve"> Pasiūlymas dėl </w:t>
      </w:r>
      <w:r w:rsidR="00064F2D" w:rsidRPr="003F4CB7">
        <w:rPr>
          <w:b/>
          <w:color w:val="000000"/>
          <w:sz w:val="24"/>
          <w:szCs w:val="24"/>
          <w:lang w:val="lt-LT" w:eastAsia="lt-LT" w:bidi="lt-LT"/>
        </w:rPr>
        <w:t xml:space="preserve">Europos Parlamento ir Tarybos reglamento </w:t>
      </w:r>
      <w:r w:rsidR="008F27DF" w:rsidRPr="003F4CB7">
        <w:rPr>
          <w:b/>
          <w:color w:val="000000"/>
          <w:sz w:val="24"/>
          <w:szCs w:val="24"/>
          <w:lang w:val="lt-LT" w:eastAsia="lt-LT" w:bidi="lt-LT"/>
        </w:rPr>
        <w:t xml:space="preserve">dėl Europos infrastruktūros tinklų priemonės, kuriuo panaikinami reglamentai (ES) Nr. 1316/2013 ir (ES) Nr. 283/2014 </w:t>
      </w:r>
      <w:r w:rsidR="00064F2D" w:rsidRPr="003F4CB7">
        <w:rPr>
          <w:b/>
          <w:color w:val="000000"/>
          <w:sz w:val="24"/>
          <w:szCs w:val="24"/>
          <w:lang w:val="lt-LT" w:eastAsia="lt-LT" w:bidi="lt-LT"/>
        </w:rPr>
        <w:t>– Bendrasis požiūris</w:t>
      </w:r>
    </w:p>
    <w:p w:rsidR="00117C80" w:rsidRPr="003F4CB7" w:rsidRDefault="008F27DF" w:rsidP="00430FD6">
      <w:pPr>
        <w:pStyle w:val="PointManual"/>
        <w:spacing w:before="360"/>
        <w:ind w:left="0" w:firstLine="0"/>
        <w:jc w:val="both"/>
        <w:rPr>
          <w:b/>
          <w:i/>
          <w:szCs w:val="24"/>
        </w:rPr>
      </w:pPr>
      <w:r w:rsidRPr="003F4CB7">
        <w:rPr>
          <w:b/>
          <w:i/>
          <w:szCs w:val="24"/>
        </w:rPr>
        <w:t>Klausimo esmė</w:t>
      </w:r>
    </w:p>
    <w:p w:rsidR="000D06BE" w:rsidRPr="00580D27" w:rsidRDefault="000D06BE" w:rsidP="003F4CB7">
      <w:pPr>
        <w:pStyle w:val="Betarp"/>
        <w:ind w:firstLine="567"/>
        <w:jc w:val="both"/>
        <w:rPr>
          <w:sz w:val="24"/>
          <w:szCs w:val="24"/>
          <w:lang w:val="lt-LT"/>
        </w:rPr>
      </w:pPr>
      <w:r w:rsidRPr="00580D27">
        <w:rPr>
          <w:sz w:val="24"/>
          <w:szCs w:val="24"/>
          <w:lang w:val="lt-LT"/>
        </w:rPr>
        <w:t>Šiuo reglamentu nustatomi Europos infrastruktūros tinklų priemonės (EITP) tikslai, biudžetas, finansavimo formos ir EITP finansavimo teikimo taisyklės 2021–2027 m.</w:t>
      </w:r>
    </w:p>
    <w:p w:rsidR="000D06BE" w:rsidRPr="00580D27" w:rsidRDefault="000D06BE" w:rsidP="003F4CB7">
      <w:pPr>
        <w:pStyle w:val="Betarp"/>
        <w:ind w:firstLine="567"/>
        <w:jc w:val="both"/>
        <w:rPr>
          <w:sz w:val="24"/>
          <w:szCs w:val="24"/>
          <w:lang w:val="lt-LT"/>
        </w:rPr>
      </w:pPr>
      <w:r w:rsidRPr="00580D27">
        <w:rPr>
          <w:sz w:val="24"/>
          <w:szCs w:val="24"/>
          <w:lang w:val="lt-LT"/>
        </w:rPr>
        <w:t xml:space="preserve">EITP tikslas – plėsti ir modernizuoti </w:t>
      </w:r>
      <w:proofErr w:type="spellStart"/>
      <w:r w:rsidRPr="00580D27">
        <w:rPr>
          <w:sz w:val="24"/>
          <w:szCs w:val="24"/>
          <w:lang w:val="lt-LT"/>
        </w:rPr>
        <w:t>transeuropinius</w:t>
      </w:r>
      <w:proofErr w:type="spellEnd"/>
      <w:r w:rsidRPr="00580D27">
        <w:rPr>
          <w:sz w:val="24"/>
          <w:szCs w:val="24"/>
          <w:lang w:val="lt-LT"/>
        </w:rPr>
        <w:t xml:space="preserve"> tinklus transporto, energetikos ir skaitmeninės ekonomikos srityse, sudaryti palankias sąlygas tarpvalstybiniam bendradarbiavimui sprendžiant atsinaujinančiosios energijos ir priklausomybės nuo iškastinio kuro mažinimo klausimus bei skatinti  šių sektorių sinergiją. Konkretūs tikslai transporto sektoriuje - padėti plėtoti bendro intereso </w:t>
      </w:r>
      <w:proofErr w:type="spellStart"/>
      <w:r w:rsidRPr="00580D27">
        <w:rPr>
          <w:sz w:val="24"/>
          <w:szCs w:val="24"/>
          <w:lang w:val="lt-LT"/>
        </w:rPr>
        <w:t>proektus</w:t>
      </w:r>
      <w:proofErr w:type="spellEnd"/>
      <w:r w:rsidRPr="00580D27">
        <w:rPr>
          <w:sz w:val="24"/>
          <w:szCs w:val="24"/>
          <w:lang w:val="lt-LT"/>
        </w:rPr>
        <w:t xml:space="preserve">, pritaikyti infrastruktūros tinklus prie karinio mobilumo reikalavimų, kad ją būtų galima naudoti tiek civiliniais, tiek kariniais tikslais. Energetikos sektoriuje - padėti plėtoti bendro intereso projektus, susijusius su vidaus energetikos rinkos integracija, tinklų sąveikumu tarp valstybių ir sektorių, mažinti priklausomybę nuo iškastinio kuro ir užtikrinant tiekimo saugumą, sudaryti palankesnes sąlygas tarpvalstybiniam bendradarbiavimui atsinaujinančiosios energijos klausimais. Skaitmeninės ekonomikos sektoriuje - padėti diegti itin didelio pralaidumo skaitmeninius tinklus ir 5G sistemas, užtikrinti didesnį skaitmeninių magistralinių tinklų pajėgumą ir transporto bei energetikos tinklų skaitmeninimą. </w:t>
      </w:r>
    </w:p>
    <w:p w:rsidR="000D06BE" w:rsidRPr="00580D27" w:rsidRDefault="000D06BE" w:rsidP="003F4CB7">
      <w:pPr>
        <w:pStyle w:val="Betarp"/>
        <w:ind w:firstLine="567"/>
        <w:jc w:val="both"/>
        <w:rPr>
          <w:sz w:val="24"/>
          <w:szCs w:val="24"/>
          <w:lang w:val="fr-FR"/>
        </w:rPr>
      </w:pPr>
      <w:r w:rsidRPr="003F4CB7">
        <w:rPr>
          <w:sz w:val="24"/>
          <w:szCs w:val="24"/>
        </w:rPr>
        <w:t xml:space="preserve">EITP </w:t>
      </w:r>
      <w:proofErr w:type="spellStart"/>
      <w:r w:rsidRPr="003F4CB7">
        <w:rPr>
          <w:sz w:val="24"/>
          <w:szCs w:val="24"/>
        </w:rPr>
        <w:t>biudžetas</w:t>
      </w:r>
      <w:proofErr w:type="spellEnd"/>
      <w:r w:rsidRPr="003F4CB7">
        <w:rPr>
          <w:sz w:val="24"/>
          <w:szCs w:val="24"/>
        </w:rPr>
        <w:t xml:space="preserve"> – 42,265 mlrd. Eur, iš jų transporto sektoriui – 30,615 mlrd. </w:t>
      </w:r>
      <w:r w:rsidRPr="00F34CC1">
        <w:rPr>
          <w:sz w:val="24"/>
          <w:szCs w:val="24"/>
          <w:lang w:val="fr-FR"/>
        </w:rPr>
        <w:t xml:space="preserve">Eur (iš jų 12,830 mlrd. Eur iš Europos strateginių investicijų priemonių, 11,285 mlrd. Eur – iš Sanglaudos fondo ir 6,5 mlrd. Eur iš gynybos priemonių), 8,65 mlrd. Eur - energetikos sektoriui, 3 mlrd. Eur – skaitmeninės ekonomikos sektoriui. EITP lėšos gali būti panaudotos teikiant  techninę ir administracinę paramą EITP programos įgyvendinimui. </w:t>
      </w:r>
      <w:r w:rsidRPr="00580D27">
        <w:rPr>
          <w:sz w:val="24"/>
          <w:szCs w:val="24"/>
          <w:lang w:val="fr-FR"/>
        </w:rPr>
        <w:t>Išlaidos tinkamos finansuoti nuo 2021 m. sausio 1 d. 30 proc. Sanglaudos fondo lėšų taps iš karto prieinamos Sanglaudos valstybėms narėms transporto infrastruktūros projektams finansuoti pirmenybę teikiant tarpvalstybinėms ir trūkstamoms jungtims. 70 proc. iki 2023 m. gruodžio 31 d. bus nacionalinių asignavimų vokai. Nuo 2024 m. sausio 1 d. nepaskirstytos projektams lėšos bus prieinamos visoms Sanglaudos valstybėms narėms.</w:t>
      </w:r>
    </w:p>
    <w:p w:rsidR="000D06BE" w:rsidRPr="00580D27" w:rsidRDefault="000D06BE" w:rsidP="003F4CB7">
      <w:pPr>
        <w:pStyle w:val="Betarp"/>
        <w:ind w:firstLine="567"/>
        <w:jc w:val="both"/>
        <w:rPr>
          <w:sz w:val="24"/>
          <w:szCs w:val="24"/>
          <w:lang w:val="fr-FR"/>
        </w:rPr>
      </w:pPr>
      <w:r w:rsidRPr="00580D27">
        <w:rPr>
          <w:sz w:val="24"/>
          <w:szCs w:val="24"/>
          <w:lang w:val="fr-FR"/>
        </w:rPr>
        <w:t>Reglamente nustatytos finansavimo formos, kokie subjektai, projektai, veiksmai ir išlaidos yra tinkami finansuoti EITP lėšomis, nustatyti finansavimo skyrimo kriterijai ir finansavimo reikalavimai bei normos (iš Sanglaudos fondo pervestų lėšų max finansavimo norma 85 proc. galės būti skiriama tik su tarpvalstybinėmis jungtimis susijusiems projektams). Reglamente taip pat nustatyta, kokios trečiosios šalys gali dalyvauti EITP, programavimas, stebėsena, EITP koordinavimo komiteto procedūra ir kt.</w:t>
      </w:r>
    </w:p>
    <w:p w:rsidR="000D06BE" w:rsidRPr="00580D27" w:rsidRDefault="000D06BE" w:rsidP="003F4CB7">
      <w:pPr>
        <w:pStyle w:val="Betarp"/>
        <w:ind w:firstLine="567"/>
        <w:jc w:val="both"/>
        <w:rPr>
          <w:sz w:val="24"/>
          <w:szCs w:val="24"/>
          <w:highlight w:val="yellow"/>
          <w:lang w:val="fr-FR"/>
        </w:rPr>
      </w:pPr>
      <w:r w:rsidRPr="00580D27">
        <w:rPr>
          <w:sz w:val="24"/>
          <w:szCs w:val="24"/>
          <w:lang w:val="fr-FR"/>
        </w:rPr>
        <w:t>EITP bus įgyvendinama taikant tiesioginio valdymo principą, reglamentas privalomas ir tiesiogiai taikomas nuo 2021 m. sausio 1 d.</w:t>
      </w:r>
    </w:p>
    <w:p w:rsidR="003F4CB7" w:rsidRPr="00580D27" w:rsidRDefault="003F4CB7" w:rsidP="003F4CB7">
      <w:pPr>
        <w:pStyle w:val="Betarp"/>
        <w:rPr>
          <w:highlight w:val="yellow"/>
          <w:lang w:val="fr-FR"/>
        </w:rPr>
      </w:pPr>
    </w:p>
    <w:p w:rsidR="00117C80" w:rsidRPr="003F4CB7" w:rsidRDefault="008F27DF" w:rsidP="003F4CB7">
      <w:pPr>
        <w:pStyle w:val="Betarp"/>
        <w:rPr>
          <w:i/>
          <w:sz w:val="24"/>
          <w:szCs w:val="24"/>
          <w:lang w:val="lt-LT"/>
        </w:rPr>
      </w:pPr>
      <w:r w:rsidRPr="003F4CB7">
        <w:rPr>
          <w:i/>
          <w:sz w:val="24"/>
          <w:szCs w:val="24"/>
          <w:lang w:val="lt-LT"/>
        </w:rPr>
        <w:t>Lietuvos pozicija</w:t>
      </w:r>
    </w:p>
    <w:p w:rsidR="003F4CB7" w:rsidRPr="003F4CB7" w:rsidRDefault="003F4CB7" w:rsidP="003F4CB7">
      <w:pPr>
        <w:pStyle w:val="Betarp"/>
        <w:ind w:firstLine="567"/>
        <w:jc w:val="both"/>
        <w:rPr>
          <w:sz w:val="24"/>
          <w:szCs w:val="24"/>
          <w:lang w:val="lt-LT"/>
        </w:rPr>
      </w:pPr>
      <w:r w:rsidRPr="003F4CB7">
        <w:rPr>
          <w:sz w:val="24"/>
          <w:szCs w:val="24"/>
          <w:lang w:val="lt-LT"/>
        </w:rPr>
        <w:t xml:space="preserve">Lietuva pritaria dalinio bendrojo požiūrio projektui, kurį parengė AT Pirm. Džiaugiamės, kad siūlomame kompromise numatyta ženkli parama </w:t>
      </w:r>
      <w:proofErr w:type="spellStart"/>
      <w:r w:rsidRPr="003F4CB7">
        <w:rPr>
          <w:sz w:val="24"/>
          <w:szCs w:val="24"/>
          <w:lang w:val="lt-LT"/>
        </w:rPr>
        <w:t>Rail</w:t>
      </w:r>
      <w:proofErr w:type="spellEnd"/>
      <w:r w:rsidRPr="003F4CB7">
        <w:rPr>
          <w:sz w:val="24"/>
          <w:szCs w:val="24"/>
          <w:lang w:val="lt-LT"/>
        </w:rPr>
        <w:t xml:space="preserve"> Baltica projektui, taip pat - išlaikomos karinio </w:t>
      </w:r>
      <w:r w:rsidRPr="003F4CB7">
        <w:rPr>
          <w:sz w:val="24"/>
          <w:szCs w:val="24"/>
          <w:lang w:val="lt-LT"/>
        </w:rPr>
        <w:lastRenderedPageBreak/>
        <w:t>mobilumo infrastruktūros finansavimo galimybės. Taip pat remiame skaitmeninės dalies nuostatas, ypač autonominio vairavimo koridorių plėtrą, ir ypač - patikslintą bendro Lenkijos, Lietuvos, Latvijos ir Estijos koridoriaus trasą.</w:t>
      </w:r>
    </w:p>
    <w:p w:rsidR="003F4CB7" w:rsidRPr="003F4CB7" w:rsidRDefault="003F4CB7" w:rsidP="003F4CB7">
      <w:pPr>
        <w:pStyle w:val="Betarp"/>
        <w:ind w:firstLine="567"/>
        <w:jc w:val="both"/>
        <w:rPr>
          <w:sz w:val="24"/>
          <w:szCs w:val="24"/>
          <w:lang w:val="lt-LT"/>
        </w:rPr>
      </w:pPr>
      <w:r w:rsidRPr="003F4CB7">
        <w:rPr>
          <w:sz w:val="24"/>
          <w:szCs w:val="24"/>
          <w:lang w:val="lt-LT"/>
        </w:rPr>
        <w:t>Vis dėlto atkreipiame dėmesį ir apgailestaujame, kad:</w:t>
      </w:r>
    </w:p>
    <w:p w:rsidR="003F4CB7" w:rsidRPr="003F4CB7" w:rsidRDefault="003F4CB7" w:rsidP="003F4CB7">
      <w:pPr>
        <w:pStyle w:val="Betarp"/>
        <w:jc w:val="both"/>
        <w:rPr>
          <w:sz w:val="24"/>
          <w:szCs w:val="24"/>
          <w:lang w:val="lt-LT"/>
        </w:rPr>
      </w:pPr>
      <w:r w:rsidRPr="003F4CB7">
        <w:rPr>
          <w:sz w:val="24"/>
          <w:szCs w:val="24"/>
          <w:lang w:val="lt-LT"/>
        </w:rPr>
        <w:t xml:space="preserve">- Vilniaus-Kauno jungtis, nors ir galinti gauti ES kofinansavimą iki 85 proc., yra atskirta nuo bendro </w:t>
      </w:r>
      <w:proofErr w:type="spellStart"/>
      <w:r w:rsidRPr="003F4CB7">
        <w:rPr>
          <w:sz w:val="24"/>
          <w:szCs w:val="24"/>
          <w:lang w:val="lt-LT"/>
        </w:rPr>
        <w:t>Rail</w:t>
      </w:r>
      <w:proofErr w:type="spellEnd"/>
      <w:r w:rsidRPr="003F4CB7">
        <w:rPr>
          <w:sz w:val="24"/>
          <w:szCs w:val="24"/>
          <w:lang w:val="lt-LT"/>
        </w:rPr>
        <w:t xml:space="preserve"> Baltica projekto. Tai neatitinka bendros įmonės akc</w:t>
      </w:r>
      <w:r w:rsidR="00555238">
        <w:rPr>
          <w:sz w:val="24"/>
          <w:szCs w:val="24"/>
          <w:lang w:val="lt-LT"/>
        </w:rPr>
        <w:t>i</w:t>
      </w:r>
      <w:r w:rsidRPr="003F4CB7">
        <w:rPr>
          <w:sz w:val="24"/>
          <w:szCs w:val="24"/>
          <w:lang w:val="lt-LT"/>
        </w:rPr>
        <w:t xml:space="preserve">ninkų susitarimo, Baltijos šalių tarpusavio sutarčių ir Europos Komisijos sprendimo dėl </w:t>
      </w:r>
      <w:proofErr w:type="spellStart"/>
      <w:r w:rsidRPr="003F4CB7">
        <w:rPr>
          <w:sz w:val="24"/>
          <w:szCs w:val="24"/>
          <w:lang w:val="lt-LT"/>
        </w:rPr>
        <w:t>Rail</w:t>
      </w:r>
      <w:proofErr w:type="spellEnd"/>
      <w:r w:rsidRPr="003F4CB7">
        <w:rPr>
          <w:sz w:val="24"/>
          <w:szCs w:val="24"/>
          <w:lang w:val="lt-LT"/>
        </w:rPr>
        <w:t xml:space="preserve"> Baltica projekto įgyvendinimo.</w:t>
      </w:r>
    </w:p>
    <w:p w:rsidR="003F4CB7" w:rsidRPr="003F4CB7" w:rsidRDefault="003F4CB7" w:rsidP="003F4CB7">
      <w:pPr>
        <w:pStyle w:val="Betarp"/>
        <w:jc w:val="both"/>
        <w:rPr>
          <w:sz w:val="24"/>
          <w:szCs w:val="24"/>
          <w:lang w:val="lt-LT"/>
        </w:rPr>
      </w:pPr>
      <w:r w:rsidRPr="003F4CB7">
        <w:rPr>
          <w:sz w:val="24"/>
          <w:szCs w:val="24"/>
          <w:lang w:val="lt-LT"/>
        </w:rPr>
        <w:t>- Karinio mobilumo infrastruktūrai numatytos CEF reglamento lėšos negalės būti naudojamos aukštesniu nei 50 proc. intensyvumu. Manom</w:t>
      </w:r>
      <w:r w:rsidR="00555238">
        <w:rPr>
          <w:sz w:val="24"/>
          <w:szCs w:val="24"/>
          <w:lang w:val="lt-LT"/>
        </w:rPr>
        <w:t>e</w:t>
      </w:r>
      <w:r w:rsidRPr="003F4CB7">
        <w:rPr>
          <w:sz w:val="24"/>
          <w:szCs w:val="24"/>
          <w:lang w:val="lt-LT"/>
        </w:rPr>
        <w:t xml:space="preserve">, kad Lietuvoje ir kitose Sanglaudos šalyse būtina numatyti aukštesnį šių lėšų ko-finansavimo lygį. </w:t>
      </w:r>
    </w:p>
    <w:p w:rsidR="003F4CB7" w:rsidRPr="003F4CB7" w:rsidRDefault="003F4CB7" w:rsidP="003F4CB7">
      <w:pPr>
        <w:pStyle w:val="Betarp"/>
        <w:jc w:val="both"/>
        <w:rPr>
          <w:sz w:val="24"/>
          <w:szCs w:val="24"/>
          <w:lang w:val="lt-LT"/>
        </w:rPr>
      </w:pPr>
      <w:r w:rsidRPr="003F4CB7">
        <w:rPr>
          <w:sz w:val="24"/>
          <w:szCs w:val="24"/>
          <w:lang w:val="lt-LT"/>
        </w:rPr>
        <w:t>- PVM išlieka netinkamomis finansuoti išlaidomis, kas ženkliai padidins projektų įgyvendinimo naštą.</w:t>
      </w:r>
    </w:p>
    <w:p w:rsidR="003F4CB7" w:rsidRPr="003F4CB7" w:rsidRDefault="003F4CB7" w:rsidP="003F4CB7">
      <w:pPr>
        <w:pStyle w:val="Betarp"/>
        <w:jc w:val="both"/>
        <w:rPr>
          <w:sz w:val="24"/>
          <w:szCs w:val="24"/>
          <w:lang w:val="lt-LT"/>
        </w:rPr>
      </w:pPr>
      <w:r w:rsidRPr="003F4CB7">
        <w:rPr>
          <w:sz w:val="24"/>
          <w:szCs w:val="24"/>
          <w:lang w:val="lt-LT"/>
        </w:rPr>
        <w:t>Siūlome šiuos elementus pakoreguoti AT pirm parengtame dalinio bendrojo požiūrio kompromise. Teikiame du atskirus pareiškimus: dėl Vilniaus-Kauno jungties ir dėl karinio mobilumo infrastruktūros ko-finansavimo intensyvumo.</w:t>
      </w:r>
    </w:p>
    <w:p w:rsidR="003F4CB7" w:rsidRPr="003F4CB7" w:rsidRDefault="003F4CB7" w:rsidP="003F4CB7">
      <w:pPr>
        <w:pStyle w:val="Betarp"/>
        <w:ind w:firstLine="567"/>
        <w:jc w:val="both"/>
        <w:rPr>
          <w:sz w:val="24"/>
          <w:szCs w:val="24"/>
          <w:lang w:val="lt-LT"/>
        </w:rPr>
      </w:pPr>
      <w:r w:rsidRPr="003F4CB7">
        <w:rPr>
          <w:sz w:val="24"/>
          <w:szCs w:val="24"/>
          <w:lang w:val="lt-LT"/>
        </w:rPr>
        <w:t>Taip pat pabrėžiame, kad dalies Sanglaudos fondo perkėlimas į CEF reglamentą ir jos paskirstymas tarp Sanglaudos šalių konkurso būdu, kaip tai numatyta Europos komisijos pasiūlyme, išlieka svarbiausias klausimas derybose dėl šio reglamento. Lietuva spręs dėl galutinio CEF reglamento tik atsižvelgdama į šio klausimo sprendimą.</w:t>
      </w:r>
    </w:p>
    <w:p w:rsidR="00117C80" w:rsidRPr="00BE4665" w:rsidRDefault="008F27DF" w:rsidP="00430FD6">
      <w:pPr>
        <w:pStyle w:val="PointManual"/>
        <w:spacing w:before="360"/>
        <w:ind w:left="0" w:firstLine="0"/>
        <w:jc w:val="both"/>
        <w:rPr>
          <w:b/>
          <w:szCs w:val="24"/>
        </w:rPr>
      </w:pPr>
      <w:r w:rsidRPr="00BE4665">
        <w:rPr>
          <w:b/>
          <w:szCs w:val="24"/>
        </w:rPr>
        <w:t xml:space="preserve">9. </w:t>
      </w:r>
      <w:r w:rsidRPr="00BE4665">
        <w:rPr>
          <w:b/>
          <w:color w:val="000000"/>
          <w:szCs w:val="24"/>
        </w:rPr>
        <w:t xml:space="preserve">Pasiūlymas dėl </w:t>
      </w:r>
      <w:r w:rsidR="00064F2D">
        <w:rPr>
          <w:b/>
          <w:color w:val="000000"/>
          <w:szCs w:val="24"/>
        </w:rPr>
        <w:t>E</w:t>
      </w:r>
      <w:r w:rsidR="00064F2D" w:rsidRPr="00BE4665">
        <w:rPr>
          <w:b/>
          <w:color w:val="000000"/>
          <w:szCs w:val="24"/>
        </w:rPr>
        <w:t xml:space="preserve">uropos </w:t>
      </w:r>
      <w:r w:rsidR="00064F2D">
        <w:rPr>
          <w:b/>
          <w:color w:val="000000"/>
          <w:szCs w:val="24"/>
        </w:rPr>
        <w:t>P</w:t>
      </w:r>
      <w:r w:rsidR="00064F2D" w:rsidRPr="00BE4665">
        <w:rPr>
          <w:b/>
          <w:color w:val="000000"/>
          <w:szCs w:val="24"/>
        </w:rPr>
        <w:t xml:space="preserve">arlamento ir </w:t>
      </w:r>
      <w:r w:rsidR="00064F2D">
        <w:rPr>
          <w:b/>
          <w:color w:val="000000"/>
          <w:szCs w:val="24"/>
        </w:rPr>
        <w:t>T</w:t>
      </w:r>
      <w:r w:rsidR="00064F2D" w:rsidRPr="00BE4665">
        <w:rPr>
          <w:b/>
          <w:color w:val="000000"/>
          <w:szCs w:val="24"/>
        </w:rPr>
        <w:t xml:space="preserve">arybos reglamento </w:t>
      </w:r>
      <w:r w:rsidRPr="00BE4665">
        <w:rPr>
          <w:b/>
          <w:color w:val="000000"/>
          <w:szCs w:val="24"/>
        </w:rPr>
        <w:t xml:space="preserve">dėl supaprastinimo priemonių </w:t>
      </w:r>
      <w:proofErr w:type="spellStart"/>
      <w:r w:rsidRPr="00BE4665">
        <w:rPr>
          <w:b/>
          <w:color w:val="000000"/>
          <w:szCs w:val="24"/>
        </w:rPr>
        <w:t>transeuropinio</w:t>
      </w:r>
      <w:proofErr w:type="spellEnd"/>
      <w:r w:rsidRPr="00BE4665">
        <w:rPr>
          <w:b/>
          <w:color w:val="000000"/>
          <w:szCs w:val="24"/>
        </w:rPr>
        <w:t xml:space="preserve"> transporto tinklo įgyvendinimui paspartinti</w:t>
      </w:r>
      <w:r w:rsidR="00064F2D">
        <w:rPr>
          <w:b/>
          <w:color w:val="000000"/>
          <w:szCs w:val="24"/>
        </w:rPr>
        <w:t xml:space="preserve"> – Pažangos ataskaita</w:t>
      </w:r>
    </w:p>
    <w:p w:rsidR="008F27DF" w:rsidRPr="00064F2D" w:rsidRDefault="008F27DF" w:rsidP="00430FD6">
      <w:pPr>
        <w:pStyle w:val="PointManual"/>
        <w:spacing w:before="360"/>
        <w:ind w:left="0" w:firstLine="0"/>
        <w:jc w:val="both"/>
        <w:rPr>
          <w:i/>
          <w:szCs w:val="24"/>
        </w:rPr>
      </w:pPr>
      <w:r w:rsidRPr="00064F2D">
        <w:rPr>
          <w:i/>
          <w:szCs w:val="24"/>
        </w:rPr>
        <w:t>Klausimo esmė</w:t>
      </w:r>
    </w:p>
    <w:p w:rsidR="008F27DF" w:rsidRPr="00064F2D" w:rsidRDefault="008F27DF" w:rsidP="00064F2D">
      <w:pPr>
        <w:pStyle w:val="Betarp"/>
        <w:ind w:firstLine="567"/>
        <w:jc w:val="both"/>
        <w:rPr>
          <w:sz w:val="24"/>
          <w:szCs w:val="24"/>
          <w:lang w:val="lt-LT"/>
        </w:rPr>
      </w:pPr>
      <w:r w:rsidRPr="00064F2D">
        <w:rPr>
          <w:sz w:val="24"/>
          <w:szCs w:val="24"/>
          <w:lang w:val="lt-LT"/>
        </w:rPr>
        <w:t xml:space="preserve">Pasiūlymu siekiama sukurti TEN-T pagrindinio tinklo bendros svarbos projektams taikomą efektyvią leidimų, reikalingų statyti projekto apimtyje esančius transporto infrastruktūros objektus, išdavimo procedūrą, kurią administruotų valstybės narės paskirta viena kompetentinga institucija. </w:t>
      </w:r>
    </w:p>
    <w:p w:rsidR="00064F2D" w:rsidRPr="00064F2D" w:rsidRDefault="00064F2D" w:rsidP="00064F2D">
      <w:pPr>
        <w:pStyle w:val="Betarp"/>
        <w:ind w:firstLine="567"/>
        <w:jc w:val="both"/>
        <w:rPr>
          <w:sz w:val="24"/>
          <w:szCs w:val="24"/>
          <w:lang w:val="lt-LT"/>
        </w:rPr>
      </w:pPr>
      <w:r w:rsidRPr="00064F2D">
        <w:rPr>
          <w:sz w:val="24"/>
          <w:szCs w:val="24"/>
          <w:lang w:val="lt-LT"/>
        </w:rPr>
        <w:t>Diskusijos darbo grupėse parodė, kad valstybės narės nors ir pritaria pasiūlymo tikslams, tačiau pageidavo daugiau lankstumo, ypač siekiant užtikrinti, kad nesidubliuotų įvairių institucijų kompetencijos šalių viduje. Dėl to pirminis pasiūlymas buvo pakoreguotas, siekiant:</w:t>
      </w:r>
    </w:p>
    <w:p w:rsidR="00064F2D" w:rsidRPr="00064F2D" w:rsidRDefault="00064F2D" w:rsidP="00064F2D">
      <w:pPr>
        <w:pStyle w:val="Betarp"/>
        <w:jc w:val="both"/>
        <w:rPr>
          <w:sz w:val="24"/>
          <w:szCs w:val="24"/>
          <w:lang w:val="lt-LT"/>
        </w:rPr>
      </w:pPr>
      <w:r w:rsidRPr="00064F2D">
        <w:rPr>
          <w:sz w:val="24"/>
          <w:szCs w:val="24"/>
          <w:lang w:val="lt-LT"/>
        </w:rPr>
        <w:t>-suteikti galimybę valstybėms pačioms praplėsti (savanoriškai) taikymo apimtį</w:t>
      </w:r>
    </w:p>
    <w:p w:rsidR="00064F2D" w:rsidRPr="00064F2D" w:rsidRDefault="00064F2D" w:rsidP="00064F2D">
      <w:pPr>
        <w:pStyle w:val="Betarp"/>
        <w:jc w:val="both"/>
        <w:rPr>
          <w:sz w:val="24"/>
          <w:szCs w:val="24"/>
          <w:lang w:val="lt-LT"/>
        </w:rPr>
      </w:pPr>
      <w:r w:rsidRPr="00064F2D">
        <w:rPr>
          <w:sz w:val="24"/>
          <w:szCs w:val="24"/>
          <w:lang w:val="lt-LT"/>
        </w:rPr>
        <w:t xml:space="preserve">-įvesti koordinavimo principą, </w:t>
      </w:r>
      <w:proofErr w:type="spellStart"/>
      <w:r w:rsidRPr="00064F2D">
        <w:rPr>
          <w:sz w:val="24"/>
          <w:szCs w:val="24"/>
          <w:lang w:val="lt-LT"/>
        </w:rPr>
        <w:t>t.y</w:t>
      </w:r>
      <w:proofErr w:type="spellEnd"/>
      <w:r w:rsidRPr="00064F2D">
        <w:rPr>
          <w:sz w:val="24"/>
          <w:szCs w:val="24"/>
          <w:lang w:val="lt-LT"/>
        </w:rPr>
        <w:t>. numatyti, kad viena leidimų institucija yra atsakinga už projekto įgyvendinimui reikalingų procesų koordinavimą, o ne už visų procesų vykdymą. Įvedamas vadinamasis "vieno langelio" principas.</w:t>
      </w:r>
    </w:p>
    <w:p w:rsidR="00064F2D" w:rsidRDefault="00064F2D" w:rsidP="00064F2D">
      <w:pPr>
        <w:pStyle w:val="Betarp"/>
        <w:rPr>
          <w:sz w:val="24"/>
          <w:szCs w:val="24"/>
          <w:lang w:val="lt-LT"/>
        </w:rPr>
      </w:pPr>
      <w:r w:rsidRPr="00064F2D">
        <w:rPr>
          <w:sz w:val="24"/>
          <w:szCs w:val="24"/>
          <w:lang w:val="lt-LT"/>
        </w:rPr>
        <w:t>Šie pakeitimai buvo priimtini daugumai valstybių narių, tačiau lygiai taip pat daug šalių laikėsi pozicijos, kad reikia suteikti šalims dar daugiau lankstumo, ypač dėl leidimo procedūrų terminų prailginimo.</w:t>
      </w:r>
    </w:p>
    <w:p w:rsidR="00064F2D" w:rsidRPr="00064F2D" w:rsidRDefault="00064F2D" w:rsidP="00064F2D">
      <w:pPr>
        <w:pStyle w:val="Betarp"/>
        <w:rPr>
          <w:sz w:val="24"/>
          <w:szCs w:val="24"/>
          <w:lang w:val="lt-LT"/>
        </w:rPr>
      </w:pPr>
    </w:p>
    <w:p w:rsidR="008F27DF" w:rsidRPr="00064F2D" w:rsidRDefault="008F27DF" w:rsidP="00064F2D">
      <w:pPr>
        <w:pStyle w:val="Betarp"/>
        <w:rPr>
          <w:i/>
          <w:sz w:val="24"/>
          <w:szCs w:val="24"/>
          <w:lang w:val="lt-LT"/>
        </w:rPr>
      </w:pPr>
      <w:r w:rsidRPr="00064F2D">
        <w:rPr>
          <w:i/>
          <w:sz w:val="24"/>
          <w:szCs w:val="24"/>
          <w:lang w:val="lt-LT"/>
        </w:rPr>
        <w:t>Lietuvos pozicija</w:t>
      </w:r>
    </w:p>
    <w:p w:rsidR="008F27DF" w:rsidRPr="00064F2D" w:rsidRDefault="00064F2D" w:rsidP="00064F2D">
      <w:pPr>
        <w:pStyle w:val="Betarp"/>
        <w:rPr>
          <w:sz w:val="24"/>
          <w:szCs w:val="24"/>
          <w:lang w:val="lt-LT"/>
        </w:rPr>
      </w:pPr>
      <w:r w:rsidRPr="00064F2D">
        <w:rPr>
          <w:sz w:val="24"/>
          <w:szCs w:val="24"/>
          <w:lang w:val="lt-LT"/>
        </w:rPr>
        <w:t>Siūloma pritarti parangos ataska</w:t>
      </w:r>
      <w:r>
        <w:rPr>
          <w:sz w:val="24"/>
          <w:szCs w:val="24"/>
          <w:lang w:val="lt-LT"/>
        </w:rPr>
        <w:t>i</w:t>
      </w:r>
      <w:r w:rsidRPr="00064F2D">
        <w:rPr>
          <w:sz w:val="24"/>
          <w:szCs w:val="24"/>
          <w:lang w:val="lt-LT"/>
        </w:rPr>
        <w:t xml:space="preserve">tai. </w:t>
      </w:r>
    </w:p>
    <w:p w:rsidR="008F27DF" w:rsidRPr="00064F2D" w:rsidRDefault="008F27DF" w:rsidP="00064F2D">
      <w:pPr>
        <w:pStyle w:val="Betarp"/>
        <w:rPr>
          <w:sz w:val="24"/>
          <w:szCs w:val="24"/>
          <w:lang w:val="lt-LT"/>
        </w:rPr>
      </w:pPr>
    </w:p>
    <w:p w:rsidR="004726BA" w:rsidRPr="00BE4665" w:rsidRDefault="008F27DF" w:rsidP="00064F2D">
      <w:pPr>
        <w:spacing w:before="240" w:after="240"/>
        <w:jc w:val="both"/>
        <w:rPr>
          <w:b/>
          <w:sz w:val="24"/>
          <w:szCs w:val="24"/>
          <w:lang w:val="lt-LT"/>
        </w:rPr>
      </w:pPr>
      <w:r w:rsidRPr="00064F2D">
        <w:rPr>
          <w:b/>
          <w:sz w:val="24"/>
          <w:szCs w:val="24"/>
          <w:lang w:val="lt-LT"/>
        </w:rPr>
        <w:t xml:space="preserve">10. </w:t>
      </w:r>
      <w:r w:rsidR="008942CC">
        <w:rPr>
          <w:b/>
          <w:sz w:val="24"/>
          <w:szCs w:val="24"/>
          <w:lang w:val="lt-LT"/>
        </w:rPr>
        <w:t xml:space="preserve">   </w:t>
      </w:r>
      <w:r w:rsidR="008942CC" w:rsidRPr="008942CC">
        <w:rPr>
          <w:b/>
          <w:sz w:val="24"/>
          <w:szCs w:val="24"/>
          <w:lang w:val="lt-LT"/>
        </w:rPr>
        <w:t>Pasiūlymas priimti Europos Parlamento ir Tarybos direktyvą, iš dalies keičiančią Direktyvą 2009/33 / EB dėl ekologiškų ir efektyviai energiją vartojančių transporto priemonių skatinimo</w:t>
      </w:r>
      <w:r w:rsidR="008942CC">
        <w:rPr>
          <w:b/>
          <w:sz w:val="24"/>
          <w:szCs w:val="24"/>
          <w:lang w:val="lt-LT"/>
        </w:rPr>
        <w:t xml:space="preserve"> </w:t>
      </w:r>
      <w:r w:rsidR="00064F2D">
        <w:rPr>
          <w:b/>
          <w:color w:val="000000"/>
          <w:sz w:val="24"/>
          <w:szCs w:val="24"/>
          <w:lang w:val="lt-LT"/>
        </w:rPr>
        <w:t xml:space="preserve">– </w:t>
      </w:r>
      <w:r w:rsidR="008942CC">
        <w:rPr>
          <w:b/>
          <w:color w:val="000000"/>
          <w:sz w:val="24"/>
          <w:szCs w:val="24"/>
          <w:lang w:val="lt-LT"/>
        </w:rPr>
        <w:t>Pažangos ataskaita</w:t>
      </w:r>
    </w:p>
    <w:p w:rsidR="008F27DF" w:rsidRPr="00064F2D" w:rsidRDefault="004726BA" w:rsidP="00430FD6">
      <w:pPr>
        <w:pStyle w:val="PointManual"/>
        <w:spacing w:before="360"/>
        <w:ind w:left="0" w:firstLine="0"/>
        <w:jc w:val="both"/>
        <w:rPr>
          <w:i/>
          <w:szCs w:val="24"/>
        </w:rPr>
      </w:pPr>
      <w:r w:rsidRPr="00064F2D">
        <w:rPr>
          <w:i/>
          <w:szCs w:val="24"/>
        </w:rPr>
        <w:t>Klausimo esmė</w:t>
      </w:r>
    </w:p>
    <w:p w:rsidR="008942CC" w:rsidRPr="008942CC" w:rsidRDefault="008942CC" w:rsidP="008942CC">
      <w:pPr>
        <w:pStyle w:val="Betarp"/>
        <w:ind w:firstLine="567"/>
        <w:jc w:val="both"/>
        <w:rPr>
          <w:sz w:val="24"/>
          <w:szCs w:val="24"/>
          <w:lang w:val="lt-LT"/>
        </w:rPr>
      </w:pPr>
      <w:r w:rsidRPr="008942CC">
        <w:rPr>
          <w:sz w:val="24"/>
          <w:szCs w:val="24"/>
          <w:lang w:val="lt-LT"/>
        </w:rPr>
        <w:t xml:space="preserve">Europos Komisijos vertinimu maždaug 95% Europos keliais važinėjančių transporto priemonių vis dar naudoja iškastinį kurą. Norint įvykdyti ES taršos mažinimo įsipareigojimus, </w:t>
      </w:r>
      <w:proofErr w:type="spellStart"/>
      <w:r w:rsidRPr="008942CC">
        <w:rPr>
          <w:sz w:val="24"/>
          <w:szCs w:val="24"/>
          <w:lang w:val="lt-LT"/>
        </w:rPr>
        <w:t>mažataršių</w:t>
      </w:r>
      <w:proofErr w:type="spellEnd"/>
      <w:r w:rsidRPr="008942CC">
        <w:rPr>
          <w:sz w:val="24"/>
          <w:szCs w:val="24"/>
          <w:lang w:val="lt-LT"/>
        </w:rPr>
        <w:t xml:space="preserve">  ir netaršių transporto priemonių diegimą ateityje būtina labai paspartinti.  </w:t>
      </w:r>
    </w:p>
    <w:p w:rsidR="008942CC" w:rsidRPr="008942CC" w:rsidRDefault="008942CC" w:rsidP="008942CC">
      <w:pPr>
        <w:pStyle w:val="Betarp"/>
        <w:jc w:val="both"/>
        <w:rPr>
          <w:sz w:val="24"/>
          <w:szCs w:val="24"/>
          <w:lang w:val="lt-LT"/>
        </w:rPr>
      </w:pPr>
      <w:r w:rsidRPr="008942CC">
        <w:rPr>
          <w:sz w:val="24"/>
          <w:szCs w:val="24"/>
          <w:lang w:val="lt-LT"/>
        </w:rPr>
        <w:t xml:space="preserve">Direktyva 2009/33/EB dėl skatinimo naudoti netaršias ir efektyviai energiją vartojančias kelių transporto priemones papildo ES horizontaliuosius viešojo pirkimo teisės aktus. Joje numatyta privalomai atsižvelgti į viešojo pirkimo būdu įsigyjamų kelių transporto priemonių poveikį aplinkai ir </w:t>
      </w:r>
      <w:r w:rsidRPr="008942CC">
        <w:rPr>
          <w:sz w:val="24"/>
          <w:szCs w:val="24"/>
          <w:lang w:val="lt-LT"/>
        </w:rPr>
        <w:lastRenderedPageBreak/>
        <w:t>sunaudojamą energiją per visą naudojimo laiką ir taip siekiama skatinti netaršių ir efektyviai energiją vartojančių transporto priemonių rinką, prisidėti prie išmetamo CO2 bei kitų oro teršalų kiekio mažinimo ir didinti energijos vartojimo efektyvumą.</w:t>
      </w:r>
    </w:p>
    <w:p w:rsidR="008942CC" w:rsidRPr="008942CC" w:rsidRDefault="008942CC" w:rsidP="008942CC">
      <w:pPr>
        <w:pStyle w:val="Betarp"/>
        <w:jc w:val="both"/>
        <w:rPr>
          <w:sz w:val="24"/>
          <w:szCs w:val="24"/>
          <w:lang w:val="lt-LT"/>
        </w:rPr>
      </w:pPr>
      <w:r w:rsidRPr="008942CC">
        <w:rPr>
          <w:sz w:val="24"/>
          <w:szCs w:val="24"/>
          <w:lang w:val="lt-LT"/>
        </w:rPr>
        <w:t xml:space="preserve">2015 m. atliktas </w:t>
      </w:r>
      <w:proofErr w:type="spellStart"/>
      <w:r w:rsidRPr="008942CC">
        <w:rPr>
          <w:sz w:val="24"/>
          <w:szCs w:val="24"/>
          <w:lang w:val="lt-LT"/>
        </w:rPr>
        <w:t>ex-post</w:t>
      </w:r>
      <w:proofErr w:type="spellEnd"/>
      <w:r w:rsidRPr="008942CC">
        <w:rPr>
          <w:sz w:val="24"/>
          <w:szCs w:val="24"/>
          <w:lang w:val="lt-LT"/>
        </w:rPr>
        <w:t xml:space="preserve"> vertinimas parodė, kad viešosios įstaigos paprastai nepakankamai naudojasi viešaisiais pirkimais, kad padėtų spartinti netaršių transporto priemonių plitimą rinkoje.</w:t>
      </w:r>
    </w:p>
    <w:p w:rsidR="008942CC" w:rsidRPr="008942CC" w:rsidRDefault="008942CC" w:rsidP="008942CC">
      <w:pPr>
        <w:pStyle w:val="Betarp"/>
        <w:jc w:val="both"/>
        <w:rPr>
          <w:sz w:val="24"/>
          <w:szCs w:val="24"/>
          <w:lang w:val="lt-LT"/>
        </w:rPr>
      </w:pPr>
      <w:r w:rsidRPr="008942CC">
        <w:rPr>
          <w:sz w:val="24"/>
          <w:szCs w:val="24"/>
          <w:lang w:val="lt-LT"/>
        </w:rPr>
        <w:t xml:space="preserve">Dabartinė direktyva siekia paskatinti švarių transporto priemonių naudojimą viešojo sektoriaus vykdomuose pirkimuose, tokiu būdu stimuliuojant šių transporto priemonių rinką. Tačiau direktyva tik nustato bendro pobūdžio reikalavimą perkančiosioms organizacijoms atsižvelgti į poveikio aplinkai ir energetikai mažinimo kriterijus. </w:t>
      </w:r>
    </w:p>
    <w:p w:rsidR="008942CC" w:rsidRPr="008942CC" w:rsidRDefault="008942CC" w:rsidP="008942CC">
      <w:pPr>
        <w:pStyle w:val="Betarp"/>
        <w:jc w:val="both"/>
        <w:rPr>
          <w:sz w:val="24"/>
          <w:szCs w:val="24"/>
          <w:lang w:val="lt-LT"/>
        </w:rPr>
      </w:pPr>
      <w:r w:rsidRPr="008942CC">
        <w:rPr>
          <w:sz w:val="24"/>
          <w:szCs w:val="24"/>
          <w:lang w:val="lt-LT"/>
        </w:rPr>
        <w:t>Pasiūlymu siekiama:</w:t>
      </w:r>
    </w:p>
    <w:p w:rsidR="008942CC" w:rsidRPr="008942CC" w:rsidRDefault="008942CC" w:rsidP="008942CC">
      <w:pPr>
        <w:pStyle w:val="Betarp"/>
        <w:jc w:val="both"/>
        <w:rPr>
          <w:sz w:val="24"/>
          <w:szCs w:val="24"/>
          <w:lang w:val="lt-LT"/>
        </w:rPr>
      </w:pPr>
      <w:r w:rsidRPr="008942CC">
        <w:rPr>
          <w:sz w:val="24"/>
          <w:szCs w:val="24"/>
          <w:lang w:val="lt-LT"/>
        </w:rPr>
        <w:t>-          Nustatyti kiekvienai valstybei narei minimalius švarių lengvųjų transporto priemonių, įsigyjamų (nuomojamų ar sudaromų viešųjų vežimo paslaugų teikimo sutarčių) viešųjų pirkimų būdu, limitus. Lietuvos atveju 2025 ir 2030 m. bent 19 procentų viešųjų pirkimų ir viešųjų paslaugų sutarčių turi būti sudaromos perkamoms arba naudojamoms lengvosioms transporto priemonėms, kurių emisijų lygis ne didesnis negu 80 proc. reglamente 715/2007 atitinkamai transporto priemonės kategorijai nustatytų emisijų lygio.</w:t>
      </w:r>
    </w:p>
    <w:p w:rsidR="008942CC" w:rsidRPr="008942CC" w:rsidRDefault="008942CC" w:rsidP="008942CC">
      <w:pPr>
        <w:pStyle w:val="Betarp"/>
        <w:jc w:val="both"/>
        <w:rPr>
          <w:sz w:val="24"/>
          <w:szCs w:val="24"/>
          <w:lang w:val="lt-LT"/>
        </w:rPr>
      </w:pPr>
      <w:r w:rsidRPr="008942CC">
        <w:rPr>
          <w:sz w:val="24"/>
          <w:szCs w:val="24"/>
          <w:lang w:val="lt-LT"/>
        </w:rPr>
        <w:t>-          Nustatyti kiekvienai valstybei narei minimalius alternatyviu kuru varomų vilkikų ir autobusų, įsigyjamų (nuomojamų ar sudaromų viešųjų vežimo paslaugų tiekimo sutarčių) limitus. Lietuvos atveju viešuosiuose pirkimuose perkamų/naudojamų alternatyviu kuru varomų vilkikų dalis 2025 m. – 8 proc., 2030 m. – 9 proc., autobusų dalis 2025 m. – 42 proc., 2030m. – 60 proc.</w:t>
      </w:r>
    </w:p>
    <w:p w:rsidR="008942CC" w:rsidRPr="008942CC" w:rsidRDefault="008942CC" w:rsidP="008942CC">
      <w:pPr>
        <w:pStyle w:val="Betarp"/>
        <w:jc w:val="both"/>
        <w:rPr>
          <w:sz w:val="24"/>
          <w:szCs w:val="24"/>
          <w:lang w:val="lt-LT"/>
        </w:rPr>
      </w:pPr>
      <w:r w:rsidRPr="008942CC">
        <w:rPr>
          <w:sz w:val="24"/>
          <w:szCs w:val="24"/>
          <w:lang w:val="lt-LT"/>
        </w:rPr>
        <w:t xml:space="preserve">Be to, direktyvos peržiūra išplečia jos taikymo sritį. Joje nustatoma netaršių lengvųjų transporto priemonių apibrėžtis, grindžiama bendrojo išmetamo CO2 ir kt. oro teršalų riba. Be to, joje numatyta galimybė priimti deleguotąjį aktą pagal šią direktyvą siekiant pritaikyti tą patį principą sunkiosioms transporto priemonėms, kai bus priimtos tokių transporto priemonių išmetamo CO2 Europos Sąjungos normos. Taip pat joje nustatoma ataskaitų teikimo ir stebėjimo sistema ir atsisakoma poveikio aplinkai vertinimo pinigine verte metodikos. </w:t>
      </w:r>
    </w:p>
    <w:p w:rsidR="008942CC" w:rsidRPr="008942CC" w:rsidRDefault="008942CC" w:rsidP="008942CC">
      <w:pPr>
        <w:pStyle w:val="Betarp"/>
        <w:jc w:val="both"/>
        <w:rPr>
          <w:sz w:val="24"/>
          <w:szCs w:val="24"/>
          <w:lang w:val="lt-LT"/>
        </w:rPr>
      </w:pPr>
      <w:r w:rsidRPr="008942CC">
        <w:rPr>
          <w:sz w:val="24"/>
          <w:szCs w:val="24"/>
          <w:lang w:val="lt-LT"/>
        </w:rPr>
        <w:t xml:space="preserve">Pagrindinis pasiūlymo tikslas – per viešuosius pirkimus paskatinti netaršių, t. y. </w:t>
      </w:r>
      <w:proofErr w:type="spellStart"/>
      <w:r w:rsidRPr="008942CC">
        <w:rPr>
          <w:sz w:val="24"/>
          <w:szCs w:val="24"/>
          <w:lang w:val="lt-LT"/>
        </w:rPr>
        <w:t>mažataršių</w:t>
      </w:r>
      <w:proofErr w:type="spellEnd"/>
      <w:r w:rsidRPr="008942CC">
        <w:rPr>
          <w:sz w:val="24"/>
          <w:szCs w:val="24"/>
          <w:lang w:val="lt-LT"/>
        </w:rPr>
        <w:t xml:space="preserve"> ir nulinės taršos transporto priemonių paplitimą rinkoje ir taip prisidėti prie bendro transporto išmetamųjų teršalų kiekio mažinimo ir transporto sektoriaus konkurencingumo ir augimo. Viešasis pirkimas išlieka kaip svarbi paklausos paskata taip pat ir sunkiųjų transporto priemonių, kurių išmetamo CO2 kiekio mažinimo teisinių reikalavimų dar nėra, nors tokie teisės aktai jau rengiami. </w:t>
      </w:r>
    </w:p>
    <w:p w:rsidR="00710BA2" w:rsidRDefault="008942CC" w:rsidP="008942CC">
      <w:pPr>
        <w:pStyle w:val="Betarp"/>
        <w:jc w:val="both"/>
        <w:rPr>
          <w:sz w:val="24"/>
          <w:szCs w:val="24"/>
          <w:lang w:val="lt-LT"/>
        </w:rPr>
      </w:pPr>
      <w:r w:rsidRPr="008942CC">
        <w:rPr>
          <w:sz w:val="24"/>
          <w:szCs w:val="24"/>
          <w:lang w:val="lt-LT"/>
        </w:rPr>
        <w:t>Pirmininkaujanti šalis siūlo pritarti pažangos ataskaitai.</w:t>
      </w:r>
    </w:p>
    <w:p w:rsidR="008942CC" w:rsidRPr="008942CC" w:rsidRDefault="008942CC" w:rsidP="008942CC">
      <w:pPr>
        <w:pStyle w:val="Betarp"/>
        <w:jc w:val="both"/>
        <w:rPr>
          <w:sz w:val="24"/>
          <w:szCs w:val="24"/>
          <w:lang w:val="lt-LT"/>
        </w:rPr>
      </w:pPr>
    </w:p>
    <w:p w:rsidR="004726BA" w:rsidRPr="003F4CB7" w:rsidRDefault="004726BA" w:rsidP="00710BA2">
      <w:pPr>
        <w:pStyle w:val="Betarp"/>
        <w:rPr>
          <w:i/>
          <w:sz w:val="24"/>
          <w:szCs w:val="24"/>
          <w:lang w:val="lt-LT"/>
        </w:rPr>
      </w:pPr>
      <w:r w:rsidRPr="003F4CB7">
        <w:rPr>
          <w:i/>
          <w:sz w:val="24"/>
          <w:szCs w:val="24"/>
          <w:lang w:val="lt-LT"/>
        </w:rPr>
        <w:t>Lietuvos pozicija</w:t>
      </w:r>
    </w:p>
    <w:p w:rsidR="004726BA" w:rsidRPr="003F4CB7" w:rsidRDefault="004726BA" w:rsidP="00710BA2">
      <w:pPr>
        <w:pStyle w:val="Betarp"/>
        <w:rPr>
          <w:sz w:val="24"/>
          <w:szCs w:val="24"/>
          <w:lang w:val="lt-LT"/>
        </w:rPr>
      </w:pPr>
      <w:r w:rsidRPr="003F4CB7">
        <w:rPr>
          <w:sz w:val="24"/>
          <w:szCs w:val="24"/>
          <w:lang w:val="lt-LT"/>
        </w:rPr>
        <w:t>Pritarti pažangos ataskaitai</w:t>
      </w:r>
      <w:r w:rsidR="003F4CB7">
        <w:rPr>
          <w:sz w:val="24"/>
          <w:szCs w:val="24"/>
          <w:lang w:val="lt-LT"/>
        </w:rPr>
        <w:t>.</w:t>
      </w:r>
    </w:p>
    <w:p w:rsidR="004726BA" w:rsidRPr="003F4CB7" w:rsidRDefault="004726BA" w:rsidP="00710BA2">
      <w:pPr>
        <w:spacing w:before="240" w:after="240"/>
        <w:jc w:val="both"/>
        <w:rPr>
          <w:b/>
          <w:sz w:val="24"/>
          <w:szCs w:val="24"/>
          <w:lang w:val="lt-LT"/>
        </w:rPr>
      </w:pPr>
      <w:r w:rsidRPr="003F4CB7">
        <w:rPr>
          <w:b/>
          <w:sz w:val="24"/>
          <w:szCs w:val="24"/>
          <w:lang w:val="lt-LT"/>
        </w:rPr>
        <w:t xml:space="preserve">11  </w:t>
      </w:r>
      <w:r w:rsidRPr="003F4CB7">
        <w:rPr>
          <w:b/>
          <w:color w:val="000000"/>
          <w:sz w:val="24"/>
          <w:szCs w:val="24"/>
          <w:lang w:val="lt-LT"/>
        </w:rPr>
        <w:t xml:space="preserve">Pasiūlymas dėl </w:t>
      </w:r>
      <w:r w:rsidR="00710BA2" w:rsidRPr="003F4CB7">
        <w:rPr>
          <w:b/>
          <w:color w:val="000000"/>
          <w:sz w:val="24"/>
          <w:szCs w:val="24"/>
          <w:lang w:val="lt-LT"/>
        </w:rPr>
        <w:t xml:space="preserve">Europos Parlamento ir Tarybos reglamento </w:t>
      </w:r>
      <w:r w:rsidRPr="003F4CB7">
        <w:rPr>
          <w:b/>
          <w:color w:val="000000"/>
          <w:sz w:val="24"/>
          <w:szCs w:val="24"/>
          <w:lang w:val="lt-LT"/>
        </w:rPr>
        <w:t>dėl elektroninės krovinių vežimo informacijos</w:t>
      </w:r>
      <w:r w:rsidR="00710BA2" w:rsidRPr="003F4CB7">
        <w:rPr>
          <w:b/>
          <w:color w:val="000000"/>
          <w:sz w:val="24"/>
          <w:szCs w:val="24"/>
          <w:lang w:val="lt-LT"/>
        </w:rPr>
        <w:t xml:space="preserve"> – Pažangos ataskaita</w:t>
      </w:r>
    </w:p>
    <w:p w:rsidR="004726BA" w:rsidRPr="003F4CB7" w:rsidRDefault="004726BA" w:rsidP="00710BA2">
      <w:pPr>
        <w:jc w:val="both"/>
        <w:rPr>
          <w:i/>
          <w:sz w:val="24"/>
          <w:szCs w:val="24"/>
          <w:lang w:val="lt-LT"/>
        </w:rPr>
      </w:pPr>
      <w:r w:rsidRPr="003F4CB7">
        <w:rPr>
          <w:i/>
          <w:sz w:val="24"/>
          <w:szCs w:val="24"/>
          <w:lang w:val="lt-LT"/>
        </w:rPr>
        <w:t>Lietuvos pozicija</w:t>
      </w:r>
    </w:p>
    <w:p w:rsidR="004726BA" w:rsidRPr="003F4CB7" w:rsidRDefault="004726BA" w:rsidP="00710BA2">
      <w:pPr>
        <w:ind w:firstLine="567"/>
        <w:jc w:val="both"/>
        <w:rPr>
          <w:sz w:val="24"/>
          <w:szCs w:val="24"/>
          <w:lang w:val="lt-LT"/>
        </w:rPr>
      </w:pPr>
      <w:r w:rsidRPr="003F4CB7">
        <w:rPr>
          <w:sz w:val="24"/>
          <w:szCs w:val="24"/>
          <w:lang w:val="lt-LT"/>
        </w:rPr>
        <w:t xml:space="preserve">Pasiūlymu siekiama nustatyti reikalavimą valstybių narių institucijoms priimti elektroninėmis priemonėmis teikiamą informaciją apie prekių vežimą ES teritorijoje, jei ekonominės veiklos vykdytojai privalo teikti šią informaciją. </w:t>
      </w:r>
    </w:p>
    <w:p w:rsidR="004726BA" w:rsidRPr="003F4CB7" w:rsidRDefault="004726BA" w:rsidP="00710BA2">
      <w:pPr>
        <w:jc w:val="both"/>
        <w:rPr>
          <w:sz w:val="24"/>
          <w:szCs w:val="24"/>
          <w:lang w:val="lt-LT"/>
        </w:rPr>
      </w:pPr>
      <w:r w:rsidRPr="003F4CB7">
        <w:rPr>
          <w:sz w:val="24"/>
          <w:szCs w:val="24"/>
          <w:lang w:val="lt-LT"/>
        </w:rPr>
        <w:t xml:space="preserve">         Taip pat nustatomi veikimo reikalavimai, taikytini informacinėmis ir ryšių technologijomis grindžiamoms platformoms, kuriomis ekonominės veiklos vykdytojai galėtų naudotis siekdami elektroniniu formatu teikti kompetentingoms institucijoms reglamentavimo informaciją apie prekių vežimą pagal Direktyvos 92/106/EEB dėl tam tikrų kombinuoto krovinių vežimo tarp valstybių narių, Reglamento (EB) Nr. 1072/2009 dėl bendrųjų patekimo į tarptautinio krovinių vežimo kelių transportu rinką taisyklių, Komisijos įgyvendinamojo reglamento (ES) 2015/1998, kuriuo nustatomos išsamios bendrųjų pagrindinių aviacijos saugumo standartų įgyvendinimo priemonės, Direktyvos 208/68/EB dėl pavojingų krovinių vežimo vidaus keliais ir Reglamento (EB) Nr. 1013/2006 dėl atliekų vežimo nuostatas.</w:t>
      </w:r>
    </w:p>
    <w:p w:rsidR="00710BA2" w:rsidRPr="003F4CB7" w:rsidRDefault="00710BA2" w:rsidP="00710BA2">
      <w:pPr>
        <w:rPr>
          <w:sz w:val="24"/>
          <w:szCs w:val="24"/>
          <w:lang w:val="lt-LT"/>
        </w:rPr>
      </w:pPr>
    </w:p>
    <w:p w:rsidR="004726BA" w:rsidRPr="003F4CB7" w:rsidRDefault="004726BA" w:rsidP="00710BA2">
      <w:pPr>
        <w:rPr>
          <w:i/>
          <w:sz w:val="24"/>
          <w:szCs w:val="24"/>
          <w:lang w:val="lt-LT"/>
        </w:rPr>
      </w:pPr>
      <w:r w:rsidRPr="003F4CB7">
        <w:rPr>
          <w:i/>
          <w:sz w:val="24"/>
          <w:szCs w:val="24"/>
          <w:lang w:val="lt-LT"/>
        </w:rPr>
        <w:lastRenderedPageBreak/>
        <w:t>Lietuvos pozicija</w:t>
      </w:r>
    </w:p>
    <w:p w:rsidR="00710BA2" w:rsidRPr="003F4CB7" w:rsidRDefault="00710BA2" w:rsidP="00710BA2">
      <w:pPr>
        <w:rPr>
          <w:sz w:val="24"/>
          <w:szCs w:val="24"/>
          <w:lang w:val="lt-LT"/>
        </w:rPr>
      </w:pPr>
      <w:r w:rsidRPr="003F4CB7">
        <w:rPr>
          <w:sz w:val="24"/>
          <w:szCs w:val="24"/>
          <w:lang w:val="lt-LT"/>
        </w:rPr>
        <w:t>Pritarti Pažangos ataskaitai</w:t>
      </w:r>
    </w:p>
    <w:p w:rsidR="00064601" w:rsidRPr="003F4CB7" w:rsidRDefault="004726BA" w:rsidP="004726BA">
      <w:pPr>
        <w:pStyle w:val="PointManual"/>
        <w:spacing w:before="360"/>
        <w:jc w:val="both"/>
        <w:rPr>
          <w:szCs w:val="24"/>
        </w:rPr>
      </w:pPr>
      <w:r w:rsidRPr="003F4CB7">
        <w:rPr>
          <w:szCs w:val="24"/>
        </w:rPr>
        <w:t xml:space="preserve">12. </w:t>
      </w:r>
      <w:r w:rsidR="00710BA2" w:rsidRPr="003F4CB7">
        <w:rPr>
          <w:b/>
          <w:szCs w:val="24"/>
        </w:rPr>
        <w:t>Tarybos išvados dėl vidaus vandenų transporto – įžvelgti jo potencialą ir jį skatinti – Priėmimas</w:t>
      </w:r>
    </w:p>
    <w:p w:rsidR="00710BA2" w:rsidRPr="003F4CB7" w:rsidRDefault="00710BA2" w:rsidP="00710BA2">
      <w:pPr>
        <w:rPr>
          <w:sz w:val="24"/>
          <w:szCs w:val="24"/>
          <w:lang w:val="lt-LT"/>
        </w:rPr>
      </w:pPr>
    </w:p>
    <w:p w:rsidR="00710BA2" w:rsidRPr="003F4CB7" w:rsidRDefault="00710BA2" w:rsidP="003F4CB7">
      <w:pPr>
        <w:jc w:val="both"/>
        <w:rPr>
          <w:i/>
          <w:sz w:val="24"/>
          <w:szCs w:val="24"/>
          <w:lang w:val="lt-LT"/>
        </w:rPr>
      </w:pPr>
      <w:r w:rsidRPr="003F4CB7">
        <w:rPr>
          <w:i/>
          <w:sz w:val="24"/>
          <w:szCs w:val="24"/>
          <w:lang w:val="lt-LT"/>
        </w:rPr>
        <w:t>Klausimo esmė</w:t>
      </w:r>
    </w:p>
    <w:p w:rsidR="00710BA2" w:rsidRPr="003F4CB7" w:rsidRDefault="00710BA2" w:rsidP="003F4CB7">
      <w:pPr>
        <w:ind w:firstLine="567"/>
        <w:jc w:val="both"/>
        <w:rPr>
          <w:sz w:val="24"/>
          <w:szCs w:val="24"/>
          <w:lang w:val="lt-LT"/>
        </w:rPr>
      </w:pPr>
      <w:r w:rsidRPr="003F4CB7">
        <w:rPr>
          <w:sz w:val="24"/>
          <w:szCs w:val="24"/>
          <w:lang w:val="lt-LT"/>
        </w:rPr>
        <w:t xml:space="preserve">Projektu siekiama atkreipti dėmesį į vidaus vandenų kelių transporto teikiamą naudą, padaryti sektorių patrauklesnį, taip pat pabrėžti iššūkius. Akcentuojamas vidaus vandenų kelių vaidmuo siekiant Sąjungos transporto politikos tikslų, kuris yra pripažįstamas visuose svarbiausiuose politikos dokumentuose. </w:t>
      </w:r>
    </w:p>
    <w:p w:rsidR="00710BA2" w:rsidRPr="003F4CB7" w:rsidRDefault="00710BA2" w:rsidP="003F4CB7">
      <w:pPr>
        <w:ind w:firstLine="567"/>
        <w:jc w:val="both"/>
        <w:rPr>
          <w:sz w:val="24"/>
          <w:szCs w:val="24"/>
          <w:lang w:val="lt-LT"/>
        </w:rPr>
      </w:pPr>
      <w:r w:rsidRPr="003F4CB7">
        <w:rPr>
          <w:sz w:val="24"/>
          <w:szCs w:val="24"/>
          <w:lang w:val="lt-LT"/>
        </w:rPr>
        <w:t>Siekiama labiau prisidėti prie neigiamų transporto padarinių mažinimo – tiek nukreipiant krovinių vežimą iš kelių siekiant užtikrinti efektyvesnį energijos vartojimą ir didesnį alternatyviųjų degalų naudojimą sumažinant skleidžiamą triukšmą, nelaimingų atsitikimų skaičių ir grūstis keliuose, tam nenaudojant papildomos žemės.</w:t>
      </w:r>
    </w:p>
    <w:p w:rsidR="00064601" w:rsidRPr="003F4CB7" w:rsidRDefault="00710BA2" w:rsidP="003F4CB7">
      <w:pPr>
        <w:ind w:firstLine="567"/>
        <w:jc w:val="both"/>
        <w:rPr>
          <w:sz w:val="24"/>
          <w:szCs w:val="24"/>
          <w:lang w:val="lt-LT"/>
        </w:rPr>
      </w:pPr>
      <w:r w:rsidRPr="003F4CB7">
        <w:rPr>
          <w:sz w:val="24"/>
          <w:szCs w:val="24"/>
          <w:lang w:val="lt-LT"/>
        </w:rPr>
        <w:t xml:space="preserve">Pabrėžiama, kad siekiant panaudoti visą vežimo vidaus vandenų keliais kaip efektyvios, saugios ir darnios transporto sistemos potencialą ir plėtoti laivyno aplinkosauginį veiksmingumą, kartu išsaugant konkurencinį vežimo vidaus vandenų keliais pranašumą, reikalingi papildomi veiksmai ir parama, todėl siekiama ne vėliau kaip 2020 m. pabaigoje inicijuoti su programa NAIADES II susijusią tolesnių veiksmų programą siekiant užtikrinti priemonių tęstinumą ir parengti tokią programą.  </w:t>
      </w:r>
    </w:p>
    <w:p w:rsidR="00710BA2" w:rsidRPr="003F4CB7" w:rsidRDefault="00710BA2" w:rsidP="00710BA2">
      <w:pPr>
        <w:ind w:firstLine="567"/>
        <w:rPr>
          <w:sz w:val="24"/>
          <w:szCs w:val="24"/>
          <w:lang w:val="lt-LT"/>
        </w:rPr>
      </w:pPr>
    </w:p>
    <w:p w:rsidR="00710BA2" w:rsidRPr="003F4CB7" w:rsidRDefault="00710BA2" w:rsidP="00710BA2">
      <w:pPr>
        <w:ind w:firstLine="567"/>
        <w:rPr>
          <w:i/>
          <w:sz w:val="24"/>
          <w:szCs w:val="24"/>
          <w:lang w:val="lt-LT"/>
        </w:rPr>
      </w:pPr>
      <w:r w:rsidRPr="003F4CB7">
        <w:rPr>
          <w:i/>
          <w:sz w:val="24"/>
          <w:szCs w:val="24"/>
          <w:lang w:val="lt-LT"/>
        </w:rPr>
        <w:t>Lietuvos pozicija</w:t>
      </w:r>
    </w:p>
    <w:p w:rsidR="00710BA2" w:rsidRPr="003F4CB7" w:rsidRDefault="00710BA2" w:rsidP="00710BA2">
      <w:pPr>
        <w:ind w:firstLine="567"/>
        <w:rPr>
          <w:sz w:val="24"/>
          <w:szCs w:val="24"/>
          <w:lang w:val="lt-LT"/>
        </w:rPr>
      </w:pPr>
      <w:r w:rsidRPr="003F4CB7">
        <w:rPr>
          <w:sz w:val="24"/>
          <w:szCs w:val="24"/>
          <w:lang w:val="lt-LT"/>
        </w:rPr>
        <w:t>Pritarti išvadų projektui</w:t>
      </w:r>
    </w:p>
    <w:p w:rsidR="00C163AE" w:rsidRPr="003F4CB7" w:rsidRDefault="00C163AE" w:rsidP="00C163AE">
      <w:pPr>
        <w:pStyle w:val="PointManual"/>
        <w:spacing w:before="360"/>
        <w:jc w:val="both"/>
        <w:rPr>
          <w:b/>
          <w:szCs w:val="24"/>
        </w:rPr>
      </w:pPr>
      <w:r w:rsidRPr="003F4CB7">
        <w:rPr>
          <w:b/>
          <w:szCs w:val="24"/>
        </w:rPr>
        <w:t>13.   Pasiūlymas dėl Europos Parlamento ir Tarybos reglamento dėl 2021–2027 m. Skaitmeninės Europos programos sudarymo</w:t>
      </w:r>
      <w:r w:rsidRPr="003F4CB7">
        <w:rPr>
          <w:b/>
          <w:i/>
          <w:color w:val="000000"/>
          <w:szCs w:val="24"/>
          <w:shd w:val="clear" w:color="auto" w:fill="FFFFFF"/>
          <w:lang w:eastAsia="pl-PL"/>
        </w:rPr>
        <w:t xml:space="preserve"> </w:t>
      </w:r>
      <w:r>
        <w:rPr>
          <w:b/>
          <w:i/>
          <w:color w:val="000000"/>
          <w:szCs w:val="24"/>
          <w:shd w:val="clear" w:color="auto" w:fill="FFFFFF"/>
          <w:lang w:eastAsia="pl-PL"/>
        </w:rPr>
        <w:t xml:space="preserve">– </w:t>
      </w:r>
      <w:r w:rsidRPr="003F4CB7">
        <w:rPr>
          <w:b/>
          <w:i/>
          <w:color w:val="000000"/>
          <w:szCs w:val="24"/>
          <w:shd w:val="clear" w:color="auto" w:fill="FFFFFF"/>
          <w:lang w:eastAsia="pl-PL"/>
        </w:rPr>
        <w:t>Dalinis bendrasis požiūris</w:t>
      </w:r>
      <w:r>
        <w:rPr>
          <w:b/>
          <w:i/>
          <w:color w:val="000000"/>
          <w:szCs w:val="24"/>
          <w:shd w:val="clear" w:color="auto" w:fill="FFFFFF"/>
          <w:lang w:eastAsia="pl-PL"/>
        </w:rPr>
        <w:t xml:space="preserve"> (Ūkio ministerija)</w:t>
      </w:r>
    </w:p>
    <w:p w:rsidR="00C163AE" w:rsidRDefault="00C163AE" w:rsidP="00C163AE">
      <w:pPr>
        <w:rPr>
          <w:rFonts w:eastAsia="Calibri"/>
          <w:bCs/>
          <w:i/>
          <w:sz w:val="24"/>
          <w:szCs w:val="24"/>
          <w:lang w:val="lt-LT"/>
        </w:rPr>
      </w:pPr>
    </w:p>
    <w:p w:rsidR="00C163AE" w:rsidRDefault="00C163AE" w:rsidP="00C163AE">
      <w:pPr>
        <w:ind w:firstLine="567"/>
        <w:jc w:val="both"/>
        <w:rPr>
          <w:rFonts w:eastAsia="Calibri"/>
          <w:sz w:val="24"/>
          <w:szCs w:val="24"/>
          <w:lang w:val="lt-LT"/>
        </w:rPr>
      </w:pPr>
      <w:r w:rsidRPr="000F6AEA">
        <w:rPr>
          <w:rFonts w:eastAsia="Calibri"/>
          <w:bCs/>
          <w:i/>
          <w:sz w:val="24"/>
          <w:szCs w:val="24"/>
          <w:lang w:val="lt-LT"/>
        </w:rPr>
        <w:t>Klausimo esmė</w:t>
      </w:r>
      <w:r w:rsidRPr="000F6AEA">
        <w:rPr>
          <w:rFonts w:eastAsia="Calibri"/>
          <w:sz w:val="24"/>
          <w:szCs w:val="24"/>
          <w:lang w:val="lt-LT"/>
        </w:rPr>
        <w:t xml:space="preserve"> </w:t>
      </w:r>
    </w:p>
    <w:p w:rsidR="00C163AE" w:rsidRDefault="00C163AE" w:rsidP="00C163AE">
      <w:pPr>
        <w:ind w:firstLine="567"/>
        <w:jc w:val="both"/>
        <w:rPr>
          <w:rFonts w:eastAsia="Calibri"/>
          <w:sz w:val="24"/>
          <w:szCs w:val="24"/>
          <w:lang w:val="lt-LT"/>
        </w:rPr>
      </w:pPr>
      <w:r w:rsidRPr="000F6AEA">
        <w:rPr>
          <w:rFonts w:eastAsia="Calibri"/>
          <w:sz w:val="24"/>
          <w:szCs w:val="24"/>
          <w:lang w:val="lt-LT"/>
        </w:rPr>
        <w:t xml:space="preserve">Taryboje bus siekiama valstybių narių sutarimo (dalinio bendro požiūrio) dėl pirmininkaujančios Austrijos pateikto kompromisinio teksto dėl Pasiūlymo dėl Reglamento dėl 2021–2027 m. </w:t>
      </w:r>
      <w:r w:rsidRPr="000F6AEA">
        <w:rPr>
          <w:rFonts w:eastAsia="Calibri"/>
          <w:i/>
          <w:iCs/>
          <w:sz w:val="24"/>
          <w:szCs w:val="24"/>
          <w:lang w:val="lt-LT"/>
        </w:rPr>
        <w:t>Skaitmeninės Europos programos sudarymo</w:t>
      </w:r>
      <w:r w:rsidRPr="000F6AEA">
        <w:rPr>
          <w:rFonts w:eastAsia="Calibri"/>
          <w:sz w:val="24"/>
          <w:szCs w:val="24"/>
          <w:lang w:val="lt-LT"/>
        </w:rPr>
        <w:t xml:space="preserve"> (toliau – programa). Bus patvirtintas turinys, tačiau lėšų sumos ir dalys, kurios siejasi su derybų eiga kitose darbo grupėse yra laužtiniuose skliaustuose, todėl dalinis požiūris apims viską išskyrus lėšų sumas (spręs Horizontali biudžeto grupė bei nuo kitų grupių eigos priklausomas nuostatas (</w:t>
      </w:r>
      <w:proofErr w:type="spellStart"/>
      <w:r w:rsidRPr="000F6AEA">
        <w:rPr>
          <w:rFonts w:eastAsia="Calibri"/>
          <w:sz w:val="24"/>
          <w:szCs w:val="24"/>
          <w:lang w:val="lt-LT"/>
        </w:rPr>
        <w:t>įsk</w:t>
      </w:r>
      <w:proofErr w:type="spellEnd"/>
      <w:r w:rsidRPr="000F6AEA">
        <w:rPr>
          <w:rFonts w:eastAsia="Calibri"/>
          <w:sz w:val="24"/>
          <w:szCs w:val="24"/>
          <w:lang w:val="lt-LT"/>
        </w:rPr>
        <w:t xml:space="preserve">. Lietuvai svarbų klausimą dėl </w:t>
      </w:r>
      <w:proofErr w:type="spellStart"/>
      <w:r w:rsidRPr="000F6AEA">
        <w:rPr>
          <w:rFonts w:eastAsia="Calibri"/>
          <w:i/>
          <w:sz w:val="24"/>
          <w:szCs w:val="24"/>
          <w:lang w:val="lt-LT"/>
        </w:rPr>
        <w:t>dual</w:t>
      </w:r>
      <w:proofErr w:type="spellEnd"/>
      <w:r w:rsidRPr="000F6AEA">
        <w:rPr>
          <w:rFonts w:eastAsia="Calibri"/>
          <w:i/>
          <w:sz w:val="24"/>
          <w:szCs w:val="24"/>
          <w:lang w:val="lt-LT"/>
        </w:rPr>
        <w:t xml:space="preserve"> </w:t>
      </w:r>
      <w:proofErr w:type="spellStart"/>
      <w:r w:rsidRPr="000F6AEA">
        <w:rPr>
          <w:rFonts w:eastAsia="Calibri"/>
          <w:i/>
          <w:sz w:val="24"/>
          <w:szCs w:val="24"/>
          <w:lang w:val="lt-LT"/>
        </w:rPr>
        <w:t>use</w:t>
      </w:r>
      <w:proofErr w:type="spellEnd"/>
      <w:r w:rsidRPr="000F6AEA">
        <w:rPr>
          <w:rFonts w:eastAsia="Calibri"/>
          <w:i/>
          <w:sz w:val="24"/>
          <w:szCs w:val="24"/>
          <w:lang w:val="lt-LT"/>
        </w:rPr>
        <w:t xml:space="preserve"> </w:t>
      </w:r>
      <w:proofErr w:type="spellStart"/>
      <w:r w:rsidRPr="000F6AEA">
        <w:rPr>
          <w:rFonts w:eastAsia="Calibri"/>
          <w:i/>
          <w:sz w:val="24"/>
          <w:szCs w:val="24"/>
          <w:lang w:val="lt-LT"/>
        </w:rPr>
        <w:t>cybersec</w:t>
      </w:r>
      <w:proofErr w:type="spellEnd"/>
      <w:r w:rsidRPr="000F6AEA">
        <w:rPr>
          <w:rFonts w:eastAsia="Calibri"/>
          <w:sz w:val="24"/>
          <w:szCs w:val="24"/>
          <w:lang w:val="lt-LT"/>
        </w:rPr>
        <w:t xml:space="preserve"> projektų).</w:t>
      </w:r>
      <w:r w:rsidRPr="000F6AEA">
        <w:rPr>
          <w:rFonts w:eastAsia="Calibri"/>
          <w:sz w:val="24"/>
          <w:szCs w:val="24"/>
          <w:lang w:val="lt-LT"/>
        </w:rPr>
        <w:br/>
        <w:t xml:space="preserve">2018 m. birželio 6 d. Europos Komisijos pateikta Skaitmeninės Europos programa siekiama padidinti ir išplėsti skaitmeninės transformacijos naudą visiems ES piliečiams, viešojo administravimo institucijoms ir verslo subjektams. </w:t>
      </w:r>
    </w:p>
    <w:p w:rsidR="00C163AE" w:rsidRDefault="00C163AE" w:rsidP="00C163AE">
      <w:pPr>
        <w:ind w:firstLine="567"/>
        <w:jc w:val="both"/>
        <w:rPr>
          <w:rFonts w:eastAsia="Calibri"/>
          <w:sz w:val="24"/>
          <w:szCs w:val="24"/>
          <w:lang w:val="lt-LT"/>
        </w:rPr>
      </w:pPr>
      <w:r w:rsidRPr="000F6AEA">
        <w:rPr>
          <w:rFonts w:eastAsia="Calibri"/>
          <w:sz w:val="24"/>
          <w:szCs w:val="24"/>
          <w:lang w:val="lt-LT"/>
        </w:rPr>
        <w:t>P</w:t>
      </w:r>
      <w:r w:rsidRPr="000F6AEA">
        <w:rPr>
          <w:rFonts w:eastAsia="Calibri"/>
          <w:sz w:val="24"/>
          <w:szCs w:val="24"/>
          <w:u w:val="single"/>
          <w:lang w:val="lt-LT"/>
        </w:rPr>
        <w:t>rogramoje numatyti 5 konkretūs tikslai:</w:t>
      </w:r>
      <w:r w:rsidRPr="000F6AEA">
        <w:rPr>
          <w:rFonts w:eastAsia="Calibri"/>
          <w:sz w:val="24"/>
          <w:szCs w:val="24"/>
          <w:lang w:val="lt-LT"/>
        </w:rPr>
        <w:t xml:space="preserve"> </w:t>
      </w:r>
    </w:p>
    <w:p w:rsidR="00C163AE" w:rsidRDefault="00C163AE" w:rsidP="00C163AE">
      <w:pPr>
        <w:ind w:firstLine="567"/>
        <w:jc w:val="both"/>
        <w:rPr>
          <w:rFonts w:eastAsia="Calibri"/>
          <w:sz w:val="24"/>
          <w:szCs w:val="24"/>
          <w:lang w:val="lt-LT"/>
        </w:rPr>
      </w:pPr>
      <w:r w:rsidRPr="000F6AEA">
        <w:rPr>
          <w:rFonts w:eastAsia="Calibri"/>
          <w:sz w:val="24"/>
          <w:szCs w:val="24"/>
          <w:lang w:val="lt-LT"/>
        </w:rPr>
        <w:t xml:space="preserve">1. kurti ir stiprinti ES </w:t>
      </w:r>
      <w:r w:rsidRPr="000F6AEA">
        <w:rPr>
          <w:rFonts w:eastAsia="Calibri"/>
          <w:i/>
          <w:iCs/>
          <w:sz w:val="24"/>
          <w:szCs w:val="24"/>
          <w:lang w:val="lt-LT"/>
        </w:rPr>
        <w:t>itin našaus skaičiavimo ir duomenų apdorojimo pajėgumus</w:t>
      </w:r>
      <w:r w:rsidRPr="000F6AEA">
        <w:rPr>
          <w:rFonts w:eastAsia="Calibri"/>
          <w:sz w:val="24"/>
          <w:szCs w:val="24"/>
          <w:lang w:val="lt-LT"/>
        </w:rPr>
        <w:t xml:space="preserve"> ir užtikrinti jų platų panaudojimą; </w:t>
      </w:r>
    </w:p>
    <w:p w:rsidR="00C163AE" w:rsidRDefault="00C163AE" w:rsidP="00C163AE">
      <w:pPr>
        <w:ind w:firstLine="567"/>
        <w:jc w:val="both"/>
        <w:rPr>
          <w:rFonts w:eastAsia="Calibri"/>
          <w:sz w:val="24"/>
          <w:szCs w:val="24"/>
          <w:lang w:val="lt-LT"/>
        </w:rPr>
      </w:pPr>
      <w:r w:rsidRPr="000F6AEA">
        <w:rPr>
          <w:rFonts w:eastAsia="Calibri"/>
          <w:sz w:val="24"/>
          <w:szCs w:val="24"/>
          <w:lang w:val="lt-LT"/>
        </w:rPr>
        <w:t>2.</w:t>
      </w:r>
      <w:r>
        <w:rPr>
          <w:rFonts w:eastAsia="Calibri"/>
          <w:sz w:val="24"/>
          <w:szCs w:val="24"/>
          <w:lang w:val="lt-LT"/>
        </w:rPr>
        <w:t xml:space="preserve"> </w:t>
      </w:r>
      <w:r w:rsidRPr="000F6AEA">
        <w:rPr>
          <w:rFonts w:eastAsia="Calibri"/>
          <w:sz w:val="24"/>
          <w:szCs w:val="24"/>
          <w:lang w:val="lt-LT"/>
        </w:rPr>
        <w:t xml:space="preserve">kurti ir stiprinti bazinius </w:t>
      </w:r>
      <w:r w:rsidRPr="000F6AEA">
        <w:rPr>
          <w:rFonts w:eastAsia="Calibri"/>
          <w:i/>
          <w:iCs/>
          <w:sz w:val="24"/>
          <w:szCs w:val="24"/>
          <w:lang w:val="lt-LT"/>
        </w:rPr>
        <w:t>dirbtinio intelekto pajėgumus</w:t>
      </w:r>
      <w:r w:rsidRPr="000F6AEA">
        <w:rPr>
          <w:rFonts w:eastAsia="Calibri"/>
          <w:sz w:val="24"/>
          <w:szCs w:val="24"/>
          <w:lang w:val="lt-LT"/>
        </w:rPr>
        <w:t xml:space="preserve"> ir padaryti juos prieinamus visiems verslo subjektams ir viešojo administravimo institucijoms; </w:t>
      </w:r>
    </w:p>
    <w:p w:rsidR="00C163AE" w:rsidRDefault="00C163AE" w:rsidP="00C163AE">
      <w:pPr>
        <w:ind w:firstLine="567"/>
        <w:jc w:val="both"/>
        <w:rPr>
          <w:rFonts w:eastAsia="Calibri"/>
          <w:sz w:val="24"/>
          <w:szCs w:val="24"/>
          <w:lang w:val="lt-LT"/>
        </w:rPr>
      </w:pPr>
      <w:r w:rsidRPr="000F6AEA">
        <w:rPr>
          <w:rFonts w:eastAsia="Calibri"/>
          <w:sz w:val="24"/>
          <w:szCs w:val="24"/>
          <w:lang w:val="lt-LT"/>
        </w:rPr>
        <w:t xml:space="preserve">3. stiprinti ES </w:t>
      </w:r>
      <w:r w:rsidRPr="000F6AEA">
        <w:rPr>
          <w:rFonts w:eastAsia="Calibri"/>
          <w:i/>
          <w:iCs/>
          <w:sz w:val="24"/>
          <w:szCs w:val="24"/>
          <w:lang w:val="lt-LT"/>
        </w:rPr>
        <w:t>kibernetinę gynybą ir kibernetinio saugumo</w:t>
      </w:r>
      <w:r w:rsidRPr="000F6AEA">
        <w:rPr>
          <w:rFonts w:eastAsia="Calibri"/>
          <w:sz w:val="24"/>
          <w:szCs w:val="24"/>
          <w:lang w:val="lt-LT"/>
        </w:rPr>
        <w:t xml:space="preserve"> pramonę; </w:t>
      </w:r>
    </w:p>
    <w:p w:rsidR="00C163AE" w:rsidRDefault="00C163AE" w:rsidP="00C163AE">
      <w:pPr>
        <w:ind w:firstLine="567"/>
        <w:jc w:val="both"/>
        <w:rPr>
          <w:rFonts w:eastAsia="Calibri"/>
          <w:sz w:val="24"/>
          <w:szCs w:val="24"/>
          <w:lang w:val="lt-LT"/>
        </w:rPr>
      </w:pPr>
      <w:r w:rsidRPr="000F6AEA">
        <w:rPr>
          <w:rFonts w:eastAsia="Calibri"/>
          <w:sz w:val="24"/>
          <w:szCs w:val="24"/>
          <w:lang w:val="lt-LT"/>
        </w:rPr>
        <w:t xml:space="preserve">4. užtikrinti, kad dabartiniai ir būsimi darbuotojai galėtų lengvai įgyti aukšto lygio </w:t>
      </w:r>
      <w:r w:rsidRPr="000F6AEA">
        <w:rPr>
          <w:rFonts w:eastAsia="Calibri"/>
          <w:i/>
          <w:iCs/>
          <w:sz w:val="24"/>
          <w:szCs w:val="24"/>
          <w:lang w:val="lt-LT"/>
        </w:rPr>
        <w:t>skaitmeninius įgūdžius</w:t>
      </w:r>
      <w:r w:rsidRPr="000F6AEA">
        <w:rPr>
          <w:rFonts w:eastAsia="Calibri"/>
          <w:sz w:val="24"/>
          <w:szCs w:val="24"/>
          <w:lang w:val="lt-LT"/>
        </w:rPr>
        <w:t xml:space="preserve">, ypač itin našaus skaičiavimo, dirbtinio intelekto ir kibernetinio saugumo srityse; </w:t>
      </w:r>
    </w:p>
    <w:p w:rsidR="00C163AE" w:rsidRPr="000F6AEA" w:rsidRDefault="00C163AE" w:rsidP="00580D27">
      <w:pPr>
        <w:ind w:firstLine="567"/>
        <w:jc w:val="both"/>
        <w:rPr>
          <w:rFonts w:eastAsia="Calibri"/>
          <w:sz w:val="24"/>
          <w:szCs w:val="24"/>
          <w:lang w:val="lt-LT"/>
        </w:rPr>
      </w:pPr>
      <w:r w:rsidRPr="000F6AEA">
        <w:rPr>
          <w:rFonts w:eastAsia="Calibri"/>
          <w:sz w:val="24"/>
          <w:szCs w:val="24"/>
          <w:lang w:val="lt-LT"/>
        </w:rPr>
        <w:t xml:space="preserve">5. užtikrinti platų </w:t>
      </w:r>
      <w:r w:rsidRPr="000F6AEA">
        <w:rPr>
          <w:rFonts w:eastAsia="Calibri"/>
          <w:bCs/>
          <w:iCs/>
          <w:sz w:val="24"/>
          <w:szCs w:val="24"/>
          <w:lang w:val="lt-LT"/>
        </w:rPr>
        <w:t>skaitmeninių technologijų panaudojimą visoje ekonomikoje ir visuomenėje</w:t>
      </w:r>
      <w:r w:rsidRPr="000F6AEA">
        <w:rPr>
          <w:rFonts w:eastAsia="Calibri"/>
          <w:bCs/>
          <w:sz w:val="24"/>
          <w:szCs w:val="24"/>
          <w:lang w:val="lt-LT"/>
        </w:rPr>
        <w:t>.</w:t>
      </w:r>
      <w:r w:rsidRPr="000F6AEA">
        <w:rPr>
          <w:rFonts w:eastAsia="Calibri"/>
          <w:sz w:val="24"/>
          <w:szCs w:val="24"/>
          <w:lang w:val="lt-LT"/>
        </w:rPr>
        <w:t xml:space="preserve"> </w:t>
      </w:r>
      <w:r w:rsidRPr="000F6AEA">
        <w:rPr>
          <w:rFonts w:eastAsia="Calibri"/>
          <w:sz w:val="24"/>
          <w:szCs w:val="24"/>
          <w:lang w:val="lt-LT"/>
        </w:rPr>
        <w:br/>
      </w:r>
    </w:p>
    <w:p w:rsidR="00C163AE" w:rsidRDefault="00C163AE" w:rsidP="00C163AE">
      <w:pPr>
        <w:ind w:firstLine="567"/>
        <w:jc w:val="both"/>
        <w:rPr>
          <w:rFonts w:eastAsia="Calibri"/>
          <w:sz w:val="24"/>
          <w:szCs w:val="24"/>
          <w:lang w:val="lt-LT"/>
        </w:rPr>
      </w:pPr>
      <w:r w:rsidRPr="000F6AEA">
        <w:rPr>
          <w:rFonts w:eastAsia="Calibri"/>
          <w:sz w:val="24"/>
          <w:szCs w:val="24"/>
          <w:lang w:val="lt-LT"/>
        </w:rPr>
        <w:t xml:space="preserve">Itin svarbus vaidmuo įgyvendinant Skaitmeninės Europos programą būti skirtas skaitmeninių inovacijų centrams. Šie europiniai inovacijų centrai bus pasirinkti remiantis valstybių narių pasiūlymais. Pažymėtina, kad kiekvienoje valstybėje narėje turės būti bent vienas skaitmeninių inovacijų centras, tikėtina, ne daugiau vienas centras NUTS 2 regione (t. y. Lietuvos atveju – vienas). </w:t>
      </w:r>
      <w:r w:rsidRPr="000F6AEA">
        <w:rPr>
          <w:rFonts w:eastAsia="Calibri"/>
          <w:sz w:val="24"/>
          <w:szCs w:val="24"/>
          <w:lang w:val="lt-LT"/>
        </w:rPr>
        <w:br/>
        <w:t xml:space="preserve">Pagal Komisijos pasiūlymą nustatytas 9,194 </w:t>
      </w:r>
      <w:proofErr w:type="spellStart"/>
      <w:r w:rsidRPr="000F6AEA">
        <w:rPr>
          <w:rFonts w:eastAsia="Calibri"/>
          <w:sz w:val="24"/>
          <w:szCs w:val="24"/>
          <w:lang w:val="lt-LT"/>
        </w:rPr>
        <w:t>mlrd</w:t>
      </w:r>
      <w:proofErr w:type="spellEnd"/>
      <w:r w:rsidRPr="000F6AEA">
        <w:rPr>
          <w:rFonts w:eastAsia="Calibri"/>
          <w:sz w:val="24"/>
          <w:szCs w:val="24"/>
          <w:lang w:val="lt-LT"/>
        </w:rPr>
        <w:t xml:space="preserve"> EUR (Galutiniai skaičiai paaiškės vėlesniame etape, </w:t>
      </w:r>
      <w:r w:rsidRPr="000F6AEA">
        <w:rPr>
          <w:rFonts w:eastAsia="Calibri"/>
          <w:sz w:val="24"/>
          <w:szCs w:val="24"/>
          <w:lang w:val="lt-LT"/>
        </w:rPr>
        <w:lastRenderedPageBreak/>
        <w:t>priklausomai nuo derybų eigos Horizontalioji biudžeto grupėje, svarstančioje visą MFF paketą.</w:t>
      </w:r>
      <w:r w:rsidRPr="000F6AEA" w:rsidDel="00CF79CB">
        <w:rPr>
          <w:rFonts w:eastAsia="Calibri"/>
          <w:sz w:val="24"/>
          <w:szCs w:val="24"/>
          <w:lang w:val="lt-LT"/>
        </w:rPr>
        <w:t xml:space="preserve"> </w:t>
      </w:r>
      <w:r w:rsidRPr="000F6AEA">
        <w:rPr>
          <w:rFonts w:eastAsia="Calibri"/>
          <w:sz w:val="24"/>
          <w:szCs w:val="24"/>
          <w:lang w:val="lt-LT"/>
        </w:rPr>
        <w:t xml:space="preserve">(dabartinėmis kainomis)) programos finansinis paketas, jo orientacinis paskirstymas: </w:t>
      </w:r>
      <w:r w:rsidRPr="000F6AEA">
        <w:rPr>
          <w:rFonts w:eastAsia="Calibri"/>
          <w:sz w:val="24"/>
          <w:szCs w:val="24"/>
          <w:lang w:val="lt-LT"/>
        </w:rPr>
        <w:br/>
        <w:t xml:space="preserve">- iki 2,698 mlrd.  EUR skiriama 1 konkrečiam tikslui „Itin našus skaičiavimas“; </w:t>
      </w:r>
    </w:p>
    <w:p w:rsidR="00C163AE" w:rsidRDefault="00C163AE" w:rsidP="00C163AE">
      <w:pPr>
        <w:jc w:val="both"/>
        <w:rPr>
          <w:rFonts w:eastAsia="Calibri"/>
          <w:sz w:val="24"/>
          <w:szCs w:val="24"/>
          <w:lang w:val="lt-LT"/>
        </w:rPr>
      </w:pPr>
      <w:r w:rsidRPr="000F6AEA">
        <w:rPr>
          <w:rFonts w:eastAsia="Calibri"/>
          <w:sz w:val="24"/>
          <w:szCs w:val="24"/>
          <w:lang w:val="lt-LT"/>
        </w:rPr>
        <w:t xml:space="preserve">- iki 2,498 mlrd.  EUR skiriama 2 konkrečiam tikslui „Dirbtinis intelektas“; </w:t>
      </w:r>
    </w:p>
    <w:p w:rsidR="00C163AE" w:rsidRDefault="00C163AE" w:rsidP="00C163AE">
      <w:pPr>
        <w:jc w:val="both"/>
        <w:rPr>
          <w:rFonts w:eastAsia="Calibri"/>
          <w:sz w:val="24"/>
          <w:szCs w:val="24"/>
          <w:lang w:val="lt-LT"/>
        </w:rPr>
      </w:pPr>
      <w:r w:rsidRPr="000F6AEA">
        <w:rPr>
          <w:rFonts w:eastAsia="Calibri"/>
          <w:sz w:val="24"/>
          <w:szCs w:val="24"/>
          <w:lang w:val="lt-LT"/>
        </w:rPr>
        <w:t xml:space="preserve">- iki 1,999 mlrd. EUR skiriama 3 konkrečiam tikslui „Kibernetinis saugumas ir pasitikėjimas“; </w:t>
      </w:r>
    </w:p>
    <w:p w:rsidR="00C163AE" w:rsidRDefault="00C163AE" w:rsidP="00C163AE">
      <w:pPr>
        <w:jc w:val="both"/>
        <w:rPr>
          <w:rFonts w:eastAsia="Calibri"/>
          <w:sz w:val="24"/>
          <w:szCs w:val="24"/>
          <w:lang w:val="lt-LT"/>
        </w:rPr>
      </w:pPr>
      <w:r w:rsidRPr="000F6AEA">
        <w:rPr>
          <w:rFonts w:eastAsia="Calibri"/>
          <w:sz w:val="24"/>
          <w:szCs w:val="24"/>
          <w:lang w:val="lt-LT"/>
        </w:rPr>
        <w:t xml:space="preserve">- iki 0, 671 mlrd. EUR skiriama 4 konkrečiam tikslui „Aukšto lygio skaitmeniniai įgūdžiai“; </w:t>
      </w:r>
    </w:p>
    <w:p w:rsidR="00C163AE" w:rsidRDefault="00C163AE" w:rsidP="00580D27">
      <w:pPr>
        <w:jc w:val="both"/>
        <w:rPr>
          <w:rFonts w:eastAsia="Calibri"/>
          <w:sz w:val="24"/>
          <w:szCs w:val="24"/>
          <w:lang w:val="lt-LT"/>
        </w:rPr>
      </w:pPr>
      <w:r w:rsidRPr="000F6AEA">
        <w:rPr>
          <w:rFonts w:eastAsia="Calibri"/>
          <w:sz w:val="24"/>
          <w:szCs w:val="24"/>
          <w:lang w:val="lt-LT"/>
        </w:rPr>
        <w:t xml:space="preserve">- iki 1,299 mlrd. EUR skiriama 5 konkrečiam tikslui „Diegimas, geriausias skaitmeninio pajėgumo išnaudojimas ir sąveikumas“. </w:t>
      </w:r>
    </w:p>
    <w:p w:rsidR="00C163AE" w:rsidRDefault="00C163AE" w:rsidP="00C163AE">
      <w:pPr>
        <w:ind w:firstLine="567"/>
        <w:jc w:val="both"/>
        <w:rPr>
          <w:rFonts w:eastAsia="Calibri"/>
          <w:i/>
          <w:sz w:val="24"/>
          <w:szCs w:val="24"/>
          <w:lang w:val="lt-LT"/>
        </w:rPr>
      </w:pPr>
      <w:r w:rsidRPr="000F6AEA">
        <w:rPr>
          <w:rFonts w:eastAsia="Calibri"/>
          <w:b/>
          <w:bCs/>
          <w:sz w:val="24"/>
          <w:szCs w:val="24"/>
          <w:u w:val="single"/>
          <w:lang w:val="lt-LT"/>
        </w:rPr>
        <w:br/>
      </w:r>
      <w:r w:rsidRPr="000F6AEA">
        <w:rPr>
          <w:rFonts w:eastAsia="Calibri"/>
          <w:bCs/>
          <w:i/>
          <w:sz w:val="24"/>
          <w:szCs w:val="24"/>
          <w:lang w:val="lt-LT"/>
        </w:rPr>
        <w:t>Lietuvos pozicija</w:t>
      </w:r>
      <w:r w:rsidRPr="000F6AEA">
        <w:rPr>
          <w:rFonts w:eastAsia="Calibri"/>
          <w:i/>
          <w:sz w:val="24"/>
          <w:szCs w:val="24"/>
          <w:lang w:val="lt-LT"/>
        </w:rPr>
        <w:t xml:space="preserve"> </w:t>
      </w:r>
    </w:p>
    <w:p w:rsidR="00951B3A" w:rsidRDefault="00951B3A" w:rsidP="00951B3A">
      <w:pPr>
        <w:ind w:firstLine="567"/>
        <w:jc w:val="both"/>
        <w:rPr>
          <w:rFonts w:eastAsia="Calibri"/>
          <w:sz w:val="24"/>
          <w:szCs w:val="24"/>
          <w:lang w:val="lt-LT"/>
        </w:rPr>
      </w:pPr>
      <w:r>
        <w:rPr>
          <w:rFonts w:eastAsia="Calibri"/>
          <w:sz w:val="24"/>
          <w:szCs w:val="24"/>
          <w:lang w:val="lt-LT"/>
        </w:rPr>
        <w:t xml:space="preserve">Lietuva </w:t>
      </w:r>
      <w:r w:rsidR="00DE0E6F">
        <w:rPr>
          <w:rFonts w:eastAsia="Calibri"/>
          <w:sz w:val="24"/>
          <w:szCs w:val="24"/>
          <w:lang w:val="lt-LT"/>
        </w:rPr>
        <w:t>pritaria tam, kad TTE taryboje būtų pasiektas dalinis bendrasis požiūris.</w:t>
      </w:r>
    </w:p>
    <w:p w:rsidR="00C163AE" w:rsidRDefault="00C163AE" w:rsidP="00C163AE">
      <w:pPr>
        <w:ind w:firstLine="567"/>
        <w:jc w:val="both"/>
        <w:rPr>
          <w:rFonts w:eastAsia="Calibri"/>
          <w:sz w:val="24"/>
          <w:szCs w:val="24"/>
          <w:lang w:val="lt-LT"/>
        </w:rPr>
      </w:pPr>
      <w:r w:rsidRPr="000F6AEA">
        <w:rPr>
          <w:rFonts w:eastAsia="Calibri"/>
          <w:sz w:val="24"/>
          <w:szCs w:val="24"/>
          <w:lang w:val="lt-LT"/>
        </w:rPr>
        <w:t xml:space="preserve">Konkrečiose srityse Lietuvai aktualūs klausimai: </w:t>
      </w:r>
    </w:p>
    <w:p w:rsidR="00C163AE" w:rsidRPr="000F6AEA" w:rsidRDefault="00C163AE" w:rsidP="00580D27">
      <w:pPr>
        <w:ind w:firstLine="567"/>
        <w:jc w:val="both"/>
        <w:rPr>
          <w:rFonts w:eastAsia="Calibri"/>
          <w:sz w:val="24"/>
          <w:szCs w:val="24"/>
          <w:u w:val="single"/>
          <w:lang w:val="lt-LT"/>
        </w:rPr>
      </w:pPr>
    </w:p>
    <w:p w:rsidR="00C163AE" w:rsidRDefault="00C163AE" w:rsidP="00C163AE">
      <w:pPr>
        <w:jc w:val="both"/>
        <w:rPr>
          <w:rFonts w:eastAsia="Calibri"/>
          <w:sz w:val="24"/>
          <w:szCs w:val="24"/>
          <w:lang w:val="lt-LT"/>
        </w:rPr>
      </w:pPr>
      <w:r w:rsidRPr="000F6AEA">
        <w:rPr>
          <w:rFonts w:eastAsia="Calibri"/>
          <w:sz w:val="24"/>
          <w:szCs w:val="24"/>
          <w:u w:val="single"/>
          <w:lang w:val="lt-LT"/>
        </w:rPr>
        <w:t>Dėl kibernetinio saugumo</w:t>
      </w:r>
      <w:r w:rsidRPr="000F6AEA">
        <w:rPr>
          <w:rFonts w:eastAsia="Calibri"/>
          <w:sz w:val="24"/>
          <w:szCs w:val="24"/>
          <w:lang w:val="lt-LT"/>
        </w:rPr>
        <w:t xml:space="preserve">: </w:t>
      </w:r>
    </w:p>
    <w:p w:rsidR="00C163AE" w:rsidRDefault="00C163AE" w:rsidP="00C163AE">
      <w:pPr>
        <w:jc w:val="both"/>
        <w:rPr>
          <w:rFonts w:eastAsia="Calibri"/>
          <w:sz w:val="24"/>
          <w:szCs w:val="24"/>
          <w:lang w:val="lt-LT"/>
        </w:rPr>
      </w:pPr>
      <w:r w:rsidRPr="000F6AEA">
        <w:rPr>
          <w:rFonts w:eastAsia="Calibri"/>
          <w:sz w:val="24"/>
          <w:szCs w:val="24"/>
          <w:lang w:val="lt-LT"/>
        </w:rPr>
        <w:t>- Lietuvai aktuali galimybė mišrioms karinėms-civilinėms organizacijoms ar tik karinėms organizacijoms, kurios vykdo nacionalines kibernetinio saugumo funkcijas, dalyvauti programoje; taip pat galimybė finansuoti dvigubos paskirties projektus, paslaugas ir kompetencijas. Pasisakome už kibernetinio saugumo biudžeto didinimą, atsižvelgiant į mūsų geopolitinę padėtį ir informacinių sistemų svarbą valstybei. WP TELE grupėje pavyko pasiekti, kad atsirastų galimybė fin</w:t>
      </w:r>
      <w:r w:rsidR="00D40BC4">
        <w:rPr>
          <w:rFonts w:eastAsia="Calibri"/>
          <w:sz w:val="24"/>
          <w:szCs w:val="24"/>
          <w:lang w:val="lt-LT"/>
        </w:rPr>
        <w:t>a</w:t>
      </w:r>
      <w:r w:rsidRPr="000F6AEA">
        <w:rPr>
          <w:rFonts w:eastAsia="Calibri"/>
          <w:sz w:val="24"/>
          <w:szCs w:val="24"/>
          <w:lang w:val="lt-LT"/>
        </w:rPr>
        <w:t xml:space="preserve">nsuoti </w:t>
      </w:r>
      <w:proofErr w:type="spellStart"/>
      <w:r w:rsidRPr="00D40BC4">
        <w:rPr>
          <w:rFonts w:eastAsia="Calibri"/>
          <w:i/>
          <w:sz w:val="24"/>
          <w:szCs w:val="24"/>
          <w:lang w:val="lt-LT"/>
        </w:rPr>
        <w:t>dual</w:t>
      </w:r>
      <w:proofErr w:type="spellEnd"/>
      <w:r w:rsidRPr="00D40BC4">
        <w:rPr>
          <w:rFonts w:eastAsia="Calibri"/>
          <w:i/>
          <w:sz w:val="24"/>
          <w:szCs w:val="24"/>
          <w:lang w:val="lt-LT"/>
        </w:rPr>
        <w:t xml:space="preserve"> </w:t>
      </w:r>
      <w:proofErr w:type="spellStart"/>
      <w:r w:rsidRPr="00D40BC4">
        <w:rPr>
          <w:rFonts w:eastAsia="Calibri"/>
          <w:i/>
          <w:sz w:val="24"/>
          <w:szCs w:val="24"/>
          <w:lang w:val="lt-LT"/>
        </w:rPr>
        <w:t>use</w:t>
      </w:r>
      <w:proofErr w:type="spellEnd"/>
      <w:r w:rsidRPr="00D40BC4">
        <w:rPr>
          <w:rFonts w:eastAsia="Calibri"/>
          <w:i/>
          <w:sz w:val="24"/>
          <w:szCs w:val="24"/>
          <w:lang w:val="lt-LT"/>
        </w:rPr>
        <w:t xml:space="preserve"> </w:t>
      </w:r>
      <w:proofErr w:type="spellStart"/>
      <w:r w:rsidRPr="00D40BC4">
        <w:rPr>
          <w:rFonts w:eastAsia="Calibri"/>
          <w:i/>
          <w:sz w:val="24"/>
          <w:szCs w:val="24"/>
          <w:lang w:val="lt-LT"/>
        </w:rPr>
        <w:t>cybersec</w:t>
      </w:r>
      <w:proofErr w:type="spellEnd"/>
      <w:r w:rsidRPr="000F6AEA">
        <w:rPr>
          <w:rFonts w:eastAsia="Calibri"/>
          <w:sz w:val="24"/>
          <w:szCs w:val="24"/>
          <w:lang w:val="lt-LT"/>
        </w:rPr>
        <w:t xml:space="preserve"> projektus, jeigu tokia galimybė būtų numatyta ir šiuo metu svarstomame Kibernetinio saugumo koordinavimo ir kompetencijų centro reglamente (dėl šios priežasties LT pasiūlytas tekstas įskliaustas); </w:t>
      </w:r>
      <w:r w:rsidRPr="000F6AEA">
        <w:rPr>
          <w:rFonts w:eastAsia="Calibri"/>
          <w:sz w:val="24"/>
          <w:szCs w:val="24"/>
          <w:lang w:val="lt-LT"/>
        </w:rPr>
        <w:br/>
      </w:r>
      <w:r w:rsidRPr="000F6AEA">
        <w:rPr>
          <w:rFonts w:eastAsia="Calibri"/>
          <w:sz w:val="24"/>
          <w:szCs w:val="24"/>
          <w:u w:val="single"/>
          <w:lang w:val="lt-LT"/>
        </w:rPr>
        <w:t>Dėl Europinių skaitmeninių inovacijų centrų (EDIH):</w:t>
      </w:r>
      <w:r w:rsidRPr="000F6AEA">
        <w:rPr>
          <w:rFonts w:eastAsia="Calibri"/>
          <w:sz w:val="24"/>
          <w:szCs w:val="24"/>
          <w:lang w:val="lt-LT"/>
        </w:rPr>
        <w:t xml:space="preserve"> </w:t>
      </w:r>
    </w:p>
    <w:p w:rsidR="00C163AE" w:rsidRDefault="00C163AE" w:rsidP="00C163AE">
      <w:pPr>
        <w:jc w:val="both"/>
        <w:rPr>
          <w:rFonts w:eastAsia="Calibri"/>
          <w:sz w:val="24"/>
          <w:szCs w:val="24"/>
          <w:lang w:val="lt-LT"/>
        </w:rPr>
      </w:pPr>
      <w:r w:rsidRPr="000F6AEA">
        <w:rPr>
          <w:rFonts w:eastAsia="Calibri"/>
          <w:sz w:val="24"/>
          <w:szCs w:val="24"/>
          <w:lang w:val="lt-LT"/>
        </w:rPr>
        <w:t xml:space="preserve">- Svarbu, kad programoje būtų konkrečiai nustatytos optimalios sąlygos ir galimybės įtraukti mokslo, studijų institucijų, verslo potencialą dalyvauti steigiant skaitmeninių inovacijų centrus. Tikslinga skatinti privataus verslo įsitraukimą į inovacijų centrų ekosistemą (privatūs mokslo institutai, privačios įmonės su stipriais MTEP padaliniais ir pan.). Siekti maksimalaus lankstumo ir autonomijos valstybėms narėms steigiant centrus ir nustatant jų kompetencijas. </w:t>
      </w:r>
      <w:r w:rsidRPr="000F6AEA">
        <w:rPr>
          <w:rFonts w:eastAsia="Calibri"/>
          <w:sz w:val="24"/>
          <w:szCs w:val="24"/>
          <w:lang w:val="lt-LT"/>
        </w:rPr>
        <w:br/>
        <w:t xml:space="preserve">Lietuvoje šiuo metu veikia keturi Skaitmeninių inovacijų centrai, įtraukti į Europos skaitmeninių inovacijų centrų katalogą. Be to, Lietuva šių metų birželio mėnesį prisijungė prie Europos aukšto našumo skaičiavimų iniciatyvos, o Lietuvos universitetų superkompiuterių tinklas yra pakankamas narystei užtikrinti. </w:t>
      </w:r>
    </w:p>
    <w:p w:rsidR="00C163AE" w:rsidRDefault="00C163AE" w:rsidP="00C163AE">
      <w:pPr>
        <w:jc w:val="both"/>
        <w:rPr>
          <w:rFonts w:eastAsia="Calibri"/>
          <w:sz w:val="24"/>
          <w:szCs w:val="24"/>
          <w:lang w:val="lt-LT"/>
        </w:rPr>
      </w:pPr>
      <w:r w:rsidRPr="000F6AEA">
        <w:rPr>
          <w:rFonts w:eastAsia="Calibri"/>
          <w:sz w:val="24"/>
          <w:szCs w:val="24"/>
          <w:u w:val="single"/>
          <w:lang w:val="lt-LT"/>
        </w:rPr>
        <w:t>Dėl dirbtinio intelekto:</w:t>
      </w:r>
      <w:r w:rsidRPr="000F6AEA">
        <w:rPr>
          <w:rFonts w:eastAsia="Calibri"/>
          <w:sz w:val="24"/>
          <w:szCs w:val="24"/>
          <w:lang w:val="lt-LT"/>
        </w:rPr>
        <w:t xml:space="preserve"> </w:t>
      </w:r>
    </w:p>
    <w:p w:rsidR="00C163AE" w:rsidRDefault="00C163AE" w:rsidP="00C163AE">
      <w:pPr>
        <w:jc w:val="both"/>
        <w:rPr>
          <w:rFonts w:eastAsia="Calibri"/>
          <w:sz w:val="24"/>
          <w:szCs w:val="24"/>
          <w:lang w:val="lt-LT"/>
        </w:rPr>
      </w:pPr>
      <w:r w:rsidRPr="000F6AEA">
        <w:rPr>
          <w:rFonts w:eastAsia="Calibri"/>
          <w:sz w:val="24"/>
          <w:szCs w:val="24"/>
          <w:lang w:val="lt-LT"/>
        </w:rPr>
        <w:t xml:space="preserve">- Dirbtinis intelektas Lietuvai yra viena iš svarbiausių tematinių sričių. Dalyvavimas tarptautiniuose bendradarbiavimo tinkluose ir investicijos į dirbtinio intelekto sritį Lietuvoje yra reikšmingos tiek viešajame, tiek privačiame sektoriuose. </w:t>
      </w:r>
    </w:p>
    <w:p w:rsidR="00C163AE" w:rsidRDefault="00C163AE" w:rsidP="00C163AE">
      <w:pPr>
        <w:jc w:val="both"/>
        <w:rPr>
          <w:rFonts w:eastAsia="Calibri"/>
          <w:sz w:val="24"/>
          <w:szCs w:val="24"/>
          <w:u w:val="single"/>
          <w:lang w:val="lt-LT"/>
        </w:rPr>
      </w:pPr>
      <w:r w:rsidRPr="000F6AEA">
        <w:rPr>
          <w:rFonts w:eastAsia="Calibri"/>
          <w:sz w:val="24"/>
          <w:szCs w:val="24"/>
          <w:u w:val="single"/>
          <w:lang w:val="lt-LT"/>
        </w:rPr>
        <w:t xml:space="preserve">Dėl aukšto lygio skaitmeninių įgūdžių </w:t>
      </w:r>
    </w:p>
    <w:p w:rsidR="00C163AE" w:rsidRDefault="00C163AE" w:rsidP="00C163AE">
      <w:pPr>
        <w:jc w:val="both"/>
        <w:rPr>
          <w:rFonts w:eastAsia="Calibri"/>
          <w:sz w:val="24"/>
          <w:szCs w:val="24"/>
          <w:lang w:val="lt-LT"/>
        </w:rPr>
      </w:pPr>
      <w:r w:rsidRPr="000F6AEA">
        <w:rPr>
          <w:rFonts w:eastAsia="Calibri"/>
          <w:sz w:val="24"/>
          <w:szCs w:val="24"/>
          <w:lang w:val="lt-LT"/>
        </w:rPr>
        <w:t xml:space="preserve">- Palaikome numatytus veiklos tikslus remti studentų, IT profesionalų, darbuotojų, verslininkų ilgalaikių ir trumpalaikių mokymų ir kursų rengimą. </w:t>
      </w:r>
    </w:p>
    <w:p w:rsidR="00C163AE" w:rsidRDefault="00C163AE" w:rsidP="00C163AE">
      <w:pPr>
        <w:jc w:val="both"/>
        <w:rPr>
          <w:rFonts w:eastAsia="Calibri"/>
          <w:sz w:val="24"/>
          <w:szCs w:val="24"/>
          <w:lang w:val="lt-LT"/>
        </w:rPr>
      </w:pPr>
      <w:r w:rsidRPr="000F6AEA">
        <w:rPr>
          <w:rFonts w:eastAsia="Calibri"/>
          <w:sz w:val="24"/>
          <w:szCs w:val="24"/>
          <w:u w:val="single"/>
          <w:lang w:val="lt-LT"/>
        </w:rPr>
        <w:t>Dėl diegimo, geriausio skaitmeninio pajėgumo išnaudojimo ir sąveikumo:</w:t>
      </w:r>
      <w:r w:rsidRPr="000F6AEA">
        <w:rPr>
          <w:rFonts w:eastAsia="Calibri"/>
          <w:sz w:val="24"/>
          <w:szCs w:val="24"/>
          <w:lang w:val="lt-LT"/>
        </w:rPr>
        <w:t xml:space="preserve"> </w:t>
      </w:r>
    </w:p>
    <w:p w:rsidR="00C163AE" w:rsidRPr="000F6AEA" w:rsidRDefault="00C163AE" w:rsidP="00580D27">
      <w:pPr>
        <w:jc w:val="both"/>
        <w:rPr>
          <w:rFonts w:eastAsia="Calibri"/>
          <w:sz w:val="24"/>
          <w:szCs w:val="24"/>
          <w:lang w:val="lt-LT"/>
        </w:rPr>
      </w:pPr>
      <w:r w:rsidRPr="000F6AEA">
        <w:rPr>
          <w:rFonts w:eastAsia="Calibri"/>
          <w:sz w:val="24"/>
          <w:szCs w:val="24"/>
          <w:lang w:val="lt-LT"/>
        </w:rPr>
        <w:t xml:space="preserve">- Iš esmės palaikome programoje numatytus  veiklos tikslus, kuriais siekiama užtikrinti, kad viešasis sektorius galėtų diegti naujausias technologijas  (itin našaus skaičiavimo, dirbtinio intelekto, kibernetinio saugumo) sveikatos priežiūros, švietimo, teismų, transporto, energetikos, aplinkos, kultūros srityse; diegti </w:t>
      </w:r>
      <w:proofErr w:type="spellStart"/>
      <w:r w:rsidRPr="000F6AEA">
        <w:rPr>
          <w:rFonts w:eastAsia="Calibri"/>
          <w:sz w:val="24"/>
          <w:szCs w:val="24"/>
          <w:lang w:val="lt-LT"/>
        </w:rPr>
        <w:t>transeuropines</w:t>
      </w:r>
      <w:proofErr w:type="spellEnd"/>
      <w:r w:rsidRPr="000F6AEA">
        <w:rPr>
          <w:rFonts w:eastAsia="Calibri"/>
          <w:sz w:val="24"/>
          <w:szCs w:val="24"/>
          <w:lang w:val="lt-LT"/>
        </w:rPr>
        <w:t xml:space="preserve"> sąveikias skaitmeninių paslaugų infrastruktūras;  remti sąveikių sprendimų kūrimą ir diegimą ES lygmens viešosiose paslaugose; sudaryti sąlygas ES viešojo administravimo institucijoms, įmonėms ir piliečiams kurti, naujinti ir naudoti sprendimus ir sistemas, įskaitant pakartotinį sąveikumo sprendimų ir sistemų panaudojimą; remti pažangių skaitmeninių technologijų įsisavinimą ES pramonėje, ypač mažose ir vidutinėse įmonėse. </w:t>
      </w:r>
    </w:p>
    <w:p w:rsidR="00C163AE" w:rsidRPr="000F6AEA" w:rsidRDefault="00C163AE" w:rsidP="00580D27">
      <w:pPr>
        <w:ind w:firstLine="720"/>
        <w:jc w:val="both"/>
        <w:rPr>
          <w:rFonts w:eastAsia="Calibri"/>
          <w:sz w:val="24"/>
          <w:szCs w:val="24"/>
          <w:lang w:val="lt-LT"/>
        </w:rPr>
      </w:pPr>
      <w:r w:rsidRPr="000F6AEA">
        <w:rPr>
          <w:rFonts w:eastAsia="Calibri"/>
          <w:sz w:val="24"/>
          <w:szCs w:val="24"/>
          <w:lang w:val="lt-LT"/>
        </w:rPr>
        <w:t>Lietuva palaiko dabartinį tekstą, nes WP TELE grupės metu pavyko apginti daugelį Lietuvos institucijų siūlymų: įtraukta KM svarbi EUROPEANA programa, be sveikatos sektoriaus, rasis galimybė remti ir rūpybos sektoriaus projektus (</w:t>
      </w:r>
      <w:proofErr w:type="spellStart"/>
      <w:r w:rsidRPr="000F6AEA">
        <w:rPr>
          <w:rFonts w:eastAsia="Calibri"/>
          <w:sz w:val="24"/>
          <w:szCs w:val="24"/>
          <w:lang w:val="lt-LT"/>
        </w:rPr>
        <w:t>health</w:t>
      </w:r>
      <w:proofErr w:type="spellEnd"/>
      <w:r w:rsidRPr="000F6AEA">
        <w:rPr>
          <w:rFonts w:eastAsia="Calibri"/>
          <w:sz w:val="24"/>
          <w:szCs w:val="24"/>
          <w:lang w:val="lt-LT"/>
        </w:rPr>
        <w:t xml:space="preserve"> </w:t>
      </w:r>
      <w:proofErr w:type="spellStart"/>
      <w:r w:rsidRPr="000F6AEA">
        <w:rPr>
          <w:rFonts w:eastAsia="Calibri"/>
          <w:sz w:val="24"/>
          <w:szCs w:val="24"/>
          <w:lang w:val="lt-LT"/>
        </w:rPr>
        <w:t>and</w:t>
      </w:r>
      <w:proofErr w:type="spellEnd"/>
      <w:r w:rsidRPr="000F6AEA">
        <w:rPr>
          <w:rFonts w:eastAsia="Calibri"/>
          <w:sz w:val="24"/>
          <w:szCs w:val="24"/>
          <w:lang w:val="lt-LT"/>
        </w:rPr>
        <w:t xml:space="preserve"> care), paliktas lankstus tekstas dėl EDIH ir pakankama VN </w:t>
      </w:r>
      <w:proofErr w:type="spellStart"/>
      <w:r w:rsidRPr="000F6AEA">
        <w:rPr>
          <w:rFonts w:eastAsia="Calibri"/>
          <w:sz w:val="24"/>
          <w:szCs w:val="24"/>
          <w:lang w:val="lt-LT"/>
        </w:rPr>
        <w:t>diskrecija</w:t>
      </w:r>
      <w:proofErr w:type="spellEnd"/>
      <w:r w:rsidRPr="000F6AEA">
        <w:rPr>
          <w:rFonts w:eastAsia="Calibri"/>
          <w:sz w:val="24"/>
          <w:szCs w:val="24"/>
          <w:lang w:val="lt-LT"/>
        </w:rPr>
        <w:t xml:space="preserve"> jų atrankos procedūroje, įtrauktas pagal KAM siūlymus </w:t>
      </w:r>
      <w:proofErr w:type="spellStart"/>
      <w:r w:rsidRPr="000F6AEA">
        <w:rPr>
          <w:rFonts w:eastAsia="Calibri"/>
          <w:i/>
          <w:sz w:val="24"/>
          <w:szCs w:val="24"/>
          <w:lang w:val="lt-LT"/>
        </w:rPr>
        <w:t>dual-use</w:t>
      </w:r>
      <w:proofErr w:type="spellEnd"/>
      <w:r w:rsidRPr="000F6AEA">
        <w:rPr>
          <w:rFonts w:eastAsia="Calibri"/>
          <w:i/>
          <w:sz w:val="24"/>
          <w:szCs w:val="24"/>
          <w:lang w:val="lt-LT"/>
        </w:rPr>
        <w:t xml:space="preserve"> </w:t>
      </w:r>
      <w:proofErr w:type="spellStart"/>
      <w:r w:rsidRPr="000F6AEA">
        <w:rPr>
          <w:rFonts w:eastAsia="Calibri"/>
          <w:i/>
          <w:sz w:val="24"/>
          <w:szCs w:val="24"/>
          <w:lang w:val="lt-LT"/>
        </w:rPr>
        <w:t>cybersec</w:t>
      </w:r>
      <w:proofErr w:type="spellEnd"/>
      <w:r w:rsidRPr="000F6AEA">
        <w:rPr>
          <w:rFonts w:eastAsia="Calibri"/>
          <w:sz w:val="24"/>
          <w:szCs w:val="24"/>
          <w:lang w:val="lt-LT"/>
        </w:rPr>
        <w:t xml:space="preserve"> komponentas, pagal URM siūlymus – galimybė finansuoti dezinformacijos aptikimo ir kovos su ja </w:t>
      </w:r>
      <w:r w:rsidRPr="000F6AEA">
        <w:rPr>
          <w:rFonts w:eastAsia="Calibri"/>
          <w:sz w:val="24"/>
          <w:szCs w:val="24"/>
          <w:lang w:val="lt-LT"/>
        </w:rPr>
        <w:lastRenderedPageBreak/>
        <w:t>projektus, taip pat siekiama, kad rastųsi galimybė finansuoti ir atsparumo (</w:t>
      </w:r>
      <w:proofErr w:type="spellStart"/>
      <w:r w:rsidRPr="000F6AEA">
        <w:rPr>
          <w:rFonts w:eastAsia="Calibri"/>
          <w:sz w:val="24"/>
          <w:szCs w:val="24"/>
          <w:lang w:val="lt-LT"/>
        </w:rPr>
        <w:t>resilience</w:t>
      </w:r>
      <w:proofErr w:type="spellEnd"/>
      <w:r w:rsidRPr="000F6AEA">
        <w:rPr>
          <w:rFonts w:eastAsia="Calibri"/>
          <w:sz w:val="24"/>
          <w:szCs w:val="24"/>
          <w:lang w:val="lt-LT"/>
        </w:rPr>
        <w:t xml:space="preserve">) projektus panaudojant dirbtinio intelekto, </w:t>
      </w:r>
      <w:proofErr w:type="spellStart"/>
      <w:r w:rsidRPr="000F6AEA">
        <w:rPr>
          <w:rFonts w:eastAsia="Calibri"/>
          <w:sz w:val="24"/>
          <w:szCs w:val="24"/>
          <w:lang w:val="lt-LT"/>
        </w:rPr>
        <w:t>cybersec</w:t>
      </w:r>
      <w:proofErr w:type="spellEnd"/>
      <w:r w:rsidRPr="000F6AEA">
        <w:rPr>
          <w:rFonts w:eastAsia="Calibri"/>
          <w:sz w:val="24"/>
          <w:szCs w:val="24"/>
          <w:lang w:val="lt-LT"/>
        </w:rPr>
        <w:t xml:space="preserve"> ar HPC technologijas, greta transporto ir energetikos sektorių, įtraukta galimybė finansuoti judumo (</w:t>
      </w:r>
      <w:proofErr w:type="spellStart"/>
      <w:r w:rsidRPr="000F6AEA">
        <w:rPr>
          <w:rFonts w:eastAsia="Calibri"/>
          <w:sz w:val="24"/>
          <w:szCs w:val="24"/>
          <w:lang w:val="lt-LT"/>
        </w:rPr>
        <w:t>mobility</w:t>
      </w:r>
      <w:proofErr w:type="spellEnd"/>
      <w:r w:rsidRPr="000F6AEA">
        <w:rPr>
          <w:rFonts w:eastAsia="Calibri"/>
          <w:sz w:val="24"/>
          <w:szCs w:val="24"/>
          <w:lang w:val="lt-LT"/>
        </w:rPr>
        <w:t xml:space="preserve">), išmanių miestų ir kaimų projektus, įtrauktas LT siūlymas dėl savivaldžių automobilių projektų paramos, taip pat numatyta parama bepiločių orlaivių technologijoms; be kita ko,   LT taip pat parėmė HR išsakytą siūlymą 2018-11-22 į programą įtraukti muitinės projektus. </w:t>
      </w:r>
    </w:p>
    <w:p w:rsidR="00C163AE" w:rsidRDefault="00C163AE" w:rsidP="00C163AE">
      <w:pPr>
        <w:pStyle w:val="PointManual"/>
        <w:spacing w:before="360"/>
        <w:jc w:val="both"/>
        <w:rPr>
          <w:b/>
        </w:rPr>
      </w:pPr>
      <w:r w:rsidRPr="00BE4665">
        <w:rPr>
          <w:b/>
          <w:szCs w:val="24"/>
        </w:rPr>
        <w:t>14</w:t>
      </w:r>
      <w:r w:rsidRPr="00AB69F4">
        <w:rPr>
          <w:b/>
        </w:rPr>
        <w:t xml:space="preserve">.  Pasiūlymas dėl </w:t>
      </w:r>
      <w:r>
        <w:rPr>
          <w:b/>
        </w:rPr>
        <w:t>E</w:t>
      </w:r>
      <w:r w:rsidRPr="00AB69F4">
        <w:rPr>
          <w:b/>
        </w:rPr>
        <w:t xml:space="preserve">uropos </w:t>
      </w:r>
      <w:r>
        <w:rPr>
          <w:b/>
        </w:rPr>
        <w:t>P</w:t>
      </w:r>
      <w:r w:rsidRPr="00AB69F4">
        <w:rPr>
          <w:b/>
        </w:rPr>
        <w:t xml:space="preserve">arlamento ir </w:t>
      </w:r>
      <w:r>
        <w:rPr>
          <w:b/>
        </w:rPr>
        <w:t>T</w:t>
      </w:r>
      <w:r w:rsidRPr="00AB69F4">
        <w:rPr>
          <w:b/>
        </w:rPr>
        <w:t>arybos</w:t>
      </w:r>
      <w:bookmarkStart w:id="0" w:name="_GoBack"/>
      <w:bookmarkEnd w:id="0"/>
      <w:r w:rsidRPr="00AB69F4">
        <w:rPr>
          <w:b/>
        </w:rPr>
        <w:t xml:space="preserve"> reglamento kuriuo įsteigiamas Europos kibernetinio saugumo pramonės, technologijų ir mokslinių tyrimų kompetencijos centras ir Nacionalinių koordinavimo centrų tinklas</w:t>
      </w:r>
      <w:r>
        <w:rPr>
          <w:b/>
        </w:rPr>
        <w:t xml:space="preserve"> – Pažangos ataskaita (Krašto apsaugos ministerija)</w:t>
      </w:r>
    </w:p>
    <w:p w:rsidR="00C163AE" w:rsidRDefault="00C163AE" w:rsidP="00C163AE">
      <w:pPr>
        <w:rPr>
          <w:rFonts w:eastAsia="Calibri"/>
          <w:i/>
          <w:iCs/>
          <w:sz w:val="24"/>
          <w:szCs w:val="24"/>
          <w:lang w:val="lt-LT"/>
        </w:rPr>
      </w:pPr>
    </w:p>
    <w:p w:rsidR="0055473A" w:rsidRPr="00575925" w:rsidRDefault="0055473A" w:rsidP="00575925">
      <w:pPr>
        <w:pStyle w:val="Betarp"/>
        <w:jc w:val="both"/>
        <w:rPr>
          <w:rFonts w:eastAsia="Calibri"/>
          <w:i/>
          <w:sz w:val="24"/>
          <w:szCs w:val="24"/>
          <w:lang w:val="lt-LT"/>
        </w:rPr>
      </w:pPr>
      <w:r w:rsidRPr="00575925">
        <w:rPr>
          <w:rFonts w:eastAsia="Calibri"/>
          <w:i/>
          <w:sz w:val="24"/>
          <w:szCs w:val="24"/>
          <w:lang w:val="lt-LT"/>
        </w:rPr>
        <w:t>Klausimo esmė</w:t>
      </w:r>
    </w:p>
    <w:p w:rsidR="00575925" w:rsidRPr="00575925" w:rsidRDefault="00575925" w:rsidP="00575925">
      <w:pPr>
        <w:pStyle w:val="Betarp"/>
        <w:ind w:firstLine="567"/>
        <w:jc w:val="both"/>
        <w:rPr>
          <w:sz w:val="24"/>
          <w:szCs w:val="24"/>
          <w:lang w:val="lt-LT"/>
        </w:rPr>
      </w:pPr>
      <w:r w:rsidRPr="00575925">
        <w:rPr>
          <w:sz w:val="24"/>
          <w:szCs w:val="24"/>
          <w:lang w:val="lt-LT"/>
        </w:rPr>
        <w:t xml:space="preserve">Pasiūlymu siekiama sudaryti galimybes visų valstybių narių valdžios institucijoms ir pramonės įmonėms suteikti galimybę veiksmingiau užkirsti kelią kibernetinėms grėsmėms ir į jas reaguoti, siūlant saugesnius produktus ir sprendimus ir jais aprūpinant. Tai ypač svarbu siekiant užtikrinti galimybę naudotis pagrindinėmis paslaugomis (pvz., transporto, sveikatos apsaugos, bankų ir finansinėmis paslaugomis). </w:t>
      </w:r>
    </w:p>
    <w:p w:rsidR="00575925" w:rsidRPr="00575925" w:rsidRDefault="00575925" w:rsidP="00575925">
      <w:pPr>
        <w:pStyle w:val="Betarp"/>
        <w:ind w:firstLine="567"/>
        <w:jc w:val="both"/>
        <w:rPr>
          <w:sz w:val="24"/>
          <w:szCs w:val="24"/>
          <w:lang w:val="lt-LT"/>
        </w:rPr>
      </w:pPr>
      <w:r w:rsidRPr="00575925">
        <w:rPr>
          <w:sz w:val="24"/>
          <w:szCs w:val="24"/>
          <w:lang w:val="lt-LT"/>
        </w:rPr>
        <w:t xml:space="preserve">Padidėjęs Europos Sąjungos pajėgumas savarankiškai saugoti savo produktus ir paslaugas taip pat gali padėti piliečiams pasinaudoti savo demokratinėmis teisėmis ir vertybėmis (pvz., geriau apsaugoti Pagrindinių teisių chartijoje įtvirtintas su informacija susijusias teises, ypač teisę į asmens duomenų apsaugą ir privatų gyvenimą) ir taip padidinti jų pasitikėjimą skaitmenine visuomene ir ekonomika. </w:t>
      </w:r>
      <w:r w:rsidRPr="00575925">
        <w:rPr>
          <w:sz w:val="24"/>
          <w:szCs w:val="24"/>
          <w:lang w:val="lt-LT"/>
        </w:rPr>
        <w:br/>
        <w:t>Tai visų pirma bus vykdoma Kompetencijų centrui užtikrinant finansinę paramą kibernetiniam saugumui iš programos „Europos horizontas“ ir Skaitmeninės Europos programos lėšų, o prireikus ir iš Europos regioninės plėtros fondo ir kitų programų. Toks požiūris turėtų padėti sukurti sinergiją ir koordinuoti finansinę paramą, susijusią su kibernetinio saugumo moksliniais tyrimais, inovacijomis, technologijomis ir pramonės plėtra, ir išvengti dubliavimosi.  Tuo siekiama sudaryti sąlygas remti kibernetinį saugumą visoje vertės grandinėje – nuo mokslinių tyrimų iki pagrindinių technologijų diegimo ir naudojimo.</w:t>
      </w:r>
    </w:p>
    <w:p w:rsidR="00575925" w:rsidRDefault="00575925" w:rsidP="00575925">
      <w:pPr>
        <w:pStyle w:val="Betarp"/>
        <w:jc w:val="both"/>
        <w:rPr>
          <w:sz w:val="24"/>
          <w:szCs w:val="24"/>
          <w:lang w:val="lt-LT"/>
        </w:rPr>
      </w:pPr>
      <w:r w:rsidRPr="00575925">
        <w:rPr>
          <w:sz w:val="24"/>
          <w:szCs w:val="24"/>
          <w:lang w:val="lt-LT"/>
        </w:rPr>
        <w:t xml:space="preserve"> </w:t>
      </w:r>
      <w:r>
        <w:rPr>
          <w:sz w:val="24"/>
          <w:szCs w:val="24"/>
          <w:lang w:val="lt-LT"/>
        </w:rPr>
        <w:tab/>
      </w:r>
      <w:r w:rsidRPr="00575925">
        <w:rPr>
          <w:sz w:val="24"/>
          <w:szCs w:val="24"/>
          <w:lang w:val="lt-LT"/>
        </w:rPr>
        <w:t xml:space="preserve">Svarbu pažymėti, kad pagal šią priemonę nenumatoma jokių naujų reglamentavimo įsipareigojimų įmonėms. Be to, greičiausiai sumažės įmonių, ypač MVĮ išlaidos, susijusios su jų pastangomis kurti novatoriškus kibernetinio saugumo produktus, nes iniciatyva sudaromos sąlygos telkti išteklius, siekiant investuoti į būtinus gebėjimus valstybių narių lygmeniu ir kaupti bendrą Europos turtą (pvz., bendrai įsigyti reikalingą kibernetinio saugumo bandymų ir eksperimentų infrastruktūrą). Šį turtą įvairiuose sektoriuose galėtų naudoti pramonės įmonės ir MVĮ, siekdamos užtikrinti, kad jų produktai būtų saugūs kibernetiniu požiūriu ir kad kibernetinis saugumas taptų jų konkurenciniu pranašumu. </w:t>
      </w:r>
    </w:p>
    <w:p w:rsidR="00575925" w:rsidRPr="00575925" w:rsidRDefault="00575925" w:rsidP="00575925">
      <w:pPr>
        <w:pStyle w:val="Betarp"/>
        <w:ind w:firstLine="567"/>
        <w:jc w:val="both"/>
        <w:rPr>
          <w:sz w:val="24"/>
          <w:szCs w:val="24"/>
          <w:lang w:val="lt-LT"/>
        </w:rPr>
      </w:pPr>
      <w:r w:rsidRPr="00575925">
        <w:rPr>
          <w:sz w:val="24"/>
          <w:szCs w:val="24"/>
          <w:lang w:val="lt-LT"/>
        </w:rPr>
        <w:t xml:space="preserve">Kompetencijos centro įgaliojimai ne dubliuos, o papildys ENISA pastangas. </w:t>
      </w:r>
      <w:r w:rsidRPr="00575925">
        <w:rPr>
          <w:sz w:val="24"/>
          <w:szCs w:val="24"/>
          <w:lang w:val="lt-LT"/>
        </w:rPr>
        <w:br/>
        <w:t>Siūloma, kad kiekviena valstybė narė paskirtų subjektą, kuris šio reglamento tikslais vykdytų nacionalinio koordinavimo centro funkcijas, kuris turėtų padėti Kompetencijos centrui ir Tinklui vykdyti jų misiją. Šie centrai turi turėti arba gauti galimybę tiesiogiai naudotis technologinėmis žiniomis kibernetinio saugumo srityje bei turėti galimybę veiksmingai bendrauti ir koordinuoti veiksmus su pramonės, viešojo sektoriaus ir mokslinių tyrimų bendruomenės atstovais. Komisija akredituoja tokį subjektą arba atmeta jo kandidatūrą. Kompetencijos centro ir nacionalinių koordinavimo centrų santykiai grindžiami Kompetencijos centro ir kiekvieno nacionalinio koordinavimo centro pasirašytomis sutartimis. Nacionalinių koordinavimo centrų tinklą sudaro visi valstybių narių paskirti nacionaliniai koordinavimo centrai.</w:t>
      </w:r>
    </w:p>
    <w:p w:rsidR="00575925" w:rsidRPr="00575925" w:rsidRDefault="00575925" w:rsidP="00575925">
      <w:pPr>
        <w:pStyle w:val="Betarp"/>
        <w:jc w:val="both"/>
        <w:rPr>
          <w:sz w:val="24"/>
          <w:szCs w:val="24"/>
          <w:lang w:val="lt-LT"/>
        </w:rPr>
      </w:pPr>
      <w:r w:rsidRPr="00575925">
        <w:rPr>
          <w:sz w:val="24"/>
          <w:szCs w:val="24"/>
          <w:lang w:val="lt-LT"/>
        </w:rPr>
        <w:t xml:space="preserve"> </w:t>
      </w:r>
      <w:r>
        <w:rPr>
          <w:sz w:val="24"/>
          <w:szCs w:val="24"/>
          <w:lang w:val="lt-LT"/>
        </w:rPr>
        <w:tab/>
      </w:r>
      <w:r w:rsidRPr="00575925">
        <w:rPr>
          <w:sz w:val="24"/>
          <w:szCs w:val="24"/>
          <w:lang w:val="lt-LT"/>
        </w:rPr>
        <w:t xml:space="preserve">Siūloma, kad valstybės narės proporcingai prisidėtų remiant Kompetencijos centro ir Tinklo veiklą – valstybių narių finansinis dalyvavimas turėtų būti proporcingas ES finansiniam įnašui į šią iniciatyvą. Atsižvelgiant į tai, kad šios iniciatyvos tikslų bus galima geriausiai pasiekti, jei dalyvaus visos valstybės narės arba kuo daugiau valstybių narių, valstybės narės skatinamos dalyvauti balsavimo </w:t>
      </w:r>
      <w:r w:rsidRPr="00575925">
        <w:rPr>
          <w:sz w:val="24"/>
          <w:szCs w:val="24"/>
          <w:lang w:val="lt-LT"/>
        </w:rPr>
        <w:lastRenderedPageBreak/>
        <w:t>teises suteikiant tik toms, kurios finansiškai prisideda padengiant Kompetencijos centro administracines ir veiklos išlaidas.</w:t>
      </w:r>
    </w:p>
    <w:p w:rsidR="00575925" w:rsidRPr="00575925" w:rsidRDefault="00575925" w:rsidP="00575925">
      <w:pPr>
        <w:pStyle w:val="Betarp"/>
        <w:jc w:val="both"/>
        <w:rPr>
          <w:sz w:val="24"/>
          <w:szCs w:val="24"/>
          <w:lang w:val="lt-LT"/>
        </w:rPr>
      </w:pPr>
      <w:r w:rsidRPr="00575925">
        <w:rPr>
          <w:sz w:val="24"/>
          <w:szCs w:val="24"/>
          <w:lang w:val="lt-LT"/>
        </w:rPr>
        <w:t xml:space="preserve"> </w:t>
      </w:r>
      <w:r>
        <w:rPr>
          <w:sz w:val="24"/>
          <w:szCs w:val="24"/>
          <w:lang w:val="lt-LT"/>
        </w:rPr>
        <w:tab/>
      </w:r>
      <w:r w:rsidRPr="00575925">
        <w:rPr>
          <w:sz w:val="24"/>
          <w:szCs w:val="24"/>
          <w:lang w:val="lt-LT"/>
        </w:rPr>
        <w:t xml:space="preserve">Numatoma, kad pagrindinis sprendimus priimantis organas yra Valdyba, kurioje dalyvauja Komisija ir visos valstybės narės. Sąjungai atstovaujančiai Komisijai priklauso 50 % balsavimo teisių, o kiekviena dalyvaujančioji valstybė narė turi vieną balsą.  Valdybos balsavimo mechanizmas pagrįstas dvigubos daugumos principu – reikalinga 75 % finansinio įnašo ir 75 % balsų dauguma. </w:t>
      </w:r>
      <w:r w:rsidRPr="00575925">
        <w:rPr>
          <w:sz w:val="24"/>
          <w:szCs w:val="24"/>
          <w:lang w:val="lt-LT"/>
        </w:rPr>
        <w:br/>
        <w:t>Skaitmeninės Europos programa kibernetiniam saugumui planuoja skirti 2 mlrd., tuo tarpu kiek bus skiriama pagal programą „Europos horizontas“ kol kas neaišku. Norėdamos įtakoti sprendimus valstybės turės prisidėti panašia suma.</w:t>
      </w:r>
    </w:p>
    <w:p w:rsidR="0055473A" w:rsidRPr="00575925" w:rsidRDefault="0055473A" w:rsidP="00575925">
      <w:pPr>
        <w:pStyle w:val="Betarp"/>
        <w:jc w:val="both"/>
        <w:rPr>
          <w:rFonts w:eastAsia="Calibri"/>
          <w:sz w:val="24"/>
          <w:szCs w:val="24"/>
          <w:lang w:val="lt-LT"/>
        </w:rPr>
      </w:pPr>
    </w:p>
    <w:p w:rsidR="0055473A" w:rsidRPr="00302EDC" w:rsidRDefault="0055473A" w:rsidP="00346B38">
      <w:pPr>
        <w:jc w:val="both"/>
        <w:rPr>
          <w:rFonts w:eastAsia="Calibri"/>
          <w:i/>
          <w:sz w:val="24"/>
          <w:szCs w:val="24"/>
          <w:lang w:val="lt-LT"/>
        </w:rPr>
      </w:pPr>
      <w:r w:rsidRPr="00302EDC">
        <w:rPr>
          <w:rFonts w:eastAsia="Calibri"/>
          <w:i/>
          <w:sz w:val="24"/>
          <w:szCs w:val="24"/>
          <w:lang w:val="lt-LT"/>
        </w:rPr>
        <w:t>Lietuvos pozicija</w:t>
      </w:r>
    </w:p>
    <w:p w:rsidR="00346B38" w:rsidRDefault="0055473A" w:rsidP="00575925">
      <w:pPr>
        <w:jc w:val="both"/>
        <w:rPr>
          <w:rFonts w:eastAsia="Calibri"/>
          <w:sz w:val="24"/>
          <w:szCs w:val="24"/>
          <w:lang w:val="lt-LT"/>
        </w:rPr>
      </w:pPr>
      <w:r>
        <w:rPr>
          <w:rFonts w:eastAsia="Calibri"/>
          <w:sz w:val="24"/>
          <w:szCs w:val="24"/>
          <w:lang w:val="lt-LT"/>
        </w:rPr>
        <w:t>Pritarti pažangos ataskaitai</w:t>
      </w:r>
      <w:r w:rsidR="00575925">
        <w:rPr>
          <w:rFonts w:eastAsia="Calibri"/>
          <w:sz w:val="24"/>
          <w:szCs w:val="24"/>
          <w:lang w:val="lt-LT"/>
        </w:rPr>
        <w:t>.</w:t>
      </w:r>
    </w:p>
    <w:p w:rsidR="00C163AE" w:rsidRPr="000F6AEA" w:rsidRDefault="00C163AE" w:rsidP="00C163AE">
      <w:pPr>
        <w:rPr>
          <w:b/>
          <w:sz w:val="24"/>
          <w:szCs w:val="24"/>
          <w:lang w:val="lt-LT"/>
        </w:rPr>
      </w:pPr>
      <w:r w:rsidRPr="000F6AEA">
        <w:rPr>
          <w:rFonts w:eastAsia="Calibri"/>
          <w:sz w:val="24"/>
          <w:szCs w:val="24"/>
          <w:lang w:val="lt-LT"/>
        </w:rPr>
        <w:br/>
      </w:r>
      <w:r w:rsidRPr="000F6AEA">
        <w:rPr>
          <w:b/>
          <w:sz w:val="24"/>
          <w:szCs w:val="24"/>
          <w:lang w:val="lt-LT"/>
        </w:rPr>
        <w:t>15. Pasiūlymas dėl Europos Parlamento ir Tarybos reglamento dėl teisės į privatų gyvenimą ir asmens duomenų apsaugos elektroninių ryšių sektoriuje, kuriuo panaikinama Direktyva 2002/58/EB</w:t>
      </w:r>
    </w:p>
    <w:p w:rsidR="00C163AE" w:rsidRDefault="00C163AE" w:rsidP="00C163AE">
      <w:pPr>
        <w:ind w:firstLine="567"/>
        <w:rPr>
          <w:rFonts w:eastAsia="Calibri"/>
          <w:i/>
          <w:iCs/>
          <w:sz w:val="24"/>
          <w:szCs w:val="24"/>
          <w:lang w:val="lt-LT"/>
        </w:rPr>
      </w:pPr>
    </w:p>
    <w:p w:rsidR="00C163AE" w:rsidRDefault="00C163AE" w:rsidP="00C163AE">
      <w:pPr>
        <w:ind w:firstLine="567"/>
        <w:jc w:val="both"/>
        <w:rPr>
          <w:rFonts w:eastAsia="Calibri"/>
          <w:sz w:val="24"/>
          <w:szCs w:val="24"/>
          <w:lang w:val="lt-LT"/>
        </w:rPr>
      </w:pPr>
      <w:r w:rsidRPr="000F6AEA">
        <w:rPr>
          <w:rFonts w:eastAsia="Calibri"/>
          <w:i/>
          <w:iCs/>
          <w:sz w:val="24"/>
          <w:szCs w:val="24"/>
          <w:lang w:val="lt-LT"/>
        </w:rPr>
        <w:t>Klausimo esmė</w:t>
      </w:r>
      <w:r w:rsidRPr="000F6AEA">
        <w:rPr>
          <w:rFonts w:eastAsia="Calibri"/>
          <w:sz w:val="24"/>
          <w:szCs w:val="24"/>
          <w:lang w:val="lt-LT"/>
        </w:rPr>
        <w:t xml:space="preserve"> </w:t>
      </w:r>
    </w:p>
    <w:p w:rsidR="00C163AE" w:rsidRDefault="00C163AE" w:rsidP="00C163AE">
      <w:pPr>
        <w:ind w:firstLine="567"/>
        <w:jc w:val="both"/>
        <w:rPr>
          <w:rFonts w:eastAsia="Calibri"/>
          <w:sz w:val="24"/>
          <w:szCs w:val="24"/>
          <w:lang w:val="lt-LT"/>
        </w:rPr>
      </w:pPr>
      <w:r w:rsidRPr="000F6AEA">
        <w:rPr>
          <w:rFonts w:eastAsia="Calibri"/>
          <w:sz w:val="24"/>
          <w:szCs w:val="24"/>
          <w:lang w:val="lt-LT"/>
        </w:rPr>
        <w:t xml:space="preserve">Šiuo reglamentu užtikrinamas laisvas elektroninių ryšių duomenų ir elektroninių ryšių paslaugų judėjimas Sąjungoje, kuris negali būti nei ribojamas, nei draudžiamas dėl priežasčių, susijusių su fizinių ir juridinių asmenų teise į privatų gyvenimą ir komunikacijos slaptumą ir su fizinių asmenų apsauga tvarkant asmens duomenis. </w:t>
      </w:r>
    </w:p>
    <w:p w:rsidR="00C163AE" w:rsidRDefault="00C163AE" w:rsidP="00C163AE">
      <w:pPr>
        <w:ind w:firstLine="567"/>
        <w:jc w:val="both"/>
        <w:rPr>
          <w:rFonts w:eastAsia="Calibri"/>
          <w:sz w:val="24"/>
          <w:szCs w:val="24"/>
          <w:lang w:val="lt-LT"/>
        </w:rPr>
      </w:pPr>
      <w:r w:rsidRPr="000F6AEA">
        <w:rPr>
          <w:rFonts w:eastAsia="Calibri"/>
          <w:sz w:val="24"/>
          <w:szCs w:val="24"/>
          <w:lang w:val="lt-LT"/>
        </w:rPr>
        <w:t xml:space="preserve"> Šiame Komisijos pasiūlyme konkrečiai numatyta: </w:t>
      </w:r>
    </w:p>
    <w:p w:rsidR="00C163AE" w:rsidRDefault="00C163AE" w:rsidP="00C163AE">
      <w:pPr>
        <w:ind w:firstLine="567"/>
        <w:jc w:val="both"/>
        <w:rPr>
          <w:rFonts w:eastAsia="Calibri"/>
          <w:sz w:val="24"/>
          <w:szCs w:val="24"/>
          <w:lang w:val="lt-LT"/>
        </w:rPr>
      </w:pPr>
      <w:r w:rsidRPr="000F6AEA">
        <w:rPr>
          <w:rFonts w:eastAsia="Calibri"/>
          <w:sz w:val="24"/>
          <w:szCs w:val="24"/>
          <w:lang w:val="lt-LT"/>
        </w:rPr>
        <w:t xml:space="preserve">– vartoti technologiškai neutralias apibrėžtis, kurios galėtų būti pritaikomos ir naujoms paslaugoms bei technologijoms; tai padėtų užtikrinti, kad reglamentas išliktų veiksmingas ir ateityje; </w:t>
      </w:r>
      <w:r w:rsidRPr="000F6AEA">
        <w:rPr>
          <w:rFonts w:eastAsia="Calibri"/>
          <w:sz w:val="24"/>
          <w:szCs w:val="24"/>
          <w:lang w:val="lt-LT"/>
        </w:rPr>
        <w:br/>
        <w:t xml:space="preserve">– aiškiau nustatyti taikymo sritį, kad būtų galima pašalinti arba sumažinti skirtingo nuostatų taikymo valstybėse narėse pavojų; </w:t>
      </w:r>
    </w:p>
    <w:p w:rsidR="00C163AE" w:rsidRDefault="00C163AE" w:rsidP="00C163AE">
      <w:pPr>
        <w:ind w:firstLine="567"/>
        <w:jc w:val="both"/>
        <w:rPr>
          <w:rFonts w:eastAsia="Calibri"/>
          <w:sz w:val="24"/>
          <w:szCs w:val="24"/>
          <w:lang w:val="lt-LT"/>
        </w:rPr>
      </w:pPr>
      <w:r w:rsidRPr="000F6AEA">
        <w:rPr>
          <w:rFonts w:eastAsia="Calibri"/>
          <w:sz w:val="24"/>
          <w:szCs w:val="24"/>
          <w:lang w:val="lt-LT"/>
        </w:rPr>
        <w:t xml:space="preserve">– išaiškinti ir supaprastinti sutikimo naudoti slapukus ir kitus identifikatorius taisyklę; </w:t>
      </w:r>
      <w:r w:rsidRPr="000F6AEA">
        <w:rPr>
          <w:rFonts w:eastAsia="Calibri"/>
          <w:sz w:val="24"/>
          <w:szCs w:val="24"/>
          <w:lang w:val="lt-LT"/>
        </w:rPr>
        <w:br/>
        <w:t xml:space="preserve">– suderinti priežiūros institucijų atliekamas funkcijas su institucijų, kurios kompetentingos užtikrinti Bendrojo duomenų apsaugos reglamento įgyvendinimą, funkcijomis. </w:t>
      </w:r>
    </w:p>
    <w:p w:rsidR="00C163AE" w:rsidRDefault="00C163AE" w:rsidP="00C163AE">
      <w:pPr>
        <w:ind w:firstLine="567"/>
        <w:jc w:val="both"/>
        <w:rPr>
          <w:rFonts w:eastAsia="Calibri"/>
          <w:sz w:val="24"/>
          <w:szCs w:val="24"/>
          <w:lang w:val="lt-LT"/>
        </w:rPr>
      </w:pPr>
      <w:r w:rsidRPr="000F6AEA">
        <w:rPr>
          <w:rFonts w:eastAsia="Calibri"/>
          <w:sz w:val="24"/>
          <w:szCs w:val="24"/>
          <w:lang w:val="lt-LT"/>
        </w:rPr>
        <w:t xml:space="preserve">Pirmininkaujanti valstybė TTE tarybai teikia pažangos ataskaitą. </w:t>
      </w:r>
    </w:p>
    <w:p w:rsidR="00C163AE" w:rsidRDefault="00C163AE" w:rsidP="00580D27">
      <w:pPr>
        <w:ind w:firstLine="567"/>
        <w:jc w:val="both"/>
        <w:rPr>
          <w:rFonts w:eastAsia="Calibri"/>
          <w:i/>
          <w:iCs/>
          <w:sz w:val="24"/>
          <w:szCs w:val="24"/>
          <w:lang w:val="lt-LT"/>
        </w:rPr>
      </w:pPr>
      <w:r w:rsidRPr="000F6AEA">
        <w:rPr>
          <w:rFonts w:eastAsia="Calibri"/>
          <w:i/>
          <w:iCs/>
          <w:sz w:val="24"/>
          <w:szCs w:val="24"/>
          <w:lang w:val="lt-LT"/>
        </w:rPr>
        <w:t> </w:t>
      </w:r>
    </w:p>
    <w:p w:rsidR="00C163AE" w:rsidRDefault="00C163AE" w:rsidP="00C163AE">
      <w:pPr>
        <w:ind w:firstLine="567"/>
        <w:jc w:val="both"/>
        <w:rPr>
          <w:rFonts w:eastAsia="Calibri"/>
          <w:sz w:val="24"/>
          <w:szCs w:val="24"/>
          <w:lang w:val="lt-LT"/>
        </w:rPr>
      </w:pPr>
      <w:r w:rsidRPr="000F6AEA">
        <w:rPr>
          <w:rFonts w:eastAsia="Calibri"/>
          <w:i/>
          <w:iCs/>
          <w:sz w:val="24"/>
          <w:szCs w:val="24"/>
          <w:lang w:val="lt-LT"/>
        </w:rPr>
        <w:t>Lietuvos pozicija</w:t>
      </w:r>
      <w:r w:rsidRPr="000F6AEA">
        <w:rPr>
          <w:rFonts w:eastAsia="Calibri"/>
          <w:sz w:val="24"/>
          <w:szCs w:val="24"/>
          <w:lang w:val="lt-LT"/>
        </w:rPr>
        <w:t xml:space="preserve"> </w:t>
      </w:r>
    </w:p>
    <w:p w:rsidR="00C163AE" w:rsidRPr="000F6AEA" w:rsidRDefault="00C163AE" w:rsidP="00580D27">
      <w:pPr>
        <w:ind w:firstLine="567"/>
        <w:jc w:val="both"/>
        <w:rPr>
          <w:rFonts w:eastAsia="Calibri"/>
          <w:sz w:val="24"/>
          <w:szCs w:val="24"/>
          <w:lang w:val="lt-LT"/>
        </w:rPr>
      </w:pPr>
      <w:r w:rsidRPr="000F6AEA">
        <w:rPr>
          <w:rFonts w:eastAsia="Calibri"/>
          <w:sz w:val="24"/>
          <w:szCs w:val="24"/>
          <w:lang w:val="lt-LT"/>
        </w:rPr>
        <w:t>Lietuva pritaria pažangos ataskaitai. Visgi, kaip ir dauguma VN, Lietuva pasisako už kokybišką šio reglamento tekstą ir mano, kad reikia daugiau laiko svarstant projekto nuostat</w:t>
      </w:r>
      <w:r>
        <w:rPr>
          <w:rFonts w:eastAsia="Calibri"/>
          <w:sz w:val="24"/>
          <w:szCs w:val="24"/>
          <w:lang w:val="lt-LT"/>
        </w:rPr>
        <w:t>as</w:t>
      </w:r>
      <w:r w:rsidRPr="000F6AEA">
        <w:rPr>
          <w:rFonts w:eastAsia="Calibri"/>
          <w:sz w:val="24"/>
          <w:szCs w:val="24"/>
          <w:lang w:val="lt-LT"/>
        </w:rPr>
        <w:t xml:space="preserve">, ypač, duomenų saugojimo, konfidencialumo, leistino slapukų naudojimo srityse. </w:t>
      </w:r>
    </w:p>
    <w:p w:rsidR="00117C80" w:rsidRPr="00BE4665" w:rsidRDefault="00117C80" w:rsidP="003F4CB7">
      <w:pPr>
        <w:pStyle w:val="PointManual"/>
        <w:spacing w:before="360"/>
        <w:ind w:left="0" w:firstLine="0"/>
        <w:jc w:val="center"/>
        <w:rPr>
          <w:b/>
          <w:szCs w:val="24"/>
        </w:rPr>
      </w:pPr>
    </w:p>
    <w:sectPr w:rsidR="00117C80" w:rsidRPr="00BE4665" w:rsidSect="00710BA2">
      <w:headerReference w:type="default" r:id="rId8"/>
      <w:footerReference w:type="default" r:id="rId9"/>
      <w:pgSz w:w="11906" w:h="16838"/>
      <w:pgMar w:top="993" w:right="849" w:bottom="993"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926" w:rsidRDefault="00862926" w:rsidP="001C3D19">
      <w:r>
        <w:separator/>
      </w:r>
    </w:p>
  </w:endnote>
  <w:endnote w:type="continuationSeparator" w:id="0">
    <w:p w:rsidR="00862926" w:rsidRDefault="00862926" w:rsidP="001C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601" w:rsidRDefault="00064601">
    <w:pPr>
      <w:pStyle w:val="Porat"/>
      <w:jc w:val="right"/>
    </w:pPr>
  </w:p>
  <w:p w:rsidR="00064601" w:rsidRDefault="000646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926" w:rsidRDefault="00862926" w:rsidP="001C3D19">
      <w:r>
        <w:separator/>
      </w:r>
    </w:p>
  </w:footnote>
  <w:footnote w:type="continuationSeparator" w:id="0">
    <w:p w:rsidR="00862926" w:rsidRDefault="00862926" w:rsidP="001C3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635025"/>
      <w:docPartObj>
        <w:docPartGallery w:val="Page Numbers (Top of Page)"/>
        <w:docPartUnique/>
      </w:docPartObj>
    </w:sdtPr>
    <w:sdtEndPr/>
    <w:sdtContent>
      <w:p w:rsidR="00064601" w:rsidRDefault="00064601">
        <w:pPr>
          <w:pStyle w:val="Antrats"/>
          <w:jc w:val="center"/>
        </w:pPr>
        <w:r>
          <w:fldChar w:fldCharType="begin"/>
        </w:r>
        <w:r>
          <w:instrText>PAGE   \* MERGEFORMAT</w:instrText>
        </w:r>
        <w:r>
          <w:fldChar w:fldCharType="separate"/>
        </w:r>
        <w:r w:rsidR="000739AC" w:rsidRPr="000739AC">
          <w:rPr>
            <w:noProof/>
            <w:lang w:val="lt-LT"/>
          </w:rPr>
          <w:t>10</w:t>
        </w:r>
        <w:r>
          <w:fldChar w:fldCharType="end"/>
        </w:r>
      </w:p>
    </w:sdtContent>
  </w:sdt>
  <w:p w:rsidR="00064601" w:rsidRDefault="000646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2F92"/>
    <w:multiLevelType w:val="hybridMultilevel"/>
    <w:tmpl w:val="3F947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rPr>
        <w:bdr w:val="none" w:sz="0" w:space="0" w:color="auto"/>
      </w:rPr>
    </w:lvl>
    <w:lvl w:ilvl="1">
      <w:start w:val="1"/>
      <w:numFmt w:val="lowerLetter"/>
      <w:pStyle w:val="Pointabc"/>
      <w:lvlText w:val="%2)"/>
      <w:lvlJc w:val="left"/>
      <w:pPr>
        <w:tabs>
          <w:tab w:val="num" w:pos="567"/>
        </w:tabs>
        <w:ind w:left="567" w:hanging="567"/>
      </w:pPr>
      <w:rPr>
        <w:bdr w:val="none" w:sz="0" w:space="0" w:color="auto"/>
      </w:rPr>
    </w:lvl>
    <w:lvl w:ilvl="2">
      <w:start w:val="1"/>
      <w:numFmt w:val="decimal"/>
      <w:pStyle w:val="Point1231"/>
      <w:lvlText w:val="%3."/>
      <w:lvlJc w:val="left"/>
      <w:pPr>
        <w:tabs>
          <w:tab w:val="num" w:pos="1134"/>
        </w:tabs>
        <w:ind w:left="1134" w:hanging="567"/>
      </w:pPr>
      <w:rPr>
        <w:bdr w:val="none" w:sz="0" w:space="0" w:color="auto"/>
      </w:rPr>
    </w:lvl>
    <w:lvl w:ilvl="3">
      <w:start w:val="1"/>
      <w:numFmt w:val="lowerLetter"/>
      <w:pStyle w:val="Pointabc1"/>
      <w:lvlText w:val="%4)"/>
      <w:lvlJc w:val="left"/>
      <w:pPr>
        <w:tabs>
          <w:tab w:val="num" w:pos="1134"/>
        </w:tabs>
        <w:ind w:left="1134" w:hanging="567"/>
      </w:pPr>
      <w:rPr>
        <w:bdr w:val="none" w:sz="0" w:space="0" w:color="auto"/>
      </w:rPr>
    </w:lvl>
    <w:lvl w:ilvl="4">
      <w:start w:val="1"/>
      <w:numFmt w:val="decimal"/>
      <w:pStyle w:val="Point1232"/>
      <w:lvlText w:val="%5."/>
      <w:lvlJc w:val="left"/>
      <w:pPr>
        <w:tabs>
          <w:tab w:val="num" w:pos="1701"/>
        </w:tabs>
        <w:ind w:left="1701" w:hanging="567"/>
      </w:pPr>
      <w:rPr>
        <w:bdr w:val="none" w:sz="0" w:space="0" w:color="auto"/>
      </w:rPr>
    </w:lvl>
    <w:lvl w:ilvl="5">
      <w:start w:val="1"/>
      <w:numFmt w:val="lowerLetter"/>
      <w:pStyle w:val="Pointabc2"/>
      <w:lvlText w:val="%6)"/>
      <w:lvlJc w:val="left"/>
      <w:pPr>
        <w:tabs>
          <w:tab w:val="num" w:pos="1701"/>
        </w:tabs>
        <w:ind w:left="1701" w:hanging="567"/>
      </w:pPr>
      <w:rPr>
        <w:bdr w:val="none" w:sz="0" w:space="0" w:color="auto"/>
      </w:rPr>
    </w:lvl>
    <w:lvl w:ilvl="6">
      <w:start w:val="1"/>
      <w:numFmt w:val="decimal"/>
      <w:pStyle w:val="Point1233"/>
      <w:lvlText w:val="%7."/>
      <w:lvlJc w:val="left"/>
      <w:pPr>
        <w:tabs>
          <w:tab w:val="num" w:pos="2268"/>
        </w:tabs>
        <w:ind w:left="2268" w:hanging="567"/>
      </w:pPr>
      <w:rPr>
        <w:bdr w:val="none" w:sz="0" w:space="0" w:color="auto"/>
      </w:rPr>
    </w:lvl>
    <w:lvl w:ilvl="7">
      <w:start w:val="1"/>
      <w:numFmt w:val="lowerLetter"/>
      <w:pStyle w:val="Pointabc3"/>
      <w:lvlText w:val="%8)"/>
      <w:lvlJc w:val="left"/>
      <w:pPr>
        <w:tabs>
          <w:tab w:val="num" w:pos="2268"/>
        </w:tabs>
        <w:ind w:left="2268" w:hanging="567"/>
      </w:pPr>
      <w:rPr>
        <w:bdr w:val="none" w:sz="0" w:space="0" w:color="auto"/>
      </w:rPr>
    </w:lvl>
    <w:lvl w:ilvl="8">
      <w:start w:val="1"/>
      <w:numFmt w:val="lowerLetter"/>
      <w:pStyle w:val="Pointabc4"/>
      <w:lvlText w:val="%9)"/>
      <w:lvlJc w:val="left"/>
      <w:pPr>
        <w:tabs>
          <w:tab w:val="num" w:pos="2835"/>
        </w:tabs>
        <w:ind w:left="2835" w:hanging="567"/>
      </w:pPr>
      <w:rPr>
        <w:bdr w:val="none" w:sz="0" w:space="0" w:color="auto"/>
      </w:rPr>
    </w:lvl>
  </w:abstractNum>
  <w:abstractNum w:abstractNumId="2"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rPr>
        <w:bdr w:val="none" w:sz="0" w:space="0" w:color="auto"/>
      </w:rPr>
    </w:lvl>
  </w:abstractNum>
  <w:abstractNum w:abstractNumId="3" w15:restartNumberingAfterBreak="0">
    <w:nsid w:val="06DD782F"/>
    <w:multiLevelType w:val="hybridMultilevel"/>
    <w:tmpl w:val="CAD4A06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0C63583E"/>
    <w:multiLevelType w:val="hybridMultilevel"/>
    <w:tmpl w:val="2F181AE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1C5D6A"/>
    <w:multiLevelType w:val="hybridMultilevel"/>
    <w:tmpl w:val="76867A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0920D0"/>
    <w:multiLevelType w:val="hybridMultilevel"/>
    <w:tmpl w:val="89922976"/>
    <w:lvl w:ilvl="0" w:tplc="04270003">
      <w:start w:val="1"/>
      <w:numFmt w:val="bullet"/>
      <w:lvlText w:val="o"/>
      <w:lvlJc w:val="left"/>
      <w:pPr>
        <w:ind w:left="1457" w:hanging="360"/>
      </w:pPr>
      <w:rPr>
        <w:rFonts w:ascii="Courier New" w:hAnsi="Courier New" w:cs="Courier New" w:hint="default"/>
      </w:rPr>
    </w:lvl>
    <w:lvl w:ilvl="1" w:tplc="09CADD5C">
      <w:start w:val="13"/>
      <w:numFmt w:val="bullet"/>
      <w:lvlText w:val="–"/>
      <w:lvlJc w:val="left"/>
      <w:pPr>
        <w:ind w:left="2177" w:hanging="360"/>
      </w:pPr>
      <w:rPr>
        <w:rFonts w:ascii="Times New Roman" w:eastAsia="Times New Roman" w:hAnsi="Times New Roman" w:cs="Times New Roman"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7" w15:restartNumberingAfterBreak="0">
    <w:nsid w:val="16B545EF"/>
    <w:multiLevelType w:val="hybridMultilevel"/>
    <w:tmpl w:val="6502757A"/>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7E90B48"/>
    <w:multiLevelType w:val="hybridMultilevel"/>
    <w:tmpl w:val="9B86DC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1567F0"/>
    <w:multiLevelType w:val="hybridMultilevel"/>
    <w:tmpl w:val="1DDCEA5C"/>
    <w:lvl w:ilvl="0" w:tplc="DEF8673E">
      <w:start w:val="1"/>
      <w:numFmt w:val="lowerLetter"/>
      <w:lvlText w:val="%1)"/>
      <w:lvlJc w:val="left"/>
      <w:pPr>
        <w:ind w:left="2207" w:hanging="147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0" w15:restartNumberingAfterBreak="0">
    <w:nsid w:val="21C77722"/>
    <w:multiLevelType w:val="hybridMultilevel"/>
    <w:tmpl w:val="4B661B76"/>
    <w:lvl w:ilvl="0" w:tplc="9D1CE9A0">
      <w:start w:val="2017"/>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611434"/>
    <w:multiLevelType w:val="hybridMultilevel"/>
    <w:tmpl w:val="7B304630"/>
    <w:lvl w:ilvl="0" w:tplc="EA64B1E0">
      <w:start w:val="2"/>
      <w:numFmt w:val="bullet"/>
      <w:lvlText w:val="-"/>
      <w:lvlJc w:val="left"/>
      <w:pPr>
        <w:ind w:left="720" w:hanging="360"/>
      </w:pPr>
      <w:rPr>
        <w:rFonts w:ascii="Times New Roman" w:eastAsia="Times New Roman" w:hAnsi="Times New Roman"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606B6B"/>
    <w:multiLevelType w:val="hybridMultilevel"/>
    <w:tmpl w:val="40E01F12"/>
    <w:lvl w:ilvl="0" w:tplc="5B3C92F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D92105"/>
    <w:multiLevelType w:val="hybridMultilevel"/>
    <w:tmpl w:val="F7FE6B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2864BB"/>
    <w:multiLevelType w:val="hybridMultilevel"/>
    <w:tmpl w:val="57C8F77E"/>
    <w:lvl w:ilvl="0" w:tplc="9D1CE9A0">
      <w:start w:val="2017"/>
      <w:numFmt w:val="bullet"/>
      <w:lvlText w:val="-"/>
      <w:lvlJc w:val="left"/>
      <w:pPr>
        <w:ind w:left="1664" w:hanging="360"/>
      </w:pPr>
      <w:rPr>
        <w:rFonts w:ascii="Times New Roman" w:eastAsia="Calibri" w:hAnsi="Times New Roman" w:cs="Times New Roman"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5" w15:restartNumberingAfterBreak="0">
    <w:nsid w:val="340D13A4"/>
    <w:multiLevelType w:val="hybridMultilevel"/>
    <w:tmpl w:val="7480B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93640"/>
    <w:multiLevelType w:val="hybridMultilevel"/>
    <w:tmpl w:val="C43235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38472A"/>
    <w:multiLevelType w:val="hybridMultilevel"/>
    <w:tmpl w:val="0F0A49AA"/>
    <w:lvl w:ilvl="0" w:tplc="88300278">
      <w:start w:val="2"/>
      <w:numFmt w:val="decimal"/>
      <w:lvlText w:val="%1)"/>
      <w:lvlJc w:val="left"/>
      <w:pPr>
        <w:tabs>
          <w:tab w:val="num" w:pos="361"/>
        </w:tabs>
        <w:ind w:left="361" w:hanging="360"/>
      </w:pPr>
      <w:rPr>
        <w:rFonts w:hint="default"/>
      </w:rPr>
    </w:lvl>
    <w:lvl w:ilvl="1" w:tplc="04090019" w:tentative="1">
      <w:start w:val="1"/>
      <w:numFmt w:val="lowerLetter"/>
      <w:lvlText w:val="%2."/>
      <w:lvlJc w:val="left"/>
      <w:pPr>
        <w:tabs>
          <w:tab w:val="num" w:pos="1081"/>
        </w:tabs>
        <w:ind w:left="1081" w:hanging="360"/>
      </w:pPr>
    </w:lvl>
    <w:lvl w:ilvl="2" w:tplc="0409001B" w:tentative="1">
      <w:start w:val="1"/>
      <w:numFmt w:val="lowerRoman"/>
      <w:lvlText w:val="%3."/>
      <w:lvlJc w:val="right"/>
      <w:pPr>
        <w:tabs>
          <w:tab w:val="num" w:pos="1801"/>
        </w:tabs>
        <w:ind w:left="1801" w:hanging="180"/>
      </w:pPr>
    </w:lvl>
    <w:lvl w:ilvl="3" w:tplc="0409000F" w:tentative="1">
      <w:start w:val="1"/>
      <w:numFmt w:val="decimal"/>
      <w:lvlText w:val="%4."/>
      <w:lvlJc w:val="left"/>
      <w:pPr>
        <w:tabs>
          <w:tab w:val="num" w:pos="2521"/>
        </w:tabs>
        <w:ind w:left="2521" w:hanging="360"/>
      </w:pPr>
    </w:lvl>
    <w:lvl w:ilvl="4" w:tplc="04090019" w:tentative="1">
      <w:start w:val="1"/>
      <w:numFmt w:val="lowerLetter"/>
      <w:lvlText w:val="%5."/>
      <w:lvlJc w:val="left"/>
      <w:pPr>
        <w:tabs>
          <w:tab w:val="num" w:pos="3241"/>
        </w:tabs>
        <w:ind w:left="3241" w:hanging="360"/>
      </w:pPr>
    </w:lvl>
    <w:lvl w:ilvl="5" w:tplc="0409001B" w:tentative="1">
      <w:start w:val="1"/>
      <w:numFmt w:val="lowerRoman"/>
      <w:lvlText w:val="%6."/>
      <w:lvlJc w:val="right"/>
      <w:pPr>
        <w:tabs>
          <w:tab w:val="num" w:pos="3961"/>
        </w:tabs>
        <w:ind w:left="3961" w:hanging="180"/>
      </w:pPr>
    </w:lvl>
    <w:lvl w:ilvl="6" w:tplc="0409000F" w:tentative="1">
      <w:start w:val="1"/>
      <w:numFmt w:val="decimal"/>
      <w:lvlText w:val="%7."/>
      <w:lvlJc w:val="left"/>
      <w:pPr>
        <w:tabs>
          <w:tab w:val="num" w:pos="4681"/>
        </w:tabs>
        <w:ind w:left="4681" w:hanging="360"/>
      </w:pPr>
    </w:lvl>
    <w:lvl w:ilvl="7" w:tplc="04090019" w:tentative="1">
      <w:start w:val="1"/>
      <w:numFmt w:val="lowerLetter"/>
      <w:lvlText w:val="%8."/>
      <w:lvlJc w:val="left"/>
      <w:pPr>
        <w:tabs>
          <w:tab w:val="num" w:pos="5401"/>
        </w:tabs>
        <w:ind w:left="5401" w:hanging="360"/>
      </w:pPr>
    </w:lvl>
    <w:lvl w:ilvl="8" w:tplc="0409001B" w:tentative="1">
      <w:start w:val="1"/>
      <w:numFmt w:val="lowerRoman"/>
      <w:lvlText w:val="%9."/>
      <w:lvlJc w:val="right"/>
      <w:pPr>
        <w:tabs>
          <w:tab w:val="num" w:pos="6121"/>
        </w:tabs>
        <w:ind w:left="6121" w:hanging="180"/>
      </w:pPr>
    </w:lvl>
  </w:abstractNum>
  <w:abstractNum w:abstractNumId="18" w15:restartNumberingAfterBreak="0">
    <w:nsid w:val="39FB0D72"/>
    <w:multiLevelType w:val="hybridMultilevel"/>
    <w:tmpl w:val="E98E8478"/>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A755186"/>
    <w:multiLevelType w:val="hybridMultilevel"/>
    <w:tmpl w:val="A906CC34"/>
    <w:lvl w:ilvl="0" w:tplc="57FCCC0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C07079B"/>
    <w:multiLevelType w:val="hybridMultilevel"/>
    <w:tmpl w:val="433013B8"/>
    <w:lvl w:ilvl="0" w:tplc="CD82983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CD61F5A"/>
    <w:multiLevelType w:val="hybridMultilevel"/>
    <w:tmpl w:val="DD4A02C0"/>
    <w:lvl w:ilvl="0" w:tplc="57FCCC0E">
      <w:start w:val="1"/>
      <w:numFmt w:val="bullet"/>
      <w:lvlText w:val=""/>
      <w:lvlJc w:val="left"/>
      <w:pPr>
        <w:ind w:left="720" w:hanging="360"/>
      </w:pPr>
      <w:rPr>
        <w:rFonts w:ascii="Symbol" w:hAnsi="Symbol" w:hint="default"/>
      </w:rPr>
    </w:lvl>
    <w:lvl w:ilvl="1" w:tplc="2373F7FB">
      <w:start w:val="1"/>
      <w:numFmt w:val="bullet"/>
      <w:lvlText w:val="o"/>
      <w:lvlJc w:val="left"/>
      <w:pPr>
        <w:ind w:left="1440" w:hanging="360"/>
      </w:pPr>
      <w:rPr>
        <w:rFonts w:ascii="Symbol" w:hAnsi="Symbol"/>
      </w:rPr>
    </w:lvl>
    <w:lvl w:ilvl="2" w:tplc="7D1043E6">
      <w:start w:val="1"/>
      <w:numFmt w:val="bullet"/>
      <w:lvlText w:val="·"/>
      <w:lvlJc w:val="left"/>
      <w:pPr>
        <w:ind w:left="2160" w:hanging="360"/>
      </w:pPr>
      <w:rPr>
        <w:rFonts w:ascii="Symbol" w:hAnsi="Symbol"/>
      </w:rPr>
    </w:lvl>
    <w:lvl w:ilvl="3" w:tplc="15940EE9">
      <w:start w:val="1"/>
      <w:numFmt w:val="bullet"/>
      <w:lvlText w:val="o"/>
      <w:lvlJc w:val="left"/>
      <w:pPr>
        <w:ind w:left="2880" w:hanging="360"/>
      </w:pPr>
      <w:rPr>
        <w:rFonts w:ascii="Symbol" w:hAnsi="Symbol"/>
      </w:rPr>
    </w:lvl>
    <w:lvl w:ilvl="4" w:tplc="201F78B1">
      <w:start w:val="1"/>
      <w:numFmt w:val="bullet"/>
      <w:lvlText w:val="·"/>
      <w:lvlJc w:val="left"/>
      <w:pPr>
        <w:ind w:left="3600" w:hanging="360"/>
      </w:pPr>
      <w:rPr>
        <w:rFonts w:ascii="Symbol" w:hAnsi="Symbol"/>
      </w:rPr>
    </w:lvl>
    <w:lvl w:ilvl="5" w:tplc="61DBCAB1">
      <w:start w:val="1"/>
      <w:numFmt w:val="bullet"/>
      <w:lvlText w:val="o"/>
      <w:lvlJc w:val="left"/>
      <w:pPr>
        <w:ind w:left="4320" w:hanging="360"/>
      </w:pPr>
      <w:rPr>
        <w:rFonts w:ascii="Symbol" w:hAnsi="Symbol"/>
      </w:rPr>
    </w:lvl>
    <w:lvl w:ilvl="6" w:tplc="33FB5366">
      <w:start w:val="1"/>
      <w:numFmt w:val="bullet"/>
      <w:lvlText w:val="·"/>
      <w:lvlJc w:val="left"/>
      <w:pPr>
        <w:ind w:left="5040" w:hanging="360"/>
      </w:pPr>
      <w:rPr>
        <w:rFonts w:ascii="Symbol" w:hAnsi="Symbol"/>
      </w:rPr>
    </w:lvl>
    <w:lvl w:ilvl="7" w:tplc="43CF1BCC">
      <w:start w:val="1"/>
      <w:numFmt w:val="bullet"/>
      <w:lvlText w:val="o"/>
      <w:lvlJc w:val="left"/>
      <w:pPr>
        <w:ind w:left="5760" w:hanging="360"/>
      </w:pPr>
      <w:rPr>
        <w:rFonts w:ascii="Symbol" w:hAnsi="Symbol"/>
      </w:rPr>
    </w:lvl>
    <w:lvl w:ilvl="8" w:tplc="14A97689">
      <w:start w:val="1"/>
      <w:numFmt w:val="bullet"/>
      <w:lvlText w:val="·"/>
      <w:lvlJc w:val="left"/>
      <w:pPr>
        <w:ind w:left="6480" w:hanging="360"/>
      </w:pPr>
      <w:rPr>
        <w:rFonts w:ascii="Symbol" w:hAnsi="Symbol"/>
      </w:rPr>
    </w:lvl>
  </w:abstractNum>
  <w:abstractNum w:abstractNumId="22" w15:restartNumberingAfterBreak="0">
    <w:nsid w:val="405821B3"/>
    <w:multiLevelType w:val="hybridMultilevel"/>
    <w:tmpl w:val="268627CE"/>
    <w:lvl w:ilvl="0" w:tplc="2BF2567C">
      <w:start w:val="4"/>
      <w:numFmt w:val="bullet"/>
      <w:lvlText w:val="-"/>
      <w:lvlJc w:val="left"/>
      <w:pPr>
        <w:ind w:left="1097" w:hanging="360"/>
      </w:pPr>
      <w:rPr>
        <w:rFonts w:ascii="Times New Roman" w:eastAsia="Times New Roman" w:hAnsi="Times New Roman" w:cs="Times New Roman" w:hint="default"/>
      </w:rPr>
    </w:lvl>
    <w:lvl w:ilvl="1" w:tplc="04270003" w:tentative="1">
      <w:start w:val="1"/>
      <w:numFmt w:val="bullet"/>
      <w:lvlText w:val="o"/>
      <w:lvlJc w:val="left"/>
      <w:pPr>
        <w:ind w:left="1817" w:hanging="360"/>
      </w:pPr>
      <w:rPr>
        <w:rFonts w:ascii="Courier New" w:hAnsi="Courier New" w:cs="Courier New" w:hint="default"/>
      </w:rPr>
    </w:lvl>
    <w:lvl w:ilvl="2" w:tplc="04270005" w:tentative="1">
      <w:start w:val="1"/>
      <w:numFmt w:val="bullet"/>
      <w:lvlText w:val=""/>
      <w:lvlJc w:val="left"/>
      <w:pPr>
        <w:ind w:left="2537" w:hanging="360"/>
      </w:pPr>
      <w:rPr>
        <w:rFonts w:ascii="Wingdings" w:hAnsi="Wingdings" w:hint="default"/>
      </w:rPr>
    </w:lvl>
    <w:lvl w:ilvl="3" w:tplc="04270001" w:tentative="1">
      <w:start w:val="1"/>
      <w:numFmt w:val="bullet"/>
      <w:lvlText w:val=""/>
      <w:lvlJc w:val="left"/>
      <w:pPr>
        <w:ind w:left="3257" w:hanging="360"/>
      </w:pPr>
      <w:rPr>
        <w:rFonts w:ascii="Symbol" w:hAnsi="Symbol" w:hint="default"/>
      </w:rPr>
    </w:lvl>
    <w:lvl w:ilvl="4" w:tplc="04270003" w:tentative="1">
      <w:start w:val="1"/>
      <w:numFmt w:val="bullet"/>
      <w:lvlText w:val="o"/>
      <w:lvlJc w:val="left"/>
      <w:pPr>
        <w:ind w:left="3977" w:hanging="360"/>
      </w:pPr>
      <w:rPr>
        <w:rFonts w:ascii="Courier New" w:hAnsi="Courier New" w:cs="Courier New" w:hint="default"/>
      </w:rPr>
    </w:lvl>
    <w:lvl w:ilvl="5" w:tplc="04270005" w:tentative="1">
      <w:start w:val="1"/>
      <w:numFmt w:val="bullet"/>
      <w:lvlText w:val=""/>
      <w:lvlJc w:val="left"/>
      <w:pPr>
        <w:ind w:left="4697" w:hanging="360"/>
      </w:pPr>
      <w:rPr>
        <w:rFonts w:ascii="Wingdings" w:hAnsi="Wingdings" w:hint="default"/>
      </w:rPr>
    </w:lvl>
    <w:lvl w:ilvl="6" w:tplc="04270001" w:tentative="1">
      <w:start w:val="1"/>
      <w:numFmt w:val="bullet"/>
      <w:lvlText w:val=""/>
      <w:lvlJc w:val="left"/>
      <w:pPr>
        <w:ind w:left="5417" w:hanging="360"/>
      </w:pPr>
      <w:rPr>
        <w:rFonts w:ascii="Symbol" w:hAnsi="Symbol" w:hint="default"/>
      </w:rPr>
    </w:lvl>
    <w:lvl w:ilvl="7" w:tplc="04270003" w:tentative="1">
      <w:start w:val="1"/>
      <w:numFmt w:val="bullet"/>
      <w:lvlText w:val="o"/>
      <w:lvlJc w:val="left"/>
      <w:pPr>
        <w:ind w:left="6137" w:hanging="360"/>
      </w:pPr>
      <w:rPr>
        <w:rFonts w:ascii="Courier New" w:hAnsi="Courier New" w:cs="Courier New" w:hint="default"/>
      </w:rPr>
    </w:lvl>
    <w:lvl w:ilvl="8" w:tplc="04270005" w:tentative="1">
      <w:start w:val="1"/>
      <w:numFmt w:val="bullet"/>
      <w:lvlText w:val=""/>
      <w:lvlJc w:val="left"/>
      <w:pPr>
        <w:ind w:left="6857" w:hanging="360"/>
      </w:pPr>
      <w:rPr>
        <w:rFonts w:ascii="Wingdings" w:hAnsi="Wingdings" w:hint="default"/>
      </w:rPr>
    </w:lvl>
  </w:abstractNum>
  <w:abstractNum w:abstractNumId="23" w15:restartNumberingAfterBreak="0">
    <w:nsid w:val="43207755"/>
    <w:multiLevelType w:val="hybridMultilevel"/>
    <w:tmpl w:val="97AC16A0"/>
    <w:lvl w:ilvl="0" w:tplc="E71E2756">
      <w:start w:val="201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FA0209"/>
    <w:multiLevelType w:val="multilevel"/>
    <w:tmpl w:val="FF6466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9712EF0"/>
    <w:multiLevelType w:val="hybridMultilevel"/>
    <w:tmpl w:val="CD98B988"/>
    <w:lvl w:ilvl="0" w:tplc="27CC1126">
      <w:start w:val="13"/>
      <w:numFmt w:val="bullet"/>
      <w:lvlText w:val="·"/>
      <w:lvlJc w:val="left"/>
      <w:pPr>
        <w:ind w:left="1410" w:hanging="1410"/>
      </w:pPr>
      <w:rPr>
        <w:rFonts w:ascii="Times New Roman" w:eastAsia="Times New Roman" w:hAnsi="Times New Roman" w:cs="Times New Roman" w:hint="default"/>
      </w:rPr>
    </w:lvl>
    <w:lvl w:ilvl="1" w:tplc="04270003" w:tentative="1">
      <w:start w:val="1"/>
      <w:numFmt w:val="bullet"/>
      <w:lvlText w:val="o"/>
      <w:lvlJc w:val="left"/>
      <w:pPr>
        <w:ind w:left="703" w:hanging="360"/>
      </w:pPr>
      <w:rPr>
        <w:rFonts w:ascii="Courier New" w:hAnsi="Courier New" w:cs="Courier New" w:hint="default"/>
      </w:rPr>
    </w:lvl>
    <w:lvl w:ilvl="2" w:tplc="04270005" w:tentative="1">
      <w:start w:val="1"/>
      <w:numFmt w:val="bullet"/>
      <w:lvlText w:val=""/>
      <w:lvlJc w:val="left"/>
      <w:pPr>
        <w:ind w:left="1423" w:hanging="360"/>
      </w:pPr>
      <w:rPr>
        <w:rFonts w:ascii="Wingdings" w:hAnsi="Wingdings" w:hint="default"/>
      </w:rPr>
    </w:lvl>
    <w:lvl w:ilvl="3" w:tplc="04270001" w:tentative="1">
      <w:start w:val="1"/>
      <w:numFmt w:val="bullet"/>
      <w:lvlText w:val=""/>
      <w:lvlJc w:val="left"/>
      <w:pPr>
        <w:ind w:left="2143" w:hanging="360"/>
      </w:pPr>
      <w:rPr>
        <w:rFonts w:ascii="Symbol" w:hAnsi="Symbol" w:hint="default"/>
      </w:rPr>
    </w:lvl>
    <w:lvl w:ilvl="4" w:tplc="04270003" w:tentative="1">
      <w:start w:val="1"/>
      <w:numFmt w:val="bullet"/>
      <w:lvlText w:val="o"/>
      <w:lvlJc w:val="left"/>
      <w:pPr>
        <w:ind w:left="2863" w:hanging="360"/>
      </w:pPr>
      <w:rPr>
        <w:rFonts w:ascii="Courier New" w:hAnsi="Courier New" w:cs="Courier New" w:hint="default"/>
      </w:rPr>
    </w:lvl>
    <w:lvl w:ilvl="5" w:tplc="04270005" w:tentative="1">
      <w:start w:val="1"/>
      <w:numFmt w:val="bullet"/>
      <w:lvlText w:val=""/>
      <w:lvlJc w:val="left"/>
      <w:pPr>
        <w:ind w:left="3583" w:hanging="360"/>
      </w:pPr>
      <w:rPr>
        <w:rFonts w:ascii="Wingdings" w:hAnsi="Wingdings" w:hint="default"/>
      </w:rPr>
    </w:lvl>
    <w:lvl w:ilvl="6" w:tplc="04270001" w:tentative="1">
      <w:start w:val="1"/>
      <w:numFmt w:val="bullet"/>
      <w:lvlText w:val=""/>
      <w:lvlJc w:val="left"/>
      <w:pPr>
        <w:ind w:left="4303" w:hanging="360"/>
      </w:pPr>
      <w:rPr>
        <w:rFonts w:ascii="Symbol" w:hAnsi="Symbol" w:hint="default"/>
      </w:rPr>
    </w:lvl>
    <w:lvl w:ilvl="7" w:tplc="04270003" w:tentative="1">
      <w:start w:val="1"/>
      <w:numFmt w:val="bullet"/>
      <w:lvlText w:val="o"/>
      <w:lvlJc w:val="left"/>
      <w:pPr>
        <w:ind w:left="5023" w:hanging="360"/>
      </w:pPr>
      <w:rPr>
        <w:rFonts w:ascii="Courier New" w:hAnsi="Courier New" w:cs="Courier New" w:hint="default"/>
      </w:rPr>
    </w:lvl>
    <w:lvl w:ilvl="8" w:tplc="04270005" w:tentative="1">
      <w:start w:val="1"/>
      <w:numFmt w:val="bullet"/>
      <w:lvlText w:val=""/>
      <w:lvlJc w:val="left"/>
      <w:pPr>
        <w:ind w:left="5743" w:hanging="360"/>
      </w:pPr>
      <w:rPr>
        <w:rFonts w:ascii="Wingdings" w:hAnsi="Wingdings" w:hint="default"/>
      </w:rPr>
    </w:lvl>
  </w:abstractNum>
  <w:abstractNum w:abstractNumId="26" w15:restartNumberingAfterBreak="0">
    <w:nsid w:val="49AA3698"/>
    <w:multiLevelType w:val="hybridMultilevel"/>
    <w:tmpl w:val="23ACE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C55B44"/>
    <w:multiLevelType w:val="hybridMultilevel"/>
    <w:tmpl w:val="1DF6AE06"/>
    <w:lvl w:ilvl="0" w:tplc="04270001">
      <w:start w:val="1"/>
      <w:numFmt w:val="bullet"/>
      <w:lvlText w:val=""/>
      <w:lvlJc w:val="left"/>
      <w:pPr>
        <w:ind w:left="1410" w:hanging="1410"/>
      </w:pPr>
      <w:rPr>
        <w:rFonts w:ascii="Symbol" w:hAnsi="Symbol" w:hint="default"/>
      </w:rPr>
    </w:lvl>
    <w:lvl w:ilvl="1" w:tplc="04270003" w:tentative="1">
      <w:start w:val="1"/>
      <w:numFmt w:val="bullet"/>
      <w:lvlText w:val="o"/>
      <w:lvlJc w:val="left"/>
      <w:pPr>
        <w:ind w:left="703" w:hanging="360"/>
      </w:pPr>
      <w:rPr>
        <w:rFonts w:ascii="Courier New" w:hAnsi="Courier New" w:cs="Courier New" w:hint="default"/>
      </w:rPr>
    </w:lvl>
    <w:lvl w:ilvl="2" w:tplc="04270005" w:tentative="1">
      <w:start w:val="1"/>
      <w:numFmt w:val="bullet"/>
      <w:lvlText w:val=""/>
      <w:lvlJc w:val="left"/>
      <w:pPr>
        <w:ind w:left="1423" w:hanging="360"/>
      </w:pPr>
      <w:rPr>
        <w:rFonts w:ascii="Wingdings" w:hAnsi="Wingdings" w:hint="default"/>
      </w:rPr>
    </w:lvl>
    <w:lvl w:ilvl="3" w:tplc="04270001" w:tentative="1">
      <w:start w:val="1"/>
      <w:numFmt w:val="bullet"/>
      <w:lvlText w:val=""/>
      <w:lvlJc w:val="left"/>
      <w:pPr>
        <w:ind w:left="2143" w:hanging="360"/>
      </w:pPr>
      <w:rPr>
        <w:rFonts w:ascii="Symbol" w:hAnsi="Symbol" w:hint="default"/>
      </w:rPr>
    </w:lvl>
    <w:lvl w:ilvl="4" w:tplc="04270003" w:tentative="1">
      <w:start w:val="1"/>
      <w:numFmt w:val="bullet"/>
      <w:lvlText w:val="o"/>
      <w:lvlJc w:val="left"/>
      <w:pPr>
        <w:ind w:left="2863" w:hanging="360"/>
      </w:pPr>
      <w:rPr>
        <w:rFonts w:ascii="Courier New" w:hAnsi="Courier New" w:cs="Courier New" w:hint="default"/>
      </w:rPr>
    </w:lvl>
    <w:lvl w:ilvl="5" w:tplc="04270005" w:tentative="1">
      <w:start w:val="1"/>
      <w:numFmt w:val="bullet"/>
      <w:lvlText w:val=""/>
      <w:lvlJc w:val="left"/>
      <w:pPr>
        <w:ind w:left="3583" w:hanging="360"/>
      </w:pPr>
      <w:rPr>
        <w:rFonts w:ascii="Wingdings" w:hAnsi="Wingdings" w:hint="default"/>
      </w:rPr>
    </w:lvl>
    <w:lvl w:ilvl="6" w:tplc="04270001" w:tentative="1">
      <w:start w:val="1"/>
      <w:numFmt w:val="bullet"/>
      <w:lvlText w:val=""/>
      <w:lvlJc w:val="left"/>
      <w:pPr>
        <w:ind w:left="4303" w:hanging="360"/>
      </w:pPr>
      <w:rPr>
        <w:rFonts w:ascii="Symbol" w:hAnsi="Symbol" w:hint="default"/>
      </w:rPr>
    </w:lvl>
    <w:lvl w:ilvl="7" w:tplc="04270003" w:tentative="1">
      <w:start w:val="1"/>
      <w:numFmt w:val="bullet"/>
      <w:lvlText w:val="o"/>
      <w:lvlJc w:val="left"/>
      <w:pPr>
        <w:ind w:left="5023" w:hanging="360"/>
      </w:pPr>
      <w:rPr>
        <w:rFonts w:ascii="Courier New" w:hAnsi="Courier New" w:cs="Courier New" w:hint="default"/>
      </w:rPr>
    </w:lvl>
    <w:lvl w:ilvl="8" w:tplc="04270005" w:tentative="1">
      <w:start w:val="1"/>
      <w:numFmt w:val="bullet"/>
      <w:lvlText w:val=""/>
      <w:lvlJc w:val="left"/>
      <w:pPr>
        <w:ind w:left="5743" w:hanging="360"/>
      </w:pPr>
      <w:rPr>
        <w:rFonts w:ascii="Wingdings" w:hAnsi="Wingdings" w:hint="default"/>
      </w:rPr>
    </w:lvl>
  </w:abstractNum>
  <w:abstractNum w:abstractNumId="28" w15:restartNumberingAfterBreak="0">
    <w:nsid w:val="4DC130A8"/>
    <w:multiLevelType w:val="hybridMultilevel"/>
    <w:tmpl w:val="7E2E21F4"/>
    <w:lvl w:ilvl="0" w:tplc="3148F982">
      <w:start w:val="4"/>
      <w:numFmt w:val="bullet"/>
      <w:lvlText w:val="-"/>
      <w:lvlJc w:val="left"/>
      <w:pPr>
        <w:ind w:left="1097" w:hanging="360"/>
      </w:pPr>
      <w:rPr>
        <w:rFonts w:ascii="Times New Roman" w:eastAsia="Times New Roman" w:hAnsi="Times New Roman" w:cs="Times New Roman" w:hint="default"/>
      </w:rPr>
    </w:lvl>
    <w:lvl w:ilvl="1" w:tplc="04270003" w:tentative="1">
      <w:start w:val="1"/>
      <w:numFmt w:val="bullet"/>
      <w:lvlText w:val="o"/>
      <w:lvlJc w:val="left"/>
      <w:pPr>
        <w:ind w:left="1817" w:hanging="360"/>
      </w:pPr>
      <w:rPr>
        <w:rFonts w:ascii="Courier New" w:hAnsi="Courier New" w:cs="Courier New" w:hint="default"/>
      </w:rPr>
    </w:lvl>
    <w:lvl w:ilvl="2" w:tplc="04270005" w:tentative="1">
      <w:start w:val="1"/>
      <w:numFmt w:val="bullet"/>
      <w:lvlText w:val=""/>
      <w:lvlJc w:val="left"/>
      <w:pPr>
        <w:ind w:left="2537" w:hanging="360"/>
      </w:pPr>
      <w:rPr>
        <w:rFonts w:ascii="Wingdings" w:hAnsi="Wingdings" w:hint="default"/>
      </w:rPr>
    </w:lvl>
    <w:lvl w:ilvl="3" w:tplc="04270001" w:tentative="1">
      <w:start w:val="1"/>
      <w:numFmt w:val="bullet"/>
      <w:lvlText w:val=""/>
      <w:lvlJc w:val="left"/>
      <w:pPr>
        <w:ind w:left="3257" w:hanging="360"/>
      </w:pPr>
      <w:rPr>
        <w:rFonts w:ascii="Symbol" w:hAnsi="Symbol" w:hint="default"/>
      </w:rPr>
    </w:lvl>
    <w:lvl w:ilvl="4" w:tplc="04270003" w:tentative="1">
      <w:start w:val="1"/>
      <w:numFmt w:val="bullet"/>
      <w:lvlText w:val="o"/>
      <w:lvlJc w:val="left"/>
      <w:pPr>
        <w:ind w:left="3977" w:hanging="360"/>
      </w:pPr>
      <w:rPr>
        <w:rFonts w:ascii="Courier New" w:hAnsi="Courier New" w:cs="Courier New" w:hint="default"/>
      </w:rPr>
    </w:lvl>
    <w:lvl w:ilvl="5" w:tplc="04270005" w:tentative="1">
      <w:start w:val="1"/>
      <w:numFmt w:val="bullet"/>
      <w:lvlText w:val=""/>
      <w:lvlJc w:val="left"/>
      <w:pPr>
        <w:ind w:left="4697" w:hanging="360"/>
      </w:pPr>
      <w:rPr>
        <w:rFonts w:ascii="Wingdings" w:hAnsi="Wingdings" w:hint="default"/>
      </w:rPr>
    </w:lvl>
    <w:lvl w:ilvl="6" w:tplc="04270001" w:tentative="1">
      <w:start w:val="1"/>
      <w:numFmt w:val="bullet"/>
      <w:lvlText w:val=""/>
      <w:lvlJc w:val="left"/>
      <w:pPr>
        <w:ind w:left="5417" w:hanging="360"/>
      </w:pPr>
      <w:rPr>
        <w:rFonts w:ascii="Symbol" w:hAnsi="Symbol" w:hint="default"/>
      </w:rPr>
    </w:lvl>
    <w:lvl w:ilvl="7" w:tplc="04270003" w:tentative="1">
      <w:start w:val="1"/>
      <w:numFmt w:val="bullet"/>
      <w:lvlText w:val="o"/>
      <w:lvlJc w:val="left"/>
      <w:pPr>
        <w:ind w:left="6137" w:hanging="360"/>
      </w:pPr>
      <w:rPr>
        <w:rFonts w:ascii="Courier New" w:hAnsi="Courier New" w:cs="Courier New" w:hint="default"/>
      </w:rPr>
    </w:lvl>
    <w:lvl w:ilvl="8" w:tplc="04270005" w:tentative="1">
      <w:start w:val="1"/>
      <w:numFmt w:val="bullet"/>
      <w:lvlText w:val=""/>
      <w:lvlJc w:val="left"/>
      <w:pPr>
        <w:ind w:left="6857" w:hanging="360"/>
      </w:pPr>
      <w:rPr>
        <w:rFonts w:ascii="Wingdings" w:hAnsi="Wingdings" w:hint="default"/>
      </w:rPr>
    </w:lvl>
  </w:abstractNum>
  <w:abstractNum w:abstractNumId="29" w15:restartNumberingAfterBreak="0">
    <w:nsid w:val="54BA33BC"/>
    <w:multiLevelType w:val="hybridMultilevel"/>
    <w:tmpl w:val="EC9A7F6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3578DD"/>
    <w:multiLevelType w:val="hybridMultilevel"/>
    <w:tmpl w:val="F096631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59CD57C3"/>
    <w:multiLevelType w:val="hybridMultilevel"/>
    <w:tmpl w:val="3CBE8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150A4B"/>
    <w:multiLevelType w:val="hybridMultilevel"/>
    <w:tmpl w:val="2EFA93D0"/>
    <w:lvl w:ilvl="0" w:tplc="27CC1126">
      <w:start w:val="13"/>
      <w:numFmt w:val="bullet"/>
      <w:lvlText w:val="·"/>
      <w:lvlJc w:val="left"/>
      <w:pPr>
        <w:ind w:left="2147" w:hanging="1410"/>
      </w:pPr>
      <w:rPr>
        <w:rFonts w:ascii="Times New Roman" w:eastAsia="Times New Roman" w:hAnsi="Times New Roman" w:cs="Times New Roman" w:hint="default"/>
      </w:rPr>
    </w:lvl>
    <w:lvl w:ilvl="1" w:tplc="04270003" w:tentative="1">
      <w:start w:val="1"/>
      <w:numFmt w:val="bullet"/>
      <w:lvlText w:val="o"/>
      <w:lvlJc w:val="left"/>
      <w:pPr>
        <w:ind w:left="1817" w:hanging="360"/>
      </w:pPr>
      <w:rPr>
        <w:rFonts w:ascii="Courier New" w:hAnsi="Courier New" w:cs="Courier New" w:hint="default"/>
      </w:rPr>
    </w:lvl>
    <w:lvl w:ilvl="2" w:tplc="04270005" w:tentative="1">
      <w:start w:val="1"/>
      <w:numFmt w:val="bullet"/>
      <w:lvlText w:val=""/>
      <w:lvlJc w:val="left"/>
      <w:pPr>
        <w:ind w:left="2537" w:hanging="360"/>
      </w:pPr>
      <w:rPr>
        <w:rFonts w:ascii="Wingdings" w:hAnsi="Wingdings" w:hint="default"/>
      </w:rPr>
    </w:lvl>
    <w:lvl w:ilvl="3" w:tplc="04270001" w:tentative="1">
      <w:start w:val="1"/>
      <w:numFmt w:val="bullet"/>
      <w:lvlText w:val=""/>
      <w:lvlJc w:val="left"/>
      <w:pPr>
        <w:ind w:left="3257" w:hanging="360"/>
      </w:pPr>
      <w:rPr>
        <w:rFonts w:ascii="Symbol" w:hAnsi="Symbol" w:hint="default"/>
      </w:rPr>
    </w:lvl>
    <w:lvl w:ilvl="4" w:tplc="04270003" w:tentative="1">
      <w:start w:val="1"/>
      <w:numFmt w:val="bullet"/>
      <w:lvlText w:val="o"/>
      <w:lvlJc w:val="left"/>
      <w:pPr>
        <w:ind w:left="3977" w:hanging="360"/>
      </w:pPr>
      <w:rPr>
        <w:rFonts w:ascii="Courier New" w:hAnsi="Courier New" w:cs="Courier New" w:hint="default"/>
      </w:rPr>
    </w:lvl>
    <w:lvl w:ilvl="5" w:tplc="04270005" w:tentative="1">
      <w:start w:val="1"/>
      <w:numFmt w:val="bullet"/>
      <w:lvlText w:val=""/>
      <w:lvlJc w:val="left"/>
      <w:pPr>
        <w:ind w:left="4697" w:hanging="360"/>
      </w:pPr>
      <w:rPr>
        <w:rFonts w:ascii="Wingdings" w:hAnsi="Wingdings" w:hint="default"/>
      </w:rPr>
    </w:lvl>
    <w:lvl w:ilvl="6" w:tplc="04270001" w:tentative="1">
      <w:start w:val="1"/>
      <w:numFmt w:val="bullet"/>
      <w:lvlText w:val=""/>
      <w:lvlJc w:val="left"/>
      <w:pPr>
        <w:ind w:left="5417" w:hanging="360"/>
      </w:pPr>
      <w:rPr>
        <w:rFonts w:ascii="Symbol" w:hAnsi="Symbol" w:hint="default"/>
      </w:rPr>
    </w:lvl>
    <w:lvl w:ilvl="7" w:tplc="04270003" w:tentative="1">
      <w:start w:val="1"/>
      <w:numFmt w:val="bullet"/>
      <w:lvlText w:val="o"/>
      <w:lvlJc w:val="left"/>
      <w:pPr>
        <w:ind w:left="6137" w:hanging="360"/>
      </w:pPr>
      <w:rPr>
        <w:rFonts w:ascii="Courier New" w:hAnsi="Courier New" w:cs="Courier New" w:hint="default"/>
      </w:rPr>
    </w:lvl>
    <w:lvl w:ilvl="8" w:tplc="04270005" w:tentative="1">
      <w:start w:val="1"/>
      <w:numFmt w:val="bullet"/>
      <w:lvlText w:val=""/>
      <w:lvlJc w:val="left"/>
      <w:pPr>
        <w:ind w:left="6857" w:hanging="360"/>
      </w:pPr>
      <w:rPr>
        <w:rFonts w:ascii="Wingdings" w:hAnsi="Wingdings" w:hint="default"/>
      </w:rPr>
    </w:lvl>
  </w:abstractNum>
  <w:abstractNum w:abstractNumId="33" w15:restartNumberingAfterBreak="0">
    <w:nsid w:val="609866EE"/>
    <w:multiLevelType w:val="hybridMultilevel"/>
    <w:tmpl w:val="2DA45F5E"/>
    <w:lvl w:ilvl="0" w:tplc="9D1CE9A0">
      <w:start w:val="2017"/>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4" w15:restartNumberingAfterBreak="0">
    <w:nsid w:val="62440342"/>
    <w:multiLevelType w:val="hybridMultilevel"/>
    <w:tmpl w:val="40A6830C"/>
    <w:lvl w:ilvl="0" w:tplc="57FCCC0E">
      <w:start w:val="1"/>
      <w:numFmt w:val="bullet"/>
      <w:lvlText w:val=""/>
      <w:lvlJc w:val="left"/>
      <w:pPr>
        <w:ind w:left="720" w:hanging="360"/>
      </w:pPr>
      <w:rPr>
        <w:rFonts w:ascii="Symbol" w:hAnsi="Symbol" w:hint="default"/>
      </w:rPr>
    </w:lvl>
    <w:lvl w:ilvl="1" w:tplc="2D89BFC8">
      <w:start w:val="1"/>
      <w:numFmt w:val="bullet"/>
      <w:lvlText w:val="o"/>
      <w:lvlJc w:val="left"/>
      <w:pPr>
        <w:ind w:left="1440" w:hanging="360"/>
      </w:pPr>
      <w:rPr>
        <w:rFonts w:ascii="Symbol" w:hAnsi="Symbol"/>
      </w:rPr>
    </w:lvl>
    <w:lvl w:ilvl="2" w:tplc="70751FA2">
      <w:start w:val="1"/>
      <w:numFmt w:val="bullet"/>
      <w:lvlText w:val="·"/>
      <w:lvlJc w:val="left"/>
      <w:pPr>
        <w:ind w:left="2160" w:hanging="360"/>
      </w:pPr>
      <w:rPr>
        <w:rFonts w:ascii="Symbol" w:hAnsi="Symbol"/>
      </w:rPr>
    </w:lvl>
    <w:lvl w:ilvl="3" w:tplc="479524EA">
      <w:start w:val="1"/>
      <w:numFmt w:val="bullet"/>
      <w:lvlText w:val="o"/>
      <w:lvlJc w:val="left"/>
      <w:pPr>
        <w:ind w:left="2880" w:hanging="360"/>
      </w:pPr>
      <w:rPr>
        <w:rFonts w:ascii="Symbol" w:hAnsi="Symbol"/>
      </w:rPr>
    </w:lvl>
    <w:lvl w:ilvl="4" w:tplc="680CAB94">
      <w:start w:val="1"/>
      <w:numFmt w:val="bullet"/>
      <w:lvlText w:val="·"/>
      <w:lvlJc w:val="left"/>
      <w:pPr>
        <w:ind w:left="3600" w:hanging="360"/>
      </w:pPr>
      <w:rPr>
        <w:rFonts w:ascii="Symbol" w:hAnsi="Symbol"/>
      </w:rPr>
    </w:lvl>
    <w:lvl w:ilvl="5" w:tplc="64AE3AAA">
      <w:start w:val="1"/>
      <w:numFmt w:val="bullet"/>
      <w:lvlText w:val="o"/>
      <w:lvlJc w:val="left"/>
      <w:pPr>
        <w:ind w:left="4320" w:hanging="360"/>
      </w:pPr>
      <w:rPr>
        <w:rFonts w:ascii="Symbol" w:hAnsi="Symbol"/>
      </w:rPr>
    </w:lvl>
    <w:lvl w:ilvl="6" w:tplc="654D7CDA">
      <w:start w:val="1"/>
      <w:numFmt w:val="bullet"/>
      <w:lvlText w:val="·"/>
      <w:lvlJc w:val="left"/>
      <w:pPr>
        <w:ind w:left="5040" w:hanging="360"/>
      </w:pPr>
      <w:rPr>
        <w:rFonts w:ascii="Symbol" w:hAnsi="Symbol"/>
      </w:rPr>
    </w:lvl>
    <w:lvl w:ilvl="7" w:tplc="5A1FB584">
      <w:start w:val="1"/>
      <w:numFmt w:val="bullet"/>
      <w:lvlText w:val="o"/>
      <w:lvlJc w:val="left"/>
      <w:pPr>
        <w:ind w:left="5760" w:hanging="360"/>
      </w:pPr>
      <w:rPr>
        <w:rFonts w:ascii="Symbol" w:hAnsi="Symbol"/>
      </w:rPr>
    </w:lvl>
    <w:lvl w:ilvl="8" w:tplc="6CE4619A">
      <w:start w:val="1"/>
      <w:numFmt w:val="bullet"/>
      <w:lvlText w:val="·"/>
      <w:lvlJc w:val="left"/>
      <w:pPr>
        <w:ind w:left="6480" w:hanging="360"/>
      </w:pPr>
      <w:rPr>
        <w:rFonts w:ascii="Symbol" w:hAnsi="Symbol"/>
      </w:rPr>
    </w:lvl>
  </w:abstractNum>
  <w:abstractNum w:abstractNumId="35" w15:restartNumberingAfterBreak="0">
    <w:nsid w:val="6B474DF5"/>
    <w:multiLevelType w:val="hybridMultilevel"/>
    <w:tmpl w:val="EC3423F2"/>
    <w:lvl w:ilvl="0" w:tplc="9D1CE9A0">
      <w:start w:val="2017"/>
      <w:numFmt w:val="bullet"/>
      <w:lvlText w:val="-"/>
      <w:lvlJc w:val="left"/>
      <w:pPr>
        <w:ind w:left="1664" w:hanging="360"/>
      </w:pPr>
      <w:rPr>
        <w:rFonts w:ascii="Times New Roman" w:eastAsia="Calibri" w:hAnsi="Times New Roman" w:cs="Times New Roman"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36" w15:restartNumberingAfterBreak="0">
    <w:nsid w:val="6CDD2B87"/>
    <w:multiLevelType w:val="hybridMultilevel"/>
    <w:tmpl w:val="1F403B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B9097F"/>
    <w:multiLevelType w:val="hybridMultilevel"/>
    <w:tmpl w:val="10362A52"/>
    <w:lvl w:ilvl="0" w:tplc="9D1CE9A0">
      <w:start w:val="2017"/>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D4073E"/>
    <w:multiLevelType w:val="hybridMultilevel"/>
    <w:tmpl w:val="CA140C3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9" w15:restartNumberingAfterBreak="0">
    <w:nsid w:val="736371AB"/>
    <w:multiLevelType w:val="hybridMultilevel"/>
    <w:tmpl w:val="DD84BC96"/>
    <w:lvl w:ilvl="0" w:tplc="52FAC13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61319A7"/>
    <w:multiLevelType w:val="hybridMultilevel"/>
    <w:tmpl w:val="B3184AFE"/>
    <w:lvl w:ilvl="0" w:tplc="0427000F">
      <w:start w:val="1"/>
      <w:numFmt w:val="decimal"/>
      <w:lvlText w:val="%1."/>
      <w:lvlJc w:val="left"/>
      <w:pPr>
        <w:ind w:left="720" w:hanging="360"/>
      </w:pPr>
    </w:lvl>
    <w:lvl w:ilvl="1" w:tplc="2D89BFC8">
      <w:start w:val="1"/>
      <w:numFmt w:val="bullet"/>
      <w:lvlText w:val="o"/>
      <w:lvlJc w:val="left"/>
      <w:pPr>
        <w:ind w:left="1440" w:hanging="360"/>
      </w:pPr>
      <w:rPr>
        <w:rFonts w:ascii="Symbol" w:hAnsi="Symbol"/>
      </w:rPr>
    </w:lvl>
    <w:lvl w:ilvl="2" w:tplc="70751FA2">
      <w:start w:val="1"/>
      <w:numFmt w:val="bullet"/>
      <w:lvlText w:val="·"/>
      <w:lvlJc w:val="left"/>
      <w:pPr>
        <w:ind w:left="2160" w:hanging="360"/>
      </w:pPr>
      <w:rPr>
        <w:rFonts w:ascii="Symbol" w:hAnsi="Symbol"/>
      </w:rPr>
    </w:lvl>
    <w:lvl w:ilvl="3" w:tplc="479524EA">
      <w:start w:val="1"/>
      <w:numFmt w:val="bullet"/>
      <w:lvlText w:val="o"/>
      <w:lvlJc w:val="left"/>
      <w:pPr>
        <w:ind w:left="2880" w:hanging="360"/>
      </w:pPr>
      <w:rPr>
        <w:rFonts w:ascii="Symbol" w:hAnsi="Symbol"/>
      </w:rPr>
    </w:lvl>
    <w:lvl w:ilvl="4" w:tplc="680CAB94">
      <w:start w:val="1"/>
      <w:numFmt w:val="bullet"/>
      <w:lvlText w:val="·"/>
      <w:lvlJc w:val="left"/>
      <w:pPr>
        <w:ind w:left="3600" w:hanging="360"/>
      </w:pPr>
      <w:rPr>
        <w:rFonts w:ascii="Symbol" w:hAnsi="Symbol"/>
      </w:rPr>
    </w:lvl>
    <w:lvl w:ilvl="5" w:tplc="64AE3AAA">
      <w:start w:val="1"/>
      <w:numFmt w:val="bullet"/>
      <w:lvlText w:val="o"/>
      <w:lvlJc w:val="left"/>
      <w:pPr>
        <w:ind w:left="4320" w:hanging="360"/>
      </w:pPr>
      <w:rPr>
        <w:rFonts w:ascii="Symbol" w:hAnsi="Symbol"/>
      </w:rPr>
    </w:lvl>
    <w:lvl w:ilvl="6" w:tplc="654D7CDA">
      <w:start w:val="1"/>
      <w:numFmt w:val="bullet"/>
      <w:lvlText w:val="·"/>
      <w:lvlJc w:val="left"/>
      <w:pPr>
        <w:ind w:left="5040" w:hanging="360"/>
      </w:pPr>
      <w:rPr>
        <w:rFonts w:ascii="Symbol" w:hAnsi="Symbol"/>
      </w:rPr>
    </w:lvl>
    <w:lvl w:ilvl="7" w:tplc="5A1FB584">
      <w:start w:val="1"/>
      <w:numFmt w:val="bullet"/>
      <w:lvlText w:val="o"/>
      <w:lvlJc w:val="left"/>
      <w:pPr>
        <w:ind w:left="5760" w:hanging="360"/>
      </w:pPr>
      <w:rPr>
        <w:rFonts w:ascii="Symbol" w:hAnsi="Symbol"/>
      </w:rPr>
    </w:lvl>
    <w:lvl w:ilvl="8" w:tplc="6CE4619A">
      <w:start w:val="1"/>
      <w:numFmt w:val="bullet"/>
      <w:lvlText w:val="·"/>
      <w:lvlJc w:val="left"/>
      <w:pPr>
        <w:ind w:left="6480" w:hanging="360"/>
      </w:pPr>
      <w:rPr>
        <w:rFonts w:ascii="Symbol" w:hAnsi="Symbol"/>
      </w:rPr>
    </w:lvl>
  </w:abstractNum>
  <w:abstractNum w:abstractNumId="41" w15:restartNumberingAfterBreak="0">
    <w:nsid w:val="78E25A3D"/>
    <w:multiLevelType w:val="hybridMultilevel"/>
    <w:tmpl w:val="1102F3EC"/>
    <w:lvl w:ilvl="0" w:tplc="DCE04128">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2"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num w:numId="1">
    <w:abstractNumId w:val="17"/>
  </w:num>
  <w:num w:numId="2">
    <w:abstractNumId w:val="38"/>
  </w:num>
  <w:num w:numId="3">
    <w:abstractNumId w:val="8"/>
  </w:num>
  <w:num w:numId="4">
    <w:abstractNumId w:val="18"/>
  </w:num>
  <w:num w:numId="5">
    <w:abstractNumId w:val="39"/>
  </w:num>
  <w:num w:numId="6">
    <w:abstractNumId w:val="41"/>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2"/>
  </w:num>
  <w:num w:numId="10">
    <w:abstractNumId w:val="15"/>
  </w:num>
  <w:num w:numId="11">
    <w:abstractNumId w:val="29"/>
  </w:num>
  <w:num w:numId="12">
    <w:abstractNumId w:val="16"/>
  </w:num>
  <w:num w:numId="13">
    <w:abstractNumId w:val="13"/>
  </w:num>
  <w:num w:numId="14">
    <w:abstractNumId w:val="42"/>
    <w:lvlOverride w:ilvl="0">
      <w:startOverride w:val="1"/>
    </w:lvlOverride>
  </w:num>
  <w:num w:numId="15">
    <w:abstractNumId w:val="2"/>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num>
  <w:num w:numId="19">
    <w:abstractNumId w:val="33"/>
  </w:num>
  <w:num w:numId="20">
    <w:abstractNumId w:val="37"/>
  </w:num>
  <w:num w:numId="21">
    <w:abstractNumId w:val="14"/>
  </w:num>
  <w:num w:numId="22">
    <w:abstractNumId w:val="9"/>
  </w:num>
  <w:num w:numId="23">
    <w:abstractNumId w:val="35"/>
  </w:num>
  <w:num w:numId="24">
    <w:abstractNumId w:val="32"/>
  </w:num>
  <w:num w:numId="25">
    <w:abstractNumId w:val="25"/>
  </w:num>
  <w:num w:numId="26">
    <w:abstractNumId w:val="27"/>
  </w:num>
  <w:num w:numId="27">
    <w:abstractNumId w:val="31"/>
  </w:num>
  <w:num w:numId="28">
    <w:abstractNumId w:val="10"/>
  </w:num>
  <w:num w:numId="29">
    <w:abstractNumId w:val="6"/>
  </w:num>
  <w:num w:numId="30">
    <w:abstractNumId w:val="4"/>
  </w:num>
  <w:num w:numId="31">
    <w:abstractNumId w:val="23"/>
  </w:num>
  <w:num w:numId="32">
    <w:abstractNumId w:val="28"/>
  </w:num>
  <w:num w:numId="33">
    <w:abstractNumId w:val="22"/>
  </w:num>
  <w:num w:numId="34">
    <w:abstractNumId w:val="36"/>
  </w:num>
  <w:num w:numId="35">
    <w:abstractNumId w:val="5"/>
  </w:num>
  <w:num w:numId="36">
    <w:abstractNumId w:val="7"/>
  </w:num>
  <w:num w:numId="37">
    <w:abstractNumId w:val="11"/>
  </w:num>
  <w:num w:numId="38">
    <w:abstractNumId w:val="20"/>
  </w:num>
  <w:num w:numId="39">
    <w:abstractNumId w:val="0"/>
  </w:num>
  <w:num w:numId="40">
    <w:abstractNumId w:val="3"/>
  </w:num>
  <w:num w:numId="41">
    <w:abstractNumId w:val="40"/>
    <w:lvlOverride w:ilvl="0">
      <w:startOverride w:val="1"/>
    </w:lvlOverride>
    <w:lvlOverride w:ilvl="1"/>
    <w:lvlOverride w:ilvl="2"/>
    <w:lvlOverride w:ilvl="3"/>
    <w:lvlOverride w:ilvl="4"/>
    <w:lvlOverride w:ilvl="5"/>
    <w:lvlOverride w:ilvl="6"/>
    <w:lvlOverride w:ilvl="7"/>
    <w:lvlOverride w:ilvl="8"/>
  </w:num>
  <w:num w:numId="42">
    <w:abstractNumId w:val="34"/>
  </w:num>
  <w:num w:numId="43">
    <w:abstractNumId w:val="21"/>
  </w:num>
  <w:num w:numId="44">
    <w:abstractNumId w:val="24"/>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FB"/>
    <w:rsid w:val="00013F78"/>
    <w:rsid w:val="00017964"/>
    <w:rsid w:val="00021302"/>
    <w:rsid w:val="00027F29"/>
    <w:rsid w:val="00031A60"/>
    <w:rsid w:val="00032329"/>
    <w:rsid w:val="00040564"/>
    <w:rsid w:val="00040646"/>
    <w:rsid w:val="00042719"/>
    <w:rsid w:val="00042C9D"/>
    <w:rsid w:val="00044CF5"/>
    <w:rsid w:val="00046A11"/>
    <w:rsid w:val="00047530"/>
    <w:rsid w:val="000522A0"/>
    <w:rsid w:val="00061A7C"/>
    <w:rsid w:val="00062AC1"/>
    <w:rsid w:val="00064601"/>
    <w:rsid w:val="00064F2D"/>
    <w:rsid w:val="000739AC"/>
    <w:rsid w:val="00073CFD"/>
    <w:rsid w:val="000774AA"/>
    <w:rsid w:val="000801D5"/>
    <w:rsid w:val="000855E0"/>
    <w:rsid w:val="00087D05"/>
    <w:rsid w:val="000B1018"/>
    <w:rsid w:val="000B11F7"/>
    <w:rsid w:val="000B1FA4"/>
    <w:rsid w:val="000C2133"/>
    <w:rsid w:val="000C2B1B"/>
    <w:rsid w:val="000C48EB"/>
    <w:rsid w:val="000C5599"/>
    <w:rsid w:val="000C6079"/>
    <w:rsid w:val="000D06BE"/>
    <w:rsid w:val="000D3013"/>
    <w:rsid w:val="000D77A5"/>
    <w:rsid w:val="000E1C0E"/>
    <w:rsid w:val="000E7E95"/>
    <w:rsid w:val="000E7F35"/>
    <w:rsid w:val="000F23E1"/>
    <w:rsid w:val="000F59F3"/>
    <w:rsid w:val="000F616D"/>
    <w:rsid w:val="00103E18"/>
    <w:rsid w:val="001046AD"/>
    <w:rsid w:val="00104CCA"/>
    <w:rsid w:val="001103EC"/>
    <w:rsid w:val="001149DF"/>
    <w:rsid w:val="0011730F"/>
    <w:rsid w:val="00117C80"/>
    <w:rsid w:val="00127C28"/>
    <w:rsid w:val="001308B3"/>
    <w:rsid w:val="00135640"/>
    <w:rsid w:val="0013712C"/>
    <w:rsid w:val="0013728E"/>
    <w:rsid w:val="00142C35"/>
    <w:rsid w:val="00146FBF"/>
    <w:rsid w:val="00147060"/>
    <w:rsid w:val="00147936"/>
    <w:rsid w:val="0015227A"/>
    <w:rsid w:val="00161FF6"/>
    <w:rsid w:val="0016404F"/>
    <w:rsid w:val="00167BB2"/>
    <w:rsid w:val="00172098"/>
    <w:rsid w:val="00172A79"/>
    <w:rsid w:val="00175618"/>
    <w:rsid w:val="001760D5"/>
    <w:rsid w:val="00182833"/>
    <w:rsid w:val="001846E7"/>
    <w:rsid w:val="00185A86"/>
    <w:rsid w:val="001911B3"/>
    <w:rsid w:val="001A569B"/>
    <w:rsid w:val="001A6489"/>
    <w:rsid w:val="001B0D7E"/>
    <w:rsid w:val="001B2F26"/>
    <w:rsid w:val="001C3D19"/>
    <w:rsid w:val="001D1AD2"/>
    <w:rsid w:val="001D77FC"/>
    <w:rsid w:val="001E3031"/>
    <w:rsid w:val="001E5D3A"/>
    <w:rsid w:val="001E6BEF"/>
    <w:rsid w:val="001E6E5F"/>
    <w:rsid w:val="001F24D9"/>
    <w:rsid w:val="001F3317"/>
    <w:rsid w:val="001F55B8"/>
    <w:rsid w:val="001F6393"/>
    <w:rsid w:val="001F7FD2"/>
    <w:rsid w:val="00203BA9"/>
    <w:rsid w:val="0021199B"/>
    <w:rsid w:val="0021435A"/>
    <w:rsid w:val="00215B83"/>
    <w:rsid w:val="00215E19"/>
    <w:rsid w:val="00221BF0"/>
    <w:rsid w:val="00221E61"/>
    <w:rsid w:val="002246C0"/>
    <w:rsid w:val="002264AA"/>
    <w:rsid w:val="00227787"/>
    <w:rsid w:val="002279A2"/>
    <w:rsid w:val="002331B7"/>
    <w:rsid w:val="00243D1B"/>
    <w:rsid w:val="002470FC"/>
    <w:rsid w:val="00250186"/>
    <w:rsid w:val="00251E60"/>
    <w:rsid w:val="00253186"/>
    <w:rsid w:val="00261029"/>
    <w:rsid w:val="00270443"/>
    <w:rsid w:val="00270EBE"/>
    <w:rsid w:val="00285FCB"/>
    <w:rsid w:val="00286001"/>
    <w:rsid w:val="002879FB"/>
    <w:rsid w:val="002977F9"/>
    <w:rsid w:val="002A12D0"/>
    <w:rsid w:val="002A5479"/>
    <w:rsid w:val="002C12A6"/>
    <w:rsid w:val="002C17D3"/>
    <w:rsid w:val="002C614F"/>
    <w:rsid w:val="002C6F95"/>
    <w:rsid w:val="002D61EA"/>
    <w:rsid w:val="002D7DB4"/>
    <w:rsid w:val="002E258A"/>
    <w:rsid w:val="002F35FF"/>
    <w:rsid w:val="002F3949"/>
    <w:rsid w:val="00300BB2"/>
    <w:rsid w:val="00302EDC"/>
    <w:rsid w:val="00303101"/>
    <w:rsid w:val="00303C75"/>
    <w:rsid w:val="00313276"/>
    <w:rsid w:val="0031337D"/>
    <w:rsid w:val="00322651"/>
    <w:rsid w:val="00323E7E"/>
    <w:rsid w:val="00325B61"/>
    <w:rsid w:val="0033178D"/>
    <w:rsid w:val="003317CE"/>
    <w:rsid w:val="00333F9B"/>
    <w:rsid w:val="00335210"/>
    <w:rsid w:val="003361DF"/>
    <w:rsid w:val="003401B6"/>
    <w:rsid w:val="00340B3E"/>
    <w:rsid w:val="00340C49"/>
    <w:rsid w:val="0034334E"/>
    <w:rsid w:val="00346255"/>
    <w:rsid w:val="00346B38"/>
    <w:rsid w:val="00351B25"/>
    <w:rsid w:val="003520FD"/>
    <w:rsid w:val="003524CC"/>
    <w:rsid w:val="003526C2"/>
    <w:rsid w:val="00353724"/>
    <w:rsid w:val="00355760"/>
    <w:rsid w:val="00357D02"/>
    <w:rsid w:val="00370F47"/>
    <w:rsid w:val="00372EF1"/>
    <w:rsid w:val="003754E8"/>
    <w:rsid w:val="00377BBE"/>
    <w:rsid w:val="00377DAF"/>
    <w:rsid w:val="00377F4E"/>
    <w:rsid w:val="003920AB"/>
    <w:rsid w:val="003926C5"/>
    <w:rsid w:val="0039307F"/>
    <w:rsid w:val="00394473"/>
    <w:rsid w:val="00394DB5"/>
    <w:rsid w:val="003959A3"/>
    <w:rsid w:val="0039750B"/>
    <w:rsid w:val="003A5FF0"/>
    <w:rsid w:val="003A7793"/>
    <w:rsid w:val="003C1C60"/>
    <w:rsid w:val="003C2210"/>
    <w:rsid w:val="003C2CBA"/>
    <w:rsid w:val="003D19B2"/>
    <w:rsid w:val="003D2278"/>
    <w:rsid w:val="003D58E7"/>
    <w:rsid w:val="003E50E2"/>
    <w:rsid w:val="003E6D78"/>
    <w:rsid w:val="003E7853"/>
    <w:rsid w:val="003E7F7F"/>
    <w:rsid w:val="003F06A5"/>
    <w:rsid w:val="003F26DF"/>
    <w:rsid w:val="003F4CB7"/>
    <w:rsid w:val="0040040A"/>
    <w:rsid w:val="0040067B"/>
    <w:rsid w:val="004048A4"/>
    <w:rsid w:val="00404BA8"/>
    <w:rsid w:val="0040577F"/>
    <w:rsid w:val="004125BD"/>
    <w:rsid w:val="00414D87"/>
    <w:rsid w:val="00420503"/>
    <w:rsid w:val="00424EA9"/>
    <w:rsid w:val="004272D9"/>
    <w:rsid w:val="00430B95"/>
    <w:rsid w:val="00430FD6"/>
    <w:rsid w:val="0043146D"/>
    <w:rsid w:val="00432942"/>
    <w:rsid w:val="0043488B"/>
    <w:rsid w:val="00441530"/>
    <w:rsid w:val="00454D76"/>
    <w:rsid w:val="0046027B"/>
    <w:rsid w:val="00461DF1"/>
    <w:rsid w:val="00466F90"/>
    <w:rsid w:val="004726BA"/>
    <w:rsid w:val="00472E71"/>
    <w:rsid w:val="00477A7F"/>
    <w:rsid w:val="00486668"/>
    <w:rsid w:val="00486C09"/>
    <w:rsid w:val="004879CE"/>
    <w:rsid w:val="00487CF2"/>
    <w:rsid w:val="004925E3"/>
    <w:rsid w:val="004952D4"/>
    <w:rsid w:val="004A0154"/>
    <w:rsid w:val="004A1BF0"/>
    <w:rsid w:val="004A50E7"/>
    <w:rsid w:val="004B42CA"/>
    <w:rsid w:val="004B699E"/>
    <w:rsid w:val="004C3204"/>
    <w:rsid w:val="004C5EBB"/>
    <w:rsid w:val="004D2269"/>
    <w:rsid w:val="004D41B3"/>
    <w:rsid w:val="004E18D2"/>
    <w:rsid w:val="004E57BA"/>
    <w:rsid w:val="004F169B"/>
    <w:rsid w:val="0050182C"/>
    <w:rsid w:val="005079FB"/>
    <w:rsid w:val="005134F3"/>
    <w:rsid w:val="00520150"/>
    <w:rsid w:val="005268CA"/>
    <w:rsid w:val="00527351"/>
    <w:rsid w:val="005309A7"/>
    <w:rsid w:val="005316E2"/>
    <w:rsid w:val="00535262"/>
    <w:rsid w:val="00536F93"/>
    <w:rsid w:val="00546F5C"/>
    <w:rsid w:val="0054799E"/>
    <w:rsid w:val="0055473A"/>
    <w:rsid w:val="00555238"/>
    <w:rsid w:val="005557D0"/>
    <w:rsid w:val="00556BEC"/>
    <w:rsid w:val="00557DDF"/>
    <w:rsid w:val="00561B6C"/>
    <w:rsid w:val="00565EBB"/>
    <w:rsid w:val="005661B4"/>
    <w:rsid w:val="005703D3"/>
    <w:rsid w:val="00573C1F"/>
    <w:rsid w:val="00573C76"/>
    <w:rsid w:val="00575925"/>
    <w:rsid w:val="00575B12"/>
    <w:rsid w:val="005764DD"/>
    <w:rsid w:val="00580D27"/>
    <w:rsid w:val="0058436B"/>
    <w:rsid w:val="00590017"/>
    <w:rsid w:val="00592721"/>
    <w:rsid w:val="00594078"/>
    <w:rsid w:val="00596E4D"/>
    <w:rsid w:val="005A2B84"/>
    <w:rsid w:val="005A545E"/>
    <w:rsid w:val="005B163B"/>
    <w:rsid w:val="005B382A"/>
    <w:rsid w:val="005B669D"/>
    <w:rsid w:val="005B7E38"/>
    <w:rsid w:val="005C1E76"/>
    <w:rsid w:val="005C2987"/>
    <w:rsid w:val="005C38C4"/>
    <w:rsid w:val="005D29B0"/>
    <w:rsid w:val="005E0975"/>
    <w:rsid w:val="005E2188"/>
    <w:rsid w:val="005E2B29"/>
    <w:rsid w:val="005E2B4D"/>
    <w:rsid w:val="005E3CD7"/>
    <w:rsid w:val="005F3129"/>
    <w:rsid w:val="005F77C3"/>
    <w:rsid w:val="0060006B"/>
    <w:rsid w:val="00606289"/>
    <w:rsid w:val="0060699B"/>
    <w:rsid w:val="00607114"/>
    <w:rsid w:val="006114BF"/>
    <w:rsid w:val="00613147"/>
    <w:rsid w:val="00613C48"/>
    <w:rsid w:val="006141A3"/>
    <w:rsid w:val="006160F5"/>
    <w:rsid w:val="00621090"/>
    <w:rsid w:val="0062417F"/>
    <w:rsid w:val="00626E28"/>
    <w:rsid w:val="00631E6E"/>
    <w:rsid w:val="00633543"/>
    <w:rsid w:val="0063419F"/>
    <w:rsid w:val="00635BDB"/>
    <w:rsid w:val="00652088"/>
    <w:rsid w:val="00652660"/>
    <w:rsid w:val="00652B03"/>
    <w:rsid w:val="00660EDE"/>
    <w:rsid w:val="00661381"/>
    <w:rsid w:val="0066296C"/>
    <w:rsid w:val="006641DB"/>
    <w:rsid w:val="006655A8"/>
    <w:rsid w:val="00665A80"/>
    <w:rsid w:val="00676DE3"/>
    <w:rsid w:val="00677C07"/>
    <w:rsid w:val="0068622E"/>
    <w:rsid w:val="006907D6"/>
    <w:rsid w:val="00696876"/>
    <w:rsid w:val="00697A06"/>
    <w:rsid w:val="006A0191"/>
    <w:rsid w:val="006A5417"/>
    <w:rsid w:val="006B10F3"/>
    <w:rsid w:val="006B30DF"/>
    <w:rsid w:val="006B4D7A"/>
    <w:rsid w:val="006C1F93"/>
    <w:rsid w:val="006C3D45"/>
    <w:rsid w:val="006C4291"/>
    <w:rsid w:val="006C59FD"/>
    <w:rsid w:val="006C5FB9"/>
    <w:rsid w:val="006C7A59"/>
    <w:rsid w:val="006D06D2"/>
    <w:rsid w:val="006D47C8"/>
    <w:rsid w:val="006D48B9"/>
    <w:rsid w:val="006D6E59"/>
    <w:rsid w:val="006D7BF1"/>
    <w:rsid w:val="006E52D6"/>
    <w:rsid w:val="006E658E"/>
    <w:rsid w:val="006E66E2"/>
    <w:rsid w:val="006F0982"/>
    <w:rsid w:val="006F1447"/>
    <w:rsid w:val="006F230D"/>
    <w:rsid w:val="006F645A"/>
    <w:rsid w:val="006F757C"/>
    <w:rsid w:val="006F7A97"/>
    <w:rsid w:val="00700E46"/>
    <w:rsid w:val="00703B0F"/>
    <w:rsid w:val="0070650E"/>
    <w:rsid w:val="00707839"/>
    <w:rsid w:val="00710BA2"/>
    <w:rsid w:val="0071694D"/>
    <w:rsid w:val="00717921"/>
    <w:rsid w:val="00720ABC"/>
    <w:rsid w:val="00726881"/>
    <w:rsid w:val="007315A9"/>
    <w:rsid w:val="007330C9"/>
    <w:rsid w:val="007423CE"/>
    <w:rsid w:val="007425C4"/>
    <w:rsid w:val="00747C3D"/>
    <w:rsid w:val="007508A2"/>
    <w:rsid w:val="00755AE8"/>
    <w:rsid w:val="00762F7A"/>
    <w:rsid w:val="0076716F"/>
    <w:rsid w:val="0077160A"/>
    <w:rsid w:val="0077361C"/>
    <w:rsid w:val="00773823"/>
    <w:rsid w:val="00774E16"/>
    <w:rsid w:val="00776B34"/>
    <w:rsid w:val="0077718C"/>
    <w:rsid w:val="007776E0"/>
    <w:rsid w:val="00782C4A"/>
    <w:rsid w:val="007838F7"/>
    <w:rsid w:val="007933B9"/>
    <w:rsid w:val="0079379D"/>
    <w:rsid w:val="00793DF6"/>
    <w:rsid w:val="00794BB6"/>
    <w:rsid w:val="00795222"/>
    <w:rsid w:val="007952D8"/>
    <w:rsid w:val="00797BCA"/>
    <w:rsid w:val="007A0BE6"/>
    <w:rsid w:val="007A2561"/>
    <w:rsid w:val="007B5EAB"/>
    <w:rsid w:val="007C7A78"/>
    <w:rsid w:val="007D0A99"/>
    <w:rsid w:val="007D2344"/>
    <w:rsid w:val="007D4889"/>
    <w:rsid w:val="007D6FA6"/>
    <w:rsid w:val="007E49A6"/>
    <w:rsid w:val="007E5B67"/>
    <w:rsid w:val="007F671F"/>
    <w:rsid w:val="00802BEA"/>
    <w:rsid w:val="00805CE2"/>
    <w:rsid w:val="00807D76"/>
    <w:rsid w:val="0081629B"/>
    <w:rsid w:val="00820B81"/>
    <w:rsid w:val="008222B9"/>
    <w:rsid w:val="00822628"/>
    <w:rsid w:val="0082562A"/>
    <w:rsid w:val="00830BDD"/>
    <w:rsid w:val="00831E58"/>
    <w:rsid w:val="008336CE"/>
    <w:rsid w:val="00835204"/>
    <w:rsid w:val="00835474"/>
    <w:rsid w:val="0084118A"/>
    <w:rsid w:val="00843BEA"/>
    <w:rsid w:val="0084575E"/>
    <w:rsid w:val="00851538"/>
    <w:rsid w:val="00851D2F"/>
    <w:rsid w:val="00853F5C"/>
    <w:rsid w:val="00854CDD"/>
    <w:rsid w:val="008576CD"/>
    <w:rsid w:val="00862926"/>
    <w:rsid w:val="008655C4"/>
    <w:rsid w:val="00865731"/>
    <w:rsid w:val="00867C4C"/>
    <w:rsid w:val="00874452"/>
    <w:rsid w:val="00877768"/>
    <w:rsid w:val="00881204"/>
    <w:rsid w:val="00882998"/>
    <w:rsid w:val="00882F2A"/>
    <w:rsid w:val="0088348C"/>
    <w:rsid w:val="00883492"/>
    <w:rsid w:val="008866D3"/>
    <w:rsid w:val="00887057"/>
    <w:rsid w:val="008879A9"/>
    <w:rsid w:val="0089133A"/>
    <w:rsid w:val="008923C5"/>
    <w:rsid w:val="008942CC"/>
    <w:rsid w:val="008A02BD"/>
    <w:rsid w:val="008A0B95"/>
    <w:rsid w:val="008A5ECF"/>
    <w:rsid w:val="008A6E65"/>
    <w:rsid w:val="008A783F"/>
    <w:rsid w:val="008B0CBB"/>
    <w:rsid w:val="008B5BBB"/>
    <w:rsid w:val="008C21D7"/>
    <w:rsid w:val="008C3E91"/>
    <w:rsid w:val="008C5732"/>
    <w:rsid w:val="008C658F"/>
    <w:rsid w:val="008D18A8"/>
    <w:rsid w:val="008D5CB5"/>
    <w:rsid w:val="008D70A5"/>
    <w:rsid w:val="008E0B26"/>
    <w:rsid w:val="008E15DD"/>
    <w:rsid w:val="008E4A83"/>
    <w:rsid w:val="008F27DF"/>
    <w:rsid w:val="008F4322"/>
    <w:rsid w:val="008F4F6A"/>
    <w:rsid w:val="008F539B"/>
    <w:rsid w:val="008F5DB6"/>
    <w:rsid w:val="00906A09"/>
    <w:rsid w:val="00907B69"/>
    <w:rsid w:val="00913A57"/>
    <w:rsid w:val="00920B1B"/>
    <w:rsid w:val="00921CF6"/>
    <w:rsid w:val="009260B6"/>
    <w:rsid w:val="009312FE"/>
    <w:rsid w:val="00933627"/>
    <w:rsid w:val="00933FDE"/>
    <w:rsid w:val="00936284"/>
    <w:rsid w:val="009413B7"/>
    <w:rsid w:val="00942919"/>
    <w:rsid w:val="009439F2"/>
    <w:rsid w:val="00951B3A"/>
    <w:rsid w:val="00953D46"/>
    <w:rsid w:val="00970F14"/>
    <w:rsid w:val="00972531"/>
    <w:rsid w:val="009758C1"/>
    <w:rsid w:val="00980415"/>
    <w:rsid w:val="00985F14"/>
    <w:rsid w:val="009A050A"/>
    <w:rsid w:val="009A17A1"/>
    <w:rsid w:val="009A2F61"/>
    <w:rsid w:val="009A713F"/>
    <w:rsid w:val="009B22C4"/>
    <w:rsid w:val="009B371F"/>
    <w:rsid w:val="009B3C0C"/>
    <w:rsid w:val="009B684F"/>
    <w:rsid w:val="009B6F7F"/>
    <w:rsid w:val="009C0777"/>
    <w:rsid w:val="009C2268"/>
    <w:rsid w:val="009D16AA"/>
    <w:rsid w:val="009F6A75"/>
    <w:rsid w:val="009F6E63"/>
    <w:rsid w:val="00A007A9"/>
    <w:rsid w:val="00A0120C"/>
    <w:rsid w:val="00A0265F"/>
    <w:rsid w:val="00A03B97"/>
    <w:rsid w:val="00A044F4"/>
    <w:rsid w:val="00A04E24"/>
    <w:rsid w:val="00A10005"/>
    <w:rsid w:val="00A10350"/>
    <w:rsid w:val="00A11606"/>
    <w:rsid w:val="00A11A61"/>
    <w:rsid w:val="00A155FA"/>
    <w:rsid w:val="00A17435"/>
    <w:rsid w:val="00A24CF6"/>
    <w:rsid w:val="00A26213"/>
    <w:rsid w:val="00A33BE3"/>
    <w:rsid w:val="00A36B56"/>
    <w:rsid w:val="00A4156F"/>
    <w:rsid w:val="00A44920"/>
    <w:rsid w:val="00A4741E"/>
    <w:rsid w:val="00A47E8F"/>
    <w:rsid w:val="00A536F7"/>
    <w:rsid w:val="00A53998"/>
    <w:rsid w:val="00A6222A"/>
    <w:rsid w:val="00A640F8"/>
    <w:rsid w:val="00A65E30"/>
    <w:rsid w:val="00A67E06"/>
    <w:rsid w:val="00A75175"/>
    <w:rsid w:val="00A7590F"/>
    <w:rsid w:val="00A813A8"/>
    <w:rsid w:val="00A86C8C"/>
    <w:rsid w:val="00A90DFF"/>
    <w:rsid w:val="00A9315A"/>
    <w:rsid w:val="00AA3302"/>
    <w:rsid w:val="00AB020D"/>
    <w:rsid w:val="00AB28DD"/>
    <w:rsid w:val="00AB514E"/>
    <w:rsid w:val="00AB69F4"/>
    <w:rsid w:val="00AC3D9B"/>
    <w:rsid w:val="00AC44B8"/>
    <w:rsid w:val="00AC5799"/>
    <w:rsid w:val="00AE0217"/>
    <w:rsid w:val="00AE0D1A"/>
    <w:rsid w:val="00AE4E0A"/>
    <w:rsid w:val="00AE730B"/>
    <w:rsid w:val="00AF2C92"/>
    <w:rsid w:val="00B06E33"/>
    <w:rsid w:val="00B10285"/>
    <w:rsid w:val="00B13ADF"/>
    <w:rsid w:val="00B228CB"/>
    <w:rsid w:val="00B23053"/>
    <w:rsid w:val="00B33FF2"/>
    <w:rsid w:val="00B36673"/>
    <w:rsid w:val="00B37033"/>
    <w:rsid w:val="00B40970"/>
    <w:rsid w:val="00B42938"/>
    <w:rsid w:val="00B42D19"/>
    <w:rsid w:val="00B42FCE"/>
    <w:rsid w:val="00B437FA"/>
    <w:rsid w:val="00B47D3F"/>
    <w:rsid w:val="00B50C5B"/>
    <w:rsid w:val="00B518C9"/>
    <w:rsid w:val="00B52528"/>
    <w:rsid w:val="00B57607"/>
    <w:rsid w:val="00B66A09"/>
    <w:rsid w:val="00B671BC"/>
    <w:rsid w:val="00B75A7B"/>
    <w:rsid w:val="00B94AE3"/>
    <w:rsid w:val="00B95897"/>
    <w:rsid w:val="00B95DC1"/>
    <w:rsid w:val="00BA10E7"/>
    <w:rsid w:val="00BA11AF"/>
    <w:rsid w:val="00BA4D69"/>
    <w:rsid w:val="00BA5E28"/>
    <w:rsid w:val="00BA7D45"/>
    <w:rsid w:val="00BB018B"/>
    <w:rsid w:val="00BC1192"/>
    <w:rsid w:val="00BC252D"/>
    <w:rsid w:val="00BC29A2"/>
    <w:rsid w:val="00BD170A"/>
    <w:rsid w:val="00BD38BC"/>
    <w:rsid w:val="00BE25E8"/>
    <w:rsid w:val="00BE4665"/>
    <w:rsid w:val="00BE57EB"/>
    <w:rsid w:val="00BE6CD4"/>
    <w:rsid w:val="00C01888"/>
    <w:rsid w:val="00C11F07"/>
    <w:rsid w:val="00C163AE"/>
    <w:rsid w:val="00C234C8"/>
    <w:rsid w:val="00C2408F"/>
    <w:rsid w:val="00C24FB8"/>
    <w:rsid w:val="00C27BA4"/>
    <w:rsid w:val="00C329A9"/>
    <w:rsid w:val="00C34C36"/>
    <w:rsid w:val="00C37252"/>
    <w:rsid w:val="00C40DA8"/>
    <w:rsid w:val="00C40DBB"/>
    <w:rsid w:val="00C41721"/>
    <w:rsid w:val="00C44C76"/>
    <w:rsid w:val="00C53047"/>
    <w:rsid w:val="00C56CAB"/>
    <w:rsid w:val="00C62644"/>
    <w:rsid w:val="00C66C05"/>
    <w:rsid w:val="00C67037"/>
    <w:rsid w:val="00C7486A"/>
    <w:rsid w:val="00C74DDD"/>
    <w:rsid w:val="00C8025A"/>
    <w:rsid w:val="00C84611"/>
    <w:rsid w:val="00C8774A"/>
    <w:rsid w:val="00C87DCB"/>
    <w:rsid w:val="00C9771F"/>
    <w:rsid w:val="00CA7936"/>
    <w:rsid w:val="00CA7F2A"/>
    <w:rsid w:val="00CB164B"/>
    <w:rsid w:val="00CB2683"/>
    <w:rsid w:val="00CB41FE"/>
    <w:rsid w:val="00CB5559"/>
    <w:rsid w:val="00CB70A9"/>
    <w:rsid w:val="00CC56F8"/>
    <w:rsid w:val="00CD77EA"/>
    <w:rsid w:val="00CE09CF"/>
    <w:rsid w:val="00CE0FCE"/>
    <w:rsid w:val="00CE699D"/>
    <w:rsid w:val="00CE753C"/>
    <w:rsid w:val="00CF0660"/>
    <w:rsid w:val="00CF1681"/>
    <w:rsid w:val="00CF3D77"/>
    <w:rsid w:val="00CF4BB3"/>
    <w:rsid w:val="00D05667"/>
    <w:rsid w:val="00D05B80"/>
    <w:rsid w:val="00D12415"/>
    <w:rsid w:val="00D164AE"/>
    <w:rsid w:val="00D261B4"/>
    <w:rsid w:val="00D323F2"/>
    <w:rsid w:val="00D34A8A"/>
    <w:rsid w:val="00D40BC4"/>
    <w:rsid w:val="00D4322B"/>
    <w:rsid w:val="00D44810"/>
    <w:rsid w:val="00D468CE"/>
    <w:rsid w:val="00D478A8"/>
    <w:rsid w:val="00D53304"/>
    <w:rsid w:val="00D56DE8"/>
    <w:rsid w:val="00D60642"/>
    <w:rsid w:val="00D60678"/>
    <w:rsid w:val="00D641E3"/>
    <w:rsid w:val="00D6456A"/>
    <w:rsid w:val="00D64751"/>
    <w:rsid w:val="00D66917"/>
    <w:rsid w:val="00D702F7"/>
    <w:rsid w:val="00D7055C"/>
    <w:rsid w:val="00D70D6B"/>
    <w:rsid w:val="00D9158E"/>
    <w:rsid w:val="00D973D9"/>
    <w:rsid w:val="00DB597B"/>
    <w:rsid w:val="00DB67BA"/>
    <w:rsid w:val="00DC2077"/>
    <w:rsid w:val="00DC33AA"/>
    <w:rsid w:val="00DC39C5"/>
    <w:rsid w:val="00DC4765"/>
    <w:rsid w:val="00DC4A70"/>
    <w:rsid w:val="00DC4E1B"/>
    <w:rsid w:val="00DD35F7"/>
    <w:rsid w:val="00DD6290"/>
    <w:rsid w:val="00DD74BB"/>
    <w:rsid w:val="00DD7682"/>
    <w:rsid w:val="00DE01CA"/>
    <w:rsid w:val="00DE0E6F"/>
    <w:rsid w:val="00DE23FC"/>
    <w:rsid w:val="00DE60AA"/>
    <w:rsid w:val="00DF0125"/>
    <w:rsid w:val="00DF0885"/>
    <w:rsid w:val="00DF61C8"/>
    <w:rsid w:val="00DF7039"/>
    <w:rsid w:val="00E0119B"/>
    <w:rsid w:val="00E01C52"/>
    <w:rsid w:val="00E02EB0"/>
    <w:rsid w:val="00E1199E"/>
    <w:rsid w:val="00E125D5"/>
    <w:rsid w:val="00E16644"/>
    <w:rsid w:val="00E208F0"/>
    <w:rsid w:val="00E24DB7"/>
    <w:rsid w:val="00E24FF6"/>
    <w:rsid w:val="00E300B5"/>
    <w:rsid w:val="00E30A5B"/>
    <w:rsid w:val="00E34D0D"/>
    <w:rsid w:val="00E3520F"/>
    <w:rsid w:val="00E35705"/>
    <w:rsid w:val="00E41511"/>
    <w:rsid w:val="00E42F02"/>
    <w:rsid w:val="00E44185"/>
    <w:rsid w:val="00E4444F"/>
    <w:rsid w:val="00E44690"/>
    <w:rsid w:val="00E45EF1"/>
    <w:rsid w:val="00E51E38"/>
    <w:rsid w:val="00E5344D"/>
    <w:rsid w:val="00E560AB"/>
    <w:rsid w:val="00E61B1F"/>
    <w:rsid w:val="00E627DC"/>
    <w:rsid w:val="00E644C4"/>
    <w:rsid w:val="00E74745"/>
    <w:rsid w:val="00E84988"/>
    <w:rsid w:val="00E86AAD"/>
    <w:rsid w:val="00E91D64"/>
    <w:rsid w:val="00EA6E99"/>
    <w:rsid w:val="00EB4C8E"/>
    <w:rsid w:val="00EB5209"/>
    <w:rsid w:val="00EB6C23"/>
    <w:rsid w:val="00EC0495"/>
    <w:rsid w:val="00EC06B8"/>
    <w:rsid w:val="00EC25F0"/>
    <w:rsid w:val="00EC2CDF"/>
    <w:rsid w:val="00EC756E"/>
    <w:rsid w:val="00EE2576"/>
    <w:rsid w:val="00EE661E"/>
    <w:rsid w:val="00EE7F60"/>
    <w:rsid w:val="00EF615F"/>
    <w:rsid w:val="00F12137"/>
    <w:rsid w:val="00F13803"/>
    <w:rsid w:val="00F14AC9"/>
    <w:rsid w:val="00F154CF"/>
    <w:rsid w:val="00F15CC3"/>
    <w:rsid w:val="00F16327"/>
    <w:rsid w:val="00F17C60"/>
    <w:rsid w:val="00F31C01"/>
    <w:rsid w:val="00F34CC1"/>
    <w:rsid w:val="00F40396"/>
    <w:rsid w:val="00F46CA3"/>
    <w:rsid w:val="00F47381"/>
    <w:rsid w:val="00F540DC"/>
    <w:rsid w:val="00F54E69"/>
    <w:rsid w:val="00F55219"/>
    <w:rsid w:val="00F61AAE"/>
    <w:rsid w:val="00F65461"/>
    <w:rsid w:val="00F67C80"/>
    <w:rsid w:val="00F77A0A"/>
    <w:rsid w:val="00F93878"/>
    <w:rsid w:val="00F939F8"/>
    <w:rsid w:val="00F9506D"/>
    <w:rsid w:val="00F95372"/>
    <w:rsid w:val="00F96FE2"/>
    <w:rsid w:val="00FA4B86"/>
    <w:rsid w:val="00FA5AE4"/>
    <w:rsid w:val="00FA7B03"/>
    <w:rsid w:val="00FB079A"/>
    <w:rsid w:val="00FB6709"/>
    <w:rsid w:val="00FB709B"/>
    <w:rsid w:val="00FC2311"/>
    <w:rsid w:val="00FC71DE"/>
    <w:rsid w:val="00FD226C"/>
    <w:rsid w:val="00FD23D6"/>
    <w:rsid w:val="00FD4909"/>
    <w:rsid w:val="00FD7959"/>
    <w:rsid w:val="00FE26DA"/>
    <w:rsid w:val="00FE70B3"/>
    <w:rsid w:val="00FF6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36F14A"/>
  <w15:docId w15:val="{B60D0199-20F4-4337-BAED-8DD411DB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53724"/>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079FB"/>
    <w:pPr>
      <w:tabs>
        <w:tab w:val="center" w:pos="4819"/>
        <w:tab w:val="right" w:pos="9638"/>
      </w:tabs>
    </w:pPr>
  </w:style>
  <w:style w:type="character" w:customStyle="1" w:styleId="PoratDiagrama">
    <w:name w:val="Poraštė Diagrama"/>
    <w:basedOn w:val="Numatytasispastraiposriftas"/>
    <w:link w:val="Porat"/>
    <w:uiPriority w:val="99"/>
    <w:rsid w:val="005079FB"/>
    <w:rPr>
      <w:rFonts w:ascii="Times New Roman" w:eastAsia="Times New Roman" w:hAnsi="Times New Roman" w:cs="Times New Roman"/>
      <w:sz w:val="20"/>
      <w:szCs w:val="20"/>
      <w:lang w:val="en-GB"/>
    </w:rPr>
  </w:style>
  <w:style w:type="paragraph" w:customStyle="1" w:styleId="ListParagraph1">
    <w:name w:val="List Paragraph1"/>
    <w:basedOn w:val="prastasis"/>
    <w:uiPriority w:val="99"/>
    <w:rsid w:val="005079FB"/>
    <w:pPr>
      <w:spacing w:after="120"/>
      <w:ind w:left="708"/>
      <w:jc w:val="both"/>
    </w:pPr>
    <w:rPr>
      <w:sz w:val="24"/>
      <w:szCs w:val="24"/>
      <w:lang w:val="pl-PL" w:eastAsia="en-GB"/>
    </w:rPr>
  </w:style>
  <w:style w:type="paragraph" w:customStyle="1" w:styleId="Sraopastraipa1">
    <w:name w:val="Sąrašo pastraipa1"/>
    <w:basedOn w:val="prastasis"/>
    <w:rsid w:val="005079FB"/>
    <w:pPr>
      <w:spacing w:after="120"/>
      <w:ind w:left="708"/>
      <w:jc w:val="both"/>
    </w:pPr>
    <w:rPr>
      <w:snapToGrid w:val="0"/>
      <w:sz w:val="24"/>
      <w:szCs w:val="24"/>
      <w:lang w:val="pl-PL" w:eastAsia="fr-BE"/>
    </w:rPr>
  </w:style>
  <w:style w:type="paragraph" w:styleId="Sraopastraipa">
    <w:name w:val="List Paragraph"/>
    <w:basedOn w:val="prastasis"/>
    <w:uiPriority w:val="34"/>
    <w:qFormat/>
    <w:rsid w:val="00424EA9"/>
    <w:pPr>
      <w:ind w:left="720"/>
      <w:contextualSpacing/>
    </w:pPr>
  </w:style>
  <w:style w:type="paragraph" w:customStyle="1" w:styleId="ListParagraph2">
    <w:name w:val="List Paragraph2"/>
    <w:basedOn w:val="prastasis"/>
    <w:rsid w:val="00424EA9"/>
    <w:pPr>
      <w:spacing w:after="120"/>
      <w:ind w:left="708"/>
      <w:jc w:val="both"/>
    </w:pPr>
    <w:rPr>
      <w:rFonts w:eastAsia="Calibri"/>
      <w:sz w:val="24"/>
      <w:szCs w:val="24"/>
      <w:lang w:val="pl-PL" w:eastAsia="fr-BE"/>
    </w:rPr>
  </w:style>
  <w:style w:type="paragraph" w:styleId="Antrats">
    <w:name w:val="header"/>
    <w:basedOn w:val="prastasis"/>
    <w:link w:val="AntratsDiagrama"/>
    <w:uiPriority w:val="99"/>
    <w:unhideWhenUsed/>
    <w:rsid w:val="00853F5C"/>
    <w:pPr>
      <w:tabs>
        <w:tab w:val="center" w:pos="4819"/>
        <w:tab w:val="right" w:pos="9638"/>
      </w:tabs>
    </w:pPr>
  </w:style>
  <w:style w:type="character" w:customStyle="1" w:styleId="AntratsDiagrama">
    <w:name w:val="Antraštės Diagrama"/>
    <w:basedOn w:val="Numatytasispastraiposriftas"/>
    <w:link w:val="Antrats"/>
    <w:uiPriority w:val="99"/>
    <w:rsid w:val="00853F5C"/>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3A5F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5FF0"/>
    <w:rPr>
      <w:rFonts w:ascii="Tahoma" w:eastAsia="Times New Roman" w:hAnsi="Tahoma" w:cs="Tahoma"/>
      <w:sz w:val="16"/>
      <w:szCs w:val="16"/>
      <w:lang w:val="en-GB"/>
    </w:rPr>
  </w:style>
  <w:style w:type="paragraph" w:styleId="Betarp">
    <w:name w:val="No Spacing"/>
    <w:uiPriority w:val="1"/>
    <w:qFormat/>
    <w:rsid w:val="00BC29A2"/>
    <w:pPr>
      <w:spacing w:after="0" w:line="240" w:lineRule="auto"/>
    </w:pPr>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semiHidden/>
    <w:unhideWhenUsed/>
    <w:rsid w:val="002331B7"/>
    <w:rPr>
      <w:sz w:val="16"/>
      <w:szCs w:val="16"/>
    </w:rPr>
  </w:style>
  <w:style w:type="paragraph" w:styleId="Komentarotekstas">
    <w:name w:val="annotation text"/>
    <w:basedOn w:val="prastasis"/>
    <w:link w:val="KomentarotekstasDiagrama"/>
    <w:uiPriority w:val="99"/>
    <w:semiHidden/>
    <w:unhideWhenUsed/>
    <w:rsid w:val="002331B7"/>
  </w:style>
  <w:style w:type="character" w:customStyle="1" w:styleId="KomentarotekstasDiagrama">
    <w:name w:val="Komentaro tekstas Diagrama"/>
    <w:basedOn w:val="Numatytasispastraiposriftas"/>
    <w:link w:val="Komentarotekstas"/>
    <w:uiPriority w:val="99"/>
    <w:semiHidden/>
    <w:rsid w:val="002331B7"/>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331B7"/>
    <w:rPr>
      <w:b/>
      <w:bCs/>
    </w:rPr>
  </w:style>
  <w:style w:type="character" w:customStyle="1" w:styleId="KomentarotemaDiagrama">
    <w:name w:val="Komentaro tema Diagrama"/>
    <w:basedOn w:val="KomentarotekstasDiagrama"/>
    <w:link w:val="Komentarotema"/>
    <w:uiPriority w:val="99"/>
    <w:semiHidden/>
    <w:rsid w:val="002331B7"/>
    <w:rPr>
      <w:rFonts w:ascii="Times New Roman" w:eastAsia="Times New Roman" w:hAnsi="Times New Roman" w:cs="Times New Roman"/>
      <w:b/>
      <w:bCs/>
      <w:sz w:val="20"/>
      <w:szCs w:val="20"/>
      <w:lang w:val="en-GB"/>
    </w:rPr>
  </w:style>
  <w:style w:type="paragraph" w:customStyle="1" w:styleId="PointManual">
    <w:name w:val="Point Manual"/>
    <w:basedOn w:val="prastasis"/>
    <w:rsid w:val="0011730F"/>
    <w:pPr>
      <w:spacing w:before="200"/>
      <w:ind w:left="567" w:hanging="567"/>
    </w:pPr>
    <w:rPr>
      <w:rFonts w:eastAsia="Calibri"/>
      <w:sz w:val="24"/>
      <w:szCs w:val="22"/>
      <w:lang w:val="lt-LT"/>
    </w:rPr>
  </w:style>
  <w:style w:type="paragraph" w:customStyle="1" w:styleId="DashEqual1">
    <w:name w:val="Dash Equal 1"/>
    <w:basedOn w:val="prastasis"/>
    <w:rsid w:val="0011730F"/>
    <w:pPr>
      <w:numPr>
        <w:numId w:val="14"/>
      </w:numPr>
      <w:tabs>
        <w:tab w:val="clear" w:pos="1134"/>
        <w:tab w:val="num" w:pos="361"/>
      </w:tabs>
      <w:ind w:left="361" w:hanging="360"/>
    </w:pPr>
    <w:rPr>
      <w:rFonts w:eastAsia="Calibri"/>
      <w:sz w:val="24"/>
      <w:szCs w:val="22"/>
      <w:lang w:val="lt-LT"/>
    </w:rPr>
  </w:style>
  <w:style w:type="paragraph" w:customStyle="1" w:styleId="Pointabc">
    <w:name w:val="Point abc"/>
    <w:basedOn w:val="prastasis"/>
    <w:rsid w:val="00A67E06"/>
    <w:pPr>
      <w:numPr>
        <w:ilvl w:val="1"/>
        <w:numId w:val="16"/>
      </w:numPr>
      <w:spacing w:before="120" w:after="120" w:line="360" w:lineRule="auto"/>
    </w:pPr>
    <w:rPr>
      <w:rFonts w:eastAsia="Calibri"/>
      <w:sz w:val="24"/>
      <w:szCs w:val="22"/>
      <w:lang w:val="lt-LT"/>
    </w:rPr>
  </w:style>
  <w:style w:type="paragraph" w:customStyle="1" w:styleId="Pointabc1">
    <w:name w:val="Point abc (1)"/>
    <w:basedOn w:val="prastasis"/>
    <w:rsid w:val="00A67E06"/>
    <w:pPr>
      <w:numPr>
        <w:ilvl w:val="3"/>
        <w:numId w:val="16"/>
      </w:numPr>
      <w:spacing w:before="120" w:after="120" w:line="360" w:lineRule="auto"/>
    </w:pPr>
    <w:rPr>
      <w:rFonts w:eastAsia="Calibri"/>
      <w:sz w:val="24"/>
      <w:szCs w:val="22"/>
      <w:lang w:val="lt-LT"/>
    </w:rPr>
  </w:style>
  <w:style w:type="paragraph" w:customStyle="1" w:styleId="Pointabc2">
    <w:name w:val="Point abc (2)"/>
    <w:basedOn w:val="prastasis"/>
    <w:rsid w:val="00A67E06"/>
    <w:pPr>
      <w:numPr>
        <w:ilvl w:val="5"/>
        <w:numId w:val="16"/>
      </w:numPr>
      <w:spacing w:before="120" w:after="120" w:line="360" w:lineRule="auto"/>
    </w:pPr>
    <w:rPr>
      <w:rFonts w:eastAsia="Calibri"/>
      <w:sz w:val="24"/>
      <w:szCs w:val="22"/>
      <w:lang w:val="lt-LT"/>
    </w:rPr>
  </w:style>
  <w:style w:type="paragraph" w:customStyle="1" w:styleId="Pointabc3">
    <w:name w:val="Point abc (3)"/>
    <w:basedOn w:val="prastasis"/>
    <w:rsid w:val="00A67E06"/>
    <w:pPr>
      <w:numPr>
        <w:ilvl w:val="7"/>
        <w:numId w:val="16"/>
      </w:numPr>
      <w:spacing w:before="120" w:after="120" w:line="360" w:lineRule="auto"/>
    </w:pPr>
    <w:rPr>
      <w:rFonts w:eastAsia="Calibri"/>
      <w:sz w:val="24"/>
      <w:szCs w:val="22"/>
      <w:lang w:val="lt-LT"/>
    </w:rPr>
  </w:style>
  <w:style w:type="paragraph" w:customStyle="1" w:styleId="Pointabc4">
    <w:name w:val="Point abc (4)"/>
    <w:basedOn w:val="prastasis"/>
    <w:rsid w:val="00A67E06"/>
    <w:pPr>
      <w:numPr>
        <w:ilvl w:val="8"/>
        <w:numId w:val="16"/>
      </w:numPr>
      <w:spacing w:before="120" w:after="120" w:line="360" w:lineRule="auto"/>
    </w:pPr>
    <w:rPr>
      <w:rFonts w:eastAsia="Calibri"/>
      <w:sz w:val="24"/>
      <w:szCs w:val="22"/>
      <w:lang w:val="lt-LT"/>
    </w:rPr>
  </w:style>
  <w:style w:type="paragraph" w:customStyle="1" w:styleId="Point123">
    <w:name w:val="Point 123"/>
    <w:basedOn w:val="prastasis"/>
    <w:rsid w:val="00A67E06"/>
    <w:pPr>
      <w:numPr>
        <w:numId w:val="16"/>
      </w:numPr>
      <w:spacing w:before="120" w:after="120" w:line="360" w:lineRule="auto"/>
    </w:pPr>
    <w:rPr>
      <w:rFonts w:eastAsia="Calibri"/>
      <w:sz w:val="24"/>
      <w:szCs w:val="22"/>
      <w:lang w:val="lt-LT"/>
    </w:rPr>
  </w:style>
  <w:style w:type="paragraph" w:customStyle="1" w:styleId="Point1231">
    <w:name w:val="Point 123 (1)"/>
    <w:basedOn w:val="prastasis"/>
    <w:rsid w:val="00A67E06"/>
    <w:pPr>
      <w:numPr>
        <w:ilvl w:val="2"/>
        <w:numId w:val="16"/>
      </w:numPr>
      <w:spacing w:before="120" w:after="120" w:line="360" w:lineRule="auto"/>
    </w:pPr>
    <w:rPr>
      <w:rFonts w:eastAsia="Calibri"/>
      <w:sz w:val="24"/>
      <w:szCs w:val="22"/>
      <w:lang w:val="lt-LT"/>
    </w:rPr>
  </w:style>
  <w:style w:type="paragraph" w:customStyle="1" w:styleId="Point1232">
    <w:name w:val="Point 123 (2)"/>
    <w:basedOn w:val="prastasis"/>
    <w:rsid w:val="00A67E06"/>
    <w:pPr>
      <w:numPr>
        <w:ilvl w:val="4"/>
        <w:numId w:val="16"/>
      </w:numPr>
      <w:spacing w:before="120" w:after="120" w:line="360" w:lineRule="auto"/>
    </w:pPr>
    <w:rPr>
      <w:rFonts w:eastAsia="Calibri"/>
      <w:sz w:val="24"/>
      <w:szCs w:val="22"/>
      <w:lang w:val="lt-LT"/>
    </w:rPr>
  </w:style>
  <w:style w:type="paragraph" w:customStyle="1" w:styleId="Point1233">
    <w:name w:val="Point 123 (3)"/>
    <w:basedOn w:val="prastasis"/>
    <w:rsid w:val="00A67E06"/>
    <w:pPr>
      <w:numPr>
        <w:ilvl w:val="6"/>
        <w:numId w:val="16"/>
      </w:numPr>
      <w:spacing w:before="120" w:after="120" w:line="360" w:lineRule="auto"/>
    </w:pPr>
    <w:rPr>
      <w:rFonts w:eastAsia="Calibri"/>
      <w:sz w:val="24"/>
      <w:szCs w:val="22"/>
      <w:lang w:val="lt-LT"/>
    </w:rPr>
  </w:style>
  <w:style w:type="paragraph" w:customStyle="1" w:styleId="Dash1">
    <w:name w:val="Dash 1"/>
    <w:basedOn w:val="prastasis"/>
    <w:rsid w:val="00A67E06"/>
    <w:pPr>
      <w:numPr>
        <w:numId w:val="15"/>
      </w:numPr>
      <w:spacing w:before="120" w:after="120" w:line="360" w:lineRule="auto"/>
    </w:pPr>
    <w:rPr>
      <w:rFonts w:eastAsia="Calibri"/>
      <w:sz w:val="24"/>
      <w:szCs w:val="22"/>
      <w:lang w:val="lt-LT"/>
    </w:rPr>
  </w:style>
  <w:style w:type="paragraph" w:customStyle="1" w:styleId="Default">
    <w:name w:val="Default"/>
    <w:rsid w:val="00C8025A"/>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4D2269"/>
    <w:pPr>
      <w:spacing w:before="100" w:beforeAutospacing="1" w:after="100" w:afterAutospacing="1"/>
    </w:pPr>
    <w:rPr>
      <w:sz w:val="24"/>
      <w:szCs w:val="24"/>
      <w:lang w:val="lt-LT" w:eastAsia="lt-LT"/>
    </w:rPr>
  </w:style>
  <w:style w:type="paragraph" w:styleId="Puslapioinaostekstas">
    <w:name w:val="footnote text"/>
    <w:basedOn w:val="prastasis"/>
    <w:link w:val="PuslapioinaostekstasDiagrama"/>
    <w:uiPriority w:val="99"/>
    <w:semiHidden/>
    <w:unhideWhenUsed/>
    <w:rsid w:val="00017964"/>
    <w:rPr>
      <w:lang w:val="pl-PL" w:eastAsia="pl-PL"/>
    </w:rPr>
  </w:style>
  <w:style w:type="character" w:customStyle="1" w:styleId="PuslapioinaostekstasDiagrama">
    <w:name w:val="Puslapio išnašos tekstas Diagrama"/>
    <w:basedOn w:val="Numatytasispastraiposriftas"/>
    <w:link w:val="Puslapioinaostekstas"/>
    <w:uiPriority w:val="99"/>
    <w:semiHidden/>
    <w:rsid w:val="00017964"/>
    <w:rPr>
      <w:rFonts w:ascii="Times New Roman" w:eastAsia="Times New Roman" w:hAnsi="Times New Roman" w:cs="Times New Roman"/>
      <w:sz w:val="20"/>
      <w:szCs w:val="20"/>
      <w:lang w:val="pl-PL" w:eastAsia="pl-PL"/>
    </w:rPr>
  </w:style>
  <w:style w:type="character" w:styleId="Puslapioinaosnuoroda">
    <w:name w:val="footnote reference"/>
    <w:basedOn w:val="Numatytasispastraiposriftas"/>
    <w:uiPriority w:val="99"/>
    <w:semiHidden/>
    <w:unhideWhenUsed/>
    <w:rsid w:val="00017964"/>
    <w:rPr>
      <w:vertAlign w:val="superscript"/>
    </w:rPr>
  </w:style>
  <w:style w:type="paragraph" w:customStyle="1" w:styleId="pointmanual0">
    <w:name w:val="pointmanual"/>
    <w:basedOn w:val="prastasis"/>
    <w:rsid w:val="00575925"/>
    <w:pPr>
      <w:spacing w:before="200"/>
      <w:ind w:left="567" w:hanging="567"/>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64664">
      <w:bodyDiv w:val="1"/>
      <w:marLeft w:val="0"/>
      <w:marRight w:val="0"/>
      <w:marTop w:val="0"/>
      <w:marBottom w:val="0"/>
      <w:divBdr>
        <w:top w:val="none" w:sz="0" w:space="0" w:color="auto"/>
        <w:left w:val="none" w:sz="0" w:space="0" w:color="auto"/>
        <w:bottom w:val="none" w:sz="0" w:space="0" w:color="auto"/>
        <w:right w:val="none" w:sz="0" w:space="0" w:color="auto"/>
      </w:divBdr>
    </w:div>
    <w:div w:id="175390251">
      <w:bodyDiv w:val="1"/>
      <w:marLeft w:val="0"/>
      <w:marRight w:val="0"/>
      <w:marTop w:val="0"/>
      <w:marBottom w:val="0"/>
      <w:divBdr>
        <w:top w:val="none" w:sz="0" w:space="0" w:color="auto"/>
        <w:left w:val="none" w:sz="0" w:space="0" w:color="auto"/>
        <w:bottom w:val="none" w:sz="0" w:space="0" w:color="auto"/>
        <w:right w:val="none" w:sz="0" w:space="0" w:color="auto"/>
      </w:divBdr>
      <w:divsChild>
        <w:div w:id="961306044">
          <w:marLeft w:val="0"/>
          <w:marRight w:val="0"/>
          <w:marTop w:val="0"/>
          <w:marBottom w:val="0"/>
          <w:divBdr>
            <w:top w:val="none" w:sz="0" w:space="0" w:color="auto"/>
            <w:left w:val="none" w:sz="0" w:space="0" w:color="auto"/>
            <w:bottom w:val="none" w:sz="0" w:space="0" w:color="auto"/>
            <w:right w:val="none" w:sz="0" w:space="0" w:color="auto"/>
          </w:divBdr>
        </w:div>
      </w:divsChild>
    </w:div>
    <w:div w:id="380783832">
      <w:bodyDiv w:val="1"/>
      <w:marLeft w:val="0"/>
      <w:marRight w:val="0"/>
      <w:marTop w:val="0"/>
      <w:marBottom w:val="0"/>
      <w:divBdr>
        <w:top w:val="none" w:sz="0" w:space="0" w:color="auto"/>
        <w:left w:val="none" w:sz="0" w:space="0" w:color="auto"/>
        <w:bottom w:val="none" w:sz="0" w:space="0" w:color="auto"/>
        <w:right w:val="none" w:sz="0" w:space="0" w:color="auto"/>
      </w:divBdr>
    </w:div>
    <w:div w:id="439760986">
      <w:bodyDiv w:val="1"/>
      <w:marLeft w:val="0"/>
      <w:marRight w:val="0"/>
      <w:marTop w:val="0"/>
      <w:marBottom w:val="0"/>
      <w:divBdr>
        <w:top w:val="none" w:sz="0" w:space="0" w:color="auto"/>
        <w:left w:val="none" w:sz="0" w:space="0" w:color="auto"/>
        <w:bottom w:val="none" w:sz="0" w:space="0" w:color="auto"/>
        <w:right w:val="none" w:sz="0" w:space="0" w:color="auto"/>
      </w:divBdr>
    </w:div>
    <w:div w:id="679116097">
      <w:bodyDiv w:val="1"/>
      <w:marLeft w:val="0"/>
      <w:marRight w:val="0"/>
      <w:marTop w:val="0"/>
      <w:marBottom w:val="0"/>
      <w:divBdr>
        <w:top w:val="none" w:sz="0" w:space="0" w:color="auto"/>
        <w:left w:val="none" w:sz="0" w:space="0" w:color="auto"/>
        <w:bottom w:val="none" w:sz="0" w:space="0" w:color="auto"/>
        <w:right w:val="none" w:sz="0" w:space="0" w:color="auto"/>
      </w:divBdr>
    </w:div>
    <w:div w:id="996612584">
      <w:bodyDiv w:val="1"/>
      <w:marLeft w:val="0"/>
      <w:marRight w:val="0"/>
      <w:marTop w:val="0"/>
      <w:marBottom w:val="0"/>
      <w:divBdr>
        <w:top w:val="none" w:sz="0" w:space="0" w:color="auto"/>
        <w:left w:val="none" w:sz="0" w:space="0" w:color="auto"/>
        <w:bottom w:val="none" w:sz="0" w:space="0" w:color="auto"/>
        <w:right w:val="none" w:sz="0" w:space="0" w:color="auto"/>
      </w:divBdr>
    </w:div>
    <w:div w:id="1095907381">
      <w:bodyDiv w:val="1"/>
      <w:marLeft w:val="0"/>
      <w:marRight w:val="0"/>
      <w:marTop w:val="0"/>
      <w:marBottom w:val="0"/>
      <w:divBdr>
        <w:top w:val="none" w:sz="0" w:space="0" w:color="auto"/>
        <w:left w:val="none" w:sz="0" w:space="0" w:color="auto"/>
        <w:bottom w:val="none" w:sz="0" w:space="0" w:color="auto"/>
        <w:right w:val="none" w:sz="0" w:space="0" w:color="auto"/>
      </w:divBdr>
    </w:div>
    <w:div w:id="1525363282">
      <w:bodyDiv w:val="1"/>
      <w:marLeft w:val="0"/>
      <w:marRight w:val="0"/>
      <w:marTop w:val="0"/>
      <w:marBottom w:val="0"/>
      <w:divBdr>
        <w:top w:val="none" w:sz="0" w:space="0" w:color="auto"/>
        <w:left w:val="none" w:sz="0" w:space="0" w:color="auto"/>
        <w:bottom w:val="none" w:sz="0" w:space="0" w:color="auto"/>
        <w:right w:val="none" w:sz="0" w:space="0" w:color="auto"/>
      </w:divBdr>
    </w:div>
    <w:div w:id="1748921898">
      <w:bodyDiv w:val="1"/>
      <w:marLeft w:val="0"/>
      <w:marRight w:val="0"/>
      <w:marTop w:val="0"/>
      <w:marBottom w:val="0"/>
      <w:divBdr>
        <w:top w:val="none" w:sz="0" w:space="0" w:color="auto"/>
        <w:left w:val="none" w:sz="0" w:space="0" w:color="auto"/>
        <w:bottom w:val="none" w:sz="0" w:space="0" w:color="auto"/>
        <w:right w:val="none" w:sz="0" w:space="0" w:color="auto"/>
      </w:divBdr>
    </w:div>
    <w:div w:id="1788112886">
      <w:bodyDiv w:val="1"/>
      <w:marLeft w:val="0"/>
      <w:marRight w:val="0"/>
      <w:marTop w:val="0"/>
      <w:marBottom w:val="0"/>
      <w:divBdr>
        <w:top w:val="none" w:sz="0" w:space="0" w:color="auto"/>
        <w:left w:val="none" w:sz="0" w:space="0" w:color="auto"/>
        <w:bottom w:val="none" w:sz="0" w:space="0" w:color="auto"/>
        <w:right w:val="none" w:sz="0" w:space="0" w:color="auto"/>
      </w:divBdr>
      <w:divsChild>
        <w:div w:id="1156919529">
          <w:marLeft w:val="0"/>
          <w:marRight w:val="0"/>
          <w:marTop w:val="0"/>
          <w:marBottom w:val="0"/>
          <w:divBdr>
            <w:top w:val="none" w:sz="0" w:space="0" w:color="auto"/>
            <w:left w:val="none" w:sz="0" w:space="0" w:color="auto"/>
            <w:bottom w:val="none" w:sz="0" w:space="0" w:color="auto"/>
            <w:right w:val="none" w:sz="0" w:space="0" w:color="auto"/>
          </w:divBdr>
        </w:div>
      </w:divsChild>
    </w:div>
    <w:div w:id="196126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896C1-38B6-4B49-A846-9F58D119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24859</Words>
  <Characters>14171</Characters>
  <Application>Microsoft Office Word</Application>
  <DocSecurity>0</DocSecurity>
  <Lines>118</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2018-11-25T20:03:00Z</dcterms:created>
  <dc:creator>Dimitrij Zadojenko</dc:creator>
  <cp:lastModifiedBy>Vaiva Obelevičienė</cp:lastModifiedBy>
  <cp:lastPrinted>2017-06-01T09:58:00Z</cp:lastPrinted>
  <dcterms:modified xsi:type="dcterms:W3CDTF">2018-11-26T09:38:00Z</dcterms:modified>
  <cp:revision>21</cp:revision>
</cp:coreProperties>
</file>