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13CB2" w14:textId="77777777" w:rsidR="000362A3" w:rsidRPr="00C56A24" w:rsidRDefault="000362A3" w:rsidP="000362A3">
      <w:pPr>
        <w:pStyle w:val="HTMLiankstoformatuotas"/>
        <w:tabs>
          <w:tab w:val="clear" w:pos="9160"/>
          <w:tab w:val="left" w:pos="9639"/>
        </w:tabs>
        <w:jc w:val="center"/>
        <w:rPr>
          <w:rFonts w:ascii="Times New Roman" w:hAnsi="Times New Roman" w:cs="Times New Roman"/>
          <w:b/>
          <w:sz w:val="24"/>
          <w:szCs w:val="24"/>
        </w:rPr>
      </w:pPr>
      <w:r w:rsidRPr="00C56A24">
        <w:rPr>
          <w:rFonts w:ascii="Times New Roman" w:hAnsi="Times New Roman" w:cs="Times New Roman"/>
          <w:b/>
          <w:sz w:val="24"/>
          <w:szCs w:val="24"/>
        </w:rPr>
        <w:t>LIETUVOS RESPUBLIKOS</w:t>
      </w:r>
    </w:p>
    <w:p w14:paraId="5E3260BD" w14:textId="77777777" w:rsidR="000362A3" w:rsidRPr="00C56A24" w:rsidRDefault="000362A3" w:rsidP="000362A3">
      <w:pPr>
        <w:pStyle w:val="HTMLiankstoformatuotas"/>
        <w:tabs>
          <w:tab w:val="clear" w:pos="9160"/>
          <w:tab w:val="left" w:pos="9639"/>
        </w:tabs>
        <w:jc w:val="center"/>
        <w:rPr>
          <w:rFonts w:ascii="Times New Roman" w:hAnsi="Times New Roman" w:cs="Times New Roman"/>
          <w:b/>
          <w:sz w:val="24"/>
          <w:szCs w:val="24"/>
        </w:rPr>
      </w:pPr>
      <w:r w:rsidRPr="00C56A24">
        <w:rPr>
          <w:rFonts w:ascii="Times New Roman" w:hAnsi="Times New Roman" w:cs="Times New Roman"/>
          <w:b/>
          <w:sz w:val="24"/>
          <w:szCs w:val="24"/>
        </w:rPr>
        <w:t>VALSTYBĖS POLITIKŲ, TEISĖJŲ, VALSTYBĖS</w:t>
      </w:r>
    </w:p>
    <w:p w14:paraId="4DB617F6" w14:textId="6AA178AF" w:rsidR="000362A3" w:rsidRPr="00C56A24" w:rsidRDefault="000362A3" w:rsidP="000362A3">
      <w:pPr>
        <w:pStyle w:val="HTMLiankstoformatuotas"/>
        <w:tabs>
          <w:tab w:val="clear" w:pos="9160"/>
          <w:tab w:val="left" w:pos="9639"/>
        </w:tabs>
        <w:jc w:val="center"/>
        <w:rPr>
          <w:rFonts w:ascii="Times New Roman" w:hAnsi="Times New Roman" w:cs="Times New Roman"/>
          <w:b/>
          <w:sz w:val="24"/>
          <w:szCs w:val="24"/>
        </w:rPr>
      </w:pPr>
      <w:r w:rsidRPr="00C56A24">
        <w:rPr>
          <w:rFonts w:ascii="Times New Roman" w:hAnsi="Times New Roman" w:cs="Times New Roman"/>
          <w:b/>
          <w:sz w:val="24"/>
          <w:szCs w:val="24"/>
        </w:rPr>
        <w:t>PAREIGŪNŲ,</w:t>
      </w:r>
      <w:r w:rsidR="00C8486B" w:rsidRPr="00C56A24">
        <w:rPr>
          <w:rFonts w:ascii="Times New Roman" w:hAnsi="Times New Roman" w:cs="Times New Roman"/>
          <w:b/>
          <w:sz w:val="24"/>
          <w:szCs w:val="24"/>
        </w:rPr>
        <w:t xml:space="preserve"> </w:t>
      </w:r>
      <w:r w:rsidRPr="00C56A24">
        <w:rPr>
          <w:rFonts w:ascii="Times New Roman" w:hAnsi="Times New Roman" w:cs="Times New Roman"/>
          <w:b/>
          <w:sz w:val="24"/>
          <w:szCs w:val="24"/>
        </w:rPr>
        <w:t xml:space="preserve">VALSTYBĖS TARNAUTOJŲ </w:t>
      </w:r>
      <w:r w:rsidR="00E2098D" w:rsidRPr="00C56A24">
        <w:rPr>
          <w:rFonts w:ascii="Times New Roman" w:hAnsi="Times New Roman" w:cs="Times New Roman"/>
          <w:b/>
          <w:sz w:val="24"/>
          <w:szCs w:val="24"/>
        </w:rPr>
        <w:t>BEI</w:t>
      </w:r>
      <w:r w:rsidRPr="00C56A24">
        <w:rPr>
          <w:rFonts w:ascii="Times New Roman" w:hAnsi="Times New Roman" w:cs="Times New Roman"/>
          <w:b/>
          <w:sz w:val="24"/>
          <w:szCs w:val="24"/>
        </w:rPr>
        <w:t xml:space="preserve"> VALSTYBĖS IR SAVIVALDYBIŲ BIUDŽETINIŲ ĮSTAIGŲ DARBUOTOJŲ PAREIGINĖS ALGOS (ATLYGINIMO) BAZINIO DYDŽIO,</w:t>
      </w:r>
      <w:r w:rsidR="0066042C" w:rsidRPr="00C56A24">
        <w:rPr>
          <w:rFonts w:ascii="Times New Roman" w:hAnsi="Times New Roman" w:cs="Times New Roman"/>
          <w:b/>
          <w:sz w:val="24"/>
          <w:szCs w:val="24"/>
        </w:rPr>
        <w:t xml:space="preserve"> </w:t>
      </w:r>
      <w:r w:rsidRPr="00C56A24">
        <w:rPr>
          <w:rFonts w:ascii="Times New Roman" w:hAnsi="Times New Roman" w:cs="Times New Roman"/>
          <w:b/>
          <w:sz w:val="24"/>
          <w:szCs w:val="24"/>
        </w:rPr>
        <w:t>TAIKOMO 20</w:t>
      </w:r>
      <w:r w:rsidR="00A4367C" w:rsidRPr="00C56A24">
        <w:rPr>
          <w:rFonts w:ascii="Times New Roman" w:hAnsi="Times New Roman" w:cs="Times New Roman"/>
          <w:b/>
          <w:sz w:val="24"/>
          <w:szCs w:val="24"/>
        </w:rPr>
        <w:t>2</w:t>
      </w:r>
      <w:r w:rsidR="00F7318B" w:rsidRPr="00C56A24">
        <w:rPr>
          <w:rFonts w:ascii="Times New Roman" w:hAnsi="Times New Roman" w:cs="Times New Roman"/>
          <w:b/>
          <w:sz w:val="24"/>
          <w:szCs w:val="24"/>
        </w:rPr>
        <w:t>1</w:t>
      </w:r>
      <w:r w:rsidRPr="00C56A24">
        <w:rPr>
          <w:rFonts w:ascii="Times New Roman" w:hAnsi="Times New Roman" w:cs="Times New Roman"/>
          <w:b/>
          <w:sz w:val="24"/>
          <w:szCs w:val="24"/>
        </w:rPr>
        <w:t xml:space="preserve"> METAIS,</w:t>
      </w:r>
    </w:p>
    <w:p w14:paraId="5DC22862" w14:textId="77777777" w:rsidR="000362A3" w:rsidRPr="00C56A24" w:rsidRDefault="000362A3" w:rsidP="000362A3">
      <w:pPr>
        <w:pStyle w:val="HTMLiankstoformatuotas"/>
        <w:tabs>
          <w:tab w:val="clear" w:pos="9160"/>
          <w:tab w:val="left" w:pos="9639"/>
        </w:tabs>
        <w:jc w:val="center"/>
        <w:rPr>
          <w:rFonts w:ascii="Times New Roman" w:hAnsi="Times New Roman" w:cs="Times New Roman"/>
          <w:b/>
          <w:sz w:val="24"/>
          <w:szCs w:val="24"/>
        </w:rPr>
      </w:pPr>
      <w:r w:rsidRPr="00C56A24">
        <w:rPr>
          <w:rFonts w:ascii="Times New Roman" w:hAnsi="Times New Roman" w:cs="Times New Roman"/>
          <w:b/>
          <w:sz w:val="24"/>
          <w:szCs w:val="24"/>
        </w:rPr>
        <w:t>ĮSTATYMO PROJEKTO</w:t>
      </w:r>
    </w:p>
    <w:p w14:paraId="7C9426A4" w14:textId="77777777" w:rsidR="00A10BFD" w:rsidRPr="00C56A24" w:rsidRDefault="00A10BFD" w:rsidP="00E321B3">
      <w:pPr>
        <w:jc w:val="center"/>
        <w:rPr>
          <w:b/>
          <w:bCs/>
          <w:sz w:val="24"/>
          <w:szCs w:val="24"/>
          <w:lang w:val="lt-LT"/>
        </w:rPr>
      </w:pPr>
      <w:r w:rsidRPr="00C56A24">
        <w:rPr>
          <w:b/>
          <w:bCs/>
          <w:sz w:val="24"/>
          <w:szCs w:val="24"/>
          <w:lang w:val="lt-LT"/>
        </w:rPr>
        <w:t>AIŠKINAMASIS RAŠTAS</w:t>
      </w:r>
    </w:p>
    <w:p w14:paraId="5A9B691F" w14:textId="77777777" w:rsidR="00A10BFD" w:rsidRPr="00C56A24" w:rsidRDefault="00A10BFD" w:rsidP="00A24E93">
      <w:pPr>
        <w:ind w:firstLine="709"/>
        <w:jc w:val="center"/>
        <w:rPr>
          <w:b/>
          <w:bCs/>
          <w:sz w:val="24"/>
          <w:szCs w:val="24"/>
          <w:lang w:val="lt-LT"/>
        </w:rPr>
      </w:pPr>
    </w:p>
    <w:p w14:paraId="171CBABB" w14:textId="77777777" w:rsidR="00AA1D3F" w:rsidRPr="00C56A24" w:rsidRDefault="008A5117" w:rsidP="002774E1">
      <w:pPr>
        <w:ind w:firstLine="851"/>
        <w:jc w:val="both"/>
        <w:rPr>
          <w:sz w:val="24"/>
          <w:szCs w:val="24"/>
          <w:lang w:val="lt-LT"/>
        </w:rPr>
      </w:pPr>
      <w:r w:rsidRPr="00C56A24">
        <w:rPr>
          <w:b/>
          <w:bCs/>
          <w:sz w:val="24"/>
          <w:szCs w:val="24"/>
          <w:lang w:val="lt-LT"/>
        </w:rPr>
        <w:t>1. Įstatymo p</w:t>
      </w:r>
      <w:r w:rsidR="00970C52" w:rsidRPr="00C56A24">
        <w:rPr>
          <w:b/>
          <w:bCs/>
          <w:sz w:val="24"/>
          <w:szCs w:val="24"/>
          <w:lang w:val="lt-LT"/>
        </w:rPr>
        <w:t xml:space="preserve">rojekto rengimą paskatinusios priežastys, </w:t>
      </w:r>
      <w:r w:rsidRPr="00C56A24">
        <w:rPr>
          <w:b/>
          <w:bCs/>
          <w:sz w:val="24"/>
          <w:szCs w:val="24"/>
          <w:lang w:val="lt-LT"/>
        </w:rPr>
        <w:t>parengto projekto tikslai ir uždaviniai</w:t>
      </w:r>
    </w:p>
    <w:p w14:paraId="44346410" w14:textId="243A3C19" w:rsidR="00E15F40" w:rsidRPr="00C56A24" w:rsidRDefault="002D1BD3" w:rsidP="002774E1">
      <w:pPr>
        <w:ind w:firstLine="851"/>
        <w:jc w:val="both"/>
        <w:rPr>
          <w:sz w:val="24"/>
          <w:szCs w:val="24"/>
          <w:lang w:val="lt-LT"/>
        </w:rPr>
      </w:pPr>
      <w:r w:rsidRPr="00C56A24">
        <w:rPr>
          <w:sz w:val="24"/>
          <w:szCs w:val="24"/>
          <w:lang w:val="lt-LT"/>
        </w:rPr>
        <w:t xml:space="preserve">Lietuvos Respublikos valstybės politikų, teisėjų, valstybės pareigūnų, valstybės tarnautojų </w:t>
      </w:r>
      <w:r w:rsidR="00E2098D" w:rsidRPr="00C56A24">
        <w:rPr>
          <w:sz w:val="24"/>
          <w:szCs w:val="24"/>
          <w:lang w:val="lt-LT"/>
        </w:rPr>
        <w:t>bei</w:t>
      </w:r>
      <w:r w:rsidRPr="00C56A24">
        <w:rPr>
          <w:sz w:val="24"/>
          <w:szCs w:val="24"/>
          <w:lang w:val="lt-LT"/>
        </w:rPr>
        <w:t xml:space="preserve"> valstybės ir savivaldybių biudžetinių įstaigų darbuotojų pareiginės algos (atlyginimo) bazinio dydžio, taikomo 20</w:t>
      </w:r>
      <w:r w:rsidR="00A4367C" w:rsidRPr="00C56A24">
        <w:rPr>
          <w:sz w:val="24"/>
          <w:szCs w:val="24"/>
          <w:lang w:val="lt-LT"/>
        </w:rPr>
        <w:t>2</w:t>
      </w:r>
      <w:r w:rsidR="00F7318B" w:rsidRPr="00C56A24">
        <w:rPr>
          <w:sz w:val="24"/>
          <w:szCs w:val="24"/>
          <w:lang w:val="lt-LT"/>
        </w:rPr>
        <w:t>1</w:t>
      </w:r>
      <w:r w:rsidRPr="00C56A24">
        <w:rPr>
          <w:sz w:val="24"/>
          <w:szCs w:val="24"/>
          <w:lang w:val="lt-LT"/>
        </w:rPr>
        <w:t xml:space="preserve"> metais, įstatymo</w:t>
      </w:r>
      <w:r w:rsidR="001246A8" w:rsidRPr="00C56A24">
        <w:rPr>
          <w:sz w:val="24"/>
          <w:szCs w:val="24"/>
          <w:lang w:val="lt-LT"/>
        </w:rPr>
        <w:t xml:space="preserve"> </w:t>
      </w:r>
      <w:r w:rsidR="00BF528B" w:rsidRPr="00C56A24">
        <w:rPr>
          <w:sz w:val="24"/>
          <w:szCs w:val="24"/>
          <w:lang w:val="lt-LT"/>
        </w:rPr>
        <w:t>projektas (toliau – į</w:t>
      </w:r>
      <w:r w:rsidR="00CE3FED" w:rsidRPr="00C56A24">
        <w:rPr>
          <w:sz w:val="24"/>
          <w:szCs w:val="24"/>
          <w:lang w:val="lt-LT"/>
        </w:rPr>
        <w:t>statymo projektas</w:t>
      </w:r>
      <w:r w:rsidR="0036656B" w:rsidRPr="00C56A24">
        <w:rPr>
          <w:sz w:val="24"/>
          <w:szCs w:val="24"/>
          <w:lang w:val="lt-LT"/>
        </w:rPr>
        <w:t xml:space="preserve">) </w:t>
      </w:r>
      <w:r w:rsidR="00CE3FED" w:rsidRPr="00C56A24">
        <w:rPr>
          <w:sz w:val="24"/>
          <w:szCs w:val="24"/>
          <w:lang w:val="lt-LT"/>
        </w:rPr>
        <w:t>parengtas</w:t>
      </w:r>
      <w:r w:rsidR="0036656B" w:rsidRPr="00C56A24">
        <w:rPr>
          <w:sz w:val="24"/>
          <w:szCs w:val="24"/>
          <w:lang w:val="lt-LT"/>
        </w:rPr>
        <w:t xml:space="preserve"> </w:t>
      </w:r>
      <w:r w:rsidR="00193249" w:rsidRPr="00C56A24">
        <w:rPr>
          <w:sz w:val="24"/>
          <w:szCs w:val="24"/>
          <w:lang w:val="lt-LT"/>
        </w:rPr>
        <w:t>įgyvendinant Lietuvos Respublikos valstybės tarnybos įstatymo</w:t>
      </w:r>
      <w:r w:rsidR="00A70F6A" w:rsidRPr="00C56A24">
        <w:rPr>
          <w:sz w:val="24"/>
          <w:szCs w:val="24"/>
          <w:lang w:val="lt-LT"/>
        </w:rPr>
        <w:t xml:space="preserve"> 29</w:t>
      </w:r>
      <w:r w:rsidR="00193249" w:rsidRPr="00C56A24">
        <w:rPr>
          <w:sz w:val="24"/>
          <w:szCs w:val="24"/>
          <w:lang w:val="lt-LT"/>
        </w:rPr>
        <w:t xml:space="preserve"> straipsnio</w:t>
      </w:r>
      <w:r w:rsidR="00AA3A21" w:rsidRPr="00C56A24">
        <w:rPr>
          <w:color w:val="000000"/>
          <w:sz w:val="24"/>
          <w:szCs w:val="24"/>
          <w:lang w:val="lt-LT"/>
        </w:rPr>
        <w:t xml:space="preserve"> </w:t>
      </w:r>
      <w:r w:rsidR="00A70F6A" w:rsidRPr="00C56A24">
        <w:rPr>
          <w:color w:val="000000"/>
          <w:sz w:val="24"/>
          <w:szCs w:val="24"/>
          <w:lang w:val="lt-LT"/>
        </w:rPr>
        <w:t xml:space="preserve">2 </w:t>
      </w:r>
      <w:r w:rsidR="00AA3A21" w:rsidRPr="00C56A24">
        <w:rPr>
          <w:color w:val="000000"/>
          <w:sz w:val="24"/>
          <w:szCs w:val="24"/>
          <w:lang w:val="lt-LT"/>
        </w:rPr>
        <w:t>dal</w:t>
      </w:r>
      <w:r w:rsidR="00EE6CC4" w:rsidRPr="00C56A24">
        <w:rPr>
          <w:color w:val="000000"/>
          <w:sz w:val="24"/>
          <w:szCs w:val="24"/>
          <w:lang w:val="lt-LT"/>
        </w:rPr>
        <w:t>ies</w:t>
      </w:r>
      <w:r w:rsidR="00193249" w:rsidRPr="00C56A24">
        <w:rPr>
          <w:sz w:val="24"/>
          <w:szCs w:val="24"/>
          <w:lang w:val="lt-LT"/>
        </w:rPr>
        <w:t>, Lietuvos Respublikos valstybės politikų ir valstybės pareigūnų darbo apmokėjimo įstatymo 4 straipsnio</w:t>
      </w:r>
      <w:r w:rsidR="007D2614" w:rsidRPr="00C56A24">
        <w:rPr>
          <w:sz w:val="24"/>
          <w:szCs w:val="24"/>
          <w:lang w:val="lt-LT"/>
        </w:rPr>
        <w:t xml:space="preserve"> 1</w:t>
      </w:r>
      <w:r w:rsidR="00FD6589" w:rsidRPr="00C56A24">
        <w:rPr>
          <w:sz w:val="24"/>
          <w:szCs w:val="24"/>
          <w:lang w:val="lt-LT"/>
        </w:rPr>
        <w:t> </w:t>
      </w:r>
      <w:r w:rsidR="00607E23" w:rsidRPr="00C56A24">
        <w:rPr>
          <w:sz w:val="24"/>
          <w:szCs w:val="24"/>
          <w:lang w:val="lt-LT"/>
        </w:rPr>
        <w:t>dalies</w:t>
      </w:r>
      <w:r w:rsidR="005C0191" w:rsidRPr="00C56A24">
        <w:rPr>
          <w:sz w:val="24"/>
          <w:szCs w:val="24"/>
          <w:lang w:val="lt-LT"/>
        </w:rPr>
        <w:t>,</w:t>
      </w:r>
      <w:r w:rsidR="00607E23" w:rsidRPr="00C56A24">
        <w:rPr>
          <w:sz w:val="24"/>
          <w:szCs w:val="24"/>
          <w:lang w:val="lt-LT"/>
        </w:rPr>
        <w:t xml:space="preserve"> </w:t>
      </w:r>
      <w:r w:rsidR="00193249" w:rsidRPr="00C56A24">
        <w:rPr>
          <w:sz w:val="24"/>
          <w:szCs w:val="24"/>
          <w:lang w:val="lt-LT"/>
        </w:rPr>
        <w:t>Lietuvos Respublikos teisėjų atlyginimų įstatymo 3 straipsnio</w:t>
      </w:r>
      <w:r w:rsidR="00607E23" w:rsidRPr="00C56A24">
        <w:rPr>
          <w:sz w:val="24"/>
          <w:szCs w:val="24"/>
          <w:lang w:val="lt-LT"/>
        </w:rPr>
        <w:t xml:space="preserve">, </w:t>
      </w:r>
      <w:r w:rsidRPr="00C56A24">
        <w:rPr>
          <w:sz w:val="24"/>
          <w:szCs w:val="24"/>
          <w:lang w:val="lt-LT"/>
        </w:rPr>
        <w:t>Lietuvos Respublikos valstybės ir savivaldybių įstaigų darbuotojų</w:t>
      </w:r>
      <w:r w:rsidR="0022529C" w:rsidRPr="00C56A24">
        <w:rPr>
          <w:sz w:val="24"/>
          <w:szCs w:val="24"/>
          <w:lang w:val="lt-LT"/>
        </w:rPr>
        <w:t xml:space="preserve"> darbo apmokėjimo </w:t>
      </w:r>
      <w:r w:rsidR="00DD5CB2" w:rsidRPr="00C56A24">
        <w:rPr>
          <w:sz w:val="24"/>
          <w:szCs w:val="24"/>
          <w:lang w:val="lt-LT"/>
        </w:rPr>
        <w:t xml:space="preserve">ir komisijų narių </w:t>
      </w:r>
      <w:r w:rsidR="0022529C" w:rsidRPr="00C56A24">
        <w:rPr>
          <w:sz w:val="24"/>
          <w:szCs w:val="24"/>
          <w:lang w:val="lt-LT"/>
        </w:rPr>
        <w:t>atlygio už darbą</w:t>
      </w:r>
      <w:r w:rsidRPr="00C56A24">
        <w:rPr>
          <w:sz w:val="24"/>
          <w:szCs w:val="24"/>
          <w:lang w:val="lt-LT"/>
        </w:rPr>
        <w:t xml:space="preserve"> </w:t>
      </w:r>
      <w:r w:rsidR="00605B64" w:rsidRPr="00C56A24">
        <w:rPr>
          <w:sz w:val="24"/>
          <w:szCs w:val="24"/>
          <w:lang w:val="lt-LT"/>
        </w:rPr>
        <w:t xml:space="preserve">įstatymo 6 straipsnio </w:t>
      </w:r>
      <w:r w:rsidR="006239EC" w:rsidRPr="00C56A24">
        <w:rPr>
          <w:sz w:val="24"/>
          <w:szCs w:val="24"/>
          <w:lang w:val="lt-LT"/>
        </w:rPr>
        <w:t xml:space="preserve">nuostatas, </w:t>
      </w:r>
      <w:r w:rsidR="00E2098D" w:rsidRPr="00C56A24">
        <w:rPr>
          <w:sz w:val="24"/>
          <w:szCs w:val="24"/>
          <w:lang w:val="lt-LT"/>
        </w:rPr>
        <w:t xml:space="preserve">pagal kurias, </w:t>
      </w:r>
      <w:r w:rsidR="004F761F" w:rsidRPr="00C56A24">
        <w:rPr>
          <w:sz w:val="24"/>
          <w:szCs w:val="24"/>
          <w:lang w:val="lt-LT"/>
        </w:rPr>
        <w:t>atsižvelg</w:t>
      </w:r>
      <w:r w:rsidR="002C47C0">
        <w:rPr>
          <w:sz w:val="24"/>
          <w:szCs w:val="24"/>
          <w:lang w:val="lt-LT"/>
        </w:rPr>
        <w:t>damas</w:t>
      </w:r>
      <w:r w:rsidR="004F761F" w:rsidRPr="00C56A24">
        <w:rPr>
          <w:sz w:val="24"/>
          <w:szCs w:val="24"/>
          <w:lang w:val="lt-LT"/>
        </w:rPr>
        <w:t xml:space="preserve"> į praėjusių metų vidutinę metinę infliaciją (skaičiuojant nacionalinį vartotojų kainų indeksą)</w:t>
      </w:r>
      <w:r w:rsidR="00643359" w:rsidRPr="00C56A24">
        <w:rPr>
          <w:sz w:val="24"/>
          <w:szCs w:val="24"/>
          <w:lang w:val="lt-LT"/>
        </w:rPr>
        <w:t>,</w:t>
      </w:r>
      <w:r w:rsidR="00643359" w:rsidRPr="00C56A24">
        <w:rPr>
          <w:color w:val="000000"/>
          <w:sz w:val="24"/>
          <w:szCs w:val="24"/>
          <w:lang w:val="lt-LT"/>
        </w:rPr>
        <w:t xml:space="preserve"> minimaliosios mėnesinės algos dydį</w:t>
      </w:r>
      <w:r w:rsidR="00643359" w:rsidRPr="00C56A24">
        <w:rPr>
          <w:sz w:val="24"/>
          <w:szCs w:val="24"/>
          <w:lang w:val="lt-LT"/>
        </w:rPr>
        <w:t xml:space="preserve"> </w:t>
      </w:r>
      <w:r w:rsidR="004F761F" w:rsidRPr="00C56A24">
        <w:rPr>
          <w:sz w:val="24"/>
          <w:szCs w:val="24"/>
          <w:lang w:val="lt-LT"/>
        </w:rPr>
        <w:t xml:space="preserve">ir kitų vidutinio darbo užmokesčio viešajame sektoriuje dydžiui bei kitimui poveikį turinčių veiksnių įtaką, </w:t>
      </w:r>
      <w:r w:rsidR="00E15F40" w:rsidRPr="005F6985">
        <w:rPr>
          <w:sz w:val="24"/>
          <w:szCs w:val="24"/>
          <w:lang w:val="lt-LT"/>
        </w:rPr>
        <w:t>n</w:t>
      </w:r>
      <w:r w:rsidR="00E15F40" w:rsidRPr="00C56A24">
        <w:rPr>
          <w:sz w:val="24"/>
          <w:szCs w:val="24"/>
          <w:lang w:val="lt-LT"/>
        </w:rPr>
        <w:t xml:space="preserve">acionalinėje kolektyvinėje sutartyje </w:t>
      </w:r>
      <w:r w:rsidR="00BC440D" w:rsidRPr="00C56A24">
        <w:rPr>
          <w:sz w:val="24"/>
          <w:szCs w:val="24"/>
          <w:lang w:val="lt-LT"/>
        </w:rPr>
        <w:t xml:space="preserve">sulygtą </w:t>
      </w:r>
      <w:r w:rsidR="00E15F40" w:rsidRPr="00C56A24">
        <w:rPr>
          <w:sz w:val="24"/>
          <w:szCs w:val="24"/>
          <w:lang w:val="lt-LT"/>
        </w:rPr>
        <w:t xml:space="preserve">pareiginės algos bazinį dydį </w:t>
      </w:r>
      <w:r w:rsidR="00020508" w:rsidRPr="00C56A24">
        <w:rPr>
          <w:sz w:val="24"/>
          <w:szCs w:val="24"/>
          <w:lang w:val="lt-LT"/>
        </w:rPr>
        <w:t xml:space="preserve">(toliau – bazinis dydis) </w:t>
      </w:r>
      <w:r w:rsidR="00E15F40" w:rsidRPr="00C56A24">
        <w:rPr>
          <w:sz w:val="24"/>
          <w:szCs w:val="24"/>
          <w:lang w:val="lt-LT"/>
        </w:rPr>
        <w:t xml:space="preserve">tvirtina </w:t>
      </w:r>
      <w:r w:rsidR="005C5F90" w:rsidRPr="00C56A24">
        <w:rPr>
          <w:sz w:val="24"/>
          <w:szCs w:val="24"/>
          <w:lang w:val="lt-LT"/>
        </w:rPr>
        <w:t xml:space="preserve">Lietuvos Respublikos </w:t>
      </w:r>
      <w:r w:rsidR="00E15F40" w:rsidRPr="00C56A24">
        <w:rPr>
          <w:sz w:val="24"/>
          <w:szCs w:val="24"/>
          <w:lang w:val="lt-LT"/>
        </w:rPr>
        <w:t xml:space="preserve">Seimas iki </w:t>
      </w:r>
      <w:r w:rsidR="005C5F90" w:rsidRPr="00C56A24">
        <w:rPr>
          <w:sz w:val="24"/>
          <w:szCs w:val="24"/>
          <w:lang w:val="lt-LT"/>
        </w:rPr>
        <w:t xml:space="preserve">Lietuvos Respublikos </w:t>
      </w:r>
      <w:r w:rsidR="00E15F40" w:rsidRPr="00C56A24">
        <w:rPr>
          <w:sz w:val="24"/>
          <w:szCs w:val="24"/>
          <w:lang w:val="lt-LT"/>
        </w:rPr>
        <w:t>Seimo pavasario sesijos pabaigos</w:t>
      </w:r>
      <w:r w:rsidR="002C47C0">
        <w:rPr>
          <w:sz w:val="24"/>
          <w:szCs w:val="24"/>
          <w:lang w:val="lt-LT"/>
        </w:rPr>
        <w:t>,</w:t>
      </w:r>
      <w:r w:rsidR="005C5F90" w:rsidRPr="00C56A24">
        <w:rPr>
          <w:sz w:val="24"/>
          <w:szCs w:val="24"/>
          <w:lang w:val="lt-LT"/>
        </w:rPr>
        <w:t xml:space="preserve"> </w:t>
      </w:r>
      <w:r w:rsidR="002C47C0">
        <w:rPr>
          <w:sz w:val="24"/>
          <w:szCs w:val="24"/>
          <w:lang w:val="lt-LT"/>
        </w:rPr>
        <w:t>ir</w:t>
      </w:r>
      <w:r w:rsidR="002C47C0" w:rsidRPr="00C56A24">
        <w:rPr>
          <w:sz w:val="24"/>
          <w:szCs w:val="24"/>
          <w:lang w:val="lt-LT"/>
        </w:rPr>
        <w:t xml:space="preserve"> </w:t>
      </w:r>
      <w:r w:rsidR="005C5F90" w:rsidRPr="00C56A24">
        <w:rPr>
          <w:sz w:val="24"/>
          <w:szCs w:val="24"/>
          <w:lang w:val="lt-LT"/>
        </w:rPr>
        <w:t xml:space="preserve">atsižvelgiant į </w:t>
      </w:r>
      <w:r w:rsidR="00FF2C2D" w:rsidRPr="00C56A24">
        <w:rPr>
          <w:sz w:val="24"/>
          <w:szCs w:val="24"/>
          <w:lang w:val="lt-LT"/>
        </w:rPr>
        <w:t>202</w:t>
      </w:r>
      <w:r w:rsidR="0022529C" w:rsidRPr="00C56A24">
        <w:rPr>
          <w:sz w:val="24"/>
          <w:szCs w:val="24"/>
          <w:lang w:val="lt-LT"/>
        </w:rPr>
        <w:t>1</w:t>
      </w:r>
      <w:r w:rsidR="00FF2C2D" w:rsidRPr="00C56A24">
        <w:rPr>
          <w:sz w:val="24"/>
          <w:szCs w:val="24"/>
          <w:lang w:val="lt-LT"/>
        </w:rPr>
        <w:t xml:space="preserve"> m. </w:t>
      </w:r>
      <w:r w:rsidR="005F2624" w:rsidRPr="005F6985">
        <w:rPr>
          <w:sz w:val="24"/>
          <w:szCs w:val="24"/>
          <w:lang w:val="lt-LT"/>
        </w:rPr>
        <w:t>n</w:t>
      </w:r>
      <w:r w:rsidR="005C5F90" w:rsidRPr="00C56A24">
        <w:rPr>
          <w:sz w:val="24"/>
          <w:szCs w:val="24"/>
          <w:lang w:val="lt-LT"/>
        </w:rPr>
        <w:t>acionalin</w:t>
      </w:r>
      <w:r w:rsidR="00E25F33" w:rsidRPr="00C56A24">
        <w:rPr>
          <w:sz w:val="24"/>
          <w:szCs w:val="24"/>
          <w:lang w:val="lt-LT"/>
        </w:rPr>
        <w:t>ės</w:t>
      </w:r>
      <w:r w:rsidR="005C5F90" w:rsidRPr="00C56A24">
        <w:rPr>
          <w:sz w:val="24"/>
          <w:szCs w:val="24"/>
          <w:lang w:val="lt-LT"/>
        </w:rPr>
        <w:t xml:space="preserve"> kolektyvin</w:t>
      </w:r>
      <w:r w:rsidR="00E25F33" w:rsidRPr="00C56A24">
        <w:rPr>
          <w:sz w:val="24"/>
          <w:szCs w:val="24"/>
          <w:lang w:val="lt-LT"/>
        </w:rPr>
        <w:t>ės</w:t>
      </w:r>
      <w:r w:rsidR="005C5F90" w:rsidRPr="00C56A24">
        <w:rPr>
          <w:sz w:val="24"/>
          <w:szCs w:val="24"/>
          <w:lang w:val="lt-LT"/>
        </w:rPr>
        <w:t xml:space="preserve"> sutart</w:t>
      </w:r>
      <w:r w:rsidR="00E25F33" w:rsidRPr="00C56A24">
        <w:rPr>
          <w:sz w:val="24"/>
          <w:szCs w:val="24"/>
          <w:lang w:val="lt-LT"/>
        </w:rPr>
        <w:t>ies projektą</w:t>
      </w:r>
      <w:r w:rsidR="00FF2C2D" w:rsidRPr="00C56A24">
        <w:rPr>
          <w:sz w:val="24"/>
          <w:szCs w:val="24"/>
          <w:lang w:val="lt-LT"/>
        </w:rPr>
        <w:t>,</w:t>
      </w:r>
      <w:r w:rsidR="005F6451" w:rsidRPr="00C56A24">
        <w:rPr>
          <w:sz w:val="24"/>
          <w:szCs w:val="24"/>
          <w:lang w:val="lt-LT"/>
        </w:rPr>
        <w:t xml:space="preserve"> </w:t>
      </w:r>
      <w:r w:rsidR="00FF2C2D" w:rsidRPr="00C56A24">
        <w:rPr>
          <w:sz w:val="24"/>
          <w:szCs w:val="24"/>
          <w:lang w:val="lt-LT"/>
        </w:rPr>
        <w:t>kuri</w:t>
      </w:r>
      <w:r w:rsidR="00E25F33" w:rsidRPr="00C56A24">
        <w:rPr>
          <w:sz w:val="24"/>
          <w:szCs w:val="24"/>
          <w:lang w:val="lt-LT"/>
        </w:rPr>
        <w:t>ame</w:t>
      </w:r>
      <w:r w:rsidR="00FF2C2D" w:rsidRPr="00C56A24">
        <w:rPr>
          <w:sz w:val="24"/>
          <w:szCs w:val="24"/>
          <w:lang w:val="lt-LT"/>
        </w:rPr>
        <w:t xml:space="preserve"> </w:t>
      </w:r>
      <w:r w:rsidR="005C5F90" w:rsidRPr="00C56A24">
        <w:rPr>
          <w:sz w:val="24"/>
          <w:szCs w:val="24"/>
          <w:lang w:val="lt-LT"/>
        </w:rPr>
        <w:t>nu</w:t>
      </w:r>
      <w:r w:rsidR="00E25F33" w:rsidRPr="00C56A24">
        <w:rPr>
          <w:sz w:val="24"/>
          <w:szCs w:val="24"/>
          <w:lang w:val="lt-LT"/>
        </w:rPr>
        <w:t>matytas</w:t>
      </w:r>
      <w:r w:rsidR="005C5F90" w:rsidRPr="00C56A24">
        <w:rPr>
          <w:sz w:val="24"/>
          <w:szCs w:val="24"/>
          <w:lang w:val="lt-LT"/>
        </w:rPr>
        <w:t xml:space="preserve"> </w:t>
      </w:r>
      <w:r w:rsidR="00FF2C2D" w:rsidRPr="00C56A24">
        <w:rPr>
          <w:sz w:val="24"/>
          <w:szCs w:val="24"/>
          <w:lang w:val="lt-LT"/>
        </w:rPr>
        <w:t>bazinis dydis 202</w:t>
      </w:r>
      <w:r w:rsidR="0022529C" w:rsidRPr="00C56A24">
        <w:rPr>
          <w:sz w:val="24"/>
          <w:szCs w:val="24"/>
          <w:lang w:val="lt-LT"/>
        </w:rPr>
        <w:t>1</w:t>
      </w:r>
      <w:r w:rsidR="00FF2C2D" w:rsidRPr="00C56A24">
        <w:rPr>
          <w:sz w:val="24"/>
          <w:szCs w:val="24"/>
          <w:lang w:val="lt-LT"/>
        </w:rPr>
        <w:t xml:space="preserve"> metais – 17</w:t>
      </w:r>
      <w:r w:rsidR="0022529C" w:rsidRPr="00C56A24">
        <w:rPr>
          <w:sz w:val="24"/>
          <w:szCs w:val="24"/>
          <w:lang w:val="lt-LT"/>
        </w:rPr>
        <w:t>7</w:t>
      </w:r>
      <w:r w:rsidR="00E25F33" w:rsidRPr="00C56A24">
        <w:rPr>
          <w:sz w:val="24"/>
          <w:szCs w:val="24"/>
          <w:lang w:val="lt-LT"/>
        </w:rPr>
        <w:t> </w:t>
      </w:r>
      <w:r w:rsidR="00FF2C2D" w:rsidRPr="00C56A24">
        <w:rPr>
          <w:sz w:val="24"/>
          <w:szCs w:val="24"/>
          <w:lang w:val="lt-LT"/>
        </w:rPr>
        <w:t xml:space="preserve">(šimtas septyniasdešimt </w:t>
      </w:r>
      <w:r w:rsidR="0022529C" w:rsidRPr="00C56A24">
        <w:rPr>
          <w:sz w:val="24"/>
          <w:szCs w:val="24"/>
          <w:lang w:val="lt-LT"/>
        </w:rPr>
        <w:t>septyni</w:t>
      </w:r>
      <w:r w:rsidR="00FF2C2D" w:rsidRPr="00C56A24">
        <w:rPr>
          <w:sz w:val="24"/>
          <w:szCs w:val="24"/>
          <w:lang w:val="lt-LT"/>
        </w:rPr>
        <w:t>) eurai.</w:t>
      </w:r>
      <w:r w:rsidR="00643359" w:rsidRPr="00C56A24">
        <w:rPr>
          <w:color w:val="000000"/>
          <w:spacing w:val="2"/>
          <w:lang w:val="lt-LT"/>
        </w:rPr>
        <w:t xml:space="preserve"> </w:t>
      </w:r>
    </w:p>
    <w:p w14:paraId="28EF8245" w14:textId="6AD31599" w:rsidR="002E45AA" w:rsidRPr="00C56A24" w:rsidRDefault="00287EC3" w:rsidP="002774E1">
      <w:pPr>
        <w:ind w:firstLine="851"/>
        <w:jc w:val="both"/>
        <w:rPr>
          <w:sz w:val="24"/>
          <w:szCs w:val="24"/>
          <w:lang w:val="lt-LT"/>
        </w:rPr>
      </w:pPr>
      <w:r w:rsidRPr="00C56A24">
        <w:rPr>
          <w:bCs/>
          <w:sz w:val="24"/>
          <w:szCs w:val="24"/>
          <w:lang w:val="lt-LT"/>
        </w:rPr>
        <w:t>Įstatymo</w:t>
      </w:r>
      <w:r w:rsidR="0036656B" w:rsidRPr="00C56A24">
        <w:rPr>
          <w:bCs/>
          <w:sz w:val="24"/>
          <w:szCs w:val="24"/>
          <w:lang w:val="lt-LT"/>
        </w:rPr>
        <w:t xml:space="preserve"> </w:t>
      </w:r>
      <w:r w:rsidR="0036656B" w:rsidRPr="00C56A24">
        <w:rPr>
          <w:sz w:val="24"/>
          <w:szCs w:val="24"/>
          <w:lang w:val="lt-LT"/>
        </w:rPr>
        <w:t>p</w:t>
      </w:r>
      <w:r w:rsidRPr="00C56A24">
        <w:rPr>
          <w:sz w:val="24"/>
          <w:szCs w:val="24"/>
          <w:lang w:val="lt-LT"/>
        </w:rPr>
        <w:t>rojekto</w:t>
      </w:r>
      <w:r w:rsidR="00A10BFD" w:rsidRPr="00C56A24">
        <w:rPr>
          <w:sz w:val="24"/>
          <w:szCs w:val="24"/>
          <w:lang w:val="lt-LT"/>
        </w:rPr>
        <w:t xml:space="preserve"> tikslas</w:t>
      </w:r>
      <w:r w:rsidR="00BA0309" w:rsidRPr="00C56A24">
        <w:rPr>
          <w:sz w:val="24"/>
          <w:szCs w:val="24"/>
          <w:lang w:val="lt-LT"/>
        </w:rPr>
        <w:t xml:space="preserve"> </w:t>
      </w:r>
      <w:r w:rsidR="00A10BFD" w:rsidRPr="00C56A24">
        <w:rPr>
          <w:sz w:val="24"/>
          <w:szCs w:val="24"/>
          <w:lang w:val="lt-LT"/>
        </w:rPr>
        <w:t>–</w:t>
      </w:r>
      <w:r w:rsidRPr="00C56A24">
        <w:rPr>
          <w:sz w:val="24"/>
          <w:szCs w:val="24"/>
          <w:lang w:val="lt-LT"/>
        </w:rPr>
        <w:t xml:space="preserve"> </w:t>
      </w:r>
      <w:r w:rsidR="007D2614" w:rsidRPr="00C56A24">
        <w:rPr>
          <w:sz w:val="24"/>
          <w:szCs w:val="24"/>
          <w:lang w:val="lt-LT"/>
        </w:rPr>
        <w:t xml:space="preserve">patvirtinti </w:t>
      </w:r>
      <w:r w:rsidR="00DD5CB2" w:rsidRPr="00C56A24">
        <w:rPr>
          <w:sz w:val="24"/>
          <w:szCs w:val="24"/>
          <w:lang w:val="lt-LT"/>
        </w:rPr>
        <w:t>202</w:t>
      </w:r>
      <w:r w:rsidR="00F7318B" w:rsidRPr="00C56A24">
        <w:rPr>
          <w:sz w:val="24"/>
          <w:szCs w:val="24"/>
          <w:lang w:val="lt-LT"/>
        </w:rPr>
        <w:t>1</w:t>
      </w:r>
      <w:r w:rsidR="00DD5CB2" w:rsidRPr="00C56A24">
        <w:rPr>
          <w:sz w:val="24"/>
          <w:szCs w:val="24"/>
          <w:lang w:val="lt-LT"/>
        </w:rPr>
        <w:t xml:space="preserve"> </w:t>
      </w:r>
      <w:r w:rsidR="005A5678" w:rsidRPr="00C56A24">
        <w:rPr>
          <w:sz w:val="24"/>
          <w:szCs w:val="24"/>
          <w:lang w:val="lt-LT"/>
        </w:rPr>
        <w:t>m</w:t>
      </w:r>
      <w:r w:rsidR="00C35D58" w:rsidRPr="00C56A24">
        <w:rPr>
          <w:sz w:val="24"/>
          <w:szCs w:val="24"/>
          <w:lang w:val="lt-LT"/>
        </w:rPr>
        <w:t>et</w:t>
      </w:r>
      <w:r w:rsidR="00BC440D">
        <w:rPr>
          <w:sz w:val="24"/>
          <w:szCs w:val="24"/>
          <w:lang w:val="lt-LT"/>
        </w:rPr>
        <w:t>ams</w:t>
      </w:r>
      <w:r w:rsidR="005A5678" w:rsidRPr="00C56A24">
        <w:rPr>
          <w:sz w:val="24"/>
          <w:szCs w:val="24"/>
          <w:lang w:val="lt-LT"/>
        </w:rPr>
        <w:t xml:space="preserve"> </w:t>
      </w:r>
      <w:r w:rsidR="00BC440D" w:rsidRPr="00C56A24">
        <w:rPr>
          <w:sz w:val="24"/>
          <w:szCs w:val="24"/>
          <w:lang w:val="lt-LT"/>
        </w:rPr>
        <w:t>177</w:t>
      </w:r>
      <w:r w:rsidR="00BC440D">
        <w:rPr>
          <w:sz w:val="24"/>
          <w:szCs w:val="24"/>
          <w:lang w:val="lt-LT"/>
        </w:rPr>
        <w:t xml:space="preserve"> (šimto</w:t>
      </w:r>
      <w:r w:rsidR="00BC440D" w:rsidRPr="00C56A24">
        <w:rPr>
          <w:sz w:val="24"/>
          <w:szCs w:val="24"/>
          <w:lang w:val="lt-LT"/>
        </w:rPr>
        <w:t xml:space="preserve"> septyniasdešimt </w:t>
      </w:r>
      <w:r w:rsidR="00BC440D">
        <w:rPr>
          <w:sz w:val="24"/>
          <w:szCs w:val="24"/>
          <w:lang w:val="lt-LT"/>
        </w:rPr>
        <w:t>septynių) eurų</w:t>
      </w:r>
      <w:r w:rsidR="00BC440D" w:rsidRPr="00C56A24">
        <w:rPr>
          <w:sz w:val="24"/>
          <w:szCs w:val="24"/>
          <w:lang w:val="lt-LT"/>
        </w:rPr>
        <w:t xml:space="preserve"> </w:t>
      </w:r>
      <w:r w:rsidR="005A5678" w:rsidRPr="00C56A24">
        <w:rPr>
          <w:sz w:val="24"/>
          <w:szCs w:val="24"/>
          <w:lang w:val="lt-LT"/>
        </w:rPr>
        <w:t xml:space="preserve">bazinį dydį, kuris </w:t>
      </w:r>
      <w:r w:rsidR="000B7071" w:rsidRPr="00C56A24">
        <w:rPr>
          <w:sz w:val="24"/>
          <w:szCs w:val="24"/>
          <w:lang w:val="lt-LT"/>
        </w:rPr>
        <w:t xml:space="preserve">bus </w:t>
      </w:r>
      <w:r w:rsidR="005A5678" w:rsidRPr="00C56A24">
        <w:rPr>
          <w:sz w:val="24"/>
          <w:szCs w:val="24"/>
          <w:lang w:val="lt-LT"/>
        </w:rPr>
        <w:t xml:space="preserve">taikomas apskaičiuojant valstybės politikų, </w:t>
      </w:r>
      <w:r w:rsidR="000B7071" w:rsidRPr="00C56A24">
        <w:rPr>
          <w:sz w:val="24"/>
          <w:szCs w:val="24"/>
          <w:lang w:val="lt-LT"/>
        </w:rPr>
        <w:t>bendrosios kompetencijos ir specializuotų teismų teisėjų, valstybės pareigūnų,</w:t>
      </w:r>
      <w:r w:rsidR="005A5678" w:rsidRPr="00C56A24">
        <w:rPr>
          <w:sz w:val="24"/>
          <w:szCs w:val="24"/>
          <w:lang w:val="lt-LT"/>
        </w:rPr>
        <w:t xml:space="preserve"> valstybės tarnautojų </w:t>
      </w:r>
      <w:r w:rsidR="00E2098D" w:rsidRPr="00C56A24">
        <w:rPr>
          <w:sz w:val="24"/>
          <w:szCs w:val="24"/>
          <w:lang w:val="lt-LT"/>
        </w:rPr>
        <w:t>bei</w:t>
      </w:r>
      <w:r w:rsidR="003E5EAD" w:rsidRPr="00C56A24">
        <w:rPr>
          <w:sz w:val="24"/>
          <w:szCs w:val="24"/>
          <w:lang w:val="lt-LT"/>
        </w:rPr>
        <w:t xml:space="preserve"> valstybės ir savivaldybių biudžetinių įstaigų</w:t>
      </w:r>
      <w:r w:rsidR="007A47C3" w:rsidRPr="00C56A24">
        <w:rPr>
          <w:sz w:val="24"/>
          <w:szCs w:val="24"/>
          <w:lang w:val="lt-LT"/>
        </w:rPr>
        <w:t xml:space="preserve">, finansuojamų iš valstybės biudžeto, savivaldybių biudžetų, Valstybinio socialinio draudimo fondo biudžeto ir kitų valstybės įsteigtų pinigų fondų lėšų (toliau </w:t>
      </w:r>
      <w:r w:rsidR="009B79AF" w:rsidRPr="00C56A24">
        <w:rPr>
          <w:sz w:val="24"/>
          <w:szCs w:val="24"/>
          <w:lang w:val="lt-LT"/>
        </w:rPr>
        <w:t>–</w:t>
      </w:r>
      <w:r w:rsidR="00EB31BE" w:rsidRPr="00C56A24">
        <w:rPr>
          <w:sz w:val="24"/>
          <w:szCs w:val="24"/>
          <w:lang w:val="lt-LT"/>
        </w:rPr>
        <w:t xml:space="preserve"> </w:t>
      </w:r>
      <w:r w:rsidR="007A47C3" w:rsidRPr="00C56A24">
        <w:rPr>
          <w:sz w:val="24"/>
          <w:szCs w:val="24"/>
          <w:lang w:val="lt-LT"/>
        </w:rPr>
        <w:t>valstybės ir savivaldybių biudžetinės įstaigos),</w:t>
      </w:r>
      <w:r w:rsidR="003E5EAD" w:rsidRPr="00C56A24">
        <w:rPr>
          <w:sz w:val="24"/>
          <w:szCs w:val="24"/>
          <w:lang w:val="lt-LT"/>
        </w:rPr>
        <w:t xml:space="preserve"> darbuotojų </w:t>
      </w:r>
      <w:r w:rsidR="005A5678" w:rsidRPr="00C56A24">
        <w:rPr>
          <w:sz w:val="24"/>
          <w:szCs w:val="24"/>
          <w:lang w:val="lt-LT"/>
        </w:rPr>
        <w:t>pareigines algas</w:t>
      </w:r>
      <w:r w:rsidR="000B7071" w:rsidRPr="00C56A24">
        <w:rPr>
          <w:sz w:val="24"/>
          <w:szCs w:val="24"/>
          <w:lang w:val="lt-LT"/>
        </w:rPr>
        <w:t>, Lietuvos Respublikos Konstitucinio Teismo teisėjų</w:t>
      </w:r>
      <w:r w:rsidR="00182E7A" w:rsidRPr="00C56A24">
        <w:rPr>
          <w:sz w:val="24"/>
          <w:szCs w:val="24"/>
          <w:lang w:val="lt-LT"/>
        </w:rPr>
        <w:t>,</w:t>
      </w:r>
      <w:r w:rsidR="002F5BE0" w:rsidRPr="00C56A24">
        <w:rPr>
          <w:sz w:val="24"/>
          <w:szCs w:val="24"/>
          <w:lang w:val="lt-LT"/>
        </w:rPr>
        <w:t xml:space="preserve"> </w:t>
      </w:r>
      <w:r w:rsidR="000B7071" w:rsidRPr="00C56A24">
        <w:rPr>
          <w:sz w:val="24"/>
          <w:szCs w:val="24"/>
          <w:lang w:val="lt-LT"/>
        </w:rPr>
        <w:t xml:space="preserve">karių </w:t>
      </w:r>
      <w:r w:rsidR="00182E7A" w:rsidRPr="00C56A24">
        <w:rPr>
          <w:sz w:val="24"/>
          <w:szCs w:val="24"/>
          <w:lang w:val="lt-LT"/>
        </w:rPr>
        <w:t>darbo užmokestį</w:t>
      </w:r>
      <w:r w:rsidR="006E571A" w:rsidRPr="00C56A24">
        <w:rPr>
          <w:sz w:val="24"/>
          <w:szCs w:val="24"/>
          <w:lang w:val="lt-LT"/>
        </w:rPr>
        <w:t>,</w:t>
      </w:r>
      <w:r w:rsidR="006E571A" w:rsidRPr="00C56A24">
        <w:rPr>
          <w:color w:val="000000"/>
          <w:lang w:val="lt-LT"/>
        </w:rPr>
        <w:t xml:space="preserve"> </w:t>
      </w:r>
      <w:r w:rsidR="006E571A" w:rsidRPr="00C56A24">
        <w:rPr>
          <w:color w:val="000000"/>
          <w:sz w:val="24"/>
          <w:szCs w:val="24"/>
          <w:lang w:val="lt-LT"/>
        </w:rPr>
        <w:t>įstatymų pagrindais sudarytų komisijų narių atlygį</w:t>
      </w:r>
      <w:r w:rsidR="00182E7A" w:rsidRPr="00C56A24">
        <w:rPr>
          <w:sz w:val="24"/>
          <w:szCs w:val="24"/>
          <w:lang w:val="lt-LT"/>
        </w:rPr>
        <w:t xml:space="preserve"> ir </w:t>
      </w:r>
      <w:r w:rsidR="00EE6CC4" w:rsidRPr="00C56A24">
        <w:rPr>
          <w:sz w:val="24"/>
          <w:szCs w:val="24"/>
          <w:lang w:val="lt-LT"/>
        </w:rPr>
        <w:t>kitas teisės aktuose</w:t>
      </w:r>
      <w:r w:rsidR="005A5678" w:rsidRPr="00C56A24">
        <w:rPr>
          <w:sz w:val="24"/>
          <w:szCs w:val="24"/>
          <w:lang w:val="lt-LT"/>
        </w:rPr>
        <w:t xml:space="preserve"> nustatytas išmokas</w:t>
      </w:r>
      <w:r w:rsidR="006407E8" w:rsidRPr="00C56A24">
        <w:rPr>
          <w:sz w:val="24"/>
          <w:szCs w:val="24"/>
          <w:lang w:val="lt-LT"/>
        </w:rPr>
        <w:t xml:space="preserve"> ar atlygius</w:t>
      </w:r>
      <w:r w:rsidR="00CF147C" w:rsidRPr="00C56A24">
        <w:rPr>
          <w:sz w:val="24"/>
          <w:szCs w:val="24"/>
          <w:lang w:val="lt-LT"/>
        </w:rPr>
        <w:t>.</w:t>
      </w:r>
    </w:p>
    <w:p w14:paraId="07655D59" w14:textId="77777777" w:rsidR="00E604BF" w:rsidRPr="00C56A24" w:rsidRDefault="00E604BF" w:rsidP="002774E1">
      <w:pPr>
        <w:ind w:firstLine="851"/>
        <w:jc w:val="both"/>
        <w:rPr>
          <w:sz w:val="24"/>
          <w:szCs w:val="24"/>
          <w:lang w:val="lt-LT"/>
        </w:rPr>
      </w:pPr>
    </w:p>
    <w:p w14:paraId="56BACF5C" w14:textId="77777777" w:rsidR="008A5117" w:rsidRPr="00C56A24" w:rsidRDefault="008A5117" w:rsidP="002774E1">
      <w:pPr>
        <w:ind w:firstLine="851"/>
        <w:jc w:val="both"/>
        <w:rPr>
          <w:b/>
          <w:sz w:val="24"/>
          <w:szCs w:val="24"/>
          <w:lang w:val="lt-LT"/>
        </w:rPr>
      </w:pPr>
      <w:r w:rsidRPr="00C56A24">
        <w:rPr>
          <w:b/>
          <w:sz w:val="24"/>
          <w:szCs w:val="24"/>
          <w:lang w:val="lt-LT"/>
        </w:rPr>
        <w:t>2. Įstatymo projekto iniciatoriai (institucija, asmenys ar piliečių įgalioti atstovai) ir rengėja</w:t>
      </w:r>
      <w:r w:rsidR="00E0253E" w:rsidRPr="00C56A24">
        <w:rPr>
          <w:b/>
          <w:sz w:val="24"/>
          <w:szCs w:val="24"/>
          <w:lang w:val="lt-LT"/>
        </w:rPr>
        <w:t>i</w:t>
      </w:r>
    </w:p>
    <w:p w14:paraId="57B1E6D2" w14:textId="3430DD8A" w:rsidR="00273560" w:rsidRPr="00C56A24" w:rsidRDefault="008A5117" w:rsidP="002774E1">
      <w:pPr>
        <w:ind w:firstLine="851"/>
        <w:jc w:val="both"/>
        <w:rPr>
          <w:strike/>
          <w:sz w:val="24"/>
          <w:szCs w:val="24"/>
          <w:lang w:val="lt-LT"/>
        </w:rPr>
      </w:pPr>
      <w:r w:rsidRPr="00C56A24">
        <w:rPr>
          <w:sz w:val="24"/>
          <w:szCs w:val="24"/>
          <w:lang w:val="lt-LT"/>
        </w:rPr>
        <w:t>Įstatymo projekt</w:t>
      </w:r>
      <w:r w:rsidR="00EE533A" w:rsidRPr="00C56A24">
        <w:rPr>
          <w:sz w:val="24"/>
          <w:szCs w:val="24"/>
          <w:lang w:val="lt-LT"/>
        </w:rPr>
        <w:t xml:space="preserve">ą </w:t>
      </w:r>
      <w:r w:rsidR="00221424" w:rsidRPr="00C56A24">
        <w:rPr>
          <w:sz w:val="24"/>
          <w:szCs w:val="24"/>
          <w:lang w:val="lt-LT"/>
        </w:rPr>
        <w:t>pa</w:t>
      </w:r>
      <w:r w:rsidR="00EE533A" w:rsidRPr="00C56A24">
        <w:rPr>
          <w:sz w:val="24"/>
          <w:szCs w:val="24"/>
          <w:lang w:val="lt-LT"/>
        </w:rPr>
        <w:t xml:space="preserve">rengė </w:t>
      </w:r>
      <w:r w:rsidR="009C338F" w:rsidRPr="00C56A24">
        <w:rPr>
          <w:sz w:val="24"/>
          <w:szCs w:val="24"/>
          <w:lang w:val="lt-LT"/>
        </w:rPr>
        <w:t>Lietuvos Respublikos s</w:t>
      </w:r>
      <w:r w:rsidR="00AA1D3F" w:rsidRPr="00C56A24">
        <w:rPr>
          <w:sz w:val="24"/>
          <w:szCs w:val="24"/>
          <w:lang w:val="lt-LT"/>
        </w:rPr>
        <w:t>ocialinės apsaugos ir darbo ministerij</w:t>
      </w:r>
      <w:r w:rsidR="005C5F90" w:rsidRPr="00C56A24">
        <w:rPr>
          <w:sz w:val="24"/>
          <w:szCs w:val="24"/>
          <w:lang w:val="lt-LT"/>
        </w:rPr>
        <w:t xml:space="preserve">os Darbo teisės skyriaus </w:t>
      </w:r>
      <w:r w:rsidR="00F7318B" w:rsidRPr="00C56A24">
        <w:rPr>
          <w:sz w:val="24"/>
          <w:szCs w:val="24"/>
          <w:lang w:val="lt-LT"/>
        </w:rPr>
        <w:t>patarėja Agnė Nakčerienė</w:t>
      </w:r>
      <w:r w:rsidR="005C5F90" w:rsidRPr="00C56A24">
        <w:rPr>
          <w:sz w:val="24"/>
          <w:szCs w:val="24"/>
          <w:lang w:val="lt-LT"/>
        </w:rPr>
        <w:t xml:space="preserve"> (tel. 8 </w:t>
      </w:r>
      <w:r w:rsidR="005A5BC7" w:rsidRPr="00C56A24">
        <w:rPr>
          <w:sz w:val="24"/>
          <w:szCs w:val="24"/>
          <w:lang w:val="lt-LT"/>
        </w:rPr>
        <w:t>656 38</w:t>
      </w:r>
      <w:r w:rsidR="00A61639">
        <w:rPr>
          <w:sz w:val="24"/>
          <w:szCs w:val="24"/>
          <w:lang w:val="lt-LT"/>
        </w:rPr>
        <w:t> </w:t>
      </w:r>
      <w:r w:rsidR="005A5BC7" w:rsidRPr="00C56A24">
        <w:rPr>
          <w:sz w:val="24"/>
          <w:szCs w:val="24"/>
          <w:lang w:val="lt-LT"/>
        </w:rPr>
        <w:t>257</w:t>
      </w:r>
      <w:r w:rsidR="005C5F90" w:rsidRPr="00C56A24">
        <w:rPr>
          <w:sz w:val="24"/>
          <w:szCs w:val="24"/>
          <w:lang w:val="lt-LT"/>
        </w:rPr>
        <w:t>, el.</w:t>
      </w:r>
      <w:r w:rsidR="00311EE0" w:rsidRPr="00C56A24">
        <w:rPr>
          <w:sz w:val="24"/>
          <w:szCs w:val="24"/>
          <w:lang w:val="lt-LT"/>
        </w:rPr>
        <w:t> </w:t>
      </w:r>
      <w:r w:rsidR="005C5F90" w:rsidRPr="00C56A24">
        <w:rPr>
          <w:sz w:val="24"/>
          <w:szCs w:val="24"/>
          <w:lang w:val="lt-LT"/>
        </w:rPr>
        <w:t>p.</w:t>
      </w:r>
      <w:r w:rsidR="00311EE0" w:rsidRPr="00C56A24">
        <w:rPr>
          <w:sz w:val="24"/>
          <w:szCs w:val="24"/>
          <w:lang w:val="lt-LT"/>
        </w:rPr>
        <w:t> </w:t>
      </w:r>
      <w:proofErr w:type="spellStart"/>
      <w:r w:rsidR="00F7318B" w:rsidRPr="00C56A24">
        <w:rPr>
          <w:sz w:val="24"/>
          <w:szCs w:val="24"/>
          <w:lang w:val="lt-LT"/>
        </w:rPr>
        <w:t>agne</w:t>
      </w:r>
      <w:r w:rsidR="005C5F90" w:rsidRPr="00C56A24">
        <w:rPr>
          <w:sz w:val="24"/>
          <w:szCs w:val="24"/>
          <w:lang w:val="lt-LT"/>
        </w:rPr>
        <w:t>.</w:t>
      </w:r>
      <w:r w:rsidR="00F7318B" w:rsidRPr="00C56A24">
        <w:rPr>
          <w:sz w:val="24"/>
          <w:szCs w:val="24"/>
          <w:lang w:val="lt-LT"/>
        </w:rPr>
        <w:t>nakceriene</w:t>
      </w:r>
      <w:r w:rsidR="005C5F90" w:rsidRPr="00C56A24">
        <w:rPr>
          <w:sz w:val="24"/>
          <w:szCs w:val="24"/>
          <w:lang w:val="lt-LT"/>
        </w:rPr>
        <w:t>@socmin.lt</w:t>
      </w:r>
      <w:proofErr w:type="spellEnd"/>
      <w:r w:rsidR="005C5F90" w:rsidRPr="00C56A24">
        <w:rPr>
          <w:sz w:val="24"/>
          <w:szCs w:val="24"/>
          <w:lang w:val="lt-LT"/>
        </w:rPr>
        <w:t>)</w:t>
      </w:r>
      <w:r w:rsidR="000F0F15" w:rsidRPr="00C56A24">
        <w:rPr>
          <w:sz w:val="24"/>
          <w:szCs w:val="24"/>
          <w:lang w:val="lt-LT"/>
        </w:rPr>
        <w:t>.</w:t>
      </w:r>
    </w:p>
    <w:p w14:paraId="5EF0DD6E" w14:textId="77777777" w:rsidR="00EA4F48" w:rsidRPr="00C56A24" w:rsidRDefault="00EA4F48" w:rsidP="002774E1">
      <w:pPr>
        <w:pStyle w:val="Pagrindinistekstas"/>
        <w:ind w:firstLine="851"/>
        <w:rPr>
          <w:b/>
          <w:bCs/>
        </w:rPr>
      </w:pPr>
    </w:p>
    <w:p w14:paraId="596BA851" w14:textId="77777777" w:rsidR="00A10BFD" w:rsidRPr="00C56A24" w:rsidRDefault="00B366D5" w:rsidP="002774E1">
      <w:pPr>
        <w:pStyle w:val="Pagrindinistekstas"/>
        <w:ind w:firstLine="851"/>
      </w:pPr>
      <w:r w:rsidRPr="00C56A24">
        <w:rPr>
          <w:b/>
          <w:bCs/>
        </w:rPr>
        <w:t>3</w:t>
      </w:r>
      <w:r w:rsidR="00201BEF" w:rsidRPr="00C56A24">
        <w:rPr>
          <w:b/>
          <w:bCs/>
        </w:rPr>
        <w:t xml:space="preserve">. </w:t>
      </w:r>
      <w:r w:rsidR="008605F7" w:rsidRPr="00C56A24">
        <w:rPr>
          <w:b/>
          <w:bCs/>
        </w:rPr>
        <w:t>Kaip</w:t>
      </w:r>
      <w:r w:rsidR="00201BEF" w:rsidRPr="00C56A24">
        <w:rPr>
          <w:b/>
          <w:bCs/>
        </w:rPr>
        <w:t xml:space="preserve"> šiuo metu</w:t>
      </w:r>
      <w:r w:rsidR="008605F7" w:rsidRPr="00C56A24">
        <w:rPr>
          <w:b/>
          <w:bCs/>
        </w:rPr>
        <w:t xml:space="preserve"> reg</w:t>
      </w:r>
      <w:r w:rsidR="00AD54C5" w:rsidRPr="00C56A24">
        <w:rPr>
          <w:b/>
          <w:bCs/>
        </w:rPr>
        <w:t>uliuojami</w:t>
      </w:r>
      <w:r w:rsidR="008605F7" w:rsidRPr="00C56A24">
        <w:rPr>
          <w:b/>
          <w:bCs/>
        </w:rPr>
        <w:t xml:space="preserve"> įstatymo projekte aptarti </w:t>
      </w:r>
      <w:r w:rsidR="002E45AA" w:rsidRPr="00C56A24">
        <w:rPr>
          <w:b/>
          <w:bCs/>
        </w:rPr>
        <w:t xml:space="preserve">teisiniai </w:t>
      </w:r>
      <w:r w:rsidR="000F0F15" w:rsidRPr="00C56A24">
        <w:rPr>
          <w:b/>
          <w:bCs/>
        </w:rPr>
        <w:t>santykiai</w:t>
      </w:r>
    </w:p>
    <w:p w14:paraId="1224FFB9" w14:textId="2BCBF379" w:rsidR="00A10BFD" w:rsidRPr="00C56A24" w:rsidRDefault="00C54559" w:rsidP="002774E1">
      <w:pPr>
        <w:pStyle w:val="Pagrindinistekstas"/>
        <w:ind w:firstLine="851"/>
      </w:pPr>
      <w:r w:rsidRPr="00C56A24">
        <w:t>20</w:t>
      </w:r>
      <w:r w:rsidR="001F7EAB" w:rsidRPr="00C56A24">
        <w:t>20</w:t>
      </w:r>
      <w:r w:rsidRPr="00C56A24">
        <w:t xml:space="preserve"> m</w:t>
      </w:r>
      <w:r w:rsidR="00C35D58" w:rsidRPr="00C56A24">
        <w:t>etų</w:t>
      </w:r>
      <w:r w:rsidR="002B698C" w:rsidRPr="00C56A24" w:rsidDel="002B698C">
        <w:t xml:space="preserve"> </w:t>
      </w:r>
      <w:r w:rsidRPr="00C56A24">
        <w:t xml:space="preserve">bazinis dydis nustatytas </w:t>
      </w:r>
      <w:r w:rsidR="0022394C" w:rsidRPr="00C56A24">
        <w:t>Lietuvos Respublikos valstybės politikų, teisėjų, valstybės pareigūnų</w:t>
      </w:r>
      <w:r w:rsidR="006111F2" w:rsidRPr="00C56A24">
        <w:t>,</w:t>
      </w:r>
      <w:r w:rsidR="0022394C" w:rsidRPr="00C56A24">
        <w:t xml:space="preserve"> valstybės tarnautojų</w:t>
      </w:r>
      <w:r w:rsidR="006111F2" w:rsidRPr="00C56A24">
        <w:t xml:space="preserve">, </w:t>
      </w:r>
      <w:r w:rsidR="00077235" w:rsidRPr="00C56A24">
        <w:t>valstybės ir savivaldybių biudžetinių įstaigų darbuotojų</w:t>
      </w:r>
      <w:r w:rsidR="0022394C" w:rsidRPr="00C56A24">
        <w:t xml:space="preserve"> pareiginės algos (atlygini</w:t>
      </w:r>
      <w:r w:rsidR="00974010" w:rsidRPr="00C56A24">
        <w:t>mo) bazinio dydžio, taikomo 20</w:t>
      </w:r>
      <w:r w:rsidR="001F7EAB" w:rsidRPr="00C56A24">
        <w:t>20</w:t>
      </w:r>
      <w:r w:rsidR="00974010" w:rsidRPr="00C56A24">
        <w:t xml:space="preserve"> m</w:t>
      </w:r>
      <w:r w:rsidR="007A6123" w:rsidRPr="00C56A24">
        <w:t>etais</w:t>
      </w:r>
      <w:r w:rsidR="00DA6F46" w:rsidRPr="00C56A24">
        <w:t xml:space="preserve">, įstatymu ir yra </w:t>
      </w:r>
      <w:r w:rsidR="00EA5C6C" w:rsidRPr="00C56A24">
        <w:t>17</w:t>
      </w:r>
      <w:r w:rsidR="001F7EAB" w:rsidRPr="00C56A24">
        <w:t>6</w:t>
      </w:r>
      <w:r w:rsidR="00974010" w:rsidRPr="00C56A24">
        <w:t xml:space="preserve"> eur</w:t>
      </w:r>
      <w:r w:rsidR="001F7EAB" w:rsidRPr="00C56A24">
        <w:t>ai</w:t>
      </w:r>
      <w:r w:rsidR="0022394C" w:rsidRPr="00C56A24">
        <w:t>.</w:t>
      </w:r>
    </w:p>
    <w:p w14:paraId="30731CF2" w14:textId="3EF08472" w:rsidR="005C5F90" w:rsidRPr="00C56A24" w:rsidRDefault="005C5F90" w:rsidP="002774E1">
      <w:pPr>
        <w:pStyle w:val="Pagrindinistekstas"/>
        <w:ind w:firstLine="851"/>
      </w:pPr>
      <w:r w:rsidRPr="00C56A24">
        <w:t>202</w:t>
      </w:r>
      <w:r w:rsidR="001F7EAB" w:rsidRPr="00C56A24">
        <w:t>1</w:t>
      </w:r>
      <w:r w:rsidRPr="00C56A24">
        <w:t xml:space="preserve"> metų bazinis dydis n</w:t>
      </w:r>
      <w:r w:rsidR="00A61639">
        <w:t>e</w:t>
      </w:r>
      <w:r w:rsidRPr="00C56A24">
        <w:t>nustatytas.</w:t>
      </w:r>
    </w:p>
    <w:p w14:paraId="4B2A475B" w14:textId="77777777" w:rsidR="00273560" w:rsidRPr="00C56A24" w:rsidRDefault="00273560" w:rsidP="002774E1">
      <w:pPr>
        <w:pStyle w:val="Pagrindinistekstas"/>
        <w:ind w:firstLine="851"/>
      </w:pPr>
    </w:p>
    <w:p w14:paraId="300046ED" w14:textId="77777777" w:rsidR="00DE4F58" w:rsidRPr="00C56A24" w:rsidRDefault="00B366D5" w:rsidP="002774E1">
      <w:pPr>
        <w:ind w:firstLine="851"/>
        <w:jc w:val="both"/>
        <w:rPr>
          <w:sz w:val="24"/>
          <w:szCs w:val="24"/>
          <w:lang w:val="lt-LT"/>
        </w:rPr>
      </w:pPr>
      <w:r w:rsidRPr="00C56A24">
        <w:rPr>
          <w:b/>
          <w:bCs/>
          <w:sz w:val="24"/>
          <w:szCs w:val="24"/>
          <w:lang w:val="lt-LT"/>
        </w:rPr>
        <w:t>4</w:t>
      </w:r>
      <w:r w:rsidR="000D4175" w:rsidRPr="00C56A24">
        <w:rPr>
          <w:b/>
          <w:bCs/>
          <w:sz w:val="24"/>
          <w:szCs w:val="24"/>
          <w:lang w:val="lt-LT"/>
        </w:rPr>
        <w:t>. Kokios</w:t>
      </w:r>
      <w:r w:rsidR="00290AD8" w:rsidRPr="00C56A24">
        <w:rPr>
          <w:b/>
          <w:bCs/>
          <w:sz w:val="24"/>
          <w:szCs w:val="24"/>
          <w:lang w:val="lt-LT"/>
        </w:rPr>
        <w:t xml:space="preserve"> siūlomos</w:t>
      </w:r>
      <w:r w:rsidR="000D4175" w:rsidRPr="00C56A24">
        <w:rPr>
          <w:b/>
          <w:bCs/>
          <w:sz w:val="24"/>
          <w:szCs w:val="24"/>
          <w:lang w:val="lt-LT"/>
        </w:rPr>
        <w:t xml:space="preserve"> n</w:t>
      </w:r>
      <w:r w:rsidR="00A10BFD" w:rsidRPr="00C56A24">
        <w:rPr>
          <w:b/>
          <w:bCs/>
          <w:sz w:val="24"/>
          <w:szCs w:val="24"/>
          <w:lang w:val="lt-LT"/>
        </w:rPr>
        <w:t>aujos teisinio reguliavimo nuostatos</w:t>
      </w:r>
      <w:r w:rsidR="00290AD8" w:rsidRPr="00C56A24">
        <w:rPr>
          <w:b/>
          <w:bCs/>
          <w:sz w:val="24"/>
          <w:szCs w:val="24"/>
          <w:lang w:val="lt-LT"/>
        </w:rPr>
        <w:t xml:space="preserve"> </w:t>
      </w:r>
      <w:r w:rsidR="000D4175" w:rsidRPr="00C56A24">
        <w:rPr>
          <w:b/>
          <w:bCs/>
          <w:sz w:val="24"/>
          <w:szCs w:val="24"/>
          <w:lang w:val="lt-LT"/>
        </w:rPr>
        <w:t>ir kokių teigiamų rezultatų laukiama</w:t>
      </w:r>
      <w:r w:rsidR="007765FD" w:rsidRPr="00C56A24">
        <w:rPr>
          <w:sz w:val="24"/>
          <w:szCs w:val="24"/>
          <w:lang w:val="lt-LT"/>
        </w:rPr>
        <w:t xml:space="preserve"> </w:t>
      </w:r>
    </w:p>
    <w:p w14:paraId="2F53F253" w14:textId="4BCD699A" w:rsidR="00C970C4" w:rsidRPr="00C56A24" w:rsidRDefault="00510471" w:rsidP="00510471">
      <w:pPr>
        <w:ind w:firstLine="851"/>
        <w:jc w:val="both"/>
        <w:rPr>
          <w:sz w:val="24"/>
          <w:szCs w:val="24"/>
          <w:lang w:val="lt-LT"/>
        </w:rPr>
      </w:pPr>
      <w:r w:rsidRPr="00C56A24">
        <w:rPr>
          <w:color w:val="000000"/>
          <w:sz w:val="24"/>
          <w:szCs w:val="24"/>
          <w:lang w:val="lt-LT" w:bidi="lt-LT"/>
        </w:rPr>
        <w:t>E</w:t>
      </w:r>
      <w:r w:rsidRPr="00C56A24">
        <w:rPr>
          <w:sz w:val="24"/>
          <w:szCs w:val="24"/>
          <w:lang w:val="lt-LT"/>
        </w:rPr>
        <w:t xml:space="preserve">konominės raidos scenarijuje 2020–2023 metams, viešai paskelbtame 2020 m. rugsėjo 14 d. Lietuvos Respublikos finansų ministerijos interneto svetainėje, </w:t>
      </w:r>
      <w:r w:rsidR="00C970C4" w:rsidRPr="00C56A24">
        <w:rPr>
          <w:sz w:val="24"/>
          <w:szCs w:val="24"/>
          <w:lang w:val="lt-LT"/>
        </w:rPr>
        <w:t xml:space="preserve">pateikti šie </w:t>
      </w:r>
      <w:r w:rsidR="0054267A" w:rsidRPr="00C56A24">
        <w:rPr>
          <w:sz w:val="24"/>
          <w:szCs w:val="24"/>
          <w:lang w:val="lt-LT"/>
        </w:rPr>
        <w:t>pagrindiniai darbo rinkos ir makroekonominiai rodikliai</w:t>
      </w:r>
      <w:r w:rsidR="00C970C4" w:rsidRPr="00C56A24">
        <w:rPr>
          <w:sz w:val="24"/>
          <w:szCs w:val="24"/>
          <w:lang w:val="lt-LT"/>
        </w:rPr>
        <w:t xml:space="preserve"> ir</w:t>
      </w:r>
      <w:r w:rsidR="0054267A" w:rsidRPr="00C56A24">
        <w:rPr>
          <w:sz w:val="24"/>
          <w:szCs w:val="24"/>
          <w:lang w:val="lt-LT"/>
        </w:rPr>
        <w:t xml:space="preserve"> jų</w:t>
      </w:r>
      <w:r w:rsidR="00C970C4" w:rsidRPr="00C56A24">
        <w:rPr>
          <w:sz w:val="24"/>
          <w:szCs w:val="24"/>
          <w:lang w:val="lt-LT"/>
        </w:rPr>
        <w:t xml:space="preserve"> prognozės:</w:t>
      </w:r>
    </w:p>
    <w:p w14:paraId="786ACC81" w14:textId="433B3B6F" w:rsidR="00E44762" w:rsidRPr="00C56A24" w:rsidRDefault="00C970C4" w:rsidP="00C970C4">
      <w:pPr>
        <w:pStyle w:val="Betarp"/>
        <w:tabs>
          <w:tab w:val="left" w:pos="1134"/>
        </w:tabs>
        <w:ind w:firstLine="709"/>
        <w:jc w:val="both"/>
        <w:rPr>
          <w:rFonts w:ascii="Times New Roman" w:hAnsi="Times New Roman"/>
          <w:sz w:val="24"/>
          <w:szCs w:val="24"/>
          <w:lang w:val="lt-LT"/>
        </w:rPr>
      </w:pPr>
      <w:r w:rsidRPr="00C56A24">
        <w:rPr>
          <w:rFonts w:ascii="Times New Roman" w:hAnsi="Times New Roman"/>
          <w:sz w:val="24"/>
          <w:szCs w:val="24"/>
          <w:lang w:val="lt-LT"/>
        </w:rPr>
        <w:t>1. Vidutinis mėnesinis bruto darbo užmokestis šalies ūkyje</w:t>
      </w:r>
      <w:r w:rsidRPr="00C56A24">
        <w:rPr>
          <w:rFonts w:ascii="Times New Roman" w:hAnsi="Times New Roman"/>
          <w:sz w:val="24"/>
          <w:szCs w:val="24"/>
          <w:lang w:val="lt-LT" w:eastAsia="lt-LT"/>
        </w:rPr>
        <w:t xml:space="preserve"> </w:t>
      </w:r>
      <w:r w:rsidR="00E44762" w:rsidRPr="00C56A24">
        <w:rPr>
          <w:rFonts w:ascii="Times New Roman" w:hAnsi="Times New Roman"/>
          <w:sz w:val="24"/>
          <w:szCs w:val="24"/>
          <w:lang w:val="lt-LT"/>
        </w:rPr>
        <w:t>2019 m. buvo 1</w:t>
      </w:r>
      <w:r w:rsidR="00A61639">
        <w:rPr>
          <w:rFonts w:ascii="Times New Roman" w:hAnsi="Times New Roman"/>
          <w:sz w:val="24"/>
          <w:szCs w:val="24"/>
          <w:lang w:val="lt-LT"/>
        </w:rPr>
        <w:t> </w:t>
      </w:r>
      <w:r w:rsidR="00E44762" w:rsidRPr="00C56A24">
        <w:rPr>
          <w:rFonts w:ascii="Times New Roman" w:hAnsi="Times New Roman"/>
          <w:sz w:val="24"/>
          <w:szCs w:val="24"/>
          <w:lang w:val="lt-LT"/>
        </w:rPr>
        <w:t xml:space="preserve">296,40 </w:t>
      </w:r>
      <w:proofErr w:type="spellStart"/>
      <w:r w:rsidR="00E44762" w:rsidRPr="00C56A24">
        <w:rPr>
          <w:rFonts w:ascii="Times New Roman" w:hAnsi="Times New Roman"/>
          <w:sz w:val="24"/>
          <w:szCs w:val="24"/>
          <w:lang w:val="lt-LT"/>
        </w:rPr>
        <w:t>Eur</w:t>
      </w:r>
      <w:proofErr w:type="spellEnd"/>
      <w:r w:rsidR="00E44762" w:rsidRPr="00C56A24">
        <w:rPr>
          <w:rFonts w:ascii="Times New Roman" w:hAnsi="Times New Roman"/>
          <w:sz w:val="24"/>
          <w:szCs w:val="24"/>
          <w:lang w:val="lt-LT"/>
        </w:rPr>
        <w:t xml:space="preserve"> (</w:t>
      </w:r>
      <w:r w:rsidR="00A61639">
        <w:rPr>
          <w:rFonts w:ascii="Times New Roman" w:hAnsi="Times New Roman"/>
          <w:sz w:val="24"/>
          <w:szCs w:val="24"/>
          <w:lang w:val="lt-LT"/>
        </w:rPr>
        <w:t>prognozuojama, kad</w:t>
      </w:r>
      <w:r w:rsidR="00A61639" w:rsidRPr="00C56A24">
        <w:rPr>
          <w:rFonts w:ascii="Times New Roman" w:hAnsi="Times New Roman"/>
          <w:sz w:val="24"/>
          <w:szCs w:val="24"/>
          <w:lang w:val="lt-LT"/>
        </w:rPr>
        <w:t xml:space="preserve"> </w:t>
      </w:r>
      <w:r w:rsidR="00E44762" w:rsidRPr="00C56A24">
        <w:rPr>
          <w:rFonts w:ascii="Times New Roman" w:hAnsi="Times New Roman"/>
          <w:sz w:val="24"/>
          <w:szCs w:val="24"/>
          <w:lang w:val="lt-LT"/>
        </w:rPr>
        <w:t xml:space="preserve">2020 m. </w:t>
      </w:r>
      <w:r w:rsidR="00A61639">
        <w:rPr>
          <w:rFonts w:ascii="Times New Roman" w:hAnsi="Times New Roman"/>
          <w:sz w:val="24"/>
          <w:szCs w:val="24"/>
          <w:lang w:val="lt-LT"/>
        </w:rPr>
        <w:t xml:space="preserve">jis bus </w:t>
      </w:r>
      <w:r w:rsidR="00E44762" w:rsidRPr="00C56A24">
        <w:rPr>
          <w:rFonts w:ascii="Times New Roman" w:hAnsi="Times New Roman"/>
          <w:sz w:val="24"/>
          <w:szCs w:val="24"/>
          <w:lang w:val="lt-LT"/>
        </w:rPr>
        <w:t>1</w:t>
      </w:r>
      <w:r w:rsidR="00A61639">
        <w:rPr>
          <w:rFonts w:ascii="Times New Roman" w:hAnsi="Times New Roman"/>
          <w:sz w:val="24"/>
          <w:szCs w:val="24"/>
          <w:lang w:val="lt-LT"/>
        </w:rPr>
        <w:t> </w:t>
      </w:r>
      <w:r w:rsidR="00E44762" w:rsidRPr="00C56A24">
        <w:rPr>
          <w:rFonts w:ascii="Times New Roman" w:hAnsi="Times New Roman"/>
          <w:sz w:val="24"/>
          <w:szCs w:val="24"/>
          <w:lang w:val="lt-LT"/>
        </w:rPr>
        <w:t xml:space="preserve">380,70 </w:t>
      </w:r>
      <w:proofErr w:type="spellStart"/>
      <w:r w:rsidR="00E44762" w:rsidRPr="00C56A24">
        <w:rPr>
          <w:rFonts w:ascii="Times New Roman" w:hAnsi="Times New Roman"/>
          <w:sz w:val="24"/>
          <w:szCs w:val="24"/>
          <w:lang w:val="lt-LT"/>
        </w:rPr>
        <w:t>Eur</w:t>
      </w:r>
      <w:proofErr w:type="spellEnd"/>
      <w:r w:rsidR="00E44762" w:rsidRPr="00C56A24">
        <w:rPr>
          <w:rFonts w:ascii="Times New Roman" w:hAnsi="Times New Roman"/>
          <w:sz w:val="24"/>
          <w:szCs w:val="24"/>
          <w:lang w:val="lt-LT"/>
        </w:rPr>
        <w:t>, 2021 m. – 1</w:t>
      </w:r>
      <w:r w:rsidR="00A61639">
        <w:rPr>
          <w:rFonts w:ascii="Times New Roman" w:hAnsi="Times New Roman"/>
          <w:sz w:val="24"/>
          <w:szCs w:val="24"/>
          <w:lang w:val="lt-LT"/>
        </w:rPr>
        <w:t> </w:t>
      </w:r>
      <w:r w:rsidR="00E44762" w:rsidRPr="00C56A24">
        <w:rPr>
          <w:rFonts w:ascii="Times New Roman" w:hAnsi="Times New Roman"/>
          <w:sz w:val="24"/>
          <w:szCs w:val="24"/>
          <w:lang w:val="lt-LT"/>
        </w:rPr>
        <w:t xml:space="preserve">426,20 </w:t>
      </w:r>
      <w:proofErr w:type="spellStart"/>
      <w:r w:rsidR="00E44762" w:rsidRPr="00C56A24">
        <w:rPr>
          <w:rFonts w:ascii="Times New Roman" w:hAnsi="Times New Roman"/>
          <w:sz w:val="24"/>
          <w:szCs w:val="24"/>
          <w:lang w:val="lt-LT"/>
        </w:rPr>
        <w:t>Eur</w:t>
      </w:r>
      <w:proofErr w:type="spellEnd"/>
      <w:r w:rsidR="00E44762" w:rsidRPr="00C56A24">
        <w:rPr>
          <w:rFonts w:ascii="Times New Roman" w:hAnsi="Times New Roman"/>
          <w:sz w:val="24"/>
          <w:szCs w:val="24"/>
          <w:lang w:val="lt-LT"/>
        </w:rPr>
        <w:t xml:space="preserve">). Vidutinis mėnesinis </w:t>
      </w:r>
      <w:r w:rsidR="00E44762" w:rsidRPr="00C56A24">
        <w:rPr>
          <w:rFonts w:ascii="Times New Roman" w:hAnsi="Times New Roman"/>
          <w:sz w:val="24"/>
          <w:szCs w:val="24"/>
          <w:lang w:val="lt-LT"/>
        </w:rPr>
        <w:lastRenderedPageBreak/>
        <w:t>bruto darbo užmokestis 2019 m., palyginti su 2018 m., padidėjo 8,8 proc</w:t>
      </w:r>
      <w:r w:rsidR="00346359" w:rsidRPr="00C56A24">
        <w:rPr>
          <w:rFonts w:ascii="Times New Roman" w:hAnsi="Times New Roman"/>
          <w:sz w:val="24"/>
          <w:szCs w:val="24"/>
          <w:lang w:val="lt-LT"/>
        </w:rPr>
        <w:t>.</w:t>
      </w:r>
      <w:r w:rsidR="00E44762" w:rsidRPr="00C56A24">
        <w:rPr>
          <w:rFonts w:ascii="Times New Roman" w:hAnsi="Times New Roman"/>
          <w:sz w:val="24"/>
          <w:szCs w:val="24"/>
          <w:lang w:val="lt-LT"/>
        </w:rPr>
        <w:t xml:space="preserve"> (</w:t>
      </w:r>
      <w:r w:rsidR="00A61639" w:rsidRPr="00C56A24">
        <w:rPr>
          <w:rFonts w:ascii="Times New Roman" w:hAnsi="Times New Roman"/>
          <w:sz w:val="24"/>
          <w:szCs w:val="24"/>
          <w:lang w:val="lt-LT"/>
        </w:rPr>
        <w:t>prognozuojama</w:t>
      </w:r>
      <w:r w:rsidR="00A61639">
        <w:rPr>
          <w:rFonts w:ascii="Times New Roman" w:hAnsi="Times New Roman"/>
          <w:sz w:val="24"/>
          <w:szCs w:val="24"/>
          <w:lang w:val="lt-LT"/>
        </w:rPr>
        <w:t>, kad</w:t>
      </w:r>
      <w:r w:rsidR="00A61639" w:rsidRPr="00C56A24">
        <w:rPr>
          <w:rFonts w:ascii="Times New Roman" w:hAnsi="Times New Roman"/>
          <w:sz w:val="24"/>
          <w:szCs w:val="24"/>
          <w:lang w:val="lt-LT"/>
        </w:rPr>
        <w:t xml:space="preserve"> </w:t>
      </w:r>
      <w:r w:rsidR="00E44762" w:rsidRPr="00C56A24">
        <w:rPr>
          <w:rFonts w:ascii="Times New Roman" w:hAnsi="Times New Roman"/>
          <w:sz w:val="24"/>
          <w:szCs w:val="24"/>
          <w:lang w:val="lt-LT"/>
        </w:rPr>
        <w:t>2020 m. didės 6,5</w:t>
      </w:r>
      <w:r w:rsidR="00346359" w:rsidRPr="00C56A24">
        <w:rPr>
          <w:rFonts w:ascii="Times New Roman" w:hAnsi="Times New Roman"/>
          <w:sz w:val="24"/>
          <w:szCs w:val="24"/>
          <w:lang w:val="lt-LT"/>
        </w:rPr>
        <w:t> </w:t>
      </w:r>
      <w:r w:rsidR="00E44762" w:rsidRPr="00C56A24">
        <w:rPr>
          <w:rFonts w:ascii="Times New Roman" w:hAnsi="Times New Roman"/>
          <w:sz w:val="24"/>
          <w:szCs w:val="24"/>
          <w:lang w:val="lt-LT"/>
        </w:rPr>
        <w:t xml:space="preserve">proc., 2021 m. – 3,3 proc.). </w:t>
      </w:r>
    </w:p>
    <w:p w14:paraId="40593272" w14:textId="5263F713" w:rsidR="00C970C4" w:rsidRPr="00C56A24" w:rsidRDefault="00C970C4" w:rsidP="00C970C4">
      <w:pPr>
        <w:pStyle w:val="Betarp"/>
        <w:tabs>
          <w:tab w:val="left" w:pos="1134"/>
        </w:tabs>
        <w:ind w:firstLine="709"/>
        <w:jc w:val="both"/>
        <w:rPr>
          <w:rFonts w:ascii="Times New Roman" w:hAnsi="Times New Roman"/>
          <w:sz w:val="24"/>
          <w:szCs w:val="24"/>
          <w:lang w:val="lt-LT" w:eastAsia="lt-LT"/>
        </w:rPr>
      </w:pPr>
      <w:r w:rsidRPr="00C56A24">
        <w:rPr>
          <w:rFonts w:ascii="Times New Roman" w:hAnsi="Times New Roman"/>
          <w:sz w:val="24"/>
          <w:szCs w:val="24"/>
          <w:lang w:val="lt-LT" w:eastAsia="lt-LT"/>
        </w:rPr>
        <w:t>2. Suderintas vartotojų ka</w:t>
      </w:r>
      <w:r w:rsidR="0054267A" w:rsidRPr="00C56A24">
        <w:rPr>
          <w:rFonts w:ascii="Times New Roman" w:hAnsi="Times New Roman"/>
          <w:sz w:val="24"/>
          <w:szCs w:val="24"/>
          <w:lang w:val="lt-LT" w:eastAsia="lt-LT"/>
        </w:rPr>
        <w:t>inų indeksas (vidutinis metinis)</w:t>
      </w:r>
      <w:r w:rsidRPr="00C56A24">
        <w:rPr>
          <w:rFonts w:ascii="Times New Roman" w:hAnsi="Times New Roman"/>
          <w:sz w:val="24"/>
          <w:szCs w:val="24"/>
          <w:lang w:val="lt-LT" w:eastAsia="lt-LT"/>
        </w:rPr>
        <w:t xml:space="preserve"> 2019 m. buvo 2,2 proc. (</w:t>
      </w:r>
      <w:r w:rsidR="00687F88" w:rsidRPr="00C56A24">
        <w:rPr>
          <w:rFonts w:ascii="Times New Roman" w:hAnsi="Times New Roman"/>
          <w:sz w:val="24"/>
          <w:szCs w:val="24"/>
          <w:lang w:val="lt-LT" w:eastAsia="lt-LT"/>
        </w:rPr>
        <w:t>planuojama</w:t>
      </w:r>
      <w:r w:rsidR="00687F88">
        <w:rPr>
          <w:rFonts w:ascii="Times New Roman" w:hAnsi="Times New Roman"/>
          <w:sz w:val="24"/>
          <w:szCs w:val="24"/>
          <w:lang w:val="lt-LT" w:eastAsia="lt-LT"/>
        </w:rPr>
        <w:t>, kad</w:t>
      </w:r>
      <w:r w:rsidR="00687F88" w:rsidRPr="00C56A24">
        <w:rPr>
          <w:rFonts w:ascii="Times New Roman" w:hAnsi="Times New Roman"/>
          <w:sz w:val="24"/>
          <w:szCs w:val="24"/>
          <w:lang w:val="lt-LT" w:eastAsia="lt-LT"/>
        </w:rPr>
        <w:t xml:space="preserve"> </w:t>
      </w:r>
      <w:r w:rsidRPr="00C56A24">
        <w:rPr>
          <w:rFonts w:ascii="Times New Roman" w:hAnsi="Times New Roman"/>
          <w:sz w:val="24"/>
          <w:szCs w:val="24"/>
          <w:lang w:val="lt-LT" w:eastAsia="lt-LT"/>
        </w:rPr>
        <w:t xml:space="preserve">2020 m. bus </w:t>
      </w:r>
      <w:r w:rsidRPr="00C56A24">
        <w:rPr>
          <w:rFonts w:ascii="Times New Roman" w:hAnsi="Times New Roman"/>
          <w:sz w:val="24"/>
          <w:szCs w:val="24"/>
          <w:lang w:val="lt-LT"/>
        </w:rPr>
        <w:t>0,9 proc., 2021 m. – 1,8 proc.)</w:t>
      </w:r>
      <w:r w:rsidR="0054267A" w:rsidRPr="00C56A24">
        <w:rPr>
          <w:rFonts w:ascii="Times New Roman" w:hAnsi="Times New Roman"/>
          <w:sz w:val="24"/>
          <w:szCs w:val="24"/>
          <w:lang w:val="lt-LT"/>
        </w:rPr>
        <w:t>.</w:t>
      </w:r>
    </w:p>
    <w:p w14:paraId="38F10B78" w14:textId="600A875D" w:rsidR="00C970C4" w:rsidRPr="00C56A24" w:rsidRDefault="00C970C4" w:rsidP="00C970C4">
      <w:pPr>
        <w:pStyle w:val="Betarp"/>
        <w:tabs>
          <w:tab w:val="left" w:pos="1134"/>
        </w:tabs>
        <w:ind w:firstLine="709"/>
        <w:jc w:val="both"/>
        <w:rPr>
          <w:rFonts w:ascii="Times New Roman" w:hAnsi="Times New Roman"/>
          <w:sz w:val="24"/>
          <w:szCs w:val="24"/>
          <w:lang w:val="lt-LT" w:eastAsia="lt-LT"/>
        </w:rPr>
      </w:pPr>
      <w:r w:rsidRPr="00C56A24">
        <w:rPr>
          <w:rFonts w:ascii="Times New Roman" w:hAnsi="Times New Roman"/>
          <w:sz w:val="24"/>
          <w:szCs w:val="24"/>
          <w:lang w:val="lt-LT" w:eastAsia="lt-LT"/>
        </w:rPr>
        <w:t>3. Nedarbo lygis</w:t>
      </w:r>
      <w:r w:rsidR="00E44762" w:rsidRPr="00C56A24">
        <w:rPr>
          <w:rFonts w:ascii="Times New Roman" w:hAnsi="Times New Roman"/>
          <w:sz w:val="24"/>
          <w:szCs w:val="24"/>
          <w:lang w:val="lt-LT"/>
        </w:rPr>
        <w:t xml:space="preserve"> 2019 m. buvo 6,3 proc</w:t>
      </w:r>
      <w:r w:rsidR="00346359" w:rsidRPr="00C56A24">
        <w:rPr>
          <w:rFonts w:ascii="Times New Roman" w:hAnsi="Times New Roman"/>
          <w:sz w:val="24"/>
          <w:szCs w:val="24"/>
          <w:lang w:val="lt-LT"/>
        </w:rPr>
        <w:t>.</w:t>
      </w:r>
      <w:r w:rsidR="00E44762" w:rsidRPr="00C56A24">
        <w:rPr>
          <w:rFonts w:ascii="Times New Roman" w:hAnsi="Times New Roman"/>
          <w:sz w:val="24"/>
          <w:szCs w:val="24"/>
          <w:lang w:val="lt-LT"/>
        </w:rPr>
        <w:t xml:space="preserve"> (</w:t>
      </w:r>
      <w:r w:rsidR="00687F88">
        <w:rPr>
          <w:rFonts w:ascii="Times New Roman" w:hAnsi="Times New Roman"/>
          <w:sz w:val="24"/>
          <w:szCs w:val="24"/>
          <w:lang w:val="lt-LT"/>
        </w:rPr>
        <w:t>prognozuojama, kad</w:t>
      </w:r>
      <w:r w:rsidR="00687F88" w:rsidRPr="00C56A24">
        <w:rPr>
          <w:rFonts w:ascii="Times New Roman" w:hAnsi="Times New Roman"/>
          <w:sz w:val="24"/>
          <w:szCs w:val="24"/>
          <w:lang w:val="lt-LT"/>
        </w:rPr>
        <w:t xml:space="preserve"> </w:t>
      </w:r>
      <w:r w:rsidR="00E44762" w:rsidRPr="00C56A24">
        <w:rPr>
          <w:rFonts w:ascii="Times New Roman" w:hAnsi="Times New Roman"/>
          <w:sz w:val="24"/>
          <w:szCs w:val="24"/>
          <w:lang w:val="lt-LT"/>
        </w:rPr>
        <w:t xml:space="preserve">2020 m. </w:t>
      </w:r>
      <w:r w:rsidR="00687F88">
        <w:rPr>
          <w:rFonts w:ascii="Times New Roman" w:hAnsi="Times New Roman"/>
          <w:sz w:val="24"/>
          <w:szCs w:val="24"/>
          <w:lang w:val="lt-LT"/>
        </w:rPr>
        <w:t xml:space="preserve">jis bus </w:t>
      </w:r>
      <w:r w:rsidR="00E44762" w:rsidRPr="00C56A24">
        <w:rPr>
          <w:rFonts w:ascii="Times New Roman" w:hAnsi="Times New Roman"/>
          <w:sz w:val="24"/>
          <w:szCs w:val="24"/>
          <w:lang w:val="lt-LT"/>
        </w:rPr>
        <w:t>8,8 proc., 2021 m. – 7,9</w:t>
      </w:r>
      <w:r w:rsidR="00346359" w:rsidRPr="00C56A24">
        <w:rPr>
          <w:rFonts w:ascii="Times New Roman" w:hAnsi="Times New Roman"/>
          <w:sz w:val="24"/>
          <w:szCs w:val="24"/>
          <w:lang w:val="lt-LT"/>
        </w:rPr>
        <w:t> </w:t>
      </w:r>
      <w:r w:rsidR="00E44762" w:rsidRPr="00C56A24">
        <w:rPr>
          <w:rFonts w:ascii="Times New Roman" w:hAnsi="Times New Roman"/>
          <w:sz w:val="24"/>
          <w:szCs w:val="24"/>
          <w:lang w:val="lt-LT"/>
        </w:rPr>
        <w:t>proc.).</w:t>
      </w:r>
    </w:p>
    <w:p w14:paraId="0298D563" w14:textId="59DD73A9" w:rsidR="00E44762" w:rsidRPr="00C56A24" w:rsidRDefault="00C970C4" w:rsidP="00E44762">
      <w:pPr>
        <w:pStyle w:val="Betarp"/>
        <w:tabs>
          <w:tab w:val="left" w:pos="1134"/>
        </w:tabs>
        <w:ind w:firstLine="709"/>
        <w:jc w:val="both"/>
        <w:rPr>
          <w:rFonts w:ascii="Times New Roman" w:hAnsi="Times New Roman"/>
          <w:sz w:val="24"/>
          <w:szCs w:val="24"/>
          <w:lang w:val="lt-LT"/>
        </w:rPr>
      </w:pPr>
      <w:r w:rsidRPr="00C56A24">
        <w:rPr>
          <w:rFonts w:ascii="Times New Roman" w:hAnsi="Times New Roman"/>
          <w:iCs/>
          <w:sz w:val="24"/>
          <w:szCs w:val="24"/>
          <w:lang w:val="lt-LT" w:eastAsia="lt-LT"/>
        </w:rPr>
        <w:t>4. Bendrasis vidaus produkt</w:t>
      </w:r>
      <w:r w:rsidR="0054267A" w:rsidRPr="00C56A24">
        <w:rPr>
          <w:rFonts w:ascii="Times New Roman" w:hAnsi="Times New Roman"/>
          <w:iCs/>
          <w:sz w:val="24"/>
          <w:szCs w:val="24"/>
          <w:lang w:val="lt-LT" w:eastAsia="lt-LT"/>
        </w:rPr>
        <w:t>o</w:t>
      </w:r>
      <w:r w:rsidRPr="00C56A24">
        <w:rPr>
          <w:rFonts w:ascii="Times New Roman" w:hAnsi="Times New Roman"/>
          <w:sz w:val="24"/>
          <w:szCs w:val="24"/>
          <w:lang w:val="lt-LT" w:eastAsia="lt-LT"/>
        </w:rPr>
        <w:t xml:space="preserve"> </w:t>
      </w:r>
      <w:r w:rsidRPr="00C56A24">
        <w:rPr>
          <w:rFonts w:ascii="Times New Roman" w:hAnsi="Times New Roman"/>
          <w:iCs/>
          <w:sz w:val="24"/>
          <w:szCs w:val="24"/>
          <w:lang w:val="lt-LT" w:eastAsia="lt-LT"/>
        </w:rPr>
        <w:t>(toliau – BVP)</w:t>
      </w:r>
      <w:r w:rsidR="00E44762" w:rsidRPr="00C56A24">
        <w:rPr>
          <w:rFonts w:ascii="Times New Roman" w:hAnsi="Times New Roman"/>
          <w:sz w:val="24"/>
          <w:szCs w:val="24"/>
          <w:lang w:val="lt-LT"/>
        </w:rPr>
        <w:t xml:space="preserve"> pokytis palyginamosiomis kainomis 2019 m. buvo 3,9 proc</w:t>
      </w:r>
      <w:r w:rsidR="00346359" w:rsidRPr="00C56A24">
        <w:rPr>
          <w:rFonts w:ascii="Times New Roman" w:hAnsi="Times New Roman"/>
          <w:sz w:val="24"/>
          <w:szCs w:val="24"/>
          <w:lang w:val="lt-LT"/>
        </w:rPr>
        <w:t>.</w:t>
      </w:r>
      <w:r w:rsidR="00E44762" w:rsidRPr="00C56A24">
        <w:rPr>
          <w:rFonts w:ascii="Times New Roman" w:hAnsi="Times New Roman"/>
          <w:sz w:val="24"/>
          <w:szCs w:val="24"/>
          <w:lang w:val="lt-LT"/>
        </w:rPr>
        <w:t xml:space="preserve"> (</w:t>
      </w:r>
      <w:r w:rsidR="00687F88">
        <w:rPr>
          <w:rFonts w:ascii="Times New Roman" w:hAnsi="Times New Roman"/>
          <w:sz w:val="24"/>
          <w:szCs w:val="24"/>
          <w:lang w:val="lt-LT"/>
        </w:rPr>
        <w:t>prognozuojama, kad</w:t>
      </w:r>
      <w:r w:rsidR="00687F88" w:rsidRPr="00C56A24">
        <w:rPr>
          <w:rFonts w:ascii="Times New Roman" w:hAnsi="Times New Roman"/>
          <w:sz w:val="24"/>
          <w:szCs w:val="24"/>
          <w:lang w:val="lt-LT"/>
        </w:rPr>
        <w:t xml:space="preserve"> </w:t>
      </w:r>
      <w:r w:rsidR="00E44762" w:rsidRPr="00C56A24">
        <w:rPr>
          <w:rFonts w:ascii="Times New Roman" w:hAnsi="Times New Roman"/>
          <w:sz w:val="24"/>
          <w:szCs w:val="24"/>
          <w:lang w:val="lt-LT"/>
        </w:rPr>
        <w:t xml:space="preserve">2020 m. </w:t>
      </w:r>
      <w:r w:rsidR="00687F88">
        <w:rPr>
          <w:rFonts w:ascii="Times New Roman" w:hAnsi="Times New Roman"/>
          <w:sz w:val="24"/>
          <w:szCs w:val="24"/>
          <w:lang w:val="lt-LT"/>
        </w:rPr>
        <w:t>jis bus</w:t>
      </w:r>
      <w:r w:rsidR="00E44762" w:rsidRPr="00C56A24">
        <w:rPr>
          <w:rFonts w:ascii="Times New Roman" w:hAnsi="Times New Roman"/>
          <w:sz w:val="24"/>
          <w:szCs w:val="24"/>
          <w:lang w:val="lt-LT"/>
        </w:rPr>
        <w:t xml:space="preserve"> -1,5 proc., 2021 m. – 3,3</w:t>
      </w:r>
      <w:r w:rsidR="00687F88">
        <w:rPr>
          <w:rFonts w:ascii="Times New Roman" w:hAnsi="Times New Roman"/>
          <w:sz w:val="24"/>
          <w:szCs w:val="24"/>
          <w:lang w:val="lt-LT"/>
        </w:rPr>
        <w:t> </w:t>
      </w:r>
      <w:r w:rsidR="00E44762" w:rsidRPr="00C56A24">
        <w:rPr>
          <w:rFonts w:ascii="Times New Roman" w:hAnsi="Times New Roman"/>
          <w:sz w:val="24"/>
          <w:szCs w:val="24"/>
          <w:lang w:val="lt-LT"/>
        </w:rPr>
        <w:t xml:space="preserve">proc.). </w:t>
      </w:r>
    </w:p>
    <w:p w14:paraId="64A94206" w14:textId="7C9F1102" w:rsidR="00C970C4" w:rsidRPr="00C56A24" w:rsidRDefault="00C970C4" w:rsidP="00E44762">
      <w:pPr>
        <w:pStyle w:val="Betarp"/>
        <w:tabs>
          <w:tab w:val="left" w:pos="1134"/>
        </w:tabs>
        <w:ind w:firstLine="709"/>
        <w:jc w:val="both"/>
        <w:rPr>
          <w:rFonts w:ascii="Times New Roman" w:hAnsi="Times New Roman"/>
          <w:sz w:val="24"/>
          <w:szCs w:val="24"/>
          <w:lang w:val="lt-LT"/>
        </w:rPr>
      </w:pPr>
      <w:r w:rsidRPr="00C56A24">
        <w:rPr>
          <w:rFonts w:ascii="Times New Roman" w:hAnsi="Times New Roman"/>
          <w:iCs/>
          <w:sz w:val="24"/>
          <w:szCs w:val="24"/>
          <w:lang w:val="lt-LT"/>
        </w:rPr>
        <w:t>5. Darbo našum</w:t>
      </w:r>
      <w:r w:rsidR="00E44762" w:rsidRPr="00C56A24">
        <w:rPr>
          <w:rFonts w:ascii="Times New Roman" w:hAnsi="Times New Roman"/>
          <w:iCs/>
          <w:sz w:val="24"/>
          <w:szCs w:val="24"/>
          <w:lang w:val="lt-LT"/>
        </w:rPr>
        <w:t>o</w:t>
      </w:r>
      <w:r w:rsidRPr="00C56A24">
        <w:rPr>
          <w:rFonts w:ascii="Times New Roman" w:hAnsi="Times New Roman"/>
          <w:iCs/>
          <w:sz w:val="24"/>
          <w:szCs w:val="24"/>
          <w:lang w:val="lt-LT"/>
        </w:rPr>
        <w:t xml:space="preserve"> (BVP palyginamosiomis kainomis vienam užimtam gyventojui)</w:t>
      </w:r>
      <w:r w:rsidR="00E44762" w:rsidRPr="00C56A24">
        <w:rPr>
          <w:rFonts w:ascii="Times New Roman" w:hAnsi="Times New Roman"/>
          <w:iCs/>
          <w:sz w:val="24"/>
          <w:szCs w:val="24"/>
          <w:lang w:val="lt-LT"/>
        </w:rPr>
        <w:t xml:space="preserve"> pokytis</w:t>
      </w:r>
      <w:r w:rsidRPr="00C56A24">
        <w:rPr>
          <w:rFonts w:ascii="Times New Roman" w:hAnsi="Times New Roman"/>
          <w:sz w:val="24"/>
          <w:szCs w:val="24"/>
          <w:lang w:val="lt-LT"/>
        </w:rPr>
        <w:t xml:space="preserve"> 2019 m. šalies ūkyje </w:t>
      </w:r>
      <w:r w:rsidR="00E44762" w:rsidRPr="00C56A24">
        <w:rPr>
          <w:rFonts w:ascii="Times New Roman" w:hAnsi="Times New Roman"/>
          <w:sz w:val="24"/>
          <w:szCs w:val="24"/>
          <w:lang w:val="lt-LT"/>
        </w:rPr>
        <w:t>buvo 3,6</w:t>
      </w:r>
      <w:r w:rsidRPr="00C56A24">
        <w:rPr>
          <w:rFonts w:ascii="Times New Roman" w:hAnsi="Times New Roman"/>
          <w:sz w:val="24"/>
          <w:szCs w:val="24"/>
          <w:lang w:val="lt-LT"/>
        </w:rPr>
        <w:t xml:space="preserve"> proc. </w:t>
      </w:r>
      <w:r w:rsidR="00E44762" w:rsidRPr="00C56A24">
        <w:rPr>
          <w:rFonts w:ascii="Times New Roman" w:hAnsi="Times New Roman"/>
          <w:sz w:val="24"/>
          <w:szCs w:val="24"/>
          <w:lang w:val="lt-LT"/>
        </w:rPr>
        <w:t>(</w:t>
      </w:r>
      <w:r w:rsidR="000767ED" w:rsidRPr="00C56A24">
        <w:rPr>
          <w:rFonts w:ascii="Times New Roman" w:hAnsi="Times New Roman"/>
          <w:sz w:val="24"/>
          <w:szCs w:val="24"/>
          <w:lang w:val="lt-LT"/>
        </w:rPr>
        <w:t>prognozuojama</w:t>
      </w:r>
      <w:r w:rsidR="000767ED">
        <w:rPr>
          <w:rFonts w:ascii="Times New Roman" w:hAnsi="Times New Roman"/>
          <w:sz w:val="24"/>
          <w:szCs w:val="24"/>
          <w:lang w:val="lt-LT"/>
        </w:rPr>
        <w:t>, kad</w:t>
      </w:r>
      <w:r w:rsidR="000767ED" w:rsidRPr="00C56A24">
        <w:rPr>
          <w:rFonts w:ascii="Times New Roman" w:hAnsi="Times New Roman"/>
          <w:sz w:val="24"/>
          <w:szCs w:val="24"/>
          <w:lang w:val="lt-LT"/>
        </w:rPr>
        <w:t xml:space="preserve"> </w:t>
      </w:r>
      <w:r w:rsidRPr="00C56A24">
        <w:rPr>
          <w:rFonts w:ascii="Times New Roman" w:hAnsi="Times New Roman"/>
          <w:sz w:val="24"/>
          <w:szCs w:val="24"/>
          <w:lang w:val="lt-LT"/>
        </w:rPr>
        <w:t xml:space="preserve">2020 m. </w:t>
      </w:r>
      <w:r w:rsidR="000767ED">
        <w:rPr>
          <w:rFonts w:ascii="Times New Roman" w:hAnsi="Times New Roman"/>
          <w:sz w:val="24"/>
          <w:szCs w:val="24"/>
          <w:lang w:val="lt-LT"/>
        </w:rPr>
        <w:t xml:space="preserve">jis bus </w:t>
      </w:r>
      <w:r w:rsidR="00E44762" w:rsidRPr="00C56A24">
        <w:rPr>
          <w:rFonts w:ascii="Times New Roman" w:hAnsi="Times New Roman"/>
          <w:sz w:val="24"/>
          <w:szCs w:val="24"/>
          <w:lang w:val="lt-LT"/>
        </w:rPr>
        <w:t>0,4</w:t>
      </w:r>
      <w:r w:rsidR="000767ED">
        <w:rPr>
          <w:rFonts w:ascii="Times New Roman" w:hAnsi="Times New Roman"/>
          <w:sz w:val="24"/>
          <w:szCs w:val="24"/>
          <w:lang w:val="lt-LT"/>
        </w:rPr>
        <w:t> </w:t>
      </w:r>
      <w:r w:rsidRPr="00C56A24">
        <w:rPr>
          <w:rFonts w:ascii="Times New Roman" w:hAnsi="Times New Roman"/>
          <w:sz w:val="24"/>
          <w:szCs w:val="24"/>
          <w:lang w:val="lt-LT"/>
        </w:rPr>
        <w:t>proc.</w:t>
      </w:r>
      <w:r w:rsidR="00E44762" w:rsidRPr="00C56A24">
        <w:rPr>
          <w:rFonts w:ascii="Times New Roman" w:hAnsi="Times New Roman"/>
          <w:sz w:val="24"/>
          <w:szCs w:val="24"/>
          <w:lang w:val="lt-LT"/>
        </w:rPr>
        <w:t>, 2021 m. – 1,9 proc.).</w:t>
      </w:r>
    </w:p>
    <w:p w14:paraId="7BA33E0C" w14:textId="0D0E7FC0" w:rsidR="00510471" w:rsidRPr="00C56A24" w:rsidRDefault="00510471" w:rsidP="00510471">
      <w:pPr>
        <w:ind w:firstLine="851"/>
        <w:jc w:val="both"/>
        <w:rPr>
          <w:spacing w:val="2"/>
          <w:sz w:val="24"/>
          <w:szCs w:val="24"/>
          <w:shd w:val="clear" w:color="auto" w:fill="FFFFFF"/>
          <w:lang w:val="lt-LT"/>
        </w:rPr>
      </w:pPr>
      <w:r w:rsidRPr="00C56A24">
        <w:rPr>
          <w:spacing w:val="2"/>
          <w:sz w:val="24"/>
          <w:szCs w:val="24"/>
          <w:shd w:val="clear" w:color="auto" w:fill="FFFFFF"/>
          <w:lang w:val="lt-LT"/>
        </w:rPr>
        <w:t>Nors ir pastebim</w:t>
      </w:r>
      <w:r w:rsidR="00C97DC1">
        <w:rPr>
          <w:spacing w:val="2"/>
          <w:sz w:val="24"/>
          <w:szCs w:val="24"/>
          <w:shd w:val="clear" w:color="auto" w:fill="FFFFFF"/>
          <w:lang w:val="lt-LT"/>
        </w:rPr>
        <w:t>a</w:t>
      </w:r>
      <w:r w:rsidRPr="00C56A24">
        <w:rPr>
          <w:spacing w:val="2"/>
          <w:sz w:val="24"/>
          <w:szCs w:val="24"/>
          <w:shd w:val="clear" w:color="auto" w:fill="FFFFFF"/>
          <w:lang w:val="lt-LT"/>
        </w:rPr>
        <w:t xml:space="preserve"> ekonomikos atsigavimo ženkl</w:t>
      </w:r>
      <w:r w:rsidR="00C97DC1">
        <w:rPr>
          <w:spacing w:val="2"/>
          <w:sz w:val="24"/>
          <w:szCs w:val="24"/>
          <w:shd w:val="clear" w:color="auto" w:fill="FFFFFF"/>
          <w:lang w:val="lt-LT"/>
        </w:rPr>
        <w:t>ų</w:t>
      </w:r>
      <w:r w:rsidRPr="00C56A24">
        <w:rPr>
          <w:spacing w:val="2"/>
          <w:sz w:val="24"/>
          <w:szCs w:val="24"/>
          <w:shd w:val="clear" w:color="auto" w:fill="FFFFFF"/>
          <w:lang w:val="lt-LT"/>
        </w:rPr>
        <w:t xml:space="preserve">, nesitikima 2021 metais </w:t>
      </w:r>
      <w:r w:rsidR="000767ED">
        <w:rPr>
          <w:spacing w:val="2"/>
          <w:sz w:val="24"/>
          <w:szCs w:val="24"/>
          <w:shd w:val="clear" w:color="auto" w:fill="FFFFFF"/>
          <w:lang w:val="lt-LT"/>
        </w:rPr>
        <w:t>kompensuoti</w:t>
      </w:r>
      <w:r w:rsidR="000767ED" w:rsidRPr="00C56A24">
        <w:rPr>
          <w:spacing w:val="2"/>
          <w:sz w:val="24"/>
          <w:szCs w:val="24"/>
          <w:shd w:val="clear" w:color="auto" w:fill="FFFFFF"/>
          <w:lang w:val="lt-LT"/>
        </w:rPr>
        <w:t xml:space="preserve"> </w:t>
      </w:r>
      <w:r w:rsidRPr="00C56A24">
        <w:rPr>
          <w:spacing w:val="2"/>
          <w:sz w:val="24"/>
          <w:szCs w:val="24"/>
          <w:shd w:val="clear" w:color="auto" w:fill="FFFFFF"/>
          <w:lang w:val="lt-LT"/>
        </w:rPr>
        <w:t xml:space="preserve">šiemet </w:t>
      </w:r>
      <w:r w:rsidR="00A8738F">
        <w:rPr>
          <w:spacing w:val="2"/>
          <w:sz w:val="24"/>
          <w:szCs w:val="24"/>
          <w:shd w:val="clear" w:color="auto" w:fill="FFFFFF"/>
          <w:lang w:val="lt-LT"/>
        </w:rPr>
        <w:t>dėl COVID-19 pandemijos</w:t>
      </w:r>
      <w:r w:rsidR="00A8738F" w:rsidRPr="00C56A24">
        <w:rPr>
          <w:spacing w:val="2"/>
          <w:sz w:val="24"/>
          <w:szCs w:val="24"/>
          <w:shd w:val="clear" w:color="auto" w:fill="FFFFFF"/>
          <w:lang w:val="lt-LT"/>
        </w:rPr>
        <w:t xml:space="preserve"> </w:t>
      </w:r>
      <w:r w:rsidRPr="00C56A24">
        <w:rPr>
          <w:spacing w:val="2"/>
          <w:sz w:val="24"/>
          <w:szCs w:val="24"/>
          <w:shd w:val="clear" w:color="auto" w:fill="FFFFFF"/>
          <w:lang w:val="lt-LT"/>
        </w:rPr>
        <w:t>patirt</w:t>
      </w:r>
      <w:r w:rsidR="00C97DC1">
        <w:rPr>
          <w:spacing w:val="2"/>
          <w:sz w:val="24"/>
          <w:szCs w:val="24"/>
          <w:shd w:val="clear" w:color="auto" w:fill="FFFFFF"/>
          <w:lang w:val="lt-LT"/>
        </w:rPr>
        <w:t>ų</w:t>
      </w:r>
      <w:r w:rsidRPr="00C56A24">
        <w:rPr>
          <w:spacing w:val="2"/>
          <w:sz w:val="24"/>
          <w:szCs w:val="24"/>
          <w:shd w:val="clear" w:color="auto" w:fill="FFFFFF"/>
          <w:lang w:val="lt-LT"/>
        </w:rPr>
        <w:t xml:space="preserve"> nuostoli</w:t>
      </w:r>
      <w:r w:rsidR="00C97DC1">
        <w:rPr>
          <w:spacing w:val="2"/>
          <w:sz w:val="24"/>
          <w:szCs w:val="24"/>
          <w:shd w:val="clear" w:color="auto" w:fill="FFFFFF"/>
          <w:lang w:val="lt-LT"/>
        </w:rPr>
        <w:t>ų</w:t>
      </w:r>
      <w:r w:rsidRPr="00C56A24">
        <w:rPr>
          <w:spacing w:val="2"/>
          <w:sz w:val="24"/>
          <w:szCs w:val="24"/>
          <w:shd w:val="clear" w:color="auto" w:fill="FFFFFF"/>
          <w:lang w:val="lt-LT"/>
        </w:rPr>
        <w:t>. B</w:t>
      </w:r>
      <w:r w:rsidR="0054267A" w:rsidRPr="00C56A24">
        <w:rPr>
          <w:spacing w:val="2"/>
          <w:sz w:val="24"/>
          <w:szCs w:val="24"/>
          <w:shd w:val="clear" w:color="auto" w:fill="FFFFFF"/>
          <w:lang w:val="lt-LT"/>
        </w:rPr>
        <w:t>VP</w:t>
      </w:r>
      <w:r w:rsidRPr="00C56A24">
        <w:rPr>
          <w:spacing w:val="2"/>
          <w:sz w:val="24"/>
          <w:szCs w:val="24"/>
          <w:shd w:val="clear" w:color="auto" w:fill="FFFFFF"/>
          <w:lang w:val="lt-LT"/>
        </w:rPr>
        <w:t xml:space="preserve"> palyginamosiomis kainomis toks, koks buvo 2019 m., nebus nei 2021 m., nei visą vidutinį laikotarpį, o</w:t>
      </w:r>
      <w:r w:rsidR="00E750C6">
        <w:rPr>
          <w:spacing w:val="2"/>
          <w:sz w:val="24"/>
          <w:szCs w:val="24"/>
          <w:shd w:val="clear" w:color="auto" w:fill="FFFFFF"/>
          <w:lang w:val="lt-LT"/>
        </w:rPr>
        <w:t>,</w:t>
      </w:r>
      <w:r w:rsidRPr="00C56A24">
        <w:rPr>
          <w:spacing w:val="2"/>
          <w:sz w:val="24"/>
          <w:szCs w:val="24"/>
          <w:shd w:val="clear" w:color="auto" w:fill="FFFFFF"/>
          <w:lang w:val="lt-LT"/>
        </w:rPr>
        <w:t xml:space="preserve"> atsiga</w:t>
      </w:r>
      <w:r w:rsidR="000767ED">
        <w:rPr>
          <w:spacing w:val="2"/>
          <w:sz w:val="24"/>
          <w:szCs w:val="24"/>
          <w:shd w:val="clear" w:color="auto" w:fill="FFFFFF"/>
          <w:lang w:val="lt-LT"/>
        </w:rPr>
        <w:t>vus</w:t>
      </w:r>
      <w:r w:rsidRPr="00C56A24">
        <w:rPr>
          <w:spacing w:val="2"/>
          <w:sz w:val="24"/>
          <w:szCs w:val="24"/>
          <w:shd w:val="clear" w:color="auto" w:fill="FFFFFF"/>
          <w:lang w:val="lt-LT"/>
        </w:rPr>
        <w:t xml:space="preserve"> ekonominiam aktyvumui ir išaugus darbo jėgos paklausai, nedarbo lygis 2021 m.</w:t>
      </w:r>
      <w:r w:rsidR="00E750C6">
        <w:rPr>
          <w:spacing w:val="2"/>
          <w:sz w:val="24"/>
          <w:szCs w:val="24"/>
          <w:shd w:val="clear" w:color="auto" w:fill="FFFFFF"/>
          <w:lang w:val="lt-LT"/>
        </w:rPr>
        <w:t>,</w:t>
      </w:r>
      <w:r w:rsidRPr="00C56A24">
        <w:rPr>
          <w:spacing w:val="2"/>
          <w:sz w:val="24"/>
          <w:szCs w:val="24"/>
          <w:shd w:val="clear" w:color="auto" w:fill="FFFFFF"/>
          <w:lang w:val="lt-LT"/>
        </w:rPr>
        <w:t xml:space="preserve"> tikėtina</w:t>
      </w:r>
      <w:r w:rsidR="00E750C6">
        <w:rPr>
          <w:spacing w:val="2"/>
          <w:sz w:val="24"/>
          <w:szCs w:val="24"/>
          <w:shd w:val="clear" w:color="auto" w:fill="FFFFFF"/>
          <w:lang w:val="lt-LT"/>
        </w:rPr>
        <w:t>,</w:t>
      </w:r>
      <w:r w:rsidRPr="00C56A24">
        <w:rPr>
          <w:spacing w:val="2"/>
          <w:sz w:val="24"/>
          <w:szCs w:val="24"/>
          <w:shd w:val="clear" w:color="auto" w:fill="FFFFFF"/>
          <w:lang w:val="lt-LT"/>
        </w:rPr>
        <w:t xml:space="preserve"> sumažės iki 7,9 proc. (vėlesniais vidutinio laikotarpio metais mažės lėčiau ir laikotarpio pabaigoje </w:t>
      </w:r>
      <w:r w:rsidR="00E750C6">
        <w:rPr>
          <w:spacing w:val="2"/>
          <w:sz w:val="24"/>
          <w:szCs w:val="24"/>
          <w:shd w:val="clear" w:color="auto" w:fill="FFFFFF"/>
          <w:lang w:val="lt-LT"/>
        </w:rPr>
        <w:t>bus</w:t>
      </w:r>
      <w:r w:rsidR="00E750C6" w:rsidRPr="00C56A24">
        <w:rPr>
          <w:spacing w:val="2"/>
          <w:sz w:val="24"/>
          <w:szCs w:val="24"/>
          <w:shd w:val="clear" w:color="auto" w:fill="FFFFFF"/>
          <w:lang w:val="lt-LT"/>
        </w:rPr>
        <w:t xml:space="preserve"> </w:t>
      </w:r>
      <w:r w:rsidRPr="00C56A24">
        <w:rPr>
          <w:spacing w:val="2"/>
          <w:sz w:val="24"/>
          <w:szCs w:val="24"/>
          <w:shd w:val="clear" w:color="auto" w:fill="FFFFFF"/>
          <w:lang w:val="lt-LT"/>
        </w:rPr>
        <w:t xml:space="preserve">6,6 proc.). </w:t>
      </w:r>
      <w:r w:rsidR="00C46A8E" w:rsidRPr="00C56A24">
        <w:rPr>
          <w:color w:val="000000"/>
          <w:sz w:val="24"/>
          <w:szCs w:val="24"/>
          <w:lang w:val="lt-LT" w:bidi="lt-LT"/>
        </w:rPr>
        <w:t>E</w:t>
      </w:r>
      <w:r w:rsidR="00C46A8E" w:rsidRPr="00C56A24">
        <w:rPr>
          <w:sz w:val="24"/>
          <w:szCs w:val="24"/>
          <w:lang w:val="lt-LT"/>
        </w:rPr>
        <w:t>konominės raidos scenarijuje 2020–2023</w:t>
      </w:r>
      <w:r w:rsidR="0054267A" w:rsidRPr="00C56A24">
        <w:rPr>
          <w:sz w:val="24"/>
          <w:szCs w:val="24"/>
          <w:lang w:val="lt-LT"/>
        </w:rPr>
        <w:t> </w:t>
      </w:r>
      <w:r w:rsidR="00C46A8E" w:rsidRPr="00C56A24">
        <w:rPr>
          <w:sz w:val="24"/>
          <w:szCs w:val="24"/>
          <w:lang w:val="lt-LT"/>
        </w:rPr>
        <w:t>metams</w:t>
      </w:r>
      <w:r w:rsidR="00C46A8E" w:rsidRPr="00C56A24">
        <w:rPr>
          <w:spacing w:val="2"/>
          <w:sz w:val="24"/>
          <w:szCs w:val="24"/>
          <w:shd w:val="clear" w:color="auto" w:fill="FFFFFF"/>
          <w:lang w:val="lt-LT"/>
        </w:rPr>
        <w:t xml:space="preserve"> n</w:t>
      </w:r>
      <w:r w:rsidRPr="00C56A24">
        <w:rPr>
          <w:spacing w:val="2"/>
          <w:sz w:val="24"/>
          <w:szCs w:val="24"/>
          <w:shd w:val="clear" w:color="auto" w:fill="FFFFFF"/>
          <w:lang w:val="lt-LT"/>
        </w:rPr>
        <w:t>umatoma, kad vidutinio mėnesinio bruto darbo užmokesčio 2021</w:t>
      </w:r>
      <w:r w:rsidR="0007024A">
        <w:rPr>
          <w:spacing w:val="2"/>
          <w:sz w:val="24"/>
          <w:szCs w:val="24"/>
          <w:shd w:val="clear" w:color="auto" w:fill="FFFFFF"/>
          <w:lang w:val="lt-LT"/>
        </w:rPr>
        <w:t> </w:t>
      </w:r>
      <w:r w:rsidRPr="00C56A24">
        <w:rPr>
          <w:spacing w:val="2"/>
          <w:sz w:val="24"/>
          <w:szCs w:val="24"/>
          <w:shd w:val="clear" w:color="auto" w:fill="FFFFFF"/>
          <w:lang w:val="lt-LT"/>
        </w:rPr>
        <w:t>metais augimo tempas sieks 3,3 proc. Vėlesniais vidutinio laikotarpio metais, mažėjant nedarbo lygiui ir stiprėjant darbo jėgos paklausai, darbo užmokesčio augimo tempas šalyje palaipsniui spartės ir laikotarpio pabaigoje priartės prie 4,5</w:t>
      </w:r>
      <w:r w:rsidR="00C97DC1">
        <w:rPr>
          <w:spacing w:val="2"/>
          <w:sz w:val="24"/>
          <w:szCs w:val="24"/>
          <w:shd w:val="clear" w:color="auto" w:fill="FFFFFF"/>
          <w:lang w:val="lt-LT"/>
        </w:rPr>
        <w:t> </w:t>
      </w:r>
      <w:r w:rsidRPr="00C56A24">
        <w:rPr>
          <w:spacing w:val="2"/>
          <w:sz w:val="24"/>
          <w:szCs w:val="24"/>
          <w:shd w:val="clear" w:color="auto" w:fill="FFFFFF"/>
          <w:lang w:val="lt-LT"/>
        </w:rPr>
        <w:t>proc. (2019 m. buvo 8,8</w:t>
      </w:r>
      <w:r w:rsidR="00A8738F">
        <w:rPr>
          <w:spacing w:val="2"/>
          <w:sz w:val="24"/>
          <w:szCs w:val="24"/>
          <w:shd w:val="clear" w:color="auto" w:fill="FFFFFF"/>
          <w:lang w:val="lt-LT"/>
        </w:rPr>
        <w:t> </w:t>
      </w:r>
      <w:r w:rsidRPr="00C56A24">
        <w:rPr>
          <w:spacing w:val="2"/>
          <w:sz w:val="24"/>
          <w:szCs w:val="24"/>
          <w:shd w:val="clear" w:color="auto" w:fill="FFFFFF"/>
          <w:lang w:val="lt-LT"/>
        </w:rPr>
        <w:t>proc.).</w:t>
      </w:r>
      <w:r w:rsidR="00B81DF8" w:rsidRPr="00C56A24">
        <w:rPr>
          <w:spacing w:val="2"/>
          <w:sz w:val="24"/>
          <w:szCs w:val="24"/>
          <w:shd w:val="clear" w:color="auto" w:fill="FFFFFF"/>
          <w:lang w:val="lt-LT"/>
        </w:rPr>
        <w:t xml:space="preserve"> </w:t>
      </w:r>
      <w:r w:rsidR="00A8738F">
        <w:rPr>
          <w:spacing w:val="2"/>
          <w:sz w:val="24"/>
          <w:szCs w:val="24"/>
          <w:shd w:val="clear" w:color="auto" w:fill="FFFFFF"/>
          <w:lang w:val="lt-LT"/>
        </w:rPr>
        <w:t xml:space="preserve">Dėl </w:t>
      </w:r>
      <w:r w:rsidR="002A7650" w:rsidRPr="00C56A24">
        <w:rPr>
          <w:spacing w:val="2"/>
          <w:sz w:val="24"/>
          <w:szCs w:val="24"/>
          <w:shd w:val="clear" w:color="auto" w:fill="FFFFFF"/>
          <w:lang w:val="lt-LT"/>
        </w:rPr>
        <w:t xml:space="preserve">COVID-19 </w:t>
      </w:r>
      <w:r w:rsidR="002A7650" w:rsidRPr="00C56A24">
        <w:rPr>
          <w:sz w:val="24"/>
          <w:szCs w:val="24"/>
          <w:lang w:val="lt-LT"/>
        </w:rPr>
        <w:t>p</w:t>
      </w:r>
      <w:r w:rsidR="00B81DF8" w:rsidRPr="00C56A24">
        <w:rPr>
          <w:sz w:val="24"/>
          <w:szCs w:val="24"/>
          <w:lang w:val="lt-LT"/>
        </w:rPr>
        <w:t>andemijos poveiki</w:t>
      </w:r>
      <w:r w:rsidR="00A8738F">
        <w:rPr>
          <w:sz w:val="24"/>
          <w:szCs w:val="24"/>
          <w:lang w:val="lt-LT"/>
        </w:rPr>
        <w:t>o</w:t>
      </w:r>
      <w:r w:rsidR="00B81DF8" w:rsidRPr="00C56A24">
        <w:rPr>
          <w:sz w:val="24"/>
          <w:szCs w:val="24"/>
          <w:lang w:val="lt-LT"/>
        </w:rPr>
        <w:t xml:space="preserve"> darbo rinkai </w:t>
      </w:r>
      <w:r w:rsidR="00A8738F">
        <w:rPr>
          <w:sz w:val="24"/>
          <w:szCs w:val="24"/>
          <w:lang w:val="lt-LT"/>
        </w:rPr>
        <w:t>lėtės</w:t>
      </w:r>
      <w:r w:rsidR="0007024A" w:rsidRPr="00C56A24">
        <w:rPr>
          <w:sz w:val="24"/>
          <w:szCs w:val="24"/>
          <w:lang w:val="lt-LT"/>
        </w:rPr>
        <w:t xml:space="preserve"> </w:t>
      </w:r>
      <w:r w:rsidR="00B81DF8" w:rsidRPr="00C56A24">
        <w:rPr>
          <w:sz w:val="24"/>
          <w:szCs w:val="24"/>
          <w:lang w:val="lt-LT"/>
        </w:rPr>
        <w:t>darbo užmokesčio augimo temp</w:t>
      </w:r>
      <w:r w:rsidR="00A8738F">
        <w:rPr>
          <w:sz w:val="24"/>
          <w:szCs w:val="24"/>
          <w:lang w:val="lt-LT"/>
        </w:rPr>
        <w:t>as</w:t>
      </w:r>
      <w:r w:rsidR="00B81DF8" w:rsidRPr="00C56A24">
        <w:rPr>
          <w:sz w:val="24"/>
          <w:szCs w:val="24"/>
          <w:lang w:val="lt-LT"/>
        </w:rPr>
        <w:t xml:space="preserve">. </w:t>
      </w:r>
      <w:r w:rsidR="00E54399">
        <w:rPr>
          <w:sz w:val="24"/>
          <w:szCs w:val="24"/>
          <w:lang w:val="lt-LT"/>
        </w:rPr>
        <w:t>Da</w:t>
      </w:r>
      <w:r w:rsidR="00B81DF8" w:rsidRPr="00C56A24">
        <w:rPr>
          <w:sz w:val="24"/>
          <w:szCs w:val="24"/>
          <w:lang w:val="lt-LT"/>
        </w:rPr>
        <w:t>rbo užmokestis labiausiai aug</w:t>
      </w:r>
      <w:r w:rsidR="004B5E3D">
        <w:rPr>
          <w:sz w:val="24"/>
          <w:szCs w:val="24"/>
          <w:lang w:val="lt-LT"/>
        </w:rPr>
        <w:t>o</w:t>
      </w:r>
      <w:r w:rsidR="00B81DF8" w:rsidRPr="00C56A24">
        <w:rPr>
          <w:sz w:val="24"/>
          <w:szCs w:val="24"/>
          <w:lang w:val="lt-LT"/>
        </w:rPr>
        <w:t xml:space="preserve"> viešajame sektoriuje. Privačiajame sektoriuje</w:t>
      </w:r>
      <w:r w:rsidR="0007024A">
        <w:rPr>
          <w:sz w:val="24"/>
          <w:szCs w:val="24"/>
          <w:lang w:val="lt-LT"/>
        </w:rPr>
        <w:t>,</w:t>
      </w:r>
      <w:r w:rsidR="00B81DF8" w:rsidRPr="00C56A24">
        <w:rPr>
          <w:sz w:val="24"/>
          <w:szCs w:val="24"/>
          <w:lang w:val="lt-LT"/>
        </w:rPr>
        <w:t xml:space="preserve"> daliai įmonių, ypač apgyvendinimo ir maitinimo paslaug</w:t>
      </w:r>
      <w:r w:rsidR="00C97DC1">
        <w:rPr>
          <w:sz w:val="24"/>
          <w:szCs w:val="24"/>
          <w:lang w:val="lt-LT"/>
        </w:rPr>
        <w:t>as</w:t>
      </w:r>
      <w:r w:rsidR="00B81DF8" w:rsidRPr="00C56A24">
        <w:rPr>
          <w:sz w:val="24"/>
          <w:szCs w:val="24"/>
          <w:lang w:val="lt-LT"/>
        </w:rPr>
        <w:t xml:space="preserve"> </w:t>
      </w:r>
      <w:r w:rsidR="00C97DC1">
        <w:rPr>
          <w:sz w:val="24"/>
          <w:szCs w:val="24"/>
          <w:lang w:val="lt-LT"/>
        </w:rPr>
        <w:t>teikiančių</w:t>
      </w:r>
      <w:r w:rsidR="00B81DF8" w:rsidRPr="00C56A24">
        <w:rPr>
          <w:sz w:val="24"/>
          <w:szCs w:val="24"/>
          <w:lang w:val="lt-LT"/>
        </w:rPr>
        <w:t>, susidūrus su pasiūlos ir paklausos sumažėjimu ir paskelbus prastovas</w:t>
      </w:r>
      <w:r w:rsidR="0007024A">
        <w:rPr>
          <w:sz w:val="24"/>
          <w:szCs w:val="24"/>
          <w:lang w:val="lt-LT"/>
        </w:rPr>
        <w:t>,</w:t>
      </w:r>
      <w:r w:rsidR="00B81DF8" w:rsidRPr="00C56A24">
        <w:rPr>
          <w:sz w:val="24"/>
          <w:szCs w:val="24"/>
          <w:lang w:val="lt-LT"/>
        </w:rPr>
        <w:t xml:space="preserve"> atlyginimų raida mažiau palanki darbuotojams.</w:t>
      </w:r>
    </w:p>
    <w:p w14:paraId="2B468673" w14:textId="47DAD94B" w:rsidR="00346359" w:rsidRPr="00C56A24" w:rsidRDefault="00A33033" w:rsidP="00AB6E63">
      <w:pPr>
        <w:spacing w:before="240" w:after="120"/>
        <w:rPr>
          <w:b/>
          <w:spacing w:val="2"/>
          <w:sz w:val="22"/>
          <w:szCs w:val="22"/>
          <w:shd w:val="clear" w:color="auto" w:fill="FFFFFF"/>
          <w:lang w:val="lt-LT"/>
        </w:rPr>
      </w:pPr>
      <w:r w:rsidRPr="00C56A24">
        <w:rPr>
          <w:b/>
          <w:spacing w:val="2"/>
          <w:sz w:val="22"/>
          <w:szCs w:val="22"/>
          <w:shd w:val="clear" w:color="auto" w:fill="FFFFFF"/>
          <w:lang w:val="lt-LT"/>
        </w:rPr>
        <w:t xml:space="preserve">Pagrindiniai Ekonominės raidos scenarijaus </w:t>
      </w:r>
      <w:r w:rsidRPr="00C56A24">
        <w:rPr>
          <w:b/>
          <w:sz w:val="22"/>
          <w:szCs w:val="22"/>
          <w:lang w:val="lt-LT"/>
        </w:rPr>
        <w:t>2020–2023 metams</w:t>
      </w:r>
      <w:r w:rsidRPr="00C56A24">
        <w:rPr>
          <w:b/>
          <w:spacing w:val="2"/>
          <w:sz w:val="22"/>
          <w:szCs w:val="22"/>
          <w:shd w:val="clear" w:color="auto" w:fill="FFFFFF"/>
          <w:lang w:val="lt-LT"/>
        </w:rPr>
        <w:t xml:space="preserve"> rodikliai</w:t>
      </w:r>
    </w:p>
    <w:tbl>
      <w:tblPr>
        <w:tblStyle w:val="Lentelstinklelis"/>
        <w:tblW w:w="0" w:type="auto"/>
        <w:tblLook w:val="04A0" w:firstRow="1" w:lastRow="0" w:firstColumn="1" w:lastColumn="0" w:noHBand="0" w:noVBand="1"/>
      </w:tblPr>
      <w:tblGrid>
        <w:gridCol w:w="5721"/>
        <w:gridCol w:w="766"/>
        <w:gridCol w:w="851"/>
        <w:gridCol w:w="850"/>
        <w:gridCol w:w="851"/>
        <w:gridCol w:w="815"/>
      </w:tblGrid>
      <w:tr w:rsidR="00924E87" w:rsidRPr="00C56A24" w14:paraId="7022F4A9" w14:textId="77777777" w:rsidTr="00924E87">
        <w:tc>
          <w:tcPr>
            <w:tcW w:w="5721" w:type="dxa"/>
          </w:tcPr>
          <w:p w14:paraId="382553F9" w14:textId="106B74D7" w:rsidR="00A33033" w:rsidRPr="00C56A24" w:rsidRDefault="00A33033" w:rsidP="00A33033">
            <w:pPr>
              <w:jc w:val="both"/>
              <w:rPr>
                <w:b/>
                <w:spacing w:val="2"/>
                <w:shd w:val="clear" w:color="auto" w:fill="FFFFFF"/>
                <w:lang w:val="lt-LT"/>
              </w:rPr>
            </w:pPr>
            <w:r w:rsidRPr="00C56A24">
              <w:rPr>
                <w:b/>
                <w:spacing w:val="2"/>
                <w:shd w:val="clear" w:color="auto" w:fill="FFFFFF"/>
                <w:lang w:val="lt-LT"/>
              </w:rPr>
              <w:t>Rodiklio pavadinimas</w:t>
            </w:r>
          </w:p>
        </w:tc>
        <w:tc>
          <w:tcPr>
            <w:tcW w:w="766" w:type="dxa"/>
          </w:tcPr>
          <w:p w14:paraId="0B133EA4" w14:textId="056E2756" w:rsidR="00A33033" w:rsidRPr="00C56A24" w:rsidRDefault="00A33033" w:rsidP="00A33033">
            <w:pPr>
              <w:jc w:val="both"/>
              <w:rPr>
                <w:b/>
                <w:spacing w:val="2"/>
                <w:shd w:val="clear" w:color="auto" w:fill="FFFFFF"/>
                <w:lang w:val="lt-LT"/>
              </w:rPr>
            </w:pPr>
            <w:r w:rsidRPr="00C56A24">
              <w:rPr>
                <w:b/>
                <w:spacing w:val="2"/>
                <w:shd w:val="clear" w:color="auto" w:fill="FFFFFF"/>
                <w:lang w:val="lt-LT"/>
              </w:rPr>
              <w:t>2019</w:t>
            </w:r>
          </w:p>
        </w:tc>
        <w:tc>
          <w:tcPr>
            <w:tcW w:w="851" w:type="dxa"/>
          </w:tcPr>
          <w:p w14:paraId="7C56E27B" w14:textId="6DE7CFCD" w:rsidR="00A33033" w:rsidRPr="00C56A24" w:rsidRDefault="00A33033" w:rsidP="00A33033">
            <w:pPr>
              <w:jc w:val="both"/>
              <w:rPr>
                <w:b/>
                <w:spacing w:val="2"/>
                <w:shd w:val="clear" w:color="auto" w:fill="FFFFFF"/>
                <w:lang w:val="lt-LT"/>
              </w:rPr>
            </w:pPr>
            <w:r w:rsidRPr="00C56A24">
              <w:rPr>
                <w:b/>
                <w:spacing w:val="2"/>
                <w:shd w:val="clear" w:color="auto" w:fill="FFFFFF"/>
                <w:lang w:val="lt-LT"/>
              </w:rPr>
              <w:t>2020P</w:t>
            </w:r>
          </w:p>
        </w:tc>
        <w:tc>
          <w:tcPr>
            <w:tcW w:w="850" w:type="dxa"/>
          </w:tcPr>
          <w:p w14:paraId="2C3B7EC6" w14:textId="711BE933" w:rsidR="00A33033" w:rsidRPr="00C56A24" w:rsidRDefault="00A33033" w:rsidP="00A33033">
            <w:pPr>
              <w:jc w:val="both"/>
              <w:rPr>
                <w:b/>
                <w:spacing w:val="2"/>
                <w:shd w:val="clear" w:color="auto" w:fill="FFFFFF"/>
                <w:lang w:val="lt-LT"/>
              </w:rPr>
            </w:pPr>
            <w:r w:rsidRPr="00C56A24">
              <w:rPr>
                <w:b/>
                <w:spacing w:val="2"/>
                <w:shd w:val="clear" w:color="auto" w:fill="FFFFFF"/>
                <w:lang w:val="lt-LT"/>
              </w:rPr>
              <w:t>2021P</w:t>
            </w:r>
          </w:p>
        </w:tc>
        <w:tc>
          <w:tcPr>
            <w:tcW w:w="851" w:type="dxa"/>
          </w:tcPr>
          <w:p w14:paraId="017B2F9A" w14:textId="56CE41C9" w:rsidR="00A33033" w:rsidRPr="00C56A24" w:rsidRDefault="00A33033" w:rsidP="00A33033">
            <w:pPr>
              <w:jc w:val="both"/>
              <w:rPr>
                <w:b/>
                <w:spacing w:val="2"/>
                <w:shd w:val="clear" w:color="auto" w:fill="FFFFFF"/>
                <w:lang w:val="lt-LT"/>
              </w:rPr>
            </w:pPr>
            <w:r w:rsidRPr="00C56A24">
              <w:rPr>
                <w:b/>
                <w:spacing w:val="2"/>
                <w:shd w:val="clear" w:color="auto" w:fill="FFFFFF"/>
                <w:lang w:val="lt-LT"/>
              </w:rPr>
              <w:t>2022P</w:t>
            </w:r>
          </w:p>
        </w:tc>
        <w:tc>
          <w:tcPr>
            <w:tcW w:w="815" w:type="dxa"/>
          </w:tcPr>
          <w:p w14:paraId="6DDDC6DD" w14:textId="41BEAA64" w:rsidR="00A33033" w:rsidRPr="00C56A24" w:rsidRDefault="00A33033" w:rsidP="00A33033">
            <w:pPr>
              <w:jc w:val="both"/>
              <w:rPr>
                <w:b/>
                <w:spacing w:val="2"/>
                <w:shd w:val="clear" w:color="auto" w:fill="FFFFFF"/>
                <w:lang w:val="lt-LT"/>
              </w:rPr>
            </w:pPr>
            <w:r w:rsidRPr="00C56A24">
              <w:rPr>
                <w:b/>
                <w:spacing w:val="2"/>
                <w:shd w:val="clear" w:color="auto" w:fill="FFFFFF"/>
                <w:lang w:val="lt-LT"/>
              </w:rPr>
              <w:t>2023P</w:t>
            </w:r>
          </w:p>
        </w:tc>
      </w:tr>
      <w:tr w:rsidR="00924E87" w:rsidRPr="00C56A24" w14:paraId="3B7F13A7" w14:textId="77777777" w:rsidTr="00924E87">
        <w:tc>
          <w:tcPr>
            <w:tcW w:w="5721" w:type="dxa"/>
          </w:tcPr>
          <w:p w14:paraId="0810DDAD" w14:textId="43D3DC5A" w:rsidR="00A33033" w:rsidRPr="00C56A24" w:rsidRDefault="00612931" w:rsidP="00A33033">
            <w:pPr>
              <w:jc w:val="both"/>
              <w:rPr>
                <w:spacing w:val="2"/>
                <w:shd w:val="clear" w:color="auto" w:fill="FFFFFF"/>
                <w:lang w:val="lt-LT"/>
              </w:rPr>
            </w:pPr>
            <w:r w:rsidRPr="00C56A24">
              <w:rPr>
                <w:lang w:val="lt-LT"/>
              </w:rPr>
              <w:t xml:space="preserve">BVP (to meto kainomis), mln. </w:t>
            </w:r>
            <w:proofErr w:type="spellStart"/>
            <w:r w:rsidRPr="00C56A24">
              <w:rPr>
                <w:lang w:val="lt-LT"/>
              </w:rPr>
              <w:t>eur</w:t>
            </w:r>
            <w:proofErr w:type="spellEnd"/>
          </w:p>
        </w:tc>
        <w:tc>
          <w:tcPr>
            <w:tcW w:w="766" w:type="dxa"/>
          </w:tcPr>
          <w:p w14:paraId="0A14E714" w14:textId="447CE4FD" w:rsidR="00A33033" w:rsidRPr="00C56A24" w:rsidRDefault="00612931" w:rsidP="00A33033">
            <w:pPr>
              <w:jc w:val="both"/>
              <w:rPr>
                <w:spacing w:val="2"/>
                <w:shd w:val="clear" w:color="auto" w:fill="FFFFFF"/>
                <w:lang w:val="lt-LT"/>
              </w:rPr>
            </w:pPr>
            <w:r w:rsidRPr="00C56A24">
              <w:rPr>
                <w:lang w:val="lt-LT"/>
              </w:rPr>
              <w:t>48</w:t>
            </w:r>
            <w:r w:rsidR="00554EE4">
              <w:rPr>
                <w:lang w:val="lt-LT"/>
              </w:rPr>
              <w:t xml:space="preserve"> </w:t>
            </w:r>
            <w:r w:rsidRPr="00C56A24">
              <w:rPr>
                <w:lang w:val="lt-LT"/>
              </w:rPr>
              <w:t>433</w:t>
            </w:r>
          </w:p>
        </w:tc>
        <w:tc>
          <w:tcPr>
            <w:tcW w:w="851" w:type="dxa"/>
          </w:tcPr>
          <w:p w14:paraId="5EF1AAB4" w14:textId="06699907" w:rsidR="00A33033" w:rsidRPr="00C56A24" w:rsidRDefault="00612931" w:rsidP="00A33033">
            <w:pPr>
              <w:jc w:val="both"/>
              <w:rPr>
                <w:spacing w:val="2"/>
                <w:shd w:val="clear" w:color="auto" w:fill="FFFFFF"/>
                <w:lang w:val="lt-LT"/>
              </w:rPr>
            </w:pPr>
            <w:r w:rsidRPr="00C56A24">
              <w:rPr>
                <w:lang w:val="lt-LT"/>
              </w:rPr>
              <w:t>48</w:t>
            </w:r>
            <w:r w:rsidR="00554EE4">
              <w:rPr>
                <w:lang w:val="lt-LT"/>
              </w:rPr>
              <w:t xml:space="preserve"> </w:t>
            </w:r>
            <w:r w:rsidRPr="00C56A24">
              <w:rPr>
                <w:lang w:val="lt-LT"/>
              </w:rPr>
              <w:t>165</w:t>
            </w:r>
          </w:p>
        </w:tc>
        <w:tc>
          <w:tcPr>
            <w:tcW w:w="850" w:type="dxa"/>
          </w:tcPr>
          <w:p w14:paraId="782E9D52" w14:textId="1C20503A" w:rsidR="00A33033" w:rsidRPr="00C56A24" w:rsidRDefault="00612931" w:rsidP="00A33033">
            <w:pPr>
              <w:jc w:val="both"/>
              <w:rPr>
                <w:spacing w:val="2"/>
                <w:shd w:val="clear" w:color="auto" w:fill="FFFFFF"/>
                <w:lang w:val="lt-LT"/>
              </w:rPr>
            </w:pPr>
            <w:r w:rsidRPr="00C56A24">
              <w:rPr>
                <w:lang w:val="lt-LT"/>
              </w:rPr>
              <w:t>50</w:t>
            </w:r>
            <w:r w:rsidR="00554EE4">
              <w:rPr>
                <w:lang w:val="lt-LT"/>
              </w:rPr>
              <w:t xml:space="preserve"> </w:t>
            </w:r>
            <w:r w:rsidRPr="00C56A24">
              <w:rPr>
                <w:lang w:val="lt-LT"/>
              </w:rPr>
              <w:t>657</w:t>
            </w:r>
          </w:p>
        </w:tc>
        <w:tc>
          <w:tcPr>
            <w:tcW w:w="851" w:type="dxa"/>
          </w:tcPr>
          <w:p w14:paraId="2F563C24" w14:textId="1EB27AC4" w:rsidR="00A33033" w:rsidRPr="00C56A24" w:rsidRDefault="00612931" w:rsidP="00A33033">
            <w:pPr>
              <w:jc w:val="both"/>
              <w:rPr>
                <w:spacing w:val="2"/>
                <w:shd w:val="clear" w:color="auto" w:fill="FFFFFF"/>
                <w:lang w:val="lt-LT"/>
              </w:rPr>
            </w:pPr>
            <w:r w:rsidRPr="00C56A24">
              <w:rPr>
                <w:lang w:val="lt-LT"/>
              </w:rPr>
              <w:t>52</w:t>
            </w:r>
            <w:r w:rsidR="00554EE4">
              <w:rPr>
                <w:lang w:val="lt-LT"/>
              </w:rPr>
              <w:t xml:space="preserve"> </w:t>
            </w:r>
            <w:r w:rsidRPr="00C56A24">
              <w:rPr>
                <w:lang w:val="lt-LT"/>
              </w:rPr>
              <w:t>885</w:t>
            </w:r>
          </w:p>
        </w:tc>
        <w:tc>
          <w:tcPr>
            <w:tcW w:w="815" w:type="dxa"/>
          </w:tcPr>
          <w:p w14:paraId="1A4DF364" w14:textId="401C85CC" w:rsidR="00A33033" w:rsidRPr="00C56A24" w:rsidRDefault="00612931" w:rsidP="00A33033">
            <w:pPr>
              <w:jc w:val="both"/>
              <w:rPr>
                <w:spacing w:val="2"/>
                <w:shd w:val="clear" w:color="auto" w:fill="FFFFFF"/>
                <w:lang w:val="lt-LT"/>
              </w:rPr>
            </w:pPr>
            <w:r w:rsidRPr="00C56A24">
              <w:rPr>
                <w:lang w:val="lt-LT"/>
              </w:rPr>
              <w:t>55</w:t>
            </w:r>
            <w:r w:rsidR="00554EE4">
              <w:rPr>
                <w:lang w:val="lt-LT"/>
              </w:rPr>
              <w:t xml:space="preserve"> </w:t>
            </w:r>
            <w:r w:rsidRPr="00C56A24">
              <w:rPr>
                <w:lang w:val="lt-LT"/>
              </w:rPr>
              <w:t>195</w:t>
            </w:r>
          </w:p>
        </w:tc>
      </w:tr>
      <w:tr w:rsidR="00924E87" w:rsidRPr="00C56A24" w14:paraId="31170DB3" w14:textId="77777777" w:rsidTr="00924E87">
        <w:tc>
          <w:tcPr>
            <w:tcW w:w="5721" w:type="dxa"/>
          </w:tcPr>
          <w:p w14:paraId="1521BCB8" w14:textId="77CDE9D9" w:rsidR="00A33033" w:rsidRPr="00C56A24" w:rsidRDefault="00612931" w:rsidP="00A33033">
            <w:pPr>
              <w:jc w:val="both"/>
              <w:rPr>
                <w:spacing w:val="2"/>
                <w:shd w:val="clear" w:color="auto" w:fill="FFFFFF"/>
                <w:lang w:val="lt-LT"/>
              </w:rPr>
            </w:pPr>
            <w:r w:rsidRPr="00C56A24">
              <w:rPr>
                <w:lang w:val="lt-LT"/>
              </w:rPr>
              <w:t>BVP (palyginamosiomis kainomis) pokytis, proc.</w:t>
            </w:r>
          </w:p>
        </w:tc>
        <w:tc>
          <w:tcPr>
            <w:tcW w:w="766" w:type="dxa"/>
          </w:tcPr>
          <w:p w14:paraId="4A51AA85" w14:textId="05560843" w:rsidR="00A33033" w:rsidRPr="00C56A24" w:rsidRDefault="00612931" w:rsidP="00A33033">
            <w:pPr>
              <w:jc w:val="both"/>
              <w:rPr>
                <w:spacing w:val="2"/>
                <w:shd w:val="clear" w:color="auto" w:fill="FFFFFF"/>
                <w:lang w:val="lt-LT"/>
              </w:rPr>
            </w:pPr>
            <w:r w:rsidRPr="00C56A24">
              <w:rPr>
                <w:spacing w:val="2"/>
                <w:shd w:val="clear" w:color="auto" w:fill="FFFFFF"/>
                <w:lang w:val="lt-LT"/>
              </w:rPr>
              <w:t>3,9</w:t>
            </w:r>
          </w:p>
        </w:tc>
        <w:tc>
          <w:tcPr>
            <w:tcW w:w="851" w:type="dxa"/>
          </w:tcPr>
          <w:p w14:paraId="3A079BB0" w14:textId="399473DD" w:rsidR="00A33033" w:rsidRPr="00C56A24" w:rsidRDefault="00612931" w:rsidP="00612931">
            <w:pPr>
              <w:jc w:val="both"/>
              <w:rPr>
                <w:spacing w:val="2"/>
                <w:shd w:val="clear" w:color="auto" w:fill="FFFFFF"/>
                <w:lang w:val="lt-LT"/>
              </w:rPr>
            </w:pPr>
            <w:r w:rsidRPr="00C56A24">
              <w:rPr>
                <w:spacing w:val="2"/>
                <w:shd w:val="clear" w:color="auto" w:fill="FFFFFF"/>
                <w:lang w:val="lt-LT"/>
              </w:rPr>
              <w:t>-1,5</w:t>
            </w:r>
          </w:p>
        </w:tc>
        <w:tc>
          <w:tcPr>
            <w:tcW w:w="850" w:type="dxa"/>
          </w:tcPr>
          <w:p w14:paraId="50EC93F1" w14:textId="00B7402B" w:rsidR="00A33033" w:rsidRPr="00C56A24" w:rsidRDefault="00612931" w:rsidP="00A33033">
            <w:pPr>
              <w:jc w:val="both"/>
              <w:rPr>
                <w:spacing w:val="2"/>
                <w:shd w:val="clear" w:color="auto" w:fill="FFFFFF"/>
                <w:lang w:val="lt-LT"/>
              </w:rPr>
            </w:pPr>
            <w:r w:rsidRPr="00C56A24">
              <w:rPr>
                <w:spacing w:val="2"/>
                <w:shd w:val="clear" w:color="auto" w:fill="FFFFFF"/>
                <w:lang w:val="lt-LT"/>
              </w:rPr>
              <w:t>3,3</w:t>
            </w:r>
          </w:p>
        </w:tc>
        <w:tc>
          <w:tcPr>
            <w:tcW w:w="851" w:type="dxa"/>
          </w:tcPr>
          <w:p w14:paraId="1EF458B3" w14:textId="112565B3" w:rsidR="00A33033" w:rsidRPr="00C56A24" w:rsidRDefault="00612931" w:rsidP="00A33033">
            <w:pPr>
              <w:jc w:val="both"/>
              <w:rPr>
                <w:spacing w:val="2"/>
                <w:shd w:val="clear" w:color="auto" w:fill="FFFFFF"/>
                <w:lang w:val="lt-LT"/>
              </w:rPr>
            </w:pPr>
            <w:r w:rsidRPr="00C56A24">
              <w:rPr>
                <w:spacing w:val="2"/>
                <w:shd w:val="clear" w:color="auto" w:fill="FFFFFF"/>
                <w:lang w:val="lt-LT"/>
              </w:rPr>
              <w:t>2,3</w:t>
            </w:r>
          </w:p>
        </w:tc>
        <w:tc>
          <w:tcPr>
            <w:tcW w:w="815" w:type="dxa"/>
          </w:tcPr>
          <w:p w14:paraId="1EFB7DD5" w14:textId="62BB40B8" w:rsidR="00A33033" w:rsidRPr="00C56A24" w:rsidRDefault="00612931" w:rsidP="00A33033">
            <w:pPr>
              <w:jc w:val="both"/>
              <w:rPr>
                <w:spacing w:val="2"/>
                <w:shd w:val="clear" w:color="auto" w:fill="FFFFFF"/>
                <w:lang w:val="lt-LT"/>
              </w:rPr>
            </w:pPr>
            <w:r w:rsidRPr="00C56A24">
              <w:rPr>
                <w:spacing w:val="2"/>
                <w:shd w:val="clear" w:color="auto" w:fill="FFFFFF"/>
                <w:lang w:val="lt-LT"/>
              </w:rPr>
              <w:t>2,3</w:t>
            </w:r>
          </w:p>
        </w:tc>
      </w:tr>
      <w:tr w:rsidR="00924E87" w:rsidRPr="00C56A24" w14:paraId="5B87175F" w14:textId="77777777" w:rsidTr="00924E87">
        <w:tc>
          <w:tcPr>
            <w:tcW w:w="5721" w:type="dxa"/>
          </w:tcPr>
          <w:p w14:paraId="5C756424" w14:textId="27E548E6" w:rsidR="00A33033" w:rsidRPr="00C56A24" w:rsidRDefault="00612931" w:rsidP="00A33033">
            <w:pPr>
              <w:jc w:val="both"/>
              <w:rPr>
                <w:spacing w:val="2"/>
                <w:shd w:val="clear" w:color="auto" w:fill="FFFFFF"/>
                <w:lang w:val="lt-LT"/>
              </w:rPr>
            </w:pPr>
            <w:r w:rsidRPr="00C56A24">
              <w:rPr>
                <w:lang w:val="lt-LT"/>
              </w:rPr>
              <w:t>Suderintas vartotojų kainų indeksas (vidutinis metinis)</w:t>
            </w:r>
          </w:p>
        </w:tc>
        <w:tc>
          <w:tcPr>
            <w:tcW w:w="766" w:type="dxa"/>
          </w:tcPr>
          <w:p w14:paraId="1E8FAA4C" w14:textId="3371BA69" w:rsidR="00A33033" w:rsidRPr="00C56A24" w:rsidRDefault="00612931" w:rsidP="00A33033">
            <w:pPr>
              <w:jc w:val="both"/>
              <w:rPr>
                <w:spacing w:val="2"/>
                <w:shd w:val="clear" w:color="auto" w:fill="FFFFFF"/>
                <w:lang w:val="lt-LT"/>
              </w:rPr>
            </w:pPr>
            <w:r w:rsidRPr="00C56A24">
              <w:rPr>
                <w:spacing w:val="2"/>
                <w:shd w:val="clear" w:color="auto" w:fill="FFFFFF"/>
                <w:lang w:val="lt-LT"/>
              </w:rPr>
              <w:t>2,2</w:t>
            </w:r>
          </w:p>
        </w:tc>
        <w:tc>
          <w:tcPr>
            <w:tcW w:w="851" w:type="dxa"/>
          </w:tcPr>
          <w:p w14:paraId="0884EAB2" w14:textId="2D091720" w:rsidR="00A33033" w:rsidRPr="00C56A24" w:rsidRDefault="00612931" w:rsidP="00A33033">
            <w:pPr>
              <w:jc w:val="both"/>
              <w:rPr>
                <w:spacing w:val="2"/>
                <w:shd w:val="clear" w:color="auto" w:fill="FFFFFF"/>
                <w:lang w:val="lt-LT"/>
              </w:rPr>
            </w:pPr>
            <w:r w:rsidRPr="00C56A24">
              <w:rPr>
                <w:spacing w:val="2"/>
                <w:shd w:val="clear" w:color="auto" w:fill="FFFFFF"/>
                <w:lang w:val="lt-LT"/>
              </w:rPr>
              <w:t>0,9</w:t>
            </w:r>
          </w:p>
        </w:tc>
        <w:tc>
          <w:tcPr>
            <w:tcW w:w="850" w:type="dxa"/>
          </w:tcPr>
          <w:p w14:paraId="6E2C7445" w14:textId="50C8FD51" w:rsidR="00A33033" w:rsidRPr="00C56A24" w:rsidRDefault="00612931" w:rsidP="00A33033">
            <w:pPr>
              <w:jc w:val="both"/>
              <w:rPr>
                <w:spacing w:val="2"/>
                <w:shd w:val="clear" w:color="auto" w:fill="FFFFFF"/>
                <w:lang w:val="lt-LT"/>
              </w:rPr>
            </w:pPr>
            <w:r w:rsidRPr="00C56A24">
              <w:rPr>
                <w:spacing w:val="2"/>
                <w:shd w:val="clear" w:color="auto" w:fill="FFFFFF"/>
                <w:lang w:val="lt-LT"/>
              </w:rPr>
              <w:t>1,8</w:t>
            </w:r>
          </w:p>
        </w:tc>
        <w:tc>
          <w:tcPr>
            <w:tcW w:w="851" w:type="dxa"/>
          </w:tcPr>
          <w:p w14:paraId="3A757174" w14:textId="49AAEC55" w:rsidR="00A33033" w:rsidRPr="00C56A24" w:rsidRDefault="00612931" w:rsidP="00A33033">
            <w:pPr>
              <w:jc w:val="both"/>
              <w:rPr>
                <w:spacing w:val="2"/>
                <w:shd w:val="clear" w:color="auto" w:fill="FFFFFF"/>
                <w:lang w:val="lt-LT"/>
              </w:rPr>
            </w:pPr>
            <w:r w:rsidRPr="00C56A24">
              <w:rPr>
                <w:spacing w:val="2"/>
                <w:shd w:val="clear" w:color="auto" w:fill="FFFFFF"/>
                <w:lang w:val="lt-LT"/>
              </w:rPr>
              <w:t>2,0</w:t>
            </w:r>
          </w:p>
        </w:tc>
        <w:tc>
          <w:tcPr>
            <w:tcW w:w="815" w:type="dxa"/>
          </w:tcPr>
          <w:p w14:paraId="468E48AE" w14:textId="3D3965E6" w:rsidR="00A33033" w:rsidRPr="00C56A24" w:rsidRDefault="00612931" w:rsidP="00A33033">
            <w:pPr>
              <w:jc w:val="both"/>
              <w:rPr>
                <w:spacing w:val="2"/>
                <w:shd w:val="clear" w:color="auto" w:fill="FFFFFF"/>
                <w:lang w:val="lt-LT"/>
              </w:rPr>
            </w:pPr>
            <w:r w:rsidRPr="00C56A24">
              <w:rPr>
                <w:spacing w:val="2"/>
                <w:shd w:val="clear" w:color="auto" w:fill="FFFFFF"/>
                <w:lang w:val="lt-LT"/>
              </w:rPr>
              <w:t>2,0</w:t>
            </w:r>
          </w:p>
        </w:tc>
      </w:tr>
      <w:tr w:rsidR="00924E87" w:rsidRPr="00C56A24" w14:paraId="3DE9DB17" w14:textId="77777777" w:rsidTr="00924E87">
        <w:tc>
          <w:tcPr>
            <w:tcW w:w="5721" w:type="dxa"/>
          </w:tcPr>
          <w:p w14:paraId="68988162" w14:textId="621E14B4" w:rsidR="00A33033" w:rsidRPr="00C56A24" w:rsidRDefault="00612931" w:rsidP="00A33033">
            <w:pPr>
              <w:jc w:val="both"/>
              <w:rPr>
                <w:spacing w:val="2"/>
                <w:shd w:val="clear" w:color="auto" w:fill="FFFFFF"/>
                <w:lang w:val="lt-LT"/>
              </w:rPr>
            </w:pPr>
            <w:r w:rsidRPr="00C56A24">
              <w:rPr>
                <w:lang w:val="lt-LT"/>
              </w:rPr>
              <w:t>Nedarbo lygis (pagal gyventojų užimtumo tyrimo apibrėžtį), proc.</w:t>
            </w:r>
          </w:p>
        </w:tc>
        <w:tc>
          <w:tcPr>
            <w:tcW w:w="766" w:type="dxa"/>
          </w:tcPr>
          <w:p w14:paraId="3DA87FB1" w14:textId="143BC37C" w:rsidR="00A33033" w:rsidRPr="00C56A24" w:rsidRDefault="00612931" w:rsidP="00A33033">
            <w:pPr>
              <w:jc w:val="both"/>
              <w:rPr>
                <w:spacing w:val="2"/>
                <w:shd w:val="clear" w:color="auto" w:fill="FFFFFF"/>
                <w:lang w:val="lt-LT"/>
              </w:rPr>
            </w:pPr>
            <w:r w:rsidRPr="00C56A24">
              <w:rPr>
                <w:spacing w:val="2"/>
                <w:shd w:val="clear" w:color="auto" w:fill="FFFFFF"/>
                <w:lang w:val="lt-LT"/>
              </w:rPr>
              <w:t>6,8</w:t>
            </w:r>
          </w:p>
        </w:tc>
        <w:tc>
          <w:tcPr>
            <w:tcW w:w="851" w:type="dxa"/>
          </w:tcPr>
          <w:p w14:paraId="04378325" w14:textId="53C72D15" w:rsidR="00A33033" w:rsidRPr="00C56A24" w:rsidRDefault="00612931" w:rsidP="00A33033">
            <w:pPr>
              <w:jc w:val="both"/>
              <w:rPr>
                <w:spacing w:val="2"/>
                <w:shd w:val="clear" w:color="auto" w:fill="FFFFFF"/>
                <w:lang w:val="lt-LT"/>
              </w:rPr>
            </w:pPr>
            <w:r w:rsidRPr="00C56A24">
              <w:rPr>
                <w:spacing w:val="2"/>
                <w:shd w:val="clear" w:color="auto" w:fill="FFFFFF"/>
                <w:lang w:val="lt-LT"/>
              </w:rPr>
              <w:t>8,8</w:t>
            </w:r>
          </w:p>
        </w:tc>
        <w:tc>
          <w:tcPr>
            <w:tcW w:w="850" w:type="dxa"/>
          </w:tcPr>
          <w:p w14:paraId="60AECDC0" w14:textId="1B1971F2" w:rsidR="00A33033" w:rsidRPr="00C56A24" w:rsidRDefault="00612931" w:rsidP="00A33033">
            <w:pPr>
              <w:jc w:val="both"/>
              <w:rPr>
                <w:spacing w:val="2"/>
                <w:shd w:val="clear" w:color="auto" w:fill="FFFFFF"/>
                <w:lang w:val="lt-LT"/>
              </w:rPr>
            </w:pPr>
            <w:r w:rsidRPr="00C56A24">
              <w:rPr>
                <w:spacing w:val="2"/>
                <w:shd w:val="clear" w:color="auto" w:fill="FFFFFF"/>
                <w:lang w:val="lt-LT"/>
              </w:rPr>
              <w:t>7,9</w:t>
            </w:r>
          </w:p>
        </w:tc>
        <w:tc>
          <w:tcPr>
            <w:tcW w:w="851" w:type="dxa"/>
          </w:tcPr>
          <w:p w14:paraId="2D181824" w14:textId="3A35194C" w:rsidR="00A33033" w:rsidRPr="00C56A24" w:rsidRDefault="00612931" w:rsidP="00A33033">
            <w:pPr>
              <w:jc w:val="both"/>
              <w:rPr>
                <w:spacing w:val="2"/>
                <w:shd w:val="clear" w:color="auto" w:fill="FFFFFF"/>
                <w:lang w:val="lt-LT"/>
              </w:rPr>
            </w:pPr>
            <w:r w:rsidRPr="00C56A24">
              <w:rPr>
                <w:spacing w:val="2"/>
                <w:shd w:val="clear" w:color="auto" w:fill="FFFFFF"/>
                <w:lang w:val="lt-LT"/>
              </w:rPr>
              <w:t>7,0</w:t>
            </w:r>
          </w:p>
        </w:tc>
        <w:tc>
          <w:tcPr>
            <w:tcW w:w="815" w:type="dxa"/>
          </w:tcPr>
          <w:p w14:paraId="1062EB4E" w14:textId="22183DEC" w:rsidR="00A33033" w:rsidRPr="00C56A24" w:rsidRDefault="00612931" w:rsidP="00A33033">
            <w:pPr>
              <w:jc w:val="both"/>
              <w:rPr>
                <w:spacing w:val="2"/>
                <w:shd w:val="clear" w:color="auto" w:fill="FFFFFF"/>
                <w:lang w:val="lt-LT"/>
              </w:rPr>
            </w:pPr>
            <w:r w:rsidRPr="00C56A24">
              <w:rPr>
                <w:spacing w:val="2"/>
                <w:shd w:val="clear" w:color="auto" w:fill="FFFFFF"/>
                <w:lang w:val="lt-LT"/>
              </w:rPr>
              <w:t>6,6</w:t>
            </w:r>
          </w:p>
        </w:tc>
      </w:tr>
      <w:tr w:rsidR="00924E87" w:rsidRPr="00C56A24" w14:paraId="684C21B4" w14:textId="77777777" w:rsidTr="00924E87">
        <w:tc>
          <w:tcPr>
            <w:tcW w:w="5721" w:type="dxa"/>
          </w:tcPr>
          <w:p w14:paraId="4F86CD55" w14:textId="751958E8" w:rsidR="00A33033" w:rsidRPr="00C56A24" w:rsidRDefault="00612931" w:rsidP="00A33033">
            <w:pPr>
              <w:jc w:val="both"/>
              <w:rPr>
                <w:spacing w:val="2"/>
                <w:shd w:val="clear" w:color="auto" w:fill="FFFFFF"/>
                <w:lang w:val="lt-LT"/>
              </w:rPr>
            </w:pPr>
            <w:r w:rsidRPr="00C56A24">
              <w:rPr>
                <w:lang w:val="lt-LT"/>
              </w:rPr>
              <w:t>Vidutinio mėnesinio bruto darbo užmokesčio pokytis, proc.</w:t>
            </w:r>
          </w:p>
        </w:tc>
        <w:tc>
          <w:tcPr>
            <w:tcW w:w="766" w:type="dxa"/>
          </w:tcPr>
          <w:p w14:paraId="018016C4" w14:textId="4B07616E" w:rsidR="00A33033" w:rsidRPr="00C56A24" w:rsidRDefault="00612931" w:rsidP="00A33033">
            <w:pPr>
              <w:jc w:val="both"/>
              <w:rPr>
                <w:spacing w:val="2"/>
                <w:shd w:val="clear" w:color="auto" w:fill="FFFFFF"/>
                <w:lang w:val="lt-LT"/>
              </w:rPr>
            </w:pPr>
            <w:r w:rsidRPr="00C56A24">
              <w:rPr>
                <w:spacing w:val="2"/>
                <w:shd w:val="clear" w:color="auto" w:fill="FFFFFF"/>
                <w:lang w:val="lt-LT"/>
              </w:rPr>
              <w:t>8,8</w:t>
            </w:r>
          </w:p>
        </w:tc>
        <w:tc>
          <w:tcPr>
            <w:tcW w:w="851" w:type="dxa"/>
          </w:tcPr>
          <w:p w14:paraId="29F60B5C" w14:textId="75318DED" w:rsidR="00A33033" w:rsidRPr="00C56A24" w:rsidRDefault="00612931" w:rsidP="00A33033">
            <w:pPr>
              <w:jc w:val="both"/>
              <w:rPr>
                <w:spacing w:val="2"/>
                <w:shd w:val="clear" w:color="auto" w:fill="FFFFFF"/>
                <w:lang w:val="lt-LT"/>
              </w:rPr>
            </w:pPr>
            <w:r w:rsidRPr="00C56A24">
              <w:rPr>
                <w:spacing w:val="2"/>
                <w:shd w:val="clear" w:color="auto" w:fill="FFFFFF"/>
                <w:lang w:val="lt-LT"/>
              </w:rPr>
              <w:t>6,5</w:t>
            </w:r>
          </w:p>
        </w:tc>
        <w:tc>
          <w:tcPr>
            <w:tcW w:w="850" w:type="dxa"/>
          </w:tcPr>
          <w:p w14:paraId="5F1E9E11" w14:textId="091EBC8E" w:rsidR="00A33033" w:rsidRPr="00C56A24" w:rsidRDefault="00612931" w:rsidP="00A33033">
            <w:pPr>
              <w:jc w:val="both"/>
              <w:rPr>
                <w:spacing w:val="2"/>
                <w:shd w:val="clear" w:color="auto" w:fill="FFFFFF"/>
                <w:lang w:val="lt-LT"/>
              </w:rPr>
            </w:pPr>
            <w:r w:rsidRPr="00C56A24">
              <w:rPr>
                <w:spacing w:val="2"/>
                <w:shd w:val="clear" w:color="auto" w:fill="FFFFFF"/>
                <w:lang w:val="lt-LT"/>
              </w:rPr>
              <w:t>3,3</w:t>
            </w:r>
          </w:p>
        </w:tc>
        <w:tc>
          <w:tcPr>
            <w:tcW w:w="851" w:type="dxa"/>
          </w:tcPr>
          <w:p w14:paraId="34A2C8C2" w14:textId="7B344602" w:rsidR="00A33033" w:rsidRPr="00C56A24" w:rsidRDefault="00612931" w:rsidP="00A33033">
            <w:pPr>
              <w:jc w:val="both"/>
              <w:rPr>
                <w:spacing w:val="2"/>
                <w:shd w:val="clear" w:color="auto" w:fill="FFFFFF"/>
                <w:lang w:val="lt-LT"/>
              </w:rPr>
            </w:pPr>
            <w:r w:rsidRPr="00C56A24">
              <w:rPr>
                <w:spacing w:val="2"/>
                <w:shd w:val="clear" w:color="auto" w:fill="FFFFFF"/>
                <w:lang w:val="lt-LT"/>
              </w:rPr>
              <w:t>3,8</w:t>
            </w:r>
          </w:p>
        </w:tc>
        <w:tc>
          <w:tcPr>
            <w:tcW w:w="815" w:type="dxa"/>
          </w:tcPr>
          <w:p w14:paraId="63FC7CC9" w14:textId="1F6EC44C" w:rsidR="00A33033" w:rsidRPr="00C56A24" w:rsidRDefault="00612931" w:rsidP="00A33033">
            <w:pPr>
              <w:jc w:val="both"/>
              <w:rPr>
                <w:spacing w:val="2"/>
                <w:shd w:val="clear" w:color="auto" w:fill="FFFFFF"/>
                <w:lang w:val="lt-LT"/>
              </w:rPr>
            </w:pPr>
            <w:r w:rsidRPr="00C56A24">
              <w:rPr>
                <w:spacing w:val="2"/>
                <w:shd w:val="clear" w:color="auto" w:fill="FFFFFF"/>
                <w:lang w:val="lt-LT"/>
              </w:rPr>
              <w:t>4,5</w:t>
            </w:r>
          </w:p>
        </w:tc>
      </w:tr>
      <w:tr w:rsidR="00924E87" w:rsidRPr="00C56A24" w14:paraId="6A4266B7" w14:textId="77777777" w:rsidTr="00924E87">
        <w:tc>
          <w:tcPr>
            <w:tcW w:w="5721" w:type="dxa"/>
          </w:tcPr>
          <w:p w14:paraId="4BB5EBCE" w14:textId="555C6451" w:rsidR="00A33033" w:rsidRPr="00C56A24" w:rsidRDefault="00612931" w:rsidP="00A33033">
            <w:pPr>
              <w:jc w:val="both"/>
              <w:rPr>
                <w:spacing w:val="2"/>
                <w:shd w:val="clear" w:color="auto" w:fill="FFFFFF"/>
                <w:lang w:val="lt-LT"/>
              </w:rPr>
            </w:pPr>
            <w:r w:rsidRPr="00C56A24">
              <w:rPr>
                <w:lang w:val="lt-LT"/>
              </w:rPr>
              <w:t>Užimtųjų skaičiaus pokytis, proc.</w:t>
            </w:r>
          </w:p>
        </w:tc>
        <w:tc>
          <w:tcPr>
            <w:tcW w:w="766" w:type="dxa"/>
          </w:tcPr>
          <w:p w14:paraId="1D240984" w14:textId="45373928" w:rsidR="00A33033" w:rsidRPr="00C56A24" w:rsidRDefault="00612931" w:rsidP="00A33033">
            <w:pPr>
              <w:jc w:val="both"/>
              <w:rPr>
                <w:spacing w:val="2"/>
                <w:shd w:val="clear" w:color="auto" w:fill="FFFFFF"/>
                <w:lang w:val="lt-LT"/>
              </w:rPr>
            </w:pPr>
            <w:r w:rsidRPr="00C56A24">
              <w:rPr>
                <w:spacing w:val="2"/>
                <w:shd w:val="clear" w:color="auto" w:fill="FFFFFF"/>
                <w:lang w:val="lt-LT"/>
              </w:rPr>
              <w:t>0,3</w:t>
            </w:r>
          </w:p>
        </w:tc>
        <w:tc>
          <w:tcPr>
            <w:tcW w:w="851" w:type="dxa"/>
          </w:tcPr>
          <w:p w14:paraId="0A8DD1F7" w14:textId="4EB16423" w:rsidR="00A33033" w:rsidRPr="00C56A24" w:rsidRDefault="00924E87" w:rsidP="00A33033">
            <w:pPr>
              <w:jc w:val="both"/>
              <w:rPr>
                <w:spacing w:val="2"/>
                <w:shd w:val="clear" w:color="auto" w:fill="FFFFFF"/>
                <w:lang w:val="lt-LT"/>
              </w:rPr>
            </w:pPr>
            <w:r w:rsidRPr="00C56A24">
              <w:rPr>
                <w:spacing w:val="2"/>
                <w:shd w:val="clear" w:color="auto" w:fill="FFFFFF"/>
                <w:lang w:val="lt-LT"/>
              </w:rPr>
              <w:t>-1,9</w:t>
            </w:r>
          </w:p>
        </w:tc>
        <w:tc>
          <w:tcPr>
            <w:tcW w:w="850" w:type="dxa"/>
          </w:tcPr>
          <w:p w14:paraId="7DBCAF5E" w14:textId="065B6C1C" w:rsidR="00A33033" w:rsidRPr="00C56A24" w:rsidRDefault="00924E87" w:rsidP="00A33033">
            <w:pPr>
              <w:jc w:val="both"/>
              <w:rPr>
                <w:spacing w:val="2"/>
                <w:shd w:val="clear" w:color="auto" w:fill="FFFFFF"/>
                <w:lang w:val="lt-LT"/>
              </w:rPr>
            </w:pPr>
            <w:r w:rsidRPr="00C56A24">
              <w:rPr>
                <w:spacing w:val="2"/>
                <w:shd w:val="clear" w:color="auto" w:fill="FFFFFF"/>
                <w:lang w:val="lt-LT"/>
              </w:rPr>
              <w:t>1,3</w:t>
            </w:r>
          </w:p>
        </w:tc>
        <w:tc>
          <w:tcPr>
            <w:tcW w:w="851" w:type="dxa"/>
          </w:tcPr>
          <w:p w14:paraId="4AA0A3A8" w14:textId="7C4F1608" w:rsidR="00A33033" w:rsidRPr="00C56A24" w:rsidRDefault="00924E87" w:rsidP="00A33033">
            <w:pPr>
              <w:jc w:val="both"/>
              <w:rPr>
                <w:spacing w:val="2"/>
                <w:shd w:val="clear" w:color="auto" w:fill="FFFFFF"/>
                <w:lang w:val="lt-LT"/>
              </w:rPr>
            </w:pPr>
            <w:r w:rsidRPr="00C56A24">
              <w:rPr>
                <w:spacing w:val="2"/>
                <w:shd w:val="clear" w:color="auto" w:fill="FFFFFF"/>
                <w:lang w:val="lt-LT"/>
              </w:rPr>
              <w:t>0,7</w:t>
            </w:r>
          </w:p>
        </w:tc>
        <w:tc>
          <w:tcPr>
            <w:tcW w:w="815" w:type="dxa"/>
          </w:tcPr>
          <w:p w14:paraId="0FB33D46" w14:textId="010D2307" w:rsidR="00A33033" w:rsidRPr="00C56A24" w:rsidRDefault="00924E87" w:rsidP="00A33033">
            <w:pPr>
              <w:jc w:val="both"/>
              <w:rPr>
                <w:spacing w:val="2"/>
                <w:shd w:val="clear" w:color="auto" w:fill="FFFFFF"/>
                <w:lang w:val="lt-LT"/>
              </w:rPr>
            </w:pPr>
            <w:r w:rsidRPr="00C56A24">
              <w:rPr>
                <w:spacing w:val="2"/>
                <w:shd w:val="clear" w:color="auto" w:fill="FFFFFF"/>
                <w:lang w:val="lt-LT"/>
              </w:rPr>
              <w:t>-0,1</w:t>
            </w:r>
          </w:p>
        </w:tc>
      </w:tr>
    </w:tbl>
    <w:p w14:paraId="7005693B" w14:textId="71B4FDF7" w:rsidR="00924E87" w:rsidRPr="004B5E3D" w:rsidRDefault="00924E87" w:rsidP="00064EB3">
      <w:pPr>
        <w:spacing w:before="120" w:after="240"/>
        <w:jc w:val="both"/>
        <w:rPr>
          <w:i/>
          <w:sz w:val="18"/>
          <w:szCs w:val="18"/>
          <w:lang w:val="lt-LT"/>
        </w:rPr>
      </w:pPr>
      <w:r w:rsidRPr="004B5E3D">
        <w:rPr>
          <w:i/>
          <w:sz w:val="18"/>
          <w:szCs w:val="18"/>
          <w:lang w:val="lt-LT"/>
        </w:rPr>
        <w:t xml:space="preserve">Šaltiniai: Finansų ministerija, </w:t>
      </w:r>
      <w:r w:rsidR="002A7650" w:rsidRPr="004B5E3D">
        <w:rPr>
          <w:i/>
          <w:sz w:val="18"/>
          <w:szCs w:val="18"/>
          <w:lang w:val="lt-LT"/>
        </w:rPr>
        <w:t>Lietuvos s</w:t>
      </w:r>
      <w:r w:rsidRPr="004B5E3D">
        <w:rPr>
          <w:i/>
          <w:sz w:val="18"/>
          <w:szCs w:val="18"/>
          <w:lang w:val="lt-LT"/>
        </w:rPr>
        <w:t>tatistikos departamentas</w:t>
      </w:r>
    </w:p>
    <w:p w14:paraId="6B8574F5" w14:textId="38A24E0B" w:rsidR="005F19A6" w:rsidRPr="00C56A24" w:rsidRDefault="002A7650" w:rsidP="001113C1">
      <w:pPr>
        <w:pStyle w:val="prastasistinklapis"/>
        <w:shd w:val="clear" w:color="auto" w:fill="FFFFFF"/>
        <w:spacing w:before="0" w:beforeAutospacing="0" w:after="0" w:afterAutospacing="0"/>
        <w:ind w:firstLine="851"/>
        <w:jc w:val="both"/>
      </w:pPr>
      <w:r w:rsidRPr="00C56A24">
        <w:t>Lietuvos s</w:t>
      </w:r>
      <w:r w:rsidR="001C24F4" w:rsidRPr="00C56A24">
        <w:t>tatistikos departamento duomenimis</w:t>
      </w:r>
      <w:r w:rsidR="00C06DE5">
        <w:t>,</w:t>
      </w:r>
      <w:r w:rsidR="00212B3E" w:rsidRPr="00C56A24">
        <w:t xml:space="preserve"> </w:t>
      </w:r>
      <w:r w:rsidR="001113C1" w:rsidRPr="00C56A24">
        <w:t>v</w:t>
      </w:r>
      <w:r w:rsidR="00212B3E" w:rsidRPr="00C56A24">
        <w:t>idutinis mėnesinis bruto darbo užmokestis</w:t>
      </w:r>
      <w:r w:rsidR="001113C1" w:rsidRPr="00C56A24">
        <w:t xml:space="preserve"> </w:t>
      </w:r>
      <w:r w:rsidR="00212B3E" w:rsidRPr="00C56A24">
        <w:t>2020</w:t>
      </w:r>
      <w:r w:rsidR="001113C1" w:rsidRPr="00C56A24">
        <w:t xml:space="preserve"> </w:t>
      </w:r>
      <w:r w:rsidR="00212B3E" w:rsidRPr="00C56A24">
        <w:t>m. antrąjį</w:t>
      </w:r>
      <w:r w:rsidR="001113C1" w:rsidRPr="00C56A24">
        <w:t xml:space="preserve"> </w:t>
      </w:r>
      <w:r w:rsidR="00212B3E" w:rsidRPr="00C56A24">
        <w:t>ketvirtį, palyginti su 2019</w:t>
      </w:r>
      <w:r w:rsidR="001113C1" w:rsidRPr="00C56A24">
        <w:t xml:space="preserve"> </w:t>
      </w:r>
      <w:r w:rsidR="00212B3E" w:rsidRPr="00C56A24">
        <w:t>m. antruoju ketvirčiu, šalies ūkyje padidėjo 8,5</w:t>
      </w:r>
      <w:r w:rsidR="001113C1" w:rsidRPr="00C56A24">
        <w:t xml:space="preserve"> </w:t>
      </w:r>
      <w:r w:rsidR="00212B3E" w:rsidRPr="00C56A24">
        <w:t>proc.: viešajame sektoriuje – 13</w:t>
      </w:r>
      <w:r w:rsidR="001113C1" w:rsidRPr="00C56A24">
        <w:t xml:space="preserve"> </w:t>
      </w:r>
      <w:r w:rsidR="00212B3E" w:rsidRPr="00C56A24">
        <w:t>proc., privačiajame – 6,1</w:t>
      </w:r>
      <w:r w:rsidR="001113C1" w:rsidRPr="00C56A24">
        <w:t xml:space="preserve"> </w:t>
      </w:r>
      <w:r w:rsidR="00212B3E" w:rsidRPr="00C56A24">
        <w:t>proc.</w:t>
      </w:r>
      <w:r w:rsidR="00941586" w:rsidRPr="00C56A24">
        <w:t xml:space="preserve"> </w:t>
      </w:r>
    </w:p>
    <w:p w14:paraId="01481B4D" w14:textId="519B77D3" w:rsidR="00212B3E" w:rsidRPr="00C56A24" w:rsidRDefault="00212B3E" w:rsidP="001113C1">
      <w:pPr>
        <w:pStyle w:val="prastasistinklapis"/>
        <w:shd w:val="clear" w:color="auto" w:fill="FFFFFF"/>
        <w:spacing w:before="0" w:beforeAutospacing="0" w:after="0" w:afterAutospacing="0"/>
        <w:ind w:firstLine="851"/>
        <w:jc w:val="both"/>
      </w:pPr>
      <w:r w:rsidRPr="00C56A24">
        <w:rPr>
          <w:spacing w:val="-2"/>
        </w:rPr>
        <w:t>Vidutinis mėnesinis bruto darbo užmokestis</w:t>
      </w:r>
      <w:r w:rsidR="001113C1" w:rsidRPr="00C56A24">
        <w:rPr>
          <w:spacing w:val="-2"/>
        </w:rPr>
        <w:t xml:space="preserve"> </w:t>
      </w:r>
      <w:r w:rsidRPr="00C56A24">
        <w:t>per metus padidėjo daugumos ekonominės veiklos rūšių įmonėse, įstaigose ir organizacijose: nuo 0,4</w:t>
      </w:r>
      <w:r w:rsidR="001113C1" w:rsidRPr="00C56A24">
        <w:t xml:space="preserve"> </w:t>
      </w:r>
      <w:r w:rsidRPr="00C56A24">
        <w:t>proc. (nekilnojamojo turto operacijų)</w:t>
      </w:r>
      <w:r w:rsidR="001113C1" w:rsidRPr="00C56A24">
        <w:t xml:space="preserve"> </w:t>
      </w:r>
      <w:r w:rsidRPr="00C56A24">
        <w:t>iki 17,9</w:t>
      </w:r>
      <w:r w:rsidR="001113C1" w:rsidRPr="00C56A24">
        <w:t xml:space="preserve"> </w:t>
      </w:r>
      <w:r w:rsidRPr="00C56A24">
        <w:t>proc. (žmonių</w:t>
      </w:r>
      <w:r w:rsidR="00941586" w:rsidRPr="00C56A24">
        <w:t xml:space="preserve"> </w:t>
      </w:r>
      <w:r w:rsidRPr="00C56A24">
        <w:rPr>
          <w:spacing w:val="-2"/>
        </w:rPr>
        <w:t>sveikatos priežiūros ir socialinio darbo).</w:t>
      </w:r>
      <w:r w:rsidR="00941586" w:rsidRPr="00C56A24">
        <w:rPr>
          <w:spacing w:val="-2"/>
        </w:rPr>
        <w:t xml:space="preserve"> </w:t>
      </w:r>
      <w:r w:rsidRPr="00C56A24">
        <w:rPr>
          <w:spacing w:val="-2"/>
        </w:rPr>
        <w:t>Vidutinis mėnesinis bruto darbo užmokestis</w:t>
      </w:r>
      <w:r w:rsidR="00941586" w:rsidRPr="00C56A24">
        <w:rPr>
          <w:spacing w:val="-2"/>
        </w:rPr>
        <w:t xml:space="preserve"> </w:t>
      </w:r>
      <w:r w:rsidR="00BC3684" w:rsidRPr="00C56A24">
        <w:t>10,3 proc</w:t>
      </w:r>
      <w:r w:rsidR="00BC3684">
        <w:t>.</w:t>
      </w:r>
      <w:r w:rsidR="00BC3684" w:rsidRPr="00C56A24">
        <w:rPr>
          <w:spacing w:val="-2"/>
        </w:rPr>
        <w:t xml:space="preserve"> </w:t>
      </w:r>
      <w:r w:rsidRPr="00C56A24">
        <w:rPr>
          <w:spacing w:val="-2"/>
        </w:rPr>
        <w:t>sumažėjo</w:t>
      </w:r>
      <w:r w:rsidR="00941586" w:rsidRPr="00C56A24">
        <w:rPr>
          <w:spacing w:val="-2"/>
        </w:rPr>
        <w:t xml:space="preserve"> </w:t>
      </w:r>
      <w:r w:rsidRPr="00C56A24">
        <w:rPr>
          <w:spacing w:val="-2"/>
        </w:rPr>
        <w:t>apgyvendinimo</w:t>
      </w:r>
      <w:r w:rsidR="00941586" w:rsidRPr="00C56A24">
        <w:rPr>
          <w:spacing w:val="-2"/>
        </w:rPr>
        <w:t xml:space="preserve"> </w:t>
      </w:r>
      <w:r w:rsidRPr="00C56A24">
        <w:t>ir maitinimo paslaugų įmonėse.</w:t>
      </w:r>
    </w:p>
    <w:p w14:paraId="464C045B" w14:textId="65A5BF4A" w:rsidR="00212B3E" w:rsidRPr="00C56A24" w:rsidRDefault="00212B3E" w:rsidP="001113C1">
      <w:pPr>
        <w:pStyle w:val="prastasistinklapis"/>
        <w:shd w:val="clear" w:color="auto" w:fill="FFFFFF"/>
        <w:spacing w:before="0" w:beforeAutospacing="0" w:after="0" w:afterAutospacing="0"/>
        <w:ind w:firstLine="851"/>
        <w:jc w:val="both"/>
      </w:pPr>
      <w:r w:rsidRPr="00C56A24">
        <w:t>Vidutinis mėnesinis neto darbo užmokestis per metus šalies ūkyje padidėjo 8,7</w:t>
      </w:r>
      <w:r w:rsidR="004751AC" w:rsidRPr="00C56A24">
        <w:t xml:space="preserve"> </w:t>
      </w:r>
      <w:r w:rsidRPr="00C56A24">
        <w:t>proc.: viešajame sektoriuje</w:t>
      </w:r>
      <w:r w:rsidR="004751AC" w:rsidRPr="00C56A24">
        <w:t xml:space="preserve"> </w:t>
      </w:r>
      <w:r w:rsidRPr="00C56A24">
        <w:t>– 12,8</w:t>
      </w:r>
      <w:r w:rsidR="004751AC" w:rsidRPr="00C56A24">
        <w:t xml:space="preserve"> </w:t>
      </w:r>
      <w:r w:rsidRPr="00C56A24">
        <w:t>proc., privačiajame</w:t>
      </w:r>
      <w:r w:rsidR="004751AC" w:rsidRPr="00C56A24">
        <w:t xml:space="preserve"> </w:t>
      </w:r>
      <w:r w:rsidRPr="00C56A24">
        <w:t>– 6,6</w:t>
      </w:r>
      <w:r w:rsidR="004751AC" w:rsidRPr="00C56A24">
        <w:t xml:space="preserve"> </w:t>
      </w:r>
      <w:r w:rsidRPr="00C56A24">
        <w:t>proc.</w:t>
      </w:r>
    </w:p>
    <w:p w14:paraId="6D4FF76A" w14:textId="5450ABFF" w:rsidR="00212B3E" w:rsidRPr="00C56A24" w:rsidRDefault="00212B3E" w:rsidP="001113C1">
      <w:pPr>
        <w:pStyle w:val="prastasistinklapis"/>
        <w:shd w:val="clear" w:color="auto" w:fill="FFFFFF"/>
        <w:spacing w:before="0" w:beforeAutospacing="0" w:after="0" w:afterAutospacing="0"/>
        <w:ind w:firstLine="851"/>
        <w:jc w:val="both"/>
      </w:pPr>
      <w:r w:rsidRPr="00C56A24">
        <w:t>Realusis darbo užmokestis</w:t>
      </w:r>
      <w:r w:rsidR="004751AC" w:rsidRPr="00C56A24">
        <w:t xml:space="preserve"> (</w:t>
      </w:r>
      <w:r w:rsidR="004751AC" w:rsidRPr="00C56A24">
        <w:rPr>
          <w:shd w:val="clear" w:color="auto" w:fill="FFFFFF"/>
        </w:rPr>
        <w:t>santykinis rodiklis, kuriuo išreiškiamas neto darbo užmokesčio pokytis, pašalinus vartotojų kainų pasikeitimo įtaką</w:t>
      </w:r>
      <w:r w:rsidR="004751AC" w:rsidRPr="00C56A24">
        <w:t xml:space="preserve">) </w:t>
      </w:r>
      <w:r w:rsidRPr="00C56A24">
        <w:t>2020</w:t>
      </w:r>
      <w:r w:rsidR="004751AC" w:rsidRPr="00C56A24">
        <w:t xml:space="preserve"> </w:t>
      </w:r>
      <w:r w:rsidRPr="00C56A24">
        <w:t>m. antrąjį</w:t>
      </w:r>
      <w:r w:rsidR="004751AC" w:rsidRPr="00C56A24">
        <w:t xml:space="preserve"> </w:t>
      </w:r>
      <w:r w:rsidRPr="00C56A24">
        <w:t>ketvirtį, palyginti su 2019</w:t>
      </w:r>
      <w:r w:rsidR="004751AC" w:rsidRPr="00C56A24">
        <w:t xml:space="preserve"> </w:t>
      </w:r>
      <w:r w:rsidRPr="00C56A24">
        <w:t>m. antruoju ketvirčiu, šalies ūkyje padidėjo 7,8</w:t>
      </w:r>
      <w:r w:rsidR="004751AC" w:rsidRPr="00C56A24">
        <w:t xml:space="preserve"> </w:t>
      </w:r>
      <w:r w:rsidRPr="00C56A24">
        <w:t>proc.: viešajame sektoriuje</w:t>
      </w:r>
      <w:r w:rsidR="004751AC" w:rsidRPr="00C56A24">
        <w:t xml:space="preserve"> – 11,9 </w:t>
      </w:r>
      <w:r w:rsidRPr="00C56A24">
        <w:t>proc., privačiajame</w:t>
      </w:r>
      <w:r w:rsidR="004751AC" w:rsidRPr="00C56A24">
        <w:t xml:space="preserve"> </w:t>
      </w:r>
      <w:r w:rsidRPr="00C56A24">
        <w:t>– 5,8</w:t>
      </w:r>
      <w:r w:rsidR="004751AC" w:rsidRPr="00C56A24">
        <w:t xml:space="preserve"> </w:t>
      </w:r>
      <w:r w:rsidRPr="00C56A24">
        <w:t>proc.</w:t>
      </w:r>
      <w:r w:rsidR="002A7650" w:rsidRPr="00C56A24">
        <w:rPr>
          <w:color w:val="000000"/>
        </w:rPr>
        <w:t xml:space="preserve"> </w:t>
      </w:r>
    </w:p>
    <w:p w14:paraId="5E0C4074" w14:textId="1705D8CA" w:rsidR="008F1EDC" w:rsidRPr="00C56A24" w:rsidRDefault="00212B3E" w:rsidP="004751AC">
      <w:pPr>
        <w:pStyle w:val="prastasistinklapis"/>
        <w:shd w:val="clear" w:color="auto" w:fill="FFFFFF"/>
        <w:spacing w:before="0" w:beforeAutospacing="0" w:after="0" w:afterAutospacing="0"/>
        <w:ind w:firstLine="851"/>
        <w:jc w:val="both"/>
      </w:pPr>
      <w:r w:rsidRPr="00C56A24">
        <w:t>Darbo užmokesčio pokyčiams įtakos turėjo</w:t>
      </w:r>
      <w:r w:rsidR="00941586" w:rsidRPr="00C56A24">
        <w:t xml:space="preserve"> </w:t>
      </w:r>
      <w:r w:rsidRPr="00C56A24">
        <w:t>nuo 2020</w:t>
      </w:r>
      <w:r w:rsidR="00941586" w:rsidRPr="00C56A24">
        <w:t xml:space="preserve"> </w:t>
      </w:r>
      <w:r w:rsidRPr="00C56A24">
        <w:t>m. sausio 1</w:t>
      </w:r>
      <w:r w:rsidR="00941586" w:rsidRPr="00C56A24">
        <w:t xml:space="preserve"> </w:t>
      </w:r>
      <w:r w:rsidRPr="00C56A24">
        <w:t>d.</w:t>
      </w:r>
      <w:r w:rsidR="00941586" w:rsidRPr="00C56A24">
        <w:t xml:space="preserve"> </w:t>
      </w:r>
      <w:r w:rsidR="004751AC" w:rsidRPr="00C56A24">
        <w:t xml:space="preserve">9,37 procento – iki 607 eurų – </w:t>
      </w:r>
      <w:r w:rsidRPr="00C56A24">
        <w:rPr>
          <w:spacing w:val="-2"/>
        </w:rPr>
        <w:t xml:space="preserve">padidinta minimalioji mėnesinė alga, </w:t>
      </w:r>
      <w:r w:rsidR="00523688">
        <w:rPr>
          <w:spacing w:val="-2"/>
        </w:rPr>
        <w:t xml:space="preserve">padidintas </w:t>
      </w:r>
      <w:r w:rsidRPr="00C56A24">
        <w:rPr>
          <w:spacing w:val="-2"/>
        </w:rPr>
        <w:t>valstybės politikų, teisėjų, valstybės pareigūnų, valstybės tarnautojų</w:t>
      </w:r>
      <w:r w:rsidR="002A7650" w:rsidRPr="00C56A24">
        <w:rPr>
          <w:spacing w:val="-2"/>
        </w:rPr>
        <w:t>,</w:t>
      </w:r>
      <w:r w:rsidRPr="00C56A24">
        <w:rPr>
          <w:spacing w:val="-2"/>
        </w:rPr>
        <w:t xml:space="preserve"> </w:t>
      </w:r>
      <w:r w:rsidR="002A7650" w:rsidRPr="00C56A24">
        <w:rPr>
          <w:color w:val="000000"/>
        </w:rPr>
        <w:t xml:space="preserve">valstybės ir savivaldybių </w:t>
      </w:r>
      <w:r w:rsidRPr="00C56A24">
        <w:rPr>
          <w:spacing w:val="-2"/>
        </w:rPr>
        <w:t>biudžetinių įstaigų darbuotojų</w:t>
      </w:r>
      <w:r w:rsidR="00941586" w:rsidRPr="00C56A24">
        <w:rPr>
          <w:spacing w:val="-2"/>
        </w:rPr>
        <w:t xml:space="preserve"> </w:t>
      </w:r>
      <w:r w:rsidRPr="00C56A24">
        <w:t xml:space="preserve">bazinis dydis, padidintas darbo užmokestis </w:t>
      </w:r>
      <w:r w:rsidR="002A7650" w:rsidRPr="00C56A24">
        <w:t>asmens sveikatos priežiūros</w:t>
      </w:r>
      <w:r w:rsidRPr="00C56A24">
        <w:t xml:space="preserve"> įstaigų darbuotojams, kovojantiems su COVID-19 infekcija, išmokėtos priemokos </w:t>
      </w:r>
      <w:r w:rsidR="00D558B8">
        <w:t xml:space="preserve">valdant </w:t>
      </w:r>
      <w:r w:rsidRPr="00C56A24">
        <w:t>ekstremali</w:t>
      </w:r>
      <w:r w:rsidR="00D558B8">
        <w:t>ąją</w:t>
      </w:r>
      <w:r w:rsidRPr="00C56A24">
        <w:t xml:space="preserve"> situacij</w:t>
      </w:r>
      <w:r w:rsidR="00D558B8">
        <w:t>ą</w:t>
      </w:r>
      <w:r w:rsidRPr="00C56A24">
        <w:t xml:space="preserve"> dalyvavusiems </w:t>
      </w:r>
      <w:r w:rsidRPr="00C56A24">
        <w:lastRenderedPageBreak/>
        <w:t>pareigūnams ir darbuotojams</w:t>
      </w:r>
      <w:r w:rsidR="00983DD2" w:rsidRPr="00C56A24">
        <w:t xml:space="preserve">, </w:t>
      </w:r>
      <w:r w:rsidR="004751AC" w:rsidRPr="00C56A24">
        <w:t xml:space="preserve">padidinti minimalieji pareiginės algos pastoviosios dalies koeficientai kvalifikuotiems </w:t>
      </w:r>
      <w:r w:rsidR="00502545" w:rsidRPr="00C56A24">
        <w:rPr>
          <w:color w:val="000000"/>
        </w:rPr>
        <w:t xml:space="preserve">valstybės ir savivaldybių </w:t>
      </w:r>
      <w:r w:rsidR="004751AC" w:rsidRPr="00C56A24">
        <w:t>biudžetinių įstaigų darbuotojams</w:t>
      </w:r>
      <w:r w:rsidR="004751AC" w:rsidRPr="00C56A24">
        <w:rPr>
          <w:shd w:val="clear" w:color="auto" w:fill="FFFFFF"/>
        </w:rPr>
        <w:t xml:space="preserve">, </w:t>
      </w:r>
      <w:r w:rsidR="00983DD2" w:rsidRPr="00C56A24">
        <w:rPr>
          <w:shd w:val="clear" w:color="auto" w:fill="FFFFFF"/>
        </w:rPr>
        <w:t>pasikeitusi neapmokestinamojo pajamų dydžio skaičiavimo tvarka</w:t>
      </w:r>
      <w:r w:rsidRPr="00C56A24">
        <w:t xml:space="preserve"> bei kitos priežastys.</w:t>
      </w:r>
    </w:p>
    <w:p w14:paraId="0D630C11" w14:textId="77777777" w:rsidR="00DD1C44" w:rsidRPr="00C56A24" w:rsidRDefault="00DD1C44" w:rsidP="004751AC">
      <w:pPr>
        <w:pStyle w:val="prastasistinklapis"/>
        <w:shd w:val="clear" w:color="auto" w:fill="FFFFFF"/>
        <w:spacing w:before="0" w:beforeAutospacing="0" w:after="0" w:afterAutospacing="0"/>
        <w:ind w:firstLine="851"/>
        <w:jc w:val="both"/>
      </w:pPr>
    </w:p>
    <w:p w14:paraId="2BD29835" w14:textId="41D35489" w:rsidR="00DD1C44" w:rsidRPr="00C56A24" w:rsidRDefault="00DD1C44" w:rsidP="0042656F">
      <w:pPr>
        <w:pStyle w:val="prastasistinklapis"/>
        <w:shd w:val="clear" w:color="auto" w:fill="FFFFFF"/>
        <w:spacing w:before="0" w:beforeAutospacing="0" w:after="0" w:afterAutospacing="0"/>
        <w:jc w:val="both"/>
      </w:pPr>
      <w:r w:rsidRPr="00C56A24">
        <w:rPr>
          <w:noProof/>
        </w:rPr>
        <w:drawing>
          <wp:inline distT="0" distB="0" distL="0" distR="0" wp14:anchorId="635EE010" wp14:editId="7BF6518F">
            <wp:extent cx="6115050" cy="2527300"/>
            <wp:effectExtent l="0" t="0" r="19050" b="25400"/>
            <wp:docPr id="1" name="Diagrama 1" title="f"/>
            <wp:cNvGraphicFramePr/>
            <a:graphic xmlns:a="http://schemas.openxmlformats.org/drawingml/2006/main">
              <a:graphicData uri="http://schemas.openxmlformats.org/drawingml/2006/chart">
                <c:chart xmlns:c="http://schemas.openxmlformats.org/drawingml/2006/chart" r:id="rId9"/>
              </a:graphicData>
            </a:graphic>
          </wp:inline>
        </w:drawing>
      </w:r>
    </w:p>
    <w:p w14:paraId="0AF556BA" w14:textId="0B90C0A6" w:rsidR="00FC3E1E" w:rsidRPr="00C56A24" w:rsidRDefault="00BA78D0" w:rsidP="00FC3E1E">
      <w:pPr>
        <w:spacing w:before="120" w:after="240"/>
        <w:jc w:val="both"/>
        <w:rPr>
          <w:sz w:val="18"/>
          <w:szCs w:val="18"/>
          <w:lang w:val="lt-LT"/>
        </w:rPr>
      </w:pPr>
      <w:r w:rsidRPr="00C56A24">
        <w:rPr>
          <w:color w:val="333333"/>
          <w:sz w:val="18"/>
          <w:szCs w:val="18"/>
          <w:shd w:val="clear" w:color="auto" w:fill="FFFFFF"/>
          <w:lang w:val="lt-LT"/>
        </w:rPr>
        <w:t>*</w:t>
      </w:r>
      <w:r w:rsidR="00A80384">
        <w:rPr>
          <w:color w:val="333333"/>
          <w:sz w:val="18"/>
          <w:szCs w:val="18"/>
          <w:shd w:val="clear" w:color="auto" w:fill="FFFFFF"/>
          <w:lang w:val="lt-LT"/>
        </w:rPr>
        <w:t xml:space="preserve"> </w:t>
      </w:r>
      <w:r w:rsidRPr="00C56A24">
        <w:rPr>
          <w:color w:val="333333"/>
          <w:sz w:val="18"/>
          <w:szCs w:val="18"/>
          <w:shd w:val="clear" w:color="auto" w:fill="FFFFFF"/>
          <w:lang w:val="lt-LT"/>
        </w:rPr>
        <w:t>Be individualiųjų įmonių,</w:t>
      </w:r>
      <w:r w:rsidR="008761FB" w:rsidRPr="00C56A24">
        <w:rPr>
          <w:color w:val="333333"/>
          <w:sz w:val="18"/>
          <w:szCs w:val="18"/>
          <w:shd w:val="clear" w:color="auto" w:fill="FFFFFF"/>
          <w:lang w:val="lt-LT"/>
        </w:rPr>
        <w:t xml:space="preserve"> </w:t>
      </w:r>
      <w:r w:rsidRPr="00C56A24">
        <w:rPr>
          <w:color w:val="333333"/>
          <w:sz w:val="18"/>
          <w:szCs w:val="18"/>
          <w:shd w:val="clear" w:color="auto" w:fill="FFFFFF"/>
          <w:lang w:val="lt-LT"/>
        </w:rPr>
        <w:t>p</w:t>
      </w:r>
      <w:r w:rsidRPr="00C56A24">
        <w:rPr>
          <w:color w:val="000000"/>
          <w:sz w:val="18"/>
          <w:szCs w:val="18"/>
          <w:shd w:val="clear" w:color="auto" w:fill="FFFFFF"/>
          <w:lang w:val="lt-LT"/>
        </w:rPr>
        <w:t>ašalinus nuo 2019</w:t>
      </w:r>
      <w:r w:rsidR="008761FB" w:rsidRPr="00C56A24">
        <w:rPr>
          <w:color w:val="000000"/>
          <w:sz w:val="18"/>
          <w:szCs w:val="18"/>
          <w:shd w:val="clear" w:color="auto" w:fill="FFFFFF"/>
          <w:lang w:val="lt-LT"/>
        </w:rPr>
        <w:t xml:space="preserve"> </w:t>
      </w:r>
      <w:r w:rsidRPr="00C56A24">
        <w:rPr>
          <w:color w:val="000000"/>
          <w:sz w:val="18"/>
          <w:szCs w:val="18"/>
          <w:shd w:val="clear" w:color="auto" w:fill="FFFFFF"/>
          <w:lang w:val="lt-LT"/>
        </w:rPr>
        <w:t>m. bruto darbo užmokesčio indeksavimo dėl įsigaliojusių mokesčių pasikeitimo įtaką</w:t>
      </w:r>
      <w:r w:rsidR="00FC3E1E" w:rsidRPr="00C56A24">
        <w:rPr>
          <w:color w:val="000000"/>
          <w:sz w:val="18"/>
          <w:szCs w:val="18"/>
          <w:shd w:val="clear" w:color="auto" w:fill="FFFFFF"/>
          <w:lang w:val="lt-LT"/>
        </w:rPr>
        <w:t xml:space="preserve"> (parengta pagal </w:t>
      </w:r>
      <w:r w:rsidR="00502545" w:rsidRPr="00C56A24">
        <w:rPr>
          <w:color w:val="000000"/>
          <w:sz w:val="18"/>
          <w:szCs w:val="18"/>
          <w:shd w:val="clear" w:color="auto" w:fill="FFFFFF"/>
          <w:lang w:val="lt-LT"/>
        </w:rPr>
        <w:t>Lietuvos s</w:t>
      </w:r>
      <w:r w:rsidR="00FC3E1E" w:rsidRPr="00C56A24">
        <w:rPr>
          <w:color w:val="000000"/>
          <w:sz w:val="18"/>
          <w:szCs w:val="18"/>
          <w:shd w:val="clear" w:color="auto" w:fill="FFFFFF"/>
          <w:lang w:val="lt-LT"/>
        </w:rPr>
        <w:t>tatistikos departamento duomenis)</w:t>
      </w:r>
    </w:p>
    <w:p w14:paraId="17119BAD" w14:textId="46AA007B" w:rsidR="005070F8" w:rsidRPr="00C56A24" w:rsidRDefault="00FE3A64" w:rsidP="002774E1">
      <w:pPr>
        <w:ind w:firstLine="851"/>
        <w:jc w:val="both"/>
        <w:rPr>
          <w:sz w:val="24"/>
          <w:szCs w:val="24"/>
          <w:lang w:val="lt-LT"/>
        </w:rPr>
      </w:pPr>
      <w:r w:rsidRPr="00C56A24">
        <w:rPr>
          <w:sz w:val="24"/>
          <w:szCs w:val="24"/>
          <w:lang w:val="lt-LT"/>
        </w:rPr>
        <w:t>Į</w:t>
      </w:r>
      <w:r w:rsidR="00CF147C" w:rsidRPr="00C56A24">
        <w:rPr>
          <w:sz w:val="24"/>
          <w:szCs w:val="24"/>
          <w:lang w:val="lt-LT"/>
        </w:rPr>
        <w:t>statymo projekte siūloma 20</w:t>
      </w:r>
      <w:r w:rsidR="00672EE2" w:rsidRPr="00C56A24">
        <w:rPr>
          <w:sz w:val="24"/>
          <w:szCs w:val="24"/>
          <w:lang w:val="lt-LT"/>
        </w:rPr>
        <w:t>2</w:t>
      </w:r>
      <w:r w:rsidR="00850375" w:rsidRPr="00C56A24">
        <w:rPr>
          <w:sz w:val="24"/>
          <w:szCs w:val="24"/>
          <w:lang w:val="lt-LT"/>
        </w:rPr>
        <w:t>1</w:t>
      </w:r>
      <w:r w:rsidR="00CF147C" w:rsidRPr="00C56A24">
        <w:rPr>
          <w:sz w:val="24"/>
          <w:szCs w:val="24"/>
          <w:lang w:val="lt-LT"/>
        </w:rPr>
        <w:t xml:space="preserve"> metams patvirtinti </w:t>
      </w:r>
      <w:r w:rsidR="00EE199A" w:rsidRPr="00C56A24">
        <w:rPr>
          <w:sz w:val="24"/>
          <w:szCs w:val="24"/>
          <w:lang w:val="lt-LT"/>
        </w:rPr>
        <w:t>1</w:t>
      </w:r>
      <w:r w:rsidRPr="00C56A24">
        <w:rPr>
          <w:sz w:val="24"/>
          <w:szCs w:val="24"/>
          <w:lang w:val="lt-LT"/>
        </w:rPr>
        <w:t>7</w:t>
      </w:r>
      <w:r w:rsidR="00850375" w:rsidRPr="00C56A24">
        <w:rPr>
          <w:sz w:val="24"/>
          <w:szCs w:val="24"/>
          <w:lang w:val="lt-LT"/>
        </w:rPr>
        <w:t>7</w:t>
      </w:r>
      <w:r w:rsidRPr="00C56A24">
        <w:rPr>
          <w:sz w:val="24"/>
          <w:szCs w:val="24"/>
          <w:lang w:val="lt-LT"/>
        </w:rPr>
        <w:t xml:space="preserve"> eurų </w:t>
      </w:r>
      <w:r w:rsidR="00EE199A" w:rsidRPr="00C56A24">
        <w:rPr>
          <w:sz w:val="24"/>
          <w:szCs w:val="24"/>
          <w:lang w:val="lt-LT"/>
        </w:rPr>
        <w:t>bazinį dydį</w:t>
      </w:r>
      <w:r w:rsidR="00AA4AD7" w:rsidRPr="00C56A24">
        <w:rPr>
          <w:sz w:val="24"/>
          <w:szCs w:val="24"/>
          <w:lang w:val="lt-LT"/>
        </w:rPr>
        <w:t>, kuris</w:t>
      </w:r>
      <w:r w:rsidR="00B1028D" w:rsidRPr="00C56A24">
        <w:rPr>
          <w:sz w:val="24"/>
          <w:szCs w:val="24"/>
          <w:lang w:val="lt-LT"/>
        </w:rPr>
        <w:t>,</w:t>
      </w:r>
      <w:r w:rsidR="00AA4AD7" w:rsidRPr="00C56A24">
        <w:rPr>
          <w:sz w:val="24"/>
          <w:szCs w:val="24"/>
          <w:lang w:val="lt-LT"/>
        </w:rPr>
        <w:t xml:space="preserve"> palygin</w:t>
      </w:r>
      <w:r w:rsidR="00B1028D" w:rsidRPr="00C56A24">
        <w:rPr>
          <w:sz w:val="24"/>
          <w:szCs w:val="24"/>
          <w:lang w:val="lt-LT"/>
        </w:rPr>
        <w:t>ti</w:t>
      </w:r>
      <w:r w:rsidR="00AA4AD7" w:rsidRPr="00C56A24">
        <w:rPr>
          <w:sz w:val="24"/>
          <w:szCs w:val="24"/>
          <w:lang w:val="lt-LT"/>
        </w:rPr>
        <w:t xml:space="preserve"> su šiuo metu galiojančiu baziniu dydžiu, didė</w:t>
      </w:r>
      <w:r w:rsidR="00850375" w:rsidRPr="00C56A24">
        <w:rPr>
          <w:sz w:val="24"/>
          <w:szCs w:val="24"/>
          <w:lang w:val="lt-LT"/>
        </w:rPr>
        <w:t>tų 0,6</w:t>
      </w:r>
      <w:r w:rsidR="00AA4AD7" w:rsidRPr="00C56A24">
        <w:rPr>
          <w:sz w:val="24"/>
          <w:szCs w:val="24"/>
          <w:lang w:val="lt-LT"/>
        </w:rPr>
        <w:t xml:space="preserve"> proc</w:t>
      </w:r>
      <w:r w:rsidR="00F5559E" w:rsidRPr="00C56A24">
        <w:rPr>
          <w:sz w:val="24"/>
          <w:szCs w:val="24"/>
          <w:lang w:val="lt-LT"/>
        </w:rPr>
        <w:t>ento</w:t>
      </w:r>
      <w:r w:rsidR="00AA4AD7" w:rsidRPr="00C56A24">
        <w:rPr>
          <w:sz w:val="24"/>
          <w:szCs w:val="24"/>
          <w:lang w:val="lt-LT"/>
        </w:rPr>
        <w:t>.</w:t>
      </w:r>
      <w:r w:rsidR="00D30975" w:rsidRPr="00C56A24">
        <w:rPr>
          <w:sz w:val="24"/>
          <w:szCs w:val="24"/>
          <w:lang w:val="lt-LT"/>
        </w:rPr>
        <w:t xml:space="preserve"> </w:t>
      </w:r>
      <w:r w:rsidR="005070F8" w:rsidRPr="00C56A24">
        <w:rPr>
          <w:sz w:val="24"/>
          <w:szCs w:val="24"/>
          <w:lang w:val="lt-LT"/>
        </w:rPr>
        <w:t xml:space="preserve">Nustačius minėtą dydį, valstybės politikų, bendrosios kompetencijos ir specializuotų teismų teisėjų, valstybės pareigūnų, valstybės tarnautojų, valstybės ir savivaldybių biudžetinių įstaigų darbuotojų, </w:t>
      </w:r>
      <w:bookmarkStart w:id="0" w:name="_GoBack"/>
      <w:r w:rsidR="005070F8" w:rsidRPr="00C56A24">
        <w:rPr>
          <w:sz w:val="24"/>
          <w:szCs w:val="24"/>
          <w:lang w:val="lt-LT"/>
        </w:rPr>
        <w:t>Konstitucinio Teismo teisėjų, karių darbo užmokestis (atlyginimai)</w:t>
      </w:r>
      <w:r w:rsidR="00502545" w:rsidRPr="00C56A24">
        <w:rPr>
          <w:sz w:val="24"/>
          <w:szCs w:val="24"/>
          <w:lang w:val="lt-LT"/>
        </w:rPr>
        <w:t xml:space="preserve">, </w:t>
      </w:r>
      <w:r w:rsidR="00502545" w:rsidRPr="00C56A24">
        <w:rPr>
          <w:color w:val="000000"/>
          <w:sz w:val="24"/>
          <w:szCs w:val="24"/>
          <w:lang w:val="lt-LT"/>
        </w:rPr>
        <w:t>įstatymų pagrindais sudarytų komisijų narių atlygis</w:t>
      </w:r>
      <w:r w:rsidR="005070F8" w:rsidRPr="00C56A24">
        <w:rPr>
          <w:sz w:val="24"/>
          <w:szCs w:val="24"/>
          <w:lang w:val="lt-LT"/>
        </w:rPr>
        <w:t xml:space="preserve"> ir kitos teisės aktuose nustatytos išmokos</w:t>
      </w:r>
      <w:r w:rsidR="00616B38" w:rsidRPr="00C56A24">
        <w:rPr>
          <w:sz w:val="24"/>
          <w:szCs w:val="24"/>
          <w:lang w:val="lt-LT"/>
        </w:rPr>
        <w:t xml:space="preserve"> ir atlygiai padidėtų</w:t>
      </w:r>
      <w:r w:rsidR="00F47D95" w:rsidRPr="00C56A24">
        <w:rPr>
          <w:sz w:val="24"/>
          <w:szCs w:val="24"/>
          <w:lang w:val="lt-LT"/>
        </w:rPr>
        <w:t xml:space="preserve"> </w:t>
      </w:r>
      <w:r w:rsidR="00850375" w:rsidRPr="00C56A24">
        <w:rPr>
          <w:sz w:val="24"/>
          <w:szCs w:val="24"/>
          <w:lang w:val="lt-LT"/>
        </w:rPr>
        <w:t xml:space="preserve">apie 200 </w:t>
      </w:r>
      <w:r w:rsidR="00175C4E" w:rsidRPr="00C56A24">
        <w:rPr>
          <w:sz w:val="24"/>
          <w:szCs w:val="24"/>
          <w:lang w:val="lt-LT"/>
        </w:rPr>
        <w:t xml:space="preserve">tūkstančių darbuotojų </w:t>
      </w:r>
      <w:r w:rsidR="00D30975" w:rsidRPr="00C56A24">
        <w:rPr>
          <w:sz w:val="24"/>
          <w:szCs w:val="24"/>
          <w:lang w:val="lt-LT"/>
        </w:rPr>
        <w:t xml:space="preserve">nuo </w:t>
      </w:r>
      <w:r w:rsidR="00850375" w:rsidRPr="00C56A24">
        <w:rPr>
          <w:sz w:val="24"/>
          <w:szCs w:val="24"/>
          <w:lang w:val="lt-LT"/>
        </w:rPr>
        <w:t>4</w:t>
      </w:r>
      <w:r w:rsidR="001B1ED9" w:rsidRPr="00C56A24">
        <w:rPr>
          <w:sz w:val="24"/>
          <w:szCs w:val="24"/>
          <w:lang w:val="lt-LT"/>
        </w:rPr>
        <w:t xml:space="preserve"> </w:t>
      </w:r>
      <w:r w:rsidR="00F47D95" w:rsidRPr="00C56A24">
        <w:rPr>
          <w:sz w:val="24"/>
          <w:szCs w:val="24"/>
          <w:lang w:val="lt-LT"/>
        </w:rPr>
        <w:t xml:space="preserve">iki </w:t>
      </w:r>
      <w:r w:rsidR="009D607B" w:rsidRPr="00C56A24">
        <w:rPr>
          <w:sz w:val="24"/>
          <w:szCs w:val="24"/>
          <w:lang w:val="lt-LT"/>
        </w:rPr>
        <w:t>32</w:t>
      </w:r>
      <w:r w:rsidR="00616B38" w:rsidRPr="00C56A24">
        <w:rPr>
          <w:sz w:val="24"/>
          <w:szCs w:val="24"/>
          <w:lang w:val="lt-LT"/>
        </w:rPr>
        <w:t> </w:t>
      </w:r>
      <w:r w:rsidR="008079D9" w:rsidRPr="00C56A24">
        <w:rPr>
          <w:sz w:val="24"/>
          <w:szCs w:val="24"/>
          <w:lang w:val="lt-LT"/>
        </w:rPr>
        <w:t>eur</w:t>
      </w:r>
      <w:r w:rsidR="009D607B" w:rsidRPr="00C56A24">
        <w:rPr>
          <w:sz w:val="24"/>
          <w:szCs w:val="24"/>
          <w:lang w:val="lt-LT"/>
        </w:rPr>
        <w:t>ų (nuo mažiausiai uždirbančio darbuotojo, dirbančio pagal darbo sutartį, iki Konstitucinio Teismo pirmininko ar jį pavaduojančio teisėjo)</w:t>
      </w:r>
      <w:r w:rsidR="00F47D95" w:rsidRPr="00C56A24">
        <w:rPr>
          <w:sz w:val="24"/>
          <w:szCs w:val="24"/>
          <w:lang w:val="lt-LT"/>
        </w:rPr>
        <w:t>.</w:t>
      </w:r>
      <w:bookmarkEnd w:id="0"/>
      <w:r w:rsidR="00F47D95" w:rsidRPr="00C56A24">
        <w:rPr>
          <w:sz w:val="24"/>
          <w:szCs w:val="24"/>
          <w:lang w:val="lt-LT"/>
        </w:rPr>
        <w:t xml:space="preserve"> </w:t>
      </w:r>
    </w:p>
    <w:p w14:paraId="7DC53438" w14:textId="30C232E3" w:rsidR="00D76D2F" w:rsidRPr="00C56A24" w:rsidRDefault="00CF147C" w:rsidP="002774E1">
      <w:pPr>
        <w:ind w:firstLine="851"/>
        <w:jc w:val="both"/>
        <w:rPr>
          <w:sz w:val="24"/>
          <w:szCs w:val="24"/>
          <w:lang w:val="lt-LT"/>
        </w:rPr>
      </w:pPr>
      <w:r w:rsidRPr="00C56A24">
        <w:rPr>
          <w:sz w:val="24"/>
          <w:szCs w:val="24"/>
          <w:lang w:val="lt-LT"/>
        </w:rPr>
        <w:t>Atkreiptinas dėmesys</w:t>
      </w:r>
      <w:r w:rsidR="00023BFF" w:rsidRPr="00C56A24">
        <w:rPr>
          <w:sz w:val="24"/>
          <w:szCs w:val="24"/>
          <w:lang w:val="lt-LT"/>
        </w:rPr>
        <w:t xml:space="preserve"> į tai</w:t>
      </w:r>
      <w:r w:rsidRPr="00C56A24">
        <w:rPr>
          <w:sz w:val="24"/>
          <w:szCs w:val="24"/>
          <w:lang w:val="lt-LT"/>
        </w:rPr>
        <w:t>, kad iki 2009 m</w:t>
      </w:r>
      <w:r w:rsidR="00415F28" w:rsidRPr="00C56A24">
        <w:rPr>
          <w:sz w:val="24"/>
          <w:szCs w:val="24"/>
          <w:lang w:val="lt-LT"/>
        </w:rPr>
        <w:t>etų</w:t>
      </w:r>
      <w:r w:rsidRPr="00C56A24">
        <w:rPr>
          <w:sz w:val="24"/>
          <w:szCs w:val="24"/>
          <w:lang w:val="lt-LT"/>
        </w:rPr>
        <w:t xml:space="preserve"> sausio mėnesio galiojo 141,9 euro </w:t>
      </w:r>
      <w:r w:rsidR="00523688" w:rsidRPr="00C56A24">
        <w:rPr>
          <w:sz w:val="24"/>
          <w:szCs w:val="24"/>
          <w:lang w:val="lt-LT"/>
        </w:rPr>
        <w:t xml:space="preserve">bazinis dydis </w:t>
      </w:r>
      <w:r w:rsidRPr="00C56A24">
        <w:rPr>
          <w:sz w:val="24"/>
          <w:szCs w:val="24"/>
          <w:lang w:val="lt-LT"/>
        </w:rPr>
        <w:t>(</w:t>
      </w:r>
      <w:r w:rsidRPr="009075FE">
        <w:rPr>
          <w:sz w:val="24"/>
          <w:szCs w:val="24"/>
          <w:lang w:val="lt-LT"/>
        </w:rPr>
        <w:t>490 Lt</w:t>
      </w:r>
      <w:r w:rsidR="00F93F5F" w:rsidRPr="009075FE">
        <w:rPr>
          <w:sz w:val="24"/>
          <w:szCs w:val="24"/>
          <w:lang w:val="lt-LT"/>
        </w:rPr>
        <w:t xml:space="preserve"> arba 183 </w:t>
      </w:r>
      <w:proofErr w:type="spellStart"/>
      <w:r w:rsidR="00F93F5F" w:rsidRPr="009075FE">
        <w:rPr>
          <w:sz w:val="24"/>
          <w:szCs w:val="24"/>
          <w:lang w:val="lt-LT"/>
        </w:rPr>
        <w:t>Eur</w:t>
      </w:r>
      <w:proofErr w:type="spellEnd"/>
      <w:r w:rsidR="007151D8" w:rsidRPr="009075FE">
        <w:rPr>
          <w:sz w:val="24"/>
          <w:szCs w:val="24"/>
          <w:lang w:val="lt-LT"/>
        </w:rPr>
        <w:t>,</w:t>
      </w:r>
      <w:r w:rsidR="00F93F5F" w:rsidRPr="009075FE">
        <w:rPr>
          <w:sz w:val="24"/>
          <w:szCs w:val="24"/>
          <w:lang w:val="lt-LT"/>
        </w:rPr>
        <w:t xml:space="preserve"> įvertinus mokestinę reformą</w:t>
      </w:r>
      <w:r w:rsidRPr="00C56A24">
        <w:rPr>
          <w:sz w:val="24"/>
          <w:szCs w:val="24"/>
          <w:lang w:val="lt-LT"/>
        </w:rPr>
        <w:t>), kuris dėl krizės buvo sumažintas iki 137,57 euro (475 Lt), o nuo 2009</w:t>
      </w:r>
      <w:r w:rsidR="00B159CD" w:rsidRPr="00C56A24">
        <w:rPr>
          <w:sz w:val="24"/>
          <w:szCs w:val="24"/>
          <w:lang w:val="lt-LT"/>
        </w:rPr>
        <w:t> </w:t>
      </w:r>
      <w:r w:rsidRPr="00C56A24">
        <w:rPr>
          <w:sz w:val="24"/>
          <w:szCs w:val="24"/>
          <w:lang w:val="lt-LT"/>
        </w:rPr>
        <w:t xml:space="preserve">m. rugpjūčio 1 d. – iki 130,33 euro (450 Lt). </w:t>
      </w:r>
      <w:r w:rsidR="003210A6" w:rsidRPr="00C56A24">
        <w:rPr>
          <w:sz w:val="24"/>
          <w:szCs w:val="24"/>
          <w:lang w:val="lt-LT"/>
        </w:rPr>
        <w:t>Šiuo metu</w:t>
      </w:r>
      <w:r w:rsidRPr="00C56A24">
        <w:rPr>
          <w:sz w:val="24"/>
          <w:szCs w:val="24"/>
          <w:lang w:val="lt-LT"/>
        </w:rPr>
        <w:t xml:space="preserve"> bazinis dydis</w:t>
      </w:r>
      <w:r w:rsidR="004D46FD" w:rsidRPr="00C56A24">
        <w:rPr>
          <w:sz w:val="24"/>
          <w:szCs w:val="24"/>
          <w:lang w:val="lt-LT"/>
        </w:rPr>
        <w:t xml:space="preserve"> </w:t>
      </w:r>
      <w:r w:rsidR="00EC52AE" w:rsidRPr="00C56A24">
        <w:rPr>
          <w:sz w:val="24"/>
          <w:szCs w:val="24"/>
          <w:lang w:val="lt-LT"/>
        </w:rPr>
        <w:t>5</w:t>
      </w:r>
      <w:r w:rsidR="004D46FD" w:rsidRPr="00C56A24">
        <w:rPr>
          <w:sz w:val="24"/>
          <w:szCs w:val="24"/>
          <w:lang w:val="lt-LT"/>
        </w:rPr>
        <w:t>,</w:t>
      </w:r>
      <w:r w:rsidR="00EC52AE" w:rsidRPr="00C56A24">
        <w:rPr>
          <w:sz w:val="24"/>
          <w:szCs w:val="24"/>
          <w:lang w:val="lt-LT"/>
        </w:rPr>
        <w:t>40</w:t>
      </w:r>
      <w:r w:rsidR="001B1ED9" w:rsidRPr="00C56A24">
        <w:rPr>
          <w:sz w:val="24"/>
          <w:szCs w:val="24"/>
          <w:lang w:val="lt-LT"/>
        </w:rPr>
        <w:t> </w:t>
      </w:r>
      <w:r w:rsidR="004D46FD" w:rsidRPr="00C56A24">
        <w:rPr>
          <w:sz w:val="24"/>
          <w:szCs w:val="24"/>
          <w:lang w:val="lt-LT"/>
        </w:rPr>
        <w:t>eur</w:t>
      </w:r>
      <w:r w:rsidR="00A437B0" w:rsidRPr="00C56A24">
        <w:rPr>
          <w:sz w:val="24"/>
          <w:szCs w:val="24"/>
          <w:lang w:val="lt-LT"/>
        </w:rPr>
        <w:t>o</w:t>
      </w:r>
      <w:r w:rsidRPr="00C56A24">
        <w:rPr>
          <w:sz w:val="24"/>
          <w:szCs w:val="24"/>
          <w:lang w:val="lt-LT"/>
        </w:rPr>
        <w:t xml:space="preserve"> </w:t>
      </w:r>
      <w:r w:rsidR="004D46FD" w:rsidRPr="00C56A24">
        <w:rPr>
          <w:sz w:val="24"/>
          <w:szCs w:val="24"/>
          <w:lang w:val="lt-LT"/>
        </w:rPr>
        <w:t xml:space="preserve">mažesnis nei </w:t>
      </w:r>
      <w:r w:rsidR="00415F28" w:rsidRPr="00C56A24">
        <w:rPr>
          <w:sz w:val="24"/>
          <w:szCs w:val="24"/>
          <w:lang w:val="lt-LT"/>
        </w:rPr>
        <w:t>iki 2009 metų</w:t>
      </w:r>
      <w:r w:rsidR="00A437B0" w:rsidRPr="00C56A24">
        <w:rPr>
          <w:sz w:val="24"/>
          <w:szCs w:val="24"/>
          <w:lang w:val="lt-LT"/>
        </w:rPr>
        <w:t xml:space="preserve"> </w:t>
      </w:r>
      <w:r w:rsidR="004D46FD" w:rsidRPr="00C56A24">
        <w:rPr>
          <w:sz w:val="24"/>
          <w:szCs w:val="24"/>
          <w:lang w:val="lt-LT"/>
        </w:rPr>
        <w:t xml:space="preserve">galiojęs bazinis dydis ir </w:t>
      </w:r>
      <w:r w:rsidR="00A437B0" w:rsidRPr="00C56A24">
        <w:rPr>
          <w:sz w:val="24"/>
          <w:szCs w:val="24"/>
          <w:lang w:val="lt-LT"/>
        </w:rPr>
        <w:t xml:space="preserve">yra </w:t>
      </w:r>
      <w:r w:rsidR="001B1ED9" w:rsidRPr="00C56A24">
        <w:rPr>
          <w:sz w:val="24"/>
          <w:szCs w:val="24"/>
          <w:lang w:val="lt-LT"/>
        </w:rPr>
        <w:t>17</w:t>
      </w:r>
      <w:r w:rsidR="00EC52AE" w:rsidRPr="00C56A24">
        <w:rPr>
          <w:sz w:val="24"/>
          <w:szCs w:val="24"/>
          <w:lang w:val="lt-LT"/>
        </w:rPr>
        <w:t>6</w:t>
      </w:r>
      <w:r w:rsidR="001B1ED9" w:rsidRPr="00C56A24">
        <w:rPr>
          <w:sz w:val="24"/>
          <w:szCs w:val="24"/>
          <w:lang w:val="lt-LT"/>
        </w:rPr>
        <w:t xml:space="preserve"> (arba </w:t>
      </w:r>
      <w:r w:rsidR="004D46FD" w:rsidRPr="00C56A24">
        <w:rPr>
          <w:sz w:val="24"/>
          <w:szCs w:val="24"/>
          <w:lang w:val="lt-LT"/>
        </w:rPr>
        <w:t>13</w:t>
      </w:r>
      <w:r w:rsidR="00EC52AE" w:rsidRPr="00C56A24">
        <w:rPr>
          <w:sz w:val="24"/>
          <w:szCs w:val="24"/>
          <w:lang w:val="lt-LT"/>
        </w:rPr>
        <w:t>6</w:t>
      </w:r>
      <w:r w:rsidR="004D46FD" w:rsidRPr="00C56A24">
        <w:rPr>
          <w:sz w:val="24"/>
          <w:szCs w:val="24"/>
          <w:lang w:val="lt-LT"/>
        </w:rPr>
        <w:t>,</w:t>
      </w:r>
      <w:r w:rsidR="00EC52AE" w:rsidRPr="00C56A24">
        <w:rPr>
          <w:sz w:val="24"/>
          <w:szCs w:val="24"/>
          <w:lang w:val="lt-LT"/>
        </w:rPr>
        <w:t>50</w:t>
      </w:r>
      <w:r w:rsidR="007151D8">
        <w:rPr>
          <w:sz w:val="24"/>
          <w:szCs w:val="24"/>
          <w:lang w:val="lt-LT"/>
        </w:rPr>
        <w:t xml:space="preserve"> </w:t>
      </w:r>
      <w:proofErr w:type="spellStart"/>
      <w:r w:rsidR="007151D8">
        <w:rPr>
          <w:sz w:val="24"/>
          <w:szCs w:val="24"/>
          <w:lang w:val="lt-LT"/>
        </w:rPr>
        <w:t>Eur</w:t>
      </w:r>
      <w:proofErr w:type="spellEnd"/>
      <w:r w:rsidR="001B1ED9" w:rsidRPr="00C56A24">
        <w:rPr>
          <w:sz w:val="24"/>
          <w:szCs w:val="24"/>
          <w:lang w:val="lt-LT"/>
        </w:rPr>
        <w:t xml:space="preserve"> iki </w:t>
      </w:r>
      <w:r w:rsidR="009D189E" w:rsidRPr="00C56A24">
        <w:rPr>
          <w:sz w:val="24"/>
          <w:szCs w:val="24"/>
          <w:lang w:val="lt-LT"/>
        </w:rPr>
        <w:t xml:space="preserve">mokestinės </w:t>
      </w:r>
      <w:r w:rsidR="001B1ED9" w:rsidRPr="00C56A24">
        <w:rPr>
          <w:sz w:val="24"/>
          <w:szCs w:val="24"/>
          <w:lang w:val="lt-LT"/>
        </w:rPr>
        <w:t>reformos)</w:t>
      </w:r>
      <w:r w:rsidR="00FD6589" w:rsidRPr="00C56A24">
        <w:rPr>
          <w:sz w:val="24"/>
          <w:szCs w:val="24"/>
          <w:lang w:val="lt-LT"/>
        </w:rPr>
        <w:t> </w:t>
      </w:r>
      <w:r w:rsidR="004D46FD" w:rsidRPr="00C56A24">
        <w:rPr>
          <w:sz w:val="24"/>
          <w:szCs w:val="24"/>
          <w:lang w:val="lt-LT"/>
        </w:rPr>
        <w:t>eur</w:t>
      </w:r>
      <w:r w:rsidR="00B45FB9">
        <w:rPr>
          <w:sz w:val="24"/>
          <w:szCs w:val="24"/>
          <w:lang w:val="lt-LT"/>
        </w:rPr>
        <w:t>ai</w:t>
      </w:r>
      <w:r w:rsidR="005779A9" w:rsidRPr="00C56A24">
        <w:rPr>
          <w:sz w:val="24"/>
          <w:szCs w:val="24"/>
          <w:lang w:val="lt-LT"/>
        </w:rPr>
        <w:t>.</w:t>
      </w:r>
    </w:p>
    <w:p w14:paraId="3A86BFD3" w14:textId="77777777" w:rsidR="00E52834" w:rsidRPr="00C56A24" w:rsidRDefault="00E52834" w:rsidP="002774E1">
      <w:pPr>
        <w:ind w:firstLine="851"/>
        <w:jc w:val="both"/>
        <w:rPr>
          <w:sz w:val="24"/>
          <w:szCs w:val="24"/>
          <w:lang w:val="lt-LT"/>
        </w:rPr>
      </w:pPr>
    </w:p>
    <w:p w14:paraId="5E79D45F" w14:textId="23B7EFBF" w:rsidR="00E52834" w:rsidRPr="00C56A24" w:rsidRDefault="004114EA" w:rsidP="00E52834">
      <w:pPr>
        <w:jc w:val="both"/>
        <w:rPr>
          <w:sz w:val="24"/>
          <w:szCs w:val="24"/>
          <w:lang w:val="lt-LT"/>
        </w:rPr>
      </w:pPr>
      <w:r w:rsidRPr="00C56A24">
        <w:rPr>
          <w:noProof/>
          <w:sz w:val="24"/>
          <w:szCs w:val="24"/>
          <w:lang w:val="lt-LT"/>
        </w:rPr>
        <w:drawing>
          <wp:inline distT="0" distB="0" distL="0" distR="0" wp14:anchorId="62753A77" wp14:editId="080A3E49">
            <wp:extent cx="6083300" cy="2222500"/>
            <wp:effectExtent l="0" t="0" r="12700" b="25400"/>
            <wp:docPr id="3" name="Diagrama 3"/>
            <wp:cNvGraphicFramePr/>
            <a:graphic xmlns:a="http://schemas.openxmlformats.org/drawingml/2006/main">
              <a:graphicData uri="http://schemas.openxmlformats.org/drawingml/2006/chart">
                <c:chart xmlns:c="http://schemas.openxmlformats.org/drawingml/2006/chart" r:id="rId10"/>
              </a:graphicData>
            </a:graphic>
          </wp:inline>
        </w:drawing>
      </w:r>
    </w:p>
    <w:p w14:paraId="02D52EBC" w14:textId="357137D3" w:rsidR="00E52834" w:rsidRPr="00C56A24" w:rsidRDefault="00E34B2B" w:rsidP="00E34B2B">
      <w:pPr>
        <w:jc w:val="both"/>
        <w:rPr>
          <w:sz w:val="18"/>
          <w:szCs w:val="18"/>
          <w:lang w:val="lt-LT"/>
        </w:rPr>
      </w:pPr>
      <w:r w:rsidRPr="00C56A24">
        <w:rPr>
          <w:sz w:val="18"/>
          <w:szCs w:val="18"/>
          <w:lang w:val="lt-LT"/>
        </w:rPr>
        <w:t>* Iki 2019 m. pateikti duomenys, padauginti iš 1,289.</w:t>
      </w:r>
    </w:p>
    <w:p w14:paraId="6923A05C" w14:textId="77777777" w:rsidR="00184269" w:rsidRPr="00C56A24" w:rsidRDefault="00184269" w:rsidP="002774E1">
      <w:pPr>
        <w:ind w:firstLine="851"/>
        <w:jc w:val="both"/>
        <w:rPr>
          <w:sz w:val="24"/>
          <w:szCs w:val="24"/>
          <w:lang w:val="lt-LT"/>
        </w:rPr>
      </w:pPr>
    </w:p>
    <w:p w14:paraId="78B52BB2" w14:textId="60DEBEE6" w:rsidR="000F5BAD" w:rsidRPr="00C56A24" w:rsidRDefault="00EA6DD6" w:rsidP="002774E1">
      <w:pPr>
        <w:ind w:firstLine="851"/>
        <w:jc w:val="both"/>
        <w:rPr>
          <w:sz w:val="24"/>
          <w:szCs w:val="24"/>
          <w:lang w:val="lt-LT"/>
        </w:rPr>
      </w:pPr>
      <w:r w:rsidRPr="00C56A24">
        <w:rPr>
          <w:sz w:val="24"/>
          <w:szCs w:val="24"/>
          <w:lang w:val="lt-LT"/>
        </w:rPr>
        <w:t xml:space="preserve">Numatoma teigiama </w:t>
      </w:r>
      <w:r w:rsidR="005B5A7E" w:rsidRPr="00C56A24">
        <w:rPr>
          <w:sz w:val="24"/>
          <w:szCs w:val="24"/>
          <w:lang w:val="lt-LT"/>
        </w:rPr>
        <w:t xml:space="preserve">priimto įstatymo </w:t>
      </w:r>
      <w:r w:rsidRPr="00C56A24">
        <w:rPr>
          <w:sz w:val="24"/>
          <w:szCs w:val="24"/>
          <w:lang w:val="lt-LT"/>
        </w:rPr>
        <w:t xml:space="preserve">pasekmė – </w:t>
      </w:r>
      <w:r w:rsidR="008D4906" w:rsidRPr="00C56A24">
        <w:rPr>
          <w:sz w:val="24"/>
          <w:szCs w:val="24"/>
          <w:lang w:val="lt-LT"/>
        </w:rPr>
        <w:t xml:space="preserve">net </w:t>
      </w:r>
      <w:r w:rsidR="000F5BAD" w:rsidRPr="00C56A24">
        <w:rPr>
          <w:sz w:val="24"/>
          <w:szCs w:val="24"/>
          <w:lang w:val="lt-LT"/>
        </w:rPr>
        <w:t>ir ne</w:t>
      </w:r>
      <w:r w:rsidR="00B45FB9">
        <w:rPr>
          <w:sz w:val="24"/>
          <w:szCs w:val="24"/>
          <w:lang w:val="lt-LT"/>
        </w:rPr>
        <w:t>daug</w:t>
      </w:r>
      <w:r w:rsidR="000F5BAD" w:rsidRPr="00C56A24">
        <w:rPr>
          <w:sz w:val="24"/>
          <w:szCs w:val="24"/>
          <w:lang w:val="lt-LT"/>
        </w:rPr>
        <w:t xml:space="preserve"> </w:t>
      </w:r>
      <w:r w:rsidR="00A437B0" w:rsidRPr="00C56A24">
        <w:rPr>
          <w:sz w:val="24"/>
          <w:szCs w:val="24"/>
          <w:lang w:val="lt-LT"/>
        </w:rPr>
        <w:t xml:space="preserve">padidinus </w:t>
      </w:r>
      <w:r w:rsidR="000F5BAD" w:rsidRPr="00C56A24">
        <w:rPr>
          <w:sz w:val="24"/>
          <w:szCs w:val="24"/>
          <w:lang w:val="lt-LT"/>
        </w:rPr>
        <w:t>bazin</w:t>
      </w:r>
      <w:r w:rsidR="00A437B0" w:rsidRPr="00C56A24">
        <w:rPr>
          <w:sz w:val="24"/>
          <w:szCs w:val="24"/>
          <w:lang w:val="lt-LT"/>
        </w:rPr>
        <w:t>į</w:t>
      </w:r>
      <w:r w:rsidR="000F5BAD" w:rsidRPr="00C56A24">
        <w:rPr>
          <w:sz w:val="24"/>
          <w:szCs w:val="24"/>
          <w:lang w:val="lt-LT"/>
        </w:rPr>
        <w:t xml:space="preserve"> dyd</w:t>
      </w:r>
      <w:r w:rsidR="00A437B0" w:rsidRPr="00C56A24">
        <w:rPr>
          <w:sz w:val="24"/>
          <w:szCs w:val="24"/>
          <w:lang w:val="lt-LT"/>
        </w:rPr>
        <w:t>į,</w:t>
      </w:r>
      <w:r w:rsidR="000F5BAD" w:rsidRPr="00C56A24">
        <w:rPr>
          <w:sz w:val="24"/>
          <w:szCs w:val="24"/>
          <w:lang w:val="lt-LT"/>
        </w:rPr>
        <w:t xml:space="preserve"> </w:t>
      </w:r>
      <w:r w:rsidR="003A6503" w:rsidRPr="00C56A24">
        <w:rPr>
          <w:sz w:val="24"/>
          <w:szCs w:val="24"/>
          <w:lang w:val="lt-LT"/>
        </w:rPr>
        <w:t xml:space="preserve">padidės </w:t>
      </w:r>
      <w:r w:rsidR="000F5BAD" w:rsidRPr="00C56A24">
        <w:rPr>
          <w:sz w:val="24"/>
          <w:szCs w:val="24"/>
          <w:lang w:val="lt-LT"/>
        </w:rPr>
        <w:t>viešojo sektoriaus darbuotojų darbo užmokest</w:t>
      </w:r>
      <w:r w:rsidR="005B5A7E" w:rsidRPr="00C56A24">
        <w:rPr>
          <w:sz w:val="24"/>
          <w:szCs w:val="24"/>
          <w:lang w:val="lt-LT"/>
        </w:rPr>
        <w:t>is</w:t>
      </w:r>
      <w:r w:rsidR="000F5BAD" w:rsidRPr="00C56A24">
        <w:rPr>
          <w:sz w:val="24"/>
          <w:szCs w:val="24"/>
          <w:lang w:val="lt-LT"/>
        </w:rPr>
        <w:t xml:space="preserve">, o kartu </w:t>
      </w:r>
      <w:r w:rsidR="003A6503" w:rsidRPr="00C56A24">
        <w:rPr>
          <w:sz w:val="24"/>
          <w:szCs w:val="24"/>
          <w:lang w:val="lt-LT"/>
        </w:rPr>
        <w:t xml:space="preserve">– </w:t>
      </w:r>
      <w:r w:rsidR="00E2476D" w:rsidRPr="00C56A24">
        <w:rPr>
          <w:sz w:val="24"/>
          <w:szCs w:val="24"/>
          <w:lang w:val="lt-LT"/>
        </w:rPr>
        <w:t xml:space="preserve">ir </w:t>
      </w:r>
      <w:r w:rsidR="000F5BAD" w:rsidRPr="00C56A24">
        <w:rPr>
          <w:sz w:val="24"/>
          <w:szCs w:val="24"/>
          <w:lang w:val="lt-LT"/>
        </w:rPr>
        <w:t>jų perkam</w:t>
      </w:r>
      <w:r w:rsidR="005B5A7E" w:rsidRPr="00C56A24">
        <w:rPr>
          <w:sz w:val="24"/>
          <w:szCs w:val="24"/>
          <w:lang w:val="lt-LT"/>
        </w:rPr>
        <w:t>oji</w:t>
      </w:r>
      <w:r w:rsidR="000F5BAD" w:rsidRPr="00C56A24">
        <w:rPr>
          <w:sz w:val="24"/>
          <w:szCs w:val="24"/>
          <w:lang w:val="lt-LT"/>
        </w:rPr>
        <w:t xml:space="preserve"> gali</w:t>
      </w:r>
      <w:r w:rsidR="005B5A7E" w:rsidRPr="00C56A24">
        <w:rPr>
          <w:sz w:val="24"/>
          <w:szCs w:val="24"/>
          <w:lang w:val="lt-LT"/>
        </w:rPr>
        <w:t>a</w:t>
      </w:r>
      <w:r w:rsidR="0030743C" w:rsidRPr="00C56A24">
        <w:rPr>
          <w:sz w:val="24"/>
          <w:szCs w:val="24"/>
          <w:lang w:val="lt-LT"/>
        </w:rPr>
        <w:t>.</w:t>
      </w:r>
    </w:p>
    <w:p w14:paraId="595A4545" w14:textId="77777777" w:rsidR="00CF147C" w:rsidRPr="00C56A24" w:rsidRDefault="00CF147C" w:rsidP="002774E1">
      <w:pPr>
        <w:ind w:firstLine="851"/>
        <w:jc w:val="both"/>
        <w:rPr>
          <w:sz w:val="24"/>
          <w:szCs w:val="24"/>
          <w:lang w:val="lt-LT"/>
        </w:rPr>
      </w:pPr>
    </w:p>
    <w:p w14:paraId="772060C6" w14:textId="77777777" w:rsidR="009B6E77" w:rsidRPr="00C56A24" w:rsidRDefault="0036740D" w:rsidP="002774E1">
      <w:pPr>
        <w:ind w:firstLine="851"/>
        <w:jc w:val="both"/>
        <w:rPr>
          <w:b/>
          <w:sz w:val="24"/>
          <w:szCs w:val="24"/>
          <w:lang w:val="lt-LT"/>
        </w:rPr>
      </w:pPr>
      <w:r w:rsidRPr="00C56A24">
        <w:rPr>
          <w:b/>
          <w:sz w:val="24"/>
          <w:szCs w:val="24"/>
          <w:lang w:val="lt-LT"/>
        </w:rPr>
        <w:lastRenderedPageBreak/>
        <w:t>5</w:t>
      </w:r>
      <w:r w:rsidR="00A10BFD" w:rsidRPr="00C56A24">
        <w:rPr>
          <w:b/>
          <w:sz w:val="24"/>
          <w:szCs w:val="24"/>
          <w:lang w:val="lt-LT"/>
        </w:rPr>
        <w:t xml:space="preserve">. </w:t>
      </w:r>
      <w:r w:rsidR="00290AD8" w:rsidRPr="00C56A24">
        <w:rPr>
          <w:b/>
          <w:sz w:val="24"/>
          <w:szCs w:val="24"/>
          <w:lang w:val="lt-LT"/>
        </w:rPr>
        <w:t>Numatomo teisinio reguliavimo poveikio vertinimo rezultatai (jeigu rengiant įstatymo projektą toks vertinimas turi būti atliktas ir jo rezultatai nepateikiami atskiru dokumentu)</w:t>
      </w:r>
      <w:r w:rsidR="00D64E55" w:rsidRPr="00C56A24">
        <w:rPr>
          <w:b/>
          <w:sz w:val="24"/>
          <w:szCs w:val="24"/>
          <w:lang w:val="lt-LT"/>
        </w:rPr>
        <w:t>. Galimos neigiamos priimto įst</w:t>
      </w:r>
      <w:r w:rsidR="00290AD8" w:rsidRPr="00C56A24">
        <w:rPr>
          <w:b/>
          <w:sz w:val="24"/>
          <w:szCs w:val="24"/>
          <w:lang w:val="lt-LT"/>
        </w:rPr>
        <w:t>a</w:t>
      </w:r>
      <w:r w:rsidR="00D64E55" w:rsidRPr="00C56A24">
        <w:rPr>
          <w:b/>
          <w:sz w:val="24"/>
          <w:szCs w:val="24"/>
          <w:lang w:val="lt-LT"/>
        </w:rPr>
        <w:t>t</w:t>
      </w:r>
      <w:r w:rsidR="00290AD8" w:rsidRPr="00C56A24">
        <w:rPr>
          <w:b/>
          <w:sz w:val="24"/>
          <w:szCs w:val="24"/>
          <w:lang w:val="lt-LT"/>
        </w:rPr>
        <w:t>ymo pasekmės ir kokių priemonių reikėtų imtis, kad tokių pasekmių būtų išvengta</w:t>
      </w:r>
    </w:p>
    <w:p w14:paraId="302D7DAC" w14:textId="2AA8A842" w:rsidR="00273560" w:rsidRPr="00C56A24" w:rsidRDefault="00294E80" w:rsidP="002774E1">
      <w:pPr>
        <w:pStyle w:val="Pagrindinistekstas"/>
        <w:tabs>
          <w:tab w:val="left" w:pos="644"/>
        </w:tabs>
        <w:ind w:firstLine="851"/>
      </w:pPr>
      <w:r w:rsidRPr="00C56A24">
        <w:t>Numatom</w:t>
      </w:r>
      <w:r w:rsidR="00A64F4B">
        <w:t>a</w:t>
      </w:r>
      <w:r w:rsidRPr="00C56A24">
        <w:t xml:space="preserve"> neigiam</w:t>
      </w:r>
      <w:r w:rsidR="00A64F4B">
        <w:t>a</w:t>
      </w:r>
      <w:r w:rsidR="00A52EC5" w:rsidRPr="00C56A24">
        <w:t xml:space="preserve"> </w:t>
      </w:r>
      <w:r w:rsidR="00363090" w:rsidRPr="00C56A24">
        <w:t xml:space="preserve">priimto įstatymo </w:t>
      </w:r>
      <w:r w:rsidR="00A52EC5" w:rsidRPr="00C56A24">
        <w:t>pasekmė –</w:t>
      </w:r>
      <w:r w:rsidR="00A64F4B">
        <w:t xml:space="preserve"> </w:t>
      </w:r>
      <w:r w:rsidR="000F0602" w:rsidRPr="00C56A24">
        <w:t>bazinio dydžio padidinimas</w:t>
      </w:r>
      <w:r w:rsidR="00A64F4B">
        <w:t>,</w:t>
      </w:r>
      <w:r w:rsidR="000F0602" w:rsidRPr="00C56A24">
        <w:t xml:space="preserve"> </w:t>
      </w:r>
      <w:r w:rsidR="00A64F4B" w:rsidRPr="00C56A24">
        <w:t>esant išnaudotiems fiskaliniams limitams</w:t>
      </w:r>
      <w:r w:rsidR="00A64F4B">
        <w:t>,</w:t>
      </w:r>
      <w:r w:rsidR="00A64F4B" w:rsidRPr="00C56A24">
        <w:t xml:space="preserve"> </w:t>
      </w:r>
      <w:r w:rsidR="00384C01" w:rsidRPr="00C56A24">
        <w:t>turės</w:t>
      </w:r>
      <w:r w:rsidR="00395885" w:rsidRPr="00C56A24">
        <w:t xml:space="preserve"> didel</w:t>
      </w:r>
      <w:r w:rsidR="006F7ED3" w:rsidRPr="00C56A24">
        <w:t>ę</w:t>
      </w:r>
      <w:r w:rsidR="00395885" w:rsidRPr="00C56A24">
        <w:t xml:space="preserve"> </w:t>
      </w:r>
      <w:r w:rsidR="00CC5C5B" w:rsidRPr="00C56A24">
        <w:t>įtaką</w:t>
      </w:r>
      <w:r w:rsidR="00395885" w:rsidRPr="00C56A24">
        <w:t xml:space="preserve"> valstybės biudžetui</w:t>
      </w:r>
      <w:r w:rsidR="00C8363A" w:rsidRPr="00C56A24">
        <w:t>.</w:t>
      </w:r>
    </w:p>
    <w:p w14:paraId="5C3AFF22" w14:textId="77777777" w:rsidR="00F532BC" w:rsidRPr="00C56A24" w:rsidRDefault="00F532BC" w:rsidP="002774E1">
      <w:pPr>
        <w:pStyle w:val="Pagrindinistekstas"/>
        <w:tabs>
          <w:tab w:val="left" w:pos="644"/>
        </w:tabs>
        <w:ind w:firstLine="851"/>
        <w:rPr>
          <w:color w:val="000000"/>
        </w:rPr>
      </w:pPr>
    </w:p>
    <w:p w14:paraId="5E5A9869" w14:textId="77777777" w:rsidR="00B56F64" w:rsidRPr="00C56A24" w:rsidRDefault="00E103C5" w:rsidP="002774E1">
      <w:pPr>
        <w:pStyle w:val="Pagrindinistekstas"/>
        <w:tabs>
          <w:tab w:val="left" w:pos="644"/>
        </w:tabs>
        <w:ind w:firstLine="851"/>
        <w:rPr>
          <w:b/>
        </w:rPr>
      </w:pPr>
      <w:r w:rsidRPr="00C56A24">
        <w:rPr>
          <w:b/>
        </w:rPr>
        <w:t>6</w:t>
      </w:r>
      <w:r w:rsidR="00B56F64" w:rsidRPr="00C56A24">
        <w:rPr>
          <w:b/>
        </w:rPr>
        <w:t xml:space="preserve">. </w:t>
      </w:r>
      <w:r w:rsidR="00D06CE3" w:rsidRPr="00C56A24">
        <w:rPr>
          <w:b/>
        </w:rPr>
        <w:t>Kokią įtaką įstatymas turės</w:t>
      </w:r>
      <w:r w:rsidR="00B56F64" w:rsidRPr="00C56A24">
        <w:rPr>
          <w:b/>
        </w:rPr>
        <w:t xml:space="preserve"> kriminogeninei situacijai, korupcijai</w:t>
      </w:r>
    </w:p>
    <w:p w14:paraId="5495E4E9" w14:textId="77777777" w:rsidR="00251E5E" w:rsidRPr="00C56A24" w:rsidRDefault="00251E5E" w:rsidP="002774E1">
      <w:pPr>
        <w:pStyle w:val="Pagrindinistekstas"/>
        <w:tabs>
          <w:tab w:val="left" w:pos="644"/>
        </w:tabs>
        <w:ind w:firstLine="851"/>
      </w:pPr>
      <w:r w:rsidRPr="00C56A24">
        <w:t xml:space="preserve">Priimtas įstatymas </w:t>
      </w:r>
      <w:r w:rsidR="00F414A7" w:rsidRPr="00C56A24">
        <w:t xml:space="preserve">neturės įtakos </w:t>
      </w:r>
      <w:r w:rsidRPr="00C56A24">
        <w:t>kriminogeninei situacijai ar korupcijai.</w:t>
      </w:r>
    </w:p>
    <w:p w14:paraId="157BA6A6" w14:textId="77777777" w:rsidR="004D1F64" w:rsidRPr="00C56A24" w:rsidRDefault="004D1F64" w:rsidP="002774E1">
      <w:pPr>
        <w:pStyle w:val="Pagrindinistekstas"/>
        <w:tabs>
          <w:tab w:val="left" w:pos="644"/>
        </w:tabs>
        <w:ind w:firstLine="851"/>
      </w:pPr>
    </w:p>
    <w:p w14:paraId="43B4E647" w14:textId="77777777" w:rsidR="004D1F64" w:rsidRPr="00C56A24" w:rsidRDefault="004D1F64" w:rsidP="002774E1">
      <w:pPr>
        <w:pStyle w:val="Pagrindinistekstas"/>
        <w:tabs>
          <w:tab w:val="left" w:pos="644"/>
        </w:tabs>
        <w:ind w:firstLine="851"/>
        <w:rPr>
          <w:b/>
        </w:rPr>
      </w:pPr>
      <w:r w:rsidRPr="00C56A24">
        <w:rPr>
          <w:b/>
        </w:rPr>
        <w:t>7. Kaip įstatymo įgyvendinimas atsilieps verslo sąlygoms ir jo plėtrai</w:t>
      </w:r>
    </w:p>
    <w:p w14:paraId="0DF2FF92" w14:textId="77777777" w:rsidR="009F5B17" w:rsidRPr="00C56A24" w:rsidRDefault="003200C8" w:rsidP="002774E1">
      <w:pPr>
        <w:pStyle w:val="Pagrindinistekstas"/>
        <w:tabs>
          <w:tab w:val="left" w:pos="644"/>
        </w:tabs>
        <w:ind w:firstLine="851"/>
      </w:pPr>
      <w:r w:rsidRPr="00C56A24">
        <w:t>Įstatymo įgyvendinimas neturės įtakos verslo sąlygoms ir jo plėtrai.</w:t>
      </w:r>
    </w:p>
    <w:p w14:paraId="3E434C58" w14:textId="77777777" w:rsidR="003200C8" w:rsidRPr="00C56A24" w:rsidRDefault="003200C8" w:rsidP="002774E1">
      <w:pPr>
        <w:pStyle w:val="Pagrindinistekstas"/>
        <w:tabs>
          <w:tab w:val="left" w:pos="644"/>
        </w:tabs>
        <w:ind w:firstLine="851"/>
      </w:pPr>
    </w:p>
    <w:p w14:paraId="36D4B0AC" w14:textId="77777777" w:rsidR="009F5B17" w:rsidRPr="00C56A24" w:rsidRDefault="004D1F64" w:rsidP="002774E1">
      <w:pPr>
        <w:ind w:firstLine="851"/>
        <w:jc w:val="both"/>
        <w:rPr>
          <w:b/>
          <w:bCs/>
          <w:sz w:val="24"/>
          <w:szCs w:val="24"/>
          <w:lang w:val="lt-LT"/>
        </w:rPr>
      </w:pPr>
      <w:r w:rsidRPr="00C56A24">
        <w:rPr>
          <w:b/>
          <w:bCs/>
          <w:sz w:val="24"/>
          <w:szCs w:val="24"/>
          <w:lang w:val="lt-LT"/>
        </w:rPr>
        <w:t>8</w:t>
      </w:r>
      <w:r w:rsidR="009F5B17" w:rsidRPr="00C56A24">
        <w:rPr>
          <w:b/>
          <w:bCs/>
          <w:sz w:val="24"/>
          <w:szCs w:val="24"/>
          <w:lang w:val="lt-LT"/>
        </w:rPr>
        <w:t xml:space="preserve">. Įstatymo inkorporavimas į teisinę sistemą, </w:t>
      </w:r>
      <w:r w:rsidR="00085BCF" w:rsidRPr="00C56A24">
        <w:rPr>
          <w:b/>
          <w:bCs/>
          <w:sz w:val="24"/>
          <w:szCs w:val="24"/>
          <w:lang w:val="lt-LT"/>
        </w:rPr>
        <w:t xml:space="preserve">kokius teisės aktus būtina priimti, </w:t>
      </w:r>
      <w:r w:rsidR="009F5B17" w:rsidRPr="00C56A24">
        <w:rPr>
          <w:b/>
          <w:bCs/>
          <w:sz w:val="24"/>
          <w:szCs w:val="24"/>
          <w:lang w:val="lt-LT"/>
        </w:rPr>
        <w:t xml:space="preserve">kokius galiojančius teisės aktus būtina pakeisti ar </w:t>
      </w:r>
      <w:r w:rsidR="00085BCF" w:rsidRPr="00C56A24">
        <w:rPr>
          <w:b/>
          <w:bCs/>
          <w:sz w:val="24"/>
          <w:szCs w:val="24"/>
          <w:lang w:val="lt-LT"/>
        </w:rPr>
        <w:t>pripažinti netekusiais galios</w:t>
      </w:r>
    </w:p>
    <w:p w14:paraId="188A951F" w14:textId="2F40E71A" w:rsidR="009F5B17" w:rsidRPr="00C56A24" w:rsidRDefault="009F5B17" w:rsidP="002774E1">
      <w:pPr>
        <w:ind w:firstLine="851"/>
        <w:jc w:val="both"/>
        <w:rPr>
          <w:sz w:val="24"/>
          <w:szCs w:val="24"/>
          <w:lang w:val="lt-LT"/>
        </w:rPr>
      </w:pPr>
      <w:r w:rsidRPr="00C56A24">
        <w:rPr>
          <w:sz w:val="24"/>
          <w:szCs w:val="24"/>
          <w:lang w:val="lt-LT"/>
        </w:rPr>
        <w:t xml:space="preserve">Priėmus </w:t>
      </w:r>
      <w:r w:rsidR="006F7C31" w:rsidRPr="00C56A24">
        <w:rPr>
          <w:sz w:val="24"/>
          <w:szCs w:val="24"/>
          <w:lang w:val="lt-LT"/>
        </w:rPr>
        <w:t>įstatymą</w:t>
      </w:r>
      <w:r w:rsidRPr="00C56A24">
        <w:rPr>
          <w:sz w:val="24"/>
          <w:szCs w:val="24"/>
          <w:lang w:val="lt-LT"/>
        </w:rPr>
        <w:t xml:space="preserve">, kitų </w:t>
      </w:r>
      <w:r w:rsidR="000069E7" w:rsidRPr="00C56A24">
        <w:rPr>
          <w:sz w:val="24"/>
          <w:szCs w:val="24"/>
          <w:lang w:val="lt-LT"/>
        </w:rPr>
        <w:t>įstatymų</w:t>
      </w:r>
      <w:r w:rsidRPr="00C56A24">
        <w:rPr>
          <w:sz w:val="24"/>
          <w:szCs w:val="24"/>
          <w:lang w:val="lt-LT"/>
        </w:rPr>
        <w:t xml:space="preserve"> </w:t>
      </w:r>
      <w:r w:rsidR="000069E7" w:rsidRPr="00C56A24">
        <w:rPr>
          <w:sz w:val="24"/>
          <w:szCs w:val="24"/>
          <w:lang w:val="lt-LT"/>
        </w:rPr>
        <w:t>priimti, pa</w:t>
      </w:r>
      <w:r w:rsidRPr="00C56A24">
        <w:rPr>
          <w:sz w:val="24"/>
          <w:szCs w:val="24"/>
          <w:lang w:val="lt-LT"/>
        </w:rPr>
        <w:t xml:space="preserve">keisti </w:t>
      </w:r>
      <w:r w:rsidR="000069E7" w:rsidRPr="00C56A24">
        <w:rPr>
          <w:sz w:val="24"/>
          <w:szCs w:val="24"/>
          <w:lang w:val="lt-LT"/>
        </w:rPr>
        <w:t xml:space="preserve">ar pripažinti netekusiais galios </w:t>
      </w:r>
      <w:r w:rsidRPr="00C56A24">
        <w:rPr>
          <w:sz w:val="24"/>
          <w:szCs w:val="24"/>
          <w:lang w:val="lt-LT"/>
        </w:rPr>
        <w:t>nereikės.</w:t>
      </w:r>
    </w:p>
    <w:p w14:paraId="1787898D" w14:textId="77777777" w:rsidR="009357EB" w:rsidRPr="00C56A24" w:rsidRDefault="009357EB" w:rsidP="002774E1">
      <w:pPr>
        <w:ind w:firstLine="851"/>
        <w:jc w:val="both"/>
        <w:rPr>
          <w:b/>
          <w:sz w:val="24"/>
          <w:szCs w:val="24"/>
          <w:lang w:val="lt-LT"/>
        </w:rPr>
      </w:pPr>
    </w:p>
    <w:p w14:paraId="45B49E0B" w14:textId="77777777" w:rsidR="007E4F19" w:rsidRPr="00C56A24" w:rsidRDefault="007E4F19" w:rsidP="002774E1">
      <w:pPr>
        <w:tabs>
          <w:tab w:val="left" w:pos="709"/>
          <w:tab w:val="left" w:pos="10260"/>
          <w:tab w:val="left" w:pos="10440"/>
        </w:tabs>
        <w:ind w:firstLine="851"/>
        <w:jc w:val="both"/>
        <w:rPr>
          <w:b/>
          <w:bCs/>
          <w:sz w:val="24"/>
          <w:szCs w:val="24"/>
          <w:lang w:val="lt-LT"/>
        </w:rPr>
      </w:pPr>
      <w:r w:rsidRPr="00C56A24">
        <w:rPr>
          <w:b/>
          <w:bCs/>
          <w:sz w:val="24"/>
          <w:szCs w:val="24"/>
          <w:lang w:val="lt-LT"/>
        </w:rPr>
        <w:t>9. Ar Įstatymo projektas yra parengtas laikantis Valstybinės kalbos ir Teisėkūros pagrindų įstatymų reikalavimų, o projekto sąvokos ir jas įvardijantys terminai įvertinti Terminų banko įstatymo ir jo įgyvendinamųjų teisės aktų nustatyta tvarka</w:t>
      </w:r>
    </w:p>
    <w:p w14:paraId="3D1FF233" w14:textId="77777777" w:rsidR="007E4F19" w:rsidRPr="00C56A24" w:rsidRDefault="007E4F19" w:rsidP="002774E1">
      <w:pPr>
        <w:tabs>
          <w:tab w:val="left" w:pos="709"/>
          <w:tab w:val="left" w:pos="10260"/>
          <w:tab w:val="left" w:pos="10440"/>
        </w:tabs>
        <w:ind w:firstLine="851"/>
        <w:jc w:val="both"/>
        <w:rPr>
          <w:sz w:val="24"/>
          <w:szCs w:val="24"/>
          <w:lang w:val="lt-LT"/>
        </w:rPr>
      </w:pPr>
      <w:r w:rsidRPr="00C56A24">
        <w:rPr>
          <w:sz w:val="24"/>
          <w:szCs w:val="24"/>
          <w:lang w:val="lt-LT"/>
        </w:rPr>
        <w:t>Įstatymo projektas atitinka Lietuvos Respublikos valstybinės kalbos, Lietuvos Respublikos teisėkūros pagrindų įstatymų reikalavimus. Įstatymo projekte naujų sąvokų nepateikiama.</w:t>
      </w:r>
    </w:p>
    <w:p w14:paraId="1C9B3FDC" w14:textId="77777777" w:rsidR="007E4F19" w:rsidRPr="00C56A24" w:rsidRDefault="007E4F19" w:rsidP="002774E1">
      <w:pPr>
        <w:ind w:firstLine="851"/>
        <w:jc w:val="both"/>
        <w:rPr>
          <w:b/>
          <w:sz w:val="24"/>
          <w:szCs w:val="24"/>
          <w:lang w:val="lt-LT"/>
        </w:rPr>
      </w:pPr>
    </w:p>
    <w:p w14:paraId="0AED9A3D" w14:textId="77777777" w:rsidR="009357EB" w:rsidRPr="00C56A24" w:rsidRDefault="009357EB" w:rsidP="002774E1">
      <w:pPr>
        <w:ind w:firstLine="851"/>
        <w:jc w:val="both"/>
        <w:rPr>
          <w:b/>
          <w:sz w:val="24"/>
          <w:szCs w:val="24"/>
          <w:lang w:val="lt-LT"/>
        </w:rPr>
      </w:pPr>
      <w:r w:rsidRPr="00C56A24">
        <w:rPr>
          <w:b/>
          <w:sz w:val="24"/>
          <w:szCs w:val="24"/>
          <w:lang w:val="lt-LT"/>
        </w:rPr>
        <w:t>10. Įstatymo projekto atitik</w:t>
      </w:r>
      <w:r w:rsidR="00A93FF6" w:rsidRPr="00C56A24">
        <w:rPr>
          <w:b/>
          <w:sz w:val="24"/>
          <w:szCs w:val="24"/>
          <w:lang w:val="lt-LT"/>
        </w:rPr>
        <w:t>tis</w:t>
      </w:r>
      <w:r w:rsidRPr="00C56A24">
        <w:rPr>
          <w:b/>
          <w:sz w:val="24"/>
          <w:szCs w:val="24"/>
          <w:lang w:val="lt-LT"/>
        </w:rPr>
        <w:t xml:space="preserve"> Europos žmogaus teisių ir pagrindinių laisvių apsaugos konvencijos nuostatoms bei Europos Sąjungos dokumentams</w:t>
      </w:r>
    </w:p>
    <w:p w14:paraId="5842DC4B" w14:textId="77777777" w:rsidR="009357EB" w:rsidRPr="00C56A24" w:rsidRDefault="009357EB" w:rsidP="002774E1">
      <w:pPr>
        <w:ind w:firstLine="851"/>
        <w:jc w:val="both"/>
        <w:rPr>
          <w:sz w:val="24"/>
          <w:szCs w:val="24"/>
          <w:lang w:val="lt-LT"/>
        </w:rPr>
      </w:pPr>
      <w:r w:rsidRPr="00C56A24">
        <w:rPr>
          <w:sz w:val="24"/>
          <w:szCs w:val="24"/>
          <w:lang w:val="lt-LT"/>
        </w:rPr>
        <w:t>Įstatymo projekto nuostatos atitinka Europos žmogaus teisių ir pagrindinių laisvių apsaugos konvencijos nuostatas</w:t>
      </w:r>
      <w:r w:rsidR="00A93FF6" w:rsidRPr="00C56A24">
        <w:rPr>
          <w:sz w:val="24"/>
          <w:szCs w:val="24"/>
          <w:lang w:val="lt-LT"/>
        </w:rPr>
        <w:t>,</w:t>
      </w:r>
      <w:r w:rsidRPr="00C56A24">
        <w:rPr>
          <w:sz w:val="24"/>
          <w:szCs w:val="24"/>
          <w:lang w:val="lt-LT"/>
        </w:rPr>
        <w:t xml:space="preserve"> Europos Sąjungos dokumentų nuostatoms neprieštarauja.</w:t>
      </w:r>
    </w:p>
    <w:p w14:paraId="180A03B0" w14:textId="77777777" w:rsidR="009F5B17" w:rsidRPr="00C56A24" w:rsidRDefault="009F5B17" w:rsidP="002774E1">
      <w:pPr>
        <w:ind w:firstLine="851"/>
        <w:jc w:val="both"/>
        <w:rPr>
          <w:sz w:val="24"/>
          <w:szCs w:val="24"/>
          <w:lang w:val="lt-LT"/>
        </w:rPr>
      </w:pPr>
    </w:p>
    <w:p w14:paraId="533C33A1" w14:textId="77777777" w:rsidR="009F5B17" w:rsidRPr="00C56A24" w:rsidRDefault="009357EB" w:rsidP="002774E1">
      <w:pPr>
        <w:ind w:firstLine="851"/>
        <w:jc w:val="both"/>
        <w:rPr>
          <w:b/>
          <w:sz w:val="24"/>
          <w:szCs w:val="24"/>
          <w:lang w:val="lt-LT"/>
        </w:rPr>
      </w:pPr>
      <w:r w:rsidRPr="00C56A24">
        <w:rPr>
          <w:b/>
          <w:sz w:val="24"/>
          <w:szCs w:val="24"/>
          <w:lang w:val="lt-LT"/>
        </w:rPr>
        <w:t>11</w:t>
      </w:r>
      <w:r w:rsidR="009F5B17" w:rsidRPr="00C56A24">
        <w:rPr>
          <w:b/>
          <w:sz w:val="24"/>
          <w:szCs w:val="24"/>
          <w:lang w:val="lt-LT"/>
        </w:rPr>
        <w:t xml:space="preserve">. Jeigu įstatymui įgyvendinti reikia </w:t>
      </w:r>
      <w:r w:rsidR="002E45AA" w:rsidRPr="00C56A24">
        <w:rPr>
          <w:b/>
          <w:sz w:val="24"/>
          <w:szCs w:val="24"/>
          <w:lang w:val="lt-LT"/>
        </w:rPr>
        <w:t>įgyvendinamųjų</w:t>
      </w:r>
      <w:r w:rsidR="009F5B17" w:rsidRPr="00C56A24">
        <w:rPr>
          <w:b/>
          <w:sz w:val="24"/>
          <w:szCs w:val="24"/>
          <w:lang w:val="lt-LT"/>
        </w:rPr>
        <w:t xml:space="preserve"> </w:t>
      </w:r>
      <w:r w:rsidR="002E45AA" w:rsidRPr="00C56A24">
        <w:rPr>
          <w:b/>
          <w:sz w:val="24"/>
          <w:szCs w:val="24"/>
          <w:lang w:val="lt-LT"/>
        </w:rPr>
        <w:t xml:space="preserve">teisės </w:t>
      </w:r>
      <w:r w:rsidR="009F5B17" w:rsidRPr="00C56A24">
        <w:rPr>
          <w:b/>
          <w:sz w:val="24"/>
          <w:szCs w:val="24"/>
          <w:lang w:val="lt-LT"/>
        </w:rPr>
        <w:t xml:space="preserve">aktų, kas ir kada juos turėtų </w:t>
      </w:r>
      <w:r w:rsidR="002E45AA" w:rsidRPr="00C56A24">
        <w:rPr>
          <w:b/>
          <w:sz w:val="24"/>
          <w:szCs w:val="24"/>
          <w:lang w:val="lt-LT"/>
        </w:rPr>
        <w:t>priimti</w:t>
      </w:r>
    </w:p>
    <w:p w14:paraId="47958646" w14:textId="67EE9321" w:rsidR="009F5B17" w:rsidRPr="00C56A24" w:rsidRDefault="009F5B17" w:rsidP="002774E1">
      <w:pPr>
        <w:ind w:firstLine="851"/>
        <w:jc w:val="both"/>
        <w:rPr>
          <w:sz w:val="24"/>
          <w:szCs w:val="24"/>
          <w:lang w:val="lt-LT"/>
        </w:rPr>
      </w:pPr>
      <w:r w:rsidRPr="00C56A24">
        <w:rPr>
          <w:sz w:val="24"/>
          <w:szCs w:val="24"/>
          <w:lang w:val="lt-LT"/>
        </w:rPr>
        <w:t>Įstatymui</w:t>
      </w:r>
      <w:r w:rsidR="00E2098D" w:rsidRPr="00C56A24">
        <w:rPr>
          <w:sz w:val="24"/>
          <w:szCs w:val="24"/>
          <w:lang w:val="lt-LT"/>
        </w:rPr>
        <w:t xml:space="preserve"> įgyvendinti</w:t>
      </w:r>
      <w:r w:rsidRPr="00C56A24">
        <w:rPr>
          <w:sz w:val="24"/>
          <w:szCs w:val="24"/>
          <w:lang w:val="lt-LT"/>
        </w:rPr>
        <w:t xml:space="preserve"> </w:t>
      </w:r>
      <w:r w:rsidR="002E45AA" w:rsidRPr="00C56A24">
        <w:rPr>
          <w:sz w:val="24"/>
          <w:szCs w:val="24"/>
          <w:lang w:val="lt-LT"/>
        </w:rPr>
        <w:t>įgyvendinamųjų</w:t>
      </w:r>
      <w:r w:rsidRPr="00C56A24">
        <w:rPr>
          <w:sz w:val="24"/>
          <w:szCs w:val="24"/>
          <w:lang w:val="lt-LT"/>
        </w:rPr>
        <w:t xml:space="preserve"> teisės aktų </w:t>
      </w:r>
      <w:r w:rsidR="00A93FF6" w:rsidRPr="00C56A24">
        <w:rPr>
          <w:sz w:val="24"/>
          <w:szCs w:val="24"/>
          <w:lang w:val="lt-LT"/>
        </w:rPr>
        <w:t xml:space="preserve">rengti </w:t>
      </w:r>
      <w:r w:rsidR="007E4F19" w:rsidRPr="00C56A24">
        <w:rPr>
          <w:sz w:val="24"/>
          <w:szCs w:val="24"/>
          <w:lang w:val="lt-LT"/>
        </w:rPr>
        <w:t>nereikės</w:t>
      </w:r>
      <w:r w:rsidRPr="00C56A24">
        <w:rPr>
          <w:sz w:val="24"/>
          <w:szCs w:val="24"/>
          <w:lang w:val="lt-LT"/>
        </w:rPr>
        <w:t>.</w:t>
      </w:r>
    </w:p>
    <w:p w14:paraId="4E4CFCA7" w14:textId="77777777" w:rsidR="009F5B17" w:rsidRPr="00C56A24" w:rsidRDefault="009F5B17" w:rsidP="002774E1">
      <w:pPr>
        <w:ind w:firstLine="851"/>
        <w:jc w:val="both"/>
        <w:rPr>
          <w:sz w:val="24"/>
          <w:szCs w:val="24"/>
          <w:lang w:val="lt-LT"/>
        </w:rPr>
      </w:pPr>
    </w:p>
    <w:p w14:paraId="7A85689C" w14:textId="77777777" w:rsidR="009F5B17" w:rsidRPr="00C56A24" w:rsidRDefault="009357EB" w:rsidP="002774E1">
      <w:pPr>
        <w:tabs>
          <w:tab w:val="left" w:pos="567"/>
        </w:tabs>
        <w:ind w:firstLine="851"/>
        <w:jc w:val="both"/>
        <w:rPr>
          <w:b/>
          <w:bCs/>
          <w:sz w:val="24"/>
          <w:szCs w:val="24"/>
          <w:lang w:val="lt-LT"/>
        </w:rPr>
      </w:pPr>
      <w:r w:rsidRPr="00C56A24">
        <w:rPr>
          <w:b/>
          <w:sz w:val="24"/>
          <w:szCs w:val="24"/>
          <w:lang w:val="lt-LT"/>
        </w:rPr>
        <w:t>12</w:t>
      </w:r>
      <w:r w:rsidR="009F5B17" w:rsidRPr="00C56A24">
        <w:rPr>
          <w:b/>
          <w:bCs/>
          <w:sz w:val="24"/>
          <w:szCs w:val="24"/>
          <w:lang w:val="lt-LT"/>
        </w:rPr>
        <w:t xml:space="preserve">. Kiek </w:t>
      </w:r>
      <w:r w:rsidRPr="00C56A24">
        <w:rPr>
          <w:b/>
          <w:bCs/>
          <w:sz w:val="24"/>
          <w:szCs w:val="24"/>
          <w:lang w:val="lt-LT"/>
        </w:rPr>
        <w:t>valstybės ir savivaldybių biudžetų ir kitų valstybės įsteigtų fondų lėšų prireiks įstatymui įgyvendinti, ar</w:t>
      </w:r>
      <w:r w:rsidR="009F5B17" w:rsidRPr="00C56A24">
        <w:rPr>
          <w:b/>
          <w:bCs/>
          <w:sz w:val="24"/>
          <w:szCs w:val="24"/>
          <w:lang w:val="lt-LT"/>
        </w:rPr>
        <w:t xml:space="preserve"> </w:t>
      </w:r>
      <w:r w:rsidRPr="00C56A24">
        <w:rPr>
          <w:b/>
          <w:bCs/>
          <w:sz w:val="24"/>
          <w:szCs w:val="24"/>
          <w:lang w:val="lt-LT"/>
        </w:rPr>
        <w:t>bus galima</w:t>
      </w:r>
      <w:r w:rsidR="009F5B17" w:rsidRPr="00C56A24">
        <w:rPr>
          <w:b/>
          <w:bCs/>
          <w:sz w:val="24"/>
          <w:szCs w:val="24"/>
          <w:lang w:val="lt-LT"/>
        </w:rPr>
        <w:t xml:space="preserve"> sutaupyti </w:t>
      </w:r>
    </w:p>
    <w:p w14:paraId="012C3137" w14:textId="2ADED81A" w:rsidR="00815626" w:rsidRPr="00C56A24" w:rsidRDefault="00F31319" w:rsidP="002774E1">
      <w:pPr>
        <w:pStyle w:val="Pagrindinistekstas"/>
        <w:tabs>
          <w:tab w:val="left" w:pos="644"/>
        </w:tabs>
        <w:ind w:firstLine="851"/>
        <w:rPr>
          <w:bCs/>
        </w:rPr>
      </w:pPr>
      <w:r w:rsidRPr="00C56A24">
        <w:rPr>
          <w:bCs/>
        </w:rPr>
        <w:t xml:space="preserve">Pagal </w:t>
      </w:r>
      <w:r w:rsidR="00815626" w:rsidRPr="00C56A24">
        <w:rPr>
          <w:bCs/>
        </w:rPr>
        <w:t xml:space="preserve">Finansų ministerijos </w:t>
      </w:r>
      <w:r w:rsidRPr="00C56A24">
        <w:rPr>
          <w:bCs/>
        </w:rPr>
        <w:t>pateiktus duomen</w:t>
      </w:r>
      <w:r w:rsidR="00815626" w:rsidRPr="00C56A24">
        <w:rPr>
          <w:bCs/>
        </w:rPr>
        <w:t>is</w:t>
      </w:r>
      <w:r w:rsidR="00D76D2F" w:rsidRPr="00C56A24">
        <w:rPr>
          <w:bCs/>
        </w:rPr>
        <w:t>,</w:t>
      </w:r>
      <w:r w:rsidR="00815626" w:rsidRPr="00C56A24">
        <w:rPr>
          <w:bCs/>
        </w:rPr>
        <w:t xml:space="preserve"> </w:t>
      </w:r>
      <w:r w:rsidR="00815626" w:rsidRPr="00C56A24">
        <w:t>baziniam dydžiui</w:t>
      </w:r>
      <w:r w:rsidR="00815626" w:rsidRPr="00C56A24">
        <w:rPr>
          <w:bCs/>
        </w:rPr>
        <w:t xml:space="preserve"> </w:t>
      </w:r>
      <w:r w:rsidR="00815626" w:rsidRPr="00C56A24">
        <w:t>padidinti 1 euru iš valstybės biudžeto reikėtų apie 2</w:t>
      </w:r>
      <w:r w:rsidR="00F7318B" w:rsidRPr="00C56A24">
        <w:t>1</w:t>
      </w:r>
      <w:r w:rsidR="00815626" w:rsidRPr="00C56A24">
        <w:t xml:space="preserve"> mln. eurų per metus. </w:t>
      </w:r>
    </w:p>
    <w:p w14:paraId="226336C8" w14:textId="77777777" w:rsidR="009F5B17" w:rsidRPr="00C56A24" w:rsidRDefault="009F5B17" w:rsidP="002774E1">
      <w:pPr>
        <w:pStyle w:val="Pagrindinistekstas"/>
        <w:tabs>
          <w:tab w:val="left" w:pos="644"/>
        </w:tabs>
        <w:ind w:firstLine="851"/>
        <w:rPr>
          <w:bCs/>
        </w:rPr>
      </w:pPr>
    </w:p>
    <w:p w14:paraId="53395F69" w14:textId="77777777" w:rsidR="009F5B17" w:rsidRPr="00C56A24" w:rsidRDefault="001103CE" w:rsidP="002774E1">
      <w:pPr>
        <w:tabs>
          <w:tab w:val="left" w:pos="567"/>
        </w:tabs>
        <w:ind w:firstLine="851"/>
        <w:jc w:val="both"/>
        <w:rPr>
          <w:b/>
          <w:bCs/>
          <w:i/>
          <w:sz w:val="24"/>
          <w:szCs w:val="24"/>
          <w:lang w:val="lt-LT"/>
        </w:rPr>
      </w:pPr>
      <w:r w:rsidRPr="00C56A24">
        <w:rPr>
          <w:b/>
          <w:bCs/>
          <w:sz w:val="24"/>
          <w:szCs w:val="24"/>
          <w:lang w:val="lt-LT"/>
        </w:rPr>
        <w:t>13</w:t>
      </w:r>
      <w:r w:rsidR="009F5B17" w:rsidRPr="00C56A24">
        <w:rPr>
          <w:b/>
          <w:bCs/>
          <w:sz w:val="24"/>
          <w:szCs w:val="24"/>
          <w:lang w:val="lt-LT"/>
        </w:rPr>
        <w:t xml:space="preserve">. </w:t>
      </w:r>
      <w:r w:rsidR="00443B63" w:rsidRPr="00C56A24">
        <w:rPr>
          <w:b/>
          <w:bCs/>
          <w:sz w:val="24"/>
          <w:szCs w:val="24"/>
          <w:lang w:val="lt-LT"/>
        </w:rPr>
        <w:t>Rengiant į</w:t>
      </w:r>
      <w:r w:rsidRPr="00C56A24">
        <w:rPr>
          <w:b/>
          <w:bCs/>
          <w:sz w:val="24"/>
          <w:szCs w:val="24"/>
          <w:lang w:val="lt-LT"/>
        </w:rPr>
        <w:t xml:space="preserve">statymo </w:t>
      </w:r>
      <w:r w:rsidR="00443B63" w:rsidRPr="00C56A24">
        <w:rPr>
          <w:b/>
          <w:bCs/>
          <w:sz w:val="24"/>
          <w:szCs w:val="24"/>
          <w:lang w:val="lt-LT"/>
        </w:rPr>
        <w:t xml:space="preserve">projektą </w:t>
      </w:r>
      <w:r w:rsidR="009F5B17" w:rsidRPr="00C56A24">
        <w:rPr>
          <w:b/>
          <w:bCs/>
          <w:sz w:val="24"/>
          <w:szCs w:val="24"/>
          <w:lang w:val="lt-LT"/>
        </w:rPr>
        <w:t>gauti specialistų vertinimai ir išvados</w:t>
      </w:r>
      <w:r w:rsidR="009F5B17" w:rsidRPr="00C56A24">
        <w:rPr>
          <w:b/>
          <w:bCs/>
          <w:i/>
          <w:sz w:val="24"/>
          <w:szCs w:val="24"/>
          <w:lang w:val="lt-LT"/>
        </w:rPr>
        <w:t xml:space="preserve"> </w:t>
      </w:r>
    </w:p>
    <w:p w14:paraId="5B0E274B" w14:textId="77777777" w:rsidR="009F5B17" w:rsidRPr="00C56A24" w:rsidRDefault="009F5B17" w:rsidP="002774E1">
      <w:pPr>
        <w:tabs>
          <w:tab w:val="left" w:pos="567"/>
        </w:tabs>
        <w:ind w:firstLine="851"/>
        <w:jc w:val="both"/>
        <w:rPr>
          <w:bCs/>
          <w:sz w:val="24"/>
          <w:szCs w:val="24"/>
          <w:lang w:val="lt-LT"/>
        </w:rPr>
      </w:pPr>
      <w:r w:rsidRPr="00C56A24">
        <w:rPr>
          <w:bCs/>
          <w:sz w:val="24"/>
          <w:szCs w:val="24"/>
          <w:lang w:val="lt-LT"/>
        </w:rPr>
        <w:t>Rengiant įstatymo projektą</w:t>
      </w:r>
      <w:r w:rsidR="006614EB" w:rsidRPr="00C56A24">
        <w:rPr>
          <w:bCs/>
          <w:sz w:val="24"/>
          <w:szCs w:val="24"/>
          <w:lang w:val="lt-LT"/>
        </w:rPr>
        <w:t>,</w:t>
      </w:r>
      <w:r w:rsidRPr="00C56A24">
        <w:rPr>
          <w:bCs/>
          <w:sz w:val="24"/>
          <w:szCs w:val="24"/>
          <w:lang w:val="lt-LT"/>
        </w:rPr>
        <w:t xml:space="preserve"> specialistų išvadų ir vertinimų negauta.</w:t>
      </w:r>
    </w:p>
    <w:p w14:paraId="49065484" w14:textId="77777777" w:rsidR="009F5B17" w:rsidRPr="00C56A24" w:rsidRDefault="009F5B17" w:rsidP="002774E1">
      <w:pPr>
        <w:tabs>
          <w:tab w:val="left" w:pos="567"/>
        </w:tabs>
        <w:ind w:firstLine="851"/>
        <w:jc w:val="both"/>
        <w:rPr>
          <w:bCs/>
          <w:sz w:val="24"/>
          <w:szCs w:val="24"/>
          <w:lang w:val="lt-LT"/>
        </w:rPr>
      </w:pPr>
    </w:p>
    <w:p w14:paraId="12E537DA" w14:textId="77777777" w:rsidR="009F5B17" w:rsidRPr="00C56A24" w:rsidRDefault="009F5B17" w:rsidP="002774E1">
      <w:pPr>
        <w:pStyle w:val="Pagrindinistekstas"/>
        <w:tabs>
          <w:tab w:val="left" w:pos="644"/>
        </w:tabs>
        <w:ind w:firstLine="851"/>
        <w:rPr>
          <w:b/>
          <w:bCs/>
        </w:rPr>
      </w:pPr>
      <w:r w:rsidRPr="00C56A24">
        <w:rPr>
          <w:b/>
          <w:bCs/>
        </w:rPr>
        <w:t>14. Įstatymo projekto reikšminiai žodžiai</w:t>
      </w:r>
      <w:r w:rsidR="00910970" w:rsidRPr="00C56A24">
        <w:rPr>
          <w:b/>
          <w:bCs/>
        </w:rPr>
        <w:t>,</w:t>
      </w:r>
      <w:r w:rsidR="00D64E55" w:rsidRPr="00C56A24">
        <w:rPr>
          <w:bCs/>
        </w:rPr>
        <w:t xml:space="preserve"> </w:t>
      </w:r>
      <w:r w:rsidR="00A93FF6" w:rsidRPr="00C56A24">
        <w:rPr>
          <w:b/>
          <w:bCs/>
        </w:rPr>
        <w:t xml:space="preserve">kurių </w:t>
      </w:r>
      <w:r w:rsidR="00D64E55" w:rsidRPr="00C56A24">
        <w:rPr>
          <w:b/>
          <w:bCs/>
        </w:rPr>
        <w:t>reik</w:t>
      </w:r>
      <w:r w:rsidR="00A93FF6" w:rsidRPr="00C56A24">
        <w:rPr>
          <w:b/>
          <w:bCs/>
        </w:rPr>
        <w:t>ia</w:t>
      </w:r>
      <w:r w:rsidR="001C1061" w:rsidRPr="00C56A24">
        <w:rPr>
          <w:b/>
          <w:bCs/>
        </w:rPr>
        <w:t xml:space="preserve"> įstatymo </w:t>
      </w:r>
      <w:r w:rsidR="00D64E55" w:rsidRPr="00C56A24">
        <w:rPr>
          <w:b/>
          <w:bCs/>
        </w:rPr>
        <w:t>projekt</w:t>
      </w:r>
      <w:r w:rsidR="001C1061" w:rsidRPr="00C56A24">
        <w:rPr>
          <w:b/>
          <w:bCs/>
        </w:rPr>
        <w:t>ui</w:t>
      </w:r>
      <w:r w:rsidR="00D64E55" w:rsidRPr="00C56A24">
        <w:rPr>
          <w:b/>
          <w:bCs/>
        </w:rPr>
        <w:t xml:space="preserve"> įtraukt</w:t>
      </w:r>
      <w:r w:rsidR="001C1061" w:rsidRPr="00C56A24">
        <w:rPr>
          <w:b/>
          <w:bCs/>
        </w:rPr>
        <w:t>i</w:t>
      </w:r>
      <w:r w:rsidR="00D64E55" w:rsidRPr="00C56A24">
        <w:rPr>
          <w:b/>
          <w:bCs/>
        </w:rPr>
        <w:t xml:space="preserve"> į kompiuterinės paieškos sistemą, įskaitant Europos žodyno ,,</w:t>
      </w:r>
      <w:proofErr w:type="spellStart"/>
      <w:r w:rsidR="00D64E55" w:rsidRPr="00C56A24">
        <w:rPr>
          <w:b/>
          <w:bCs/>
        </w:rPr>
        <w:t>Eurovoc</w:t>
      </w:r>
      <w:proofErr w:type="spellEnd"/>
      <w:r w:rsidR="00B46085" w:rsidRPr="00C56A24">
        <w:rPr>
          <w:b/>
          <w:bCs/>
        </w:rPr>
        <w:t>“ terminus, temas bei sritis</w:t>
      </w:r>
    </w:p>
    <w:p w14:paraId="7E9C6F3F" w14:textId="77777777" w:rsidR="001103CE" w:rsidRPr="00C56A24" w:rsidRDefault="009F5B17" w:rsidP="002774E1">
      <w:pPr>
        <w:pStyle w:val="Pagrindinistekstas"/>
        <w:tabs>
          <w:tab w:val="left" w:pos="644"/>
        </w:tabs>
        <w:ind w:firstLine="851"/>
      </w:pPr>
      <w:r w:rsidRPr="00C56A24">
        <w:rPr>
          <w:bCs/>
        </w:rPr>
        <w:t xml:space="preserve">Reikšminiai žodžiai yra </w:t>
      </w:r>
      <w:r w:rsidR="006F7C31" w:rsidRPr="00C56A24">
        <w:rPr>
          <w:bCs/>
        </w:rPr>
        <w:t xml:space="preserve">„pareiginės algos bazinis dydis“, </w:t>
      </w:r>
      <w:r w:rsidR="001C1061" w:rsidRPr="00C56A24">
        <w:rPr>
          <w:bCs/>
        </w:rPr>
        <w:t>„</w:t>
      </w:r>
      <w:r w:rsidRPr="00C56A24">
        <w:rPr>
          <w:bCs/>
        </w:rPr>
        <w:t>valstybės tarnautojas</w:t>
      </w:r>
      <w:r w:rsidRPr="00C56A24">
        <w:t>“, „valstybės pareigūnas“</w:t>
      </w:r>
      <w:r w:rsidR="009F611C" w:rsidRPr="00C56A24">
        <w:t xml:space="preserve">, </w:t>
      </w:r>
      <w:r w:rsidR="001D2938" w:rsidRPr="00C56A24">
        <w:t>„</w:t>
      </w:r>
      <w:r w:rsidR="009F611C" w:rsidRPr="00C56A24">
        <w:t>darbuotojas</w:t>
      </w:r>
      <w:r w:rsidR="001D2938" w:rsidRPr="00C56A24">
        <w:t>“</w:t>
      </w:r>
      <w:r w:rsidR="00254285" w:rsidRPr="00C56A24">
        <w:t>.</w:t>
      </w:r>
    </w:p>
    <w:p w14:paraId="5264C7E9" w14:textId="77777777" w:rsidR="00A814E7" w:rsidRPr="00C56A24" w:rsidRDefault="00A814E7" w:rsidP="002774E1">
      <w:pPr>
        <w:pStyle w:val="Pagrindinistekstas"/>
        <w:tabs>
          <w:tab w:val="left" w:pos="644"/>
        </w:tabs>
        <w:ind w:firstLine="851"/>
      </w:pPr>
    </w:p>
    <w:p w14:paraId="7F561194" w14:textId="77777777" w:rsidR="001103CE" w:rsidRPr="00C56A24" w:rsidRDefault="001103CE" w:rsidP="002774E1">
      <w:pPr>
        <w:pStyle w:val="Pagrindinistekstas"/>
        <w:tabs>
          <w:tab w:val="left" w:pos="644"/>
        </w:tabs>
        <w:ind w:firstLine="851"/>
        <w:rPr>
          <w:b/>
        </w:rPr>
      </w:pPr>
      <w:r w:rsidRPr="00C56A24">
        <w:rPr>
          <w:b/>
        </w:rPr>
        <w:t>15.</w:t>
      </w:r>
      <w:r w:rsidRPr="00C56A24">
        <w:t xml:space="preserve"> </w:t>
      </w:r>
      <w:r w:rsidRPr="00C56A24">
        <w:rPr>
          <w:b/>
        </w:rPr>
        <w:t>Kiti, iniciatorių nuomone, reikalingi pagrindimai ir paaiškinimai</w:t>
      </w:r>
    </w:p>
    <w:p w14:paraId="23ED561A" w14:textId="77777777" w:rsidR="00A1503A" w:rsidRPr="00C56A24" w:rsidRDefault="001103CE" w:rsidP="002774E1">
      <w:pPr>
        <w:ind w:firstLine="851"/>
        <w:rPr>
          <w:sz w:val="24"/>
          <w:szCs w:val="24"/>
          <w:lang w:val="lt-LT"/>
        </w:rPr>
      </w:pPr>
      <w:r w:rsidRPr="00C56A24">
        <w:rPr>
          <w:sz w:val="24"/>
          <w:szCs w:val="24"/>
          <w:lang w:val="lt-LT"/>
        </w:rPr>
        <w:t>Nėra.</w:t>
      </w:r>
    </w:p>
    <w:sectPr w:rsidR="00A1503A" w:rsidRPr="00C56A24" w:rsidSect="00184269">
      <w:headerReference w:type="even" r:id="rId11"/>
      <w:headerReference w:type="default" r:id="rId12"/>
      <w:footerReference w:type="even" r:id="rId13"/>
      <w:footerReference w:type="default" r:id="rId14"/>
      <w:pgSz w:w="11906" w:h="16838"/>
      <w:pgMar w:top="1135" w:right="567" w:bottom="993"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B4B93" w14:textId="77777777" w:rsidR="007B63F1" w:rsidRDefault="007B63F1" w:rsidP="00F71372">
      <w:r>
        <w:separator/>
      </w:r>
    </w:p>
  </w:endnote>
  <w:endnote w:type="continuationSeparator" w:id="0">
    <w:p w14:paraId="6B722D31" w14:textId="77777777" w:rsidR="007B63F1" w:rsidRDefault="007B63F1" w:rsidP="00F7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8E5EE" w14:textId="77777777" w:rsidR="00604FEB" w:rsidRDefault="00B060EE" w:rsidP="00F47B57">
    <w:pPr>
      <w:pStyle w:val="Porat"/>
      <w:framePr w:wrap="around" w:vAnchor="text" w:hAnchor="margin" w:xAlign="right" w:y="1"/>
      <w:rPr>
        <w:rStyle w:val="Puslapionumeris"/>
      </w:rPr>
    </w:pPr>
    <w:r>
      <w:rPr>
        <w:rStyle w:val="Puslapionumeris"/>
      </w:rPr>
      <w:fldChar w:fldCharType="begin"/>
    </w:r>
    <w:r w:rsidR="00604FEB">
      <w:rPr>
        <w:rStyle w:val="Puslapionumeris"/>
      </w:rPr>
      <w:instrText xml:space="preserve">PAGE  </w:instrText>
    </w:r>
    <w:r>
      <w:rPr>
        <w:rStyle w:val="Puslapionumeris"/>
      </w:rPr>
      <w:fldChar w:fldCharType="end"/>
    </w:r>
  </w:p>
  <w:p w14:paraId="1A59AC03" w14:textId="77777777" w:rsidR="00604FEB" w:rsidRDefault="00604FEB" w:rsidP="00F47B5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574E4" w14:textId="77777777" w:rsidR="00604FEB" w:rsidRDefault="00604FEB" w:rsidP="00BF528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1BA1B" w14:textId="77777777" w:rsidR="007B63F1" w:rsidRDefault="007B63F1" w:rsidP="00F71372">
      <w:r>
        <w:separator/>
      </w:r>
    </w:p>
  </w:footnote>
  <w:footnote w:type="continuationSeparator" w:id="0">
    <w:p w14:paraId="45FDE6C5" w14:textId="77777777" w:rsidR="007B63F1" w:rsidRDefault="007B63F1" w:rsidP="00F71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AF4D0" w14:textId="77777777" w:rsidR="00604FEB" w:rsidRDefault="00B060EE" w:rsidP="00FC37A6">
    <w:pPr>
      <w:pStyle w:val="Antrats"/>
      <w:framePr w:wrap="around" w:vAnchor="text" w:hAnchor="margin" w:xAlign="center" w:y="1"/>
      <w:rPr>
        <w:rStyle w:val="Puslapionumeris"/>
      </w:rPr>
    </w:pPr>
    <w:r>
      <w:rPr>
        <w:rStyle w:val="Puslapionumeris"/>
      </w:rPr>
      <w:fldChar w:fldCharType="begin"/>
    </w:r>
    <w:r w:rsidR="00604FEB">
      <w:rPr>
        <w:rStyle w:val="Puslapionumeris"/>
      </w:rPr>
      <w:instrText xml:space="preserve">PAGE  </w:instrText>
    </w:r>
    <w:r>
      <w:rPr>
        <w:rStyle w:val="Puslapionumeris"/>
      </w:rPr>
      <w:fldChar w:fldCharType="end"/>
    </w:r>
  </w:p>
  <w:p w14:paraId="405ED4DC" w14:textId="77777777" w:rsidR="00604FEB" w:rsidRDefault="00604FE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C6234" w14:textId="77777777" w:rsidR="00604FEB" w:rsidRDefault="00B060EE" w:rsidP="00FC37A6">
    <w:pPr>
      <w:pStyle w:val="Antrats"/>
      <w:framePr w:wrap="around" w:vAnchor="text" w:hAnchor="margin" w:xAlign="center" w:y="1"/>
      <w:rPr>
        <w:rStyle w:val="Puslapionumeris"/>
      </w:rPr>
    </w:pPr>
    <w:r>
      <w:rPr>
        <w:rStyle w:val="Puslapionumeris"/>
      </w:rPr>
      <w:fldChar w:fldCharType="begin"/>
    </w:r>
    <w:r w:rsidR="00604FEB">
      <w:rPr>
        <w:rStyle w:val="Puslapionumeris"/>
      </w:rPr>
      <w:instrText xml:space="preserve">PAGE  </w:instrText>
    </w:r>
    <w:r>
      <w:rPr>
        <w:rStyle w:val="Puslapionumeris"/>
      </w:rPr>
      <w:fldChar w:fldCharType="separate"/>
    </w:r>
    <w:r w:rsidR="00E54399">
      <w:rPr>
        <w:rStyle w:val="Puslapionumeris"/>
        <w:noProof/>
      </w:rPr>
      <w:t>3</w:t>
    </w:r>
    <w:r>
      <w:rPr>
        <w:rStyle w:val="Puslapionumeris"/>
      </w:rPr>
      <w:fldChar w:fldCharType="end"/>
    </w:r>
  </w:p>
  <w:p w14:paraId="6770221B" w14:textId="77777777" w:rsidR="00604FEB" w:rsidRDefault="00604FE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B51D6"/>
    <w:multiLevelType w:val="hybridMultilevel"/>
    <w:tmpl w:val="3B188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5F43557D"/>
    <w:multiLevelType w:val="hybridMultilevel"/>
    <w:tmpl w:val="9FC8436C"/>
    <w:lvl w:ilvl="0" w:tplc="58FC284E">
      <w:start w:val="13"/>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
    <w:nsid w:val="63546028"/>
    <w:multiLevelType w:val="hybridMultilevel"/>
    <w:tmpl w:val="AE463566"/>
    <w:lvl w:ilvl="0" w:tplc="00480C92">
      <w:start w:val="12"/>
      <w:numFmt w:val="decimal"/>
      <w:lvlText w:val="%1."/>
      <w:lvlJc w:val="left"/>
      <w:pPr>
        <w:tabs>
          <w:tab w:val="num" w:pos="1129"/>
        </w:tabs>
        <w:ind w:left="1129" w:hanging="42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
    <w:nsid w:val="69FE7A0C"/>
    <w:multiLevelType w:val="multilevel"/>
    <w:tmpl w:val="FA183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CC"/>
    <w:rsid w:val="00002B21"/>
    <w:rsid w:val="00002CED"/>
    <w:rsid w:val="000069E7"/>
    <w:rsid w:val="00015FA1"/>
    <w:rsid w:val="00016C2F"/>
    <w:rsid w:val="00020508"/>
    <w:rsid w:val="00023BFF"/>
    <w:rsid w:val="000255EF"/>
    <w:rsid w:val="000257D6"/>
    <w:rsid w:val="00026750"/>
    <w:rsid w:val="0002724C"/>
    <w:rsid w:val="000316C2"/>
    <w:rsid w:val="000325BE"/>
    <w:rsid w:val="000362A3"/>
    <w:rsid w:val="000401EB"/>
    <w:rsid w:val="000441A0"/>
    <w:rsid w:val="0004433F"/>
    <w:rsid w:val="000448F2"/>
    <w:rsid w:val="00045227"/>
    <w:rsid w:val="00056009"/>
    <w:rsid w:val="00060D1F"/>
    <w:rsid w:val="00061310"/>
    <w:rsid w:val="00062CB3"/>
    <w:rsid w:val="000639C6"/>
    <w:rsid w:val="00063A48"/>
    <w:rsid w:val="000641A2"/>
    <w:rsid w:val="00064EB3"/>
    <w:rsid w:val="00065C21"/>
    <w:rsid w:val="000676DB"/>
    <w:rsid w:val="0007024A"/>
    <w:rsid w:val="000709AE"/>
    <w:rsid w:val="00073463"/>
    <w:rsid w:val="000763D1"/>
    <w:rsid w:val="000767ED"/>
    <w:rsid w:val="00077235"/>
    <w:rsid w:val="000804AF"/>
    <w:rsid w:val="0008191D"/>
    <w:rsid w:val="0008193A"/>
    <w:rsid w:val="00081E0E"/>
    <w:rsid w:val="00085BCF"/>
    <w:rsid w:val="00097000"/>
    <w:rsid w:val="000979AB"/>
    <w:rsid w:val="00097F9C"/>
    <w:rsid w:val="000A74E2"/>
    <w:rsid w:val="000B2688"/>
    <w:rsid w:val="000B52E7"/>
    <w:rsid w:val="000B5D29"/>
    <w:rsid w:val="000B68B9"/>
    <w:rsid w:val="000B7071"/>
    <w:rsid w:val="000C1418"/>
    <w:rsid w:val="000C1689"/>
    <w:rsid w:val="000C322A"/>
    <w:rsid w:val="000C5AA9"/>
    <w:rsid w:val="000D0227"/>
    <w:rsid w:val="000D198A"/>
    <w:rsid w:val="000D29F3"/>
    <w:rsid w:val="000D3A33"/>
    <w:rsid w:val="000D401C"/>
    <w:rsid w:val="000D4175"/>
    <w:rsid w:val="000D55DE"/>
    <w:rsid w:val="000E6B5B"/>
    <w:rsid w:val="000E6DCF"/>
    <w:rsid w:val="000E7BE7"/>
    <w:rsid w:val="000F0602"/>
    <w:rsid w:val="000F0F15"/>
    <w:rsid w:val="000F1452"/>
    <w:rsid w:val="000F3505"/>
    <w:rsid w:val="000F5BAD"/>
    <w:rsid w:val="000F71BB"/>
    <w:rsid w:val="000F73C5"/>
    <w:rsid w:val="000F7465"/>
    <w:rsid w:val="00100907"/>
    <w:rsid w:val="00101158"/>
    <w:rsid w:val="001015CB"/>
    <w:rsid w:val="00101963"/>
    <w:rsid w:val="001025DC"/>
    <w:rsid w:val="001045BF"/>
    <w:rsid w:val="001103CE"/>
    <w:rsid w:val="001113C1"/>
    <w:rsid w:val="00112455"/>
    <w:rsid w:val="001133C4"/>
    <w:rsid w:val="0011647B"/>
    <w:rsid w:val="00121491"/>
    <w:rsid w:val="00122158"/>
    <w:rsid w:val="0012227D"/>
    <w:rsid w:val="001246A8"/>
    <w:rsid w:val="00131745"/>
    <w:rsid w:val="00133F20"/>
    <w:rsid w:val="00135169"/>
    <w:rsid w:val="0014080D"/>
    <w:rsid w:val="00140D51"/>
    <w:rsid w:val="00141F33"/>
    <w:rsid w:val="00144F85"/>
    <w:rsid w:val="001463B9"/>
    <w:rsid w:val="00150521"/>
    <w:rsid w:val="00153DD0"/>
    <w:rsid w:val="00154264"/>
    <w:rsid w:val="00154DC2"/>
    <w:rsid w:val="00156E01"/>
    <w:rsid w:val="00161D57"/>
    <w:rsid w:val="00162832"/>
    <w:rsid w:val="00162861"/>
    <w:rsid w:val="00162DA6"/>
    <w:rsid w:val="001637A0"/>
    <w:rsid w:val="00165243"/>
    <w:rsid w:val="00166BFE"/>
    <w:rsid w:val="00167A3F"/>
    <w:rsid w:val="0017077C"/>
    <w:rsid w:val="00171AC1"/>
    <w:rsid w:val="00172989"/>
    <w:rsid w:val="00173FCE"/>
    <w:rsid w:val="00175A51"/>
    <w:rsid w:val="00175C4E"/>
    <w:rsid w:val="00175FCA"/>
    <w:rsid w:val="00182E7A"/>
    <w:rsid w:val="00184269"/>
    <w:rsid w:val="00192F63"/>
    <w:rsid w:val="00193249"/>
    <w:rsid w:val="00194378"/>
    <w:rsid w:val="001974CD"/>
    <w:rsid w:val="001A13CA"/>
    <w:rsid w:val="001A148B"/>
    <w:rsid w:val="001A6FB3"/>
    <w:rsid w:val="001B1112"/>
    <w:rsid w:val="001B111B"/>
    <w:rsid w:val="001B18CA"/>
    <w:rsid w:val="001B1ED9"/>
    <w:rsid w:val="001B4ABA"/>
    <w:rsid w:val="001B52EA"/>
    <w:rsid w:val="001B709C"/>
    <w:rsid w:val="001B7ADF"/>
    <w:rsid w:val="001C042A"/>
    <w:rsid w:val="001C1061"/>
    <w:rsid w:val="001C1DC3"/>
    <w:rsid w:val="001C24F4"/>
    <w:rsid w:val="001C6783"/>
    <w:rsid w:val="001C7914"/>
    <w:rsid w:val="001D06A8"/>
    <w:rsid w:val="001D116A"/>
    <w:rsid w:val="001D26C8"/>
    <w:rsid w:val="001D2938"/>
    <w:rsid w:val="001D600F"/>
    <w:rsid w:val="001D7B58"/>
    <w:rsid w:val="001E0DD4"/>
    <w:rsid w:val="001E142F"/>
    <w:rsid w:val="001E1D82"/>
    <w:rsid w:val="001E4584"/>
    <w:rsid w:val="001F1DC0"/>
    <w:rsid w:val="001F2559"/>
    <w:rsid w:val="001F3889"/>
    <w:rsid w:val="001F7EAB"/>
    <w:rsid w:val="00200792"/>
    <w:rsid w:val="00200997"/>
    <w:rsid w:val="00201BEF"/>
    <w:rsid w:val="002044CC"/>
    <w:rsid w:val="00204A9F"/>
    <w:rsid w:val="00207DF7"/>
    <w:rsid w:val="00212B3E"/>
    <w:rsid w:val="002160B0"/>
    <w:rsid w:val="00220117"/>
    <w:rsid w:val="00221424"/>
    <w:rsid w:val="002222CA"/>
    <w:rsid w:val="0022394C"/>
    <w:rsid w:val="0022407F"/>
    <w:rsid w:val="0022529C"/>
    <w:rsid w:val="002273AD"/>
    <w:rsid w:val="00230061"/>
    <w:rsid w:val="0023279C"/>
    <w:rsid w:val="002350F8"/>
    <w:rsid w:val="002351A9"/>
    <w:rsid w:val="00237110"/>
    <w:rsid w:val="0024192E"/>
    <w:rsid w:val="00244072"/>
    <w:rsid w:val="00244202"/>
    <w:rsid w:val="00251E5E"/>
    <w:rsid w:val="00252075"/>
    <w:rsid w:val="002524CB"/>
    <w:rsid w:val="00252809"/>
    <w:rsid w:val="00254285"/>
    <w:rsid w:val="00261C00"/>
    <w:rsid w:val="00262145"/>
    <w:rsid w:val="00262CB2"/>
    <w:rsid w:val="00264FF8"/>
    <w:rsid w:val="0026602D"/>
    <w:rsid w:val="00273560"/>
    <w:rsid w:val="002746DB"/>
    <w:rsid w:val="00275027"/>
    <w:rsid w:val="002763F9"/>
    <w:rsid w:val="00276445"/>
    <w:rsid w:val="002774E1"/>
    <w:rsid w:val="0027768E"/>
    <w:rsid w:val="002777D6"/>
    <w:rsid w:val="00280243"/>
    <w:rsid w:val="0028575F"/>
    <w:rsid w:val="00286B03"/>
    <w:rsid w:val="00287606"/>
    <w:rsid w:val="00287EC3"/>
    <w:rsid w:val="00290AD8"/>
    <w:rsid w:val="00290C6A"/>
    <w:rsid w:val="00292774"/>
    <w:rsid w:val="002936B8"/>
    <w:rsid w:val="00294E80"/>
    <w:rsid w:val="002A7650"/>
    <w:rsid w:val="002B698C"/>
    <w:rsid w:val="002C215E"/>
    <w:rsid w:val="002C3B73"/>
    <w:rsid w:val="002C4351"/>
    <w:rsid w:val="002C47C0"/>
    <w:rsid w:val="002C533C"/>
    <w:rsid w:val="002C6743"/>
    <w:rsid w:val="002D1BD3"/>
    <w:rsid w:val="002D2A0D"/>
    <w:rsid w:val="002D2D03"/>
    <w:rsid w:val="002D5849"/>
    <w:rsid w:val="002D743B"/>
    <w:rsid w:val="002D7A5E"/>
    <w:rsid w:val="002E253F"/>
    <w:rsid w:val="002E45AA"/>
    <w:rsid w:val="002E65B9"/>
    <w:rsid w:val="002E6900"/>
    <w:rsid w:val="002F306A"/>
    <w:rsid w:val="002F5BE0"/>
    <w:rsid w:val="0030743C"/>
    <w:rsid w:val="003114B8"/>
    <w:rsid w:val="00311EE0"/>
    <w:rsid w:val="003200C8"/>
    <w:rsid w:val="003210A6"/>
    <w:rsid w:val="00321279"/>
    <w:rsid w:val="00323DF1"/>
    <w:rsid w:val="003249F1"/>
    <w:rsid w:val="0032689E"/>
    <w:rsid w:val="003271EA"/>
    <w:rsid w:val="00330353"/>
    <w:rsid w:val="0033254A"/>
    <w:rsid w:val="0033443D"/>
    <w:rsid w:val="00334665"/>
    <w:rsid w:val="00335831"/>
    <w:rsid w:val="0033658B"/>
    <w:rsid w:val="00346359"/>
    <w:rsid w:val="00353F23"/>
    <w:rsid w:val="00356803"/>
    <w:rsid w:val="00363090"/>
    <w:rsid w:val="00363A9F"/>
    <w:rsid w:val="0036402C"/>
    <w:rsid w:val="0036409E"/>
    <w:rsid w:val="00364D4E"/>
    <w:rsid w:val="00366559"/>
    <w:rsid w:val="0036656B"/>
    <w:rsid w:val="0036740D"/>
    <w:rsid w:val="00370ACD"/>
    <w:rsid w:val="003719A3"/>
    <w:rsid w:val="003745AC"/>
    <w:rsid w:val="003800AE"/>
    <w:rsid w:val="003810CB"/>
    <w:rsid w:val="00381E57"/>
    <w:rsid w:val="003835E2"/>
    <w:rsid w:val="00384C01"/>
    <w:rsid w:val="003923CA"/>
    <w:rsid w:val="003929E4"/>
    <w:rsid w:val="00395885"/>
    <w:rsid w:val="00395AB1"/>
    <w:rsid w:val="003A6503"/>
    <w:rsid w:val="003C6BEB"/>
    <w:rsid w:val="003D3500"/>
    <w:rsid w:val="003D3C6D"/>
    <w:rsid w:val="003D4F0E"/>
    <w:rsid w:val="003E5C47"/>
    <w:rsid w:val="003E5EAD"/>
    <w:rsid w:val="003E7143"/>
    <w:rsid w:val="003F0875"/>
    <w:rsid w:val="003F1064"/>
    <w:rsid w:val="003F1183"/>
    <w:rsid w:val="003F23BC"/>
    <w:rsid w:val="003F2FE4"/>
    <w:rsid w:val="003F52C5"/>
    <w:rsid w:val="003F7383"/>
    <w:rsid w:val="003F7A3B"/>
    <w:rsid w:val="00400094"/>
    <w:rsid w:val="004004C8"/>
    <w:rsid w:val="0040318D"/>
    <w:rsid w:val="00403F5B"/>
    <w:rsid w:val="00404A77"/>
    <w:rsid w:val="00406298"/>
    <w:rsid w:val="004070F1"/>
    <w:rsid w:val="004114EA"/>
    <w:rsid w:val="00411A94"/>
    <w:rsid w:val="00415A63"/>
    <w:rsid w:val="00415F28"/>
    <w:rsid w:val="00417E7B"/>
    <w:rsid w:val="0042179B"/>
    <w:rsid w:val="00423C54"/>
    <w:rsid w:val="0042656F"/>
    <w:rsid w:val="004268EC"/>
    <w:rsid w:val="00427172"/>
    <w:rsid w:val="00430344"/>
    <w:rsid w:val="004309DF"/>
    <w:rsid w:val="00433691"/>
    <w:rsid w:val="00433C02"/>
    <w:rsid w:val="00441229"/>
    <w:rsid w:val="004416BB"/>
    <w:rsid w:val="00443B63"/>
    <w:rsid w:val="00446B8D"/>
    <w:rsid w:val="00447BA7"/>
    <w:rsid w:val="004511A0"/>
    <w:rsid w:val="00455BB0"/>
    <w:rsid w:val="004641EF"/>
    <w:rsid w:val="0046443C"/>
    <w:rsid w:val="00465B26"/>
    <w:rsid w:val="00467863"/>
    <w:rsid w:val="00470BCF"/>
    <w:rsid w:val="00471611"/>
    <w:rsid w:val="004738AC"/>
    <w:rsid w:val="00473A76"/>
    <w:rsid w:val="004751AC"/>
    <w:rsid w:val="00475679"/>
    <w:rsid w:val="00477052"/>
    <w:rsid w:val="0048660A"/>
    <w:rsid w:val="004A3477"/>
    <w:rsid w:val="004A51A4"/>
    <w:rsid w:val="004A6386"/>
    <w:rsid w:val="004A6DEF"/>
    <w:rsid w:val="004B1DA1"/>
    <w:rsid w:val="004B29B4"/>
    <w:rsid w:val="004B5E3D"/>
    <w:rsid w:val="004B6034"/>
    <w:rsid w:val="004C0703"/>
    <w:rsid w:val="004C2696"/>
    <w:rsid w:val="004C2B03"/>
    <w:rsid w:val="004C36B8"/>
    <w:rsid w:val="004C4419"/>
    <w:rsid w:val="004D1F64"/>
    <w:rsid w:val="004D4168"/>
    <w:rsid w:val="004D46FD"/>
    <w:rsid w:val="004D59F2"/>
    <w:rsid w:val="004E1110"/>
    <w:rsid w:val="004E3AF3"/>
    <w:rsid w:val="004E4B44"/>
    <w:rsid w:val="004E63FB"/>
    <w:rsid w:val="004E6C16"/>
    <w:rsid w:val="004E72D2"/>
    <w:rsid w:val="004F16D4"/>
    <w:rsid w:val="004F5EC8"/>
    <w:rsid w:val="004F683C"/>
    <w:rsid w:val="004F761F"/>
    <w:rsid w:val="0050155A"/>
    <w:rsid w:val="00502545"/>
    <w:rsid w:val="00503E1D"/>
    <w:rsid w:val="00504B1E"/>
    <w:rsid w:val="005070F8"/>
    <w:rsid w:val="00507233"/>
    <w:rsid w:val="00510471"/>
    <w:rsid w:val="00513297"/>
    <w:rsid w:val="00515320"/>
    <w:rsid w:val="00517377"/>
    <w:rsid w:val="00517D6F"/>
    <w:rsid w:val="00520AF3"/>
    <w:rsid w:val="00523688"/>
    <w:rsid w:val="0052415E"/>
    <w:rsid w:val="00525E38"/>
    <w:rsid w:val="005268E3"/>
    <w:rsid w:val="00531392"/>
    <w:rsid w:val="005348AB"/>
    <w:rsid w:val="005355B5"/>
    <w:rsid w:val="0054267A"/>
    <w:rsid w:val="005444F9"/>
    <w:rsid w:val="00546F7E"/>
    <w:rsid w:val="00550D48"/>
    <w:rsid w:val="005525A6"/>
    <w:rsid w:val="00554E62"/>
    <w:rsid w:val="00554EE4"/>
    <w:rsid w:val="00556F20"/>
    <w:rsid w:val="00564342"/>
    <w:rsid w:val="00564815"/>
    <w:rsid w:val="0056574F"/>
    <w:rsid w:val="005700B4"/>
    <w:rsid w:val="00572E23"/>
    <w:rsid w:val="005779A9"/>
    <w:rsid w:val="0058102B"/>
    <w:rsid w:val="00581B26"/>
    <w:rsid w:val="00582A87"/>
    <w:rsid w:val="00586278"/>
    <w:rsid w:val="0059130B"/>
    <w:rsid w:val="00593B65"/>
    <w:rsid w:val="005A233C"/>
    <w:rsid w:val="005A5678"/>
    <w:rsid w:val="005A5BC7"/>
    <w:rsid w:val="005B1CF1"/>
    <w:rsid w:val="005B2D45"/>
    <w:rsid w:val="005B40A8"/>
    <w:rsid w:val="005B58C9"/>
    <w:rsid w:val="005B5A7E"/>
    <w:rsid w:val="005C0191"/>
    <w:rsid w:val="005C0B4E"/>
    <w:rsid w:val="005C3356"/>
    <w:rsid w:val="005C5F90"/>
    <w:rsid w:val="005D1247"/>
    <w:rsid w:val="005E036F"/>
    <w:rsid w:val="005E0403"/>
    <w:rsid w:val="005E6BAC"/>
    <w:rsid w:val="005E7433"/>
    <w:rsid w:val="005E7D65"/>
    <w:rsid w:val="005F1288"/>
    <w:rsid w:val="005F19A6"/>
    <w:rsid w:val="005F1ED5"/>
    <w:rsid w:val="005F2624"/>
    <w:rsid w:val="005F4266"/>
    <w:rsid w:val="005F521E"/>
    <w:rsid w:val="005F5D7B"/>
    <w:rsid w:val="005F6451"/>
    <w:rsid w:val="005F6985"/>
    <w:rsid w:val="00601314"/>
    <w:rsid w:val="00601AB9"/>
    <w:rsid w:val="006046BE"/>
    <w:rsid w:val="00604FEB"/>
    <w:rsid w:val="00605B64"/>
    <w:rsid w:val="00607E23"/>
    <w:rsid w:val="006104B1"/>
    <w:rsid w:val="006111F2"/>
    <w:rsid w:val="00612931"/>
    <w:rsid w:val="00612B31"/>
    <w:rsid w:val="00614805"/>
    <w:rsid w:val="00616B38"/>
    <w:rsid w:val="00623159"/>
    <w:rsid w:val="006239EC"/>
    <w:rsid w:val="00626FDF"/>
    <w:rsid w:val="006270AF"/>
    <w:rsid w:val="006341A9"/>
    <w:rsid w:val="00634A02"/>
    <w:rsid w:val="006407E8"/>
    <w:rsid w:val="00643359"/>
    <w:rsid w:val="00645525"/>
    <w:rsid w:val="00646032"/>
    <w:rsid w:val="006469BF"/>
    <w:rsid w:val="00646C52"/>
    <w:rsid w:val="0065044C"/>
    <w:rsid w:val="006523BE"/>
    <w:rsid w:val="0066042C"/>
    <w:rsid w:val="00660789"/>
    <w:rsid w:val="006614EB"/>
    <w:rsid w:val="006706E3"/>
    <w:rsid w:val="0067091E"/>
    <w:rsid w:val="00672EE2"/>
    <w:rsid w:val="00675E20"/>
    <w:rsid w:val="006817B6"/>
    <w:rsid w:val="00687F88"/>
    <w:rsid w:val="00695451"/>
    <w:rsid w:val="006957EF"/>
    <w:rsid w:val="006A7BB4"/>
    <w:rsid w:val="006B1E32"/>
    <w:rsid w:val="006B36C7"/>
    <w:rsid w:val="006C05C9"/>
    <w:rsid w:val="006C13BC"/>
    <w:rsid w:val="006C17E5"/>
    <w:rsid w:val="006C3F6F"/>
    <w:rsid w:val="006C5199"/>
    <w:rsid w:val="006C5E7F"/>
    <w:rsid w:val="006C62C1"/>
    <w:rsid w:val="006D4BC2"/>
    <w:rsid w:val="006D5584"/>
    <w:rsid w:val="006D60D0"/>
    <w:rsid w:val="006D6804"/>
    <w:rsid w:val="006D6CDC"/>
    <w:rsid w:val="006D7779"/>
    <w:rsid w:val="006E28E6"/>
    <w:rsid w:val="006E2A3F"/>
    <w:rsid w:val="006E35C4"/>
    <w:rsid w:val="006E571A"/>
    <w:rsid w:val="006F4C64"/>
    <w:rsid w:val="006F5353"/>
    <w:rsid w:val="006F6F5A"/>
    <w:rsid w:val="006F7C31"/>
    <w:rsid w:val="006F7ED3"/>
    <w:rsid w:val="00707D9E"/>
    <w:rsid w:val="00710B71"/>
    <w:rsid w:val="007151D8"/>
    <w:rsid w:val="0071648C"/>
    <w:rsid w:val="00721B50"/>
    <w:rsid w:val="007245C4"/>
    <w:rsid w:val="00725186"/>
    <w:rsid w:val="0072572E"/>
    <w:rsid w:val="00725CE9"/>
    <w:rsid w:val="007261D6"/>
    <w:rsid w:val="00733B11"/>
    <w:rsid w:val="00737CF6"/>
    <w:rsid w:val="00740FC9"/>
    <w:rsid w:val="00744899"/>
    <w:rsid w:val="00746759"/>
    <w:rsid w:val="00753994"/>
    <w:rsid w:val="007554C9"/>
    <w:rsid w:val="0075566E"/>
    <w:rsid w:val="00755EDE"/>
    <w:rsid w:val="007567B0"/>
    <w:rsid w:val="0076500B"/>
    <w:rsid w:val="0076685B"/>
    <w:rsid w:val="00770520"/>
    <w:rsid w:val="00771D42"/>
    <w:rsid w:val="0077206C"/>
    <w:rsid w:val="00775DC1"/>
    <w:rsid w:val="007765FD"/>
    <w:rsid w:val="00782754"/>
    <w:rsid w:val="00785978"/>
    <w:rsid w:val="0078695D"/>
    <w:rsid w:val="00786C99"/>
    <w:rsid w:val="007940E2"/>
    <w:rsid w:val="00796C88"/>
    <w:rsid w:val="007A2AF5"/>
    <w:rsid w:val="007A47C3"/>
    <w:rsid w:val="007A6123"/>
    <w:rsid w:val="007A6A38"/>
    <w:rsid w:val="007B2642"/>
    <w:rsid w:val="007B2A4F"/>
    <w:rsid w:val="007B4CA5"/>
    <w:rsid w:val="007B4F3C"/>
    <w:rsid w:val="007B63F1"/>
    <w:rsid w:val="007C0592"/>
    <w:rsid w:val="007C170B"/>
    <w:rsid w:val="007C3B11"/>
    <w:rsid w:val="007C5400"/>
    <w:rsid w:val="007C5EE6"/>
    <w:rsid w:val="007C66D0"/>
    <w:rsid w:val="007D2614"/>
    <w:rsid w:val="007E110B"/>
    <w:rsid w:val="007E1F73"/>
    <w:rsid w:val="007E41B0"/>
    <w:rsid w:val="007E4F19"/>
    <w:rsid w:val="007F0E2D"/>
    <w:rsid w:val="007F1829"/>
    <w:rsid w:val="007F184E"/>
    <w:rsid w:val="007F2392"/>
    <w:rsid w:val="007F417B"/>
    <w:rsid w:val="007F7089"/>
    <w:rsid w:val="008060A2"/>
    <w:rsid w:val="00807393"/>
    <w:rsid w:val="008079D9"/>
    <w:rsid w:val="008111B5"/>
    <w:rsid w:val="00813A21"/>
    <w:rsid w:val="00813C6E"/>
    <w:rsid w:val="00813F78"/>
    <w:rsid w:val="00815626"/>
    <w:rsid w:val="00815B8A"/>
    <w:rsid w:val="0081654F"/>
    <w:rsid w:val="00823E37"/>
    <w:rsid w:val="00824622"/>
    <w:rsid w:val="0082693B"/>
    <w:rsid w:val="00827DA1"/>
    <w:rsid w:val="00827DFA"/>
    <w:rsid w:val="00833B85"/>
    <w:rsid w:val="008362DC"/>
    <w:rsid w:val="00842931"/>
    <w:rsid w:val="008447C6"/>
    <w:rsid w:val="00850375"/>
    <w:rsid w:val="0085581E"/>
    <w:rsid w:val="0085591B"/>
    <w:rsid w:val="0085613E"/>
    <w:rsid w:val="008605F7"/>
    <w:rsid w:val="00864A66"/>
    <w:rsid w:val="008661B3"/>
    <w:rsid w:val="008749B5"/>
    <w:rsid w:val="00875D78"/>
    <w:rsid w:val="008761FB"/>
    <w:rsid w:val="00877C2B"/>
    <w:rsid w:val="00881230"/>
    <w:rsid w:val="00883AAE"/>
    <w:rsid w:val="00883ADC"/>
    <w:rsid w:val="00884232"/>
    <w:rsid w:val="008863C4"/>
    <w:rsid w:val="00887249"/>
    <w:rsid w:val="00887CC7"/>
    <w:rsid w:val="00891B67"/>
    <w:rsid w:val="00892F45"/>
    <w:rsid w:val="00893ED7"/>
    <w:rsid w:val="00896302"/>
    <w:rsid w:val="00897508"/>
    <w:rsid w:val="008A119D"/>
    <w:rsid w:val="008A5117"/>
    <w:rsid w:val="008B371B"/>
    <w:rsid w:val="008B40A8"/>
    <w:rsid w:val="008B50D0"/>
    <w:rsid w:val="008B6030"/>
    <w:rsid w:val="008B7441"/>
    <w:rsid w:val="008C0897"/>
    <w:rsid w:val="008C20E3"/>
    <w:rsid w:val="008C32FD"/>
    <w:rsid w:val="008C7109"/>
    <w:rsid w:val="008C71DA"/>
    <w:rsid w:val="008C7F9D"/>
    <w:rsid w:val="008D1478"/>
    <w:rsid w:val="008D16F2"/>
    <w:rsid w:val="008D28E7"/>
    <w:rsid w:val="008D4906"/>
    <w:rsid w:val="008D5DFB"/>
    <w:rsid w:val="008D65C4"/>
    <w:rsid w:val="008E1E51"/>
    <w:rsid w:val="008E416C"/>
    <w:rsid w:val="008E4882"/>
    <w:rsid w:val="008F1B00"/>
    <w:rsid w:val="008F1EDC"/>
    <w:rsid w:val="008F5A74"/>
    <w:rsid w:val="008F6D26"/>
    <w:rsid w:val="008F7EF4"/>
    <w:rsid w:val="00900F10"/>
    <w:rsid w:val="00902B56"/>
    <w:rsid w:val="009071A8"/>
    <w:rsid w:val="009075FE"/>
    <w:rsid w:val="00910970"/>
    <w:rsid w:val="00910A36"/>
    <w:rsid w:val="0091585F"/>
    <w:rsid w:val="0091596E"/>
    <w:rsid w:val="00915B6E"/>
    <w:rsid w:val="009208AD"/>
    <w:rsid w:val="00921304"/>
    <w:rsid w:val="00924884"/>
    <w:rsid w:val="00924E87"/>
    <w:rsid w:val="00925E03"/>
    <w:rsid w:val="00926452"/>
    <w:rsid w:val="00931B29"/>
    <w:rsid w:val="009357EB"/>
    <w:rsid w:val="00937568"/>
    <w:rsid w:val="00941586"/>
    <w:rsid w:val="00941704"/>
    <w:rsid w:val="00943685"/>
    <w:rsid w:val="0095594E"/>
    <w:rsid w:val="00957340"/>
    <w:rsid w:val="0096247C"/>
    <w:rsid w:val="00962C41"/>
    <w:rsid w:val="009677FE"/>
    <w:rsid w:val="00970C52"/>
    <w:rsid w:val="0097184C"/>
    <w:rsid w:val="00971FDD"/>
    <w:rsid w:val="009728B7"/>
    <w:rsid w:val="00974010"/>
    <w:rsid w:val="0097738D"/>
    <w:rsid w:val="00977DA4"/>
    <w:rsid w:val="00982EC7"/>
    <w:rsid w:val="00983DD2"/>
    <w:rsid w:val="009846D8"/>
    <w:rsid w:val="00985B62"/>
    <w:rsid w:val="0098619E"/>
    <w:rsid w:val="00991750"/>
    <w:rsid w:val="00993806"/>
    <w:rsid w:val="00997DB2"/>
    <w:rsid w:val="009A2EDE"/>
    <w:rsid w:val="009A4414"/>
    <w:rsid w:val="009B6E77"/>
    <w:rsid w:val="009B79AF"/>
    <w:rsid w:val="009C0AE1"/>
    <w:rsid w:val="009C1E3B"/>
    <w:rsid w:val="009C338F"/>
    <w:rsid w:val="009C3BCF"/>
    <w:rsid w:val="009C3E61"/>
    <w:rsid w:val="009C425B"/>
    <w:rsid w:val="009C6228"/>
    <w:rsid w:val="009D189E"/>
    <w:rsid w:val="009D3F35"/>
    <w:rsid w:val="009D607B"/>
    <w:rsid w:val="009D7F88"/>
    <w:rsid w:val="009E03DA"/>
    <w:rsid w:val="009E0F29"/>
    <w:rsid w:val="009E2FFB"/>
    <w:rsid w:val="009E3F6D"/>
    <w:rsid w:val="009F5B17"/>
    <w:rsid w:val="009F611C"/>
    <w:rsid w:val="009F7D77"/>
    <w:rsid w:val="00A00E6B"/>
    <w:rsid w:val="00A01F9B"/>
    <w:rsid w:val="00A0530D"/>
    <w:rsid w:val="00A057FF"/>
    <w:rsid w:val="00A10143"/>
    <w:rsid w:val="00A1066C"/>
    <w:rsid w:val="00A10BFD"/>
    <w:rsid w:val="00A1491F"/>
    <w:rsid w:val="00A1503A"/>
    <w:rsid w:val="00A167E1"/>
    <w:rsid w:val="00A17661"/>
    <w:rsid w:val="00A20C61"/>
    <w:rsid w:val="00A21AE0"/>
    <w:rsid w:val="00A229F8"/>
    <w:rsid w:val="00A22B88"/>
    <w:rsid w:val="00A24E93"/>
    <w:rsid w:val="00A24FD2"/>
    <w:rsid w:val="00A26A6C"/>
    <w:rsid w:val="00A27C3D"/>
    <w:rsid w:val="00A309EE"/>
    <w:rsid w:val="00A31910"/>
    <w:rsid w:val="00A31F3A"/>
    <w:rsid w:val="00A33033"/>
    <w:rsid w:val="00A332DB"/>
    <w:rsid w:val="00A347D3"/>
    <w:rsid w:val="00A35C54"/>
    <w:rsid w:val="00A432EA"/>
    <w:rsid w:val="00A4367C"/>
    <w:rsid w:val="00A437B0"/>
    <w:rsid w:val="00A44C5C"/>
    <w:rsid w:val="00A50CA3"/>
    <w:rsid w:val="00A51BF1"/>
    <w:rsid w:val="00A51DD8"/>
    <w:rsid w:val="00A51FFB"/>
    <w:rsid w:val="00A52EC5"/>
    <w:rsid w:val="00A558CB"/>
    <w:rsid w:val="00A568AD"/>
    <w:rsid w:val="00A61639"/>
    <w:rsid w:val="00A64F4B"/>
    <w:rsid w:val="00A66160"/>
    <w:rsid w:val="00A67E80"/>
    <w:rsid w:val="00A70A63"/>
    <w:rsid w:val="00A70F6A"/>
    <w:rsid w:val="00A7442E"/>
    <w:rsid w:val="00A74612"/>
    <w:rsid w:val="00A80384"/>
    <w:rsid w:val="00A814E7"/>
    <w:rsid w:val="00A81E45"/>
    <w:rsid w:val="00A82DA0"/>
    <w:rsid w:val="00A8344F"/>
    <w:rsid w:val="00A8530E"/>
    <w:rsid w:val="00A8738F"/>
    <w:rsid w:val="00A874CB"/>
    <w:rsid w:val="00A93FF6"/>
    <w:rsid w:val="00A97891"/>
    <w:rsid w:val="00A97ABB"/>
    <w:rsid w:val="00AA1D3F"/>
    <w:rsid w:val="00AA3A21"/>
    <w:rsid w:val="00AA4AD7"/>
    <w:rsid w:val="00AA4F00"/>
    <w:rsid w:val="00AA525E"/>
    <w:rsid w:val="00AA6E65"/>
    <w:rsid w:val="00AB1860"/>
    <w:rsid w:val="00AB3A22"/>
    <w:rsid w:val="00AB48FE"/>
    <w:rsid w:val="00AB6E63"/>
    <w:rsid w:val="00AB7415"/>
    <w:rsid w:val="00AB78CE"/>
    <w:rsid w:val="00AC0739"/>
    <w:rsid w:val="00AC2C56"/>
    <w:rsid w:val="00AC33FC"/>
    <w:rsid w:val="00AC67ED"/>
    <w:rsid w:val="00AD0ACE"/>
    <w:rsid w:val="00AD17CC"/>
    <w:rsid w:val="00AD2E82"/>
    <w:rsid w:val="00AD54C5"/>
    <w:rsid w:val="00AE0854"/>
    <w:rsid w:val="00AE5051"/>
    <w:rsid w:val="00AE6BF2"/>
    <w:rsid w:val="00AE763E"/>
    <w:rsid w:val="00AF3C4C"/>
    <w:rsid w:val="00B01EEC"/>
    <w:rsid w:val="00B0218F"/>
    <w:rsid w:val="00B03436"/>
    <w:rsid w:val="00B060EE"/>
    <w:rsid w:val="00B06DA1"/>
    <w:rsid w:val="00B1028D"/>
    <w:rsid w:val="00B13137"/>
    <w:rsid w:val="00B159CD"/>
    <w:rsid w:val="00B15F88"/>
    <w:rsid w:val="00B16875"/>
    <w:rsid w:val="00B34A14"/>
    <w:rsid w:val="00B366D5"/>
    <w:rsid w:val="00B3679B"/>
    <w:rsid w:val="00B37318"/>
    <w:rsid w:val="00B3731E"/>
    <w:rsid w:val="00B37A06"/>
    <w:rsid w:val="00B42759"/>
    <w:rsid w:val="00B45FB9"/>
    <w:rsid w:val="00B46085"/>
    <w:rsid w:val="00B54601"/>
    <w:rsid w:val="00B55672"/>
    <w:rsid w:val="00B55ED5"/>
    <w:rsid w:val="00B56F64"/>
    <w:rsid w:val="00B63670"/>
    <w:rsid w:val="00B674B9"/>
    <w:rsid w:val="00B81DF8"/>
    <w:rsid w:val="00B831D3"/>
    <w:rsid w:val="00B843CA"/>
    <w:rsid w:val="00B91188"/>
    <w:rsid w:val="00B914C2"/>
    <w:rsid w:val="00B92107"/>
    <w:rsid w:val="00B950F0"/>
    <w:rsid w:val="00BA0309"/>
    <w:rsid w:val="00BA5FBB"/>
    <w:rsid w:val="00BA78D0"/>
    <w:rsid w:val="00BB16DB"/>
    <w:rsid w:val="00BB2618"/>
    <w:rsid w:val="00BB3A98"/>
    <w:rsid w:val="00BB4C45"/>
    <w:rsid w:val="00BB54B5"/>
    <w:rsid w:val="00BB73DF"/>
    <w:rsid w:val="00BB7CC1"/>
    <w:rsid w:val="00BC3684"/>
    <w:rsid w:val="00BC440D"/>
    <w:rsid w:val="00BC462F"/>
    <w:rsid w:val="00BD0DB6"/>
    <w:rsid w:val="00BD51E5"/>
    <w:rsid w:val="00BE3D19"/>
    <w:rsid w:val="00BE5008"/>
    <w:rsid w:val="00BE7462"/>
    <w:rsid w:val="00BF10A9"/>
    <w:rsid w:val="00BF2F35"/>
    <w:rsid w:val="00BF3333"/>
    <w:rsid w:val="00BF35AA"/>
    <w:rsid w:val="00BF3D66"/>
    <w:rsid w:val="00BF528B"/>
    <w:rsid w:val="00BF5D66"/>
    <w:rsid w:val="00BF5EFE"/>
    <w:rsid w:val="00BF6285"/>
    <w:rsid w:val="00C015D6"/>
    <w:rsid w:val="00C02111"/>
    <w:rsid w:val="00C065D4"/>
    <w:rsid w:val="00C06DE5"/>
    <w:rsid w:val="00C11225"/>
    <w:rsid w:val="00C162B1"/>
    <w:rsid w:val="00C17A23"/>
    <w:rsid w:val="00C17B29"/>
    <w:rsid w:val="00C21D35"/>
    <w:rsid w:val="00C25920"/>
    <w:rsid w:val="00C31B04"/>
    <w:rsid w:val="00C33D9D"/>
    <w:rsid w:val="00C35D58"/>
    <w:rsid w:val="00C42A09"/>
    <w:rsid w:val="00C43BCB"/>
    <w:rsid w:val="00C45F2D"/>
    <w:rsid w:val="00C46A8E"/>
    <w:rsid w:val="00C527F2"/>
    <w:rsid w:val="00C54559"/>
    <w:rsid w:val="00C545C4"/>
    <w:rsid w:val="00C54BBB"/>
    <w:rsid w:val="00C56A24"/>
    <w:rsid w:val="00C578A5"/>
    <w:rsid w:val="00C60595"/>
    <w:rsid w:val="00C66397"/>
    <w:rsid w:val="00C669AE"/>
    <w:rsid w:val="00C67AD1"/>
    <w:rsid w:val="00C72996"/>
    <w:rsid w:val="00C74394"/>
    <w:rsid w:val="00C7742E"/>
    <w:rsid w:val="00C8363A"/>
    <w:rsid w:val="00C8486B"/>
    <w:rsid w:val="00C84D57"/>
    <w:rsid w:val="00C86B2A"/>
    <w:rsid w:val="00C90373"/>
    <w:rsid w:val="00C91225"/>
    <w:rsid w:val="00C91B16"/>
    <w:rsid w:val="00C923A9"/>
    <w:rsid w:val="00C954DB"/>
    <w:rsid w:val="00C95BCE"/>
    <w:rsid w:val="00C970C4"/>
    <w:rsid w:val="00C97DC1"/>
    <w:rsid w:val="00CA5867"/>
    <w:rsid w:val="00CA5D8E"/>
    <w:rsid w:val="00CB1893"/>
    <w:rsid w:val="00CB586C"/>
    <w:rsid w:val="00CB7F9B"/>
    <w:rsid w:val="00CC2463"/>
    <w:rsid w:val="00CC40C3"/>
    <w:rsid w:val="00CC5C5B"/>
    <w:rsid w:val="00CD0F3E"/>
    <w:rsid w:val="00CD7026"/>
    <w:rsid w:val="00CE00CC"/>
    <w:rsid w:val="00CE2B49"/>
    <w:rsid w:val="00CE3FED"/>
    <w:rsid w:val="00CF017A"/>
    <w:rsid w:val="00CF07F4"/>
    <w:rsid w:val="00CF147C"/>
    <w:rsid w:val="00CF1623"/>
    <w:rsid w:val="00CF18E5"/>
    <w:rsid w:val="00CF6222"/>
    <w:rsid w:val="00CF6AA2"/>
    <w:rsid w:val="00CF74BA"/>
    <w:rsid w:val="00D02A3B"/>
    <w:rsid w:val="00D04BCB"/>
    <w:rsid w:val="00D06CE3"/>
    <w:rsid w:val="00D10E34"/>
    <w:rsid w:val="00D145FD"/>
    <w:rsid w:val="00D22E77"/>
    <w:rsid w:val="00D30975"/>
    <w:rsid w:val="00D30DE4"/>
    <w:rsid w:val="00D33A78"/>
    <w:rsid w:val="00D34068"/>
    <w:rsid w:val="00D37AC5"/>
    <w:rsid w:val="00D37D16"/>
    <w:rsid w:val="00D520C3"/>
    <w:rsid w:val="00D558B8"/>
    <w:rsid w:val="00D6036D"/>
    <w:rsid w:val="00D61A6C"/>
    <w:rsid w:val="00D635D3"/>
    <w:rsid w:val="00D64514"/>
    <w:rsid w:val="00D64E55"/>
    <w:rsid w:val="00D660E8"/>
    <w:rsid w:val="00D67F7F"/>
    <w:rsid w:val="00D7193C"/>
    <w:rsid w:val="00D72307"/>
    <w:rsid w:val="00D74866"/>
    <w:rsid w:val="00D76D2F"/>
    <w:rsid w:val="00D77185"/>
    <w:rsid w:val="00D77792"/>
    <w:rsid w:val="00D80917"/>
    <w:rsid w:val="00D84685"/>
    <w:rsid w:val="00D8507B"/>
    <w:rsid w:val="00D8563C"/>
    <w:rsid w:val="00D86F3D"/>
    <w:rsid w:val="00D90028"/>
    <w:rsid w:val="00D937EF"/>
    <w:rsid w:val="00DA1360"/>
    <w:rsid w:val="00DA4F2C"/>
    <w:rsid w:val="00DA6F46"/>
    <w:rsid w:val="00DB15F1"/>
    <w:rsid w:val="00DB45B2"/>
    <w:rsid w:val="00DB5D2B"/>
    <w:rsid w:val="00DB5F84"/>
    <w:rsid w:val="00DC20AB"/>
    <w:rsid w:val="00DC4237"/>
    <w:rsid w:val="00DC459B"/>
    <w:rsid w:val="00DC534D"/>
    <w:rsid w:val="00DC556F"/>
    <w:rsid w:val="00DC5795"/>
    <w:rsid w:val="00DC7D86"/>
    <w:rsid w:val="00DD01E9"/>
    <w:rsid w:val="00DD1C44"/>
    <w:rsid w:val="00DD5B10"/>
    <w:rsid w:val="00DD5CB2"/>
    <w:rsid w:val="00DD5F6F"/>
    <w:rsid w:val="00DE1CA0"/>
    <w:rsid w:val="00DE4F58"/>
    <w:rsid w:val="00DE5EC0"/>
    <w:rsid w:val="00DE5F73"/>
    <w:rsid w:val="00DE6A9E"/>
    <w:rsid w:val="00DF148C"/>
    <w:rsid w:val="00E0253E"/>
    <w:rsid w:val="00E05B6D"/>
    <w:rsid w:val="00E064C7"/>
    <w:rsid w:val="00E103C5"/>
    <w:rsid w:val="00E1365F"/>
    <w:rsid w:val="00E14A4B"/>
    <w:rsid w:val="00E14B58"/>
    <w:rsid w:val="00E152AC"/>
    <w:rsid w:val="00E15F40"/>
    <w:rsid w:val="00E17D68"/>
    <w:rsid w:val="00E2098D"/>
    <w:rsid w:val="00E2476D"/>
    <w:rsid w:val="00E25ED1"/>
    <w:rsid w:val="00E25EFF"/>
    <w:rsid w:val="00E25F33"/>
    <w:rsid w:val="00E25F66"/>
    <w:rsid w:val="00E27487"/>
    <w:rsid w:val="00E27523"/>
    <w:rsid w:val="00E321B3"/>
    <w:rsid w:val="00E325E7"/>
    <w:rsid w:val="00E326E2"/>
    <w:rsid w:val="00E34B2B"/>
    <w:rsid w:val="00E35356"/>
    <w:rsid w:val="00E36CFE"/>
    <w:rsid w:val="00E44762"/>
    <w:rsid w:val="00E45A62"/>
    <w:rsid w:val="00E45D6E"/>
    <w:rsid w:val="00E476DD"/>
    <w:rsid w:val="00E503EE"/>
    <w:rsid w:val="00E51AD3"/>
    <w:rsid w:val="00E52834"/>
    <w:rsid w:val="00E54399"/>
    <w:rsid w:val="00E54C06"/>
    <w:rsid w:val="00E56AEF"/>
    <w:rsid w:val="00E56E23"/>
    <w:rsid w:val="00E604BF"/>
    <w:rsid w:val="00E622E0"/>
    <w:rsid w:val="00E62771"/>
    <w:rsid w:val="00E630FE"/>
    <w:rsid w:val="00E6617F"/>
    <w:rsid w:val="00E73FF0"/>
    <w:rsid w:val="00E750C6"/>
    <w:rsid w:val="00E77C4B"/>
    <w:rsid w:val="00E812EB"/>
    <w:rsid w:val="00E847F5"/>
    <w:rsid w:val="00E85422"/>
    <w:rsid w:val="00E91FF9"/>
    <w:rsid w:val="00EA4F48"/>
    <w:rsid w:val="00EA5C6C"/>
    <w:rsid w:val="00EA6DD6"/>
    <w:rsid w:val="00EB31BE"/>
    <w:rsid w:val="00EB7A62"/>
    <w:rsid w:val="00EC0FB2"/>
    <w:rsid w:val="00EC1D2B"/>
    <w:rsid w:val="00EC52AE"/>
    <w:rsid w:val="00EC68C8"/>
    <w:rsid w:val="00EC7298"/>
    <w:rsid w:val="00EC7B43"/>
    <w:rsid w:val="00ED35E5"/>
    <w:rsid w:val="00EE199A"/>
    <w:rsid w:val="00EE27FE"/>
    <w:rsid w:val="00EE533A"/>
    <w:rsid w:val="00EE6CC4"/>
    <w:rsid w:val="00EF34E7"/>
    <w:rsid w:val="00EF3713"/>
    <w:rsid w:val="00EF544E"/>
    <w:rsid w:val="00EF6BB6"/>
    <w:rsid w:val="00EF7A69"/>
    <w:rsid w:val="00F00C07"/>
    <w:rsid w:val="00F0235B"/>
    <w:rsid w:val="00F1239E"/>
    <w:rsid w:val="00F150EE"/>
    <w:rsid w:val="00F157A4"/>
    <w:rsid w:val="00F2162B"/>
    <w:rsid w:val="00F2384D"/>
    <w:rsid w:val="00F25DFB"/>
    <w:rsid w:val="00F31319"/>
    <w:rsid w:val="00F3658E"/>
    <w:rsid w:val="00F36B11"/>
    <w:rsid w:val="00F37E60"/>
    <w:rsid w:val="00F414A7"/>
    <w:rsid w:val="00F44492"/>
    <w:rsid w:val="00F448BD"/>
    <w:rsid w:val="00F47B57"/>
    <w:rsid w:val="00F47D95"/>
    <w:rsid w:val="00F532BC"/>
    <w:rsid w:val="00F53C5D"/>
    <w:rsid w:val="00F54FE6"/>
    <w:rsid w:val="00F5559E"/>
    <w:rsid w:val="00F566BF"/>
    <w:rsid w:val="00F611A7"/>
    <w:rsid w:val="00F674B8"/>
    <w:rsid w:val="00F710B8"/>
    <w:rsid w:val="00F71372"/>
    <w:rsid w:val="00F71C2D"/>
    <w:rsid w:val="00F7318B"/>
    <w:rsid w:val="00F752B7"/>
    <w:rsid w:val="00F759FB"/>
    <w:rsid w:val="00F776E6"/>
    <w:rsid w:val="00F84258"/>
    <w:rsid w:val="00F84FFC"/>
    <w:rsid w:val="00F91EC9"/>
    <w:rsid w:val="00F92B48"/>
    <w:rsid w:val="00F93F5F"/>
    <w:rsid w:val="00F96579"/>
    <w:rsid w:val="00FA0D29"/>
    <w:rsid w:val="00FA2317"/>
    <w:rsid w:val="00FA2A26"/>
    <w:rsid w:val="00FA2F11"/>
    <w:rsid w:val="00FA5F73"/>
    <w:rsid w:val="00FA777D"/>
    <w:rsid w:val="00FB2A19"/>
    <w:rsid w:val="00FB5FB9"/>
    <w:rsid w:val="00FC068A"/>
    <w:rsid w:val="00FC37A6"/>
    <w:rsid w:val="00FC3E1E"/>
    <w:rsid w:val="00FC7733"/>
    <w:rsid w:val="00FD3DA3"/>
    <w:rsid w:val="00FD4ED5"/>
    <w:rsid w:val="00FD6589"/>
    <w:rsid w:val="00FD675E"/>
    <w:rsid w:val="00FE2121"/>
    <w:rsid w:val="00FE2571"/>
    <w:rsid w:val="00FE3A64"/>
    <w:rsid w:val="00FF0258"/>
    <w:rsid w:val="00FF0CFD"/>
    <w:rsid w:val="00FF0D88"/>
    <w:rsid w:val="00FF2308"/>
    <w:rsid w:val="00FF24A9"/>
    <w:rsid w:val="00FF2C2D"/>
    <w:rsid w:val="00FF4811"/>
    <w:rsid w:val="00FF6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4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218F"/>
    <w:pPr>
      <w:autoSpaceDE w:val="0"/>
      <w:autoSpaceDN w:val="0"/>
    </w:pPr>
    <w:rPr>
      <w:lang w:val="en-AU"/>
    </w:rPr>
  </w:style>
  <w:style w:type="paragraph" w:styleId="Antrat4">
    <w:name w:val="heading 4"/>
    <w:basedOn w:val="prastasis"/>
    <w:next w:val="prastasis"/>
    <w:qFormat/>
    <w:rsid w:val="00B0218F"/>
    <w:pPr>
      <w:keepNext/>
      <w:tabs>
        <w:tab w:val="left" w:pos="0"/>
      </w:tabs>
      <w:spacing w:line="360" w:lineRule="auto"/>
      <w:ind w:firstLine="720"/>
      <w:jc w:val="both"/>
      <w:outlineLvl w:val="3"/>
    </w:pPr>
    <w:rPr>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B0218F"/>
    <w:pPr>
      <w:jc w:val="center"/>
    </w:pPr>
    <w:rPr>
      <w:b/>
      <w:bCs/>
      <w:sz w:val="24"/>
      <w:szCs w:val="24"/>
      <w:lang w:val="lt-LT"/>
    </w:rPr>
  </w:style>
  <w:style w:type="paragraph" w:styleId="Pagrindinistekstas">
    <w:name w:val="Body Text"/>
    <w:basedOn w:val="prastasis"/>
    <w:rsid w:val="00B0218F"/>
    <w:pPr>
      <w:jc w:val="both"/>
    </w:pPr>
    <w:rPr>
      <w:sz w:val="24"/>
      <w:szCs w:val="24"/>
      <w:lang w:val="lt-LT"/>
    </w:rPr>
  </w:style>
  <w:style w:type="paragraph" w:styleId="Pagrindiniotekstotrauka">
    <w:name w:val="Body Text Indent"/>
    <w:basedOn w:val="prastasis"/>
    <w:rsid w:val="00B0218F"/>
    <w:pPr>
      <w:adjustRightInd w:val="0"/>
      <w:ind w:firstLine="709"/>
      <w:jc w:val="both"/>
    </w:pPr>
    <w:rPr>
      <w:sz w:val="24"/>
      <w:szCs w:val="24"/>
      <w:lang w:val="lt-LT"/>
    </w:rPr>
  </w:style>
  <w:style w:type="paragraph" w:customStyle="1" w:styleId="statymopavad">
    <w:name w:val="Įstatymo pavad."/>
    <w:basedOn w:val="prastasis"/>
    <w:rsid w:val="00B0218F"/>
    <w:pPr>
      <w:autoSpaceDE/>
      <w:autoSpaceDN/>
      <w:spacing w:line="360" w:lineRule="auto"/>
      <w:ind w:firstLine="720"/>
      <w:jc w:val="center"/>
    </w:pPr>
    <w:rPr>
      <w:rFonts w:ascii="TimesLT" w:hAnsi="TimesLT" w:cs="TimesLT"/>
      <w:caps/>
      <w:sz w:val="24"/>
      <w:szCs w:val="24"/>
      <w:lang w:val="lt-LT" w:eastAsia="en-US"/>
    </w:rPr>
  </w:style>
  <w:style w:type="paragraph" w:customStyle="1" w:styleId="BodyText21">
    <w:name w:val="Body Text 21"/>
    <w:basedOn w:val="prastasis"/>
    <w:rsid w:val="00B0218F"/>
    <w:pPr>
      <w:ind w:firstLine="720"/>
      <w:jc w:val="both"/>
    </w:pPr>
    <w:rPr>
      <w:rFonts w:ascii="TimesLT" w:hAnsi="TimesLT" w:cs="TimesLT"/>
      <w:sz w:val="24"/>
      <w:szCs w:val="24"/>
      <w:lang w:val="lt-LT"/>
    </w:rPr>
  </w:style>
  <w:style w:type="paragraph" w:styleId="Pagrindinistekstas2">
    <w:name w:val="Body Text 2"/>
    <w:basedOn w:val="prastasis"/>
    <w:rsid w:val="00B0218F"/>
    <w:pPr>
      <w:spacing w:after="120" w:line="480" w:lineRule="auto"/>
    </w:pPr>
  </w:style>
  <w:style w:type="paragraph" w:styleId="Pagrindinistekstas3">
    <w:name w:val="Body Text 3"/>
    <w:basedOn w:val="prastasis"/>
    <w:rsid w:val="00B0218F"/>
    <w:pPr>
      <w:jc w:val="center"/>
    </w:pPr>
    <w:rPr>
      <w:b/>
      <w:bCs/>
      <w:sz w:val="24"/>
      <w:szCs w:val="24"/>
      <w:lang w:val="lt-LT"/>
    </w:rPr>
  </w:style>
  <w:style w:type="paragraph" w:customStyle="1" w:styleId="CharChar">
    <w:name w:val="Char Char"/>
    <w:basedOn w:val="prastasis"/>
    <w:rsid w:val="0036656B"/>
    <w:pPr>
      <w:widowControl w:val="0"/>
      <w:autoSpaceDE/>
      <w:autoSpaceDN/>
      <w:adjustRightInd w:val="0"/>
      <w:spacing w:after="160" w:line="240" w:lineRule="exact"/>
      <w:jc w:val="both"/>
      <w:textAlignment w:val="baseline"/>
    </w:pPr>
    <w:rPr>
      <w:rFonts w:ascii="Tahoma" w:hAnsi="Tahoma"/>
      <w:lang w:val="en-US" w:eastAsia="en-US"/>
    </w:rPr>
  </w:style>
  <w:style w:type="paragraph" w:styleId="Antrats">
    <w:name w:val="header"/>
    <w:aliases w:val="Char,Diagrama"/>
    <w:basedOn w:val="prastasis"/>
    <w:link w:val="AntratsDiagrama"/>
    <w:rsid w:val="00E064C7"/>
    <w:pPr>
      <w:tabs>
        <w:tab w:val="center" w:pos="4153"/>
        <w:tab w:val="right" w:pos="8306"/>
      </w:tabs>
      <w:overflowPunct w:val="0"/>
      <w:adjustRightInd w:val="0"/>
      <w:jc w:val="both"/>
    </w:pPr>
    <w:rPr>
      <w:sz w:val="24"/>
      <w:lang w:val="lt-LT"/>
    </w:rPr>
  </w:style>
  <w:style w:type="paragraph" w:styleId="Porat">
    <w:name w:val="footer"/>
    <w:basedOn w:val="prastasis"/>
    <w:link w:val="PoratDiagrama"/>
    <w:uiPriority w:val="99"/>
    <w:rsid w:val="00F47B57"/>
    <w:pPr>
      <w:tabs>
        <w:tab w:val="center" w:pos="4819"/>
        <w:tab w:val="right" w:pos="9638"/>
      </w:tabs>
    </w:pPr>
  </w:style>
  <w:style w:type="character" w:styleId="Puslapionumeris">
    <w:name w:val="page number"/>
    <w:basedOn w:val="Numatytasispastraiposriftas"/>
    <w:rsid w:val="00F47B57"/>
  </w:style>
  <w:style w:type="paragraph" w:customStyle="1" w:styleId="CharCharDiagramaCharChar">
    <w:name w:val="Char Char Diagrama Char Char"/>
    <w:basedOn w:val="prastasis"/>
    <w:rsid w:val="00DD01E9"/>
    <w:pPr>
      <w:widowControl w:val="0"/>
      <w:autoSpaceDE/>
      <w:autoSpaceDN/>
      <w:adjustRightInd w:val="0"/>
      <w:spacing w:after="160" w:line="240" w:lineRule="exact"/>
      <w:jc w:val="both"/>
      <w:textAlignment w:val="baseline"/>
    </w:pPr>
    <w:rPr>
      <w:rFonts w:ascii="Tahoma" w:hAnsi="Tahoma"/>
      <w:lang w:val="en-US" w:eastAsia="en-US"/>
    </w:rPr>
  </w:style>
  <w:style w:type="character" w:styleId="Hipersaitas">
    <w:name w:val="Hyperlink"/>
    <w:basedOn w:val="Numatytasispastraiposriftas"/>
    <w:rsid w:val="000B68B9"/>
    <w:rPr>
      <w:color w:val="0000FF"/>
      <w:u w:val="single"/>
    </w:rPr>
  </w:style>
  <w:style w:type="paragraph" w:styleId="Betarp">
    <w:name w:val="No Spacing"/>
    <w:qFormat/>
    <w:rsid w:val="000B68B9"/>
    <w:rPr>
      <w:rFonts w:ascii="Calibri" w:eastAsia="Calibri" w:hAnsi="Calibri"/>
      <w:sz w:val="22"/>
      <w:szCs w:val="22"/>
      <w:lang w:val="ru-RU" w:eastAsia="en-US"/>
    </w:rPr>
  </w:style>
  <w:style w:type="paragraph" w:styleId="Debesliotekstas">
    <w:name w:val="Balloon Text"/>
    <w:basedOn w:val="prastasis"/>
    <w:link w:val="DebesliotekstasDiagrama"/>
    <w:uiPriority w:val="99"/>
    <w:semiHidden/>
    <w:unhideWhenUsed/>
    <w:rsid w:val="008429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2931"/>
    <w:rPr>
      <w:rFonts w:ascii="Tahoma" w:hAnsi="Tahoma" w:cs="Tahoma"/>
      <w:sz w:val="16"/>
      <w:szCs w:val="16"/>
      <w:lang w:val="en-AU"/>
    </w:rPr>
  </w:style>
  <w:style w:type="character" w:styleId="Komentaronuoroda">
    <w:name w:val="annotation reference"/>
    <w:basedOn w:val="Numatytasispastraiposriftas"/>
    <w:uiPriority w:val="99"/>
    <w:semiHidden/>
    <w:unhideWhenUsed/>
    <w:rsid w:val="00E0253E"/>
    <w:rPr>
      <w:sz w:val="16"/>
      <w:szCs w:val="16"/>
    </w:rPr>
  </w:style>
  <w:style w:type="paragraph" w:styleId="Komentarotekstas">
    <w:name w:val="annotation text"/>
    <w:basedOn w:val="prastasis"/>
    <w:link w:val="KomentarotekstasDiagrama"/>
    <w:uiPriority w:val="99"/>
    <w:semiHidden/>
    <w:unhideWhenUsed/>
    <w:rsid w:val="00E0253E"/>
  </w:style>
  <w:style w:type="character" w:customStyle="1" w:styleId="KomentarotekstasDiagrama">
    <w:name w:val="Komentaro tekstas Diagrama"/>
    <w:basedOn w:val="Numatytasispastraiposriftas"/>
    <w:link w:val="Komentarotekstas"/>
    <w:uiPriority w:val="99"/>
    <w:semiHidden/>
    <w:rsid w:val="00E0253E"/>
    <w:rPr>
      <w:lang w:val="en-AU"/>
    </w:rPr>
  </w:style>
  <w:style w:type="paragraph" w:styleId="Komentarotema">
    <w:name w:val="annotation subject"/>
    <w:basedOn w:val="Komentarotekstas"/>
    <w:next w:val="Komentarotekstas"/>
    <w:link w:val="KomentarotemaDiagrama"/>
    <w:uiPriority w:val="99"/>
    <w:semiHidden/>
    <w:unhideWhenUsed/>
    <w:rsid w:val="00E0253E"/>
    <w:rPr>
      <w:b/>
      <w:bCs/>
    </w:rPr>
  </w:style>
  <w:style w:type="character" w:customStyle="1" w:styleId="KomentarotemaDiagrama">
    <w:name w:val="Komentaro tema Diagrama"/>
    <w:basedOn w:val="KomentarotekstasDiagrama"/>
    <w:link w:val="Komentarotema"/>
    <w:uiPriority w:val="99"/>
    <w:semiHidden/>
    <w:rsid w:val="00E0253E"/>
    <w:rPr>
      <w:b/>
      <w:bCs/>
      <w:lang w:val="en-AU"/>
    </w:rPr>
  </w:style>
  <w:style w:type="paragraph" w:styleId="Pataisymai">
    <w:name w:val="Revision"/>
    <w:hidden/>
    <w:uiPriority w:val="99"/>
    <w:semiHidden/>
    <w:rsid w:val="00E0253E"/>
    <w:rPr>
      <w:lang w:val="en-AU"/>
    </w:rPr>
  </w:style>
  <w:style w:type="paragraph" w:styleId="HTMLiankstoformatuotas">
    <w:name w:val="HTML Preformatted"/>
    <w:basedOn w:val="prastasis"/>
    <w:link w:val="HTMLiankstoformatuotasDiagrama"/>
    <w:rsid w:val="00036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lt-LT"/>
    </w:rPr>
  </w:style>
  <w:style w:type="character" w:customStyle="1" w:styleId="HTMLiankstoformatuotasDiagrama">
    <w:name w:val="HTML iš anksto formatuotas Diagrama"/>
    <w:basedOn w:val="Numatytasispastraiposriftas"/>
    <w:link w:val="HTMLiankstoformatuotas"/>
    <w:rsid w:val="000362A3"/>
    <w:rPr>
      <w:rFonts w:ascii="Courier New" w:hAnsi="Courier New" w:cs="Courier New"/>
    </w:rPr>
  </w:style>
  <w:style w:type="character" w:customStyle="1" w:styleId="AntratsDiagrama">
    <w:name w:val="Antraštės Diagrama"/>
    <w:aliases w:val="Char Diagrama,Diagrama Diagrama"/>
    <w:link w:val="Antrats"/>
    <w:locked/>
    <w:rsid w:val="00D937EF"/>
    <w:rPr>
      <w:sz w:val="24"/>
    </w:rPr>
  </w:style>
  <w:style w:type="character" w:styleId="Perirtashipersaitas">
    <w:name w:val="FollowedHyperlink"/>
    <w:basedOn w:val="Numatytasispastraiposriftas"/>
    <w:uiPriority w:val="99"/>
    <w:semiHidden/>
    <w:unhideWhenUsed/>
    <w:rsid w:val="00D76D2F"/>
    <w:rPr>
      <w:color w:val="800080" w:themeColor="followedHyperlink"/>
      <w:u w:val="single"/>
    </w:rPr>
  </w:style>
  <w:style w:type="table" w:styleId="Lentelstinklelis">
    <w:name w:val="Table Grid"/>
    <w:basedOn w:val="prastojilentel"/>
    <w:uiPriority w:val="59"/>
    <w:rsid w:val="00A3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unhideWhenUsed/>
    <w:rsid w:val="00212B3E"/>
    <w:pPr>
      <w:autoSpaceDE/>
      <w:autoSpaceDN/>
      <w:spacing w:before="100" w:beforeAutospacing="1" w:after="100" w:afterAutospacing="1"/>
    </w:pPr>
    <w:rPr>
      <w:sz w:val="24"/>
      <w:szCs w:val="24"/>
      <w:lang w:val="lt-LT"/>
    </w:rPr>
  </w:style>
  <w:style w:type="paragraph" w:styleId="Sraopastraipa">
    <w:name w:val="List Paragraph"/>
    <w:basedOn w:val="prastasis"/>
    <w:uiPriority w:val="34"/>
    <w:qFormat/>
    <w:rsid w:val="009D607B"/>
    <w:pPr>
      <w:autoSpaceDE/>
      <w:autoSpaceDN/>
      <w:spacing w:after="200" w:line="276" w:lineRule="auto"/>
      <w:ind w:left="720"/>
      <w:contextualSpacing/>
    </w:pPr>
    <w:rPr>
      <w:rFonts w:asciiTheme="minorHAnsi" w:eastAsiaTheme="minorHAnsi" w:hAnsiTheme="minorHAnsi" w:cstheme="minorBidi"/>
      <w:sz w:val="22"/>
      <w:szCs w:val="22"/>
      <w:lang w:val="lt-LT" w:eastAsia="en-US"/>
    </w:rPr>
  </w:style>
  <w:style w:type="character" w:customStyle="1" w:styleId="PoratDiagrama">
    <w:name w:val="Poraštė Diagrama"/>
    <w:basedOn w:val="Numatytasispastraiposriftas"/>
    <w:link w:val="Porat"/>
    <w:uiPriority w:val="99"/>
    <w:rsid w:val="00F710B8"/>
    <w:rPr>
      <w:lang w:val="en-AU"/>
    </w:rPr>
  </w:style>
  <w:style w:type="paragraph" w:styleId="Dokumentoinaostekstas">
    <w:name w:val="endnote text"/>
    <w:basedOn w:val="prastasis"/>
    <w:link w:val="DokumentoinaostekstasDiagrama"/>
    <w:uiPriority w:val="99"/>
    <w:semiHidden/>
    <w:unhideWhenUsed/>
    <w:rsid w:val="00BA78D0"/>
  </w:style>
  <w:style w:type="character" w:customStyle="1" w:styleId="DokumentoinaostekstasDiagrama">
    <w:name w:val="Dokumento išnašos tekstas Diagrama"/>
    <w:basedOn w:val="Numatytasispastraiposriftas"/>
    <w:link w:val="Dokumentoinaostekstas"/>
    <w:uiPriority w:val="99"/>
    <w:semiHidden/>
    <w:rsid w:val="00BA78D0"/>
    <w:rPr>
      <w:lang w:val="en-AU"/>
    </w:rPr>
  </w:style>
  <w:style w:type="character" w:styleId="Dokumentoinaosnumeris">
    <w:name w:val="endnote reference"/>
    <w:basedOn w:val="Numatytasispastraiposriftas"/>
    <w:uiPriority w:val="99"/>
    <w:semiHidden/>
    <w:unhideWhenUsed/>
    <w:rsid w:val="00BA78D0"/>
    <w:rPr>
      <w:vertAlign w:val="superscript"/>
    </w:rPr>
  </w:style>
  <w:style w:type="paragraph" w:styleId="Puslapioinaostekstas">
    <w:name w:val="footnote text"/>
    <w:basedOn w:val="prastasis"/>
    <w:link w:val="PuslapioinaostekstasDiagrama"/>
    <w:uiPriority w:val="99"/>
    <w:semiHidden/>
    <w:unhideWhenUsed/>
    <w:rsid w:val="00BA78D0"/>
  </w:style>
  <w:style w:type="character" w:customStyle="1" w:styleId="PuslapioinaostekstasDiagrama">
    <w:name w:val="Puslapio išnašos tekstas Diagrama"/>
    <w:basedOn w:val="Numatytasispastraiposriftas"/>
    <w:link w:val="Puslapioinaostekstas"/>
    <w:uiPriority w:val="99"/>
    <w:semiHidden/>
    <w:rsid w:val="00BA78D0"/>
    <w:rPr>
      <w:lang w:val="en-AU"/>
    </w:rPr>
  </w:style>
  <w:style w:type="character" w:styleId="Puslapioinaosnuoroda">
    <w:name w:val="footnote reference"/>
    <w:basedOn w:val="Numatytasispastraiposriftas"/>
    <w:uiPriority w:val="99"/>
    <w:semiHidden/>
    <w:unhideWhenUsed/>
    <w:rsid w:val="00BA78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218F"/>
    <w:pPr>
      <w:autoSpaceDE w:val="0"/>
      <w:autoSpaceDN w:val="0"/>
    </w:pPr>
    <w:rPr>
      <w:lang w:val="en-AU"/>
    </w:rPr>
  </w:style>
  <w:style w:type="paragraph" w:styleId="Antrat4">
    <w:name w:val="heading 4"/>
    <w:basedOn w:val="prastasis"/>
    <w:next w:val="prastasis"/>
    <w:qFormat/>
    <w:rsid w:val="00B0218F"/>
    <w:pPr>
      <w:keepNext/>
      <w:tabs>
        <w:tab w:val="left" w:pos="0"/>
      </w:tabs>
      <w:spacing w:line="360" w:lineRule="auto"/>
      <w:ind w:firstLine="720"/>
      <w:jc w:val="both"/>
      <w:outlineLvl w:val="3"/>
    </w:pPr>
    <w:rPr>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B0218F"/>
    <w:pPr>
      <w:jc w:val="center"/>
    </w:pPr>
    <w:rPr>
      <w:b/>
      <w:bCs/>
      <w:sz w:val="24"/>
      <w:szCs w:val="24"/>
      <w:lang w:val="lt-LT"/>
    </w:rPr>
  </w:style>
  <w:style w:type="paragraph" w:styleId="Pagrindinistekstas">
    <w:name w:val="Body Text"/>
    <w:basedOn w:val="prastasis"/>
    <w:rsid w:val="00B0218F"/>
    <w:pPr>
      <w:jc w:val="both"/>
    </w:pPr>
    <w:rPr>
      <w:sz w:val="24"/>
      <w:szCs w:val="24"/>
      <w:lang w:val="lt-LT"/>
    </w:rPr>
  </w:style>
  <w:style w:type="paragraph" w:styleId="Pagrindiniotekstotrauka">
    <w:name w:val="Body Text Indent"/>
    <w:basedOn w:val="prastasis"/>
    <w:rsid w:val="00B0218F"/>
    <w:pPr>
      <w:adjustRightInd w:val="0"/>
      <w:ind w:firstLine="709"/>
      <w:jc w:val="both"/>
    </w:pPr>
    <w:rPr>
      <w:sz w:val="24"/>
      <w:szCs w:val="24"/>
      <w:lang w:val="lt-LT"/>
    </w:rPr>
  </w:style>
  <w:style w:type="paragraph" w:customStyle="1" w:styleId="statymopavad">
    <w:name w:val="Įstatymo pavad."/>
    <w:basedOn w:val="prastasis"/>
    <w:rsid w:val="00B0218F"/>
    <w:pPr>
      <w:autoSpaceDE/>
      <w:autoSpaceDN/>
      <w:spacing w:line="360" w:lineRule="auto"/>
      <w:ind w:firstLine="720"/>
      <w:jc w:val="center"/>
    </w:pPr>
    <w:rPr>
      <w:rFonts w:ascii="TimesLT" w:hAnsi="TimesLT" w:cs="TimesLT"/>
      <w:caps/>
      <w:sz w:val="24"/>
      <w:szCs w:val="24"/>
      <w:lang w:val="lt-LT" w:eastAsia="en-US"/>
    </w:rPr>
  </w:style>
  <w:style w:type="paragraph" w:customStyle="1" w:styleId="BodyText21">
    <w:name w:val="Body Text 21"/>
    <w:basedOn w:val="prastasis"/>
    <w:rsid w:val="00B0218F"/>
    <w:pPr>
      <w:ind w:firstLine="720"/>
      <w:jc w:val="both"/>
    </w:pPr>
    <w:rPr>
      <w:rFonts w:ascii="TimesLT" w:hAnsi="TimesLT" w:cs="TimesLT"/>
      <w:sz w:val="24"/>
      <w:szCs w:val="24"/>
      <w:lang w:val="lt-LT"/>
    </w:rPr>
  </w:style>
  <w:style w:type="paragraph" w:styleId="Pagrindinistekstas2">
    <w:name w:val="Body Text 2"/>
    <w:basedOn w:val="prastasis"/>
    <w:rsid w:val="00B0218F"/>
    <w:pPr>
      <w:spacing w:after="120" w:line="480" w:lineRule="auto"/>
    </w:pPr>
  </w:style>
  <w:style w:type="paragraph" w:styleId="Pagrindinistekstas3">
    <w:name w:val="Body Text 3"/>
    <w:basedOn w:val="prastasis"/>
    <w:rsid w:val="00B0218F"/>
    <w:pPr>
      <w:jc w:val="center"/>
    </w:pPr>
    <w:rPr>
      <w:b/>
      <w:bCs/>
      <w:sz w:val="24"/>
      <w:szCs w:val="24"/>
      <w:lang w:val="lt-LT"/>
    </w:rPr>
  </w:style>
  <w:style w:type="paragraph" w:customStyle="1" w:styleId="CharChar">
    <w:name w:val="Char Char"/>
    <w:basedOn w:val="prastasis"/>
    <w:rsid w:val="0036656B"/>
    <w:pPr>
      <w:widowControl w:val="0"/>
      <w:autoSpaceDE/>
      <w:autoSpaceDN/>
      <w:adjustRightInd w:val="0"/>
      <w:spacing w:after="160" w:line="240" w:lineRule="exact"/>
      <w:jc w:val="both"/>
      <w:textAlignment w:val="baseline"/>
    </w:pPr>
    <w:rPr>
      <w:rFonts w:ascii="Tahoma" w:hAnsi="Tahoma"/>
      <w:lang w:val="en-US" w:eastAsia="en-US"/>
    </w:rPr>
  </w:style>
  <w:style w:type="paragraph" w:styleId="Antrats">
    <w:name w:val="header"/>
    <w:aliases w:val="Char,Diagrama"/>
    <w:basedOn w:val="prastasis"/>
    <w:link w:val="AntratsDiagrama"/>
    <w:rsid w:val="00E064C7"/>
    <w:pPr>
      <w:tabs>
        <w:tab w:val="center" w:pos="4153"/>
        <w:tab w:val="right" w:pos="8306"/>
      </w:tabs>
      <w:overflowPunct w:val="0"/>
      <w:adjustRightInd w:val="0"/>
      <w:jc w:val="both"/>
    </w:pPr>
    <w:rPr>
      <w:sz w:val="24"/>
      <w:lang w:val="lt-LT"/>
    </w:rPr>
  </w:style>
  <w:style w:type="paragraph" w:styleId="Porat">
    <w:name w:val="footer"/>
    <w:basedOn w:val="prastasis"/>
    <w:link w:val="PoratDiagrama"/>
    <w:uiPriority w:val="99"/>
    <w:rsid w:val="00F47B57"/>
    <w:pPr>
      <w:tabs>
        <w:tab w:val="center" w:pos="4819"/>
        <w:tab w:val="right" w:pos="9638"/>
      </w:tabs>
    </w:pPr>
  </w:style>
  <w:style w:type="character" w:styleId="Puslapionumeris">
    <w:name w:val="page number"/>
    <w:basedOn w:val="Numatytasispastraiposriftas"/>
    <w:rsid w:val="00F47B57"/>
  </w:style>
  <w:style w:type="paragraph" w:customStyle="1" w:styleId="CharCharDiagramaCharChar">
    <w:name w:val="Char Char Diagrama Char Char"/>
    <w:basedOn w:val="prastasis"/>
    <w:rsid w:val="00DD01E9"/>
    <w:pPr>
      <w:widowControl w:val="0"/>
      <w:autoSpaceDE/>
      <w:autoSpaceDN/>
      <w:adjustRightInd w:val="0"/>
      <w:spacing w:after="160" w:line="240" w:lineRule="exact"/>
      <w:jc w:val="both"/>
      <w:textAlignment w:val="baseline"/>
    </w:pPr>
    <w:rPr>
      <w:rFonts w:ascii="Tahoma" w:hAnsi="Tahoma"/>
      <w:lang w:val="en-US" w:eastAsia="en-US"/>
    </w:rPr>
  </w:style>
  <w:style w:type="character" w:styleId="Hipersaitas">
    <w:name w:val="Hyperlink"/>
    <w:basedOn w:val="Numatytasispastraiposriftas"/>
    <w:rsid w:val="000B68B9"/>
    <w:rPr>
      <w:color w:val="0000FF"/>
      <w:u w:val="single"/>
    </w:rPr>
  </w:style>
  <w:style w:type="paragraph" w:styleId="Betarp">
    <w:name w:val="No Spacing"/>
    <w:qFormat/>
    <w:rsid w:val="000B68B9"/>
    <w:rPr>
      <w:rFonts w:ascii="Calibri" w:eastAsia="Calibri" w:hAnsi="Calibri"/>
      <w:sz w:val="22"/>
      <w:szCs w:val="22"/>
      <w:lang w:val="ru-RU" w:eastAsia="en-US"/>
    </w:rPr>
  </w:style>
  <w:style w:type="paragraph" w:styleId="Debesliotekstas">
    <w:name w:val="Balloon Text"/>
    <w:basedOn w:val="prastasis"/>
    <w:link w:val="DebesliotekstasDiagrama"/>
    <w:uiPriority w:val="99"/>
    <w:semiHidden/>
    <w:unhideWhenUsed/>
    <w:rsid w:val="008429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2931"/>
    <w:rPr>
      <w:rFonts w:ascii="Tahoma" w:hAnsi="Tahoma" w:cs="Tahoma"/>
      <w:sz w:val="16"/>
      <w:szCs w:val="16"/>
      <w:lang w:val="en-AU"/>
    </w:rPr>
  </w:style>
  <w:style w:type="character" w:styleId="Komentaronuoroda">
    <w:name w:val="annotation reference"/>
    <w:basedOn w:val="Numatytasispastraiposriftas"/>
    <w:uiPriority w:val="99"/>
    <w:semiHidden/>
    <w:unhideWhenUsed/>
    <w:rsid w:val="00E0253E"/>
    <w:rPr>
      <w:sz w:val="16"/>
      <w:szCs w:val="16"/>
    </w:rPr>
  </w:style>
  <w:style w:type="paragraph" w:styleId="Komentarotekstas">
    <w:name w:val="annotation text"/>
    <w:basedOn w:val="prastasis"/>
    <w:link w:val="KomentarotekstasDiagrama"/>
    <w:uiPriority w:val="99"/>
    <w:semiHidden/>
    <w:unhideWhenUsed/>
    <w:rsid w:val="00E0253E"/>
  </w:style>
  <w:style w:type="character" w:customStyle="1" w:styleId="KomentarotekstasDiagrama">
    <w:name w:val="Komentaro tekstas Diagrama"/>
    <w:basedOn w:val="Numatytasispastraiposriftas"/>
    <w:link w:val="Komentarotekstas"/>
    <w:uiPriority w:val="99"/>
    <w:semiHidden/>
    <w:rsid w:val="00E0253E"/>
    <w:rPr>
      <w:lang w:val="en-AU"/>
    </w:rPr>
  </w:style>
  <w:style w:type="paragraph" w:styleId="Komentarotema">
    <w:name w:val="annotation subject"/>
    <w:basedOn w:val="Komentarotekstas"/>
    <w:next w:val="Komentarotekstas"/>
    <w:link w:val="KomentarotemaDiagrama"/>
    <w:uiPriority w:val="99"/>
    <w:semiHidden/>
    <w:unhideWhenUsed/>
    <w:rsid w:val="00E0253E"/>
    <w:rPr>
      <w:b/>
      <w:bCs/>
    </w:rPr>
  </w:style>
  <w:style w:type="character" w:customStyle="1" w:styleId="KomentarotemaDiagrama">
    <w:name w:val="Komentaro tema Diagrama"/>
    <w:basedOn w:val="KomentarotekstasDiagrama"/>
    <w:link w:val="Komentarotema"/>
    <w:uiPriority w:val="99"/>
    <w:semiHidden/>
    <w:rsid w:val="00E0253E"/>
    <w:rPr>
      <w:b/>
      <w:bCs/>
      <w:lang w:val="en-AU"/>
    </w:rPr>
  </w:style>
  <w:style w:type="paragraph" w:styleId="Pataisymai">
    <w:name w:val="Revision"/>
    <w:hidden/>
    <w:uiPriority w:val="99"/>
    <w:semiHidden/>
    <w:rsid w:val="00E0253E"/>
    <w:rPr>
      <w:lang w:val="en-AU"/>
    </w:rPr>
  </w:style>
  <w:style w:type="paragraph" w:styleId="HTMLiankstoformatuotas">
    <w:name w:val="HTML Preformatted"/>
    <w:basedOn w:val="prastasis"/>
    <w:link w:val="HTMLiankstoformatuotasDiagrama"/>
    <w:rsid w:val="00036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lt-LT"/>
    </w:rPr>
  </w:style>
  <w:style w:type="character" w:customStyle="1" w:styleId="HTMLiankstoformatuotasDiagrama">
    <w:name w:val="HTML iš anksto formatuotas Diagrama"/>
    <w:basedOn w:val="Numatytasispastraiposriftas"/>
    <w:link w:val="HTMLiankstoformatuotas"/>
    <w:rsid w:val="000362A3"/>
    <w:rPr>
      <w:rFonts w:ascii="Courier New" w:hAnsi="Courier New" w:cs="Courier New"/>
    </w:rPr>
  </w:style>
  <w:style w:type="character" w:customStyle="1" w:styleId="AntratsDiagrama">
    <w:name w:val="Antraštės Diagrama"/>
    <w:aliases w:val="Char Diagrama,Diagrama Diagrama"/>
    <w:link w:val="Antrats"/>
    <w:locked/>
    <w:rsid w:val="00D937EF"/>
    <w:rPr>
      <w:sz w:val="24"/>
    </w:rPr>
  </w:style>
  <w:style w:type="character" w:styleId="Perirtashipersaitas">
    <w:name w:val="FollowedHyperlink"/>
    <w:basedOn w:val="Numatytasispastraiposriftas"/>
    <w:uiPriority w:val="99"/>
    <w:semiHidden/>
    <w:unhideWhenUsed/>
    <w:rsid w:val="00D76D2F"/>
    <w:rPr>
      <w:color w:val="800080" w:themeColor="followedHyperlink"/>
      <w:u w:val="single"/>
    </w:rPr>
  </w:style>
  <w:style w:type="table" w:styleId="Lentelstinklelis">
    <w:name w:val="Table Grid"/>
    <w:basedOn w:val="prastojilentel"/>
    <w:uiPriority w:val="59"/>
    <w:rsid w:val="00A3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uiPriority w:val="99"/>
    <w:unhideWhenUsed/>
    <w:rsid w:val="00212B3E"/>
    <w:pPr>
      <w:autoSpaceDE/>
      <w:autoSpaceDN/>
      <w:spacing w:before="100" w:beforeAutospacing="1" w:after="100" w:afterAutospacing="1"/>
    </w:pPr>
    <w:rPr>
      <w:sz w:val="24"/>
      <w:szCs w:val="24"/>
      <w:lang w:val="lt-LT"/>
    </w:rPr>
  </w:style>
  <w:style w:type="paragraph" w:styleId="Sraopastraipa">
    <w:name w:val="List Paragraph"/>
    <w:basedOn w:val="prastasis"/>
    <w:uiPriority w:val="34"/>
    <w:qFormat/>
    <w:rsid w:val="009D607B"/>
    <w:pPr>
      <w:autoSpaceDE/>
      <w:autoSpaceDN/>
      <w:spacing w:after="200" w:line="276" w:lineRule="auto"/>
      <w:ind w:left="720"/>
      <w:contextualSpacing/>
    </w:pPr>
    <w:rPr>
      <w:rFonts w:asciiTheme="minorHAnsi" w:eastAsiaTheme="minorHAnsi" w:hAnsiTheme="minorHAnsi" w:cstheme="minorBidi"/>
      <w:sz w:val="22"/>
      <w:szCs w:val="22"/>
      <w:lang w:val="lt-LT" w:eastAsia="en-US"/>
    </w:rPr>
  </w:style>
  <w:style w:type="character" w:customStyle="1" w:styleId="PoratDiagrama">
    <w:name w:val="Poraštė Diagrama"/>
    <w:basedOn w:val="Numatytasispastraiposriftas"/>
    <w:link w:val="Porat"/>
    <w:uiPriority w:val="99"/>
    <w:rsid w:val="00F710B8"/>
    <w:rPr>
      <w:lang w:val="en-AU"/>
    </w:rPr>
  </w:style>
  <w:style w:type="paragraph" w:styleId="Dokumentoinaostekstas">
    <w:name w:val="endnote text"/>
    <w:basedOn w:val="prastasis"/>
    <w:link w:val="DokumentoinaostekstasDiagrama"/>
    <w:uiPriority w:val="99"/>
    <w:semiHidden/>
    <w:unhideWhenUsed/>
    <w:rsid w:val="00BA78D0"/>
  </w:style>
  <w:style w:type="character" w:customStyle="1" w:styleId="DokumentoinaostekstasDiagrama">
    <w:name w:val="Dokumento išnašos tekstas Diagrama"/>
    <w:basedOn w:val="Numatytasispastraiposriftas"/>
    <w:link w:val="Dokumentoinaostekstas"/>
    <w:uiPriority w:val="99"/>
    <w:semiHidden/>
    <w:rsid w:val="00BA78D0"/>
    <w:rPr>
      <w:lang w:val="en-AU"/>
    </w:rPr>
  </w:style>
  <w:style w:type="character" w:styleId="Dokumentoinaosnumeris">
    <w:name w:val="endnote reference"/>
    <w:basedOn w:val="Numatytasispastraiposriftas"/>
    <w:uiPriority w:val="99"/>
    <w:semiHidden/>
    <w:unhideWhenUsed/>
    <w:rsid w:val="00BA78D0"/>
    <w:rPr>
      <w:vertAlign w:val="superscript"/>
    </w:rPr>
  </w:style>
  <w:style w:type="paragraph" w:styleId="Puslapioinaostekstas">
    <w:name w:val="footnote text"/>
    <w:basedOn w:val="prastasis"/>
    <w:link w:val="PuslapioinaostekstasDiagrama"/>
    <w:uiPriority w:val="99"/>
    <w:semiHidden/>
    <w:unhideWhenUsed/>
    <w:rsid w:val="00BA78D0"/>
  </w:style>
  <w:style w:type="character" w:customStyle="1" w:styleId="PuslapioinaostekstasDiagrama">
    <w:name w:val="Puslapio išnašos tekstas Diagrama"/>
    <w:basedOn w:val="Numatytasispastraiposriftas"/>
    <w:link w:val="Puslapioinaostekstas"/>
    <w:uiPriority w:val="99"/>
    <w:semiHidden/>
    <w:rsid w:val="00BA78D0"/>
    <w:rPr>
      <w:lang w:val="en-AU"/>
    </w:rPr>
  </w:style>
  <w:style w:type="character" w:styleId="Puslapioinaosnuoroda">
    <w:name w:val="footnote reference"/>
    <w:basedOn w:val="Numatytasispastraiposriftas"/>
    <w:uiPriority w:val="99"/>
    <w:semiHidden/>
    <w:unhideWhenUsed/>
    <w:rsid w:val="00BA78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3669">
      <w:bodyDiv w:val="1"/>
      <w:marLeft w:val="0"/>
      <w:marRight w:val="0"/>
      <w:marTop w:val="0"/>
      <w:marBottom w:val="0"/>
      <w:divBdr>
        <w:top w:val="none" w:sz="0" w:space="0" w:color="auto"/>
        <w:left w:val="none" w:sz="0" w:space="0" w:color="auto"/>
        <w:bottom w:val="none" w:sz="0" w:space="0" w:color="auto"/>
        <w:right w:val="none" w:sz="0" w:space="0" w:color="auto"/>
      </w:divBdr>
    </w:div>
    <w:div w:id="482044604">
      <w:bodyDiv w:val="1"/>
      <w:marLeft w:val="0"/>
      <w:marRight w:val="0"/>
      <w:marTop w:val="0"/>
      <w:marBottom w:val="0"/>
      <w:divBdr>
        <w:top w:val="none" w:sz="0" w:space="0" w:color="auto"/>
        <w:left w:val="none" w:sz="0" w:space="0" w:color="auto"/>
        <w:bottom w:val="none" w:sz="0" w:space="0" w:color="auto"/>
        <w:right w:val="none" w:sz="0" w:space="0" w:color="auto"/>
      </w:divBdr>
    </w:div>
    <w:div w:id="627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2531953">
          <w:marLeft w:val="0"/>
          <w:marRight w:val="0"/>
          <w:marTop w:val="0"/>
          <w:marBottom w:val="0"/>
          <w:divBdr>
            <w:top w:val="none" w:sz="0" w:space="0" w:color="auto"/>
            <w:left w:val="none" w:sz="0" w:space="0" w:color="auto"/>
            <w:bottom w:val="none" w:sz="0" w:space="0" w:color="auto"/>
            <w:right w:val="none" w:sz="0" w:space="0" w:color="auto"/>
          </w:divBdr>
        </w:div>
        <w:div w:id="855583942">
          <w:marLeft w:val="0"/>
          <w:marRight w:val="0"/>
          <w:marTop w:val="0"/>
          <w:marBottom w:val="0"/>
          <w:divBdr>
            <w:top w:val="none" w:sz="0" w:space="0" w:color="auto"/>
            <w:left w:val="none" w:sz="0" w:space="0" w:color="auto"/>
            <w:bottom w:val="none" w:sz="0" w:space="0" w:color="auto"/>
            <w:right w:val="none" w:sz="0" w:space="0" w:color="auto"/>
          </w:divBdr>
        </w:div>
        <w:div w:id="1170175700">
          <w:marLeft w:val="0"/>
          <w:marRight w:val="0"/>
          <w:marTop w:val="0"/>
          <w:marBottom w:val="0"/>
          <w:divBdr>
            <w:top w:val="none" w:sz="0" w:space="0" w:color="auto"/>
            <w:left w:val="none" w:sz="0" w:space="0" w:color="auto"/>
            <w:bottom w:val="none" w:sz="0" w:space="0" w:color="auto"/>
            <w:right w:val="none" w:sz="0" w:space="0" w:color="auto"/>
          </w:divBdr>
        </w:div>
        <w:div w:id="1543861077">
          <w:marLeft w:val="0"/>
          <w:marRight w:val="0"/>
          <w:marTop w:val="0"/>
          <w:marBottom w:val="0"/>
          <w:divBdr>
            <w:top w:val="none" w:sz="0" w:space="0" w:color="auto"/>
            <w:left w:val="none" w:sz="0" w:space="0" w:color="auto"/>
            <w:bottom w:val="none" w:sz="0" w:space="0" w:color="auto"/>
            <w:right w:val="none" w:sz="0" w:space="0" w:color="auto"/>
          </w:divBdr>
        </w:div>
        <w:div w:id="876235022">
          <w:marLeft w:val="0"/>
          <w:marRight w:val="0"/>
          <w:marTop w:val="0"/>
          <w:marBottom w:val="0"/>
          <w:divBdr>
            <w:top w:val="none" w:sz="0" w:space="0" w:color="auto"/>
            <w:left w:val="none" w:sz="0" w:space="0" w:color="auto"/>
            <w:bottom w:val="none" w:sz="0" w:space="0" w:color="auto"/>
            <w:right w:val="none" w:sz="0" w:space="0" w:color="auto"/>
          </w:divBdr>
        </w:div>
        <w:div w:id="951866173">
          <w:marLeft w:val="0"/>
          <w:marRight w:val="0"/>
          <w:marTop w:val="0"/>
          <w:marBottom w:val="0"/>
          <w:divBdr>
            <w:top w:val="none" w:sz="0" w:space="0" w:color="auto"/>
            <w:left w:val="none" w:sz="0" w:space="0" w:color="auto"/>
            <w:bottom w:val="none" w:sz="0" w:space="0" w:color="auto"/>
            <w:right w:val="none" w:sz="0" w:space="0" w:color="auto"/>
          </w:divBdr>
        </w:div>
        <w:div w:id="1991978713">
          <w:marLeft w:val="0"/>
          <w:marRight w:val="0"/>
          <w:marTop w:val="0"/>
          <w:marBottom w:val="0"/>
          <w:divBdr>
            <w:top w:val="none" w:sz="0" w:space="0" w:color="auto"/>
            <w:left w:val="none" w:sz="0" w:space="0" w:color="auto"/>
            <w:bottom w:val="none" w:sz="0" w:space="0" w:color="auto"/>
            <w:right w:val="none" w:sz="0" w:space="0" w:color="auto"/>
          </w:divBdr>
        </w:div>
        <w:div w:id="1666207220">
          <w:marLeft w:val="0"/>
          <w:marRight w:val="0"/>
          <w:marTop w:val="0"/>
          <w:marBottom w:val="0"/>
          <w:divBdr>
            <w:top w:val="none" w:sz="0" w:space="0" w:color="auto"/>
            <w:left w:val="none" w:sz="0" w:space="0" w:color="auto"/>
            <w:bottom w:val="none" w:sz="0" w:space="0" w:color="auto"/>
            <w:right w:val="none" w:sz="0" w:space="0" w:color="auto"/>
          </w:divBdr>
        </w:div>
        <w:div w:id="978341306">
          <w:marLeft w:val="0"/>
          <w:marRight w:val="0"/>
          <w:marTop w:val="0"/>
          <w:marBottom w:val="0"/>
          <w:divBdr>
            <w:top w:val="none" w:sz="0" w:space="0" w:color="auto"/>
            <w:left w:val="none" w:sz="0" w:space="0" w:color="auto"/>
            <w:bottom w:val="none" w:sz="0" w:space="0" w:color="auto"/>
            <w:right w:val="none" w:sz="0" w:space="0" w:color="auto"/>
          </w:divBdr>
        </w:div>
        <w:div w:id="2021158093">
          <w:marLeft w:val="0"/>
          <w:marRight w:val="0"/>
          <w:marTop w:val="0"/>
          <w:marBottom w:val="0"/>
          <w:divBdr>
            <w:top w:val="none" w:sz="0" w:space="0" w:color="auto"/>
            <w:left w:val="none" w:sz="0" w:space="0" w:color="auto"/>
            <w:bottom w:val="none" w:sz="0" w:space="0" w:color="auto"/>
            <w:right w:val="none" w:sz="0" w:space="0" w:color="auto"/>
          </w:divBdr>
        </w:div>
        <w:div w:id="328825312">
          <w:marLeft w:val="0"/>
          <w:marRight w:val="0"/>
          <w:marTop w:val="0"/>
          <w:marBottom w:val="0"/>
          <w:divBdr>
            <w:top w:val="none" w:sz="0" w:space="0" w:color="auto"/>
            <w:left w:val="none" w:sz="0" w:space="0" w:color="auto"/>
            <w:bottom w:val="none" w:sz="0" w:space="0" w:color="auto"/>
            <w:right w:val="none" w:sz="0" w:space="0" w:color="auto"/>
          </w:divBdr>
        </w:div>
        <w:div w:id="1165167512">
          <w:marLeft w:val="0"/>
          <w:marRight w:val="0"/>
          <w:marTop w:val="0"/>
          <w:marBottom w:val="0"/>
          <w:divBdr>
            <w:top w:val="none" w:sz="0" w:space="0" w:color="auto"/>
            <w:left w:val="none" w:sz="0" w:space="0" w:color="auto"/>
            <w:bottom w:val="none" w:sz="0" w:space="0" w:color="auto"/>
            <w:right w:val="none" w:sz="0" w:space="0" w:color="auto"/>
          </w:divBdr>
        </w:div>
        <w:div w:id="1631789487">
          <w:marLeft w:val="0"/>
          <w:marRight w:val="0"/>
          <w:marTop w:val="0"/>
          <w:marBottom w:val="0"/>
          <w:divBdr>
            <w:top w:val="none" w:sz="0" w:space="0" w:color="auto"/>
            <w:left w:val="none" w:sz="0" w:space="0" w:color="auto"/>
            <w:bottom w:val="none" w:sz="0" w:space="0" w:color="auto"/>
            <w:right w:val="none" w:sz="0" w:space="0" w:color="auto"/>
          </w:divBdr>
        </w:div>
        <w:div w:id="1428770079">
          <w:marLeft w:val="0"/>
          <w:marRight w:val="0"/>
          <w:marTop w:val="0"/>
          <w:marBottom w:val="0"/>
          <w:divBdr>
            <w:top w:val="none" w:sz="0" w:space="0" w:color="auto"/>
            <w:left w:val="none" w:sz="0" w:space="0" w:color="auto"/>
            <w:bottom w:val="none" w:sz="0" w:space="0" w:color="auto"/>
            <w:right w:val="none" w:sz="0" w:space="0" w:color="auto"/>
          </w:divBdr>
        </w:div>
        <w:div w:id="1106073288">
          <w:marLeft w:val="0"/>
          <w:marRight w:val="0"/>
          <w:marTop w:val="0"/>
          <w:marBottom w:val="0"/>
          <w:divBdr>
            <w:top w:val="none" w:sz="0" w:space="0" w:color="auto"/>
            <w:left w:val="none" w:sz="0" w:space="0" w:color="auto"/>
            <w:bottom w:val="none" w:sz="0" w:space="0" w:color="auto"/>
            <w:right w:val="none" w:sz="0" w:space="0" w:color="auto"/>
          </w:divBdr>
        </w:div>
        <w:div w:id="1351450430">
          <w:marLeft w:val="0"/>
          <w:marRight w:val="0"/>
          <w:marTop w:val="0"/>
          <w:marBottom w:val="0"/>
          <w:divBdr>
            <w:top w:val="none" w:sz="0" w:space="0" w:color="auto"/>
            <w:left w:val="none" w:sz="0" w:space="0" w:color="auto"/>
            <w:bottom w:val="none" w:sz="0" w:space="0" w:color="auto"/>
            <w:right w:val="none" w:sz="0" w:space="0" w:color="auto"/>
          </w:divBdr>
        </w:div>
        <w:div w:id="362246071">
          <w:marLeft w:val="0"/>
          <w:marRight w:val="0"/>
          <w:marTop w:val="0"/>
          <w:marBottom w:val="0"/>
          <w:divBdr>
            <w:top w:val="none" w:sz="0" w:space="0" w:color="auto"/>
            <w:left w:val="none" w:sz="0" w:space="0" w:color="auto"/>
            <w:bottom w:val="none" w:sz="0" w:space="0" w:color="auto"/>
            <w:right w:val="none" w:sz="0" w:space="0" w:color="auto"/>
          </w:divBdr>
        </w:div>
        <w:div w:id="1921140705">
          <w:marLeft w:val="0"/>
          <w:marRight w:val="0"/>
          <w:marTop w:val="0"/>
          <w:marBottom w:val="0"/>
          <w:divBdr>
            <w:top w:val="none" w:sz="0" w:space="0" w:color="auto"/>
            <w:left w:val="none" w:sz="0" w:space="0" w:color="auto"/>
            <w:bottom w:val="none" w:sz="0" w:space="0" w:color="auto"/>
            <w:right w:val="none" w:sz="0" w:space="0" w:color="auto"/>
          </w:divBdr>
        </w:div>
        <w:div w:id="407852170">
          <w:marLeft w:val="0"/>
          <w:marRight w:val="0"/>
          <w:marTop w:val="0"/>
          <w:marBottom w:val="0"/>
          <w:divBdr>
            <w:top w:val="none" w:sz="0" w:space="0" w:color="auto"/>
            <w:left w:val="none" w:sz="0" w:space="0" w:color="auto"/>
            <w:bottom w:val="none" w:sz="0" w:space="0" w:color="auto"/>
            <w:right w:val="none" w:sz="0" w:space="0" w:color="auto"/>
          </w:divBdr>
        </w:div>
        <w:div w:id="1622567346">
          <w:marLeft w:val="0"/>
          <w:marRight w:val="0"/>
          <w:marTop w:val="0"/>
          <w:marBottom w:val="0"/>
          <w:divBdr>
            <w:top w:val="none" w:sz="0" w:space="0" w:color="auto"/>
            <w:left w:val="none" w:sz="0" w:space="0" w:color="auto"/>
            <w:bottom w:val="none" w:sz="0" w:space="0" w:color="auto"/>
            <w:right w:val="none" w:sz="0" w:space="0" w:color="auto"/>
          </w:divBdr>
        </w:div>
        <w:div w:id="23286297">
          <w:marLeft w:val="0"/>
          <w:marRight w:val="0"/>
          <w:marTop w:val="0"/>
          <w:marBottom w:val="0"/>
          <w:divBdr>
            <w:top w:val="none" w:sz="0" w:space="0" w:color="auto"/>
            <w:left w:val="none" w:sz="0" w:space="0" w:color="auto"/>
            <w:bottom w:val="none" w:sz="0" w:space="0" w:color="auto"/>
            <w:right w:val="none" w:sz="0" w:space="0" w:color="auto"/>
          </w:divBdr>
        </w:div>
        <w:div w:id="742606362">
          <w:marLeft w:val="0"/>
          <w:marRight w:val="0"/>
          <w:marTop w:val="0"/>
          <w:marBottom w:val="0"/>
          <w:divBdr>
            <w:top w:val="none" w:sz="0" w:space="0" w:color="auto"/>
            <w:left w:val="none" w:sz="0" w:space="0" w:color="auto"/>
            <w:bottom w:val="none" w:sz="0" w:space="0" w:color="auto"/>
            <w:right w:val="none" w:sz="0" w:space="0" w:color="auto"/>
          </w:divBdr>
        </w:div>
        <w:div w:id="1666976226">
          <w:marLeft w:val="0"/>
          <w:marRight w:val="0"/>
          <w:marTop w:val="0"/>
          <w:marBottom w:val="0"/>
          <w:divBdr>
            <w:top w:val="none" w:sz="0" w:space="0" w:color="auto"/>
            <w:left w:val="none" w:sz="0" w:space="0" w:color="auto"/>
            <w:bottom w:val="none" w:sz="0" w:space="0" w:color="auto"/>
            <w:right w:val="none" w:sz="0" w:space="0" w:color="auto"/>
          </w:divBdr>
        </w:div>
        <w:div w:id="1018580690">
          <w:marLeft w:val="0"/>
          <w:marRight w:val="0"/>
          <w:marTop w:val="0"/>
          <w:marBottom w:val="0"/>
          <w:divBdr>
            <w:top w:val="none" w:sz="0" w:space="0" w:color="auto"/>
            <w:left w:val="none" w:sz="0" w:space="0" w:color="auto"/>
            <w:bottom w:val="none" w:sz="0" w:space="0" w:color="auto"/>
            <w:right w:val="none" w:sz="0" w:space="0" w:color="auto"/>
          </w:divBdr>
        </w:div>
        <w:div w:id="2002847452">
          <w:marLeft w:val="0"/>
          <w:marRight w:val="0"/>
          <w:marTop w:val="0"/>
          <w:marBottom w:val="0"/>
          <w:divBdr>
            <w:top w:val="none" w:sz="0" w:space="0" w:color="auto"/>
            <w:left w:val="none" w:sz="0" w:space="0" w:color="auto"/>
            <w:bottom w:val="none" w:sz="0" w:space="0" w:color="auto"/>
            <w:right w:val="none" w:sz="0" w:space="0" w:color="auto"/>
          </w:divBdr>
        </w:div>
        <w:div w:id="916553662">
          <w:marLeft w:val="0"/>
          <w:marRight w:val="0"/>
          <w:marTop w:val="0"/>
          <w:marBottom w:val="0"/>
          <w:divBdr>
            <w:top w:val="none" w:sz="0" w:space="0" w:color="auto"/>
            <w:left w:val="none" w:sz="0" w:space="0" w:color="auto"/>
            <w:bottom w:val="none" w:sz="0" w:space="0" w:color="auto"/>
            <w:right w:val="none" w:sz="0" w:space="0" w:color="auto"/>
          </w:divBdr>
        </w:div>
        <w:div w:id="975255213">
          <w:marLeft w:val="0"/>
          <w:marRight w:val="0"/>
          <w:marTop w:val="0"/>
          <w:marBottom w:val="0"/>
          <w:divBdr>
            <w:top w:val="none" w:sz="0" w:space="0" w:color="auto"/>
            <w:left w:val="none" w:sz="0" w:space="0" w:color="auto"/>
            <w:bottom w:val="none" w:sz="0" w:space="0" w:color="auto"/>
            <w:right w:val="none" w:sz="0" w:space="0" w:color="auto"/>
          </w:divBdr>
        </w:div>
        <w:div w:id="842627185">
          <w:marLeft w:val="0"/>
          <w:marRight w:val="0"/>
          <w:marTop w:val="0"/>
          <w:marBottom w:val="0"/>
          <w:divBdr>
            <w:top w:val="none" w:sz="0" w:space="0" w:color="auto"/>
            <w:left w:val="none" w:sz="0" w:space="0" w:color="auto"/>
            <w:bottom w:val="none" w:sz="0" w:space="0" w:color="auto"/>
            <w:right w:val="none" w:sz="0" w:space="0" w:color="auto"/>
          </w:divBdr>
        </w:div>
        <w:div w:id="1146312070">
          <w:marLeft w:val="0"/>
          <w:marRight w:val="0"/>
          <w:marTop w:val="0"/>
          <w:marBottom w:val="0"/>
          <w:divBdr>
            <w:top w:val="none" w:sz="0" w:space="0" w:color="auto"/>
            <w:left w:val="none" w:sz="0" w:space="0" w:color="auto"/>
            <w:bottom w:val="none" w:sz="0" w:space="0" w:color="auto"/>
            <w:right w:val="none" w:sz="0" w:space="0" w:color="auto"/>
          </w:divBdr>
        </w:div>
      </w:divsChild>
    </w:div>
    <w:div w:id="1012029598">
      <w:bodyDiv w:val="1"/>
      <w:marLeft w:val="0"/>
      <w:marRight w:val="0"/>
      <w:marTop w:val="0"/>
      <w:marBottom w:val="0"/>
      <w:divBdr>
        <w:top w:val="none" w:sz="0" w:space="0" w:color="auto"/>
        <w:left w:val="none" w:sz="0" w:space="0" w:color="auto"/>
        <w:bottom w:val="none" w:sz="0" w:space="0" w:color="auto"/>
        <w:right w:val="none" w:sz="0" w:space="0" w:color="auto"/>
      </w:divBdr>
    </w:div>
    <w:div w:id="1393114625">
      <w:bodyDiv w:val="1"/>
      <w:marLeft w:val="0"/>
      <w:marRight w:val="0"/>
      <w:marTop w:val="0"/>
      <w:marBottom w:val="0"/>
      <w:divBdr>
        <w:top w:val="none" w:sz="0" w:space="0" w:color="auto"/>
        <w:left w:val="none" w:sz="0" w:space="0" w:color="auto"/>
        <w:bottom w:val="none" w:sz="0" w:space="0" w:color="auto"/>
        <w:right w:val="none" w:sz="0" w:space="0" w:color="auto"/>
      </w:divBdr>
    </w:div>
    <w:div w:id="1723553964">
      <w:bodyDiv w:val="1"/>
      <w:marLeft w:val="0"/>
      <w:marRight w:val="0"/>
      <w:marTop w:val="0"/>
      <w:marBottom w:val="0"/>
      <w:divBdr>
        <w:top w:val="none" w:sz="0" w:space="0" w:color="auto"/>
        <w:left w:val="none" w:sz="0" w:space="0" w:color="auto"/>
        <w:bottom w:val="none" w:sz="0" w:space="0" w:color="auto"/>
        <w:right w:val="none" w:sz="0" w:space="0" w:color="auto"/>
      </w:divBdr>
      <w:divsChild>
        <w:div w:id="433521366">
          <w:marLeft w:val="0"/>
          <w:marRight w:val="0"/>
          <w:marTop w:val="0"/>
          <w:marBottom w:val="0"/>
          <w:divBdr>
            <w:top w:val="none" w:sz="0" w:space="0" w:color="auto"/>
            <w:left w:val="none" w:sz="0" w:space="0" w:color="auto"/>
            <w:bottom w:val="none" w:sz="0" w:space="0" w:color="auto"/>
            <w:right w:val="none" w:sz="0" w:space="0" w:color="auto"/>
          </w:divBdr>
        </w:div>
        <w:div w:id="1706322783">
          <w:marLeft w:val="0"/>
          <w:marRight w:val="0"/>
          <w:marTop w:val="0"/>
          <w:marBottom w:val="0"/>
          <w:divBdr>
            <w:top w:val="none" w:sz="0" w:space="0" w:color="auto"/>
            <w:left w:val="none" w:sz="0" w:space="0" w:color="auto"/>
            <w:bottom w:val="none" w:sz="0" w:space="0" w:color="auto"/>
            <w:right w:val="none" w:sz="0" w:space="0" w:color="auto"/>
          </w:divBdr>
        </w:div>
        <w:div w:id="1210802093">
          <w:marLeft w:val="0"/>
          <w:marRight w:val="0"/>
          <w:marTop w:val="0"/>
          <w:marBottom w:val="0"/>
          <w:divBdr>
            <w:top w:val="none" w:sz="0" w:space="0" w:color="auto"/>
            <w:left w:val="none" w:sz="0" w:space="0" w:color="auto"/>
            <w:bottom w:val="none" w:sz="0" w:space="0" w:color="auto"/>
            <w:right w:val="none" w:sz="0" w:space="0" w:color="auto"/>
          </w:divBdr>
        </w:div>
        <w:div w:id="177816406">
          <w:marLeft w:val="0"/>
          <w:marRight w:val="0"/>
          <w:marTop w:val="0"/>
          <w:marBottom w:val="0"/>
          <w:divBdr>
            <w:top w:val="none" w:sz="0" w:space="0" w:color="auto"/>
            <w:left w:val="none" w:sz="0" w:space="0" w:color="auto"/>
            <w:bottom w:val="none" w:sz="0" w:space="0" w:color="auto"/>
            <w:right w:val="none" w:sz="0" w:space="0" w:color="auto"/>
          </w:divBdr>
        </w:div>
        <w:div w:id="1127242848">
          <w:marLeft w:val="0"/>
          <w:marRight w:val="0"/>
          <w:marTop w:val="0"/>
          <w:marBottom w:val="0"/>
          <w:divBdr>
            <w:top w:val="none" w:sz="0" w:space="0" w:color="auto"/>
            <w:left w:val="none" w:sz="0" w:space="0" w:color="auto"/>
            <w:bottom w:val="none" w:sz="0" w:space="0" w:color="auto"/>
            <w:right w:val="none" w:sz="0" w:space="0" w:color="auto"/>
          </w:divBdr>
        </w:div>
      </w:divsChild>
    </w:div>
    <w:div w:id="1924794611">
      <w:bodyDiv w:val="1"/>
      <w:marLeft w:val="0"/>
      <w:marRight w:val="0"/>
      <w:marTop w:val="0"/>
      <w:marBottom w:val="0"/>
      <w:divBdr>
        <w:top w:val="none" w:sz="0" w:space="0" w:color="auto"/>
        <w:left w:val="none" w:sz="0" w:space="0" w:color="auto"/>
        <w:bottom w:val="none" w:sz="0" w:space="0" w:color="auto"/>
        <w:right w:val="none" w:sz="0" w:space="0" w:color="auto"/>
      </w:divBdr>
      <w:divsChild>
        <w:div w:id="559092598">
          <w:marLeft w:val="0"/>
          <w:marRight w:val="0"/>
          <w:marTop w:val="0"/>
          <w:marBottom w:val="0"/>
          <w:divBdr>
            <w:top w:val="none" w:sz="0" w:space="0" w:color="auto"/>
            <w:left w:val="none" w:sz="0" w:space="0" w:color="auto"/>
            <w:bottom w:val="none" w:sz="0" w:space="0" w:color="auto"/>
            <w:right w:val="none" w:sz="0" w:space="0" w:color="auto"/>
          </w:divBdr>
        </w:div>
        <w:div w:id="277488337">
          <w:marLeft w:val="0"/>
          <w:marRight w:val="0"/>
          <w:marTop w:val="0"/>
          <w:marBottom w:val="0"/>
          <w:divBdr>
            <w:top w:val="none" w:sz="0" w:space="0" w:color="auto"/>
            <w:left w:val="none" w:sz="0" w:space="0" w:color="auto"/>
            <w:bottom w:val="none" w:sz="0" w:space="0" w:color="auto"/>
            <w:right w:val="none" w:sz="0" w:space="0" w:color="auto"/>
          </w:divBdr>
        </w:div>
        <w:div w:id="1241989147">
          <w:marLeft w:val="0"/>
          <w:marRight w:val="0"/>
          <w:marTop w:val="0"/>
          <w:marBottom w:val="0"/>
          <w:divBdr>
            <w:top w:val="none" w:sz="0" w:space="0" w:color="auto"/>
            <w:left w:val="none" w:sz="0" w:space="0" w:color="auto"/>
            <w:bottom w:val="none" w:sz="0" w:space="0" w:color="auto"/>
            <w:right w:val="none" w:sz="0" w:space="0" w:color="auto"/>
          </w:divBdr>
        </w:div>
        <w:div w:id="1746876890">
          <w:marLeft w:val="0"/>
          <w:marRight w:val="0"/>
          <w:marTop w:val="0"/>
          <w:marBottom w:val="0"/>
          <w:divBdr>
            <w:top w:val="none" w:sz="0" w:space="0" w:color="auto"/>
            <w:left w:val="none" w:sz="0" w:space="0" w:color="auto"/>
            <w:bottom w:val="none" w:sz="0" w:space="0" w:color="auto"/>
            <w:right w:val="none" w:sz="0" w:space="0" w:color="auto"/>
          </w:divBdr>
        </w:div>
        <w:div w:id="1754007889">
          <w:marLeft w:val="0"/>
          <w:marRight w:val="0"/>
          <w:marTop w:val="0"/>
          <w:marBottom w:val="0"/>
          <w:divBdr>
            <w:top w:val="none" w:sz="0" w:space="0" w:color="auto"/>
            <w:left w:val="none" w:sz="0" w:space="0" w:color="auto"/>
            <w:bottom w:val="none" w:sz="0" w:space="0" w:color="auto"/>
            <w:right w:val="none" w:sz="0" w:space="0" w:color="auto"/>
          </w:divBdr>
        </w:div>
        <w:div w:id="1803301596">
          <w:marLeft w:val="0"/>
          <w:marRight w:val="0"/>
          <w:marTop w:val="0"/>
          <w:marBottom w:val="0"/>
          <w:divBdr>
            <w:top w:val="none" w:sz="0" w:space="0" w:color="auto"/>
            <w:left w:val="none" w:sz="0" w:space="0" w:color="auto"/>
            <w:bottom w:val="none" w:sz="0" w:space="0" w:color="auto"/>
            <w:right w:val="none" w:sz="0" w:space="0" w:color="auto"/>
          </w:divBdr>
        </w:div>
        <w:div w:id="1146552506">
          <w:marLeft w:val="0"/>
          <w:marRight w:val="0"/>
          <w:marTop w:val="0"/>
          <w:marBottom w:val="0"/>
          <w:divBdr>
            <w:top w:val="none" w:sz="0" w:space="0" w:color="auto"/>
            <w:left w:val="none" w:sz="0" w:space="0" w:color="auto"/>
            <w:bottom w:val="none" w:sz="0" w:space="0" w:color="auto"/>
            <w:right w:val="none" w:sz="0" w:space="0" w:color="auto"/>
          </w:divBdr>
        </w:div>
        <w:div w:id="1627925679">
          <w:marLeft w:val="0"/>
          <w:marRight w:val="0"/>
          <w:marTop w:val="0"/>
          <w:marBottom w:val="0"/>
          <w:divBdr>
            <w:top w:val="none" w:sz="0" w:space="0" w:color="auto"/>
            <w:left w:val="none" w:sz="0" w:space="0" w:color="auto"/>
            <w:bottom w:val="none" w:sz="0" w:space="0" w:color="auto"/>
            <w:right w:val="none" w:sz="0" w:space="0" w:color="auto"/>
          </w:divBdr>
        </w:div>
        <w:div w:id="1089277676">
          <w:marLeft w:val="0"/>
          <w:marRight w:val="0"/>
          <w:marTop w:val="0"/>
          <w:marBottom w:val="0"/>
          <w:divBdr>
            <w:top w:val="none" w:sz="0" w:space="0" w:color="auto"/>
            <w:left w:val="none" w:sz="0" w:space="0" w:color="auto"/>
            <w:bottom w:val="none" w:sz="0" w:space="0" w:color="auto"/>
            <w:right w:val="none" w:sz="0" w:space="0" w:color="auto"/>
          </w:divBdr>
        </w:div>
        <w:div w:id="1986003906">
          <w:marLeft w:val="0"/>
          <w:marRight w:val="0"/>
          <w:marTop w:val="0"/>
          <w:marBottom w:val="0"/>
          <w:divBdr>
            <w:top w:val="none" w:sz="0" w:space="0" w:color="auto"/>
            <w:left w:val="none" w:sz="0" w:space="0" w:color="auto"/>
            <w:bottom w:val="none" w:sz="0" w:space="0" w:color="auto"/>
            <w:right w:val="none" w:sz="0" w:space="0" w:color="auto"/>
          </w:divBdr>
        </w:div>
        <w:div w:id="789664106">
          <w:marLeft w:val="0"/>
          <w:marRight w:val="0"/>
          <w:marTop w:val="0"/>
          <w:marBottom w:val="0"/>
          <w:divBdr>
            <w:top w:val="none" w:sz="0" w:space="0" w:color="auto"/>
            <w:left w:val="none" w:sz="0" w:space="0" w:color="auto"/>
            <w:bottom w:val="none" w:sz="0" w:space="0" w:color="auto"/>
            <w:right w:val="none" w:sz="0" w:space="0" w:color="auto"/>
          </w:divBdr>
        </w:div>
        <w:div w:id="1586911492">
          <w:marLeft w:val="0"/>
          <w:marRight w:val="0"/>
          <w:marTop w:val="0"/>
          <w:marBottom w:val="0"/>
          <w:divBdr>
            <w:top w:val="none" w:sz="0" w:space="0" w:color="auto"/>
            <w:left w:val="none" w:sz="0" w:space="0" w:color="auto"/>
            <w:bottom w:val="none" w:sz="0" w:space="0" w:color="auto"/>
            <w:right w:val="none" w:sz="0" w:space="0" w:color="auto"/>
          </w:divBdr>
        </w:div>
        <w:div w:id="2121873094">
          <w:marLeft w:val="0"/>
          <w:marRight w:val="0"/>
          <w:marTop w:val="0"/>
          <w:marBottom w:val="0"/>
          <w:divBdr>
            <w:top w:val="none" w:sz="0" w:space="0" w:color="auto"/>
            <w:left w:val="none" w:sz="0" w:space="0" w:color="auto"/>
            <w:bottom w:val="none" w:sz="0" w:space="0" w:color="auto"/>
            <w:right w:val="none" w:sz="0" w:space="0" w:color="auto"/>
          </w:divBdr>
        </w:div>
        <w:div w:id="1368948242">
          <w:marLeft w:val="0"/>
          <w:marRight w:val="0"/>
          <w:marTop w:val="0"/>
          <w:marBottom w:val="0"/>
          <w:divBdr>
            <w:top w:val="none" w:sz="0" w:space="0" w:color="auto"/>
            <w:left w:val="none" w:sz="0" w:space="0" w:color="auto"/>
            <w:bottom w:val="none" w:sz="0" w:space="0" w:color="auto"/>
            <w:right w:val="none" w:sz="0" w:space="0" w:color="auto"/>
          </w:divBdr>
        </w:div>
        <w:div w:id="568006526">
          <w:marLeft w:val="0"/>
          <w:marRight w:val="0"/>
          <w:marTop w:val="0"/>
          <w:marBottom w:val="0"/>
          <w:divBdr>
            <w:top w:val="none" w:sz="0" w:space="0" w:color="auto"/>
            <w:left w:val="none" w:sz="0" w:space="0" w:color="auto"/>
            <w:bottom w:val="none" w:sz="0" w:space="0" w:color="auto"/>
            <w:right w:val="none" w:sz="0" w:space="0" w:color="auto"/>
          </w:divBdr>
        </w:div>
        <w:div w:id="1289320432">
          <w:marLeft w:val="0"/>
          <w:marRight w:val="0"/>
          <w:marTop w:val="0"/>
          <w:marBottom w:val="0"/>
          <w:divBdr>
            <w:top w:val="none" w:sz="0" w:space="0" w:color="auto"/>
            <w:left w:val="none" w:sz="0" w:space="0" w:color="auto"/>
            <w:bottom w:val="none" w:sz="0" w:space="0" w:color="auto"/>
            <w:right w:val="none" w:sz="0" w:space="0" w:color="auto"/>
          </w:divBdr>
        </w:div>
        <w:div w:id="1670862241">
          <w:marLeft w:val="0"/>
          <w:marRight w:val="0"/>
          <w:marTop w:val="0"/>
          <w:marBottom w:val="0"/>
          <w:divBdr>
            <w:top w:val="none" w:sz="0" w:space="0" w:color="auto"/>
            <w:left w:val="none" w:sz="0" w:space="0" w:color="auto"/>
            <w:bottom w:val="none" w:sz="0" w:space="0" w:color="auto"/>
            <w:right w:val="none" w:sz="0" w:space="0" w:color="auto"/>
          </w:divBdr>
        </w:div>
        <w:div w:id="659239808">
          <w:marLeft w:val="0"/>
          <w:marRight w:val="0"/>
          <w:marTop w:val="0"/>
          <w:marBottom w:val="0"/>
          <w:divBdr>
            <w:top w:val="none" w:sz="0" w:space="0" w:color="auto"/>
            <w:left w:val="none" w:sz="0" w:space="0" w:color="auto"/>
            <w:bottom w:val="none" w:sz="0" w:space="0" w:color="auto"/>
            <w:right w:val="none" w:sz="0" w:space="0" w:color="auto"/>
          </w:divBdr>
        </w:div>
        <w:div w:id="1289628546">
          <w:marLeft w:val="0"/>
          <w:marRight w:val="0"/>
          <w:marTop w:val="0"/>
          <w:marBottom w:val="0"/>
          <w:divBdr>
            <w:top w:val="none" w:sz="0" w:space="0" w:color="auto"/>
            <w:left w:val="none" w:sz="0" w:space="0" w:color="auto"/>
            <w:bottom w:val="none" w:sz="0" w:space="0" w:color="auto"/>
            <w:right w:val="none" w:sz="0" w:space="0" w:color="auto"/>
          </w:divBdr>
        </w:div>
        <w:div w:id="861942927">
          <w:marLeft w:val="0"/>
          <w:marRight w:val="0"/>
          <w:marTop w:val="0"/>
          <w:marBottom w:val="0"/>
          <w:divBdr>
            <w:top w:val="none" w:sz="0" w:space="0" w:color="auto"/>
            <w:left w:val="none" w:sz="0" w:space="0" w:color="auto"/>
            <w:bottom w:val="none" w:sz="0" w:space="0" w:color="auto"/>
            <w:right w:val="none" w:sz="0" w:space="0" w:color="auto"/>
          </w:divBdr>
        </w:div>
        <w:div w:id="1606380135">
          <w:marLeft w:val="0"/>
          <w:marRight w:val="0"/>
          <w:marTop w:val="0"/>
          <w:marBottom w:val="0"/>
          <w:divBdr>
            <w:top w:val="none" w:sz="0" w:space="0" w:color="auto"/>
            <w:left w:val="none" w:sz="0" w:space="0" w:color="auto"/>
            <w:bottom w:val="none" w:sz="0" w:space="0" w:color="auto"/>
            <w:right w:val="none" w:sz="0" w:space="0" w:color="auto"/>
          </w:divBdr>
        </w:div>
        <w:div w:id="380982382">
          <w:marLeft w:val="0"/>
          <w:marRight w:val="0"/>
          <w:marTop w:val="0"/>
          <w:marBottom w:val="0"/>
          <w:divBdr>
            <w:top w:val="none" w:sz="0" w:space="0" w:color="auto"/>
            <w:left w:val="none" w:sz="0" w:space="0" w:color="auto"/>
            <w:bottom w:val="none" w:sz="0" w:space="0" w:color="auto"/>
            <w:right w:val="none" w:sz="0" w:space="0" w:color="auto"/>
          </w:divBdr>
        </w:div>
        <w:div w:id="235239645">
          <w:marLeft w:val="0"/>
          <w:marRight w:val="0"/>
          <w:marTop w:val="0"/>
          <w:marBottom w:val="0"/>
          <w:divBdr>
            <w:top w:val="none" w:sz="0" w:space="0" w:color="auto"/>
            <w:left w:val="none" w:sz="0" w:space="0" w:color="auto"/>
            <w:bottom w:val="none" w:sz="0" w:space="0" w:color="auto"/>
            <w:right w:val="none" w:sz="0" w:space="0" w:color="auto"/>
          </w:divBdr>
        </w:div>
        <w:div w:id="1871988618">
          <w:marLeft w:val="0"/>
          <w:marRight w:val="0"/>
          <w:marTop w:val="0"/>
          <w:marBottom w:val="0"/>
          <w:divBdr>
            <w:top w:val="none" w:sz="0" w:space="0" w:color="auto"/>
            <w:left w:val="none" w:sz="0" w:space="0" w:color="auto"/>
            <w:bottom w:val="none" w:sz="0" w:space="0" w:color="auto"/>
            <w:right w:val="none" w:sz="0" w:space="0" w:color="auto"/>
          </w:divBdr>
        </w:div>
        <w:div w:id="90862454">
          <w:marLeft w:val="0"/>
          <w:marRight w:val="0"/>
          <w:marTop w:val="0"/>
          <w:marBottom w:val="0"/>
          <w:divBdr>
            <w:top w:val="none" w:sz="0" w:space="0" w:color="auto"/>
            <w:left w:val="none" w:sz="0" w:space="0" w:color="auto"/>
            <w:bottom w:val="none" w:sz="0" w:space="0" w:color="auto"/>
            <w:right w:val="none" w:sz="0" w:space="0" w:color="auto"/>
          </w:divBdr>
        </w:div>
        <w:div w:id="406655315">
          <w:marLeft w:val="0"/>
          <w:marRight w:val="0"/>
          <w:marTop w:val="0"/>
          <w:marBottom w:val="0"/>
          <w:divBdr>
            <w:top w:val="none" w:sz="0" w:space="0" w:color="auto"/>
            <w:left w:val="none" w:sz="0" w:space="0" w:color="auto"/>
            <w:bottom w:val="none" w:sz="0" w:space="0" w:color="auto"/>
            <w:right w:val="none" w:sz="0" w:space="0" w:color="auto"/>
          </w:divBdr>
        </w:div>
        <w:div w:id="893392997">
          <w:marLeft w:val="0"/>
          <w:marRight w:val="0"/>
          <w:marTop w:val="0"/>
          <w:marBottom w:val="0"/>
          <w:divBdr>
            <w:top w:val="none" w:sz="0" w:space="0" w:color="auto"/>
            <w:left w:val="none" w:sz="0" w:space="0" w:color="auto"/>
            <w:bottom w:val="none" w:sz="0" w:space="0" w:color="auto"/>
            <w:right w:val="none" w:sz="0" w:space="0" w:color="auto"/>
          </w:divBdr>
        </w:div>
      </w:divsChild>
    </w:div>
    <w:div w:id="2090494080">
      <w:bodyDiv w:val="1"/>
      <w:marLeft w:val="0"/>
      <w:marRight w:val="0"/>
      <w:marTop w:val="0"/>
      <w:marBottom w:val="0"/>
      <w:divBdr>
        <w:top w:val="none" w:sz="0" w:space="0" w:color="auto"/>
        <w:left w:val="none" w:sz="0" w:space="0" w:color="auto"/>
        <w:bottom w:val="none" w:sz="0" w:space="0" w:color="auto"/>
        <w:right w:val="none" w:sz="0" w:space="0" w:color="auto"/>
      </w:divBdr>
    </w:div>
    <w:div w:id="209643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harts/chart2.xml"
                 Type="http://schemas.openxmlformats.org/officeDocument/2006/relationships/chart"/>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charts/chart1.xml"
                 Type="http://schemas.openxmlformats.org/officeDocument/2006/relationships/chart"/>
</Relationships>
</file>

<file path=word/charts/_rels/chart1.xml.rels><?xml version="1.0" encoding="UTF-8" standalone="yes"?>
<Relationships xmlns="http://schemas.openxmlformats.org/package/2006/relationships">
   <Relationship Id="rId1" Target="../embeddings/Microsoft_Excel_Worksheet1.xlsx"
                 Type="http://schemas.openxmlformats.org/officeDocument/2006/relationships/package"/>
</Relationships>
</file>

<file path=word/charts/_rels/chart2.xml.rels><?xml version="1.0" encoding="UTF-8" standalone="yes"?>
<Relationships xmlns="http://schemas.openxmlformats.org/package/2006/relationships">
   <Relationship Id="rId1" Target="../embeddings/Microsoft_Excel_Worksheet2.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lt-LT" sz="1000" b="1" i="0" u="none" strike="noStrike" baseline="0">
                <a:effectLst/>
              </a:rPr>
              <a:t>Vidutinio mėnesinio bruto darbo užmokesčio</a:t>
            </a:r>
            <a:r>
              <a:rPr lang="lt-LT" sz="1000" b="1" i="0" u="none" strike="noStrike" baseline="30000">
                <a:effectLst/>
              </a:rPr>
              <a:t> </a:t>
            </a:r>
            <a:r>
              <a:rPr lang="lt-LT" sz="1000" b="1" i="0" u="none" strike="noStrike" baseline="0">
                <a:effectLst/>
              </a:rPr>
              <a:t>pokytis pagal sektorius ketvirčiais</a:t>
            </a:r>
            <a:r>
              <a:rPr lang="en-US" sz="1000" b="1" i="0" u="none" strike="noStrike" baseline="0">
                <a:effectLst/>
              </a:rPr>
              <a:t>*</a:t>
            </a:r>
            <a:endParaRPr lang="lt-LT" sz="1000" baseline="30000"/>
          </a:p>
        </c:rich>
      </c:tx>
      <c:overlay val="0"/>
    </c:title>
    <c:autoTitleDeleted val="0"/>
    <c:plotArea>
      <c:layout/>
      <c:lineChart>
        <c:grouping val="standard"/>
        <c:varyColors val="0"/>
        <c:ser>
          <c:idx val="0"/>
          <c:order val="0"/>
          <c:tx>
            <c:strRef>
              <c:f>Lapas1!$B$1</c:f>
              <c:strCache>
                <c:ptCount val="1"/>
                <c:pt idx="0">
                  <c:v>Šalies ūkis</c:v>
                </c:pt>
              </c:strCache>
            </c:strRef>
          </c:tx>
          <c:cat>
            <c:strRef>
              <c:f>Lapas1!$A$2:$A$11</c:f>
              <c:strCache>
                <c:ptCount val="10"/>
                <c:pt idx="0">
                  <c:v>2018K1</c:v>
                </c:pt>
                <c:pt idx="1">
                  <c:v>2018K2</c:v>
                </c:pt>
                <c:pt idx="2">
                  <c:v>2018K3</c:v>
                </c:pt>
                <c:pt idx="3">
                  <c:v>2018K4</c:v>
                </c:pt>
                <c:pt idx="4">
                  <c:v>2019K1</c:v>
                </c:pt>
                <c:pt idx="5">
                  <c:v>2019K2</c:v>
                </c:pt>
                <c:pt idx="6">
                  <c:v>2019K3</c:v>
                </c:pt>
                <c:pt idx="7">
                  <c:v>2019K4</c:v>
                </c:pt>
                <c:pt idx="8">
                  <c:v>2020K1</c:v>
                </c:pt>
                <c:pt idx="9">
                  <c:v>2020K2</c:v>
                </c:pt>
              </c:strCache>
            </c:strRef>
          </c:cat>
          <c:val>
            <c:numRef>
              <c:f>Lapas1!$B$2:$B$11</c:f>
              <c:numCache>
                <c:formatCode>General</c:formatCode>
                <c:ptCount val="10"/>
                <c:pt idx="0">
                  <c:v>9.5</c:v>
                </c:pt>
                <c:pt idx="1">
                  <c:v>10.5</c:v>
                </c:pt>
                <c:pt idx="2">
                  <c:v>10</c:v>
                </c:pt>
                <c:pt idx="3">
                  <c:v>9.6999999999999993</c:v>
                </c:pt>
                <c:pt idx="4">
                  <c:v>9.4</c:v>
                </c:pt>
                <c:pt idx="5">
                  <c:v>7.9</c:v>
                </c:pt>
                <c:pt idx="6">
                  <c:v>9.1999999999999993</c:v>
                </c:pt>
                <c:pt idx="7">
                  <c:v>8.6</c:v>
                </c:pt>
                <c:pt idx="8">
                  <c:v>9.4</c:v>
                </c:pt>
                <c:pt idx="9">
                  <c:v>8.5</c:v>
                </c:pt>
              </c:numCache>
            </c:numRef>
          </c:val>
          <c:smooth val="0"/>
        </c:ser>
        <c:ser>
          <c:idx val="1"/>
          <c:order val="1"/>
          <c:tx>
            <c:strRef>
              <c:f>Lapas1!$C$1</c:f>
              <c:strCache>
                <c:ptCount val="1"/>
                <c:pt idx="0">
                  <c:v>Viešasis sektorius</c:v>
                </c:pt>
              </c:strCache>
            </c:strRef>
          </c:tx>
          <c:cat>
            <c:strRef>
              <c:f>Lapas1!$A$2:$A$11</c:f>
              <c:strCache>
                <c:ptCount val="10"/>
                <c:pt idx="0">
                  <c:v>2018K1</c:v>
                </c:pt>
                <c:pt idx="1">
                  <c:v>2018K2</c:v>
                </c:pt>
                <c:pt idx="2">
                  <c:v>2018K3</c:v>
                </c:pt>
                <c:pt idx="3">
                  <c:v>2018K4</c:v>
                </c:pt>
                <c:pt idx="4">
                  <c:v>2019K1</c:v>
                </c:pt>
                <c:pt idx="5">
                  <c:v>2019K2</c:v>
                </c:pt>
                <c:pt idx="6">
                  <c:v>2019K3</c:v>
                </c:pt>
                <c:pt idx="7">
                  <c:v>2019K4</c:v>
                </c:pt>
                <c:pt idx="8">
                  <c:v>2020K1</c:v>
                </c:pt>
                <c:pt idx="9">
                  <c:v>2020K2</c:v>
                </c:pt>
              </c:strCache>
            </c:strRef>
          </c:cat>
          <c:val>
            <c:numRef>
              <c:f>Lapas1!$C$2:$C$11</c:f>
              <c:numCache>
                <c:formatCode>General</c:formatCode>
                <c:ptCount val="10"/>
                <c:pt idx="0">
                  <c:v>8.1999999999999993</c:v>
                </c:pt>
                <c:pt idx="1">
                  <c:v>10.8</c:v>
                </c:pt>
                <c:pt idx="2">
                  <c:v>11.3</c:v>
                </c:pt>
                <c:pt idx="3">
                  <c:v>12.5</c:v>
                </c:pt>
                <c:pt idx="4">
                  <c:v>14.3</c:v>
                </c:pt>
                <c:pt idx="5">
                  <c:v>11.4</c:v>
                </c:pt>
                <c:pt idx="6">
                  <c:v>12.2</c:v>
                </c:pt>
                <c:pt idx="7">
                  <c:v>11.3</c:v>
                </c:pt>
                <c:pt idx="8">
                  <c:v>9.1</c:v>
                </c:pt>
                <c:pt idx="9">
                  <c:v>13</c:v>
                </c:pt>
              </c:numCache>
            </c:numRef>
          </c:val>
          <c:smooth val="0"/>
        </c:ser>
        <c:ser>
          <c:idx val="2"/>
          <c:order val="2"/>
          <c:tx>
            <c:strRef>
              <c:f>Lapas1!$D$1</c:f>
              <c:strCache>
                <c:ptCount val="1"/>
                <c:pt idx="0">
                  <c:v>Privatus sektorius</c:v>
                </c:pt>
              </c:strCache>
            </c:strRef>
          </c:tx>
          <c:cat>
            <c:strRef>
              <c:f>Lapas1!$A$2:$A$11</c:f>
              <c:strCache>
                <c:ptCount val="10"/>
                <c:pt idx="0">
                  <c:v>2018K1</c:v>
                </c:pt>
                <c:pt idx="1">
                  <c:v>2018K2</c:v>
                </c:pt>
                <c:pt idx="2">
                  <c:v>2018K3</c:v>
                </c:pt>
                <c:pt idx="3">
                  <c:v>2018K4</c:v>
                </c:pt>
                <c:pt idx="4">
                  <c:v>2019K1</c:v>
                </c:pt>
                <c:pt idx="5">
                  <c:v>2019K2</c:v>
                </c:pt>
                <c:pt idx="6">
                  <c:v>2019K3</c:v>
                </c:pt>
                <c:pt idx="7">
                  <c:v>2019K4</c:v>
                </c:pt>
                <c:pt idx="8">
                  <c:v>2020K1</c:v>
                </c:pt>
                <c:pt idx="9">
                  <c:v>2020K2</c:v>
                </c:pt>
              </c:strCache>
            </c:strRef>
          </c:cat>
          <c:val>
            <c:numRef>
              <c:f>Lapas1!$D$2:$D$11</c:f>
              <c:numCache>
                <c:formatCode>General</c:formatCode>
                <c:ptCount val="10"/>
                <c:pt idx="0">
                  <c:v>10.1</c:v>
                </c:pt>
                <c:pt idx="1">
                  <c:v>10.4</c:v>
                </c:pt>
                <c:pt idx="2">
                  <c:v>9.3000000000000007</c:v>
                </c:pt>
                <c:pt idx="3">
                  <c:v>8.3000000000000007</c:v>
                </c:pt>
                <c:pt idx="4">
                  <c:v>7.2</c:v>
                </c:pt>
                <c:pt idx="5">
                  <c:v>6.3</c:v>
                </c:pt>
                <c:pt idx="6">
                  <c:v>8</c:v>
                </c:pt>
                <c:pt idx="7">
                  <c:v>7.4</c:v>
                </c:pt>
                <c:pt idx="8">
                  <c:v>9.5</c:v>
                </c:pt>
                <c:pt idx="9">
                  <c:v>6.1</c:v>
                </c:pt>
              </c:numCache>
            </c:numRef>
          </c:val>
          <c:smooth val="0"/>
        </c:ser>
        <c:dLbls>
          <c:showLegendKey val="0"/>
          <c:showVal val="0"/>
          <c:showCatName val="0"/>
          <c:showSerName val="0"/>
          <c:showPercent val="0"/>
          <c:showBubbleSize val="0"/>
        </c:dLbls>
        <c:marker val="1"/>
        <c:smooth val="0"/>
        <c:axId val="197029888"/>
        <c:axId val="197133824"/>
      </c:lineChart>
      <c:catAx>
        <c:axId val="197029888"/>
        <c:scaling>
          <c:orientation val="minMax"/>
        </c:scaling>
        <c:delete val="0"/>
        <c:axPos val="b"/>
        <c:numFmt formatCode="General" sourceLinked="1"/>
        <c:majorTickMark val="none"/>
        <c:minorTickMark val="none"/>
        <c:tickLblPos val="nextTo"/>
        <c:txPr>
          <a:bodyPr/>
          <a:lstStyle/>
          <a:p>
            <a:pPr>
              <a:defRPr sz="800"/>
            </a:pPr>
            <a:endParaRPr lang="lt-LT"/>
          </a:p>
        </c:txPr>
        <c:crossAx val="197133824"/>
        <c:crosses val="autoZero"/>
        <c:auto val="1"/>
        <c:lblAlgn val="ctr"/>
        <c:lblOffset val="100"/>
        <c:noMultiLvlLbl val="0"/>
      </c:catAx>
      <c:valAx>
        <c:axId val="197133824"/>
        <c:scaling>
          <c:orientation val="minMax"/>
        </c:scaling>
        <c:delete val="0"/>
        <c:axPos val="l"/>
        <c:majorGridlines/>
        <c:numFmt formatCode="General" sourceLinked="1"/>
        <c:majorTickMark val="none"/>
        <c:minorTickMark val="none"/>
        <c:tickLblPos val="nextTo"/>
        <c:txPr>
          <a:bodyPr/>
          <a:lstStyle/>
          <a:p>
            <a:pPr>
              <a:defRPr sz="800"/>
            </a:pPr>
            <a:endParaRPr lang="lt-LT"/>
          </a:p>
        </c:txPr>
        <c:crossAx val="197029888"/>
        <c:crosses val="autoZero"/>
        <c:crossBetween val="between"/>
      </c:valAx>
      <c:dTable>
        <c:showHorzBorder val="1"/>
        <c:showVertBorder val="1"/>
        <c:showOutline val="1"/>
        <c:showKeys val="1"/>
        <c:txPr>
          <a:bodyPr/>
          <a:lstStyle/>
          <a:p>
            <a:pPr rtl="0">
              <a:defRPr sz="800"/>
            </a:pPr>
            <a:endParaRPr lang="lt-LT"/>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lt-LT" sz="1000"/>
              <a:t>Bazinio</a:t>
            </a:r>
            <a:r>
              <a:rPr lang="lt-LT" sz="1000" baseline="0"/>
              <a:t> dydžio didėjimas*</a:t>
            </a:r>
            <a:endParaRPr lang="lt-LT" sz="1000"/>
          </a:p>
        </c:rich>
      </c:tx>
      <c:overlay val="0"/>
    </c:title>
    <c:autoTitleDeleted val="0"/>
    <c:plotArea>
      <c:layout/>
      <c:barChart>
        <c:barDir val="col"/>
        <c:grouping val="stacked"/>
        <c:varyColors val="0"/>
        <c:ser>
          <c:idx val="0"/>
          <c:order val="0"/>
          <c:tx>
            <c:strRef>
              <c:f>Lapas1!$B$1</c:f>
              <c:strCache>
                <c:ptCount val="1"/>
                <c:pt idx="0">
                  <c:v>Bazinis dydis, Eur</c:v>
                </c:pt>
              </c:strCache>
            </c:strRef>
          </c:tx>
          <c:invertIfNegative val="0"/>
          <c:dLbls>
            <c:txPr>
              <a:bodyPr/>
              <a:lstStyle/>
              <a:p>
                <a:pPr>
                  <a:defRPr sz="800"/>
                </a:pPr>
                <a:endParaRPr lang="lt-LT"/>
              </a:p>
            </c:txPr>
            <c:showLegendKey val="0"/>
            <c:showVal val="1"/>
            <c:showCatName val="0"/>
            <c:showSerName val="0"/>
            <c:showPercent val="0"/>
            <c:showBubbleSize val="0"/>
            <c:showLeaderLines val="0"/>
          </c:dLbls>
          <c:cat>
            <c:strRef>
              <c:f>Lapas1!$A$2:$A$8</c:f>
              <c:strCache>
                <c:ptCount val="7"/>
                <c:pt idx="0">
                  <c:v>iki 2009</c:v>
                </c:pt>
                <c:pt idx="1">
                  <c:v>...</c:v>
                </c:pt>
                <c:pt idx="2">
                  <c:v>2017</c:v>
                </c:pt>
                <c:pt idx="3">
                  <c:v>2018</c:v>
                </c:pt>
                <c:pt idx="4">
                  <c:v>2019</c:v>
                </c:pt>
                <c:pt idx="5">
                  <c:v>2020</c:v>
                </c:pt>
                <c:pt idx="6">
                  <c:v>2021</c:v>
                </c:pt>
              </c:strCache>
            </c:strRef>
          </c:cat>
          <c:val>
            <c:numRef>
              <c:f>Lapas1!$B$2:$B$8</c:f>
              <c:numCache>
                <c:formatCode>General</c:formatCode>
                <c:ptCount val="7"/>
                <c:pt idx="0">
                  <c:v>183</c:v>
                </c:pt>
                <c:pt idx="2">
                  <c:v>168.2</c:v>
                </c:pt>
                <c:pt idx="3">
                  <c:v>170.8</c:v>
                </c:pt>
                <c:pt idx="4">
                  <c:v>173</c:v>
                </c:pt>
                <c:pt idx="5">
                  <c:v>176</c:v>
                </c:pt>
                <c:pt idx="6">
                  <c:v>177</c:v>
                </c:pt>
              </c:numCache>
            </c:numRef>
          </c:val>
        </c:ser>
        <c:ser>
          <c:idx val="1"/>
          <c:order val="1"/>
          <c:tx>
            <c:strRef>
              <c:f>Lapas1!$C$1</c:f>
              <c:strCache>
                <c:ptCount val="1"/>
                <c:pt idx="0">
                  <c:v>Padidėjimas, proc.                                      (palyginus su praėjusiais metais)</c:v>
                </c:pt>
              </c:strCache>
            </c:strRef>
          </c:tx>
          <c:invertIfNegative val="0"/>
          <c:dLbls>
            <c:txPr>
              <a:bodyPr/>
              <a:lstStyle/>
              <a:p>
                <a:pPr>
                  <a:defRPr sz="800"/>
                </a:pPr>
                <a:endParaRPr lang="lt-LT"/>
              </a:p>
            </c:txPr>
            <c:showLegendKey val="0"/>
            <c:showVal val="1"/>
            <c:showCatName val="0"/>
            <c:showSerName val="0"/>
            <c:showPercent val="0"/>
            <c:showBubbleSize val="0"/>
            <c:showLeaderLines val="0"/>
          </c:dLbls>
          <c:cat>
            <c:strRef>
              <c:f>Lapas1!$A$2:$A$8</c:f>
              <c:strCache>
                <c:ptCount val="7"/>
                <c:pt idx="0">
                  <c:v>iki 2009</c:v>
                </c:pt>
                <c:pt idx="1">
                  <c:v>...</c:v>
                </c:pt>
                <c:pt idx="2">
                  <c:v>2017</c:v>
                </c:pt>
                <c:pt idx="3">
                  <c:v>2018</c:v>
                </c:pt>
                <c:pt idx="4">
                  <c:v>2019</c:v>
                </c:pt>
                <c:pt idx="5">
                  <c:v>2020</c:v>
                </c:pt>
                <c:pt idx="6">
                  <c:v>2021</c:v>
                </c:pt>
              </c:strCache>
            </c:strRef>
          </c:cat>
          <c:val>
            <c:numRef>
              <c:f>Lapas1!$C$2:$C$8</c:f>
              <c:numCache>
                <c:formatCode>General</c:formatCode>
                <c:ptCount val="7"/>
                <c:pt idx="3">
                  <c:v>1.5</c:v>
                </c:pt>
                <c:pt idx="4">
                  <c:v>1.3</c:v>
                </c:pt>
                <c:pt idx="5">
                  <c:v>1.7</c:v>
                </c:pt>
                <c:pt idx="6">
                  <c:v>0.6</c:v>
                </c:pt>
              </c:numCache>
            </c:numRef>
          </c:val>
        </c:ser>
        <c:dLbls>
          <c:showLegendKey val="0"/>
          <c:showVal val="0"/>
          <c:showCatName val="0"/>
          <c:showSerName val="0"/>
          <c:showPercent val="0"/>
          <c:showBubbleSize val="0"/>
        </c:dLbls>
        <c:gapWidth val="55"/>
        <c:overlap val="100"/>
        <c:axId val="234776064"/>
        <c:axId val="234777600"/>
      </c:barChart>
      <c:catAx>
        <c:axId val="234776064"/>
        <c:scaling>
          <c:orientation val="minMax"/>
        </c:scaling>
        <c:delete val="0"/>
        <c:axPos val="b"/>
        <c:numFmt formatCode="General" sourceLinked="1"/>
        <c:majorTickMark val="none"/>
        <c:minorTickMark val="none"/>
        <c:tickLblPos val="nextTo"/>
        <c:txPr>
          <a:bodyPr/>
          <a:lstStyle/>
          <a:p>
            <a:pPr>
              <a:defRPr sz="800"/>
            </a:pPr>
            <a:endParaRPr lang="lt-LT"/>
          </a:p>
        </c:txPr>
        <c:crossAx val="234777600"/>
        <c:crosses val="autoZero"/>
        <c:auto val="1"/>
        <c:lblAlgn val="ctr"/>
        <c:lblOffset val="100"/>
        <c:noMultiLvlLbl val="0"/>
      </c:catAx>
      <c:valAx>
        <c:axId val="234777600"/>
        <c:scaling>
          <c:orientation val="minMax"/>
        </c:scaling>
        <c:delete val="0"/>
        <c:axPos val="l"/>
        <c:majorGridlines/>
        <c:numFmt formatCode="General" sourceLinked="1"/>
        <c:majorTickMark val="none"/>
        <c:minorTickMark val="none"/>
        <c:tickLblPos val="nextTo"/>
        <c:txPr>
          <a:bodyPr/>
          <a:lstStyle/>
          <a:p>
            <a:pPr>
              <a:defRPr sz="800"/>
            </a:pPr>
            <a:endParaRPr lang="lt-LT"/>
          </a:p>
        </c:txPr>
        <c:crossAx val="234776064"/>
        <c:crosses val="autoZero"/>
        <c:crossBetween val="between"/>
      </c:valAx>
    </c:plotArea>
    <c:legend>
      <c:legendPos val="r"/>
      <c:overlay val="0"/>
      <c:txPr>
        <a:bodyPr/>
        <a:lstStyle/>
        <a:p>
          <a:pPr>
            <a:defRPr sz="900"/>
          </a:pPr>
          <a:endParaRPr lang="lt-LT"/>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235B4-0E75-40F5-9D6B-F7126B14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7773</Words>
  <Characters>4431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AIKINAMASIS  RATAS</vt:lpstr>
      <vt:lpstr>AIKINAMASIS  RATAS</vt:lpstr>
    </vt:vector>
  </TitlesOfParts>
  <Company>SPG</Company>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2020-10-02T07:02:00Z</dcterms:created>
  <dc:creator>Teodoras</dc:creator>
  <cp:lastModifiedBy>Agnė Nakčerienė</cp:lastModifiedBy>
  <cp:lastPrinted>2019-07-11T08:56:00Z</cp:lastPrinted>
  <dcterms:modified xsi:type="dcterms:W3CDTF">2020-10-07T07:44:00Z</dcterms:modified>
  <cp:revision>25</cp:revision>
  <dc:title>AIKINAMASIS  RATAS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-1388871840</vt:i4>
  </property>
  <property fmtid="{D5CDD505-2E9C-101B-9397-08002B2CF9AE}" pid="4" name="_EmailSubject">
    <vt:lpwstr>BD</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-150143462</vt:i4>
  </property>
  <property fmtid="{D5CDD505-2E9C-101B-9397-08002B2CF9AE}" pid="8" name="_ReviewingToolsShownOnce">
    <vt:lpwstr/>
  </property>
</Properties>
</file>