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45131" w14:textId="77777777" w:rsidR="007B2E1A" w:rsidRDefault="00DD1003">
      <w:pPr>
        <w:spacing w:before="480" w:after="240" w:line="240" w:lineRule="auto"/>
        <w:rPr>
          <w:rFonts w:ascii="Cambria" w:hAnsi="Cambria" w:cs="Times New Roman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color w:val="366091"/>
          <w:sz w:val="28"/>
          <w:szCs w:val="24"/>
          <w:lang w:val="lt-LT"/>
        </w:rPr>
        <w:t>2 priedas:</w:t>
      </w:r>
      <w:r>
        <w:rPr>
          <w:rFonts w:ascii="Cambria" w:hAnsi="Cambria" w:cs="Times New Roman"/>
          <w:b/>
          <w:color w:val="366091"/>
          <w:sz w:val="28"/>
          <w:szCs w:val="24"/>
        </w:rPr>
        <w:t xml:space="preserve"> </w:t>
      </w:r>
      <w:r>
        <w:rPr>
          <w:rFonts w:ascii="Cambria" w:hAnsi="Cambria" w:cs="Times New Roman"/>
          <w:b/>
          <w:color w:val="366091"/>
          <w:sz w:val="28"/>
          <w:szCs w:val="24"/>
          <w:lang w:val="lt-LT"/>
        </w:rPr>
        <w:t>Partnerystės</w:t>
      </w:r>
    </w:p>
    <w:p w14:paraId="24145132" w14:textId="77777777" w:rsidR="007B2E1A" w:rsidRDefault="007B2E1A">
      <w:pPr>
        <w:spacing w:after="120" w:line="360" w:lineRule="auto"/>
        <w:jc w:val="both"/>
        <w:rPr>
          <w:rFonts w:ascii="Cambria" w:eastAsia="Cambria" w:hAnsi="Cambria" w:cs="Cambria"/>
          <w:color w:val="000000"/>
        </w:rPr>
      </w:pPr>
    </w:p>
    <w:p w14:paraId="24145133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Šalys gali dalyvauti Europos žvalgybos kolegijoje kaip tikrosios narės arba kaip partnerės.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Institucijos gali būti tik partnerės.</w:t>
      </w:r>
    </w:p>
    <w:p w14:paraId="24145134" w14:textId="77777777" w:rsidR="007B2E1A" w:rsidRDefault="00DD1003">
      <w:pPr>
        <w:spacing w:before="480" w:after="240" w:line="240" w:lineRule="auto"/>
        <w:rPr>
          <w:rFonts w:ascii="Cambria" w:hAnsi="Cambria" w:cs="Times New Roman"/>
          <w:b/>
          <w:color w:val="366091"/>
          <w:sz w:val="25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1.1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Partnerio statusas</w:t>
      </w:r>
    </w:p>
    <w:p w14:paraId="24145135" w14:textId="77777777" w:rsidR="007B2E1A" w:rsidRDefault="00DD1003">
      <w:pPr>
        <w:spacing w:line="278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 xml:space="preserve">Šalys, kurios paskyrė kontaktinį asmenį prieš pasirašydamos ketinimų </w:t>
      </w:r>
      <w:r>
        <w:rPr>
          <w:rFonts w:ascii="Cambria" w:hAnsi="Cambria" w:cs="Times New Roman"/>
          <w:color w:val="000000"/>
          <w:szCs w:val="24"/>
          <w:lang w:val="lt-LT"/>
        </w:rPr>
        <w:t>protokolą, tačiau nenori laikytis jo nuostatų, įgyja partnerės statusą.</w:t>
      </w:r>
    </w:p>
    <w:p w14:paraId="24145136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Bet kuri Europos šalis ar institucija, norinti vėliau prisijungti kaip partnerė, turės pateikti raštišką prašymą Valdymo komiteto Pirmininkaujančiai valstybei.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Pirmininkaujanti valstyb</w:t>
      </w:r>
      <w:r>
        <w:rPr>
          <w:rFonts w:ascii="Cambria" w:hAnsi="Cambria" w:cs="Times New Roman"/>
          <w:color w:val="000000"/>
          <w:szCs w:val="24"/>
          <w:lang w:val="lt-LT"/>
        </w:rPr>
        <w:t>ė siūlo kandidatūrą Valdymo komitetui, kuris priima sprendimą bendru sutarimu, kaip aprašyta skirsnyje „Sprendimų priėmimo procesas“ (1 priedas).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Priimant, bet kuri nauja partnerė turės paskirti kontaktinį asmenį.</w:t>
      </w:r>
    </w:p>
    <w:p w14:paraId="24145137" w14:textId="77777777" w:rsidR="007B2E1A" w:rsidRDefault="00DD1003">
      <w:pPr>
        <w:spacing w:line="278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Kolegija palaikys ryšius su Partnerėmis pe</w:t>
      </w:r>
      <w:r>
        <w:rPr>
          <w:rFonts w:ascii="Cambria" w:hAnsi="Cambria" w:cs="Times New Roman"/>
          <w:color w:val="000000"/>
          <w:szCs w:val="24"/>
          <w:lang w:val="lt-LT"/>
        </w:rPr>
        <w:t>r savo kontaktinį asmenį.</w:t>
      </w:r>
    </w:p>
    <w:p w14:paraId="24145138" w14:textId="77777777" w:rsidR="007B2E1A" w:rsidRDefault="00DD1003">
      <w:pPr>
        <w:spacing w:before="480" w:after="240" w:line="240" w:lineRule="auto"/>
        <w:rPr>
          <w:rFonts w:ascii="Cambria" w:hAnsi="Cambria" w:cs="Times New Roman"/>
          <w:b/>
          <w:color w:val="366091"/>
          <w:sz w:val="25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1.2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Partnerių teisės</w:t>
      </w:r>
    </w:p>
    <w:p w14:paraId="24145139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Partnerės negali būti Valdymo komiteto narėmis ir pirmininkauti.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Jos gali dalyvauti Valdymo komiteto posėdžiuose, pakvietus Pirmininkaujančiai valstybei.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Partnerės neturi balsavimo teisių.</w:t>
      </w:r>
    </w:p>
    <w:p w14:paraId="2414513A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Partnerės turi teis</w:t>
      </w:r>
      <w:r>
        <w:rPr>
          <w:rFonts w:ascii="Cambria" w:hAnsi="Cambria" w:cs="Times New Roman"/>
          <w:color w:val="000000"/>
          <w:szCs w:val="24"/>
          <w:lang w:val="lt-LT"/>
        </w:rPr>
        <w:t>ę dalyvauti kai kurioje Kolegijos veikloje, pavyzdžiui, teminiuose seminaruose Pirmininkaujančios valstybės ar priimančiosios šalies kvietimu.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Valdymo komitetas yra informuojamas.</w:t>
      </w:r>
    </w:p>
    <w:p w14:paraId="2414513B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Partnerės taip pat gali parengti rašytinį prašymą Pirmininkaujančiai valstyb</w:t>
      </w:r>
      <w:r>
        <w:rPr>
          <w:rFonts w:ascii="Cambria" w:hAnsi="Cambria" w:cs="Times New Roman"/>
          <w:color w:val="000000"/>
          <w:szCs w:val="24"/>
          <w:lang w:val="lt-LT"/>
        </w:rPr>
        <w:t>ei dalyvauti konkrečioje veikloje arba siūlyti Kolegijos narėms susipažinti su iniciatyvomis, taikomomis jų šalyje arba už kurias jos yra atsakingos.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Pirmininkaujanti valstybė narė, suderinus su Trejetu, pateikia atsakymą raštu.</w:t>
      </w:r>
    </w:p>
    <w:p w14:paraId="2414513C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eastAsia="Arial Unicode MS" w:hAnsi="Cambria" w:cs="Times New Roman"/>
          <w:color w:val="000000"/>
          <w:szCs w:val="24"/>
          <w:lang w:val="lt-LT"/>
        </w:rPr>
        <w:lastRenderedPageBreak/>
        <w:t>Partner</w:t>
      </w:r>
      <w:r>
        <w:rPr>
          <w:rFonts w:ascii="Cambria" w:hAnsi="Cambria" w:cs="Times New Roman"/>
          <w:color w:val="000000"/>
          <w:szCs w:val="24"/>
          <w:lang w:val="lt-LT"/>
        </w:rPr>
        <w:t>ė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>s, glaud</w:t>
      </w:r>
      <w:r>
        <w:rPr>
          <w:rFonts w:ascii="Cambria" w:hAnsi="Cambria" w:cs="Times New Roman"/>
          <w:color w:val="000000"/>
          <w:szCs w:val="24"/>
          <w:lang w:val="lt-LT"/>
        </w:rPr>
        <w:t>ž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 xml:space="preserve">iai 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>bendradarbiaudamos su nare, gali savanori</w:t>
      </w:r>
      <w:r>
        <w:rPr>
          <w:rFonts w:ascii="Cambria" w:hAnsi="Cambria" w:cs="Times New Roman"/>
          <w:color w:val="000000"/>
          <w:szCs w:val="24"/>
          <w:lang w:val="lt-LT"/>
        </w:rPr>
        <w:t>š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>kai organizuoti Kolegijos veikl</w:t>
      </w:r>
      <w:r>
        <w:rPr>
          <w:rFonts w:ascii="Cambria" w:hAnsi="Cambria" w:cs="Times New Roman"/>
          <w:color w:val="000000"/>
          <w:szCs w:val="24"/>
          <w:lang w:val="lt-LT"/>
        </w:rPr>
        <w:t>ą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>, kai tai patvirtina Valdymo komitetas.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414513D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szCs w:val="24"/>
          <w:u w:val="single"/>
        </w:rPr>
      </w:pPr>
      <w:r>
        <w:rPr>
          <w:rFonts w:ascii="Cambria" w:hAnsi="Cambria" w:cs="Times New Roman"/>
          <w:color w:val="000000"/>
          <w:szCs w:val="24"/>
          <w:lang w:val="lt-LT"/>
        </w:rPr>
        <w:t>Partnerės gali siūlyti paramą Kolegijai, laikydamosi tų pačių taisyklių.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414513E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eastAsia="Arial Unicode MS" w:hAnsi="Cambria" w:cs="Times New Roman"/>
          <w:color w:val="000000"/>
          <w:szCs w:val="24"/>
          <w:lang w:val="lt-LT"/>
        </w:rPr>
        <w:t>Partner</w:t>
      </w:r>
      <w:r>
        <w:rPr>
          <w:rFonts w:ascii="Cambria" w:hAnsi="Cambria" w:cs="Times New Roman"/>
          <w:color w:val="000000"/>
          <w:szCs w:val="24"/>
          <w:lang w:val="lt-LT"/>
        </w:rPr>
        <w:t>ė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 xml:space="preserve">s </w:t>
      </w:r>
      <w:r>
        <w:rPr>
          <w:rFonts w:ascii="Cambria" w:hAnsi="Cambria" w:cs="Times New Roman"/>
          <w:color w:val="000000"/>
          <w:szCs w:val="24"/>
          <w:lang w:val="lt-LT"/>
        </w:rPr>
        <w:t>Š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>alys gali pateikti ra</w:t>
      </w:r>
      <w:r>
        <w:rPr>
          <w:rFonts w:ascii="Cambria" w:hAnsi="Cambria" w:cs="Times New Roman"/>
          <w:color w:val="000000"/>
          <w:szCs w:val="24"/>
          <w:lang w:val="lt-LT"/>
        </w:rPr>
        <w:t>š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>ytin</w:t>
      </w:r>
      <w:r>
        <w:rPr>
          <w:rFonts w:ascii="Cambria" w:hAnsi="Cambria" w:cs="Times New Roman"/>
          <w:color w:val="000000"/>
          <w:szCs w:val="24"/>
          <w:lang w:val="lt-LT"/>
        </w:rPr>
        <w:t>į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 xml:space="preserve"> pra</w:t>
      </w:r>
      <w:r>
        <w:rPr>
          <w:rFonts w:ascii="Cambria" w:hAnsi="Cambria" w:cs="Times New Roman"/>
          <w:color w:val="000000"/>
          <w:szCs w:val="24"/>
          <w:lang w:val="lt-LT"/>
        </w:rPr>
        <w:t>š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>ym</w:t>
      </w:r>
      <w:r>
        <w:rPr>
          <w:rFonts w:ascii="Cambria" w:hAnsi="Cambria" w:cs="Times New Roman"/>
          <w:color w:val="000000"/>
          <w:szCs w:val="24"/>
          <w:lang w:val="lt-LT"/>
        </w:rPr>
        <w:t>ą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 xml:space="preserve"> tapti nar</w:t>
      </w:r>
      <w:r>
        <w:rPr>
          <w:rFonts w:ascii="Cambria" w:hAnsi="Cambria" w:cs="Times New Roman"/>
          <w:color w:val="000000"/>
          <w:szCs w:val="24"/>
          <w:lang w:val="lt-LT"/>
        </w:rPr>
        <w:t>ė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>mis Pirmin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>inkaujan</w:t>
      </w:r>
      <w:r>
        <w:rPr>
          <w:rFonts w:ascii="Cambria" w:hAnsi="Cambria" w:cs="Times New Roman"/>
          <w:color w:val="000000"/>
          <w:szCs w:val="24"/>
          <w:lang w:val="lt-LT"/>
        </w:rPr>
        <w:t>č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>iai valstybei, kuri perduoda j</w:t>
      </w:r>
      <w:r>
        <w:rPr>
          <w:rFonts w:ascii="Cambria" w:hAnsi="Cambria" w:cs="Times New Roman"/>
          <w:color w:val="000000"/>
          <w:szCs w:val="24"/>
          <w:lang w:val="lt-LT"/>
        </w:rPr>
        <w:t>į</w:t>
      </w:r>
      <w:r>
        <w:rPr>
          <w:rFonts w:ascii="Cambria" w:eastAsia="Arial Unicode MS" w:hAnsi="Cambria" w:cs="Times New Roman"/>
          <w:color w:val="000000"/>
          <w:szCs w:val="24"/>
          <w:lang w:val="lt-LT"/>
        </w:rPr>
        <w:t xml:space="preserve"> Valdymo komitetui, kaip nurodyta 1 priedo 1.1 skirsnyje.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414513F" w14:textId="77777777" w:rsidR="007B2E1A" w:rsidRDefault="00DD1003">
      <w:pPr>
        <w:spacing w:before="480" w:after="240" w:line="240" w:lineRule="auto"/>
        <w:rPr>
          <w:rFonts w:ascii="Cambria" w:hAnsi="Cambria" w:cs="Times New Roman"/>
          <w:b/>
          <w:color w:val="366091"/>
          <w:sz w:val="25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1.3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Partnerių įsipareigojimai</w:t>
      </w:r>
    </w:p>
    <w:p w14:paraId="24145140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Partnerės laikosi Kolegijos vizijos, įgaliojimų ir bendradarbiavimo principų, kaip nurodyta Ketinimų protokole.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Jos bendradarb</w:t>
      </w:r>
      <w:r>
        <w:rPr>
          <w:rFonts w:ascii="Cambria" w:hAnsi="Cambria" w:cs="Times New Roman"/>
          <w:color w:val="000000"/>
          <w:szCs w:val="24"/>
          <w:lang w:val="lt-LT"/>
        </w:rPr>
        <w:t>iauja su Kolegija konstruktyviai ir vadovaudamosi europietiška dvasia.</w:t>
      </w:r>
    </w:p>
    <w:p w14:paraId="24145141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bookmarkStart w:id="1" w:name="_tyjcwt"/>
      <w:bookmarkEnd w:id="1"/>
      <w:r>
        <w:rPr>
          <w:rFonts w:ascii="Cambria" w:hAnsi="Cambria" w:cs="Times New Roman"/>
          <w:color w:val="000000"/>
          <w:szCs w:val="24"/>
          <w:lang w:val="lt-LT"/>
        </w:rPr>
        <w:t>Partnerės, dalyvaujančios Kolegijos veikloje, laikosi tų pačių taisyklių, kaip ir kiti dalyviai.</w:t>
      </w:r>
    </w:p>
    <w:p w14:paraId="24145142" w14:textId="77777777" w:rsidR="007B2E1A" w:rsidRDefault="00DD1003">
      <w:pPr>
        <w:spacing w:before="480" w:after="240" w:line="240" w:lineRule="auto"/>
        <w:rPr>
          <w:rFonts w:ascii="Cambria" w:hAnsi="Cambria" w:cs="Times New Roman"/>
          <w:b/>
          <w:color w:val="366091"/>
          <w:sz w:val="25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1.3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Pasitraukimas, pašalinimas ir narystės sustabdymas</w:t>
      </w:r>
    </w:p>
    <w:p w14:paraId="24145143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 xml:space="preserve">Partnerė gali bet kada </w:t>
      </w:r>
      <w:r>
        <w:rPr>
          <w:rFonts w:ascii="Cambria" w:hAnsi="Cambria" w:cs="Times New Roman"/>
          <w:color w:val="000000"/>
          <w:szCs w:val="24"/>
          <w:lang w:val="lt-LT"/>
        </w:rPr>
        <w:t>pasitraukti iš Europos žvalgybos kolegijos, tačiau per tris (3) mėnesius turi raštu pranešti apie pasitraukimą Pirmininkaujančiai valstybei, kuri nedelsdama informuoja kitas nares apie tokį pranešimą.</w:t>
      </w:r>
    </w:p>
    <w:p w14:paraId="24145144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Partnerėms nevykdant savo įsipareigojimų (1.2), jų daly</w:t>
      </w:r>
      <w:r>
        <w:rPr>
          <w:rFonts w:ascii="Cambria" w:hAnsi="Cambria" w:cs="Times New Roman"/>
          <w:color w:val="000000"/>
          <w:szCs w:val="24"/>
          <w:lang w:val="lt-LT"/>
        </w:rPr>
        <w:t>vavimas gali būti sustabdytas arba jos pašalintos.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Bet kuri narė gali apskųsti tokį klausimą Pirmininkaujančiai valstybei.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4145145" w14:textId="77777777" w:rsidR="007B2E1A" w:rsidRDefault="00DD1003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bookmarkStart w:id="2" w:name="_3dy6vkm"/>
      <w:bookmarkEnd w:id="2"/>
      <w:r>
        <w:rPr>
          <w:rFonts w:ascii="Cambria" w:hAnsi="Cambria" w:cs="Times New Roman"/>
          <w:color w:val="000000"/>
          <w:szCs w:val="24"/>
          <w:lang w:val="lt-LT"/>
        </w:rPr>
        <w:t>Pateikus prašymą, Pirmininkaujanti valstybė per tris mėnesius nuo rašytinio pranešimo gavimo sušaukia Valdymo komiteto posėdį, kuria</w:t>
      </w:r>
      <w:r>
        <w:rPr>
          <w:rFonts w:ascii="Cambria" w:hAnsi="Cambria" w:cs="Times New Roman"/>
          <w:color w:val="000000"/>
          <w:szCs w:val="24"/>
          <w:lang w:val="lt-LT"/>
        </w:rPr>
        <w:t>me išklausoma minėta partnerė.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Tada Valdymo komitetas posėdžiauja ir bendru sutarimu nusprendžia, ar sustabdyti jos narystę, ar pašalinti iš organizacijos.</w:t>
      </w:r>
      <w:r>
        <w:rPr>
          <w:rFonts w:ascii="Cambria" w:hAnsi="Cambria" w:cs="Times New Roman"/>
          <w:color w:val="000000"/>
          <w:szCs w:val="24"/>
        </w:rPr>
        <w:t xml:space="preserve">  </w:t>
      </w:r>
    </w:p>
    <w:p w14:paraId="24145146" w14:textId="77777777" w:rsidR="007B2E1A" w:rsidRDefault="00DD1003">
      <w:pPr>
        <w:spacing w:after="120" w:line="360" w:lineRule="auto"/>
        <w:jc w:val="both"/>
      </w:pPr>
      <w:r>
        <w:rPr>
          <w:rFonts w:ascii="Cambria" w:hAnsi="Cambria" w:cs="Times New Roman"/>
          <w:color w:val="000000"/>
          <w:szCs w:val="24"/>
          <w:lang w:val="lt-LT"/>
        </w:rPr>
        <w:t>Pirmininkaujanti valstybė nusižengusiai partnerei raštu praneša apie priimtą sprendimą ir nurodo j</w:t>
      </w:r>
      <w:r>
        <w:rPr>
          <w:rFonts w:ascii="Cambria" w:hAnsi="Cambria" w:cs="Times New Roman"/>
          <w:color w:val="000000"/>
          <w:szCs w:val="24"/>
          <w:lang w:val="lt-LT"/>
        </w:rPr>
        <w:t>o motyvus.</w:t>
      </w:r>
    </w:p>
    <w:sectPr w:rsidR="007B2E1A">
      <w:headerReference w:type="default" r:id="rId6"/>
      <w:footerReference w:type="default" r:id="rId7"/>
      <w:headerReference w:type="first" r:id="rId8"/>
      <w:pgSz w:w="11906" w:h="16838"/>
      <w:pgMar w:top="1701" w:right="1701" w:bottom="1701" w:left="1701" w:header="709" w:footer="709" w:gutter="0"/>
      <w:pgNumType w:start="1"/>
      <w:cols w:space="1296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4514F" w14:textId="77777777" w:rsidR="00000000" w:rsidRDefault="00DD1003">
      <w:pPr>
        <w:spacing w:after="0" w:line="240" w:lineRule="auto"/>
      </w:pPr>
      <w:r>
        <w:separator/>
      </w:r>
    </w:p>
  </w:endnote>
  <w:endnote w:type="continuationSeparator" w:id="0">
    <w:p w14:paraId="24145151" w14:textId="77777777" w:rsidR="00000000" w:rsidRDefault="00DD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5148" w14:textId="782F0283" w:rsidR="007B2E1A" w:rsidRDefault="00DD1003">
    <w:pPr>
      <w:tabs>
        <w:tab w:val="center" w:pos="4536"/>
        <w:tab w:val="right" w:pos="9072"/>
      </w:tabs>
      <w:spacing w:after="0" w:line="240" w:lineRule="auto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24145149" w14:textId="77777777" w:rsidR="007B2E1A" w:rsidRDefault="00DD1003">
    <w:pPr>
      <w:tabs>
        <w:tab w:val="right" w:pos="9356"/>
      </w:tabs>
      <w:spacing w:after="0" w:line="240" w:lineRule="auto"/>
      <w:ind w:right="360"/>
      <w:jc w:val="right"/>
      <w:rPr>
        <w:color w:val="00000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414514B" wp14:editId="2414514C">
              <wp:simplePos x="0" y="0"/>
              <wp:positionH relativeFrom="column">
                <wp:posOffset>5359400</wp:posOffset>
              </wp:positionH>
              <wp:positionV relativeFrom="paragraph">
                <wp:posOffset>-125730</wp:posOffset>
              </wp:positionV>
              <wp:extent cx="12700" cy="4572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" cy="456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E6D161A" id="Straight Arrow Connector 1" o:spid="_x0000_s1026" style="position:absolute;margin-left:422pt;margin-top:-9.9pt;width:1pt;height:36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W+58zwEAAP4DAAAOAAAAZHJzL2Uyb0RvYy54bWysU8FuGyEQvVfqPyDu8dqWG0Urr6MoUXqp 2qhuPwCz4EUCBg3Ua/99h/HGsdpTqu6BZYD3hvdmWN8fgxcHg9lB7ORiNpfCRA29i/tO/vzxfHMn RS4q9spDNJ08mSzvNx8/rMfUmiUM4HuDgkhibsfUyaGU1DZN1oMJKs8gmUibFjCoQiHumx7VSOzB N8v5/LYZAfuEoE3OtPp03pQb5rfW6PLN2myK8J2kuxUekcddHZvNWrV7VGlwerqG+odbBOUiJb1Q PamixC90f1EFpxEy2DLTEBqw1mnDGkjNYv6Hmu2gkmEtZE5OF5vy/6PVXw8vKFxPtZMiqkAl2hZU bj8U8YAIo3iEGMlGQLGobo0ptwTaphecokzTKv1oMdQ/iRJHdvh0cdgci9C0uFguV1QGTTurT7er Oy5A84ZNmMtnA0HUSSeRErOt6vAlF8pHR1+P1FQRnp33XEMf60IG7/q6xgHud48exUHV4vNXFRDH 1TGKKrSpus5KeFZO3lQOH78bS/6wICbVE+u5iajLSc9rKzEZAepBS7d4J3aCVLTh3n0n/gLi/BDL BR9cBGTxV+rqdAf9iSvJBlCTsT/Tg6hdfB2zTW/PdvMbAAD//wMAUEsDBBQABgAIAAAAIQCWrSXV 3wAAAAoBAAAPAAAAZHJzL2Rvd25yZXYueG1sTI/BTsMwDIbvSLxDZCRuW7qqm0qpOxXErpPYkIBb 1pimWpNUTbaWt8ec4Gj71+/vK7ez7cWVxtB5h7BaJiDINV53rkV4O+4WOYgQldOq944QvinAtrq9 KVWh/eRe6XqIreASFwqFYGIcCilDY8iqsPQDOb59+dGqyOPYSj2qicttL9Mk2UirOscfjBro2VBz Plwswsvwua/XbZD1ezQfZ/807cy+Rby/m+tHEJHm+BeGX3xGh4qZTv7idBA9Qp5l7BIRFqsHduBE nm14c0JYpynIqpT/FaofAAAA//8DAFBLAQItABQABgAIAAAAIQC2gziS/gAAAOEBAAATAAAAAAAA AAAAAAAAAAAAAABbQ29udGVudF9UeXBlc10ueG1sUEsBAi0AFAAGAAgAAAAhADj9If/WAAAAlAEA AAsAAAAAAAAAAAAAAAAALwEAAF9yZWxzLy5yZWxzUEsBAi0AFAAGAAgAAAAhAJZb7nzPAQAA/gMA AA4AAAAAAAAAAAAAAAAALgIAAGRycy9lMm9Eb2MueG1sUEsBAi0AFAAGAAgAAAAhAJatJdXfAAAA CgEAAA8AAAAAAAAAAAAAAAAAKQQAAGRycy9kb3ducmV2LnhtbFBLBQYAAAAABAAEAPMAAAA1BQAA AAA= " filled="f"/>
          </w:pict>
        </mc:Fallback>
      </mc:AlternateContent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4514B" w14:textId="77777777" w:rsidR="00000000" w:rsidRDefault="00DD1003">
      <w:pPr>
        <w:spacing w:after="0" w:line="240" w:lineRule="auto"/>
      </w:pPr>
      <w:r>
        <w:separator/>
      </w:r>
    </w:p>
  </w:footnote>
  <w:footnote w:type="continuationSeparator" w:id="0">
    <w:p w14:paraId="2414514D" w14:textId="77777777" w:rsidR="00000000" w:rsidRDefault="00DD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5147" w14:textId="77777777" w:rsidR="007B2E1A" w:rsidRDefault="007B2E1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514A" w14:textId="77777777" w:rsidR="007B2E1A" w:rsidRDefault="007B2E1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1A"/>
    <w:rsid w:val="007B2E1A"/>
    <w:rsid w:val="00DD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5131"/>
  <w15:docId w15:val="{6E24F0DF-5E82-4AD0-AA58-7EB5992C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22CA"/>
    <w:pPr>
      <w:spacing w:after="200" w:line="276" w:lineRule="auto"/>
    </w:pPr>
    <w:rPr>
      <w:rFonts w:cs="Calibri"/>
      <w:lang w:val="en-US" w:eastAsia="en-GB"/>
    </w:rPr>
  </w:style>
  <w:style w:type="paragraph" w:styleId="Antrat3">
    <w:name w:val="heading 3"/>
    <w:basedOn w:val="prastasis"/>
    <w:next w:val="prastasis"/>
    <w:link w:val="Antrat3Diagrama"/>
    <w:qFormat/>
    <w:rsid w:val="00C022C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qFormat/>
    <w:rsid w:val="00C022CA"/>
    <w:rPr>
      <w:rFonts w:ascii="Cambria" w:eastAsia="Cambria" w:hAnsi="Cambria" w:cs="Cambria"/>
      <w:b/>
      <w:color w:val="4F81BD"/>
      <w:lang w:val="en-US" w:eastAsia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85DCE"/>
    <w:rPr>
      <w:rFonts w:ascii="Segoe UI" w:eastAsia="Calibri" w:hAnsi="Segoe UI" w:cs="Segoe UI"/>
      <w:sz w:val="18"/>
      <w:szCs w:val="18"/>
      <w:lang w:val="en-US" w:eastAsia="en-GB"/>
    </w:rPr>
  </w:style>
  <w:style w:type="character" w:customStyle="1" w:styleId="ListLabel1">
    <w:name w:val="ListLabel 1"/>
    <w:qFormat/>
    <w:rsid w:val="00BF6FE5"/>
    <w:rPr>
      <w:rFonts w:eastAsia="Noto Sans Symbols" w:cs="Noto Sans Symbols"/>
      <w:sz w:val="24"/>
      <w:szCs w:val="24"/>
    </w:rPr>
  </w:style>
  <w:style w:type="character" w:customStyle="1" w:styleId="ListLabel2">
    <w:name w:val="ListLabel 2"/>
    <w:qFormat/>
    <w:rsid w:val="00BF6FE5"/>
    <w:rPr>
      <w:rFonts w:eastAsia="Courier New" w:cs="Courier New"/>
    </w:rPr>
  </w:style>
  <w:style w:type="character" w:customStyle="1" w:styleId="ListLabel3">
    <w:name w:val="ListLabel 3"/>
    <w:qFormat/>
    <w:rsid w:val="00BF6FE5"/>
    <w:rPr>
      <w:rFonts w:eastAsia="Noto Sans Symbols" w:cs="Noto Sans Symbols"/>
    </w:rPr>
  </w:style>
  <w:style w:type="character" w:customStyle="1" w:styleId="ListLabel4">
    <w:name w:val="ListLabel 4"/>
    <w:qFormat/>
    <w:rsid w:val="00BF6FE5"/>
    <w:rPr>
      <w:rFonts w:eastAsia="Noto Sans Symbols" w:cs="Noto Sans Symbols"/>
    </w:rPr>
  </w:style>
  <w:style w:type="character" w:customStyle="1" w:styleId="ListLabel5">
    <w:name w:val="ListLabel 5"/>
    <w:qFormat/>
    <w:rsid w:val="00BF6FE5"/>
    <w:rPr>
      <w:rFonts w:eastAsia="Courier New" w:cs="Courier New"/>
    </w:rPr>
  </w:style>
  <w:style w:type="character" w:customStyle="1" w:styleId="ListLabel6">
    <w:name w:val="ListLabel 6"/>
    <w:qFormat/>
    <w:rsid w:val="00BF6FE5"/>
    <w:rPr>
      <w:rFonts w:eastAsia="Noto Sans Symbols" w:cs="Noto Sans Symbols"/>
    </w:rPr>
  </w:style>
  <w:style w:type="character" w:customStyle="1" w:styleId="ListLabel7">
    <w:name w:val="ListLabel 7"/>
    <w:qFormat/>
    <w:rsid w:val="00BF6FE5"/>
    <w:rPr>
      <w:rFonts w:eastAsia="Noto Sans Symbols" w:cs="Noto Sans Symbols"/>
    </w:rPr>
  </w:style>
  <w:style w:type="character" w:customStyle="1" w:styleId="ListLabel8">
    <w:name w:val="ListLabel 8"/>
    <w:qFormat/>
    <w:rsid w:val="00BF6FE5"/>
    <w:rPr>
      <w:rFonts w:eastAsia="Courier New" w:cs="Courier New"/>
    </w:rPr>
  </w:style>
  <w:style w:type="character" w:customStyle="1" w:styleId="ListLabel9">
    <w:name w:val="ListLabel 9"/>
    <w:qFormat/>
    <w:rsid w:val="00BF6FE5"/>
    <w:rPr>
      <w:rFonts w:eastAsia="Noto Sans Symbols" w:cs="Noto Sans Symbols"/>
    </w:rPr>
  </w:style>
  <w:style w:type="character" w:customStyle="1" w:styleId="ListLabel10">
    <w:name w:val="ListLabel 10"/>
    <w:qFormat/>
    <w:rsid w:val="00BF6FE5"/>
    <w:rPr>
      <w:rFonts w:eastAsia="Times New Roman" w:cs="Times New Roman"/>
    </w:rPr>
  </w:style>
  <w:style w:type="character" w:customStyle="1" w:styleId="ListLabel11">
    <w:name w:val="ListLabel 11"/>
    <w:qFormat/>
    <w:rsid w:val="00BF6FE5"/>
    <w:rPr>
      <w:rFonts w:eastAsia="Courier New" w:cs="Courier New"/>
    </w:rPr>
  </w:style>
  <w:style w:type="character" w:customStyle="1" w:styleId="ListLabel12">
    <w:name w:val="ListLabel 12"/>
    <w:qFormat/>
    <w:rsid w:val="00BF6FE5"/>
    <w:rPr>
      <w:rFonts w:eastAsia="Noto Sans Symbols" w:cs="Noto Sans Symbols"/>
    </w:rPr>
  </w:style>
  <w:style w:type="character" w:customStyle="1" w:styleId="ListLabel13">
    <w:name w:val="ListLabel 13"/>
    <w:qFormat/>
    <w:rsid w:val="00BF6FE5"/>
    <w:rPr>
      <w:rFonts w:eastAsia="Noto Sans Symbols" w:cs="Noto Sans Symbols"/>
    </w:rPr>
  </w:style>
  <w:style w:type="character" w:customStyle="1" w:styleId="ListLabel14">
    <w:name w:val="ListLabel 14"/>
    <w:qFormat/>
    <w:rsid w:val="00BF6FE5"/>
    <w:rPr>
      <w:rFonts w:eastAsia="Courier New" w:cs="Courier New"/>
    </w:rPr>
  </w:style>
  <w:style w:type="character" w:customStyle="1" w:styleId="ListLabel15">
    <w:name w:val="ListLabel 15"/>
    <w:qFormat/>
    <w:rsid w:val="00BF6FE5"/>
    <w:rPr>
      <w:rFonts w:eastAsia="Noto Sans Symbols" w:cs="Noto Sans Symbols"/>
    </w:rPr>
  </w:style>
  <w:style w:type="character" w:customStyle="1" w:styleId="ListLabel16">
    <w:name w:val="ListLabel 16"/>
    <w:qFormat/>
    <w:rsid w:val="00BF6FE5"/>
    <w:rPr>
      <w:rFonts w:eastAsia="Noto Sans Symbols" w:cs="Noto Sans Symbols"/>
    </w:rPr>
  </w:style>
  <w:style w:type="character" w:customStyle="1" w:styleId="ListLabel17">
    <w:name w:val="ListLabel 17"/>
    <w:qFormat/>
    <w:rsid w:val="00BF6FE5"/>
    <w:rPr>
      <w:rFonts w:eastAsia="Courier New" w:cs="Courier New"/>
    </w:rPr>
  </w:style>
  <w:style w:type="character" w:customStyle="1" w:styleId="ListLabel18">
    <w:name w:val="ListLabel 18"/>
    <w:qFormat/>
    <w:rsid w:val="00BF6FE5"/>
    <w:rPr>
      <w:rFonts w:eastAsia="Noto Sans Symbols" w:cs="Noto Sans Symbols"/>
    </w:rPr>
  </w:style>
  <w:style w:type="character" w:customStyle="1" w:styleId="ListLabel19">
    <w:name w:val="ListLabel 19"/>
    <w:qFormat/>
    <w:rsid w:val="00BF6FE5"/>
    <w:rPr>
      <w:rFonts w:cs="Courier New"/>
    </w:rPr>
  </w:style>
  <w:style w:type="character" w:customStyle="1" w:styleId="ListLabel20">
    <w:name w:val="ListLabel 20"/>
    <w:qFormat/>
    <w:rsid w:val="00BF6FE5"/>
    <w:rPr>
      <w:rFonts w:cs="Courier New"/>
    </w:rPr>
  </w:style>
  <w:style w:type="character" w:customStyle="1" w:styleId="ListLabel21">
    <w:name w:val="ListLabel 21"/>
    <w:qFormat/>
    <w:rsid w:val="00BF6FE5"/>
    <w:rPr>
      <w:rFonts w:cs="Courier New"/>
    </w:rPr>
  </w:style>
  <w:style w:type="character" w:customStyle="1" w:styleId="ListLabel22">
    <w:name w:val="ListLabel 22"/>
    <w:qFormat/>
    <w:rsid w:val="00BF6FE5"/>
    <w:rPr>
      <w:rFonts w:cs="Courier New"/>
    </w:rPr>
  </w:style>
  <w:style w:type="character" w:customStyle="1" w:styleId="ListLabel23">
    <w:name w:val="ListLabel 23"/>
    <w:qFormat/>
    <w:rsid w:val="00BF6FE5"/>
    <w:rPr>
      <w:rFonts w:cs="Courier New"/>
    </w:rPr>
  </w:style>
  <w:style w:type="character" w:customStyle="1" w:styleId="ListLabel24">
    <w:name w:val="ListLabel 24"/>
    <w:qFormat/>
    <w:rsid w:val="00BF6FE5"/>
    <w:rPr>
      <w:rFonts w:cs="Courier New"/>
    </w:rPr>
  </w:style>
  <w:style w:type="character" w:customStyle="1" w:styleId="tw4winMark">
    <w:name w:val="tw4winMark"/>
    <w:uiPriority w:val="99"/>
    <w:qFormat/>
    <w:rsid w:val="00F3440D"/>
    <w:rPr>
      <w:rFonts w:ascii="Courier New" w:hAnsi="Courier New"/>
      <w:vanish/>
      <w:color w:val="800080"/>
      <w:vertAlign w:val="subscript"/>
    </w:rPr>
  </w:style>
  <w:style w:type="paragraph" w:customStyle="1" w:styleId="Heading">
    <w:name w:val="Heading"/>
    <w:basedOn w:val="prastasis"/>
    <w:next w:val="Pagrindinistekstas"/>
    <w:qFormat/>
    <w:rsid w:val="00BF6F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BF6FE5"/>
    <w:pPr>
      <w:spacing w:after="140" w:line="288" w:lineRule="auto"/>
    </w:pPr>
  </w:style>
  <w:style w:type="paragraph" w:styleId="Sraas">
    <w:name w:val="List"/>
    <w:basedOn w:val="Pagrindinistekstas"/>
    <w:rsid w:val="00BF6FE5"/>
    <w:rPr>
      <w:rFonts w:cs="Arial"/>
    </w:rPr>
  </w:style>
  <w:style w:type="paragraph" w:styleId="Antrat">
    <w:name w:val="caption"/>
    <w:basedOn w:val="prastasis"/>
    <w:qFormat/>
    <w:rsid w:val="00BF6F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rsid w:val="00BF6FE5"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C022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85D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rsid w:val="00BF6FE5"/>
  </w:style>
  <w:style w:type="paragraph" w:styleId="Porat">
    <w:name w:val="footer"/>
    <w:basedOn w:val="prastasis"/>
    <w:rsid w:val="00BF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1949</Words>
  <Characters>1111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2020-02-12T09:30:00Z</dcterms:created>
  <dc:creator>Jane Lindsay</dc:creator>
  <dc:language>lt-LT</dc:language>
  <cp:lastModifiedBy>Rymantė Gedvilienė</cp:lastModifiedBy>
  <cp:lastPrinted>2019-12-13T14:56:00Z</cp:lastPrinted>
  <dcterms:modified xsi:type="dcterms:W3CDTF">2020-02-12T09:30:00Z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Cabinet Office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