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28" w:rsidRPr="005F78CA" w:rsidRDefault="00076A28" w:rsidP="00076A2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exact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bookmarkStart w:id="0" w:name="_GoBack"/>
      <w:bookmarkEnd w:id="0"/>
      <w:r w:rsidRPr="005F78CA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076A28" w:rsidRPr="005F78CA" w:rsidRDefault="00076A28" w:rsidP="00076A2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exact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r w:rsidRPr="005F78CA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 xml:space="preserve">TEISĖS </w:t>
      </w:r>
      <w:r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grupė</w:t>
      </w:r>
    </w:p>
    <w:p w:rsidR="00076A28" w:rsidRPr="005F78CA" w:rsidRDefault="00076A28" w:rsidP="00076A2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exact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:rsidR="00076A28" w:rsidRPr="005F78CA" w:rsidRDefault="00076A28" w:rsidP="00076A2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exact"/>
        <w:jc w:val="center"/>
        <w:rPr>
          <w:rFonts w:ascii="Times New Roman" w:eastAsia="Times New Roman" w:hAnsi="Times New Roman"/>
          <w:b/>
          <w:snapToGrid w:val="0"/>
          <w:sz w:val="24"/>
          <w:szCs w:val="20"/>
        </w:rPr>
      </w:pPr>
      <w:r w:rsidRPr="005F78CA">
        <w:rPr>
          <w:rFonts w:ascii="Times New Roman" w:eastAsia="Times New Roman" w:hAnsi="Times New Roman"/>
          <w:b/>
          <w:snapToGrid w:val="0"/>
          <w:sz w:val="24"/>
          <w:szCs w:val="20"/>
        </w:rPr>
        <w:t>IŠVADA</w:t>
      </w:r>
    </w:p>
    <w:p w:rsidR="00076A28" w:rsidRDefault="00076A28" w:rsidP="00076A28">
      <w:pPr>
        <w:spacing w:after="0" w:line="340" w:lineRule="exact"/>
        <w:jc w:val="center"/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</w:pPr>
      <w:r w:rsidRPr="005F78CA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DĖL 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LIETUVOS RESPUBLIKOS </w:t>
      </w:r>
      <w:r w:rsidRPr="005F78CA"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 xml:space="preserve">Vyriausybės nutarimo „Dėl Lietuvos Respublikos Vyriausybės </w:t>
      </w:r>
      <w:r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>2003</w:t>
      </w:r>
      <w:r w:rsidRPr="005F78CA"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> m. </w:t>
      </w:r>
      <w:r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 xml:space="preserve">LAPKRIČIO 27 </w:t>
      </w:r>
      <w:r w:rsidRPr="005F78CA"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 xml:space="preserve"> d. nutarimo Nr. </w:t>
      </w:r>
      <w:r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>1485</w:t>
      </w:r>
      <w:r w:rsidRPr="005F78CA"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 xml:space="preserve"> „Dėl </w:t>
      </w:r>
      <w:r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>OFICIALIŲ SVEČIŲ</w:t>
      </w:r>
      <w:r w:rsidR="00F306A4"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>PRIĖMIMO LIETUVOS RESPUBLIKOJE TVARKOS PATVIRTINIMO</w:t>
      </w:r>
      <w:r w:rsidRPr="005F78CA"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>“ pakeitimo“</w:t>
      </w:r>
      <w:r>
        <w:rPr>
          <w:rFonts w:ascii="Times New Roman" w:eastAsia="Times New Roman" w:hAnsi="Times New Roman"/>
          <w:b/>
          <w:bCs/>
          <w:caps/>
          <w:sz w:val="24"/>
          <w:szCs w:val="20"/>
          <w:lang w:eastAsia="ru-RU"/>
        </w:rPr>
        <w:t xml:space="preserve"> projekto</w:t>
      </w:r>
    </w:p>
    <w:p w:rsidR="00076A28" w:rsidRPr="005F78CA" w:rsidRDefault="00076A28" w:rsidP="00076A28">
      <w:pPr>
        <w:spacing w:after="0" w:line="340" w:lineRule="exact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F78CA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(toliau – Projektas)</w:t>
      </w:r>
    </w:p>
    <w:p w:rsidR="00076A28" w:rsidRPr="005F78CA" w:rsidRDefault="00076A28" w:rsidP="00076A28">
      <w:pPr>
        <w:spacing w:after="0" w:line="340" w:lineRule="exact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(TAP NR. 19-379</w:t>
      </w:r>
      <w:r w:rsidRPr="005F78CA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; 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TAIS NR. 19-1535(2)</w:t>
      </w:r>
      <w:r w:rsidRPr="005F78CA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)</w:t>
      </w:r>
    </w:p>
    <w:p w:rsidR="00076A28" w:rsidRPr="005F78CA" w:rsidRDefault="00076A28" w:rsidP="00076A28">
      <w:pPr>
        <w:tabs>
          <w:tab w:val="left" w:pos="6804"/>
        </w:tabs>
        <w:spacing w:after="0" w:line="34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76A28" w:rsidRPr="005F78CA" w:rsidTr="00E10A2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28" w:rsidRPr="002B2B9D" w:rsidRDefault="00076A28" w:rsidP="00E10A2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6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</w:rPr>
            </w:pPr>
            <w:r w:rsidRPr="002B2B9D">
              <w:rPr>
                <w:rFonts w:ascii="Times New Roman" w:eastAsia="Times New Roman" w:hAnsi="Times New Roman"/>
                <w:snapToGrid w:val="0"/>
                <w:sz w:val="24"/>
              </w:rPr>
              <w:t xml:space="preserve"> Nr.  </w:t>
            </w:r>
          </w:p>
        </w:tc>
      </w:tr>
    </w:tbl>
    <w:p w:rsidR="00076A28" w:rsidRPr="005F78CA" w:rsidRDefault="00076A28" w:rsidP="00076A2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snapToGrid w:val="0"/>
          <w:sz w:val="24"/>
          <w:szCs w:val="20"/>
        </w:rPr>
      </w:pPr>
      <w:r w:rsidRPr="005F78CA">
        <w:rPr>
          <w:rFonts w:ascii="Times New Roman" w:eastAsia="Times New Roman" w:hAnsi="Times New Roman"/>
          <w:snapToGrid w:val="0"/>
          <w:sz w:val="24"/>
          <w:szCs w:val="20"/>
        </w:rPr>
        <w:t>Vilnius</w:t>
      </w:r>
    </w:p>
    <w:p w:rsidR="00076A28" w:rsidRPr="005F78CA" w:rsidRDefault="00076A28" w:rsidP="00076A2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076A28" w:rsidRDefault="00076A28" w:rsidP="00076A2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F78CA">
        <w:rPr>
          <w:rFonts w:ascii="Times New Roman" w:eastAsia="Times New Roman" w:hAnsi="Times New Roman"/>
          <w:sz w:val="24"/>
          <w:szCs w:val="24"/>
        </w:rPr>
        <w:t>Įvertinę Projekto atitiktį įstatymams, Vyriausybės nutarimams bei teisės technikos reikalavimams, teikiame šias pastabas ir pasiūlymus:</w:t>
      </w:r>
    </w:p>
    <w:p w:rsidR="003E12FD" w:rsidRPr="00CC66AF" w:rsidRDefault="00076A28" w:rsidP="00076A2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E70465">
        <w:rPr>
          <w:rFonts w:ascii="Times New Roman" w:eastAsia="Times New Roman" w:hAnsi="Times New Roman"/>
          <w:sz w:val="24"/>
          <w:szCs w:val="24"/>
        </w:rPr>
        <w:t xml:space="preserve">Projekto teikime vienas iš tikslų </w:t>
      </w:r>
      <w:r w:rsidR="003E12FD">
        <w:rPr>
          <w:rFonts w:ascii="Times New Roman" w:eastAsia="Times New Roman" w:hAnsi="Times New Roman"/>
          <w:sz w:val="24"/>
          <w:szCs w:val="24"/>
        </w:rPr>
        <w:t>nurodamas</w:t>
      </w:r>
      <w:r w:rsidR="00E70465">
        <w:rPr>
          <w:rFonts w:ascii="Times New Roman" w:eastAsia="Times New Roman" w:hAnsi="Times New Roman"/>
          <w:sz w:val="24"/>
          <w:szCs w:val="24"/>
        </w:rPr>
        <w:t xml:space="preserve"> siekis </w:t>
      </w:r>
      <w:r w:rsidR="003E12FD">
        <w:rPr>
          <w:rFonts w:ascii="Times New Roman" w:eastAsia="Times New Roman" w:hAnsi="Times New Roman"/>
          <w:sz w:val="24"/>
          <w:szCs w:val="24"/>
        </w:rPr>
        <w:t xml:space="preserve">Projektu keičiamą Oficialių svečių </w:t>
      </w:r>
      <w:r w:rsidR="003E12FD" w:rsidRPr="00CC66AF">
        <w:rPr>
          <w:rFonts w:ascii="Times New Roman" w:eastAsia="Times New Roman" w:hAnsi="Times New Roman"/>
          <w:sz w:val="24"/>
          <w:szCs w:val="24"/>
        </w:rPr>
        <w:t>priėmimo Lietuvos Respublikoje tvarką (toliau – Tvarka) suderinti su pasikeitusiais teisės technikos reikalavimais. Šiuo aspektu siūlytume Nutarimą ir Tvarką peržiūrėti iš esmės</w:t>
      </w:r>
      <w:r w:rsidR="00107B18">
        <w:rPr>
          <w:rFonts w:ascii="Times New Roman" w:eastAsia="Times New Roman" w:hAnsi="Times New Roman"/>
          <w:sz w:val="24"/>
          <w:szCs w:val="24"/>
        </w:rPr>
        <w:t xml:space="preserve">, suderinti su galiojančiais </w:t>
      </w:r>
      <w:r w:rsidR="00DB6BA2">
        <w:rPr>
          <w:rFonts w:ascii="Times New Roman" w:eastAsia="Times New Roman" w:hAnsi="Times New Roman"/>
          <w:sz w:val="24"/>
          <w:szCs w:val="24"/>
        </w:rPr>
        <w:t>įstatymais</w:t>
      </w:r>
      <w:r w:rsidR="003E12FD" w:rsidRPr="00CC66AF">
        <w:rPr>
          <w:rFonts w:ascii="Times New Roman" w:eastAsia="Times New Roman" w:hAnsi="Times New Roman"/>
          <w:sz w:val="24"/>
          <w:szCs w:val="24"/>
        </w:rPr>
        <w:t xml:space="preserve"> ir dėstyti juos nauja redakcija atsižvelgiant į šiuos aspektus (bet neapsiribojant):</w:t>
      </w:r>
    </w:p>
    <w:p w:rsidR="007E5009" w:rsidRDefault="003E12FD" w:rsidP="00076A28">
      <w:pPr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eastAsia="lt-LT"/>
        </w:rPr>
      </w:pPr>
      <w:r w:rsidRPr="00CC66AF">
        <w:rPr>
          <w:rFonts w:ascii="Times New Roman" w:hAnsi="Times New Roman"/>
          <w:sz w:val="24"/>
          <w:szCs w:val="24"/>
        </w:rPr>
        <w:t>1.1. Nutarimo preambulėje nėra</w:t>
      </w:r>
      <w:r w:rsidR="00CC66AF" w:rsidRPr="00CC66A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nurod</w:t>
      </w:r>
      <w:r w:rsidR="00CC66AF">
        <w:rPr>
          <w:rFonts w:ascii="Times New Roman" w:hAnsi="Times New Roman"/>
          <w:color w:val="000000"/>
          <w:sz w:val="24"/>
          <w:szCs w:val="24"/>
          <w:lang w:eastAsia="lt-LT"/>
        </w:rPr>
        <w:t>yta Tvarkos</w:t>
      </w:r>
      <w:r w:rsidR="00CC66AF" w:rsidRPr="00CC66A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priėmimo teisini</w:t>
      </w:r>
      <w:r w:rsidR="00CC66AF">
        <w:rPr>
          <w:rFonts w:ascii="Times New Roman" w:hAnsi="Times New Roman"/>
          <w:color w:val="000000"/>
          <w:sz w:val="24"/>
          <w:szCs w:val="24"/>
          <w:lang w:eastAsia="lt-LT"/>
        </w:rPr>
        <w:t>o</w:t>
      </w:r>
      <w:r w:rsidR="00CC66AF" w:rsidRPr="00CC66A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pagrind</w:t>
      </w:r>
      <w:r w:rsidR="00CC66AF">
        <w:rPr>
          <w:rFonts w:ascii="Times New Roman" w:hAnsi="Times New Roman"/>
          <w:color w:val="000000"/>
          <w:sz w:val="24"/>
          <w:szCs w:val="24"/>
          <w:lang w:eastAsia="lt-LT"/>
        </w:rPr>
        <w:t>o, o pačios Tvarkos 4 punkte pateikta nuoroda į teisės aktus</w:t>
      </w:r>
      <w:r w:rsidR="007E500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kuriais remiantis ji yra parengta, stokoja teisinio aiškumo, nes daroma neapibrėžta nuoroda </w:t>
      </w:r>
      <w:r w:rsidR="007E5009" w:rsidRPr="007E5009">
        <w:rPr>
          <w:rFonts w:ascii="Times New Roman" w:hAnsi="Times New Roman"/>
          <w:i/>
          <w:color w:val="000000"/>
          <w:sz w:val="24"/>
          <w:szCs w:val="24"/>
          <w:lang w:eastAsia="lt-LT"/>
        </w:rPr>
        <w:t>„kitais teisės aktais, taip pat tarptautine praktika reglamentuojamoje srityje“</w:t>
      </w:r>
      <w:r w:rsidR="007E5009">
        <w:rPr>
          <w:rFonts w:ascii="Times New Roman" w:hAnsi="Times New Roman"/>
          <w:i/>
          <w:color w:val="000000"/>
          <w:sz w:val="24"/>
          <w:szCs w:val="24"/>
          <w:lang w:eastAsia="lt-LT"/>
        </w:rPr>
        <w:t>;</w:t>
      </w:r>
    </w:p>
    <w:p w:rsidR="00DB6BA2" w:rsidRDefault="007E5009" w:rsidP="00DB6BA2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1.2. Nutarimo 2 punkte pavedamos Užsienio reikalų ministerijai Tvarkos </w:t>
      </w:r>
      <w:r w:rsidRPr="00773C91">
        <w:rPr>
          <w:rFonts w:ascii="Times New Roman" w:hAnsi="Times New Roman"/>
          <w:i/>
          <w:color w:val="000000"/>
          <w:sz w:val="24"/>
          <w:szCs w:val="24"/>
          <w:lang w:eastAsia="lt-LT"/>
        </w:rPr>
        <w:t>vykdymo priežiūros ir koordinavimo funkcijos,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kuri</w:t>
      </w:r>
      <w:r w:rsidR="00773C9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ų turinys nėra apibrėžtas. Be to, kyla abejonių, dėl tokio pavedimo tikslingumo, kai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ministrams yra pavedamos </w:t>
      </w:r>
      <w:r w:rsidRPr="00773C91">
        <w:rPr>
          <w:rFonts w:ascii="Times New Roman" w:hAnsi="Times New Roman"/>
          <w:i/>
          <w:color w:val="000000"/>
          <w:sz w:val="24"/>
          <w:szCs w:val="24"/>
          <w:lang w:eastAsia="lt-LT"/>
        </w:rPr>
        <w:t>valdymo sritys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už kurias </w:t>
      </w:r>
      <w:r w:rsidRPr="00773C9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jie yra atsakingi (Vyriausybės 2010 m. kovo 24 d. nutarimas Nr. 330), </w:t>
      </w:r>
      <w:r w:rsidR="00773C91">
        <w:rPr>
          <w:rFonts w:ascii="Times New Roman" w:hAnsi="Times New Roman"/>
          <w:color w:val="000000"/>
          <w:sz w:val="24"/>
          <w:szCs w:val="24"/>
          <w:lang w:eastAsia="lt-LT"/>
        </w:rPr>
        <w:t>o</w:t>
      </w:r>
      <w:r w:rsidR="00773C91" w:rsidRPr="00773C9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Užsienio reikalų ministerijos nuostatuose ministerijai nustatyta funkcija </w:t>
      </w:r>
      <w:r w:rsidR="00773C91" w:rsidRPr="00773C91">
        <w:rPr>
          <w:rFonts w:ascii="Times New Roman" w:hAnsi="Times New Roman"/>
          <w:i/>
          <w:color w:val="000000"/>
          <w:sz w:val="24"/>
          <w:szCs w:val="24"/>
          <w:lang w:eastAsia="lt-LT"/>
        </w:rPr>
        <w:t>„</w:t>
      </w:r>
      <w:r w:rsidR="00773C91" w:rsidRPr="00773C91">
        <w:rPr>
          <w:rFonts w:ascii="Times New Roman" w:hAnsi="Times New Roman"/>
          <w:i/>
          <w:sz w:val="24"/>
          <w:szCs w:val="24"/>
        </w:rPr>
        <w:t>pagal kompetenciją organizuoja Lietuvos Respublikos valstybinių ir vyriausybinių delegacijų oficialius vizitus į užsienį ir užsienio valstybinių ir vyriausybinių delegacijų priėmimą Lietuvos Respublikoje</w:t>
      </w:r>
      <w:r w:rsidR="00773C91">
        <w:rPr>
          <w:rFonts w:ascii="Times New Roman" w:hAnsi="Times New Roman"/>
          <w:i/>
          <w:sz w:val="24"/>
          <w:szCs w:val="24"/>
        </w:rPr>
        <w:t>“;</w:t>
      </w:r>
    </w:p>
    <w:p w:rsidR="00773C91" w:rsidRPr="00107B18" w:rsidRDefault="00773C91" w:rsidP="00DB6BA2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1.3. </w:t>
      </w:r>
      <w:r w:rsidR="003347D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Pagal Teisės aktų projektų rengimo rekomendacijų, patvirtintų Lietuvos Respublikos teisingumo ministro 2013 m. gruodžio 23 d. įsakymu Nr. 1R-298 (toliau – Rekomendacijos) </w:t>
      </w:r>
      <w:r w:rsidR="003347DD" w:rsidRPr="003347DD">
        <w:rPr>
          <w:rFonts w:ascii="Times New Roman" w:eastAsia="Times New Roman" w:hAnsi="Times New Roman"/>
          <w:sz w:val="24"/>
          <w:szCs w:val="24"/>
        </w:rPr>
        <w:t>15.4</w:t>
      </w:r>
      <w:r w:rsidR="003347DD">
        <w:rPr>
          <w:rFonts w:ascii="Times New Roman" w:eastAsia="Times New Roman" w:hAnsi="Times New Roman"/>
          <w:sz w:val="24"/>
          <w:szCs w:val="24"/>
        </w:rPr>
        <w:t xml:space="preserve"> papunktį t</w:t>
      </w:r>
      <w:r w:rsidR="003347DD" w:rsidRPr="003347DD">
        <w:rPr>
          <w:rFonts w:ascii="Times New Roman" w:eastAsia="Times New Roman" w:hAnsi="Times New Roman"/>
          <w:sz w:val="24"/>
          <w:szCs w:val="24"/>
          <w:lang w:eastAsia="lt-LT"/>
        </w:rPr>
        <w:t xml:space="preserve">eisės aktais tvirtinamų dokumentų pavadinimai turi turėti dokumento reikšmę. Tvirtinami </w:t>
      </w:r>
      <w:r w:rsidR="003347DD" w:rsidRPr="003347D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ne būdai, atvejai, sąlygos ar pan., bet būdų, atvejų, sąlygų ar pan. </w:t>
      </w:r>
      <w:r w:rsidR="003347DD" w:rsidRPr="00DB6BA2">
        <w:rPr>
          <w:rFonts w:ascii="Times New Roman" w:eastAsia="Times New Roman" w:hAnsi="Times New Roman"/>
          <w:i/>
          <w:sz w:val="24"/>
          <w:szCs w:val="24"/>
          <w:lang w:eastAsia="lt-LT"/>
        </w:rPr>
        <w:t>aprašai.</w:t>
      </w:r>
      <w:r w:rsidR="003347DD" w:rsidRPr="003347D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Pagal susiklosčiusią teisėkūros praktiką </w:t>
      </w:r>
      <w:r w:rsidR="003347D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siūlome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žod</w:t>
      </w:r>
      <w:r w:rsidR="003347DD">
        <w:rPr>
          <w:rFonts w:ascii="Times New Roman" w:hAnsi="Times New Roman"/>
          <w:color w:val="000000"/>
          <w:sz w:val="24"/>
          <w:szCs w:val="24"/>
          <w:lang w:eastAsia="lt-LT"/>
        </w:rPr>
        <w:t>į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773C91">
        <w:rPr>
          <w:rFonts w:ascii="Times New Roman" w:hAnsi="Times New Roman"/>
          <w:i/>
          <w:color w:val="000000"/>
          <w:sz w:val="24"/>
          <w:szCs w:val="24"/>
          <w:lang w:eastAsia="lt-LT"/>
        </w:rPr>
        <w:t>„tvarka“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kei</w:t>
      </w:r>
      <w:r w:rsidR="003347D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į žodžius </w:t>
      </w:r>
      <w:r w:rsidRPr="00773C91">
        <w:rPr>
          <w:rFonts w:ascii="Times New Roman" w:hAnsi="Times New Roman"/>
          <w:i/>
          <w:color w:val="000000"/>
          <w:sz w:val="24"/>
          <w:szCs w:val="24"/>
          <w:lang w:eastAsia="lt-LT"/>
        </w:rPr>
        <w:t>„tvarkos aprašas“</w:t>
      </w:r>
      <w:r w:rsidR="003347DD">
        <w:rPr>
          <w:rFonts w:ascii="Times New Roman" w:hAnsi="Times New Roman"/>
          <w:i/>
          <w:color w:val="000000"/>
          <w:sz w:val="24"/>
          <w:szCs w:val="24"/>
          <w:lang w:eastAsia="lt-LT"/>
        </w:rPr>
        <w:t>;</w:t>
      </w:r>
    </w:p>
    <w:p w:rsidR="004F79CD" w:rsidRDefault="00773C91" w:rsidP="004F79C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1.4. </w:t>
      </w:r>
      <w:r w:rsidRPr="00107B18">
        <w:rPr>
          <w:rFonts w:ascii="Times New Roman" w:hAnsi="Times New Roman"/>
          <w:color w:val="000000"/>
          <w:sz w:val="24"/>
          <w:szCs w:val="24"/>
          <w:lang w:eastAsia="lt-LT"/>
        </w:rPr>
        <w:t>Tvarkos 3 punkte vartojama formuluotė „</w:t>
      </w:r>
      <w:r w:rsidRPr="00107B18">
        <w:rPr>
          <w:rFonts w:ascii="Times New Roman" w:hAnsi="Times New Roman"/>
          <w:i/>
          <w:color w:val="000000"/>
          <w:sz w:val="24"/>
          <w:szCs w:val="24"/>
          <w:lang w:eastAsia="lt-LT"/>
        </w:rPr>
        <w:t>vidaus reikalų sistemos“</w:t>
      </w:r>
      <w:r w:rsidRPr="00107B1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107B1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suderintina su </w:t>
      </w:r>
      <w:r w:rsidR="00107B18" w:rsidRPr="00107B18">
        <w:rPr>
          <w:rFonts w:ascii="Times New Roman" w:hAnsi="Times New Roman"/>
          <w:color w:val="000000"/>
          <w:sz w:val="24"/>
          <w:szCs w:val="24"/>
          <w:lang w:eastAsia="lt-LT"/>
        </w:rPr>
        <w:t>Vidaus tarnybos statute vartojam</w:t>
      </w:r>
      <w:r w:rsidR="00107B18">
        <w:rPr>
          <w:rFonts w:ascii="Times New Roman" w:hAnsi="Times New Roman"/>
          <w:color w:val="000000"/>
          <w:sz w:val="24"/>
          <w:szCs w:val="24"/>
          <w:lang w:eastAsia="lt-LT"/>
        </w:rPr>
        <w:t>omis</w:t>
      </w:r>
      <w:r w:rsidR="00107B18" w:rsidRPr="00107B1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formuluo</w:t>
      </w:r>
      <w:r w:rsidR="00107B18">
        <w:rPr>
          <w:rFonts w:ascii="Times New Roman" w:hAnsi="Times New Roman"/>
          <w:color w:val="000000"/>
          <w:sz w:val="24"/>
          <w:szCs w:val="24"/>
          <w:lang w:eastAsia="lt-LT"/>
        </w:rPr>
        <w:t>tėmis;</w:t>
      </w:r>
    </w:p>
    <w:p w:rsidR="00855B01" w:rsidRDefault="00B64A87" w:rsidP="004F79C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1.5. Siekiant teisinio reguliavimo nuoseklumo ir aiškumo, siūlytume Tvarkos nuostatas </w:t>
      </w:r>
      <w:r w:rsidR="000605F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suderinti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tarpusavyje, pvz., Tvarkos 7, 8 punktuose nustatyta, kad </w:t>
      </w:r>
      <w:r w:rsidRPr="00DB6BA2">
        <w:rPr>
          <w:rFonts w:ascii="Times New Roman" w:hAnsi="Times New Roman"/>
          <w:i/>
          <w:color w:val="000000"/>
          <w:sz w:val="24"/>
          <w:szCs w:val="24"/>
          <w:lang w:eastAsia="lt-LT"/>
        </w:rPr>
        <w:t>„Užsienio reikalų ministerijai pritarus“,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tuo tarpu tvarkos 9 punkte duodant nuorodą į Tvarkos 7 ir 8 punktus, nurodoma, kad Užsienio reikalų ministerija priima sprendimą. Siūlytume aiškiai sureguliuoti oficialių svečių priskyrimą</w:t>
      </w:r>
      <w:r w:rsidR="00DB6BA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tam tikroms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kategorijoms tvarką. Be to, atkreipiame dėmesį, kad pagal vizitą vykdančios institucijos apibrėžtį, ja gali būti pati Užsienio reikalų ministerija</w:t>
      </w:r>
      <w:r w:rsidR="00855B01">
        <w:rPr>
          <w:rFonts w:ascii="Times New Roman" w:hAnsi="Times New Roman"/>
          <w:color w:val="000000"/>
          <w:sz w:val="24"/>
          <w:szCs w:val="24"/>
          <w:lang w:eastAsia="lt-LT"/>
        </w:rPr>
        <w:t>. 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agal Tvarkos 7, 8 ir 9 punktų redakcijas gali susidaryti situacija, kai Užsienio reikalų ministerija pati sau teikia ir pati pritaria savo teikimui</w:t>
      </w:r>
      <w:r w:rsidR="00855B0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dėl oficialių svečių kategorijos</w:t>
      </w:r>
      <w:r w:rsidR="0027087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(pastaba reikšminga ir dėl Tvarkos 27.4 papunkčio)</w:t>
      </w:r>
      <w:r w:rsidR="00855B01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:rsidR="0027087A" w:rsidRDefault="00855B01" w:rsidP="004F79C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1.6.</w:t>
      </w:r>
      <w:r w:rsidR="000605F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7D5B0B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iūlytume atsisakyti perteklinių, pridėtinės vertės nesukuriančių nuostatų, pvz., Tvarkos 11 punktas, suderinti tarpusavyje vartojamas formuluotes </w:t>
      </w:r>
      <w:r w:rsidRPr="00855B01">
        <w:rPr>
          <w:rFonts w:ascii="Times New Roman" w:hAnsi="Times New Roman"/>
          <w:i/>
          <w:color w:val="000000"/>
          <w:sz w:val="24"/>
          <w:szCs w:val="24"/>
          <w:lang w:eastAsia="lt-LT"/>
        </w:rPr>
        <w:t>„oficialus svečias“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</w:t>
      </w:r>
      <w:r w:rsidRPr="00855B01">
        <w:rPr>
          <w:rFonts w:ascii="Times New Roman" w:hAnsi="Times New Roman"/>
          <w:i/>
          <w:color w:val="000000"/>
          <w:sz w:val="24"/>
          <w:szCs w:val="24"/>
          <w:lang w:eastAsia="lt-LT"/>
        </w:rPr>
        <w:t>„saugomas asmuo“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, pvz., Tvarkos 13 ir 13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punktuose</w:t>
      </w:r>
      <w:r w:rsidR="0027087A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:rsidR="0027087A" w:rsidRDefault="0027087A" w:rsidP="004F79C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1.7. Tvarkos 23 punkto ir 24.1 papunkčio nuostatos stokoja teisinio aiškumo, nes 23 punkte teigiama, kad oficialaus svečio pasitikimas ir išlydėjimas yra privalom</w:t>
      </w:r>
      <w:r w:rsidR="00EA53DD">
        <w:rPr>
          <w:rFonts w:ascii="Times New Roman" w:hAnsi="Times New Roman"/>
          <w:color w:val="000000"/>
          <w:sz w:val="24"/>
          <w:szCs w:val="24"/>
          <w:lang w:eastAsia="lt-LT"/>
        </w:rPr>
        <w:t>os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vizito dalys, tuo tarpu 24.1</w:t>
      </w:r>
      <w:r w:rsidR="00EA53DD">
        <w:rPr>
          <w:rFonts w:ascii="Times New Roman" w:hAnsi="Times New Roman"/>
          <w:color w:val="000000"/>
          <w:sz w:val="24"/>
          <w:szCs w:val="24"/>
          <w:lang w:eastAsia="lt-LT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papunktyje teigiama, kad oficialų svečią gali pasitikti ir išlydėti ir Lietuvos Respublikos oficialus asmuo.</w:t>
      </w:r>
    </w:p>
    <w:p w:rsidR="00545360" w:rsidRDefault="004526B0" w:rsidP="004F79C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2. </w:t>
      </w:r>
      <w:r w:rsidR="004F79C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Pagal </w:t>
      </w:r>
      <w:r w:rsidR="00DB6BA2">
        <w:rPr>
          <w:rFonts w:ascii="Times New Roman" w:hAnsi="Times New Roman"/>
          <w:color w:val="000000"/>
          <w:sz w:val="24"/>
          <w:szCs w:val="24"/>
          <w:lang w:eastAsia="lt-LT"/>
        </w:rPr>
        <w:t>R</w:t>
      </w:r>
      <w:r w:rsidR="004F79CD">
        <w:rPr>
          <w:rFonts w:ascii="Times New Roman" w:hAnsi="Times New Roman"/>
          <w:color w:val="000000"/>
          <w:sz w:val="24"/>
          <w:szCs w:val="24"/>
          <w:lang w:eastAsia="lt-LT"/>
        </w:rPr>
        <w:t>ekomendacijų 6.5</w:t>
      </w:r>
      <w:r w:rsidR="00EA53DD">
        <w:rPr>
          <w:rFonts w:ascii="Times New Roman" w:hAnsi="Times New Roman"/>
          <w:color w:val="000000"/>
          <w:sz w:val="24"/>
          <w:szCs w:val="24"/>
          <w:lang w:eastAsia="lt-LT"/>
        </w:rPr>
        <w:t> </w:t>
      </w:r>
      <w:r w:rsidR="004F79C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papunktį </w:t>
      </w:r>
      <w:r w:rsidR="004F79CD">
        <w:rPr>
          <w:rFonts w:ascii="Times New Roman" w:eastAsia="Times New Roman" w:hAnsi="Times New Roman"/>
          <w:sz w:val="24"/>
          <w:szCs w:val="24"/>
        </w:rPr>
        <w:t>s</w:t>
      </w:r>
      <w:r w:rsidR="004F79CD" w:rsidRPr="004F79CD">
        <w:rPr>
          <w:rFonts w:ascii="Times New Roman" w:eastAsia="Times New Roman" w:hAnsi="Times New Roman"/>
          <w:sz w:val="24"/>
          <w:szCs w:val="24"/>
        </w:rPr>
        <w:t>ąvokos ir jas įvardijantys terminai turi būti suderinti Lietuvos Respublikos terminų banko įstatymo ir jo įgyvendinamųjų teisės aktų nustatyta tvarka.</w:t>
      </w:r>
      <w:r w:rsidR="004F79CD">
        <w:rPr>
          <w:rFonts w:ascii="Times New Roman" w:eastAsia="Times New Roman" w:hAnsi="Times New Roman"/>
          <w:sz w:val="24"/>
          <w:szCs w:val="24"/>
        </w:rPr>
        <w:t xml:space="preserve"> Be to, </w:t>
      </w:r>
      <w:r w:rsidR="00545360">
        <w:rPr>
          <w:rFonts w:ascii="Times New Roman" w:eastAsia="Times New Roman" w:hAnsi="Times New Roman"/>
          <w:sz w:val="24"/>
          <w:szCs w:val="24"/>
        </w:rPr>
        <w:t>įgyvendinamuosiuose</w:t>
      </w:r>
      <w:r w:rsidR="00094D34">
        <w:rPr>
          <w:rFonts w:ascii="Times New Roman" w:eastAsia="Times New Roman" w:hAnsi="Times New Roman"/>
          <w:sz w:val="24"/>
          <w:szCs w:val="24"/>
        </w:rPr>
        <w:t xml:space="preserve"> teisės aktuose apibrėžiant sąvokas, reikėtų </w:t>
      </w:r>
      <w:r w:rsidR="00545360">
        <w:rPr>
          <w:rFonts w:ascii="Times New Roman" w:eastAsia="Times New Roman" w:hAnsi="Times New Roman"/>
          <w:sz w:val="24"/>
          <w:szCs w:val="24"/>
        </w:rPr>
        <w:t xml:space="preserve">įsivertinti, ar atitinkamos sąvokos nėra apibrėžiamos įstatymuose (o jei nėra, ar neturėtų būti </w:t>
      </w:r>
      <w:r w:rsidR="00F33B9B">
        <w:rPr>
          <w:rFonts w:ascii="Times New Roman" w:eastAsia="Times New Roman" w:hAnsi="Times New Roman"/>
          <w:sz w:val="24"/>
          <w:szCs w:val="24"/>
        </w:rPr>
        <w:t>juose apibrėžtos</w:t>
      </w:r>
      <w:r w:rsidR="00545360">
        <w:rPr>
          <w:rFonts w:ascii="Times New Roman" w:eastAsia="Times New Roman" w:hAnsi="Times New Roman"/>
          <w:sz w:val="24"/>
          <w:szCs w:val="24"/>
        </w:rPr>
        <w:t xml:space="preserve">), pvz., </w:t>
      </w:r>
      <w:r w:rsidR="00F33B9B">
        <w:rPr>
          <w:rFonts w:ascii="Times New Roman" w:eastAsia="Times New Roman" w:hAnsi="Times New Roman"/>
          <w:sz w:val="24"/>
          <w:szCs w:val="24"/>
        </w:rPr>
        <w:t>s</w:t>
      </w:r>
      <w:r w:rsidR="00545360">
        <w:rPr>
          <w:rFonts w:ascii="Times New Roman" w:eastAsia="Times New Roman" w:hAnsi="Times New Roman"/>
          <w:sz w:val="24"/>
          <w:szCs w:val="24"/>
        </w:rPr>
        <w:t xml:space="preserve">ąvoka </w:t>
      </w:r>
      <w:r w:rsidR="00545360" w:rsidRPr="00545360">
        <w:rPr>
          <w:rFonts w:ascii="Times New Roman" w:eastAsia="Times New Roman" w:hAnsi="Times New Roman"/>
          <w:i/>
          <w:sz w:val="24"/>
          <w:szCs w:val="24"/>
        </w:rPr>
        <w:t>„oficialus svečias“</w:t>
      </w:r>
      <w:r w:rsidR="00545360">
        <w:rPr>
          <w:rFonts w:ascii="Times New Roman" w:eastAsia="Times New Roman" w:hAnsi="Times New Roman"/>
          <w:sz w:val="24"/>
          <w:szCs w:val="24"/>
        </w:rPr>
        <w:t>, turėtų būti apibrėžta Vadovybės apsaugos įstatyme, nes minėto įstatymo 2 straipsnio 2 dalyje minimi oficialūs svečiai</w:t>
      </w:r>
      <w:r w:rsidR="00EC2F7E">
        <w:rPr>
          <w:rFonts w:ascii="Times New Roman" w:eastAsia="Times New Roman" w:hAnsi="Times New Roman"/>
          <w:sz w:val="24"/>
          <w:szCs w:val="24"/>
        </w:rPr>
        <w:t xml:space="preserve"> (</w:t>
      </w:r>
      <w:r w:rsidR="00B64A87">
        <w:rPr>
          <w:rFonts w:ascii="Times New Roman" w:eastAsia="Times New Roman" w:hAnsi="Times New Roman"/>
          <w:sz w:val="24"/>
          <w:szCs w:val="24"/>
        </w:rPr>
        <w:t>analogiškai ir</w:t>
      </w:r>
      <w:r w:rsidR="00EC2F7E">
        <w:rPr>
          <w:rFonts w:ascii="Times New Roman" w:eastAsia="Times New Roman" w:hAnsi="Times New Roman"/>
          <w:sz w:val="24"/>
          <w:szCs w:val="24"/>
        </w:rPr>
        <w:t xml:space="preserve"> sąvokos </w:t>
      </w:r>
      <w:r w:rsidR="00EC2F7E" w:rsidRPr="003347DD">
        <w:rPr>
          <w:rFonts w:ascii="Times New Roman" w:eastAsia="Times New Roman" w:hAnsi="Times New Roman"/>
          <w:i/>
          <w:sz w:val="24"/>
          <w:szCs w:val="24"/>
        </w:rPr>
        <w:t xml:space="preserve">„grėsmės lygis“, </w:t>
      </w:r>
      <w:r w:rsidR="00B64A87" w:rsidRPr="003347DD">
        <w:rPr>
          <w:rFonts w:ascii="Times New Roman" w:eastAsia="Times New Roman" w:hAnsi="Times New Roman"/>
          <w:i/>
          <w:sz w:val="24"/>
          <w:szCs w:val="24"/>
        </w:rPr>
        <w:t>„</w:t>
      </w:r>
      <w:r w:rsidR="00EC2F7E" w:rsidRPr="003347DD">
        <w:rPr>
          <w:rFonts w:ascii="Times New Roman" w:eastAsia="Times New Roman" w:hAnsi="Times New Roman"/>
          <w:i/>
          <w:sz w:val="24"/>
          <w:szCs w:val="24"/>
        </w:rPr>
        <w:t>grėsmė saugomiems asmenims“</w:t>
      </w:r>
      <w:r w:rsidR="00B64A87">
        <w:rPr>
          <w:rFonts w:ascii="Times New Roman" w:eastAsia="Times New Roman" w:hAnsi="Times New Roman"/>
          <w:sz w:val="24"/>
          <w:szCs w:val="24"/>
        </w:rPr>
        <w:t xml:space="preserve"> ir kt.)</w:t>
      </w:r>
      <w:r w:rsidR="00F33B9B">
        <w:rPr>
          <w:rFonts w:ascii="Times New Roman" w:eastAsia="Times New Roman" w:hAnsi="Times New Roman"/>
          <w:sz w:val="24"/>
          <w:szCs w:val="24"/>
        </w:rPr>
        <w:t>; sąvokos, apibrėžiančios eismo saugumą keliais (eskortavimas, lydėjimas, eismo ribojimas, eismo uždraudimas</w:t>
      </w:r>
      <w:r w:rsidR="00EC2F7E">
        <w:rPr>
          <w:rFonts w:ascii="Times New Roman" w:eastAsia="Times New Roman" w:hAnsi="Times New Roman"/>
          <w:sz w:val="24"/>
          <w:szCs w:val="24"/>
        </w:rPr>
        <w:t xml:space="preserve"> ir kt.</w:t>
      </w:r>
      <w:r w:rsidR="00F33B9B">
        <w:rPr>
          <w:rFonts w:ascii="Times New Roman" w:eastAsia="Times New Roman" w:hAnsi="Times New Roman"/>
          <w:sz w:val="24"/>
          <w:szCs w:val="24"/>
        </w:rPr>
        <w:t>) turėtų būti apibrėžiamos Saugaus eismo automobilių keliais įstatyme</w:t>
      </w:r>
      <w:r w:rsidR="00545360">
        <w:rPr>
          <w:rFonts w:ascii="Times New Roman" w:eastAsia="Times New Roman" w:hAnsi="Times New Roman"/>
          <w:sz w:val="24"/>
          <w:szCs w:val="24"/>
        </w:rPr>
        <w:t xml:space="preserve">. </w:t>
      </w:r>
      <w:r w:rsidR="007447E2">
        <w:rPr>
          <w:rFonts w:ascii="Times New Roman" w:eastAsia="Times New Roman" w:hAnsi="Times New Roman"/>
          <w:sz w:val="24"/>
          <w:szCs w:val="24"/>
        </w:rPr>
        <w:t xml:space="preserve">Atkreipiame dėmesį į tai, kad </w:t>
      </w:r>
      <w:r w:rsidR="00545360">
        <w:rPr>
          <w:rFonts w:ascii="Times New Roman" w:eastAsia="Times New Roman" w:hAnsi="Times New Roman"/>
          <w:sz w:val="24"/>
          <w:szCs w:val="24"/>
        </w:rPr>
        <w:t xml:space="preserve">sąvoka </w:t>
      </w:r>
      <w:r w:rsidR="00545360" w:rsidRPr="00F33B9B">
        <w:rPr>
          <w:rFonts w:ascii="Times New Roman" w:eastAsia="Times New Roman" w:hAnsi="Times New Roman"/>
          <w:i/>
          <w:sz w:val="24"/>
          <w:szCs w:val="24"/>
        </w:rPr>
        <w:t>„oficialus vizitas“</w:t>
      </w:r>
      <w:r w:rsidR="00545360">
        <w:rPr>
          <w:rFonts w:ascii="Times New Roman" w:eastAsia="Times New Roman" w:hAnsi="Times New Roman"/>
          <w:sz w:val="24"/>
          <w:szCs w:val="24"/>
        </w:rPr>
        <w:t xml:space="preserve"> yra apibrėžta Saugaus eismo automobilių keliais įstatymo 2</w:t>
      </w:r>
      <w:r w:rsidR="00EA53DD">
        <w:rPr>
          <w:rFonts w:ascii="Times New Roman" w:eastAsia="Times New Roman" w:hAnsi="Times New Roman"/>
          <w:sz w:val="24"/>
          <w:szCs w:val="24"/>
        </w:rPr>
        <w:t> </w:t>
      </w:r>
      <w:r w:rsidR="00545360">
        <w:rPr>
          <w:rFonts w:ascii="Times New Roman" w:eastAsia="Times New Roman" w:hAnsi="Times New Roman"/>
          <w:sz w:val="24"/>
          <w:szCs w:val="24"/>
        </w:rPr>
        <w:t xml:space="preserve">straipsnio 44 dalyje, sąvoka </w:t>
      </w:r>
      <w:r w:rsidR="00545360" w:rsidRPr="00F33B9B">
        <w:rPr>
          <w:rFonts w:ascii="Times New Roman" w:eastAsia="Times New Roman" w:hAnsi="Times New Roman"/>
          <w:i/>
          <w:sz w:val="24"/>
          <w:szCs w:val="24"/>
        </w:rPr>
        <w:t>„saugomas asmuo“</w:t>
      </w:r>
      <w:r w:rsidR="00545360">
        <w:rPr>
          <w:rFonts w:ascii="Times New Roman" w:eastAsia="Times New Roman" w:hAnsi="Times New Roman"/>
          <w:sz w:val="24"/>
          <w:szCs w:val="24"/>
        </w:rPr>
        <w:t xml:space="preserve"> – Vadovybės apsaugos įstatymo 2 straipsnio 2</w:t>
      </w:r>
      <w:r w:rsidR="00EA53DD">
        <w:rPr>
          <w:rFonts w:ascii="Times New Roman" w:eastAsia="Times New Roman" w:hAnsi="Times New Roman"/>
          <w:sz w:val="24"/>
          <w:szCs w:val="24"/>
        </w:rPr>
        <w:t> </w:t>
      </w:r>
      <w:r w:rsidR="00545360">
        <w:rPr>
          <w:rFonts w:ascii="Times New Roman" w:eastAsia="Times New Roman" w:hAnsi="Times New Roman"/>
          <w:sz w:val="24"/>
          <w:szCs w:val="24"/>
        </w:rPr>
        <w:t>dalyje.</w:t>
      </w:r>
    </w:p>
    <w:p w:rsidR="0027087A" w:rsidRDefault="00F33B9B" w:rsidP="004F79C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="0027087A">
        <w:rPr>
          <w:rFonts w:ascii="Times New Roman" w:eastAsia="Times New Roman" w:hAnsi="Times New Roman"/>
          <w:sz w:val="24"/>
          <w:szCs w:val="24"/>
        </w:rPr>
        <w:t>Projektu siūloma papildyti Tvarką nauju 18.10 papunkčiu, numatančiu policijos teisę, įvertinus oro sąlygas, priimti sprendimą dėl eskortavimo pakeitimo lydėjimu. Atsižvelgiant į</w:t>
      </w:r>
      <w:r w:rsidR="007447E2">
        <w:rPr>
          <w:rFonts w:ascii="Times New Roman" w:eastAsia="Times New Roman" w:hAnsi="Times New Roman"/>
          <w:sz w:val="24"/>
          <w:szCs w:val="24"/>
        </w:rPr>
        <w:t> </w:t>
      </w:r>
      <w:r w:rsidR="0027087A">
        <w:rPr>
          <w:rFonts w:ascii="Times New Roman" w:eastAsia="Times New Roman" w:hAnsi="Times New Roman"/>
          <w:sz w:val="24"/>
          <w:szCs w:val="24"/>
        </w:rPr>
        <w:t xml:space="preserve">Tvarkos 18 punkto dėstymą ir į siūlomos nuostatos turinį (siūloma </w:t>
      </w:r>
      <w:r w:rsidR="00796518">
        <w:rPr>
          <w:rFonts w:ascii="Times New Roman" w:eastAsia="Times New Roman" w:hAnsi="Times New Roman"/>
          <w:sz w:val="24"/>
          <w:szCs w:val="24"/>
        </w:rPr>
        <w:t>tik sąlyginė galimybė)</w:t>
      </w:r>
      <w:r w:rsidR="0027087A">
        <w:rPr>
          <w:rFonts w:ascii="Times New Roman" w:eastAsia="Times New Roman" w:hAnsi="Times New Roman"/>
          <w:sz w:val="24"/>
          <w:szCs w:val="24"/>
        </w:rPr>
        <w:t>, siūlytume šia nuostata papildyti 18.8 papunktį, nedėstant atskiro reikalavimo 18.10 papunktyje.</w:t>
      </w:r>
    </w:p>
    <w:p w:rsidR="00CA47A5" w:rsidRDefault="00796518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D073F9">
        <w:rPr>
          <w:rFonts w:ascii="Times New Roman" w:eastAsia="Times New Roman" w:hAnsi="Times New Roman"/>
          <w:sz w:val="24"/>
          <w:szCs w:val="24"/>
        </w:rPr>
        <w:t xml:space="preserve">Tvarkos V skyriaus pavadinime </w:t>
      </w:r>
      <w:r w:rsidR="002824DC">
        <w:rPr>
          <w:rFonts w:ascii="Times New Roman" w:eastAsia="Times New Roman" w:hAnsi="Times New Roman"/>
          <w:sz w:val="24"/>
          <w:szCs w:val="24"/>
        </w:rPr>
        <w:t>si</w:t>
      </w:r>
      <w:r w:rsidR="00CA47A5">
        <w:rPr>
          <w:rFonts w:ascii="Times New Roman" w:eastAsia="Times New Roman" w:hAnsi="Times New Roman"/>
          <w:sz w:val="24"/>
          <w:szCs w:val="24"/>
        </w:rPr>
        <w:t>ū</w:t>
      </w:r>
      <w:r w:rsidR="002824DC">
        <w:rPr>
          <w:rFonts w:ascii="Times New Roman" w:eastAsia="Times New Roman" w:hAnsi="Times New Roman"/>
          <w:sz w:val="24"/>
          <w:szCs w:val="24"/>
        </w:rPr>
        <w:t xml:space="preserve">lytume </w:t>
      </w:r>
      <w:r w:rsidR="00CA47A5">
        <w:rPr>
          <w:rFonts w:ascii="Times New Roman" w:eastAsia="Times New Roman" w:hAnsi="Times New Roman"/>
          <w:sz w:val="24"/>
          <w:szCs w:val="24"/>
        </w:rPr>
        <w:t xml:space="preserve">įrašyti žodį „įstaigų“, nes šiame </w:t>
      </w:r>
      <w:r w:rsidR="002824DC">
        <w:rPr>
          <w:rFonts w:ascii="Times New Roman" w:eastAsia="Times New Roman" w:hAnsi="Times New Roman"/>
          <w:sz w:val="24"/>
          <w:szCs w:val="24"/>
        </w:rPr>
        <w:t>skyriuje nustatomos ne tik institucij</w:t>
      </w:r>
      <w:r w:rsidR="00CA47A5">
        <w:rPr>
          <w:rFonts w:ascii="Times New Roman" w:eastAsia="Times New Roman" w:hAnsi="Times New Roman"/>
          <w:sz w:val="24"/>
          <w:szCs w:val="24"/>
        </w:rPr>
        <w:t>ų funkcijos ir atsakomybė, bet ir įstaigų.</w:t>
      </w:r>
    </w:p>
    <w:p w:rsidR="003A3B32" w:rsidRDefault="00CA47A5" w:rsidP="0039196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Projektu siūlomas naujas Tvarkos 28.7 papunktis dėl vizito saugumą užtikrinančios institucijos pareigūnų išlaidų apmokėjimo stokoja teisinio aiškumo, kadangi nėra apibrėžta, k</w:t>
      </w:r>
      <w:r w:rsidR="003A3B32">
        <w:rPr>
          <w:rFonts w:ascii="Times New Roman" w:eastAsia="Times New Roman" w:hAnsi="Times New Roman"/>
          <w:sz w:val="24"/>
          <w:szCs w:val="24"/>
        </w:rPr>
        <w:t xml:space="preserve">okios aplinkybės yra laikomos </w:t>
      </w:r>
      <w:r w:rsidRPr="003A3B32">
        <w:rPr>
          <w:rFonts w:ascii="Times New Roman" w:eastAsia="Times New Roman" w:hAnsi="Times New Roman"/>
          <w:i/>
          <w:sz w:val="24"/>
          <w:szCs w:val="24"/>
        </w:rPr>
        <w:t>„prireikus“.</w:t>
      </w:r>
      <w:r>
        <w:rPr>
          <w:rFonts w:ascii="Times New Roman" w:eastAsia="Times New Roman" w:hAnsi="Times New Roman"/>
          <w:sz w:val="24"/>
          <w:szCs w:val="24"/>
        </w:rPr>
        <w:t xml:space="preserve"> Iš siūlomo teisino reguliavimo nėra aišku, kas </w:t>
      </w:r>
      <w:r w:rsidR="00391968">
        <w:rPr>
          <w:rFonts w:ascii="Times New Roman" w:eastAsia="Times New Roman" w:hAnsi="Times New Roman"/>
          <w:sz w:val="24"/>
          <w:szCs w:val="24"/>
        </w:rPr>
        <w:t>įprastai</w:t>
      </w:r>
      <w:r w:rsidR="003A3B32">
        <w:rPr>
          <w:rFonts w:ascii="Times New Roman" w:eastAsia="Times New Roman" w:hAnsi="Times New Roman"/>
          <w:sz w:val="24"/>
          <w:szCs w:val="24"/>
        </w:rPr>
        <w:t xml:space="preserve"> apmoka u</w:t>
      </w:r>
      <w:r>
        <w:rPr>
          <w:rFonts w:ascii="Times New Roman" w:eastAsia="Times New Roman" w:hAnsi="Times New Roman"/>
          <w:sz w:val="24"/>
          <w:szCs w:val="24"/>
        </w:rPr>
        <w:t>ž vizito saugumą užtikrinančios institucijos pareigūnų apgyvendinimo, vežimo, maitinimo ir kit</w:t>
      </w:r>
      <w:r w:rsidR="003A3B32">
        <w:rPr>
          <w:rFonts w:ascii="Times New Roman" w:eastAsia="Times New Roman" w:hAnsi="Times New Roman"/>
          <w:sz w:val="24"/>
          <w:szCs w:val="24"/>
        </w:rPr>
        <w:t>as</w:t>
      </w:r>
      <w:r>
        <w:rPr>
          <w:rFonts w:ascii="Times New Roman" w:eastAsia="Times New Roman" w:hAnsi="Times New Roman"/>
          <w:sz w:val="24"/>
          <w:szCs w:val="24"/>
        </w:rPr>
        <w:t xml:space="preserve"> su vizitu susijusi</w:t>
      </w:r>
      <w:r w:rsidR="003A3B32">
        <w:rPr>
          <w:rFonts w:ascii="Times New Roman" w:eastAsia="Times New Roman" w:hAnsi="Times New Roman"/>
          <w:sz w:val="24"/>
          <w:szCs w:val="24"/>
        </w:rPr>
        <w:t>as</w:t>
      </w:r>
      <w:r>
        <w:rPr>
          <w:rFonts w:ascii="Times New Roman" w:eastAsia="Times New Roman" w:hAnsi="Times New Roman"/>
          <w:sz w:val="24"/>
          <w:szCs w:val="24"/>
        </w:rPr>
        <w:t xml:space="preserve"> išlaid</w:t>
      </w:r>
      <w:r w:rsidR="003A3B32">
        <w:rPr>
          <w:rFonts w:ascii="Times New Roman" w:eastAsia="Times New Roman" w:hAnsi="Times New Roman"/>
          <w:sz w:val="24"/>
          <w:szCs w:val="24"/>
        </w:rPr>
        <w:t xml:space="preserve">as, </w:t>
      </w:r>
      <w:r w:rsidR="003A3B32" w:rsidRPr="003A3B32">
        <w:rPr>
          <w:rFonts w:ascii="Times New Roman" w:eastAsia="Times New Roman" w:hAnsi="Times New Roman"/>
          <w:sz w:val="24"/>
          <w:szCs w:val="24"/>
        </w:rPr>
        <w:t xml:space="preserve">ar tai </w:t>
      </w:r>
      <w:r w:rsidR="003A3B32">
        <w:rPr>
          <w:rFonts w:ascii="Times New Roman" w:eastAsia="Times New Roman" w:hAnsi="Times New Roman"/>
          <w:sz w:val="24"/>
          <w:szCs w:val="24"/>
        </w:rPr>
        <w:t>apima</w:t>
      </w:r>
      <w:r w:rsidR="003A3B32" w:rsidRPr="003A3B32">
        <w:rPr>
          <w:rFonts w:ascii="Times New Roman" w:eastAsia="Times New Roman" w:hAnsi="Times New Roman"/>
          <w:sz w:val="24"/>
          <w:szCs w:val="24"/>
        </w:rPr>
        <w:t xml:space="preserve"> Tvarkos 26 punkte nustatytą kviečiančiosios institucijos atsakomybę už</w:t>
      </w:r>
      <w:r w:rsidR="003A3B32" w:rsidRPr="003A3B32">
        <w:rPr>
          <w:rFonts w:ascii="Times New Roman" w:hAnsi="Times New Roman"/>
          <w:color w:val="000000"/>
          <w:sz w:val="24"/>
          <w:szCs w:val="24"/>
        </w:rPr>
        <w:t xml:space="preserve"> oficialaus svečio ir oficialios delegacijos priėmimo Lietuvos Respublikoje išlaidų apmokėjimą</w:t>
      </w:r>
      <w:r w:rsidR="003A3B32">
        <w:rPr>
          <w:rFonts w:ascii="Times New Roman" w:hAnsi="Times New Roman"/>
          <w:color w:val="000000"/>
          <w:sz w:val="24"/>
          <w:szCs w:val="24"/>
        </w:rPr>
        <w:t xml:space="preserve">. Be to, Projekto teikime nėra pateikiama informacijos apie biudžeto lėšų poreikį ar </w:t>
      </w:r>
      <w:r w:rsidR="00391968">
        <w:rPr>
          <w:rFonts w:ascii="Times New Roman" w:hAnsi="Times New Roman"/>
          <w:color w:val="000000"/>
          <w:sz w:val="24"/>
          <w:szCs w:val="24"/>
        </w:rPr>
        <w:t xml:space="preserve">jų </w:t>
      </w:r>
      <w:r w:rsidR="003A3B32">
        <w:rPr>
          <w:rFonts w:ascii="Times New Roman" w:hAnsi="Times New Roman"/>
          <w:color w:val="000000"/>
          <w:sz w:val="24"/>
          <w:szCs w:val="24"/>
        </w:rPr>
        <w:t>perskirstymą tarp institucijų</w:t>
      </w:r>
      <w:r w:rsidR="00391968">
        <w:rPr>
          <w:rFonts w:ascii="Times New Roman" w:hAnsi="Times New Roman"/>
          <w:color w:val="000000"/>
          <w:sz w:val="24"/>
          <w:szCs w:val="24"/>
        </w:rPr>
        <w:t xml:space="preserve">, bei informacijos apie šiuo metu esamą situaciją </w:t>
      </w:r>
      <w:r w:rsidR="00391968">
        <w:rPr>
          <w:rFonts w:ascii="Times New Roman" w:eastAsia="Times New Roman" w:hAnsi="Times New Roman"/>
          <w:sz w:val="24"/>
          <w:szCs w:val="24"/>
        </w:rPr>
        <w:t>už vizito saugumą užtikrinančios institucijos pareigūnų išlaidų apmokėjimą.</w:t>
      </w:r>
      <w:r w:rsidR="003A3B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1968">
        <w:rPr>
          <w:rFonts w:ascii="Times New Roman" w:hAnsi="Times New Roman"/>
          <w:color w:val="000000"/>
          <w:sz w:val="24"/>
          <w:szCs w:val="24"/>
        </w:rPr>
        <w:t>Teisino aiškumo aspektu s</w:t>
      </w:r>
      <w:r w:rsidRPr="003A3B32">
        <w:rPr>
          <w:rFonts w:ascii="Times New Roman" w:eastAsia="Times New Roman" w:hAnsi="Times New Roman"/>
          <w:sz w:val="24"/>
          <w:szCs w:val="24"/>
        </w:rPr>
        <w:t>iūlome tikslinti</w:t>
      </w:r>
      <w:r w:rsidR="00391968" w:rsidRPr="00391968">
        <w:rPr>
          <w:rFonts w:ascii="Times New Roman" w:eastAsia="Times New Roman" w:hAnsi="Times New Roman"/>
          <w:sz w:val="24"/>
          <w:szCs w:val="24"/>
        </w:rPr>
        <w:t xml:space="preserve"> </w:t>
      </w:r>
      <w:r w:rsidR="00391968">
        <w:rPr>
          <w:rFonts w:ascii="Times New Roman" w:eastAsia="Times New Roman" w:hAnsi="Times New Roman"/>
          <w:sz w:val="24"/>
          <w:szCs w:val="24"/>
        </w:rPr>
        <w:t>Tvarkos 28.7 papunktį.</w:t>
      </w:r>
    </w:p>
    <w:p w:rsidR="003A3B32" w:rsidRDefault="003A3B32" w:rsidP="003A3B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3A3B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3A3B3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Teisės grupės patarėja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Erika Vaivadienė</w:t>
      </w:r>
    </w:p>
    <w:p w:rsidR="00CA47A5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B6BA2" w:rsidRDefault="00DB6BA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Default="003A3B32" w:rsidP="00CA47A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A3B32" w:rsidRPr="003A3B32" w:rsidRDefault="003A3B32" w:rsidP="003A3B32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  <w:r w:rsidRPr="003A3B32">
        <w:rPr>
          <w:rFonts w:ascii="Times New Roman" w:eastAsia="Times New Roman" w:hAnsi="Times New Roman"/>
          <w:sz w:val="20"/>
          <w:szCs w:val="20"/>
        </w:rPr>
        <w:t xml:space="preserve">Erika Vaivadienė, tel. 8 706 63843, </w:t>
      </w:r>
      <w:proofErr w:type="spellStart"/>
      <w:r w:rsidRPr="003A3B32">
        <w:rPr>
          <w:rFonts w:ascii="Times New Roman" w:eastAsia="Times New Roman" w:hAnsi="Times New Roman"/>
          <w:sz w:val="20"/>
          <w:szCs w:val="20"/>
        </w:rPr>
        <w:t>el.p</w:t>
      </w:r>
      <w:proofErr w:type="spellEnd"/>
      <w:r w:rsidRPr="003A3B32">
        <w:rPr>
          <w:rFonts w:ascii="Times New Roman" w:eastAsia="Times New Roman" w:hAnsi="Times New Roman"/>
          <w:sz w:val="20"/>
          <w:szCs w:val="20"/>
        </w:rPr>
        <w:t xml:space="preserve">. </w:t>
      </w:r>
      <w:hyperlink r:id="rId7" w:history="1">
        <w:r w:rsidRPr="003A3B32">
          <w:rPr>
            <w:rStyle w:val="Hyperlink"/>
            <w:rFonts w:ascii="Times New Roman" w:eastAsia="Times New Roman" w:hAnsi="Times New Roman"/>
            <w:sz w:val="20"/>
            <w:szCs w:val="20"/>
          </w:rPr>
          <w:t>erika.vaivadiene</w:t>
        </w:r>
        <w:r w:rsidRPr="003A3B32">
          <w:rPr>
            <w:rStyle w:val="Hyperlink"/>
            <w:rFonts w:ascii="Times New Roman" w:eastAsia="Times New Roman" w:hAnsi="Times New Roman"/>
            <w:sz w:val="20"/>
            <w:szCs w:val="20"/>
            <w:lang w:val="en-GB"/>
          </w:rPr>
          <w:t>@lrv.lt</w:t>
        </w:r>
      </w:hyperlink>
      <w:r w:rsidRPr="003A3B32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</w:p>
    <w:sectPr w:rsidR="003A3B32" w:rsidRPr="003A3B32" w:rsidSect="003A3B3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DB" w:rsidRDefault="002772DB" w:rsidP="003A3B32">
      <w:pPr>
        <w:spacing w:after="0" w:line="240" w:lineRule="auto"/>
      </w:pPr>
      <w:r>
        <w:separator/>
      </w:r>
    </w:p>
  </w:endnote>
  <w:endnote w:type="continuationSeparator" w:id="0">
    <w:p w:rsidR="002772DB" w:rsidRDefault="002772DB" w:rsidP="003A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DB" w:rsidRDefault="002772DB" w:rsidP="003A3B32">
      <w:pPr>
        <w:spacing w:after="0" w:line="240" w:lineRule="auto"/>
      </w:pPr>
      <w:r>
        <w:separator/>
      </w:r>
    </w:p>
  </w:footnote>
  <w:footnote w:type="continuationSeparator" w:id="0">
    <w:p w:rsidR="002772DB" w:rsidRDefault="002772DB" w:rsidP="003A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32" w:rsidRPr="003A3B32" w:rsidRDefault="003A3B32">
    <w:pPr>
      <w:pStyle w:val="Header"/>
      <w:jc w:val="center"/>
      <w:rPr>
        <w:rFonts w:ascii="Times New Roman" w:hAnsi="Times New Roman"/>
        <w:sz w:val="24"/>
        <w:szCs w:val="24"/>
      </w:rPr>
    </w:pPr>
    <w:r w:rsidRPr="003A3B32">
      <w:rPr>
        <w:rFonts w:ascii="Times New Roman" w:hAnsi="Times New Roman"/>
        <w:sz w:val="24"/>
        <w:szCs w:val="24"/>
      </w:rPr>
      <w:fldChar w:fldCharType="begin"/>
    </w:r>
    <w:r w:rsidRPr="003A3B32">
      <w:rPr>
        <w:rFonts w:ascii="Times New Roman" w:hAnsi="Times New Roman"/>
        <w:sz w:val="24"/>
        <w:szCs w:val="24"/>
      </w:rPr>
      <w:instrText>PAGE   \* MERGEFORMAT</w:instrText>
    </w:r>
    <w:r w:rsidRPr="003A3B32">
      <w:rPr>
        <w:rFonts w:ascii="Times New Roman" w:hAnsi="Times New Roman"/>
        <w:sz w:val="24"/>
        <w:szCs w:val="24"/>
      </w:rPr>
      <w:fldChar w:fldCharType="separate"/>
    </w:r>
    <w:r w:rsidRPr="003A3B32">
      <w:rPr>
        <w:rFonts w:ascii="Times New Roman" w:hAnsi="Times New Roman"/>
        <w:sz w:val="24"/>
        <w:szCs w:val="24"/>
      </w:rPr>
      <w:t>2</w:t>
    </w:r>
    <w:r w:rsidRPr="003A3B32">
      <w:rPr>
        <w:rFonts w:ascii="Times New Roman" w:hAnsi="Times New Roman"/>
        <w:sz w:val="24"/>
        <w:szCs w:val="24"/>
      </w:rPr>
      <w:fldChar w:fldCharType="end"/>
    </w:r>
  </w:p>
  <w:p w:rsidR="003A3B32" w:rsidRDefault="003A3B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28"/>
    <w:rsid w:val="00034EDC"/>
    <w:rsid w:val="000605FD"/>
    <w:rsid w:val="00076A28"/>
    <w:rsid w:val="00094D34"/>
    <w:rsid w:val="00107B18"/>
    <w:rsid w:val="0027087A"/>
    <w:rsid w:val="002772DB"/>
    <w:rsid w:val="002824DC"/>
    <w:rsid w:val="002C3836"/>
    <w:rsid w:val="003347DD"/>
    <w:rsid w:val="00344B56"/>
    <w:rsid w:val="00391968"/>
    <w:rsid w:val="003A3B32"/>
    <w:rsid w:val="003E12FD"/>
    <w:rsid w:val="003E5341"/>
    <w:rsid w:val="004526B0"/>
    <w:rsid w:val="004F79CD"/>
    <w:rsid w:val="00545360"/>
    <w:rsid w:val="006B19B2"/>
    <w:rsid w:val="007447E2"/>
    <w:rsid w:val="00773C91"/>
    <w:rsid w:val="00782EE2"/>
    <w:rsid w:val="00796518"/>
    <w:rsid w:val="007D5B0B"/>
    <w:rsid w:val="007E5009"/>
    <w:rsid w:val="00850916"/>
    <w:rsid w:val="00855B01"/>
    <w:rsid w:val="00920677"/>
    <w:rsid w:val="00B64A87"/>
    <w:rsid w:val="00CA47A5"/>
    <w:rsid w:val="00CC66AF"/>
    <w:rsid w:val="00D073F9"/>
    <w:rsid w:val="00DB6BA2"/>
    <w:rsid w:val="00DC2D66"/>
    <w:rsid w:val="00E10A2F"/>
    <w:rsid w:val="00E70465"/>
    <w:rsid w:val="00EA53DD"/>
    <w:rsid w:val="00EC2F7E"/>
    <w:rsid w:val="00F306A4"/>
    <w:rsid w:val="00F3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2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A28"/>
    <w:pPr>
      <w:ind w:left="720"/>
      <w:contextualSpacing/>
    </w:pPr>
  </w:style>
  <w:style w:type="character" w:styleId="Strong">
    <w:name w:val="Strong"/>
    <w:uiPriority w:val="22"/>
    <w:qFormat/>
    <w:rsid w:val="00773C91"/>
    <w:rPr>
      <w:b/>
      <w:bCs/>
    </w:rPr>
  </w:style>
  <w:style w:type="character" w:styleId="Emphasis">
    <w:name w:val="Emphasis"/>
    <w:uiPriority w:val="20"/>
    <w:qFormat/>
    <w:rsid w:val="00773C91"/>
    <w:rPr>
      <w:i/>
      <w:iCs/>
    </w:rPr>
  </w:style>
  <w:style w:type="paragraph" w:customStyle="1" w:styleId="tactin">
    <w:name w:val="tactin"/>
    <w:basedOn w:val="Normal"/>
    <w:rsid w:val="0054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CA4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3A3B32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3A3B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B3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A3B3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3B3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A3B3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05F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2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A28"/>
    <w:pPr>
      <w:ind w:left="720"/>
      <w:contextualSpacing/>
    </w:pPr>
  </w:style>
  <w:style w:type="character" w:styleId="Strong">
    <w:name w:val="Strong"/>
    <w:uiPriority w:val="22"/>
    <w:qFormat/>
    <w:rsid w:val="00773C91"/>
    <w:rPr>
      <w:b/>
      <w:bCs/>
    </w:rPr>
  </w:style>
  <w:style w:type="character" w:styleId="Emphasis">
    <w:name w:val="Emphasis"/>
    <w:uiPriority w:val="20"/>
    <w:qFormat/>
    <w:rsid w:val="00773C91"/>
    <w:rPr>
      <w:i/>
      <w:iCs/>
    </w:rPr>
  </w:style>
  <w:style w:type="paragraph" w:customStyle="1" w:styleId="tactin">
    <w:name w:val="tactin"/>
    <w:basedOn w:val="Normal"/>
    <w:rsid w:val="005453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CA4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3A3B32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3A3B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B3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A3B3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3B3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A3B3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05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erika.vaivadien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4032</Words>
  <Characters>2299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2019-03-25T13:08:00Z</dcterms:created>
  <dc:creator>Erika Vaivadienė</dc:creator>
  <cp:lastModifiedBy>Asseco</cp:lastModifiedBy>
  <dcterms:modified xsi:type="dcterms:W3CDTF">2019-03-25T13:08:00Z</dcterms:modified>
  <cp:revision>2</cp:revision>
</cp:coreProperties>
</file>