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6E2CA" w14:textId="77777777"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34A75180" w14:textId="77777777" w:rsidR="00132F4E" w:rsidRPr="003E1999" w:rsidRDefault="000C57D6" w:rsidP="003E1999">
      <w:pPr>
        <w:pStyle w:val="Preformatted"/>
        <w:spacing w:line="360" w:lineRule="auto"/>
        <w:jc w:val="center"/>
        <w:rPr>
          <w:rFonts w:ascii="Times New Roman" w:hAnsi="Times New Roman"/>
          <w:b/>
          <w:sz w:val="24"/>
          <w:szCs w:val="24"/>
        </w:rPr>
      </w:pPr>
      <w:r>
        <w:rPr>
          <w:rFonts w:ascii="Times New Roman" w:hAnsi="Times New Roman"/>
          <w:b/>
          <w:sz w:val="24"/>
          <w:szCs w:val="24"/>
        </w:rPr>
        <w:t>STRATEGINIŲ KOMPETENCIJŲ GRUPĖ</w:t>
      </w:r>
    </w:p>
    <w:p w14:paraId="11EE677B" w14:textId="77777777" w:rsidR="00132F4E" w:rsidRPr="000C57D6" w:rsidRDefault="000C57D6" w:rsidP="000C57D6">
      <w:pPr>
        <w:pStyle w:val="Antrats"/>
        <w:keepNext/>
        <w:spacing w:line="276" w:lineRule="auto"/>
        <w:jc w:val="center"/>
        <w:rPr>
          <w:b/>
          <w:bCs/>
          <w:color w:val="000000"/>
        </w:rPr>
      </w:pPr>
      <w:r w:rsidRPr="000C57D6">
        <w:rPr>
          <w:b/>
          <w:bCs/>
          <w:color w:val="000000"/>
        </w:rPr>
        <w:t xml:space="preserve">DĖL </w:t>
      </w:r>
      <w:r>
        <w:rPr>
          <w:b/>
          <w:bCs/>
          <w:color w:val="000000"/>
          <w:lang w:val="en-GB"/>
        </w:rPr>
        <w:t>2019 M. T</w:t>
      </w:r>
      <w:r w:rsidRPr="000C57D6">
        <w:rPr>
          <w:b/>
          <w:bCs/>
          <w:color w:val="000000"/>
        </w:rPr>
        <w:t>EISINIO REGULIAVIMO STEBĖSENOS ATASKAITOS</w:t>
      </w:r>
      <w:r w:rsidRPr="000C57D6" w:rsidDel="00FF0DE7">
        <w:rPr>
          <w:b/>
          <w:bCs/>
          <w:color w:val="000000"/>
        </w:rPr>
        <w:t xml:space="preserve"> </w:t>
      </w:r>
    </w:p>
    <w:p w14:paraId="02049435" w14:textId="77777777" w:rsidR="00553DF3" w:rsidRDefault="00BD12BB" w:rsidP="001934A6">
      <w:pPr>
        <w:pStyle w:val="Antraste"/>
        <w:spacing w:line="360" w:lineRule="auto"/>
      </w:pPr>
      <w:r>
        <w:t>PAŽYMA</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641088CA" w14:textId="77777777" w:rsidTr="00F94D25">
        <w:tc>
          <w:tcPr>
            <w:tcW w:w="4536" w:type="dxa"/>
          </w:tcPr>
          <w:p w14:paraId="04B6636A" w14:textId="77777777" w:rsidR="00F94D25" w:rsidRPr="00F94D25" w:rsidRDefault="00CF78CC"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695C8F74" w14:textId="77777777" w:rsidR="002D2622" w:rsidRPr="003E1999" w:rsidRDefault="008F31A4" w:rsidP="003E1999">
      <w:pPr>
        <w:spacing w:line="360" w:lineRule="auto"/>
        <w:jc w:val="center"/>
        <w:rPr>
          <w:spacing w:val="-6"/>
        </w:rPr>
      </w:pPr>
      <w:r>
        <w:t>Vilnius</w:t>
      </w:r>
    </w:p>
    <w:p w14:paraId="1EF83D25" w14:textId="77777777" w:rsidR="002F17D7" w:rsidRDefault="002F17D7" w:rsidP="00661F0B">
      <w:pPr>
        <w:rPr>
          <w:szCs w:val="24"/>
          <w:lang w:bidi="lt-LT"/>
        </w:rPr>
      </w:pPr>
      <w:r>
        <w:rPr>
          <w:b/>
          <w:szCs w:val="24"/>
          <w:lang w:bidi="lt-LT"/>
        </w:rPr>
        <w:t>R</w:t>
      </w:r>
      <w:r w:rsidRPr="006366A2">
        <w:rPr>
          <w:b/>
          <w:szCs w:val="24"/>
          <w:lang w:bidi="lt-LT"/>
        </w:rPr>
        <w:t>engėja</w:t>
      </w:r>
      <w:r>
        <w:rPr>
          <w:szCs w:val="24"/>
          <w:lang w:bidi="lt-LT"/>
        </w:rPr>
        <w:t>: Teisingumo ministerija</w:t>
      </w:r>
    </w:p>
    <w:p w14:paraId="344E6C6A" w14:textId="77777777" w:rsidR="0092200E" w:rsidRDefault="0092200E" w:rsidP="00661F0B">
      <w:pPr>
        <w:pStyle w:val="Default"/>
        <w:rPr>
          <w:b/>
          <w:lang w:bidi="lt-LT"/>
        </w:rPr>
      </w:pPr>
    </w:p>
    <w:p w14:paraId="3FA1EC49" w14:textId="77777777" w:rsidR="0092200E" w:rsidRPr="0092200E" w:rsidRDefault="002F17D7" w:rsidP="00661F0B">
      <w:pPr>
        <w:pStyle w:val="Default"/>
        <w:rPr>
          <w:color w:val="auto"/>
          <w:sz w:val="23"/>
          <w:szCs w:val="23"/>
        </w:rPr>
      </w:pPr>
      <w:r>
        <w:rPr>
          <w:b/>
          <w:lang w:bidi="lt-LT"/>
        </w:rPr>
        <w:t>T</w:t>
      </w:r>
      <w:r w:rsidRPr="006366A2">
        <w:rPr>
          <w:b/>
          <w:lang w:bidi="lt-LT"/>
        </w:rPr>
        <w:t>iksla</w:t>
      </w:r>
      <w:r>
        <w:rPr>
          <w:b/>
          <w:lang w:bidi="lt-LT"/>
        </w:rPr>
        <w:t xml:space="preserve">s: </w:t>
      </w:r>
      <w:r w:rsidR="0092200E">
        <w:t xml:space="preserve">informuoti Vyriausybę apie institucijų per praėjusius kalendorinius metus atliktą teisinio reguliavimo stebėseną (vadovaujantis Teisėkūros pagrindų įstatymo </w:t>
      </w:r>
      <w:r w:rsidR="0092200E">
        <w:rPr>
          <w:color w:val="auto"/>
          <w:sz w:val="23"/>
          <w:szCs w:val="23"/>
        </w:rPr>
        <w:t>24 straipsnio 5 dalimi)</w:t>
      </w:r>
    </w:p>
    <w:p w14:paraId="41F274D3" w14:textId="77777777" w:rsidR="0092200E" w:rsidRDefault="0092200E" w:rsidP="00661F0B">
      <w:pPr>
        <w:rPr>
          <w:b/>
        </w:rPr>
      </w:pPr>
    </w:p>
    <w:p w14:paraId="0D78A75C" w14:textId="77777777" w:rsidR="0092200E" w:rsidRDefault="002F17D7" w:rsidP="00661F0B">
      <w:pPr>
        <w:rPr>
          <w:rFonts w:eastAsia="Calibri"/>
          <w:bCs/>
          <w:lang w:eastAsia="en-US"/>
        </w:rPr>
      </w:pPr>
      <w:r>
        <w:rPr>
          <w:b/>
        </w:rPr>
        <w:t>Dabart</w:t>
      </w:r>
      <w:r w:rsidRPr="001116FB">
        <w:rPr>
          <w:b/>
        </w:rPr>
        <w:t>inė situacija</w:t>
      </w:r>
      <w:r w:rsidRPr="00661F0B">
        <w:rPr>
          <w:bCs/>
        </w:rPr>
        <w:t>:</w:t>
      </w:r>
      <w:r w:rsidR="0092200E" w:rsidRPr="00661F0B">
        <w:rPr>
          <w:bCs/>
        </w:rPr>
        <w:t xml:space="preserve"> </w:t>
      </w:r>
      <w:r w:rsidR="00661F0B">
        <w:rPr>
          <w:rFonts w:eastAsia="Calibri"/>
          <w:lang w:eastAsia="en-US"/>
        </w:rPr>
        <w:t>va</w:t>
      </w:r>
      <w:r w:rsidR="0092200E" w:rsidRPr="00B0138B">
        <w:rPr>
          <w:rFonts w:eastAsia="Calibri"/>
          <w:lang w:eastAsia="en-US"/>
        </w:rPr>
        <w:t xml:space="preserve">dovaujantis </w:t>
      </w:r>
      <w:r w:rsidR="0092200E">
        <w:rPr>
          <w:rFonts w:eastAsia="Calibri"/>
          <w:lang w:eastAsia="en-US"/>
        </w:rPr>
        <w:t>T</w:t>
      </w:r>
      <w:r w:rsidR="0092200E" w:rsidRPr="00B0138B">
        <w:rPr>
          <w:rFonts w:eastAsia="Calibri"/>
          <w:lang w:eastAsia="en-US"/>
        </w:rPr>
        <w:t>eisėkūros pagrindų įstatym</w:t>
      </w:r>
      <w:r w:rsidR="00661F0B">
        <w:rPr>
          <w:rFonts w:eastAsia="Calibri"/>
          <w:lang w:eastAsia="en-US"/>
        </w:rPr>
        <w:t>u</w:t>
      </w:r>
      <w:r w:rsidR="0092200E" w:rsidRPr="00B0138B">
        <w:rPr>
          <w:rFonts w:eastAsia="Calibri"/>
          <w:lang w:eastAsia="en-US"/>
        </w:rPr>
        <w:t xml:space="preserve"> </w:t>
      </w:r>
      <w:r w:rsidR="00D54C86" w:rsidRPr="00D36DA5">
        <w:rPr>
          <w:bCs/>
        </w:rPr>
        <w:t>nuo 2014 m. sausio 1 d</w:t>
      </w:r>
      <w:r w:rsidR="00D54C86" w:rsidRPr="00D36DA5">
        <w:rPr>
          <w:b/>
        </w:rPr>
        <w:t>.</w:t>
      </w:r>
      <w:r w:rsidR="00D54C86">
        <w:rPr>
          <w:b/>
          <w:lang w:val="en-GB"/>
        </w:rPr>
        <w:t xml:space="preserve"> </w:t>
      </w:r>
      <w:r w:rsidR="00661F0B">
        <w:rPr>
          <w:rFonts w:eastAsia="Calibri"/>
          <w:lang w:eastAsia="en-US"/>
        </w:rPr>
        <w:t xml:space="preserve">institucijos </w:t>
      </w:r>
      <w:r w:rsidR="0092200E" w:rsidRPr="00B0138B">
        <w:rPr>
          <w:rFonts w:eastAsia="Calibri"/>
          <w:bCs/>
          <w:lang w:eastAsia="en-US"/>
        </w:rPr>
        <w:t xml:space="preserve">atlieka teisinio reguliavimo stebėseną, </w:t>
      </w:r>
      <w:r w:rsidR="00661F0B">
        <w:rPr>
          <w:rFonts w:eastAsia="Calibri"/>
          <w:bCs/>
          <w:lang w:eastAsia="en-US"/>
        </w:rPr>
        <w:t xml:space="preserve">kuri </w:t>
      </w:r>
      <w:r w:rsidR="00661F0B">
        <w:rPr>
          <w:color w:val="000000"/>
        </w:rPr>
        <w:t>apima teisinio reguliavimo reikalingumo, pakankamumo ir efektyvumo, faktinių teisinio reguliavimo pasekmių ir jų atitikties nustatant teisinį reguliavimą planuotiems tikslams ir pasekmėms, teisinio reguliavimo poveikio visuomeniniams santykiams ir jo efektyvumo, taip pat reikalingumo keisti teisinį reguliavimą vertinimą</w:t>
      </w:r>
      <w:r w:rsidR="00661F0B">
        <w:rPr>
          <w:rFonts w:eastAsia="Calibri"/>
          <w:bCs/>
          <w:lang w:eastAsia="en-US"/>
        </w:rPr>
        <w:t>.</w:t>
      </w:r>
    </w:p>
    <w:p w14:paraId="68B92CB1" w14:textId="77777777" w:rsidR="002F17D7" w:rsidRDefault="00F10CAD" w:rsidP="00440456">
      <w:pPr>
        <w:ind w:firstLine="720"/>
        <w:rPr>
          <w:b/>
        </w:rPr>
      </w:pPr>
      <w:r>
        <w:rPr>
          <w:szCs w:val="24"/>
          <w:lang w:eastAsia="lt-LT"/>
        </w:rPr>
        <w:t>Teisinio reguliavimo s</w:t>
      </w:r>
      <w:r w:rsidR="0092200E">
        <w:rPr>
          <w:szCs w:val="24"/>
          <w:lang w:eastAsia="lt-LT"/>
        </w:rPr>
        <w:t>tebėseną atlieka ministerijos, joms pavaldžios įstaigos, kitos valstybės institucijos</w:t>
      </w:r>
      <w:r>
        <w:rPr>
          <w:szCs w:val="24"/>
          <w:lang w:eastAsia="lt-LT"/>
        </w:rPr>
        <w:t xml:space="preserve">, vadovaudamosi Teisingumo ministro įsakymu patvirtintu </w:t>
      </w:r>
      <w:r w:rsidRPr="00B0138B">
        <w:rPr>
          <w:rFonts w:eastAsia="Calibri"/>
          <w:bCs/>
          <w:lang w:eastAsia="en-US"/>
        </w:rPr>
        <w:t>Teisinio reguliavimo stebėsenos atlikimo tvarkos apraš</w:t>
      </w:r>
      <w:r>
        <w:rPr>
          <w:rFonts w:eastAsia="Calibri"/>
          <w:bCs/>
          <w:lang w:eastAsia="en-US"/>
        </w:rPr>
        <w:t xml:space="preserve">u ir </w:t>
      </w:r>
      <w:r w:rsidR="0092200E">
        <w:rPr>
          <w:szCs w:val="24"/>
          <w:lang w:eastAsia="lt-LT"/>
        </w:rPr>
        <w:t>pagal ministrų ar institucijų vadovų patvirtintus stebėsenos planus</w:t>
      </w:r>
      <w:r>
        <w:rPr>
          <w:szCs w:val="24"/>
          <w:lang w:eastAsia="lt-LT"/>
        </w:rPr>
        <w:t>.</w:t>
      </w:r>
    </w:p>
    <w:p w14:paraId="22F46BF4" w14:textId="77777777" w:rsidR="002F17D7" w:rsidRPr="00FE6458" w:rsidRDefault="00FE6458" w:rsidP="00440456">
      <w:pPr>
        <w:pStyle w:val="Default"/>
        <w:ind w:firstLine="720"/>
        <w:jc w:val="both"/>
        <w:rPr>
          <w:bCs/>
        </w:rPr>
      </w:pPr>
      <w:r w:rsidRPr="00FE6458">
        <w:rPr>
          <w:bCs/>
        </w:rPr>
        <w:t>Teisingumo minist</w:t>
      </w:r>
      <w:r>
        <w:rPr>
          <w:bCs/>
        </w:rPr>
        <w:t>e</w:t>
      </w:r>
      <w:r w:rsidRPr="00FE6458">
        <w:rPr>
          <w:bCs/>
        </w:rPr>
        <w:t xml:space="preserve">rija, kaip </w:t>
      </w:r>
      <w:r>
        <w:rPr>
          <w:bCs/>
        </w:rPr>
        <w:t xml:space="preserve">teisinio reguliavimo stebėseną </w:t>
      </w:r>
      <w:r w:rsidRPr="00FE6458">
        <w:rPr>
          <w:bCs/>
        </w:rPr>
        <w:t>koordinuojanti</w:t>
      </w:r>
      <w:r>
        <w:rPr>
          <w:bCs/>
        </w:rPr>
        <w:t xml:space="preserve"> institucija, apibendrina </w:t>
      </w:r>
      <w:r>
        <w:rPr>
          <w:color w:val="auto"/>
          <w:sz w:val="23"/>
          <w:szCs w:val="23"/>
        </w:rPr>
        <w:t>teisinio reguliavimo stebėsenos, atliktos per praėjusius kalendorinius metus, rezultatus pagal teisinio reguliavimo stebėseną atliekančių subjektų pateiktas teisinio reguliavimo stebėsenos pažymas</w:t>
      </w:r>
      <w:r w:rsidR="00451A8D">
        <w:rPr>
          <w:color w:val="auto"/>
          <w:sz w:val="23"/>
          <w:szCs w:val="23"/>
        </w:rPr>
        <w:t>,</w:t>
      </w:r>
      <w:r w:rsidR="004D03A6">
        <w:rPr>
          <w:sz w:val="23"/>
          <w:szCs w:val="23"/>
        </w:rPr>
        <w:t xml:space="preserve"> ir parengia teisinio reguliavimo stebėsenos ataskaitą. </w:t>
      </w:r>
    </w:p>
    <w:p w14:paraId="15DE2777" w14:textId="77777777" w:rsidR="00FE6458" w:rsidRDefault="00FE6458" w:rsidP="00661F0B">
      <w:pPr>
        <w:rPr>
          <w:b/>
        </w:rPr>
      </w:pPr>
    </w:p>
    <w:p w14:paraId="069CC013" w14:textId="7BF1BD54" w:rsidR="00BC02E8" w:rsidRDefault="002F17D7" w:rsidP="00661F0B">
      <w:pPr>
        <w:contextualSpacing/>
        <w:rPr>
          <w:rFonts w:eastAsia="Calibri"/>
          <w:bCs/>
          <w:lang w:eastAsia="en-US"/>
        </w:rPr>
      </w:pPr>
      <w:r>
        <w:rPr>
          <w:b/>
        </w:rPr>
        <w:t>E</w:t>
      </w:r>
      <w:r w:rsidRPr="00E26301">
        <w:rPr>
          <w:b/>
        </w:rPr>
        <w:t>smė</w:t>
      </w:r>
      <w:r>
        <w:rPr>
          <w:b/>
        </w:rPr>
        <w:t>:</w:t>
      </w:r>
      <w:r w:rsidR="006444BC">
        <w:rPr>
          <w:b/>
        </w:rPr>
        <w:t xml:space="preserve"> </w:t>
      </w:r>
      <w:r w:rsidR="006444BC">
        <w:rPr>
          <w:rFonts w:eastAsia="Calibri"/>
          <w:bCs/>
          <w:lang w:eastAsia="en-US"/>
        </w:rPr>
        <w:t xml:space="preserve">2019 metais buvo atlikta </w:t>
      </w:r>
      <w:r w:rsidR="00D35A62">
        <w:t>3 ministrų valdymo srityse</w:t>
      </w:r>
      <w:r w:rsidR="00D35A62" w:rsidDel="00D35A62">
        <w:rPr>
          <w:rFonts w:eastAsia="Calibri"/>
          <w:bCs/>
          <w:lang w:eastAsia="en-US"/>
        </w:rPr>
        <w:t xml:space="preserve"> </w:t>
      </w:r>
      <w:r w:rsidR="006444BC" w:rsidRPr="00C412A6">
        <w:rPr>
          <w:rFonts w:eastAsia="Calibri"/>
          <w:bCs/>
          <w:lang w:eastAsia="en-US"/>
        </w:rPr>
        <w:t>teisinio r</w:t>
      </w:r>
      <w:r w:rsidR="006444BC">
        <w:rPr>
          <w:rFonts w:eastAsia="Calibri"/>
          <w:bCs/>
          <w:lang w:eastAsia="en-US"/>
        </w:rPr>
        <w:t>eguliavimo stebėsena, stebint 5</w:t>
      </w:r>
      <w:r w:rsidR="006444BC" w:rsidRPr="00452A75">
        <w:rPr>
          <w:rFonts w:eastAsia="Calibri"/>
          <w:bCs/>
          <w:lang w:eastAsia="en-US"/>
        </w:rPr>
        <w:t xml:space="preserve"> teisės aktų</w:t>
      </w:r>
      <w:r w:rsidR="006444BC">
        <w:rPr>
          <w:rFonts w:eastAsia="Calibri"/>
          <w:bCs/>
          <w:lang w:eastAsia="en-US"/>
        </w:rPr>
        <w:t xml:space="preserve">  </w:t>
      </w:r>
      <w:r w:rsidR="006444BC" w:rsidRPr="00452A75">
        <w:rPr>
          <w:rFonts w:eastAsia="Calibri"/>
          <w:bCs/>
          <w:lang w:eastAsia="en-US"/>
        </w:rPr>
        <w:t>teisinį reglamentavimą</w:t>
      </w:r>
      <w:r w:rsidR="006444BC">
        <w:rPr>
          <w:rFonts w:eastAsia="Calibri"/>
          <w:bCs/>
          <w:lang w:eastAsia="en-US"/>
        </w:rPr>
        <w:t xml:space="preserve"> – 4 įstatymų ir 1 įsakymo. </w:t>
      </w:r>
      <w:r w:rsidR="006444BC" w:rsidRPr="00C412A6">
        <w:rPr>
          <w:rFonts w:eastAsia="Calibri"/>
          <w:bCs/>
          <w:lang w:eastAsia="en-US"/>
        </w:rPr>
        <w:t>Tei</w:t>
      </w:r>
      <w:r w:rsidR="006444BC">
        <w:rPr>
          <w:rFonts w:eastAsia="Calibri"/>
          <w:bCs/>
          <w:lang w:eastAsia="en-US"/>
        </w:rPr>
        <w:t xml:space="preserve">sinio reguliavimo stebėseną 2019 metais atliko </w:t>
      </w:r>
      <w:r w:rsidR="00331745">
        <w:rPr>
          <w:rFonts w:eastAsia="Calibri"/>
          <w:bCs/>
          <w:lang w:eastAsia="en-US"/>
        </w:rPr>
        <w:t>F</w:t>
      </w:r>
      <w:r w:rsidR="006444BC">
        <w:rPr>
          <w:rFonts w:eastAsia="Calibri"/>
          <w:bCs/>
          <w:lang w:eastAsia="en-US"/>
        </w:rPr>
        <w:t xml:space="preserve">inansų ministerija (1 </w:t>
      </w:r>
      <w:r w:rsidR="007F1E42">
        <w:rPr>
          <w:rFonts w:eastAsia="Calibri"/>
          <w:bCs/>
          <w:lang w:eastAsia="en-US"/>
        </w:rPr>
        <w:t>įstatym</w:t>
      </w:r>
      <w:r w:rsidR="001706E9">
        <w:rPr>
          <w:rFonts w:eastAsia="Calibri"/>
          <w:bCs/>
          <w:lang w:eastAsia="en-US"/>
        </w:rPr>
        <w:t>as</w:t>
      </w:r>
      <w:r w:rsidR="006444BC" w:rsidRPr="00C412A6">
        <w:rPr>
          <w:rFonts w:eastAsia="Calibri"/>
          <w:bCs/>
          <w:lang w:eastAsia="en-US"/>
        </w:rPr>
        <w:t>),</w:t>
      </w:r>
      <w:r w:rsidR="006444BC" w:rsidRPr="00E80408">
        <w:rPr>
          <w:rFonts w:eastAsia="Calibri"/>
          <w:bCs/>
          <w:lang w:eastAsia="en-US"/>
        </w:rPr>
        <w:t xml:space="preserve"> </w:t>
      </w:r>
      <w:r w:rsidR="00331745">
        <w:rPr>
          <w:rFonts w:eastAsia="Calibri"/>
          <w:bCs/>
          <w:lang w:eastAsia="en-US"/>
        </w:rPr>
        <w:t>K</w:t>
      </w:r>
      <w:r w:rsidR="006444BC">
        <w:rPr>
          <w:rFonts w:eastAsia="Calibri"/>
          <w:bCs/>
          <w:lang w:eastAsia="en-US"/>
        </w:rPr>
        <w:t>rašto apsaugos ministerija (</w:t>
      </w:r>
      <w:r w:rsidR="007F1E42">
        <w:rPr>
          <w:rFonts w:eastAsia="Calibri"/>
          <w:bCs/>
          <w:lang w:eastAsia="en-US"/>
        </w:rPr>
        <w:t>1 įstatym</w:t>
      </w:r>
      <w:r w:rsidR="001706E9">
        <w:rPr>
          <w:rFonts w:eastAsia="Calibri"/>
          <w:bCs/>
          <w:lang w:eastAsia="en-US"/>
        </w:rPr>
        <w:t xml:space="preserve">as) </w:t>
      </w:r>
      <w:r w:rsidR="006444BC">
        <w:rPr>
          <w:rFonts w:eastAsia="Calibri"/>
          <w:bCs/>
          <w:lang w:eastAsia="en-US"/>
        </w:rPr>
        <w:t xml:space="preserve">ir </w:t>
      </w:r>
      <w:r w:rsidR="006444BC" w:rsidRPr="00C412A6">
        <w:rPr>
          <w:rFonts w:eastAsia="Calibri"/>
          <w:bCs/>
          <w:lang w:eastAsia="en-US"/>
        </w:rPr>
        <w:t>Valstybinė teritorijų planavimo ir statybos inspekci</w:t>
      </w:r>
      <w:r w:rsidR="006444BC">
        <w:rPr>
          <w:rFonts w:eastAsia="Calibri"/>
          <w:bCs/>
          <w:lang w:eastAsia="en-US"/>
        </w:rPr>
        <w:t>ja prie Aplinkos ministerijos (</w:t>
      </w:r>
      <w:r w:rsidR="007F1E42">
        <w:rPr>
          <w:rFonts w:eastAsia="Calibri"/>
          <w:bCs/>
          <w:lang w:eastAsia="en-US"/>
        </w:rPr>
        <w:t>1 įstatym</w:t>
      </w:r>
      <w:r w:rsidR="001706E9">
        <w:rPr>
          <w:rFonts w:eastAsia="Calibri"/>
          <w:bCs/>
          <w:lang w:eastAsia="en-US"/>
        </w:rPr>
        <w:t>as</w:t>
      </w:r>
      <w:r w:rsidR="007F1E42">
        <w:rPr>
          <w:rFonts w:eastAsia="Calibri"/>
          <w:bCs/>
          <w:lang w:eastAsia="en-US"/>
        </w:rPr>
        <w:t xml:space="preserve"> ir 2</w:t>
      </w:r>
      <w:r w:rsidR="006444BC">
        <w:rPr>
          <w:rFonts w:eastAsia="Calibri"/>
          <w:bCs/>
          <w:lang w:eastAsia="en-US"/>
        </w:rPr>
        <w:t xml:space="preserve"> </w:t>
      </w:r>
      <w:r w:rsidR="001706E9">
        <w:rPr>
          <w:rFonts w:eastAsia="Calibri"/>
          <w:bCs/>
          <w:lang w:eastAsia="en-US"/>
        </w:rPr>
        <w:t>įsakymai</w:t>
      </w:r>
      <w:r w:rsidR="006444BC">
        <w:rPr>
          <w:rFonts w:eastAsia="Calibri"/>
          <w:bCs/>
          <w:lang w:eastAsia="en-US"/>
        </w:rPr>
        <w:t>).</w:t>
      </w:r>
    </w:p>
    <w:p w14:paraId="46814316" w14:textId="0845AD33" w:rsidR="00BC02E8" w:rsidRDefault="008F0A1E" w:rsidP="00BC02E8">
      <w:pPr>
        <w:ind w:firstLine="720"/>
        <w:rPr>
          <w:rFonts w:eastAsia="Calibri"/>
          <w:bCs/>
          <w:lang w:eastAsia="en-US"/>
        </w:rPr>
      </w:pPr>
      <w:r>
        <w:rPr>
          <w:rFonts w:eastAsia="Calibri"/>
          <w:bCs/>
          <w:lang w:eastAsia="en-US"/>
        </w:rPr>
        <w:t>Teisingumo ministerija</w:t>
      </w:r>
      <w:r w:rsidR="001706E9">
        <w:rPr>
          <w:rFonts w:eastAsia="Calibri"/>
          <w:bCs/>
          <w:lang w:eastAsia="en-US"/>
        </w:rPr>
        <w:t>,</w:t>
      </w:r>
      <w:r w:rsidR="001706E9" w:rsidRPr="00C412A6">
        <w:rPr>
          <w:rFonts w:eastAsia="Calibri"/>
          <w:bCs/>
          <w:lang w:eastAsia="en-US"/>
        </w:rPr>
        <w:t xml:space="preserve"> </w:t>
      </w:r>
      <w:r w:rsidR="001706E9">
        <w:rPr>
          <w:rFonts w:eastAsia="Calibri"/>
          <w:bCs/>
          <w:lang w:eastAsia="en-US"/>
        </w:rPr>
        <w:t>k</w:t>
      </w:r>
      <w:r w:rsidR="001706E9" w:rsidRPr="00C412A6">
        <w:rPr>
          <w:rFonts w:eastAsia="Calibri"/>
          <w:bCs/>
          <w:lang w:eastAsia="en-US"/>
        </w:rPr>
        <w:t>aip ir praėjusiais metais</w:t>
      </w:r>
      <w:r w:rsidR="001706E9">
        <w:rPr>
          <w:rFonts w:eastAsia="Calibri"/>
          <w:bCs/>
          <w:lang w:eastAsia="en-US"/>
        </w:rPr>
        <w:t>,</w:t>
      </w:r>
      <w:r w:rsidR="001706E9" w:rsidRPr="00C412A6">
        <w:rPr>
          <w:rFonts w:eastAsia="Calibri"/>
          <w:bCs/>
          <w:lang w:eastAsia="en-US"/>
        </w:rPr>
        <w:t xml:space="preserve"> </w:t>
      </w:r>
      <w:r w:rsidR="00BC02E8" w:rsidRPr="00C412A6">
        <w:rPr>
          <w:rFonts w:eastAsia="Calibri"/>
          <w:bCs/>
          <w:lang w:eastAsia="en-US"/>
        </w:rPr>
        <w:t>nustat</w:t>
      </w:r>
      <w:r w:rsidR="00726FAF">
        <w:rPr>
          <w:rFonts w:eastAsia="Calibri"/>
          <w:bCs/>
          <w:lang w:eastAsia="en-US"/>
        </w:rPr>
        <w:t>ė</w:t>
      </w:r>
      <w:r w:rsidR="00BC02E8" w:rsidRPr="00C412A6">
        <w:rPr>
          <w:rFonts w:eastAsia="Calibri"/>
          <w:bCs/>
          <w:lang w:eastAsia="en-US"/>
        </w:rPr>
        <w:t xml:space="preserve"> panaši</w:t>
      </w:r>
      <w:r w:rsidR="00726FAF">
        <w:rPr>
          <w:rFonts w:eastAsia="Calibri"/>
          <w:bCs/>
          <w:lang w:eastAsia="en-US"/>
        </w:rPr>
        <w:t>as</w:t>
      </w:r>
      <w:r w:rsidR="00BC02E8" w:rsidRPr="00C412A6">
        <w:rPr>
          <w:rFonts w:eastAsia="Calibri"/>
          <w:bCs/>
          <w:lang w:eastAsia="en-US"/>
        </w:rPr>
        <w:t xml:space="preserve"> teisinio reguliavimo stebėsenos proceso klaid</w:t>
      </w:r>
      <w:r w:rsidR="001706E9">
        <w:rPr>
          <w:rFonts w:eastAsia="Calibri"/>
          <w:bCs/>
          <w:lang w:eastAsia="en-US"/>
        </w:rPr>
        <w:t>as</w:t>
      </w:r>
      <w:r w:rsidR="00BC02E8">
        <w:rPr>
          <w:rFonts w:eastAsia="Calibri"/>
          <w:bCs/>
          <w:lang w:eastAsia="en-US"/>
        </w:rPr>
        <w:t xml:space="preserve">: </w:t>
      </w:r>
      <w:r w:rsidR="00BC02E8" w:rsidRPr="00C412A6">
        <w:rPr>
          <w:rFonts w:eastAsia="Calibri"/>
          <w:bCs/>
          <w:lang w:eastAsia="en-US"/>
        </w:rPr>
        <w:t>ne visos institucijos</w:t>
      </w:r>
      <w:r w:rsidR="00BC02E8">
        <w:rPr>
          <w:rFonts w:eastAsia="Calibri"/>
          <w:bCs/>
          <w:lang w:eastAsia="en-US"/>
        </w:rPr>
        <w:t xml:space="preserve"> informuoja </w:t>
      </w:r>
      <w:r w:rsidR="00BC02E8" w:rsidRPr="00C412A6">
        <w:rPr>
          <w:rFonts w:eastAsia="Calibri"/>
          <w:bCs/>
          <w:lang w:eastAsia="en-US"/>
        </w:rPr>
        <w:t>Teisingumo ministerij</w:t>
      </w:r>
      <w:r w:rsidR="00BC02E8">
        <w:rPr>
          <w:rFonts w:eastAsia="Calibri"/>
          <w:bCs/>
          <w:lang w:eastAsia="en-US"/>
        </w:rPr>
        <w:t>ą</w:t>
      </w:r>
      <w:r w:rsidR="00BC02E8" w:rsidRPr="00C412A6">
        <w:rPr>
          <w:rFonts w:eastAsia="Calibri"/>
          <w:bCs/>
          <w:lang w:eastAsia="en-US"/>
        </w:rPr>
        <w:t xml:space="preserve"> arba informuoja pavėluotai apie patvirtintą teisinio reguliavimo stebėsenos atlikimo planą</w:t>
      </w:r>
      <w:r w:rsidR="00BC02E8">
        <w:rPr>
          <w:rFonts w:eastAsia="Calibri"/>
          <w:bCs/>
          <w:lang w:eastAsia="en-US"/>
        </w:rPr>
        <w:t xml:space="preserve">; </w:t>
      </w:r>
      <w:r w:rsidR="00BC02E8" w:rsidRPr="00C412A6">
        <w:rPr>
          <w:rFonts w:eastAsia="Calibri"/>
          <w:bCs/>
          <w:lang w:eastAsia="en-US"/>
        </w:rPr>
        <w:t>ne visi stebėseną atliekantys subjektai informaciją apie atliekamą teisinio reguliavimo stebėseną skelbia Teisės aktų informacinėje sistemoje</w:t>
      </w:r>
      <w:r w:rsidR="00726FAF">
        <w:rPr>
          <w:rFonts w:eastAsia="Calibri"/>
          <w:bCs/>
          <w:lang w:eastAsia="en-US"/>
        </w:rPr>
        <w:t xml:space="preserve">; </w:t>
      </w:r>
      <w:r w:rsidR="00726FAF" w:rsidRPr="00C412A6">
        <w:rPr>
          <w:rFonts w:eastAsia="Calibri"/>
          <w:bCs/>
          <w:lang w:eastAsia="en-US"/>
        </w:rPr>
        <w:t>kad ne visada teisinio reguliavimo stebėsenos pažymos išsamiai atskleidžia teisinio reguliavimo srities, kurios teisinio reguliavimo stebėsena yra atliekama, trūkumus bei galimus šių trūkumų sprendimo variantus</w:t>
      </w:r>
      <w:r w:rsidR="00726FAF">
        <w:rPr>
          <w:rFonts w:eastAsia="Calibri"/>
          <w:bCs/>
          <w:lang w:eastAsia="en-US"/>
        </w:rPr>
        <w:t>.</w:t>
      </w:r>
    </w:p>
    <w:p w14:paraId="67F786F2" w14:textId="74122B28" w:rsidR="00787658" w:rsidRDefault="00D36DA5" w:rsidP="00787658">
      <w:pPr>
        <w:ind w:firstLine="720"/>
        <w:rPr>
          <w:rFonts w:eastAsia="Calibri"/>
          <w:bCs/>
          <w:lang w:eastAsia="en-US"/>
        </w:rPr>
      </w:pPr>
      <w:r>
        <w:rPr>
          <w:rFonts w:eastAsia="Calibri"/>
          <w:bCs/>
          <w:lang w:eastAsia="en-US"/>
        </w:rPr>
        <w:t>Teisingumo ministerijos pateik</w:t>
      </w:r>
      <w:r w:rsidR="00F33182">
        <w:rPr>
          <w:rFonts w:eastAsia="Calibri"/>
          <w:bCs/>
          <w:lang w:eastAsia="en-US"/>
        </w:rPr>
        <w:t>iamais</w:t>
      </w:r>
      <w:r>
        <w:rPr>
          <w:rFonts w:eastAsia="Calibri"/>
          <w:bCs/>
          <w:lang w:eastAsia="en-US"/>
        </w:rPr>
        <w:t xml:space="preserve"> duomenimis stebima tendencija, kad </w:t>
      </w:r>
      <w:r w:rsidR="00F33182">
        <w:rPr>
          <w:rFonts w:eastAsia="Calibri"/>
          <w:bCs/>
          <w:lang w:eastAsia="en-US"/>
        </w:rPr>
        <w:t xml:space="preserve">ženkliai </w:t>
      </w:r>
      <w:r w:rsidR="00254E91">
        <w:rPr>
          <w:rFonts w:eastAsia="Calibri"/>
          <w:bCs/>
          <w:lang w:eastAsia="en-US"/>
        </w:rPr>
        <w:t>su</w:t>
      </w:r>
      <w:r w:rsidR="00F33182">
        <w:rPr>
          <w:rFonts w:eastAsia="Calibri"/>
          <w:bCs/>
          <w:lang w:eastAsia="en-US"/>
        </w:rPr>
        <w:t>mažėj</w:t>
      </w:r>
      <w:r w:rsidR="00254E91">
        <w:rPr>
          <w:rFonts w:eastAsia="Calibri"/>
          <w:bCs/>
          <w:lang w:eastAsia="en-US"/>
        </w:rPr>
        <w:t>o</w:t>
      </w:r>
      <w:r w:rsidR="00F33182">
        <w:rPr>
          <w:rFonts w:eastAsia="Calibri"/>
          <w:bCs/>
          <w:lang w:eastAsia="en-US"/>
        </w:rPr>
        <w:t xml:space="preserve"> </w:t>
      </w:r>
      <w:r w:rsidR="00254E91">
        <w:rPr>
          <w:rFonts w:eastAsia="Calibri"/>
          <w:bCs/>
          <w:lang w:eastAsia="en-US"/>
        </w:rPr>
        <w:t xml:space="preserve">nuolatos ir taip mažas buvęs </w:t>
      </w:r>
      <w:r>
        <w:rPr>
          <w:rFonts w:eastAsia="Calibri"/>
          <w:bCs/>
          <w:lang w:eastAsia="en-US"/>
        </w:rPr>
        <w:t>stebimų teisės aktų skaičius, kartu prie teisinio reguliavimo stebėsenos atlikimo prisijung</w:t>
      </w:r>
      <w:r w:rsidR="00F33182">
        <w:rPr>
          <w:rFonts w:eastAsia="Calibri"/>
          <w:bCs/>
          <w:lang w:eastAsia="en-US"/>
        </w:rPr>
        <w:t>ia</w:t>
      </w:r>
      <w:r>
        <w:rPr>
          <w:rFonts w:eastAsia="Calibri"/>
          <w:bCs/>
          <w:lang w:eastAsia="en-US"/>
        </w:rPr>
        <w:t xml:space="preserve"> ir mažiau institucijų. </w:t>
      </w:r>
    </w:p>
    <w:p w14:paraId="1E00D798" w14:textId="77777777" w:rsidR="00787658" w:rsidRDefault="00787658" w:rsidP="00787658">
      <w:pPr>
        <w:ind w:firstLine="720"/>
        <w:rPr>
          <w:rFonts w:eastAsia="Calibri"/>
          <w:bCs/>
          <w:lang w:eastAsia="en-US"/>
        </w:rPr>
      </w:pPr>
    </w:p>
    <w:p w14:paraId="215BA85B" w14:textId="77777777" w:rsidR="00787658" w:rsidRDefault="00440456" w:rsidP="00787658">
      <w:pPr>
        <w:rPr>
          <w:rFonts w:eastAsia="Calibri"/>
          <w:bCs/>
          <w:lang w:eastAsia="en-US"/>
        </w:rPr>
      </w:pPr>
      <w:r>
        <w:rPr>
          <w:noProof/>
        </w:rPr>
        <w:drawing>
          <wp:inline distT="0" distB="0" distL="0" distR="0" wp14:anchorId="3BD7B7B0" wp14:editId="0FA26744">
            <wp:extent cx="6127750" cy="1543050"/>
            <wp:effectExtent l="0" t="0" r="6350" b="0"/>
            <wp:docPr id="1" name="Diagrama 1">
              <a:extLst xmlns:a="http://schemas.openxmlformats.org/drawingml/2006/main">
                <a:ext uri="{FF2B5EF4-FFF2-40B4-BE49-F238E27FC236}">
                  <a16:creationId xmlns:a16="http://schemas.microsoft.com/office/drawing/2014/main" id="{BC366380-1386-4C12-A0F6-EB3C73C1939A}"/>
                </a:ext>
              </a:extLst>
            </wp:docPr>
            <wp:cNvGraphicFramePr/>
            <a:graphic xmlns:a="http://schemas.openxmlformats.org/drawingml/2006/main">
              <a:graphicData uri="http://schemas.openxmlformats.org/drawingml/2006/chart">
                <c:chart xmlns:c="http://schemas.openxmlformats.org/drawingml/2006/chart" r:id="rId10"/>
              </a:graphicData>
            </a:graphic>
          </wp:inline>
        </w:drawing>
      </w:r>
    </w:p>
    <w:p w14:paraId="54565F22" w14:textId="77777777" w:rsidR="00787658" w:rsidRDefault="00787658" w:rsidP="00787658">
      <w:pPr>
        <w:ind w:firstLine="720"/>
        <w:rPr>
          <w:rFonts w:eastAsia="Calibri"/>
          <w:bCs/>
          <w:lang w:eastAsia="en-US"/>
        </w:rPr>
      </w:pPr>
    </w:p>
    <w:p w14:paraId="108C7E69" w14:textId="77777777" w:rsidR="00787658" w:rsidRDefault="00787658" w:rsidP="00787658">
      <w:pPr>
        <w:ind w:firstLine="720"/>
        <w:rPr>
          <w:rFonts w:eastAsia="Calibri"/>
          <w:bCs/>
          <w:lang w:eastAsia="en-US"/>
        </w:rPr>
      </w:pPr>
    </w:p>
    <w:p w14:paraId="78DA3A90" w14:textId="77777777" w:rsidR="00BC02E8" w:rsidRPr="00726FAF" w:rsidRDefault="00787658" w:rsidP="00787658">
      <w:pPr>
        <w:ind w:firstLine="720"/>
        <w:rPr>
          <w:rFonts w:eastAsia="Calibri"/>
          <w:bCs/>
          <w:lang w:eastAsia="en-US"/>
        </w:rPr>
      </w:pPr>
      <w:r>
        <w:rPr>
          <w:rFonts w:eastAsia="Calibri"/>
          <w:bCs/>
          <w:lang w:eastAsia="en-US"/>
        </w:rPr>
        <w:t>S</w:t>
      </w:r>
      <w:r w:rsidR="009B6F00">
        <w:t>tebimų teisės aktų skaičius, palyginti su įprasta teisėkūros apimtimi, nesiekia nė 1 procento vidutinio per</w:t>
      </w:r>
      <w:r w:rsidR="00726FAF">
        <w:t xml:space="preserve"> </w:t>
      </w:r>
      <w:r w:rsidR="009B6F00">
        <w:t>metus</w:t>
      </w:r>
      <w:r w:rsidR="00254E91">
        <w:t xml:space="preserve"> Seimo ir Vyriausybės</w:t>
      </w:r>
      <w:r w:rsidR="00726FAF">
        <w:t xml:space="preserve"> </w:t>
      </w:r>
      <w:r w:rsidR="009B6F00">
        <w:t>priimamų teisės aktų skaičiaus</w:t>
      </w:r>
      <w:r w:rsidR="00F54013">
        <w:t>.</w:t>
      </w:r>
    </w:p>
    <w:p w14:paraId="67059DE5" w14:textId="77777777" w:rsidR="008F0A1E" w:rsidRPr="00BC02E8" w:rsidRDefault="008F0A1E" w:rsidP="00346938">
      <w:pPr>
        <w:ind w:hanging="1276"/>
        <w:rPr>
          <w:rFonts w:eastAsia="Calibri"/>
          <w:bCs/>
          <w:lang w:eastAsia="en-US"/>
        </w:rPr>
      </w:pPr>
      <w:r w:rsidRPr="008F0A1E">
        <w:rPr>
          <w:noProof/>
          <w:szCs w:val="24"/>
          <w:lang w:eastAsia="lt-LT"/>
        </w:rPr>
        <w:drawing>
          <wp:inline distT="0" distB="0" distL="0" distR="0" wp14:anchorId="09ADD85E" wp14:editId="6D5241EC">
            <wp:extent cx="7486650" cy="2317750"/>
            <wp:effectExtent l="0" t="0" r="0" b="6350"/>
            <wp:docPr id="8" name="Diagrama 8"/>
            <wp:cNvGraphicFramePr/>
            <a:graphic xmlns:a="http://schemas.openxmlformats.org/drawingml/2006/main">
              <a:graphicData uri="http://schemas.openxmlformats.org/drawingml/2006/chart">
                <c:chart xmlns:c="http://schemas.openxmlformats.org/drawingml/2006/chart" r:id="rId11"/>
              </a:graphicData>
            </a:graphic>
          </wp:inline>
        </w:drawing>
      </w:r>
    </w:p>
    <w:p w14:paraId="5D87567F" w14:textId="6886F89A" w:rsidR="00BC02E8" w:rsidRDefault="00F54013" w:rsidP="00BC02E8">
      <w:pPr>
        <w:ind w:firstLine="720"/>
      </w:pPr>
      <w:r w:rsidRPr="002121E9">
        <w:t xml:space="preserve">Pažymėtina, kad </w:t>
      </w:r>
      <w:r w:rsidR="002121E9" w:rsidRPr="002121E9">
        <w:rPr>
          <w:color w:val="000000"/>
          <w:szCs w:val="24"/>
        </w:rPr>
        <w:t xml:space="preserve">teisinio reguliavimo stebėsena </w:t>
      </w:r>
      <w:r w:rsidR="002121E9" w:rsidRPr="002121E9">
        <w:rPr>
          <w:szCs w:val="24"/>
        </w:rPr>
        <w:t xml:space="preserve">atliekama fragmentiškai, dažniausiai stebėsena atliekama vieno teisės akto ar tik jo dalies nuostatų, nevertinant atitinkamą sritį reguliuojančių nuostatų visumos. Taip pat neretai stebėsena atliekama tik formaliai, </w:t>
      </w:r>
      <w:r w:rsidR="002121E9" w:rsidRPr="002121E9">
        <w:rPr>
          <w:color w:val="000000"/>
          <w:szCs w:val="24"/>
        </w:rPr>
        <w:t>ne</w:t>
      </w:r>
      <w:r w:rsidR="00672E00">
        <w:rPr>
          <w:color w:val="000000"/>
          <w:szCs w:val="24"/>
        </w:rPr>
        <w:t xml:space="preserve">pakankamai </w:t>
      </w:r>
      <w:r w:rsidR="002121E9" w:rsidRPr="002121E9">
        <w:rPr>
          <w:color w:val="000000"/>
          <w:szCs w:val="24"/>
        </w:rPr>
        <w:t>kokybiškai</w:t>
      </w:r>
      <w:r w:rsidR="002121E9" w:rsidRPr="002121E9">
        <w:rPr>
          <w:szCs w:val="24"/>
        </w:rPr>
        <w:t xml:space="preserve">, todėl nesuteikia </w:t>
      </w:r>
      <w:r w:rsidR="00672E00">
        <w:rPr>
          <w:szCs w:val="24"/>
        </w:rPr>
        <w:t xml:space="preserve">pagrįstos </w:t>
      </w:r>
      <w:r w:rsidR="002121E9" w:rsidRPr="002121E9">
        <w:rPr>
          <w:szCs w:val="24"/>
        </w:rPr>
        <w:t>informacijos apie teisinio reguliavimo reikalingumą, tinkamumą, efektyvumą  ir neleidžia  kryptingai ir nuosekliai tobulinti esamo teisinio reguliavimo.</w:t>
      </w:r>
      <w:r w:rsidR="002121E9">
        <w:rPr>
          <w:color w:val="000000"/>
          <w:szCs w:val="24"/>
        </w:rPr>
        <w:t xml:space="preserve"> </w:t>
      </w:r>
      <w:r w:rsidRPr="002121E9">
        <w:rPr>
          <w:rFonts w:eastAsia="Calibri"/>
          <w:bCs/>
          <w:lang w:eastAsia="en-US"/>
        </w:rPr>
        <w:t xml:space="preserve">Taip pat </w:t>
      </w:r>
      <w:r w:rsidR="00BC02E8">
        <w:rPr>
          <w:bCs/>
        </w:rPr>
        <w:t>ne</w:t>
      </w:r>
      <w:r w:rsidR="00672E00">
        <w:rPr>
          <w:bCs/>
        </w:rPr>
        <w:t xml:space="preserve">pakankamas dėmesys skiriamas </w:t>
      </w:r>
      <w:r w:rsidR="0047006C">
        <w:rPr>
          <w:bCs/>
        </w:rPr>
        <w:t xml:space="preserve"> </w:t>
      </w:r>
      <w:r w:rsidR="00BC02E8">
        <w:rPr>
          <w:bCs/>
        </w:rPr>
        <w:t xml:space="preserve">teisinio </w:t>
      </w:r>
      <w:r w:rsidR="002121E9">
        <w:rPr>
          <w:bCs/>
        </w:rPr>
        <w:t>reguliavimo stebėsen</w:t>
      </w:r>
      <w:r w:rsidR="00BC02E8">
        <w:rPr>
          <w:bCs/>
        </w:rPr>
        <w:t xml:space="preserve">os </w:t>
      </w:r>
      <w:r w:rsidR="0047006C">
        <w:rPr>
          <w:bCs/>
        </w:rPr>
        <w:t xml:space="preserve">turinio </w:t>
      </w:r>
      <w:r w:rsidR="00672E00">
        <w:rPr>
          <w:bCs/>
        </w:rPr>
        <w:t xml:space="preserve">ir išvadų </w:t>
      </w:r>
      <w:r w:rsidR="00BC02E8">
        <w:rPr>
          <w:bCs/>
        </w:rPr>
        <w:t>kokyb</w:t>
      </w:r>
      <w:r w:rsidR="00672E00">
        <w:rPr>
          <w:bCs/>
        </w:rPr>
        <w:t>ei, pagrįstumui ir „gilumui“</w:t>
      </w:r>
      <w:r w:rsidR="00BC02E8">
        <w:rPr>
          <w:bCs/>
        </w:rPr>
        <w:t xml:space="preserve">, nes </w:t>
      </w:r>
      <w:r w:rsidR="002121E9" w:rsidRPr="00FE6458">
        <w:rPr>
          <w:bCs/>
        </w:rPr>
        <w:t>koordinuojanti</w:t>
      </w:r>
      <w:r w:rsidR="002121E9">
        <w:rPr>
          <w:bCs/>
        </w:rPr>
        <w:t xml:space="preserve"> institucija </w:t>
      </w:r>
      <w:r w:rsidR="0047006C">
        <w:rPr>
          <w:bCs/>
        </w:rPr>
        <w:t xml:space="preserve">nevertina pažymų turinio kokybės, o </w:t>
      </w:r>
      <w:r w:rsidR="003E1999">
        <w:rPr>
          <w:bCs/>
        </w:rPr>
        <w:t xml:space="preserve">apsiriboja institucijų </w:t>
      </w:r>
      <w:r w:rsidR="0047006C">
        <w:rPr>
          <w:bCs/>
        </w:rPr>
        <w:t xml:space="preserve">parengtų ir paskelbtų </w:t>
      </w:r>
      <w:r w:rsidR="003E1999">
        <w:rPr>
          <w:bCs/>
        </w:rPr>
        <w:t>teisinio reguliavimo stebėsen</w:t>
      </w:r>
      <w:r w:rsidR="0047006C">
        <w:rPr>
          <w:bCs/>
        </w:rPr>
        <w:t xml:space="preserve">os pažymų surinkimu </w:t>
      </w:r>
      <w:r w:rsidR="003E1999">
        <w:rPr>
          <w:bCs/>
        </w:rPr>
        <w:t xml:space="preserve">ir </w:t>
      </w:r>
      <w:r w:rsidR="00672E00">
        <w:rPr>
          <w:bCs/>
        </w:rPr>
        <w:t xml:space="preserve">pakankamai paviršutinišku </w:t>
      </w:r>
      <w:r w:rsidR="003E1999" w:rsidRPr="00C412A6">
        <w:rPr>
          <w:rFonts w:eastAsia="Calibri"/>
          <w:bCs/>
          <w:lang w:eastAsia="en-US"/>
        </w:rPr>
        <w:t>teisinio reguliavimo stebėsenos proceso</w:t>
      </w:r>
      <w:r w:rsidR="003E1999">
        <w:rPr>
          <w:rFonts w:eastAsia="Calibri"/>
          <w:bCs/>
          <w:lang w:eastAsia="en-US"/>
        </w:rPr>
        <w:t xml:space="preserve"> vertinimu</w:t>
      </w:r>
      <w:r w:rsidR="003E1999">
        <w:rPr>
          <w:bCs/>
        </w:rPr>
        <w:t>.</w:t>
      </w:r>
    </w:p>
    <w:p w14:paraId="2C0E2D17" w14:textId="77777777" w:rsidR="00451A8D" w:rsidRPr="00BC02E8" w:rsidRDefault="003E1999" w:rsidP="00BC02E8">
      <w:pPr>
        <w:ind w:firstLine="720"/>
      </w:pPr>
      <w:r>
        <w:rPr>
          <w:bCs/>
        </w:rPr>
        <w:t>Įvertinant teisinio reguliavimo stebėsenos trūkumus bei atsižvelgiant tiek</w:t>
      </w:r>
      <w:r w:rsidR="00451A8D">
        <w:rPr>
          <w:bCs/>
        </w:rPr>
        <w:t xml:space="preserve"> į Ek</w:t>
      </w:r>
      <w:r w:rsidRPr="00936D7F">
        <w:rPr>
          <w:rFonts w:eastAsia="Calibri"/>
          <w:bCs/>
          <w:lang w:eastAsia="en-US"/>
        </w:rPr>
        <w:t>onominio bendradarbiavimo ir plėtros organizacijos 2015 m. ataskaitoje dėl reguliavimo politikos Lietuvoje</w:t>
      </w:r>
      <w:r>
        <w:rPr>
          <w:rFonts w:eastAsia="Calibri"/>
          <w:bCs/>
          <w:lang w:eastAsia="en-US"/>
        </w:rPr>
        <w:t xml:space="preserve"> tiek į Valstybės kontrolė</w:t>
      </w:r>
      <w:r w:rsidR="00672E00">
        <w:rPr>
          <w:rFonts w:eastAsia="Calibri"/>
          <w:bCs/>
          <w:lang w:eastAsia="en-US"/>
        </w:rPr>
        <w:t>s</w:t>
      </w:r>
      <w:r>
        <w:rPr>
          <w:rFonts w:eastAsia="Calibri"/>
          <w:bCs/>
          <w:lang w:eastAsia="en-US"/>
        </w:rPr>
        <w:t xml:space="preserve"> </w:t>
      </w:r>
      <w:r w:rsidRPr="00F70D29">
        <w:rPr>
          <w:rFonts w:eastAsia="Calibri"/>
          <w:bCs/>
          <w:lang w:eastAsia="en-US"/>
        </w:rPr>
        <w:t>2018 m. valstybinio audito ataskaitoje „Teisėkūros procesas“ pateik</w:t>
      </w:r>
      <w:r>
        <w:rPr>
          <w:rFonts w:eastAsia="Calibri"/>
          <w:bCs/>
          <w:lang w:eastAsia="en-US"/>
        </w:rPr>
        <w:t xml:space="preserve">tas </w:t>
      </w:r>
      <w:r w:rsidRPr="00F70D29">
        <w:rPr>
          <w:rFonts w:eastAsia="Calibri"/>
          <w:bCs/>
          <w:lang w:eastAsia="en-US"/>
        </w:rPr>
        <w:t>rekomendacija</w:t>
      </w:r>
      <w:r>
        <w:rPr>
          <w:rFonts w:eastAsia="Calibri"/>
          <w:bCs/>
          <w:lang w:eastAsia="en-US"/>
        </w:rPr>
        <w:t xml:space="preserve">s pereiti prie sisteminių </w:t>
      </w:r>
      <w:r w:rsidR="00EF774C">
        <w:rPr>
          <w:rFonts w:eastAsia="Calibri"/>
          <w:bCs/>
          <w:lang w:eastAsia="en-US"/>
        </w:rPr>
        <w:t xml:space="preserve">ir kokybiškų galiojančio teisinio reguliavimo vertinimų, </w:t>
      </w:r>
      <w:r w:rsidR="00EF774C" w:rsidRPr="00451A8D">
        <w:rPr>
          <w:rFonts w:eastAsia="Calibri"/>
          <w:bCs/>
          <w:u w:val="single"/>
          <w:lang w:eastAsia="en-US"/>
        </w:rPr>
        <w:t xml:space="preserve">buvo </w:t>
      </w:r>
      <w:bookmarkStart w:id="0" w:name="_GoBack"/>
      <w:bookmarkEnd w:id="0"/>
      <w:r w:rsidR="00EF774C" w:rsidRPr="00451A8D">
        <w:rPr>
          <w:rFonts w:eastAsia="Calibri"/>
          <w:bCs/>
          <w:u w:val="single"/>
          <w:lang w:eastAsia="en-US"/>
        </w:rPr>
        <w:t xml:space="preserve">priimti atitinkami Teisėkūros pagrindų įstatymo pakeitimai, </w:t>
      </w:r>
      <w:r w:rsidR="00EF774C" w:rsidRPr="00451A8D">
        <w:rPr>
          <w:u w:val="single"/>
        </w:rPr>
        <w:t>numatantys</w:t>
      </w:r>
      <w:r w:rsidR="00EF774C" w:rsidRPr="00451A8D">
        <w:rPr>
          <w:rFonts w:eastAsia="Calibri"/>
          <w:bCs/>
          <w:u w:val="single"/>
          <w:lang w:eastAsia="en-US"/>
        </w:rPr>
        <w:t xml:space="preserve">  </w:t>
      </w:r>
      <w:r w:rsidR="00EF774C" w:rsidRPr="00451A8D">
        <w:rPr>
          <w:u w:val="single"/>
        </w:rPr>
        <w:t xml:space="preserve">šiuo metu įtvirtintą teisinio reguliavimo stebėsenos institutą pakeisti galiojančio teisinio reguliavimo poveikio </w:t>
      </w:r>
      <w:proofErr w:type="spellStart"/>
      <w:r w:rsidR="00EF774C" w:rsidRPr="00451A8D">
        <w:rPr>
          <w:i/>
          <w:iCs/>
          <w:u w:val="single"/>
        </w:rPr>
        <w:t>ex</w:t>
      </w:r>
      <w:proofErr w:type="spellEnd"/>
      <w:r w:rsidR="00EF774C" w:rsidRPr="00451A8D">
        <w:rPr>
          <w:i/>
          <w:iCs/>
          <w:u w:val="single"/>
        </w:rPr>
        <w:t xml:space="preserve">  </w:t>
      </w:r>
      <w:proofErr w:type="spellStart"/>
      <w:r w:rsidR="00EF774C" w:rsidRPr="00451A8D">
        <w:rPr>
          <w:i/>
          <w:iCs/>
          <w:u w:val="single"/>
        </w:rPr>
        <w:t>post</w:t>
      </w:r>
      <w:proofErr w:type="spellEnd"/>
      <w:r w:rsidR="00EF774C" w:rsidRPr="00451A8D">
        <w:rPr>
          <w:u w:val="single"/>
        </w:rPr>
        <w:t xml:space="preserve"> vertinimo institutu (toliau – </w:t>
      </w:r>
      <w:proofErr w:type="spellStart"/>
      <w:r w:rsidR="00EF774C" w:rsidRPr="00451A8D">
        <w:rPr>
          <w:i/>
          <w:iCs/>
          <w:u w:val="single"/>
        </w:rPr>
        <w:t>ex</w:t>
      </w:r>
      <w:proofErr w:type="spellEnd"/>
      <w:r w:rsidR="00EF774C" w:rsidRPr="00451A8D">
        <w:rPr>
          <w:i/>
          <w:iCs/>
          <w:u w:val="single"/>
        </w:rPr>
        <w:t xml:space="preserve"> </w:t>
      </w:r>
      <w:proofErr w:type="spellStart"/>
      <w:r w:rsidR="00EF774C" w:rsidRPr="00451A8D">
        <w:rPr>
          <w:i/>
          <w:iCs/>
          <w:u w:val="single"/>
        </w:rPr>
        <w:t>post</w:t>
      </w:r>
      <w:proofErr w:type="spellEnd"/>
      <w:r w:rsidR="00EF774C" w:rsidRPr="00451A8D">
        <w:rPr>
          <w:u w:val="single"/>
        </w:rPr>
        <w:t xml:space="preserve"> vertinimu)</w:t>
      </w:r>
      <w:r w:rsidR="00451A8D">
        <w:rPr>
          <w:u w:val="single"/>
        </w:rPr>
        <w:t xml:space="preserve">, kurie įsigalioja </w:t>
      </w:r>
      <w:r w:rsidR="00EF774C" w:rsidRPr="00CF78CC">
        <w:rPr>
          <w:rFonts w:eastAsia="Calibri"/>
          <w:bCs/>
          <w:u w:val="single"/>
          <w:lang w:eastAsia="en-US"/>
        </w:rPr>
        <w:t>nuo 2020 m. balandžio 1d.</w:t>
      </w:r>
      <w:r w:rsidR="00451A8D">
        <w:rPr>
          <w:rFonts w:eastAsia="Calibri"/>
          <w:bCs/>
          <w:u w:val="single"/>
          <w:lang w:val="en-GB" w:eastAsia="en-US"/>
        </w:rPr>
        <w:t xml:space="preserve"> </w:t>
      </w:r>
    </w:p>
    <w:p w14:paraId="36E494DC" w14:textId="1CFC161F" w:rsidR="002121E9" w:rsidRPr="00451A8D" w:rsidRDefault="00451A8D" w:rsidP="00B20BEB">
      <w:pPr>
        <w:ind w:firstLine="720"/>
        <w:rPr>
          <w:b/>
          <w:szCs w:val="24"/>
          <w:lang w:eastAsia="lt-LT" w:bidi="lt-LT"/>
        </w:rPr>
      </w:pPr>
      <w:r w:rsidRPr="00451A8D">
        <w:rPr>
          <w:bCs/>
          <w:szCs w:val="24"/>
        </w:rPr>
        <w:t>Teisingumo ministerija paskirt</w:t>
      </w:r>
      <w:r w:rsidR="00672E00">
        <w:rPr>
          <w:bCs/>
          <w:szCs w:val="24"/>
        </w:rPr>
        <w:t>a</w:t>
      </w:r>
      <w:r w:rsidRPr="00451A8D">
        <w:rPr>
          <w:bCs/>
          <w:szCs w:val="24"/>
        </w:rPr>
        <w:t xml:space="preserve"> </w:t>
      </w:r>
      <w:proofErr w:type="spellStart"/>
      <w:r w:rsidRPr="00451A8D">
        <w:rPr>
          <w:bCs/>
          <w:i/>
          <w:szCs w:val="24"/>
        </w:rPr>
        <w:t>ex</w:t>
      </w:r>
      <w:proofErr w:type="spellEnd"/>
      <w:r w:rsidRPr="00451A8D">
        <w:rPr>
          <w:bCs/>
          <w:i/>
          <w:szCs w:val="24"/>
        </w:rPr>
        <w:t xml:space="preserve"> </w:t>
      </w:r>
      <w:proofErr w:type="spellStart"/>
      <w:r w:rsidRPr="00451A8D">
        <w:rPr>
          <w:bCs/>
          <w:i/>
          <w:szCs w:val="24"/>
        </w:rPr>
        <w:t>post</w:t>
      </w:r>
      <w:proofErr w:type="spellEnd"/>
      <w:r w:rsidRPr="00451A8D">
        <w:rPr>
          <w:bCs/>
          <w:szCs w:val="24"/>
        </w:rPr>
        <w:t xml:space="preserve"> vertinimą koordinuojančia institucija, o </w:t>
      </w:r>
      <w:proofErr w:type="spellStart"/>
      <w:r w:rsidRPr="00451A8D">
        <w:rPr>
          <w:rFonts w:eastAsia="Calibri"/>
          <w:bCs/>
          <w:i/>
          <w:iCs/>
          <w:lang w:eastAsia="en-US"/>
        </w:rPr>
        <w:t>ex</w:t>
      </w:r>
      <w:proofErr w:type="spellEnd"/>
      <w:r w:rsidRPr="00451A8D">
        <w:rPr>
          <w:rFonts w:eastAsia="Calibri"/>
          <w:bCs/>
          <w:i/>
          <w:iCs/>
          <w:lang w:eastAsia="en-US"/>
        </w:rPr>
        <w:t xml:space="preserve"> </w:t>
      </w:r>
      <w:proofErr w:type="spellStart"/>
      <w:r w:rsidRPr="00451A8D">
        <w:rPr>
          <w:rFonts w:eastAsia="Calibri"/>
          <w:bCs/>
          <w:i/>
          <w:iCs/>
          <w:lang w:eastAsia="en-US"/>
        </w:rPr>
        <w:t>post</w:t>
      </w:r>
      <w:proofErr w:type="spellEnd"/>
      <w:r w:rsidRPr="00451A8D">
        <w:rPr>
          <w:rFonts w:eastAsia="Calibri"/>
          <w:bCs/>
          <w:lang w:eastAsia="en-US"/>
        </w:rPr>
        <w:t xml:space="preserve"> vertinimai </w:t>
      </w:r>
      <w:r w:rsidR="00EF774C" w:rsidRPr="00451A8D">
        <w:rPr>
          <w:rFonts w:eastAsia="Calibri"/>
          <w:bCs/>
          <w:lang w:eastAsia="en-US"/>
        </w:rPr>
        <w:t xml:space="preserve"> bus atliekamas </w:t>
      </w:r>
      <w:r w:rsidRPr="00451A8D">
        <w:rPr>
          <w:rFonts w:eastAsia="Calibri"/>
          <w:bCs/>
          <w:lang w:eastAsia="en-US"/>
        </w:rPr>
        <w:t xml:space="preserve">vadovaujantis </w:t>
      </w:r>
      <w:proofErr w:type="spellStart"/>
      <w:r w:rsidRPr="00451A8D">
        <w:rPr>
          <w:rFonts w:eastAsia="Calibri"/>
          <w:bCs/>
          <w:i/>
          <w:iCs/>
          <w:lang w:eastAsia="en-US"/>
        </w:rPr>
        <w:t>ex</w:t>
      </w:r>
      <w:proofErr w:type="spellEnd"/>
      <w:r w:rsidRPr="00451A8D">
        <w:rPr>
          <w:rFonts w:eastAsia="Calibri"/>
          <w:bCs/>
          <w:i/>
          <w:iCs/>
          <w:lang w:eastAsia="en-US"/>
        </w:rPr>
        <w:t xml:space="preserve"> </w:t>
      </w:r>
      <w:proofErr w:type="spellStart"/>
      <w:r w:rsidRPr="00451A8D">
        <w:rPr>
          <w:rFonts w:eastAsia="Calibri"/>
          <w:bCs/>
          <w:i/>
          <w:iCs/>
          <w:lang w:eastAsia="en-US"/>
        </w:rPr>
        <w:t>post</w:t>
      </w:r>
      <w:proofErr w:type="spellEnd"/>
      <w:r w:rsidRPr="00451A8D">
        <w:rPr>
          <w:rFonts w:eastAsia="Calibri"/>
          <w:bCs/>
          <w:lang w:eastAsia="en-US"/>
        </w:rPr>
        <w:t xml:space="preserve"> vertinimo metodika, patvirtinta </w:t>
      </w:r>
      <w:r w:rsidR="00EF774C" w:rsidRPr="00451A8D">
        <w:rPr>
          <w:rFonts w:eastAsia="Calibri"/>
          <w:bCs/>
          <w:lang w:eastAsia="en-US"/>
        </w:rPr>
        <w:t xml:space="preserve">Vyriausybės </w:t>
      </w:r>
      <w:r w:rsidRPr="00451A8D">
        <w:rPr>
          <w:rFonts w:eastAsia="Calibri"/>
          <w:bCs/>
          <w:lang w:eastAsia="en-US"/>
        </w:rPr>
        <w:t>nutarimu.</w:t>
      </w:r>
    </w:p>
    <w:p w14:paraId="7A2F9D07" w14:textId="77777777" w:rsidR="00EF774C" w:rsidRPr="00451A8D" w:rsidRDefault="00EF774C" w:rsidP="00661F0B">
      <w:pPr>
        <w:rPr>
          <w:b/>
          <w:szCs w:val="24"/>
          <w:lang w:eastAsia="lt-LT" w:bidi="lt-LT"/>
        </w:rPr>
      </w:pPr>
    </w:p>
    <w:p w14:paraId="0FA7FEF8" w14:textId="77777777" w:rsidR="002F17D7" w:rsidRPr="00B20BEB" w:rsidRDefault="002F17D7" w:rsidP="00661F0B">
      <w:pPr>
        <w:rPr>
          <w:bCs/>
        </w:rPr>
      </w:pPr>
      <w:r w:rsidRPr="00E26301">
        <w:rPr>
          <w:b/>
          <w:szCs w:val="24"/>
          <w:lang w:eastAsia="lt-LT" w:bidi="lt-LT"/>
        </w:rPr>
        <w:t>Dalykinio vertinimo išvada</w:t>
      </w:r>
      <w:r>
        <w:rPr>
          <w:b/>
          <w:szCs w:val="24"/>
          <w:lang w:eastAsia="lt-LT" w:bidi="lt-LT"/>
        </w:rPr>
        <w:t>:</w:t>
      </w:r>
      <w:r w:rsidR="00B20BEB">
        <w:rPr>
          <w:b/>
          <w:szCs w:val="24"/>
          <w:lang w:eastAsia="lt-LT" w:bidi="lt-LT"/>
        </w:rPr>
        <w:t xml:space="preserve"> </w:t>
      </w:r>
      <w:r w:rsidR="00B20BEB" w:rsidRPr="00B20BEB">
        <w:rPr>
          <w:bCs/>
          <w:szCs w:val="24"/>
          <w:lang w:eastAsia="lt-LT" w:bidi="lt-LT"/>
        </w:rPr>
        <w:t>Siūlome svarstyti Vyriausybės pasitarime.</w:t>
      </w:r>
    </w:p>
    <w:p w14:paraId="3AED3973" w14:textId="77777777" w:rsidR="002D2622" w:rsidRDefault="002D2622" w:rsidP="00661F0B"/>
    <w:p w14:paraId="39C1C3F3" w14:textId="77777777" w:rsidR="002D2622" w:rsidRDefault="002D2622" w:rsidP="00661F0B"/>
    <w:p w14:paraId="59870C94" w14:textId="77777777" w:rsidR="002D2622" w:rsidRDefault="002D2622" w:rsidP="00661F0B"/>
    <w:p w14:paraId="2CFA78A9" w14:textId="57732131" w:rsidR="007A4DCB" w:rsidRDefault="0097406C" w:rsidP="00661F0B">
      <w:r>
        <w:t>Patarėja                                                                                                                 Asta Petkevičienė</w:t>
      </w:r>
    </w:p>
    <w:p w14:paraId="1FF3BEA4" w14:textId="77777777" w:rsidR="007A4DCB" w:rsidRDefault="007A4DCB" w:rsidP="00661F0B"/>
    <w:p w14:paraId="64E56BD9" w14:textId="77777777" w:rsidR="007A4DCB" w:rsidRDefault="007A4DCB" w:rsidP="00661F0B"/>
    <w:p w14:paraId="50674E9B" w14:textId="77777777" w:rsidR="007A4DCB" w:rsidRDefault="007A4DCB" w:rsidP="001934A6">
      <w:pPr>
        <w:spacing w:line="360" w:lineRule="auto"/>
      </w:pPr>
    </w:p>
    <w:p w14:paraId="263F63EE" w14:textId="77777777" w:rsidR="002D2622" w:rsidRDefault="002D2622" w:rsidP="001934A6">
      <w:pPr>
        <w:spacing w:line="360" w:lineRule="auto"/>
      </w:pPr>
    </w:p>
    <w:p w14:paraId="68E97035" w14:textId="77777777" w:rsidR="004A3FA9" w:rsidRDefault="004A3FA9" w:rsidP="001934A6">
      <w:pPr>
        <w:spacing w:line="360" w:lineRule="auto"/>
      </w:pPr>
    </w:p>
    <w:p w14:paraId="5E829DC8" w14:textId="77777777" w:rsidR="00121647" w:rsidRDefault="00121647" w:rsidP="00121647">
      <w:pPr>
        <w:pStyle w:val="Preformatted"/>
        <w:spacing w:line="360" w:lineRule="auto"/>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1F696E19" w14:textId="77777777" w:rsidTr="000D65D9">
        <w:tc>
          <w:tcPr>
            <w:tcW w:w="9854" w:type="dxa"/>
          </w:tcPr>
          <w:p w14:paraId="53EBFD83" w14:textId="77777777" w:rsidR="00121647" w:rsidRPr="004823B1" w:rsidRDefault="00CF78CC"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Asta Petkevičienė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8 706 63 944</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asta.petkeviciene@lrv.lt</w:t>
                </w:r>
              </w:sdtContent>
            </w:sdt>
          </w:p>
        </w:tc>
      </w:tr>
    </w:tbl>
    <w:p w14:paraId="2AB170F4"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2"/>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9B741" w14:textId="77777777" w:rsidR="003678D7" w:rsidRDefault="003678D7">
      <w:r>
        <w:separator/>
      </w:r>
    </w:p>
  </w:endnote>
  <w:endnote w:type="continuationSeparator" w:id="0">
    <w:p w14:paraId="73009480" w14:textId="77777777" w:rsidR="003678D7" w:rsidRDefault="003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7B6C3" w14:textId="77777777" w:rsidR="003678D7" w:rsidRDefault="003678D7">
      <w:r>
        <w:separator/>
      </w:r>
    </w:p>
  </w:footnote>
  <w:footnote w:type="continuationSeparator" w:id="0">
    <w:p w14:paraId="5EB3EE3B" w14:textId="77777777" w:rsidR="003678D7" w:rsidRDefault="0036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8BE7"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619B6"/>
    <w:rsid w:val="00061F0C"/>
    <w:rsid w:val="000836B0"/>
    <w:rsid w:val="000C4D8D"/>
    <w:rsid w:val="000C57D6"/>
    <w:rsid w:val="00121647"/>
    <w:rsid w:val="00132F4E"/>
    <w:rsid w:val="00135334"/>
    <w:rsid w:val="001706E9"/>
    <w:rsid w:val="001934A6"/>
    <w:rsid w:val="001E605C"/>
    <w:rsid w:val="0021050E"/>
    <w:rsid w:val="002121E9"/>
    <w:rsid w:val="00220951"/>
    <w:rsid w:val="00237858"/>
    <w:rsid w:val="00254E91"/>
    <w:rsid w:val="00280094"/>
    <w:rsid w:val="002956CD"/>
    <w:rsid w:val="002C039B"/>
    <w:rsid w:val="002C7662"/>
    <w:rsid w:val="002D2622"/>
    <w:rsid w:val="002F17D7"/>
    <w:rsid w:val="00317B6A"/>
    <w:rsid w:val="00331745"/>
    <w:rsid w:val="00343C06"/>
    <w:rsid w:val="00346938"/>
    <w:rsid w:val="00350AA1"/>
    <w:rsid w:val="0036567D"/>
    <w:rsid w:val="003678D7"/>
    <w:rsid w:val="00384CE6"/>
    <w:rsid w:val="00390926"/>
    <w:rsid w:val="003A7398"/>
    <w:rsid w:val="003C78A9"/>
    <w:rsid w:val="003E1999"/>
    <w:rsid w:val="00434303"/>
    <w:rsid w:val="00440456"/>
    <w:rsid w:val="00451A8D"/>
    <w:rsid w:val="0047006C"/>
    <w:rsid w:val="004A3FA9"/>
    <w:rsid w:val="004D03A6"/>
    <w:rsid w:val="00535D8F"/>
    <w:rsid w:val="00553DF3"/>
    <w:rsid w:val="00571221"/>
    <w:rsid w:val="00587D6F"/>
    <w:rsid w:val="00595E42"/>
    <w:rsid w:val="005A7846"/>
    <w:rsid w:val="00601661"/>
    <w:rsid w:val="00620713"/>
    <w:rsid w:val="006444BC"/>
    <w:rsid w:val="00661F0B"/>
    <w:rsid w:val="00672E00"/>
    <w:rsid w:val="00687627"/>
    <w:rsid w:val="006C2A33"/>
    <w:rsid w:val="006F1998"/>
    <w:rsid w:val="00726FAF"/>
    <w:rsid w:val="007335AB"/>
    <w:rsid w:val="00742138"/>
    <w:rsid w:val="00760720"/>
    <w:rsid w:val="00787658"/>
    <w:rsid w:val="007A4DCB"/>
    <w:rsid w:val="007A5095"/>
    <w:rsid w:val="007E13AD"/>
    <w:rsid w:val="007E3129"/>
    <w:rsid w:val="007E4369"/>
    <w:rsid w:val="007F1E42"/>
    <w:rsid w:val="008241FE"/>
    <w:rsid w:val="00840BA0"/>
    <w:rsid w:val="00864C04"/>
    <w:rsid w:val="0086703B"/>
    <w:rsid w:val="00870EC1"/>
    <w:rsid w:val="008B26B6"/>
    <w:rsid w:val="008C0400"/>
    <w:rsid w:val="008F0A1E"/>
    <w:rsid w:val="008F31A4"/>
    <w:rsid w:val="00902FE9"/>
    <w:rsid w:val="0090457F"/>
    <w:rsid w:val="00910D20"/>
    <w:rsid w:val="00911A51"/>
    <w:rsid w:val="0092200E"/>
    <w:rsid w:val="009705D6"/>
    <w:rsid w:val="0097406C"/>
    <w:rsid w:val="0099450C"/>
    <w:rsid w:val="00997F9F"/>
    <w:rsid w:val="009B6F00"/>
    <w:rsid w:val="009C4CB2"/>
    <w:rsid w:val="00A0515D"/>
    <w:rsid w:val="00A21578"/>
    <w:rsid w:val="00A240B4"/>
    <w:rsid w:val="00A37B79"/>
    <w:rsid w:val="00A40A4B"/>
    <w:rsid w:val="00A43E48"/>
    <w:rsid w:val="00A44C77"/>
    <w:rsid w:val="00A44E3F"/>
    <w:rsid w:val="00A45939"/>
    <w:rsid w:val="00A46A37"/>
    <w:rsid w:val="00A7075B"/>
    <w:rsid w:val="00B00BED"/>
    <w:rsid w:val="00B20BEB"/>
    <w:rsid w:val="00B22CBE"/>
    <w:rsid w:val="00B3095D"/>
    <w:rsid w:val="00B317F3"/>
    <w:rsid w:val="00B456DD"/>
    <w:rsid w:val="00B858E9"/>
    <w:rsid w:val="00B86DE8"/>
    <w:rsid w:val="00B91219"/>
    <w:rsid w:val="00BA519F"/>
    <w:rsid w:val="00BC02E8"/>
    <w:rsid w:val="00BD12BB"/>
    <w:rsid w:val="00C10372"/>
    <w:rsid w:val="00C10F2E"/>
    <w:rsid w:val="00C17EB7"/>
    <w:rsid w:val="00C32926"/>
    <w:rsid w:val="00C66B96"/>
    <w:rsid w:val="00CF001B"/>
    <w:rsid w:val="00CF78CC"/>
    <w:rsid w:val="00D01081"/>
    <w:rsid w:val="00D2671F"/>
    <w:rsid w:val="00D35A62"/>
    <w:rsid w:val="00D36DA5"/>
    <w:rsid w:val="00D530B0"/>
    <w:rsid w:val="00D54C86"/>
    <w:rsid w:val="00D55F73"/>
    <w:rsid w:val="00D6683E"/>
    <w:rsid w:val="00D72E97"/>
    <w:rsid w:val="00D8530C"/>
    <w:rsid w:val="00DB0D08"/>
    <w:rsid w:val="00DC64BA"/>
    <w:rsid w:val="00DE7ECB"/>
    <w:rsid w:val="00DF1152"/>
    <w:rsid w:val="00EA08A9"/>
    <w:rsid w:val="00EB386C"/>
    <w:rsid w:val="00EF774C"/>
    <w:rsid w:val="00F10CAD"/>
    <w:rsid w:val="00F33182"/>
    <w:rsid w:val="00F54013"/>
    <w:rsid w:val="00F6630B"/>
    <w:rsid w:val="00F7301E"/>
    <w:rsid w:val="00F76A69"/>
    <w:rsid w:val="00F94D25"/>
    <w:rsid w:val="00F97E85"/>
    <w:rsid w:val="00FB2E40"/>
    <w:rsid w:val="00FE6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764E"/>
  <w15:docId w15:val="{EFA5B529-CF25-441E-91C6-036E5539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Default">
    <w:name w:val="Default"/>
    <w:rsid w:val="0092200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1.xml"
                 Type="http://schemas.openxmlformats.org/officeDocument/2006/relationships/chart"/>
   <Relationship Id="rId11" Target="charts/chart2.xml"
                 Type="http://schemas.openxmlformats.org/officeDocument/2006/relationships/chart"/>
   <Relationship Id="rId12" Target="header1.xml"
                 Type="http://schemas.openxmlformats.org/officeDocument/2006/relationships/head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file://///fileserv2012/privatus/SKG/Geresnio%20reguliavimo%20grupe/Teisekura/Seimas%202020%20m.%20pavasario%20sesija/STEBESENA_2020%20m%20Seimo%20pavasario%20sesija.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embeddings/Microsoft_Excel_Worksheet.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Grafikai!$C$47</c:f>
              <c:strCache>
                <c:ptCount val="1"/>
                <c:pt idx="0">
                  <c:v>Teisės aktų, kurių stebėsena atlikta, skaičius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Grafikai!$B$48:$B$51</c:f>
              <c:strCache>
                <c:ptCount val="4"/>
                <c:pt idx="0">
                  <c:v>2016 m. </c:v>
                </c:pt>
                <c:pt idx="1">
                  <c:v>2017 m. </c:v>
                </c:pt>
                <c:pt idx="2">
                  <c:v>2018 m. </c:v>
                </c:pt>
                <c:pt idx="3">
                  <c:v>2019 m. </c:v>
                </c:pt>
              </c:strCache>
            </c:strRef>
          </c:cat>
          <c:val>
            <c:numRef>
              <c:f>Grafikai!$C$48:$C$51</c:f>
              <c:numCache>
                <c:formatCode>General</c:formatCode>
                <c:ptCount val="4"/>
                <c:pt idx="0">
                  <c:v>21</c:v>
                </c:pt>
                <c:pt idx="1">
                  <c:v>20</c:v>
                </c:pt>
                <c:pt idx="2">
                  <c:v>11</c:v>
                </c:pt>
                <c:pt idx="3">
                  <c:v>5</c:v>
                </c:pt>
              </c:numCache>
            </c:numRef>
          </c:val>
          <c:extLst>
            <c:ext xmlns:c16="http://schemas.microsoft.com/office/drawing/2014/chart" uri="{C3380CC4-5D6E-409C-BE32-E72D297353CC}">
              <c16:uniqueId val="{00000000-1F79-4CBA-91B5-8F229C3850B4}"/>
            </c:ext>
          </c:extLst>
        </c:ser>
        <c:ser>
          <c:idx val="1"/>
          <c:order val="1"/>
          <c:tx>
            <c:strRef>
              <c:f>Grafikai!$D$47</c:f>
              <c:strCache>
                <c:ptCount val="1"/>
                <c:pt idx="0">
                  <c:v>Stebėseną atlikusių institucijų skaičius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Grafikai!$B$48:$B$51</c:f>
              <c:strCache>
                <c:ptCount val="4"/>
                <c:pt idx="0">
                  <c:v>2016 m. </c:v>
                </c:pt>
                <c:pt idx="1">
                  <c:v>2017 m. </c:v>
                </c:pt>
                <c:pt idx="2">
                  <c:v>2018 m. </c:v>
                </c:pt>
                <c:pt idx="3">
                  <c:v>2019 m. </c:v>
                </c:pt>
              </c:strCache>
            </c:strRef>
          </c:cat>
          <c:val>
            <c:numRef>
              <c:f>Grafikai!$D$48:$D$51</c:f>
              <c:numCache>
                <c:formatCode>General</c:formatCode>
                <c:ptCount val="4"/>
                <c:pt idx="0">
                  <c:v>9</c:v>
                </c:pt>
                <c:pt idx="1">
                  <c:v>9</c:v>
                </c:pt>
                <c:pt idx="2">
                  <c:v>6</c:v>
                </c:pt>
                <c:pt idx="3">
                  <c:v>3</c:v>
                </c:pt>
              </c:numCache>
            </c:numRef>
          </c:val>
          <c:extLst>
            <c:ext xmlns:c16="http://schemas.microsoft.com/office/drawing/2014/chart" uri="{C3380CC4-5D6E-409C-BE32-E72D297353CC}">
              <c16:uniqueId val="{00000001-1F79-4CBA-91B5-8F229C3850B4}"/>
            </c:ext>
          </c:extLst>
        </c:ser>
        <c:dLbls>
          <c:showLegendKey val="0"/>
          <c:showVal val="0"/>
          <c:showCatName val="0"/>
          <c:showSerName val="0"/>
          <c:showPercent val="0"/>
          <c:showBubbleSize val="0"/>
        </c:dLbls>
        <c:gapWidth val="219"/>
        <c:overlap val="-27"/>
        <c:axId val="1195162352"/>
        <c:axId val="1191416320"/>
      </c:barChart>
      <c:catAx>
        <c:axId val="119516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91416320"/>
        <c:crosses val="autoZero"/>
        <c:auto val="1"/>
        <c:lblAlgn val="ctr"/>
        <c:lblOffset val="100"/>
        <c:noMultiLvlLbl val="0"/>
      </c:catAx>
      <c:valAx>
        <c:axId val="119141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95162352"/>
        <c:crosses val="autoZero"/>
        <c:crossBetween val="between"/>
      </c:valAx>
      <c:spPr>
        <a:noFill/>
        <a:ln>
          <a:noFill/>
        </a:ln>
        <a:effectLst/>
      </c:spPr>
    </c:plotArea>
    <c:legend>
      <c:legendPos val="b"/>
      <c:layout>
        <c:manualLayout>
          <c:xMode val="edge"/>
          <c:yMode val="edge"/>
          <c:x val="4.8733892889722252E-3"/>
          <c:y val="0.76332821202227785"/>
          <c:w val="0.97812446997235836"/>
          <c:h val="0.200086422124063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t>Per metus priimtų įstatymų ir Vyriausybės nutarimų ir teisinio reguliavimo stebėsenos metu stebimų teisės aktų santykis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Teisinio reguliavimo stebėsenos metu stebėti teisės aktai</c:v>
                </c:pt>
              </c:strCache>
            </c:strRef>
          </c:tx>
          <c:spPr>
            <a:solidFill>
              <a:schemeClr val="accent1"/>
            </a:solidFill>
            <a:ln>
              <a:noFill/>
            </a:ln>
            <a:effectLst/>
            <a:sp3d/>
          </c:spPr>
          <c:invertIfNegative val="0"/>
          <c:dLbls>
            <c:dLbl>
              <c:idx val="0"/>
              <c:layout>
                <c:manualLayout>
                  <c:x val="1.3842731541965326E-3"/>
                  <c:y val="-1.8637040232984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7D-4F4A-8504-70911E6D7ED4}"/>
                </c:ext>
              </c:extLst>
            </c:dLbl>
            <c:dLbl>
              <c:idx val="1"/>
              <c:layout>
                <c:manualLayout>
                  <c:x val="4.7181949789907888E-3"/>
                  <c:y val="-2.4116492287779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7D-4F4A-8504-70911E6D7ED4}"/>
                </c:ext>
              </c:extLst>
            </c:dLbl>
            <c:dLbl>
              <c:idx val="2"/>
              <c:layout>
                <c:manualLayout>
                  <c:x val="2.3590974894953614E-3"/>
                  <c:y val="-1.86370402329846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7D-4F4A-8504-70911E6D7ED4}"/>
                </c:ext>
              </c:extLst>
            </c:dLbl>
            <c:dLbl>
              <c:idx val="3"/>
              <c:layout>
                <c:manualLayout>
                  <c:x val="3.8409660675822279E-3"/>
                  <c:y val="-3.1785999352820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7D-4F4A-8504-70911E6D7ED4}"/>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2016 m. </c:v>
                </c:pt>
                <c:pt idx="1">
                  <c:v>2017 m.</c:v>
                </c:pt>
                <c:pt idx="2">
                  <c:v>2018 m.</c:v>
                </c:pt>
                <c:pt idx="3">
                  <c:v>2019 m. </c:v>
                </c:pt>
              </c:strCache>
            </c:strRef>
          </c:cat>
          <c:val>
            <c:numRef>
              <c:f>Lapas1!$B$2:$B$5</c:f>
              <c:numCache>
                <c:formatCode>General</c:formatCode>
                <c:ptCount val="4"/>
                <c:pt idx="0">
                  <c:v>21</c:v>
                </c:pt>
                <c:pt idx="1">
                  <c:v>20</c:v>
                </c:pt>
                <c:pt idx="2">
                  <c:v>11</c:v>
                </c:pt>
                <c:pt idx="3">
                  <c:v>5</c:v>
                </c:pt>
              </c:numCache>
            </c:numRef>
          </c:val>
          <c:extLst>
            <c:ext xmlns:c16="http://schemas.microsoft.com/office/drawing/2014/chart" uri="{C3380CC4-5D6E-409C-BE32-E72D297353CC}">
              <c16:uniqueId val="{00000004-4F7D-4F4A-8504-70911E6D7ED4}"/>
            </c:ext>
          </c:extLst>
        </c:ser>
        <c:ser>
          <c:idx val="1"/>
          <c:order val="1"/>
          <c:tx>
            <c:strRef>
              <c:f>Lapas1!$C$1</c:f>
              <c:strCache>
                <c:ptCount val="1"/>
                <c:pt idx="0">
                  <c:v>Teisės aktų informacinės sistemos duomenimis, priimti įstatymai ir Vyriausybės nutarimai</c:v>
                </c:pt>
              </c:strCache>
            </c:strRef>
          </c:tx>
          <c:spPr>
            <a:solidFill>
              <a:schemeClr val="accent2"/>
            </a:solidFill>
            <a:ln>
              <a:noFill/>
            </a:ln>
            <a:effectLst/>
            <a:sp3d/>
          </c:spPr>
          <c:invertIfNegative val="0"/>
          <c:dLbls>
            <c:dLbl>
              <c:idx val="0"/>
              <c:layout>
                <c:manualLayout>
                  <c:x val="1.3821657901618048E-3"/>
                  <c:y val="0.186066228022867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F7D-4F4A-8504-70911E6D7ED4}"/>
                </c:ext>
              </c:extLst>
            </c:dLbl>
            <c:dLbl>
              <c:idx val="1"/>
              <c:layout>
                <c:manualLayout>
                  <c:x val="8.7129691748166153E-4"/>
                  <c:y val="0.21889267608672194"/>
                </c:manualLayout>
              </c:layout>
              <c:showLegendKey val="0"/>
              <c:showVal val="1"/>
              <c:showCatName val="0"/>
              <c:showSerName val="0"/>
              <c:showPercent val="0"/>
              <c:showBubbleSize val="0"/>
              <c:extLst>
                <c:ext xmlns:c15="http://schemas.microsoft.com/office/drawing/2012/chart" uri="{CE6537A1-D6FC-4f65-9D91-7224C49458BB}">
                  <c15:layout>
                    <c:manualLayout>
                      <c:w val="6.8092934571519367E-2"/>
                      <c:h val="9.8548160931938286E-2"/>
                    </c:manualLayout>
                  </c15:layout>
                </c:ext>
                <c:ext xmlns:c16="http://schemas.microsoft.com/office/drawing/2014/chart" uri="{C3380CC4-5D6E-409C-BE32-E72D297353CC}">
                  <c16:uniqueId val="{00000006-4F7D-4F4A-8504-70911E6D7ED4}"/>
                </c:ext>
              </c:extLst>
            </c:dLbl>
            <c:dLbl>
              <c:idx val="2"/>
              <c:layout>
                <c:manualLayout>
                  <c:x val="1.8450184501845018E-3"/>
                  <c:y val="0.168562183151763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F7D-4F4A-8504-70911E6D7ED4}"/>
                </c:ext>
              </c:extLst>
            </c:dLbl>
            <c:dLbl>
              <c:idx val="3"/>
              <c:layout>
                <c:manualLayout>
                  <c:x val="3.2293633959961645E-3"/>
                  <c:y val="0.181643835616438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F7D-4F4A-8504-70911E6D7ED4}"/>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2016 m. </c:v>
                </c:pt>
                <c:pt idx="1">
                  <c:v>2017 m.</c:v>
                </c:pt>
                <c:pt idx="2">
                  <c:v>2018 m.</c:v>
                </c:pt>
                <c:pt idx="3">
                  <c:v>2019 m. </c:v>
                </c:pt>
              </c:strCache>
            </c:strRef>
          </c:cat>
          <c:val>
            <c:numRef>
              <c:f>Lapas1!$C$2:$C$5</c:f>
              <c:numCache>
                <c:formatCode>General</c:formatCode>
                <c:ptCount val="4"/>
                <c:pt idx="0">
                  <c:v>2463</c:v>
                </c:pt>
                <c:pt idx="1">
                  <c:v>2782</c:v>
                </c:pt>
                <c:pt idx="2">
                  <c:v>2301</c:v>
                </c:pt>
                <c:pt idx="3">
                  <c:v>2797</c:v>
                </c:pt>
              </c:numCache>
            </c:numRef>
          </c:val>
          <c:extLst>
            <c:ext xmlns:c16="http://schemas.microsoft.com/office/drawing/2014/chart" uri="{C3380CC4-5D6E-409C-BE32-E72D297353CC}">
              <c16:uniqueId val="{00000009-4F7D-4F4A-8504-70911E6D7ED4}"/>
            </c:ext>
          </c:extLst>
        </c:ser>
        <c:dLbls>
          <c:showLegendKey val="0"/>
          <c:showVal val="0"/>
          <c:showCatName val="0"/>
          <c:showSerName val="0"/>
          <c:showPercent val="0"/>
          <c:showBubbleSize val="0"/>
        </c:dLbls>
        <c:gapWidth val="150"/>
        <c:shape val="box"/>
        <c:axId val="262274016"/>
        <c:axId val="288851520"/>
        <c:axId val="0"/>
      </c:bar3DChart>
      <c:catAx>
        <c:axId val="262274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8851520"/>
        <c:crosses val="autoZero"/>
        <c:auto val="1"/>
        <c:lblAlgn val="ctr"/>
        <c:lblOffset val="100"/>
        <c:noMultiLvlLbl val="0"/>
      </c:catAx>
      <c:valAx>
        <c:axId val="28885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6227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75262C"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75262C"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65455"/>
    <w:rsid w:val="002B0E91"/>
    <w:rsid w:val="002D2B10"/>
    <w:rsid w:val="00335FBF"/>
    <w:rsid w:val="003816BF"/>
    <w:rsid w:val="00383A07"/>
    <w:rsid w:val="00393187"/>
    <w:rsid w:val="003B5A75"/>
    <w:rsid w:val="003E362D"/>
    <w:rsid w:val="003F42DE"/>
    <w:rsid w:val="00420D08"/>
    <w:rsid w:val="004457B0"/>
    <w:rsid w:val="00466683"/>
    <w:rsid w:val="00537F2D"/>
    <w:rsid w:val="0054013E"/>
    <w:rsid w:val="00563210"/>
    <w:rsid w:val="005B3156"/>
    <w:rsid w:val="005D1504"/>
    <w:rsid w:val="005D52D0"/>
    <w:rsid w:val="005E2AAD"/>
    <w:rsid w:val="00684342"/>
    <w:rsid w:val="007078E6"/>
    <w:rsid w:val="007302D4"/>
    <w:rsid w:val="00733CF2"/>
    <w:rsid w:val="0075262C"/>
    <w:rsid w:val="007D573A"/>
    <w:rsid w:val="007F1EF1"/>
    <w:rsid w:val="00802E58"/>
    <w:rsid w:val="008910C4"/>
    <w:rsid w:val="008F2108"/>
    <w:rsid w:val="008F3E12"/>
    <w:rsid w:val="009A5ABA"/>
    <w:rsid w:val="00A1138D"/>
    <w:rsid w:val="00A261D4"/>
    <w:rsid w:val="00AC69B5"/>
    <w:rsid w:val="00B30BCF"/>
    <w:rsid w:val="00B65C6B"/>
    <w:rsid w:val="00B774FD"/>
    <w:rsid w:val="00B85986"/>
    <w:rsid w:val="00B905C7"/>
    <w:rsid w:val="00BC2B1A"/>
    <w:rsid w:val="00C35324"/>
    <w:rsid w:val="00C35A5C"/>
    <w:rsid w:val="00C64F30"/>
    <w:rsid w:val="00C7327A"/>
    <w:rsid w:val="00C84BBA"/>
    <w:rsid w:val="00CB1DB4"/>
    <w:rsid w:val="00CD174D"/>
    <w:rsid w:val="00CF132B"/>
    <w:rsid w:val="00CF1C8C"/>
    <w:rsid w:val="00D963D7"/>
    <w:rsid w:val="00DC0E28"/>
    <w:rsid w:val="00DD195E"/>
    <w:rsid w:val="00DE1B9E"/>
    <w:rsid w:val="00E31BAE"/>
    <w:rsid w:val="00E91C3F"/>
    <w:rsid w:val="00ED56BF"/>
    <w:rsid w:val="00EE3AB5"/>
    <w:rsid w:val="00F30D38"/>
    <w:rsid w:val="00F6217A"/>
    <w:rsid w:val="00F64368"/>
    <w:rsid w:val="00F715E3"/>
    <w:rsid w:val="00FB2E78"/>
    <w:rsid w:val="00FB521E"/>
    <w:rsid w:val="00FD2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9" ma:contentTypeDescription="Kurkite naują dokumentą." ma:contentTypeScope="" ma:versionID="ea39d48c8f185e97d0bfd5291bc76fe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acf6e070ca3dea120d029fe0719ca37d"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50EEE111-B871-49A3-B5A7-D668BCA0B844}">
  <ds:schemaRefs>
    <ds:schemaRef ds:uri="f118166f-8e16-425c-b03d-7e1f993805d3"/>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b34d8492-6b9e-4bf1-b00a-2b1a1b8ee439"/>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48F50A9-0586-43D5-A8E8-0D908BBC6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6CC4D-B9C8-4413-996A-0CD3ECF9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15</TotalTime>
  <Pages>2</Pages>
  <Words>3108</Words>
  <Characters>1772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2020-03-27T15:59:00Z</dcterms:created>
  <dc:creator>Evelina Grincevičiūtė</dc:creator>
  <cp:lastModifiedBy>Asta Petkevičienė</cp:lastModifiedBy>
  <dcterms:modified xsi:type="dcterms:W3CDTF">2020-03-27T16:14:00Z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