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6532" w14:textId="77777777" w:rsidR="00675A68" w:rsidRDefault="00281243" w:rsidP="00596919">
      <w:pPr>
        <w:spacing w:before="160"/>
        <w:ind w:left="-851"/>
        <w:jc w:val="center"/>
        <w:rPr>
          <w:b/>
          <w:caps/>
        </w:rPr>
      </w:pPr>
      <w:bookmarkStart w:id="0" w:name="_GoBack"/>
      <w:bookmarkEnd w:id="0"/>
      <w:r>
        <w:rPr>
          <w:noProof/>
          <w:lang w:eastAsia="lt-LT"/>
        </w:rPr>
        <w:drawing>
          <wp:anchor distT="0" distB="0" distL="114300" distR="114300" simplePos="0" relativeHeight="251658240" behindDoc="0" locked="0" layoutInCell="0" allowOverlap="1" wp14:anchorId="5A3B6572" wp14:editId="5A3B6573">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5A3B6533" w14:textId="77777777" w:rsidR="00D335F7" w:rsidRDefault="00D335F7" w:rsidP="00D335F7">
      <w:pPr>
        <w:ind w:left="-851"/>
        <w:jc w:val="center"/>
        <w:rPr>
          <w:b/>
          <w:caps/>
          <w:sz w:val="10"/>
        </w:rPr>
      </w:pPr>
    </w:p>
    <w:p w14:paraId="5A3B6534" w14:textId="77777777" w:rsidR="00EA7DBD" w:rsidRDefault="00EA7DBD" w:rsidP="00E878B5">
      <w:pPr>
        <w:spacing w:before="40"/>
        <w:ind w:left="-851"/>
        <w:jc w:val="center"/>
        <w:rPr>
          <w:sz w:val="17"/>
        </w:rPr>
      </w:pPr>
      <w:r>
        <w:rPr>
          <w:sz w:val="17"/>
        </w:rPr>
        <w:t>Biudžetinė įstaiga, Gedimino pr. 38, LT-01104 Vilnius, tel.</w:t>
      </w:r>
      <w:r w:rsidR="00125034">
        <w:rPr>
          <w:sz w:val="17"/>
        </w:rPr>
        <w:t>:</w:t>
      </w:r>
      <w:r>
        <w:rPr>
          <w:sz w:val="17"/>
        </w:rPr>
        <w:t xml:space="preserve"> 8 706 64 845, 8 706 64 868,</w:t>
      </w:r>
      <w:r>
        <w:rPr>
          <w:sz w:val="17"/>
        </w:rPr>
        <w:br/>
        <w:t>faks. 8 706 64 762, el. p. kanc@</w:t>
      </w:r>
      <w:r w:rsidR="00D92607">
        <w:rPr>
          <w:sz w:val="17"/>
        </w:rPr>
        <w:t>eimin</w:t>
      </w:r>
      <w:r>
        <w:rPr>
          <w:sz w:val="17"/>
        </w:rPr>
        <w:t xml:space="preserve">.lt, </w:t>
      </w:r>
      <w:r w:rsidR="00F20BCA">
        <w:rPr>
          <w:sz w:val="17"/>
        </w:rPr>
        <w:t>http://</w:t>
      </w:r>
      <w:r w:rsidR="00D92607">
        <w:rPr>
          <w:sz w:val="17"/>
        </w:rPr>
        <w:t>eimin</w:t>
      </w:r>
      <w:r>
        <w:rPr>
          <w:sz w:val="17"/>
        </w:rPr>
        <w:t>.</w:t>
      </w:r>
      <w:r w:rsidR="00F20BCA">
        <w:rPr>
          <w:sz w:val="17"/>
        </w:rPr>
        <w:t>lrv.</w:t>
      </w:r>
      <w:r>
        <w:rPr>
          <w:sz w:val="17"/>
        </w:rPr>
        <w:t>lt.</w:t>
      </w:r>
    </w:p>
    <w:p w14:paraId="5A3B6535"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5A3B6536" w14:textId="3E2A6F62" w:rsidR="00DC4460" w:rsidRPr="000C57D6" w:rsidRDefault="00281243" w:rsidP="006E0DF9">
      <w:pPr>
        <w:ind w:left="-851"/>
        <w:jc w:val="center"/>
        <w:rPr>
          <w:sz w:val="22"/>
          <w:szCs w:val="22"/>
        </w:rPr>
      </w:pPr>
      <w:r w:rsidRPr="000C57D6">
        <w:rPr>
          <w:noProof/>
          <w:sz w:val="22"/>
          <w:szCs w:val="22"/>
          <w:lang w:eastAsia="lt-LT"/>
        </w:rPr>
        <mc:AlternateContent>
          <mc:Choice Requires="wps">
            <w:drawing>
              <wp:anchor distT="0" distB="0" distL="114300" distR="114300" simplePos="0" relativeHeight="251657216" behindDoc="1" locked="0" layoutInCell="1" allowOverlap="1" wp14:anchorId="5A3B6574" wp14:editId="5A3B6575">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E26118"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hmGmjdgAAAAEAQAADwAAAGRy cy9kb3ducmV2LnhtbEyOwW6DMBBE75H6D9ZWyi0xqQRJKCaqWvXUU0kPHBe8AVS8RtgB8vdxTu1x NKM3LzstphcTja6zrGC3jUAQ11Z33Cj4OX9uDiCcR9bYWyYFN3Jwyp9WGabazvxNU+EbESDsUlTQ ej+kUrq6JYNuawfi0F3saNCHODZSjzgHuOnlSxQl0mDH4aHFgd5bqn+Lq1Fwth+XLi6L6lDaMpki mr9uxazU+nl5ewXhafF/Y3joB3XIg1Nlr6yd6BVsdklYKjiCCO0xjvcgqkeUeSb/y+d3AAAA//8D AFBLAQItABQABgAIAAAAIQC2gziS/gAAAOEBAAATAAAAAAAAAAAAAAAAAAAAAABbQ29udGVudF9U eXBlc10ueG1sUEsBAi0AFAAGAAgAAAAhADj9If/WAAAAlAEAAAsAAAAAAAAAAAAAAAAALwEAAF9y ZWxzLy5yZWxzUEsBAi0AFAAGAAgAAAAhALaGrvClAgAAlQUAAA4AAAAAAAAAAAAAAAAALgIAAGRy cy9lMm9Eb2MueG1sUEsBAi0AFAAGAAgAAAAhAIZhpo3YAAAABAEAAA8AAAAAAAAAAAAAAAAA/wQA AGRycy9kb3ducmV2LnhtbFBLBQYAAAAABAAEAPMAAAAEBgAAAAA= "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DC4460" w:rsidRPr="00DC4460" w14:paraId="372C73B5" w14:textId="77777777" w:rsidTr="00AD4493">
        <w:trPr>
          <w:cantSplit/>
        </w:trPr>
        <w:tc>
          <w:tcPr>
            <w:tcW w:w="4678" w:type="dxa"/>
            <w:vMerge w:val="restart"/>
            <w:hideMark/>
          </w:tcPr>
          <w:p w14:paraId="33D9867E" w14:textId="77777777" w:rsidR="00DC4460" w:rsidRPr="00DC4460" w:rsidRDefault="00DC4460" w:rsidP="00DC4460">
            <w:pPr>
              <w:jc w:val="left"/>
            </w:pPr>
            <w:r w:rsidRPr="00DC4460">
              <w:t>Lietuvos Respublikos užsienio reikalų ministerijai</w:t>
            </w:r>
          </w:p>
        </w:tc>
        <w:tc>
          <w:tcPr>
            <w:tcW w:w="709" w:type="dxa"/>
          </w:tcPr>
          <w:p w14:paraId="3B095DC6" w14:textId="77777777" w:rsidR="00DC4460" w:rsidRPr="00DC4460" w:rsidRDefault="00DC4460" w:rsidP="00DC4460">
            <w:pPr>
              <w:ind w:firstLine="720"/>
              <w:jc w:val="left"/>
            </w:pPr>
          </w:p>
        </w:tc>
        <w:tc>
          <w:tcPr>
            <w:tcW w:w="1526" w:type="dxa"/>
            <w:hideMark/>
          </w:tcPr>
          <w:p w14:paraId="715F5223" w14:textId="77777777" w:rsidR="00DC4460" w:rsidRPr="00DC4460" w:rsidRDefault="00DC4460" w:rsidP="00DC4460">
            <w:pPr>
              <w:jc w:val="left"/>
            </w:pPr>
            <w:r w:rsidRPr="00DC4460">
              <w:t>2020-03-</w:t>
            </w:r>
          </w:p>
        </w:tc>
        <w:tc>
          <w:tcPr>
            <w:tcW w:w="2727" w:type="dxa"/>
            <w:hideMark/>
          </w:tcPr>
          <w:p w14:paraId="70DF076A" w14:textId="22CD3006" w:rsidR="00DC4460" w:rsidRPr="00DC4460" w:rsidRDefault="00DC4460" w:rsidP="00DC4460">
            <w:pPr>
              <w:tabs>
                <w:tab w:val="center" w:pos="1349"/>
              </w:tabs>
            </w:pPr>
            <w:r w:rsidRPr="00DC4460">
              <w:t>Nr.</w:t>
            </w:r>
            <w:r w:rsidR="00985C81">
              <w:t xml:space="preserve"> </w:t>
            </w:r>
            <w:r w:rsidRPr="00DC4460">
              <w:t>(9.2-21)</w:t>
            </w:r>
            <w:r w:rsidR="00985C81">
              <w:t>-</w:t>
            </w:r>
            <w:r w:rsidRPr="00DC4460">
              <w:t>3</w:t>
            </w:r>
          </w:p>
        </w:tc>
      </w:tr>
      <w:tr w:rsidR="00DC4460" w:rsidRPr="00DC4460" w14:paraId="0058EE63" w14:textId="77777777" w:rsidTr="00AD4493">
        <w:trPr>
          <w:cantSplit/>
        </w:trPr>
        <w:tc>
          <w:tcPr>
            <w:tcW w:w="4678" w:type="dxa"/>
            <w:vMerge/>
            <w:vAlign w:val="center"/>
            <w:hideMark/>
          </w:tcPr>
          <w:p w14:paraId="3F5FA685" w14:textId="77777777" w:rsidR="00DC4460" w:rsidRPr="00DC4460" w:rsidRDefault="00DC4460" w:rsidP="00DC4460">
            <w:pPr>
              <w:jc w:val="left"/>
            </w:pPr>
          </w:p>
        </w:tc>
        <w:tc>
          <w:tcPr>
            <w:tcW w:w="709" w:type="dxa"/>
          </w:tcPr>
          <w:p w14:paraId="538405E5" w14:textId="77777777" w:rsidR="00DC4460" w:rsidRPr="00DC4460" w:rsidRDefault="00DC4460" w:rsidP="00DC4460">
            <w:pPr>
              <w:ind w:firstLine="720"/>
              <w:jc w:val="left"/>
            </w:pPr>
          </w:p>
        </w:tc>
        <w:tc>
          <w:tcPr>
            <w:tcW w:w="1526" w:type="dxa"/>
            <w:hideMark/>
          </w:tcPr>
          <w:p w14:paraId="0AE30A45" w14:textId="0BB277CC" w:rsidR="00DC4460" w:rsidRPr="00DC4460" w:rsidRDefault="00DC4460" w:rsidP="00DC4460">
            <w:pPr>
              <w:jc w:val="left"/>
            </w:pPr>
            <w:r w:rsidRPr="00DC4460">
              <w:t>Į 2020-03-10</w:t>
            </w:r>
          </w:p>
        </w:tc>
        <w:tc>
          <w:tcPr>
            <w:tcW w:w="2727" w:type="dxa"/>
            <w:hideMark/>
          </w:tcPr>
          <w:p w14:paraId="430DB802" w14:textId="77777777" w:rsidR="00DC4460" w:rsidRPr="00DC4460" w:rsidRDefault="00DC4460" w:rsidP="00DC4460">
            <w:r w:rsidRPr="00DC4460">
              <w:rPr>
                <w:szCs w:val="24"/>
              </w:rPr>
              <w:t>Nr. (22.31)3-1186</w:t>
            </w:r>
          </w:p>
        </w:tc>
      </w:tr>
      <w:tr w:rsidR="00DC4460" w:rsidRPr="001356A1" w14:paraId="6F0D7E59" w14:textId="77777777" w:rsidTr="00AD4493">
        <w:trPr>
          <w:cantSplit/>
        </w:trPr>
        <w:tc>
          <w:tcPr>
            <w:tcW w:w="4678" w:type="dxa"/>
          </w:tcPr>
          <w:p w14:paraId="6EBDEE48" w14:textId="77777777" w:rsidR="00DC4460" w:rsidRPr="001356A1" w:rsidRDefault="00DC4460" w:rsidP="00DC4460">
            <w:pPr>
              <w:jc w:val="left"/>
              <w:rPr>
                <w:sz w:val="22"/>
                <w:szCs w:val="22"/>
              </w:rPr>
            </w:pPr>
          </w:p>
        </w:tc>
        <w:tc>
          <w:tcPr>
            <w:tcW w:w="709" w:type="dxa"/>
          </w:tcPr>
          <w:p w14:paraId="076B2158" w14:textId="77777777" w:rsidR="00DC4460" w:rsidRPr="001356A1" w:rsidRDefault="00DC4460" w:rsidP="00DC4460">
            <w:pPr>
              <w:ind w:firstLine="720"/>
              <w:jc w:val="left"/>
              <w:rPr>
                <w:sz w:val="22"/>
                <w:szCs w:val="22"/>
              </w:rPr>
            </w:pPr>
          </w:p>
        </w:tc>
        <w:tc>
          <w:tcPr>
            <w:tcW w:w="1526" w:type="dxa"/>
          </w:tcPr>
          <w:p w14:paraId="33EADF19" w14:textId="77777777" w:rsidR="00DC4460" w:rsidRPr="001356A1" w:rsidRDefault="00DC4460" w:rsidP="00DC4460">
            <w:pPr>
              <w:jc w:val="left"/>
              <w:rPr>
                <w:sz w:val="22"/>
                <w:szCs w:val="22"/>
              </w:rPr>
            </w:pPr>
          </w:p>
        </w:tc>
        <w:tc>
          <w:tcPr>
            <w:tcW w:w="2727" w:type="dxa"/>
          </w:tcPr>
          <w:p w14:paraId="547D896A" w14:textId="77777777" w:rsidR="00DC4460" w:rsidRPr="001356A1" w:rsidRDefault="00DC4460" w:rsidP="00DC4460">
            <w:pPr>
              <w:rPr>
                <w:sz w:val="22"/>
                <w:szCs w:val="22"/>
              </w:rPr>
            </w:pPr>
          </w:p>
        </w:tc>
      </w:tr>
      <w:tr w:rsidR="00DC4460" w:rsidRPr="001356A1" w14:paraId="403CBD71" w14:textId="77777777" w:rsidTr="00AD4493">
        <w:trPr>
          <w:cantSplit/>
        </w:trPr>
        <w:tc>
          <w:tcPr>
            <w:tcW w:w="4678" w:type="dxa"/>
          </w:tcPr>
          <w:p w14:paraId="73B50A2D" w14:textId="77777777" w:rsidR="00DC4460" w:rsidRPr="001356A1" w:rsidRDefault="00DC4460" w:rsidP="00DC4460">
            <w:pPr>
              <w:jc w:val="left"/>
              <w:rPr>
                <w:sz w:val="22"/>
                <w:szCs w:val="22"/>
              </w:rPr>
            </w:pPr>
          </w:p>
        </w:tc>
        <w:tc>
          <w:tcPr>
            <w:tcW w:w="709" w:type="dxa"/>
          </w:tcPr>
          <w:p w14:paraId="03544548" w14:textId="77777777" w:rsidR="00DC4460" w:rsidRPr="001356A1" w:rsidRDefault="00DC4460" w:rsidP="00DC4460">
            <w:pPr>
              <w:ind w:firstLine="720"/>
              <w:jc w:val="left"/>
              <w:rPr>
                <w:sz w:val="22"/>
                <w:szCs w:val="22"/>
              </w:rPr>
            </w:pPr>
          </w:p>
        </w:tc>
        <w:tc>
          <w:tcPr>
            <w:tcW w:w="1526" w:type="dxa"/>
          </w:tcPr>
          <w:p w14:paraId="52F2820B" w14:textId="77777777" w:rsidR="00DC4460" w:rsidRPr="001356A1" w:rsidRDefault="00DC4460" w:rsidP="00DC4460">
            <w:pPr>
              <w:jc w:val="left"/>
              <w:rPr>
                <w:sz w:val="22"/>
                <w:szCs w:val="22"/>
              </w:rPr>
            </w:pPr>
          </w:p>
        </w:tc>
        <w:tc>
          <w:tcPr>
            <w:tcW w:w="2727" w:type="dxa"/>
          </w:tcPr>
          <w:p w14:paraId="3C73C441" w14:textId="77777777" w:rsidR="00DC4460" w:rsidRPr="001356A1" w:rsidRDefault="00DC4460" w:rsidP="00DC4460">
            <w:pPr>
              <w:rPr>
                <w:sz w:val="22"/>
                <w:szCs w:val="22"/>
              </w:rPr>
            </w:pPr>
          </w:p>
        </w:tc>
      </w:tr>
      <w:tr w:rsidR="00DC4460" w:rsidRPr="001356A1" w14:paraId="31BF73AC" w14:textId="77777777" w:rsidTr="00AD4493">
        <w:trPr>
          <w:cantSplit/>
        </w:trPr>
        <w:tc>
          <w:tcPr>
            <w:tcW w:w="4678" w:type="dxa"/>
          </w:tcPr>
          <w:p w14:paraId="753C6AFE" w14:textId="77777777" w:rsidR="00DC4460" w:rsidRPr="001356A1" w:rsidRDefault="00DC4460" w:rsidP="00DC4460">
            <w:pPr>
              <w:jc w:val="left"/>
              <w:rPr>
                <w:sz w:val="22"/>
                <w:szCs w:val="22"/>
              </w:rPr>
            </w:pPr>
          </w:p>
        </w:tc>
        <w:tc>
          <w:tcPr>
            <w:tcW w:w="709" w:type="dxa"/>
          </w:tcPr>
          <w:p w14:paraId="29E19566" w14:textId="77777777" w:rsidR="00DC4460" w:rsidRPr="001356A1" w:rsidRDefault="00DC4460" w:rsidP="00DC4460">
            <w:pPr>
              <w:ind w:firstLine="720"/>
              <w:jc w:val="left"/>
              <w:rPr>
                <w:sz w:val="22"/>
                <w:szCs w:val="22"/>
              </w:rPr>
            </w:pPr>
          </w:p>
        </w:tc>
        <w:tc>
          <w:tcPr>
            <w:tcW w:w="1526" w:type="dxa"/>
          </w:tcPr>
          <w:p w14:paraId="4E2D3F19" w14:textId="77777777" w:rsidR="00DC4460" w:rsidRPr="001356A1" w:rsidRDefault="00DC4460" w:rsidP="00DC4460">
            <w:pPr>
              <w:jc w:val="left"/>
              <w:rPr>
                <w:sz w:val="22"/>
                <w:szCs w:val="22"/>
              </w:rPr>
            </w:pPr>
          </w:p>
        </w:tc>
        <w:tc>
          <w:tcPr>
            <w:tcW w:w="2727" w:type="dxa"/>
          </w:tcPr>
          <w:p w14:paraId="38DA8224" w14:textId="77777777" w:rsidR="00DC4460" w:rsidRPr="001356A1" w:rsidRDefault="00DC4460" w:rsidP="00DC4460">
            <w:pPr>
              <w:rPr>
                <w:sz w:val="22"/>
                <w:szCs w:val="22"/>
              </w:rPr>
            </w:pPr>
          </w:p>
        </w:tc>
      </w:tr>
      <w:tr w:rsidR="00DC4460" w:rsidRPr="00DC4460" w14:paraId="172F2F1D" w14:textId="77777777" w:rsidTr="00AD4493">
        <w:trPr>
          <w:cantSplit/>
        </w:trPr>
        <w:tc>
          <w:tcPr>
            <w:tcW w:w="9640" w:type="dxa"/>
            <w:gridSpan w:val="4"/>
          </w:tcPr>
          <w:tbl>
            <w:tblPr>
              <w:tblW w:w="9640" w:type="dxa"/>
              <w:tblLayout w:type="fixed"/>
              <w:tblCellMar>
                <w:left w:w="0" w:type="dxa"/>
                <w:right w:w="28" w:type="dxa"/>
              </w:tblCellMar>
              <w:tblLook w:val="04A0" w:firstRow="1" w:lastRow="0" w:firstColumn="1" w:lastColumn="0" w:noHBand="0" w:noVBand="1"/>
            </w:tblPr>
            <w:tblGrid>
              <w:gridCol w:w="9640"/>
            </w:tblGrid>
            <w:tr w:rsidR="00DC4460" w:rsidRPr="00DC4460" w14:paraId="68840809" w14:textId="77777777" w:rsidTr="00AD4493">
              <w:trPr>
                <w:cantSplit/>
              </w:trPr>
              <w:tc>
                <w:tcPr>
                  <w:tcW w:w="9287" w:type="dxa"/>
                  <w:hideMark/>
                </w:tcPr>
                <w:p w14:paraId="18C56A19" w14:textId="77777777" w:rsidR="00DC4460" w:rsidRPr="00DC4460" w:rsidRDefault="00DC4460" w:rsidP="00DC4460">
                  <w:pPr>
                    <w:rPr>
                      <w:b/>
                      <w:bCs/>
                      <w:szCs w:val="24"/>
                    </w:rPr>
                  </w:pPr>
                  <w:r w:rsidRPr="00DC4460">
                    <w:rPr>
                      <w:b/>
                      <w:szCs w:val="24"/>
                    </w:rPr>
                    <w:t>DĖL</w:t>
                  </w:r>
                  <w:r w:rsidRPr="00DC4460">
                    <w:rPr>
                      <w:b/>
                      <w:color w:val="000000"/>
                      <w:szCs w:val="24"/>
                    </w:rPr>
                    <w:t xml:space="preserve"> DIPLOMATINĖS TARNYBOS ĮSTATYMO NR.VIII-1012 PAKEITIMO ĮSTATYMO PROJEKTO IR JO LYDIMŲJŲ ĮSTATYMŲ PROJEKTO DERINIMO</w:t>
                  </w:r>
                </w:p>
              </w:tc>
            </w:tr>
          </w:tbl>
          <w:p w14:paraId="2C3541FF" w14:textId="77777777" w:rsidR="00DC4460" w:rsidRPr="001356A1" w:rsidRDefault="00DC4460" w:rsidP="00DC4460">
            <w:pPr>
              <w:rPr>
                <w:sz w:val="22"/>
                <w:szCs w:val="22"/>
              </w:rPr>
            </w:pPr>
          </w:p>
          <w:p w14:paraId="1231AFBA" w14:textId="77777777" w:rsidR="00DC4460" w:rsidRPr="00DC4460" w:rsidRDefault="00DC4460" w:rsidP="00DC4460">
            <w:pPr>
              <w:jc w:val="left"/>
              <w:rPr>
                <w:b/>
                <w:bCs/>
              </w:rPr>
            </w:pPr>
          </w:p>
        </w:tc>
      </w:tr>
      <w:tr w:rsidR="00DC4460" w:rsidRPr="00DC4460" w14:paraId="172C5512" w14:textId="77777777" w:rsidTr="00AD4493">
        <w:trPr>
          <w:cantSplit/>
          <w:trHeight w:val="70"/>
        </w:trPr>
        <w:tc>
          <w:tcPr>
            <w:tcW w:w="9640" w:type="dxa"/>
            <w:gridSpan w:val="4"/>
          </w:tcPr>
          <w:p w14:paraId="082F3C63" w14:textId="77777777" w:rsidR="00DC4460" w:rsidRPr="00DC4460" w:rsidRDefault="00DC4460" w:rsidP="00DC4460">
            <w:pPr>
              <w:rPr>
                <w:b/>
                <w:szCs w:val="24"/>
              </w:rPr>
            </w:pPr>
          </w:p>
        </w:tc>
      </w:tr>
    </w:tbl>
    <w:p w14:paraId="1AC8425F" w14:textId="4C9C490B" w:rsidR="00DC4460" w:rsidRPr="00DC4460" w:rsidRDefault="00DC4460" w:rsidP="007C535F">
      <w:pPr>
        <w:ind w:firstLine="851"/>
        <w:rPr>
          <w:lang w:eastAsia="lt-LT"/>
        </w:rPr>
      </w:pPr>
      <w:r w:rsidRPr="00DC4460">
        <w:t xml:space="preserve">Lietuvos Respublikos ekonomikos ir inovacijų ministerija, išnagrinėjusi pateiktus derinti Lietuvos Respublikos diplomatinės tarnybos įstatymo Nr. VIII-1012 </w:t>
      </w:r>
      <w:r w:rsidR="00985C81">
        <w:t xml:space="preserve">(toliau </w:t>
      </w:r>
      <w:r w:rsidR="00985C81" w:rsidRPr="00DC4460">
        <w:t>–</w:t>
      </w:r>
      <w:r w:rsidR="00985C81">
        <w:t xml:space="preserve"> Įstatymas) </w:t>
      </w:r>
      <w:r w:rsidRPr="00DC4460">
        <w:t xml:space="preserve">2, 8, 28, 30, 35, 37, 41, 43, 44, 49, 61, 62, 64, 65, 66, 84, 85, 87, 89, 90, 92, 95, 96, 97 straipsnių, </w:t>
      </w:r>
      <w:r w:rsidRPr="00A11C67">
        <w:t>Įstatymo</w:t>
      </w:r>
      <w:r w:rsidRPr="00DC4460">
        <w:t xml:space="preserve"> 1 priedo pakeitimo ir </w:t>
      </w:r>
      <w:r w:rsidRPr="00A11C67">
        <w:t>Įstatymo</w:t>
      </w:r>
      <w:r w:rsidRPr="00DC4460">
        <w:t xml:space="preserve"> papildymo 62</w:t>
      </w:r>
      <w:r w:rsidRPr="00DC4460">
        <w:rPr>
          <w:vertAlign w:val="superscript"/>
        </w:rPr>
        <w:t xml:space="preserve">1 </w:t>
      </w:r>
      <w:r w:rsidRPr="00DC4460">
        <w:t>ir 83</w:t>
      </w:r>
      <w:r w:rsidRPr="00DC4460">
        <w:rPr>
          <w:vertAlign w:val="superscript"/>
        </w:rPr>
        <w:t>1</w:t>
      </w:r>
      <w:r w:rsidRPr="00DC4460">
        <w:t xml:space="preserve"> straipsniais įstatymo projektą (toliau </w:t>
      </w:r>
      <w:bookmarkStart w:id="1" w:name="_Hlk36125021"/>
      <w:bookmarkStart w:id="2" w:name="_Hlk36124944"/>
      <w:r w:rsidRPr="00DC4460">
        <w:t>–</w:t>
      </w:r>
      <w:bookmarkEnd w:id="1"/>
      <w:r w:rsidRPr="00DC4460">
        <w:t xml:space="preserve"> </w:t>
      </w:r>
      <w:bookmarkEnd w:id="2"/>
      <w:r w:rsidRPr="00DC4460">
        <w:t>DTĮ projektas), Lietuvos Respublikos asmenų delegavimo į tarptautines ir Europos Sąjungos institucijas ar užsienio valstybių institucijas įstatymo Nr. X-1262 priedo pakeitimo įstatymo projektą (toliau –</w:t>
      </w:r>
      <w:r w:rsidR="001A6AD6">
        <w:t>P</w:t>
      </w:r>
      <w:r w:rsidRPr="00DC4460">
        <w:t>rojektas</w:t>
      </w:r>
      <w:r w:rsidR="0010091F">
        <w:t xml:space="preserve"> </w:t>
      </w:r>
      <w:r w:rsidR="001A6AD6">
        <w:t>1</w:t>
      </w:r>
      <w:r w:rsidRPr="00DC4460">
        <w:t xml:space="preserve">) ir Lietuvos Respublikos valstybinio socialinio draudimo įstatymo Nr. I-1336 6 straipsnio pakeitimo įstatymo projektą (toliau – </w:t>
      </w:r>
      <w:r w:rsidR="001A6AD6">
        <w:t>P</w:t>
      </w:r>
      <w:r w:rsidRPr="00DC4460">
        <w:t>rojektas</w:t>
      </w:r>
      <w:r w:rsidR="001A6AD6">
        <w:t xml:space="preserve"> 2</w:t>
      </w:r>
      <w:r w:rsidRPr="00DC4460">
        <w:t>), pagal kompetenciją teikia šias pastabas ir pasiūlymus:</w:t>
      </w:r>
    </w:p>
    <w:p w14:paraId="0FA6FE25" w14:textId="5ECD7AA1" w:rsidR="00DC4460" w:rsidRPr="00DC4460" w:rsidRDefault="00DC4460" w:rsidP="007C535F">
      <w:pPr>
        <w:ind w:firstLine="851"/>
      </w:pPr>
      <w:r w:rsidRPr="00DC4460">
        <w:rPr>
          <w:b/>
          <w:bCs/>
        </w:rPr>
        <w:t>Dėl DTĮ projekto</w:t>
      </w:r>
      <w:r w:rsidRPr="00DC4460">
        <w:t>:</w:t>
      </w:r>
    </w:p>
    <w:p w14:paraId="14709DCC" w14:textId="6C269E46" w:rsidR="00DC4460" w:rsidRPr="00DC4460" w:rsidRDefault="00DC4460" w:rsidP="007C535F">
      <w:pPr>
        <w:numPr>
          <w:ilvl w:val="0"/>
          <w:numId w:val="1"/>
        </w:numPr>
        <w:ind w:left="0" w:firstLine="851"/>
      </w:pPr>
      <w:r w:rsidRPr="00DC4460">
        <w:t xml:space="preserve">DTĮ projekto 1 straipsniu turi būti keičiamas ne </w:t>
      </w:r>
      <w:r w:rsidR="001A6AD6">
        <w:t>Į</w:t>
      </w:r>
      <w:r w:rsidRPr="00DC4460">
        <w:t>statymo</w:t>
      </w:r>
      <w:r w:rsidR="00B67AB1">
        <w:t xml:space="preserve"> </w:t>
      </w:r>
      <w:r w:rsidRPr="00DC4460">
        <w:t xml:space="preserve">2 straipsnis, nustatantis Lietuvos Respublikos diplomatinės tarnybos teisinius pagrindus, o </w:t>
      </w:r>
      <w:r w:rsidR="001A6AD6">
        <w:t>Į</w:t>
      </w:r>
      <w:r w:rsidRPr="00DC4460">
        <w:t>statymo 3 straipsnis, nustatantis pagrindines sąvokas.</w:t>
      </w:r>
    </w:p>
    <w:p w14:paraId="3F62521B" w14:textId="19285B44" w:rsidR="00DC4460" w:rsidRPr="00DC4460" w:rsidRDefault="00DC4460" w:rsidP="007C535F">
      <w:pPr>
        <w:numPr>
          <w:ilvl w:val="0"/>
          <w:numId w:val="1"/>
        </w:numPr>
        <w:spacing w:before="100" w:beforeAutospacing="1" w:after="100" w:afterAutospacing="1"/>
        <w:ind w:left="0" w:firstLine="851"/>
      </w:pPr>
      <w:r w:rsidRPr="00DC4460">
        <w:t xml:space="preserve">Tiek DTĮ projekto 5 straipsniu, tiek DTĮ projekto 6 straipsniu keičiama </w:t>
      </w:r>
      <w:r w:rsidR="001A6AD6">
        <w:t>Į</w:t>
      </w:r>
      <w:r w:rsidRPr="00DC4460">
        <w:t>statymo 35 straipsnio 2 dalis. Atsižvelgiant į tai, siūlytina patikslinti DTĮ projekto nuostatas.</w:t>
      </w:r>
    </w:p>
    <w:p w14:paraId="39F4BC16" w14:textId="5574B2F3" w:rsidR="00DC4460" w:rsidRPr="00DC4460" w:rsidRDefault="00DC4460" w:rsidP="007C535F">
      <w:pPr>
        <w:numPr>
          <w:ilvl w:val="0"/>
          <w:numId w:val="1"/>
        </w:numPr>
        <w:spacing w:before="100" w:beforeAutospacing="1" w:after="100" w:afterAutospacing="1"/>
        <w:ind w:left="0" w:firstLine="851"/>
      </w:pPr>
      <w:r w:rsidRPr="00DC4460">
        <w:t>DTĮ projekto 9 straipsnio 4 dalimi, be kita ko, siekiama nustatyti, kad atleidus ministerijos kanclerį ar viceministrą, su kuriuo sudaryta diplomato tarnybos sutartis, iš politinio (asmeninio) pasitikėjimo valstybės tarnautojo pareigų Valstybės tarnybos įstatymo 51 straipsnio 1 dalies 6 ar 7 punktuose nurodytais pagrindais, diplomatas, ėjęs šias pareigas, paskiriamas į kitas pareigas šio įstatymo nustatyta tvarka. Pažymėtina, kad Valstybės tarnybos įstatymo 51 straipsnio 1 dalies 6 punktas, be kita ko, nustato, kad valstybės tarnautojas atleidžiamas</w:t>
      </w:r>
      <w:r w:rsidR="00A11C67">
        <w:t xml:space="preserve"> iš pareigų, kai jam sukanka 65 </w:t>
      </w:r>
      <w:r w:rsidRPr="00DC4460">
        <w:t xml:space="preserve">metai. Pagal </w:t>
      </w:r>
      <w:r w:rsidR="003F107B">
        <w:t>Į</w:t>
      </w:r>
      <w:r w:rsidRPr="00DC4460">
        <w:t>statymo 23 straipsnio 2 dalies nuostatas, asmuo, pretenduojantis į diplomatinę tarnybą, negali būti vyresnis nei 65 metų. Atsižvelgiant į tai, neaišku, kaip, atleidus ministerijos kanclerį ar viceministrą, su kuriuo sudaryta diplomato tarnybos sutartis, iš politinio (asmeninio) pasitikėjimo valstybės tarnautojo pareigų</w:t>
      </w:r>
      <w:r w:rsidR="000C4A73">
        <w:t xml:space="preserve"> Valstybės tarnybos įstatymo 51 </w:t>
      </w:r>
      <w:r w:rsidRPr="00DC4460">
        <w:t>straipsnio 1 dalies 6 punkte nustatytu pagrindu (k</w:t>
      </w:r>
      <w:r w:rsidR="00A11C67">
        <w:t>ai jam sukanka 65</w:t>
      </w:r>
      <w:r w:rsidRPr="00DC4460">
        <w:t xml:space="preserve"> metai), jis galėtų būti paskiriamas į kitas pareigas </w:t>
      </w:r>
      <w:r w:rsidR="003F107B">
        <w:t>Į</w:t>
      </w:r>
      <w:r w:rsidRPr="00DC4460">
        <w:t>statymo nustatyta tvarka.</w:t>
      </w:r>
    </w:p>
    <w:p w14:paraId="7CE06F81" w14:textId="77777777" w:rsidR="00DC4460" w:rsidRPr="00DC4460" w:rsidRDefault="00DC4460" w:rsidP="007C535F">
      <w:pPr>
        <w:numPr>
          <w:ilvl w:val="0"/>
          <w:numId w:val="1"/>
        </w:numPr>
        <w:spacing w:before="100" w:beforeAutospacing="1" w:after="100" w:afterAutospacing="1"/>
        <w:ind w:left="0" w:firstLine="851"/>
      </w:pPr>
      <w:r w:rsidRPr="00DC4460">
        <w:t>DTĮ projekto 10 straipsnyje vietoj žodžių „paskiriamas į nežemesnes pareigas“ siūlytina rašyti „</w:t>
      </w:r>
      <w:r w:rsidRPr="00DC4460">
        <w:rPr>
          <w:i/>
          <w:iCs/>
        </w:rPr>
        <w:t>paskiriamas į kitas lygiavertes pareigas</w:t>
      </w:r>
      <w:r w:rsidRPr="00DC4460">
        <w:t>“.</w:t>
      </w:r>
    </w:p>
    <w:p w14:paraId="4922AE0F" w14:textId="0195A061" w:rsidR="00DC4460" w:rsidRPr="00DC4460" w:rsidRDefault="00DC4460" w:rsidP="005A2B98">
      <w:pPr>
        <w:numPr>
          <w:ilvl w:val="0"/>
          <w:numId w:val="1"/>
        </w:numPr>
        <w:ind w:left="0" w:firstLine="851"/>
      </w:pPr>
      <w:r w:rsidRPr="00DC4460">
        <w:t xml:space="preserve">DTĮ projekto 13 straipsniu keičiamas </w:t>
      </w:r>
      <w:r w:rsidR="003F107B">
        <w:t>Į</w:t>
      </w:r>
      <w:r w:rsidRPr="00DC4460">
        <w:t xml:space="preserve">statymo 62 straipsnis, reglamentuojantis asmens, išėjusio iš diplomatinės tarnybos, diplomatinį rangą ir teisę atkurti diplomato statusą. Atsižvelgiant į tai, manytina, kad nuostatos, reglamentuojančios rentą, turėtų būti nustatomos ne </w:t>
      </w:r>
      <w:r w:rsidR="003F107B">
        <w:t>Į</w:t>
      </w:r>
      <w:r w:rsidRPr="00DC4460">
        <w:t xml:space="preserve">statymo 62 straipsnyje, o DTĮ projekto 14 straipsnyje, kuriuo </w:t>
      </w:r>
      <w:r w:rsidR="003F107B">
        <w:t>Į</w:t>
      </w:r>
      <w:r w:rsidRPr="00DC4460">
        <w:t>statymas papildomas 62</w:t>
      </w:r>
      <w:r w:rsidRPr="00DC4460">
        <w:rPr>
          <w:vertAlign w:val="superscript"/>
        </w:rPr>
        <w:t>1</w:t>
      </w:r>
      <w:r w:rsidRPr="00DC4460">
        <w:t xml:space="preserve"> straipsniu. </w:t>
      </w:r>
    </w:p>
    <w:p w14:paraId="527C5B93" w14:textId="1ACFEAD0" w:rsidR="00DC4460" w:rsidRPr="00DC4460" w:rsidRDefault="00DC4460" w:rsidP="005A2B98">
      <w:pPr>
        <w:ind w:firstLine="851"/>
      </w:pPr>
      <w:r w:rsidRPr="00DC4460">
        <w:lastRenderedPageBreak/>
        <w:t xml:space="preserve">Kartu pažymime, kad po žodžių </w:t>
      </w:r>
      <w:r w:rsidR="00C041B1">
        <w:t>„</w:t>
      </w:r>
      <w:r w:rsidRPr="00DC4460">
        <w:t>gauti 2 p</w:t>
      </w:r>
      <w:r w:rsidR="00A11C67">
        <w:t xml:space="preserve">areiginės algos bazinių dydžių </w:t>
      </w:r>
      <w:r w:rsidRPr="002F0DED">
        <w:t>rentą</w:t>
      </w:r>
      <w:r w:rsidRPr="00DC4460">
        <w:t xml:space="preserve"> (toliau – renta)</w:t>
      </w:r>
      <w:r w:rsidR="003F107B">
        <w:t xml:space="preserve">“ </w:t>
      </w:r>
      <w:r w:rsidRPr="00DC4460">
        <w:t>siūlytina parašyti „per mėnesį“.</w:t>
      </w:r>
    </w:p>
    <w:p w14:paraId="07D20659" w14:textId="1FEAFDF5" w:rsidR="00DC4460" w:rsidRPr="00DC4460" w:rsidRDefault="00DC4460" w:rsidP="005A2B98">
      <w:pPr>
        <w:ind w:firstLine="851"/>
      </w:pPr>
      <w:r w:rsidRPr="00DC4460">
        <w:t>Taip pat DTĮ projekto 13 straipsnio 1 dalyje, vietoj žodžių „į pensiją išėjęs“, siūlytina rašyti „sukakęs teisės gauti senatvės pensiją amžių“. Analogiška pas</w:t>
      </w:r>
      <w:r w:rsidR="000C4A73">
        <w:t xml:space="preserve">taba taikoma ir DTĮ projekto 14 </w:t>
      </w:r>
      <w:r w:rsidRPr="00DC4460">
        <w:t>straipsnio nuostatoms.</w:t>
      </w:r>
    </w:p>
    <w:p w14:paraId="1F4A460C" w14:textId="443D71EC" w:rsidR="00DC4460" w:rsidRPr="00DC4460" w:rsidRDefault="00DC4460" w:rsidP="00E95DD2">
      <w:pPr>
        <w:numPr>
          <w:ilvl w:val="0"/>
          <w:numId w:val="1"/>
        </w:numPr>
        <w:ind w:left="0" w:firstLine="851"/>
        <w:contextualSpacing/>
        <w:rPr>
          <w:szCs w:val="24"/>
        </w:rPr>
      </w:pPr>
      <w:bookmarkStart w:id="3" w:name="_Hlk35938908"/>
      <w:r w:rsidRPr="00DC4460">
        <w:rPr>
          <w:bCs/>
          <w:szCs w:val="24"/>
        </w:rPr>
        <w:t xml:space="preserve">DTĮ projekto </w:t>
      </w:r>
      <w:bookmarkEnd w:id="3"/>
      <w:r w:rsidRPr="00DC4460">
        <w:rPr>
          <w:bCs/>
          <w:szCs w:val="24"/>
        </w:rPr>
        <w:t>18 straipsniu</w:t>
      </w:r>
      <w:r w:rsidRPr="00DC4460">
        <w:rPr>
          <w:szCs w:val="24"/>
        </w:rPr>
        <w:t xml:space="preserve"> siūloma papildyti Įstatymą </w:t>
      </w:r>
      <w:r w:rsidRPr="00DC4460">
        <w:rPr>
          <w:szCs w:val="24"/>
          <w:lang w:eastAsia="lt-LT"/>
        </w:rPr>
        <w:t>83</w:t>
      </w:r>
      <w:r w:rsidRPr="00DC4460">
        <w:rPr>
          <w:szCs w:val="24"/>
          <w:vertAlign w:val="superscript"/>
          <w:lang w:eastAsia="lt-LT"/>
        </w:rPr>
        <w:t xml:space="preserve">1 </w:t>
      </w:r>
      <w:r w:rsidRPr="00DC4460">
        <w:rPr>
          <w:szCs w:val="24"/>
          <w:lang w:eastAsia="lt-LT"/>
        </w:rPr>
        <w:t xml:space="preserve">straipsniu ir taip </w:t>
      </w:r>
      <w:r w:rsidRPr="00DC4460">
        <w:rPr>
          <w:szCs w:val="24"/>
        </w:rPr>
        <w:t>panaikinti Socialinių ir kitų garantijų, susijusių su darbu Lietuvos Respublikos diplomatinėse atstovybėse, konsulinėse įstaigose ir specialiosiose misijose, suteikimo ir jų taikymo tvarkos aprašo, patvirtinto Lietuvos Respublikos Vyriausybės</w:t>
      </w:r>
      <w:r w:rsidR="00E95DD2">
        <w:rPr>
          <w:szCs w:val="24"/>
        </w:rPr>
        <w:t xml:space="preserve"> </w:t>
      </w:r>
      <w:r w:rsidRPr="00DC4460">
        <w:rPr>
          <w:szCs w:val="24"/>
        </w:rPr>
        <w:t>2018 m. gruodžio 27 d. nutarimu Nr.1393</w:t>
      </w:r>
      <w:r w:rsidR="003E503D">
        <w:rPr>
          <w:szCs w:val="24"/>
        </w:rPr>
        <w:t xml:space="preserve"> (toliau – Nutarimas)</w:t>
      </w:r>
      <w:r w:rsidRPr="00DC4460">
        <w:rPr>
          <w:szCs w:val="24"/>
        </w:rPr>
        <w:t xml:space="preserve">, 60 punktu nustatytą kitų ministrų teisę keisti tam tikras išlaidų normas, ribas, Vyriausybės nustatytus gyvenimo lygio vietos </w:t>
      </w:r>
      <w:r w:rsidR="00F01E60">
        <w:rPr>
          <w:szCs w:val="24"/>
        </w:rPr>
        <w:t>ir</w:t>
      </w:r>
      <w:r w:rsidR="00F01E60" w:rsidRPr="00F01E60">
        <w:rPr>
          <w:szCs w:val="24"/>
        </w:rPr>
        <w:t xml:space="preserve"> </w:t>
      </w:r>
      <w:r w:rsidR="00F01E60" w:rsidRPr="00DC4460">
        <w:rPr>
          <w:szCs w:val="24"/>
        </w:rPr>
        <w:t>gyvenamųjų patalpų nuomos lygio vietos koeficient</w:t>
      </w:r>
      <w:r w:rsidR="00F01E60">
        <w:rPr>
          <w:szCs w:val="24"/>
        </w:rPr>
        <w:t>us</w:t>
      </w:r>
      <w:r w:rsidRPr="00DC4460">
        <w:rPr>
          <w:szCs w:val="24"/>
        </w:rPr>
        <w:t xml:space="preserve">, t. y. iki 30 procentų </w:t>
      </w:r>
      <w:r w:rsidR="00F01E60" w:rsidRPr="00DC4460">
        <w:rPr>
          <w:szCs w:val="24"/>
        </w:rPr>
        <w:t>j</w:t>
      </w:r>
      <w:r w:rsidR="00F01E60">
        <w:rPr>
          <w:szCs w:val="24"/>
        </w:rPr>
        <w:t xml:space="preserve">uos </w:t>
      </w:r>
      <w:r w:rsidRPr="00DC4460">
        <w:rPr>
          <w:szCs w:val="24"/>
        </w:rPr>
        <w:t xml:space="preserve">didinti ar mažinti. DTĮ </w:t>
      </w:r>
      <w:r w:rsidR="00F01E60">
        <w:rPr>
          <w:szCs w:val="24"/>
        </w:rPr>
        <w:t xml:space="preserve">projektu </w:t>
      </w:r>
      <w:r w:rsidRPr="00DC4460">
        <w:rPr>
          <w:szCs w:val="24"/>
        </w:rPr>
        <w:t xml:space="preserve">siūloma tik užsienio reikalų ministrui suteikti teisę kartą per ketvirtį nustatyti gyvenamosios vietos pragyvenimo išlaidų korekcinius koeficientus (toliau </w:t>
      </w:r>
      <w:bookmarkStart w:id="4" w:name="_Hlk36125383"/>
      <w:r w:rsidRPr="00DC4460">
        <w:rPr>
          <w:szCs w:val="24"/>
        </w:rPr>
        <w:t>−</w:t>
      </w:r>
      <w:bookmarkEnd w:id="4"/>
      <w:r w:rsidRPr="00DC4460">
        <w:rPr>
          <w:szCs w:val="24"/>
        </w:rPr>
        <w:t xml:space="preserve"> korekciniai koeficientai), tiek neigiama (iki 25 proc.), tiek  teigiama (iki 50 proc.) linkme, ne tik dėl ilgalaikių, bet ir dėl staigių ir neaiškų laikotarpį trunkančių tokių aplinkybių, kaip valiutų kursų svyravimai, taip pat dėl kitų neaiškių ir neapibrėžtų „svarbių aplinkybių“.</w:t>
      </w:r>
    </w:p>
    <w:p w14:paraId="3901C8A1" w14:textId="5ACD8143" w:rsidR="00DC4460" w:rsidRPr="00DC4460" w:rsidRDefault="00DC4460" w:rsidP="005A2B98">
      <w:pPr>
        <w:ind w:firstLine="851"/>
        <w:rPr>
          <w:szCs w:val="24"/>
        </w:rPr>
      </w:pPr>
      <w:r w:rsidRPr="00DC4460">
        <w:rPr>
          <w:szCs w:val="24"/>
        </w:rPr>
        <w:t xml:space="preserve">Aiškinamajame rašte nėra pateikiami argumentai dėl siūlomos galimybės būtent 50 procentų didinti </w:t>
      </w:r>
      <w:r w:rsidR="00307A4B">
        <w:rPr>
          <w:szCs w:val="24"/>
        </w:rPr>
        <w:t xml:space="preserve">numatomus </w:t>
      </w:r>
      <w:r w:rsidRPr="00DC4460">
        <w:rPr>
          <w:szCs w:val="24"/>
        </w:rPr>
        <w:t xml:space="preserve">naujus Vyriausybės nustatytus </w:t>
      </w:r>
      <w:bookmarkStart w:id="5" w:name="_Hlk36126914"/>
      <w:r w:rsidRPr="00DC4460">
        <w:rPr>
          <w:szCs w:val="24"/>
        </w:rPr>
        <w:t xml:space="preserve">gyvenamosios vietos pragyvenimo išlaidų koeficientus </w:t>
      </w:r>
      <w:bookmarkEnd w:id="5"/>
      <w:r w:rsidRPr="00DC4460">
        <w:rPr>
          <w:szCs w:val="24"/>
        </w:rPr>
        <w:t xml:space="preserve">(šiuo metu galiojančių </w:t>
      </w:r>
      <w:r w:rsidR="00E95DD2">
        <w:rPr>
          <w:szCs w:val="24"/>
        </w:rPr>
        <w:t xml:space="preserve">Nutarimu </w:t>
      </w:r>
      <w:r w:rsidRPr="00DC4460">
        <w:rPr>
          <w:szCs w:val="24"/>
        </w:rPr>
        <w:t>nustatytų gyvenimo lygio vietos koeficientų ir gyvenamųjų patalpų nuomos lygio vietos koeficientų nebeliktų</w:t>
      </w:r>
      <w:r w:rsidR="00E95DD2">
        <w:rPr>
          <w:szCs w:val="24"/>
        </w:rPr>
        <w:t>, juos pakeistų nauji</w:t>
      </w:r>
      <w:r w:rsidR="00E95DD2" w:rsidRPr="00E95DD2">
        <w:rPr>
          <w:szCs w:val="24"/>
        </w:rPr>
        <w:t xml:space="preserve"> </w:t>
      </w:r>
      <w:bookmarkStart w:id="6" w:name="_Hlk36127664"/>
      <w:bookmarkStart w:id="7" w:name="_Hlk36127335"/>
      <w:r w:rsidR="00E95DD2" w:rsidRPr="00DC4460">
        <w:rPr>
          <w:szCs w:val="24"/>
        </w:rPr>
        <w:t xml:space="preserve">gyvenamosios vietos pragyvenimo išlaidų </w:t>
      </w:r>
      <w:bookmarkEnd w:id="6"/>
      <w:r w:rsidR="00E95DD2" w:rsidRPr="00DC4460">
        <w:rPr>
          <w:szCs w:val="24"/>
        </w:rPr>
        <w:t>koeficient</w:t>
      </w:r>
      <w:r w:rsidR="00307A4B">
        <w:rPr>
          <w:szCs w:val="24"/>
        </w:rPr>
        <w:t>ai</w:t>
      </w:r>
      <w:bookmarkEnd w:id="7"/>
      <w:r w:rsidRPr="00DC4460">
        <w:rPr>
          <w:szCs w:val="24"/>
        </w:rPr>
        <w:t xml:space="preserve">). Atsižvelgiant į tai, kyla abejonių, ar siūloma 50 proc. paklaida </w:t>
      </w:r>
      <w:r w:rsidR="00307A4B">
        <w:rPr>
          <w:szCs w:val="24"/>
        </w:rPr>
        <w:t xml:space="preserve">nuo naujai Vyriausybės patvirtintų </w:t>
      </w:r>
      <w:r w:rsidR="00307A4B" w:rsidRPr="00DC4460">
        <w:rPr>
          <w:szCs w:val="24"/>
        </w:rPr>
        <w:t>gyvenamosios vietos pragyvenimo išlaidų koeficient</w:t>
      </w:r>
      <w:r w:rsidR="00307A4B">
        <w:rPr>
          <w:szCs w:val="24"/>
        </w:rPr>
        <w:t>ų</w:t>
      </w:r>
      <w:r w:rsidR="00307A4B" w:rsidRPr="00DC4460">
        <w:rPr>
          <w:szCs w:val="24"/>
        </w:rPr>
        <w:t xml:space="preserve"> </w:t>
      </w:r>
      <w:r w:rsidRPr="00DC4460">
        <w:rPr>
          <w:szCs w:val="24"/>
        </w:rPr>
        <w:t>būtų optimali, todėl prašytume pateikti daugiau informacijos dėl</w:t>
      </w:r>
      <w:r w:rsidR="00E95DD2">
        <w:rPr>
          <w:szCs w:val="24"/>
        </w:rPr>
        <w:t xml:space="preserve"> </w:t>
      </w:r>
      <w:r w:rsidRPr="00DC4460">
        <w:rPr>
          <w:szCs w:val="24"/>
        </w:rPr>
        <w:t>50 proc. pasirinkimo.</w:t>
      </w:r>
      <w:r w:rsidR="005A2B98">
        <w:rPr>
          <w:szCs w:val="24"/>
        </w:rPr>
        <w:t xml:space="preserve"> </w:t>
      </w:r>
      <w:r w:rsidRPr="00DC4460">
        <w:rPr>
          <w:szCs w:val="24"/>
        </w:rPr>
        <w:t xml:space="preserve">Be to, aiškinamajame rašte teigiama, kad tik užsienio reikalų ministrui numatoma suteikti teisę keisti koeficientų normas „viena vertus, siekiant užtikrinti, kad visiems atstovybės personalo nariams būtų taikomos vienodos sąlygos, kita vertus, atsižvelgiantį tai, kad atskiros institucijos, pačios indeksuodamos koeficientus, paprastai kreipiasi į Užsienio reikalų ministeriją gairių ir pasiūlymų“. Įvertinus tai, kad siūloma nustatyti teisę tik užsienio reikalų ministrui padidinti </w:t>
      </w:r>
      <w:r w:rsidR="00F01E60">
        <w:rPr>
          <w:szCs w:val="24"/>
        </w:rPr>
        <w:t xml:space="preserve">Vyriausybės nustatytų </w:t>
      </w:r>
      <w:r w:rsidR="00F01E60" w:rsidRPr="00DC4460">
        <w:rPr>
          <w:szCs w:val="24"/>
        </w:rPr>
        <w:t xml:space="preserve">gyvenamosios vietos pragyvenimo išlaidų </w:t>
      </w:r>
      <w:r w:rsidRPr="00DC4460">
        <w:rPr>
          <w:szCs w:val="24"/>
        </w:rPr>
        <w:t xml:space="preserve">koeficientų normas iki 50 proc. (dėl </w:t>
      </w:r>
      <w:r w:rsidR="00FD30EA">
        <w:rPr>
          <w:szCs w:val="24"/>
        </w:rPr>
        <w:t>to</w:t>
      </w:r>
      <w:r w:rsidRPr="00DC4460">
        <w:rPr>
          <w:szCs w:val="24"/>
        </w:rPr>
        <w:t xml:space="preserve"> išaugtų valstybės biudžeto lėšų poreikis), yra neaišku, kaip atskiros </w:t>
      </w:r>
      <w:r w:rsidR="00F01E60">
        <w:rPr>
          <w:szCs w:val="24"/>
        </w:rPr>
        <w:t xml:space="preserve">institucijos </w:t>
      </w:r>
      <w:r w:rsidRPr="00DC4460">
        <w:rPr>
          <w:szCs w:val="24"/>
        </w:rPr>
        <w:t>gautų informaciją ir būtų įtrauktos į tokių sprendimų priėmimą, siekiant tinkamo valstybės biudžeto lėšų poreikio planavimo. Siūlytume numatyti, kad Užsienio reikalų ministerija, prieš priimdama sprendimus dėl korekcinių koeficientų nustatymo, konsultuotųsi su kitomis</w:t>
      </w:r>
      <w:r w:rsidR="005A2B98">
        <w:rPr>
          <w:szCs w:val="24"/>
        </w:rPr>
        <w:t xml:space="preserve"> </w:t>
      </w:r>
      <w:r w:rsidR="00F01E60">
        <w:rPr>
          <w:szCs w:val="24"/>
        </w:rPr>
        <w:t>institucijomis</w:t>
      </w:r>
      <w:r w:rsidRPr="00DC4460">
        <w:rPr>
          <w:szCs w:val="24"/>
        </w:rPr>
        <w:t>.</w:t>
      </w:r>
    </w:p>
    <w:p w14:paraId="147A913F" w14:textId="526CDD0B" w:rsidR="00DC4460" w:rsidRPr="00DC4460" w:rsidRDefault="00DC4460" w:rsidP="00C43389">
      <w:pPr>
        <w:numPr>
          <w:ilvl w:val="0"/>
          <w:numId w:val="1"/>
        </w:numPr>
        <w:ind w:left="0" w:firstLine="709"/>
        <w:contextualSpacing/>
        <w:rPr>
          <w:szCs w:val="24"/>
        </w:rPr>
      </w:pPr>
      <w:r w:rsidRPr="00DC4460">
        <w:rPr>
          <w:bCs/>
          <w:szCs w:val="24"/>
        </w:rPr>
        <w:t>DTĮ projekto 20 straipsnyje s</w:t>
      </w:r>
      <w:r w:rsidRPr="00DC4460">
        <w:rPr>
          <w:szCs w:val="24"/>
        </w:rPr>
        <w:t xml:space="preserve">iūloma pakeisti </w:t>
      </w:r>
      <w:bookmarkStart w:id="8" w:name="_Hlk35946658"/>
      <w:r w:rsidRPr="00DC4460">
        <w:rPr>
          <w:szCs w:val="24"/>
        </w:rPr>
        <w:t xml:space="preserve">Įstatymo 85 straipsnio 3 dalį </w:t>
      </w:r>
      <w:bookmarkEnd w:id="8"/>
      <w:r w:rsidRPr="00DC4460">
        <w:rPr>
          <w:szCs w:val="24"/>
        </w:rPr>
        <w:t>ir ją išdėstyti taip:</w:t>
      </w:r>
      <w:bookmarkStart w:id="9" w:name="part_e048a1ee20304746bcf9a8ea735efc21"/>
      <w:bookmarkEnd w:id="9"/>
      <w:r w:rsidRPr="00DC4460">
        <w:rPr>
          <w:szCs w:val="24"/>
        </w:rPr>
        <w:t xml:space="preserve"> „3. Kai su diplomatu, dirbančiu diplomatinėje atstovybėje ar konsulinėje įstaigoje, kartu gyvena šio įstatymo 18 straipsnio 1 dalies 2 ir 4 punktuose nurodyti šeimos nariai – vaikai (įvaikiai), taip pat šio įstatymo 18 straipsnio 1 dalies 6 punkte nurodyti nepilnamečiai vaikai, kurių globėju įstatymų nustatyta tvarka yra paskirtas diplomatas ar jo sutuoktinis, diplomatui </w:t>
      </w:r>
      <w:r w:rsidRPr="00DC4460">
        <w:rPr>
          <w:b/>
          <w:szCs w:val="24"/>
        </w:rPr>
        <w:t xml:space="preserve">pagal Vyriausybės </w:t>
      </w:r>
      <w:r w:rsidRPr="00DC4460">
        <w:rPr>
          <w:b/>
          <w:bCs/>
          <w:szCs w:val="24"/>
        </w:rPr>
        <w:t>nustatytus kompensacijų dydžius</w:t>
      </w:r>
      <w:r w:rsidRPr="00DC4460">
        <w:rPr>
          <w:szCs w:val="24"/>
        </w:rPr>
        <w:t xml:space="preserve"> </w:t>
      </w:r>
      <w:r w:rsidRPr="00DC4460">
        <w:rPr>
          <w:b/>
          <w:szCs w:val="24"/>
        </w:rPr>
        <w:t>ir</w:t>
      </w:r>
      <w:r w:rsidRPr="00DC4460">
        <w:rPr>
          <w:b/>
          <w:bCs/>
          <w:szCs w:val="24"/>
        </w:rPr>
        <w:t xml:space="preserve"> užsienio reikalų ministro nustatytas</w:t>
      </w:r>
      <w:r w:rsidRPr="00DC4460">
        <w:rPr>
          <w:b/>
          <w:bCs/>
          <w:color w:val="1F497D"/>
          <w:szCs w:val="24"/>
        </w:rPr>
        <w:t xml:space="preserve"> </w:t>
      </w:r>
      <w:r w:rsidRPr="00DC4460">
        <w:rPr>
          <w:b/>
          <w:bCs/>
          <w:szCs w:val="24"/>
        </w:rPr>
        <w:t>kompensavimo sąlygas ir tvarką</w:t>
      </w:r>
      <w:r w:rsidRPr="00DC4460">
        <w:rPr>
          <w:strike/>
          <w:szCs w:val="24"/>
        </w:rPr>
        <w:t>, neviršijant Vyriausybės nustatytų normų,</w:t>
      </w:r>
      <w:r w:rsidRPr="00DC4460">
        <w:rPr>
          <w:szCs w:val="24"/>
        </w:rPr>
        <w:t xml:space="preserve"> mokama kompensacija vaikų ikimokyklinio ugdymo išlaidoms</w:t>
      </w:r>
      <w:r w:rsidRPr="00DC4460">
        <w:rPr>
          <w:b/>
          <w:szCs w:val="24"/>
        </w:rPr>
        <w:t xml:space="preserve"> visiškai ar iš dalies </w:t>
      </w:r>
      <w:r w:rsidRPr="00DC4460">
        <w:rPr>
          <w:szCs w:val="24"/>
        </w:rPr>
        <w:t xml:space="preserve">padengti“. Atsižvelgiant į tai, kad aiškinamajame rašte nėra pateikiama informacija dėl šio pasiūlymo, kyla klausimų dėl pasiūlymo pagrįstumo (t. y. problematikos šiuo klausimu), todėl siūlytina aiškinamajame rašte pateikti išsamesnę informaciją, </w:t>
      </w:r>
      <w:r w:rsidR="00F01E60">
        <w:rPr>
          <w:szCs w:val="24"/>
        </w:rPr>
        <w:t xml:space="preserve">kodėl ir </w:t>
      </w:r>
      <w:r w:rsidRPr="00DC4460">
        <w:rPr>
          <w:szCs w:val="24"/>
        </w:rPr>
        <w:t>kaip, tikėtina, keistųsi kompensavimo už vaikų ikimokyklinio ugdymo išlaidas tvarka. Analogiška pastaba taikoma ir dė</w:t>
      </w:r>
      <w:r w:rsidR="00496D01">
        <w:rPr>
          <w:szCs w:val="24"/>
        </w:rPr>
        <w:t xml:space="preserve">l siūlomo Įstatymo 85 </w:t>
      </w:r>
      <w:r w:rsidRPr="00DC4460">
        <w:rPr>
          <w:szCs w:val="24"/>
        </w:rPr>
        <w:t>straipsnio 4 dalies pakeitimo.</w:t>
      </w:r>
    </w:p>
    <w:p w14:paraId="3D22DFAD" w14:textId="71C9B02B" w:rsidR="00DC4460" w:rsidRPr="00DC4460" w:rsidRDefault="00DC4460" w:rsidP="00C43389">
      <w:pPr>
        <w:numPr>
          <w:ilvl w:val="0"/>
          <w:numId w:val="1"/>
        </w:numPr>
        <w:ind w:left="0" w:firstLine="709"/>
        <w:contextualSpacing/>
        <w:rPr>
          <w:szCs w:val="24"/>
        </w:rPr>
      </w:pPr>
      <w:r w:rsidRPr="00DC4460">
        <w:rPr>
          <w:bCs/>
          <w:szCs w:val="24"/>
        </w:rPr>
        <w:t>DTĮ projekto 22 straipsnyje</w:t>
      </w:r>
      <w:bookmarkStart w:id="10" w:name="part_42e1acff569e4511afd943114ed3e9aa"/>
      <w:bookmarkEnd w:id="10"/>
      <w:r w:rsidRPr="00DC4460">
        <w:rPr>
          <w:bCs/>
          <w:szCs w:val="24"/>
        </w:rPr>
        <w:t xml:space="preserve"> s</w:t>
      </w:r>
      <w:r w:rsidRPr="00DC4460">
        <w:rPr>
          <w:szCs w:val="24"/>
        </w:rPr>
        <w:t xml:space="preserve">iūloma pakeisti 89 straipsnio 7 dalį ir ją išdėstyti </w:t>
      </w:r>
      <w:r w:rsidRPr="00CA0776">
        <w:rPr>
          <w:szCs w:val="24"/>
        </w:rPr>
        <w:t xml:space="preserve">taip: </w:t>
      </w:r>
      <w:r w:rsidRPr="00CA0776">
        <w:rPr>
          <w:szCs w:val="24"/>
        </w:rPr>
        <w:br/>
      </w:r>
      <w:r w:rsidRPr="00DC4460">
        <w:rPr>
          <w:szCs w:val="24"/>
        </w:rPr>
        <w:t xml:space="preserve">„7. Diplomatinėje atstovybėje, konsulinėje įstaigoje arba specialiojoje misijoje dirbančiam diplomatui (išskyrus diplomatinį atstovą) </w:t>
      </w:r>
      <w:r w:rsidRPr="00DC4460">
        <w:rPr>
          <w:strike/>
          <w:szCs w:val="24"/>
        </w:rPr>
        <w:t>jo pasirinkimu</w:t>
      </w:r>
      <w:r w:rsidRPr="00DC4460">
        <w:rPr>
          <w:szCs w:val="24"/>
        </w:rPr>
        <w:t xml:space="preserve"> kas mėnesį skiriama išmoka </w:t>
      </w:r>
      <w:bookmarkStart w:id="11" w:name="_Hlk35947398"/>
      <w:r w:rsidRPr="00DC4460">
        <w:rPr>
          <w:szCs w:val="24"/>
        </w:rPr>
        <w:t xml:space="preserve">apsirūpinti jo pareigybę ir šeimos narių skaičių atitinkančiomis gyvenamosiomis patalpomis </w:t>
      </w:r>
      <w:bookmarkEnd w:id="11"/>
      <w:r w:rsidRPr="00DC4460">
        <w:rPr>
          <w:strike/>
          <w:szCs w:val="24"/>
        </w:rPr>
        <w:t>ir komunalinėms bei ryšių išlaidoms padengti</w:t>
      </w:r>
      <w:r w:rsidRPr="00DC4460">
        <w:rPr>
          <w:szCs w:val="24"/>
        </w:rPr>
        <w:t xml:space="preserve"> arba, jei yra  galimybė, suteikiamos jo pareigybę ir šeimos narių skaičių atitinkančios </w:t>
      </w:r>
      <w:r w:rsidRPr="00DC4460">
        <w:rPr>
          <w:b/>
          <w:szCs w:val="24"/>
        </w:rPr>
        <w:t xml:space="preserve">Užsienio reikalų ministerijos patikėjimo teise valdomos </w:t>
      </w:r>
      <w:r w:rsidRPr="00DC4460">
        <w:rPr>
          <w:szCs w:val="24"/>
        </w:rPr>
        <w:t>gyvenamosios patalpos</w:t>
      </w:r>
      <w:r w:rsidRPr="00DC4460">
        <w:rPr>
          <w:b/>
          <w:szCs w:val="24"/>
        </w:rPr>
        <w:t xml:space="preserve"> arba gyvenamosios patalpos, nuomojamos kartu su diplomatinės atstovybės, konsulinės įstaigos ar specialiosios misijos patalpomis. </w:t>
      </w:r>
      <w:r w:rsidRPr="00DC4460">
        <w:rPr>
          <w:szCs w:val="24"/>
        </w:rPr>
        <w:t xml:space="preserve">Diplomatiniam atstovui suteikiamos jo pareigybę ir šeimos narių skaičių atitinkančios gyvenamosios patalpos – rezidencija. Suteikiant gyvenamąsias patalpas, </w:t>
      </w:r>
      <w:r w:rsidRPr="00DC4460">
        <w:rPr>
          <w:strike/>
          <w:szCs w:val="24"/>
        </w:rPr>
        <w:t xml:space="preserve">Vyriausybės nustatyta tvarka </w:t>
      </w:r>
      <w:r w:rsidRPr="00DC4460">
        <w:rPr>
          <w:szCs w:val="24"/>
        </w:rPr>
        <w:t xml:space="preserve">apmokamos </w:t>
      </w:r>
      <w:r w:rsidRPr="00DC4460">
        <w:rPr>
          <w:b/>
          <w:szCs w:val="24"/>
        </w:rPr>
        <w:t xml:space="preserve">su gyvenamųjų patalpų suteikimu ir išlaikymu susijusios </w:t>
      </w:r>
      <w:r w:rsidRPr="00DC4460">
        <w:rPr>
          <w:strike/>
          <w:szCs w:val="24"/>
        </w:rPr>
        <w:t>komunalinės</w:t>
      </w:r>
      <w:r w:rsidRPr="00DC4460">
        <w:rPr>
          <w:b/>
          <w:strike/>
          <w:szCs w:val="24"/>
        </w:rPr>
        <w:t>,</w:t>
      </w:r>
      <w:r w:rsidRPr="00DC4460">
        <w:rPr>
          <w:strike/>
          <w:szCs w:val="24"/>
        </w:rPr>
        <w:t xml:space="preserve"> ir ryšių</w:t>
      </w:r>
      <w:r w:rsidRPr="00DC4460">
        <w:rPr>
          <w:b/>
          <w:szCs w:val="24"/>
        </w:rPr>
        <w:t xml:space="preserve"> </w:t>
      </w:r>
      <w:r w:rsidRPr="00DC4460">
        <w:rPr>
          <w:szCs w:val="24"/>
        </w:rPr>
        <w:t xml:space="preserve">išlaidos &lt;..&gt;“. Siūlytina patikslinti </w:t>
      </w:r>
      <w:r w:rsidR="002D7256">
        <w:rPr>
          <w:szCs w:val="24"/>
        </w:rPr>
        <w:t xml:space="preserve">DTĮ projektą </w:t>
      </w:r>
      <w:r w:rsidRPr="00DC4460">
        <w:rPr>
          <w:szCs w:val="24"/>
        </w:rPr>
        <w:t xml:space="preserve">ir aiškiai nurodyti, ar tik suteikiant gyvenamąsias patalpas būtų apmokamos su gyvenamųjų patalpų suteikimu ir išlaikymu susijusios išlaidos, ar ir skiriant diplomatui išmoką apsirūpinti jo pareigybę ir šeimos narių skaičių atitinkančiomis gyvenamosiomis patalpomis </w:t>
      </w:r>
      <w:r w:rsidR="0076465D">
        <w:rPr>
          <w:szCs w:val="24"/>
        </w:rPr>
        <w:t xml:space="preserve">būtų įvertintos visos galimos </w:t>
      </w:r>
      <w:r w:rsidRPr="00DC4460">
        <w:rPr>
          <w:szCs w:val="24"/>
        </w:rPr>
        <w:t>su gyvenamųjų patalpų išlaikymu susijusios išlaidos</w:t>
      </w:r>
      <w:r w:rsidR="0076465D">
        <w:rPr>
          <w:szCs w:val="24"/>
        </w:rPr>
        <w:t>.</w:t>
      </w:r>
    </w:p>
    <w:p w14:paraId="7DEBB5C1" w14:textId="2ED27E90" w:rsidR="00DC4460" w:rsidRPr="00DC4460" w:rsidRDefault="00DC4460" w:rsidP="00C43389">
      <w:pPr>
        <w:numPr>
          <w:ilvl w:val="0"/>
          <w:numId w:val="1"/>
        </w:numPr>
        <w:ind w:left="0" w:firstLine="709"/>
        <w:contextualSpacing/>
        <w:rPr>
          <w:szCs w:val="24"/>
          <w:lang w:eastAsia="lt-LT"/>
        </w:rPr>
      </w:pPr>
      <w:r w:rsidRPr="00DC4460">
        <w:rPr>
          <w:szCs w:val="24"/>
        </w:rPr>
        <w:t>Taip pat DTĮ projektu siūloma pa</w:t>
      </w:r>
      <w:r w:rsidRPr="00DC4460">
        <w:rPr>
          <w:szCs w:val="24"/>
          <w:lang w:eastAsia="lt-LT"/>
        </w:rPr>
        <w:t>pildyti 89 straipsnį nauja 13 dalimi, nustatančia diplomato važiavimo tarnybos tikslais keleivių vežimą vietinio reguliaraus susisiekimo maršrutais vykdančiomis transporto priemonėmis išlaidų apmokėjimą ar kompensavimą. Pritariame šiam papildymui, tačiau  klausimas kyla dėl numatomo minėtų išlaidų kompensavimo šaltinio, t. y. ar lėšos tam bus numatomos iš Užsienio reikalų ministerijai skirtų valstybės biudžeto asignavimų ar kitų šaltinių, todėl siūlytina papildyti DTĮ projekto nuostatas.</w:t>
      </w:r>
    </w:p>
    <w:p w14:paraId="56A89902" w14:textId="6EDB70B9" w:rsidR="00DC4460" w:rsidRPr="00DC4460" w:rsidRDefault="00DC4460" w:rsidP="00C43389">
      <w:pPr>
        <w:numPr>
          <w:ilvl w:val="0"/>
          <w:numId w:val="1"/>
        </w:numPr>
        <w:spacing w:before="100" w:beforeAutospacing="1" w:after="100" w:afterAutospacing="1"/>
        <w:ind w:left="0" w:firstLine="709"/>
      </w:pPr>
      <w:r w:rsidRPr="00DC4460">
        <w:rPr>
          <w:bCs/>
          <w:szCs w:val="24"/>
        </w:rPr>
        <w:t>DTĮ projekto 31 straipsnyje nustatyta siūlomų pakeitimų įsigaliojimo data.</w:t>
      </w:r>
      <w:r w:rsidRPr="00DC4460">
        <w:rPr>
          <w:szCs w:val="24"/>
        </w:rPr>
        <w:t xml:space="preserve"> </w:t>
      </w:r>
      <w:r w:rsidR="00F8075D">
        <w:rPr>
          <w:szCs w:val="24"/>
        </w:rPr>
        <w:t>Kadangi</w:t>
      </w:r>
      <w:r w:rsidR="00C041B1">
        <w:rPr>
          <w:szCs w:val="24"/>
        </w:rPr>
        <w:br/>
      </w:r>
      <w:r w:rsidRPr="00DC4460">
        <w:rPr>
          <w:szCs w:val="24"/>
        </w:rPr>
        <w:t>2021 m. valstybės biudžeto lėšų planavimas jau yra prasidėjęs, siūlome numatyti vėlesnę DTĮ projektu siūlomų pakeitimų įsigaliojimo datą.</w:t>
      </w:r>
    </w:p>
    <w:p w14:paraId="1D02D126" w14:textId="2F9BEFCA" w:rsidR="00DC4460" w:rsidRPr="00DC4460" w:rsidRDefault="00DC4460" w:rsidP="00C43389">
      <w:pPr>
        <w:numPr>
          <w:ilvl w:val="0"/>
          <w:numId w:val="1"/>
        </w:numPr>
        <w:spacing w:before="100" w:beforeAutospacing="1" w:after="100" w:afterAutospacing="1"/>
        <w:ind w:left="0" w:firstLine="709"/>
        <w:rPr>
          <w:szCs w:val="24"/>
        </w:rPr>
      </w:pPr>
      <w:r w:rsidRPr="00DC4460">
        <w:t xml:space="preserve">Siekiant, kad, įsigaliojus DTĮ projektui, </w:t>
      </w:r>
      <w:r w:rsidR="00A96EF0">
        <w:t>Į</w:t>
      </w:r>
      <w:r w:rsidRPr="00DC4460">
        <w:t>statyme būtų vartojamos vienodos sąvokos, visame DTĮ projekte vartojama sąvoka „ministerija“ keistina į „Užsienio reikalų ministerija“.</w:t>
      </w:r>
    </w:p>
    <w:p w14:paraId="101E561B" w14:textId="429D62CC" w:rsidR="00DC4460" w:rsidRPr="00DC4460" w:rsidRDefault="00DC4460" w:rsidP="00C43389">
      <w:pPr>
        <w:numPr>
          <w:ilvl w:val="0"/>
          <w:numId w:val="1"/>
        </w:numPr>
        <w:spacing w:before="100" w:beforeAutospacing="1" w:after="100" w:afterAutospacing="1"/>
        <w:ind w:left="0" w:firstLine="709"/>
        <w:rPr>
          <w:szCs w:val="24"/>
        </w:rPr>
      </w:pPr>
      <w:r w:rsidRPr="00DC4460">
        <w:t xml:space="preserve">Atsižvelgiant į tai, kad, kaip nurodyta aiškinamajame rašte, kai kurias </w:t>
      </w:r>
      <w:r w:rsidR="00A96EF0">
        <w:t>Į</w:t>
      </w:r>
      <w:r w:rsidRPr="00DC4460">
        <w:t>statymo nuostatas siekiama suderinti su pasikeitusiu Valstybės tarnybos įstatymo teisiniu reguliavimu, siūlytina DTĮ projektą pateikti Valstybės tarnybos</w:t>
      </w:r>
      <w:r w:rsidR="00FD30EA">
        <w:t xml:space="preserve"> departamentui išvadoms gauti. </w:t>
      </w:r>
    </w:p>
    <w:p w14:paraId="76D9FF3B" w14:textId="3782090E" w:rsidR="00DC4460" w:rsidRPr="00DC4460" w:rsidRDefault="00EA35B5" w:rsidP="00C43389">
      <w:pPr>
        <w:ind w:firstLine="709"/>
        <w:jc w:val="left"/>
        <w:rPr>
          <w:szCs w:val="24"/>
        </w:rPr>
      </w:pPr>
      <w:r>
        <w:rPr>
          <w:szCs w:val="24"/>
        </w:rPr>
        <w:t>P</w:t>
      </w:r>
      <w:r w:rsidR="00DC4460" w:rsidRPr="00DC4460">
        <w:rPr>
          <w:szCs w:val="24"/>
        </w:rPr>
        <w:t xml:space="preserve">astabų ar pasiūlymų dėl </w:t>
      </w:r>
      <w:r>
        <w:rPr>
          <w:szCs w:val="24"/>
        </w:rPr>
        <w:t>P</w:t>
      </w:r>
      <w:r w:rsidR="00DC4460" w:rsidRPr="00DC4460">
        <w:rPr>
          <w:szCs w:val="24"/>
        </w:rPr>
        <w:t>rojekt</w:t>
      </w:r>
      <w:r>
        <w:rPr>
          <w:szCs w:val="24"/>
        </w:rPr>
        <w:t>o 1 ir</w:t>
      </w:r>
      <w:r w:rsidR="000C4A73">
        <w:rPr>
          <w:szCs w:val="24"/>
        </w:rPr>
        <w:t xml:space="preserve"> </w:t>
      </w:r>
      <w:r>
        <w:rPr>
          <w:szCs w:val="24"/>
        </w:rPr>
        <w:t>Projekto 2</w:t>
      </w:r>
      <w:r w:rsidR="00DC4460" w:rsidRPr="00DC4460">
        <w:rPr>
          <w:szCs w:val="24"/>
        </w:rPr>
        <w:t xml:space="preserve"> neturime.</w:t>
      </w:r>
    </w:p>
    <w:p w14:paraId="242167D5" w14:textId="77777777" w:rsidR="00DC4460" w:rsidRPr="00DC4460" w:rsidRDefault="00DC4460" w:rsidP="00C43389">
      <w:pPr>
        <w:ind w:firstLine="709"/>
        <w:rPr>
          <w:szCs w:val="24"/>
        </w:rPr>
      </w:pPr>
    </w:p>
    <w:p w14:paraId="30991159" w14:textId="77777777" w:rsidR="00DC4460" w:rsidRPr="00DC4460" w:rsidRDefault="00DC4460" w:rsidP="00C43389">
      <w:pPr>
        <w:ind w:firstLine="709"/>
        <w:rPr>
          <w:szCs w:val="24"/>
        </w:rPr>
      </w:pPr>
    </w:p>
    <w:p w14:paraId="7B3B5B4B" w14:textId="7481DC26" w:rsidR="00DC4460" w:rsidRPr="00DC4460" w:rsidRDefault="000C4A73" w:rsidP="000C4A73">
      <w:r>
        <w:tab/>
      </w:r>
    </w:p>
    <w:p w14:paraId="2F2A55E4" w14:textId="77777777" w:rsidR="00DC4460" w:rsidRPr="00DC4460" w:rsidRDefault="00DC4460" w:rsidP="00DC4460">
      <w:pPr>
        <w:rPr>
          <w:szCs w:val="24"/>
        </w:rPr>
      </w:pPr>
      <w:r w:rsidRPr="00DC4460">
        <w:t>Ekonomikos ir inovacijų viceministras</w:t>
      </w:r>
      <w:r w:rsidRPr="00DC4460">
        <w:tab/>
      </w:r>
      <w:r w:rsidRPr="00DC4460">
        <w:tab/>
      </w:r>
      <w:r w:rsidRPr="00DC4460">
        <w:tab/>
      </w:r>
      <w:r w:rsidRPr="00DC4460">
        <w:tab/>
      </w:r>
      <w:r w:rsidRPr="00DC4460">
        <w:tab/>
      </w:r>
      <w:r w:rsidRPr="00DC4460">
        <w:tab/>
        <w:t>Marius Skuodis</w:t>
      </w:r>
    </w:p>
    <w:p w14:paraId="062DD93C" w14:textId="77777777" w:rsidR="00DC4460" w:rsidRPr="00DC4460" w:rsidRDefault="00DC4460" w:rsidP="00DC4460">
      <w:pPr>
        <w:rPr>
          <w:szCs w:val="24"/>
        </w:rPr>
      </w:pPr>
    </w:p>
    <w:p w14:paraId="27F37843" w14:textId="77777777" w:rsidR="00DC4460" w:rsidRPr="00DC4460" w:rsidRDefault="00DC4460" w:rsidP="00DC4460">
      <w:pPr>
        <w:rPr>
          <w:szCs w:val="24"/>
        </w:rPr>
      </w:pPr>
    </w:p>
    <w:p w14:paraId="42597549" w14:textId="77777777" w:rsidR="00DC4460" w:rsidRPr="00DC4460" w:rsidRDefault="00DC4460" w:rsidP="00DC4460">
      <w:pPr>
        <w:rPr>
          <w:szCs w:val="24"/>
        </w:rPr>
      </w:pPr>
    </w:p>
    <w:p w14:paraId="7CF54E47" w14:textId="77777777" w:rsidR="00DC4460" w:rsidRPr="00DC4460" w:rsidRDefault="00DC4460" w:rsidP="00DC4460">
      <w:pPr>
        <w:rPr>
          <w:szCs w:val="24"/>
        </w:rPr>
      </w:pPr>
    </w:p>
    <w:p w14:paraId="69C8F50C" w14:textId="77777777" w:rsidR="00DC4460" w:rsidRPr="00DC4460" w:rsidRDefault="00DC4460" w:rsidP="00DC4460">
      <w:pPr>
        <w:rPr>
          <w:szCs w:val="24"/>
        </w:rPr>
      </w:pPr>
    </w:p>
    <w:p w14:paraId="5D6DC5EB" w14:textId="442371DE" w:rsidR="00DC4460" w:rsidRDefault="00DC4460" w:rsidP="00DC4460">
      <w:pPr>
        <w:rPr>
          <w:szCs w:val="24"/>
        </w:rPr>
      </w:pPr>
    </w:p>
    <w:p w14:paraId="1ED4348E" w14:textId="798F4E1A" w:rsidR="000C4A73" w:rsidRDefault="000C4A73" w:rsidP="00DC4460">
      <w:pPr>
        <w:rPr>
          <w:szCs w:val="24"/>
        </w:rPr>
      </w:pPr>
    </w:p>
    <w:p w14:paraId="09B443BE" w14:textId="46D001A7" w:rsidR="000C4A73" w:rsidRDefault="000C4A73" w:rsidP="00DC4460">
      <w:pPr>
        <w:rPr>
          <w:szCs w:val="24"/>
        </w:rPr>
      </w:pPr>
    </w:p>
    <w:p w14:paraId="34DC4D78" w14:textId="296AA1EF" w:rsidR="000C4A73" w:rsidRDefault="000C4A73" w:rsidP="00DC4460">
      <w:pPr>
        <w:rPr>
          <w:szCs w:val="24"/>
        </w:rPr>
      </w:pPr>
    </w:p>
    <w:p w14:paraId="7AD315AD" w14:textId="4CA90A2C" w:rsidR="000C4A73" w:rsidRDefault="000C4A73" w:rsidP="00DC4460">
      <w:pPr>
        <w:rPr>
          <w:szCs w:val="24"/>
        </w:rPr>
      </w:pPr>
    </w:p>
    <w:p w14:paraId="0BF81B78" w14:textId="558A9AB6" w:rsidR="000C4A73" w:rsidRDefault="000C4A73" w:rsidP="00DC4460">
      <w:pPr>
        <w:rPr>
          <w:szCs w:val="24"/>
        </w:rPr>
      </w:pPr>
    </w:p>
    <w:p w14:paraId="415E2EBB" w14:textId="7C8F5228" w:rsidR="000C4A73" w:rsidRDefault="000C4A73" w:rsidP="00DC4460">
      <w:pPr>
        <w:rPr>
          <w:szCs w:val="24"/>
        </w:rPr>
      </w:pPr>
    </w:p>
    <w:p w14:paraId="214FB8A0" w14:textId="40104E34" w:rsidR="000C4A73" w:rsidRDefault="000C4A73" w:rsidP="00DC4460">
      <w:pPr>
        <w:rPr>
          <w:szCs w:val="24"/>
        </w:rPr>
      </w:pPr>
    </w:p>
    <w:p w14:paraId="4C94FEC6" w14:textId="77777777" w:rsidR="000C4A73" w:rsidRPr="00DC4460" w:rsidRDefault="000C4A73" w:rsidP="00DC4460">
      <w:pPr>
        <w:rPr>
          <w:szCs w:val="24"/>
        </w:rPr>
      </w:pPr>
    </w:p>
    <w:p w14:paraId="574EAC2D" w14:textId="574CC2D0" w:rsidR="00DC4460" w:rsidRPr="00DC4460" w:rsidRDefault="00DC4460" w:rsidP="00DC4460"/>
    <w:p w14:paraId="00301218" w14:textId="76AC24AA" w:rsidR="00DC4460" w:rsidRPr="00DC4460" w:rsidRDefault="00DC4460" w:rsidP="00DC4460"/>
    <w:p w14:paraId="0AF1FF26" w14:textId="2FDAC693" w:rsidR="00DC4460" w:rsidRDefault="00DC4460" w:rsidP="00DC4460">
      <w:pPr>
        <w:rPr>
          <w:szCs w:val="24"/>
        </w:rPr>
      </w:pPr>
    </w:p>
    <w:p w14:paraId="6EF9D7C0" w14:textId="50425B67" w:rsidR="00DC4460" w:rsidRDefault="00DC4460" w:rsidP="00DC4460">
      <w:pPr>
        <w:rPr>
          <w:szCs w:val="24"/>
        </w:rPr>
      </w:pPr>
    </w:p>
    <w:p w14:paraId="1CB958A2" w14:textId="11AF2970" w:rsidR="00DC4460" w:rsidRDefault="00DC4460" w:rsidP="00DC4460">
      <w:pPr>
        <w:rPr>
          <w:szCs w:val="24"/>
        </w:rPr>
      </w:pPr>
    </w:p>
    <w:p w14:paraId="07D57300" w14:textId="77777777" w:rsidR="00DC4460" w:rsidRPr="00DC4460" w:rsidRDefault="00DC4460" w:rsidP="00DC4460">
      <w:pPr>
        <w:rPr>
          <w:szCs w:val="24"/>
        </w:rPr>
      </w:pPr>
    </w:p>
    <w:p w14:paraId="00D6036A" w14:textId="77777777" w:rsidR="00DC4460" w:rsidRPr="00DC4460" w:rsidRDefault="00DC4460" w:rsidP="00DC4460">
      <w:pPr>
        <w:rPr>
          <w:szCs w:val="24"/>
        </w:rPr>
      </w:pPr>
    </w:p>
    <w:p w14:paraId="45A6838C" w14:textId="380D4706" w:rsidR="00DC4460" w:rsidRPr="00DC4460" w:rsidRDefault="00DC4460" w:rsidP="00DC4460">
      <w:pPr>
        <w:rPr>
          <w:szCs w:val="24"/>
        </w:rPr>
      </w:pPr>
      <w:r w:rsidRPr="00DC4460">
        <w:rPr>
          <w:szCs w:val="24"/>
        </w:rPr>
        <w:t xml:space="preserve">Jurana Juškaitytė, tel. 8 706 64 813, el. p. </w:t>
      </w:r>
      <w:hyperlink r:id="rId9" w:history="1">
        <w:r w:rsidRPr="00DC4460">
          <w:rPr>
            <w:color w:val="0000FF"/>
            <w:szCs w:val="24"/>
            <w:u w:val="single"/>
          </w:rPr>
          <w:t>jurana.juskaityte@eimin.lt</w:t>
        </w:r>
      </w:hyperlink>
    </w:p>
    <w:p w14:paraId="201166D5" w14:textId="77777777" w:rsidR="00DC4460" w:rsidRPr="00DC4460" w:rsidRDefault="00DC4460" w:rsidP="00DC4460">
      <w:pPr>
        <w:rPr>
          <w:szCs w:val="24"/>
        </w:rPr>
      </w:pPr>
      <w:r w:rsidRPr="00DC4460">
        <w:rPr>
          <w:szCs w:val="24"/>
        </w:rPr>
        <w:t>Julija Levinienė, tel. 8 706 64 860</w:t>
      </w:r>
      <w:r w:rsidRPr="00730CBA">
        <w:rPr>
          <w:szCs w:val="24"/>
        </w:rPr>
        <w:t>, el.</w:t>
      </w:r>
      <w:r w:rsidRPr="00DC4460">
        <w:rPr>
          <w:szCs w:val="24"/>
        </w:rPr>
        <w:t xml:space="preserve"> p. </w:t>
      </w:r>
      <w:hyperlink r:id="rId10" w:history="1">
        <w:r w:rsidRPr="00DC4460">
          <w:rPr>
            <w:color w:val="0000FF"/>
            <w:szCs w:val="24"/>
            <w:u w:val="single"/>
          </w:rPr>
          <w:t>julija.leviniene@eimin.lt</w:t>
        </w:r>
      </w:hyperlink>
    </w:p>
    <w:p w14:paraId="7C5A42AC" w14:textId="4008BC96" w:rsidR="00125034" w:rsidRPr="00DC4460" w:rsidRDefault="00DC4460" w:rsidP="00DC4460">
      <w:r w:rsidRPr="00DC4460">
        <w:rPr>
          <w:szCs w:val="24"/>
        </w:rPr>
        <w:t>Edita Bernatonė, tel.</w:t>
      </w:r>
      <w:r w:rsidR="00CC631B">
        <w:rPr>
          <w:szCs w:val="24"/>
        </w:rPr>
        <w:t xml:space="preserve"> </w:t>
      </w:r>
      <w:r w:rsidRPr="00DC4460">
        <w:rPr>
          <w:szCs w:val="24"/>
        </w:rPr>
        <w:t xml:space="preserve">8 706 64 916, el. p. </w:t>
      </w:r>
      <w:hyperlink r:id="rId11" w:history="1">
        <w:r w:rsidRPr="00DC4460">
          <w:rPr>
            <w:color w:val="0000FF"/>
            <w:szCs w:val="24"/>
            <w:u w:val="single"/>
          </w:rPr>
          <w:t>edita.bernatone@eimin.lt</w:t>
        </w:r>
      </w:hyperlink>
    </w:p>
    <w:sectPr w:rsidR="00125034" w:rsidRPr="00DC4460" w:rsidSect="006D2A0C">
      <w:headerReference w:type="default" r:id="rId12"/>
      <w:footerReference w:type="even" r:id="rId13"/>
      <w:headerReference w:type="first" r:id="rId14"/>
      <w:footerReference w:type="first" r:id="rId15"/>
      <w:pgSz w:w="11906" w:h="16838" w:code="9"/>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B6CF" w14:textId="77777777" w:rsidR="005C201F" w:rsidRDefault="005C201F">
      <w:r>
        <w:separator/>
      </w:r>
    </w:p>
  </w:endnote>
  <w:endnote w:type="continuationSeparator" w:id="0">
    <w:p w14:paraId="39AF5E76" w14:textId="77777777" w:rsidR="005C201F" w:rsidRDefault="005C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657B"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5A3B657C"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657E" w14:textId="77777777" w:rsidR="00C12182" w:rsidRDefault="00C12182">
    <w:pPr>
      <w:pStyle w:val="Footer"/>
    </w:pPr>
    <w:r>
      <w:rPr>
        <w:noProof/>
        <w:lang w:eastAsia="lt-LT"/>
      </w:rPr>
      <mc:AlternateContent>
        <mc:Choice Requires="wps">
          <w:drawing>
            <wp:anchor distT="0" distB="0" distL="114300" distR="114300" simplePos="0" relativeHeight="251659264" behindDoc="0" locked="0" layoutInCell="1" allowOverlap="1" wp14:anchorId="5A3B657F" wp14:editId="049EC68A">
              <wp:simplePos x="0" y="0"/>
              <wp:positionH relativeFrom="column">
                <wp:posOffset>4187190</wp:posOffset>
              </wp:positionH>
              <wp:positionV relativeFrom="paragraph">
                <wp:posOffset>-889000</wp:posOffset>
              </wp:positionV>
              <wp:extent cx="1619250" cy="2045970"/>
              <wp:effectExtent l="0" t="0" r="0" b="0"/>
              <wp:wrapNone/>
              <wp:docPr id="2" name="Teksto laukas 2"/>
              <wp:cNvGraphicFramePr/>
              <a:graphic xmlns:a="http://schemas.openxmlformats.org/drawingml/2006/main">
                <a:graphicData uri="http://schemas.microsoft.com/office/word/2010/wordprocessingShape">
                  <wps:wsp>
                    <wps:cNvSpPr txBox="1"/>
                    <wps:spPr>
                      <a:xfrm>
                        <a:off x="0" y="0"/>
                        <a:ext cx="1619250" cy="2045970"/>
                      </a:xfrm>
                      <a:prstGeom prst="rect">
                        <a:avLst/>
                      </a:prstGeom>
                      <a:solidFill>
                        <a:schemeClr val="lt1"/>
                      </a:solidFill>
                      <a:ln w="6350">
                        <a:noFill/>
                      </a:ln>
                    </wps:spPr>
                    <wps:txbx>
                      <w:txbxContent>
                        <w:p w14:paraId="5A3B6581" w14:textId="77777777" w:rsidR="00C12182" w:rsidRDefault="00D13B1A">
                          <w:r>
                            <w:rPr>
                              <w:noProof/>
                              <w:lang w:eastAsia="lt-LT"/>
                            </w:rPr>
                            <w:drawing>
                              <wp:inline distT="0" distB="0" distL="0" distR="0" wp14:anchorId="5A3B6582" wp14:editId="0B5B4427">
                                <wp:extent cx="1047396" cy="789936"/>
                                <wp:effectExtent l="0" t="0" r="635" b="0"/>
                                <wp:docPr id="84" name="Picture 84" descr="C:\Users\s.siniauskaite\AppData\Local\Microsoft\Windows\Temporary Internet Files\Content.Outlook\6Y6P1S92\Tikime laisve_30_LT (2).jpg"/>
                                <wp:cNvGraphicFramePr>
                                  <a:graphicFrameLocks noChangeAspect="1"/>
                                </wp:cNvGraphicFramePr>
                                <a:graphic>
                                  <a:graphicData uri="http://schemas.openxmlformats.org/drawingml/2006/picture">
                                    <pic:pic xmlns:pic="http://schemas.openxmlformats.org/drawingml/2006/picture">
                                      <pic:nvPicPr>
                                        <pic:cNvPr id="0" name="Picture 3" descr="C:\Users\s.siniauskaite\AppData\Local\Microsoft\Windows\Temporary Internet Files\Content.Outlook\6Y6P1S92\Tikime laisve_30_LT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396" cy="7899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B657F" id="_x0000_t202" coordsize="21600,21600" o:spt="202" path="m,l,21600r21600,l21600,xe">
              <v:stroke joinstyle="miter"/>
              <v:path gradientshapeok="t" o:connecttype="rect"/>
            </v:shapetype>
            <v:shape id="Teksto laukas 2" o:spid="_x0000_s1026" type="#_x0000_t202" style="position:absolute;left:0;text-align:left;margin-left:329.7pt;margin-top:-70pt;width:127.5pt;height:1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YGeKRwIAAH8EAAAOAAAAZHJzL2Uyb0RvYy54bWysVN9v2jAQfp+0/8Hy+whkQEtEqBgV0yTU VoKpz8ZxiFXH59mGhP31OzuhZd2epr04d77z/fi+u8zv2lqRk7BOgs7paDCkRGgOhdSHnH7frT/d UuI80wVToEVOz8LRu8XHD/PGZCKFClQhLMEg2mWNyWnlvcmSxPFK1MwNwAiNxhJszTyq9pAUljUY vVZJOhxOkwZsYSxw4Rze3ndGuojxy1Jw/1iWTniicoq1+XjaeO7DmSzmLDtYZirJ+zLYP1RRM6kx 6Wuoe+YZOVr5R6hacgsOSj/gUCdQlpKL2AN2Mxq+62ZbMSNiLwiOM68wuf8Xlj+cniyRRU5TSjSr kaKdeHEeiGLHF+ZIGiBqjMvQc2vQ17dfoEWqL/cOL0PnbWnr8MWeCNoR7PMrwKL1hIdH09EsnaCJ oy0djiezm0hB8vbcWOe/CqhJEHJqkcEILDttnMdS0PXiErI5ULJYS6WiEqZGrJQlJ4Z8Kx+LxBe/ eSlNmpxOP2Md4ZGG8LyLrDQmCM12TQXJt/u2R2APxRkBsNBNkTN8LbHIDXP+iVkcG2wMV8E/4lEq wCTQS5RUYH/+7T74I5topaTBMcyp+3FkVlCivmnkeTYaj8PcRmU8uUlRsdeW/bVFH+sVYOcjXDrD oxj8vbqIpYX6GTdmGbKiiWmOuXPqL+LKd8uBG8fFchmdcFIN8xu9NTyEDqAFCnbtM7Om58kjxQ9w GViWvaOr8+3gXh49lDJyGQDuUO1xxymPFPcbGdboWo9eb/+NxS8AAAD//wMAUEsDBBQABgAIAAAA IQDcJl6L4wAAAAwBAAAPAAAAZHJzL2Rvd25yZXYueG1sTI/LTsMwEEX3SPyDNUhsUOskfdCGOBVC QCV2NDzEzo2HJCIeR7GbhL9nWMFyZo7unJvtJtuKAXvfOFIQzyMQSKUzDVUKXoqH2QaED5qMbh2h gm/0sMvPzzKdGjfSMw6HUAkOIZ9qBXUIXSqlL2u02s9dh8S3T9dbHXjsK2l6PXK4bWUSRWtpdUP8 odYd3tVYfh1OVsHHVfX+5KfH13GxWnT3+6G4fjOFUpcX0+0NiIBT+IPhV5/VIWenozuR8aJVsF5t l4wqmMXLiFsxso2XvDoyu0kSkHkm/5fIfwAAAP//AwBQSwECLQAUAAYACAAAACEAtoM4kv4AAADh AQAAEwAAAAAAAAAAAAAAAAAAAAAAW0NvbnRlbnRfVHlwZXNdLnhtbFBLAQItABQABgAIAAAAIQA4 /SH/1gAAAJQBAAALAAAAAAAAAAAAAAAAAC8BAABfcmVscy8ucmVsc1BLAQItABQABgAIAAAAIQDl YGeKRwIAAH8EAAAOAAAAAAAAAAAAAAAAAC4CAABkcnMvZTJvRG9jLnhtbFBLAQItABQABgAIAAAA IQDcJl6L4wAAAAwBAAAPAAAAAAAAAAAAAAAAAKEEAABkcnMvZG93bnJldi54bWxQSwUGAAAAAAQA BADzAAAAsQUAAAAA " fillcolor="white [3201]" stroked="f" strokeweight=".5pt">
              <v:textbox>
                <w:txbxContent>
                  <w:p w14:paraId="5A3B6581" w14:textId="77777777" w:rsidR="00C12182" w:rsidRDefault="00D13B1A">
                    <w:r>
                      <w:rPr>
                        <w:noProof/>
                        <w:lang w:eastAsia="lt-LT"/>
                      </w:rPr>
                      <w:drawing>
                        <wp:inline distT="0" distB="0" distL="0" distR="0" wp14:anchorId="5A3B6582" wp14:editId="0B5B4427">
                          <wp:extent cx="1047396" cy="789936"/>
                          <wp:effectExtent l="0" t="0" r="635" b="0"/>
                          <wp:docPr id="84" name="Picture 84" descr="C:\Users\s.siniauskaite\AppData\Local\Microsoft\Windows\Temporary Internet Files\Content.Outlook\6Y6P1S92\Tikime laisve_30_L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iniauskaite\AppData\Local\Microsoft\Windows\Temporary Internet Files\Content.Outlook\6Y6P1S92\Tikime laisve_30_LT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396" cy="789936"/>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4921F" w14:textId="77777777" w:rsidR="005C201F" w:rsidRDefault="005C201F">
      <w:r>
        <w:separator/>
      </w:r>
    </w:p>
  </w:footnote>
  <w:footnote w:type="continuationSeparator" w:id="0">
    <w:p w14:paraId="22A99627" w14:textId="77777777" w:rsidR="005C201F" w:rsidRDefault="005C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657A" w14:textId="48716A65"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A5066D">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657D" w14:textId="77777777" w:rsidR="00212586" w:rsidRDefault="00212586" w:rsidP="002125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2D89"/>
    <w:multiLevelType w:val="multilevel"/>
    <w:tmpl w:val="30523A4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07"/>
    <w:rsid w:val="00015E01"/>
    <w:rsid w:val="0008621B"/>
    <w:rsid w:val="000A3A45"/>
    <w:rsid w:val="000B12BF"/>
    <w:rsid w:val="000C4A73"/>
    <w:rsid w:val="000C57D6"/>
    <w:rsid w:val="000D6628"/>
    <w:rsid w:val="000F09E0"/>
    <w:rsid w:val="000F7F8C"/>
    <w:rsid w:val="0010091F"/>
    <w:rsid w:val="001165C0"/>
    <w:rsid w:val="00125034"/>
    <w:rsid w:val="001356A1"/>
    <w:rsid w:val="00135D13"/>
    <w:rsid w:val="00147F93"/>
    <w:rsid w:val="0016203C"/>
    <w:rsid w:val="00191AD2"/>
    <w:rsid w:val="001A6AD6"/>
    <w:rsid w:val="00201845"/>
    <w:rsid w:val="00202436"/>
    <w:rsid w:val="00212586"/>
    <w:rsid w:val="0022267B"/>
    <w:rsid w:val="0023108C"/>
    <w:rsid w:val="00231222"/>
    <w:rsid w:val="002428B6"/>
    <w:rsid w:val="002579B1"/>
    <w:rsid w:val="0026102F"/>
    <w:rsid w:val="002650CA"/>
    <w:rsid w:val="0027097F"/>
    <w:rsid w:val="00281243"/>
    <w:rsid w:val="00282963"/>
    <w:rsid w:val="002859D5"/>
    <w:rsid w:val="002868AE"/>
    <w:rsid w:val="00292E3B"/>
    <w:rsid w:val="002B0413"/>
    <w:rsid w:val="002B7541"/>
    <w:rsid w:val="002D7256"/>
    <w:rsid w:val="002F0DED"/>
    <w:rsid w:val="00307A4B"/>
    <w:rsid w:val="00331148"/>
    <w:rsid w:val="00332C42"/>
    <w:rsid w:val="00345B9C"/>
    <w:rsid w:val="00363164"/>
    <w:rsid w:val="003911C0"/>
    <w:rsid w:val="003B39DF"/>
    <w:rsid w:val="003C5E81"/>
    <w:rsid w:val="003D3DEA"/>
    <w:rsid w:val="003E503D"/>
    <w:rsid w:val="003F107B"/>
    <w:rsid w:val="00426726"/>
    <w:rsid w:val="00434FBC"/>
    <w:rsid w:val="0047326F"/>
    <w:rsid w:val="00475BAC"/>
    <w:rsid w:val="0049667C"/>
    <w:rsid w:val="00496D01"/>
    <w:rsid w:val="004A0BBF"/>
    <w:rsid w:val="004A1AA8"/>
    <w:rsid w:val="004D5B5D"/>
    <w:rsid w:val="004E42E7"/>
    <w:rsid w:val="004F1E77"/>
    <w:rsid w:val="00504A5F"/>
    <w:rsid w:val="005126A1"/>
    <w:rsid w:val="005136D8"/>
    <w:rsid w:val="00532124"/>
    <w:rsid w:val="00535571"/>
    <w:rsid w:val="00555888"/>
    <w:rsid w:val="00557EBD"/>
    <w:rsid w:val="00562304"/>
    <w:rsid w:val="00562A71"/>
    <w:rsid w:val="00574FE4"/>
    <w:rsid w:val="00576372"/>
    <w:rsid w:val="005826EF"/>
    <w:rsid w:val="00592C77"/>
    <w:rsid w:val="00596919"/>
    <w:rsid w:val="005A0232"/>
    <w:rsid w:val="005A1745"/>
    <w:rsid w:val="005A2B98"/>
    <w:rsid w:val="005B5009"/>
    <w:rsid w:val="005C14CA"/>
    <w:rsid w:val="005C201F"/>
    <w:rsid w:val="005F4B0E"/>
    <w:rsid w:val="00640966"/>
    <w:rsid w:val="00647770"/>
    <w:rsid w:val="00662151"/>
    <w:rsid w:val="00675A68"/>
    <w:rsid w:val="006D2A0C"/>
    <w:rsid w:val="006E0DF9"/>
    <w:rsid w:val="006E5EE5"/>
    <w:rsid w:val="006F6CAB"/>
    <w:rsid w:val="0071666E"/>
    <w:rsid w:val="0072795F"/>
    <w:rsid w:val="00730AB8"/>
    <w:rsid w:val="00730CBA"/>
    <w:rsid w:val="00746BB6"/>
    <w:rsid w:val="007546E4"/>
    <w:rsid w:val="0076465D"/>
    <w:rsid w:val="00770069"/>
    <w:rsid w:val="00780517"/>
    <w:rsid w:val="007942E7"/>
    <w:rsid w:val="007C535F"/>
    <w:rsid w:val="007D405B"/>
    <w:rsid w:val="007E58D6"/>
    <w:rsid w:val="007E5E9E"/>
    <w:rsid w:val="008121A9"/>
    <w:rsid w:val="00815004"/>
    <w:rsid w:val="00816EBF"/>
    <w:rsid w:val="00817FE2"/>
    <w:rsid w:val="00820647"/>
    <w:rsid w:val="0082377E"/>
    <w:rsid w:val="008651D5"/>
    <w:rsid w:val="008714C2"/>
    <w:rsid w:val="008874D3"/>
    <w:rsid w:val="008936F0"/>
    <w:rsid w:val="008A4F9C"/>
    <w:rsid w:val="008C2615"/>
    <w:rsid w:val="008C37D7"/>
    <w:rsid w:val="00912123"/>
    <w:rsid w:val="00923E1C"/>
    <w:rsid w:val="00934478"/>
    <w:rsid w:val="009640AF"/>
    <w:rsid w:val="009853E1"/>
    <w:rsid w:val="00985C81"/>
    <w:rsid w:val="0099346C"/>
    <w:rsid w:val="009A24C7"/>
    <w:rsid w:val="009E3D8F"/>
    <w:rsid w:val="009F0AF7"/>
    <w:rsid w:val="009F5363"/>
    <w:rsid w:val="00A11C67"/>
    <w:rsid w:val="00A1746E"/>
    <w:rsid w:val="00A2301D"/>
    <w:rsid w:val="00A27416"/>
    <w:rsid w:val="00A27813"/>
    <w:rsid w:val="00A35A79"/>
    <w:rsid w:val="00A4461C"/>
    <w:rsid w:val="00A5066D"/>
    <w:rsid w:val="00A56364"/>
    <w:rsid w:val="00A74E27"/>
    <w:rsid w:val="00A844E2"/>
    <w:rsid w:val="00A9021B"/>
    <w:rsid w:val="00A96EF0"/>
    <w:rsid w:val="00AA2AD7"/>
    <w:rsid w:val="00AB0CC5"/>
    <w:rsid w:val="00AB0F74"/>
    <w:rsid w:val="00AC2033"/>
    <w:rsid w:val="00AE0B44"/>
    <w:rsid w:val="00B07DA7"/>
    <w:rsid w:val="00B07FED"/>
    <w:rsid w:val="00B10566"/>
    <w:rsid w:val="00B303B3"/>
    <w:rsid w:val="00B35550"/>
    <w:rsid w:val="00B52AA8"/>
    <w:rsid w:val="00B53520"/>
    <w:rsid w:val="00B60BCE"/>
    <w:rsid w:val="00B678EF"/>
    <w:rsid w:val="00B67AB1"/>
    <w:rsid w:val="00B87414"/>
    <w:rsid w:val="00BE4181"/>
    <w:rsid w:val="00BF24AB"/>
    <w:rsid w:val="00BF722F"/>
    <w:rsid w:val="00C041B1"/>
    <w:rsid w:val="00C04DB2"/>
    <w:rsid w:val="00C12182"/>
    <w:rsid w:val="00C43389"/>
    <w:rsid w:val="00C642F3"/>
    <w:rsid w:val="00C77DFC"/>
    <w:rsid w:val="00C8070E"/>
    <w:rsid w:val="00C90246"/>
    <w:rsid w:val="00CA0776"/>
    <w:rsid w:val="00CC631B"/>
    <w:rsid w:val="00CE495C"/>
    <w:rsid w:val="00CE6A64"/>
    <w:rsid w:val="00CE7DA1"/>
    <w:rsid w:val="00CF03FA"/>
    <w:rsid w:val="00D13B1A"/>
    <w:rsid w:val="00D335F7"/>
    <w:rsid w:val="00D355E8"/>
    <w:rsid w:val="00D407E5"/>
    <w:rsid w:val="00D434E4"/>
    <w:rsid w:val="00D501DB"/>
    <w:rsid w:val="00D56AFF"/>
    <w:rsid w:val="00D664D2"/>
    <w:rsid w:val="00D74EDE"/>
    <w:rsid w:val="00D81433"/>
    <w:rsid w:val="00D846F9"/>
    <w:rsid w:val="00D92607"/>
    <w:rsid w:val="00DA5F4A"/>
    <w:rsid w:val="00DC4460"/>
    <w:rsid w:val="00DF7808"/>
    <w:rsid w:val="00E5737B"/>
    <w:rsid w:val="00E64612"/>
    <w:rsid w:val="00E81A3B"/>
    <w:rsid w:val="00E878B5"/>
    <w:rsid w:val="00E87ABD"/>
    <w:rsid w:val="00E95DD2"/>
    <w:rsid w:val="00E9671E"/>
    <w:rsid w:val="00EA35B5"/>
    <w:rsid w:val="00EA7DBD"/>
    <w:rsid w:val="00EC0F49"/>
    <w:rsid w:val="00ED785F"/>
    <w:rsid w:val="00EE4ECE"/>
    <w:rsid w:val="00EE5CC6"/>
    <w:rsid w:val="00EF4BFA"/>
    <w:rsid w:val="00F01E60"/>
    <w:rsid w:val="00F15A03"/>
    <w:rsid w:val="00F169E5"/>
    <w:rsid w:val="00F20BCA"/>
    <w:rsid w:val="00F2354D"/>
    <w:rsid w:val="00F36AC0"/>
    <w:rsid w:val="00F44252"/>
    <w:rsid w:val="00F47FF1"/>
    <w:rsid w:val="00F57BFB"/>
    <w:rsid w:val="00F8075D"/>
    <w:rsid w:val="00F84C89"/>
    <w:rsid w:val="00F90C73"/>
    <w:rsid w:val="00FD30EA"/>
    <w:rsid w:val="00FE1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B6532"/>
  <w15:docId w15:val="{86644C59-68C1-4A90-AC22-6ADEE6BE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basedOn w:val="DefaultParagraphFont"/>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basedOn w:val="DefaultParagraphFont"/>
    <w:link w:val="BalloonText"/>
    <w:uiPriority w:val="99"/>
    <w:semiHidden/>
    <w:rsid w:val="00A2301D"/>
    <w:rPr>
      <w:rFonts w:ascii="Tahoma" w:hAnsi="Tahoma" w:cs="Tahoma"/>
      <w:sz w:val="16"/>
      <w:szCs w:val="16"/>
      <w:lang w:eastAsia="en-US"/>
    </w:rPr>
  </w:style>
  <w:style w:type="paragraph" w:styleId="CommentText">
    <w:name w:val="annotation text"/>
    <w:basedOn w:val="Normal"/>
    <w:link w:val="CommentTextChar"/>
    <w:uiPriority w:val="99"/>
    <w:semiHidden/>
    <w:unhideWhenUsed/>
    <w:rsid w:val="00DC4460"/>
    <w:rPr>
      <w:sz w:val="20"/>
    </w:rPr>
  </w:style>
  <w:style w:type="character" w:customStyle="1" w:styleId="CommentTextChar">
    <w:name w:val="Comment Text Char"/>
    <w:basedOn w:val="DefaultParagraphFont"/>
    <w:link w:val="CommentText"/>
    <w:uiPriority w:val="99"/>
    <w:semiHidden/>
    <w:rsid w:val="00DC4460"/>
    <w:rPr>
      <w:lang w:eastAsia="en-US"/>
    </w:rPr>
  </w:style>
  <w:style w:type="character" w:styleId="CommentReference">
    <w:name w:val="annotation reference"/>
    <w:basedOn w:val="DefaultParagraphFont"/>
    <w:uiPriority w:val="99"/>
    <w:semiHidden/>
    <w:unhideWhenUsed/>
    <w:rsid w:val="00DC4460"/>
    <w:rPr>
      <w:sz w:val="16"/>
      <w:szCs w:val="16"/>
    </w:rPr>
  </w:style>
  <w:style w:type="paragraph" w:styleId="CommentSubject">
    <w:name w:val="annotation subject"/>
    <w:basedOn w:val="CommentText"/>
    <w:next w:val="CommentText"/>
    <w:link w:val="CommentSubjectChar"/>
    <w:uiPriority w:val="99"/>
    <w:semiHidden/>
    <w:unhideWhenUsed/>
    <w:rsid w:val="00F8075D"/>
    <w:rPr>
      <w:b/>
      <w:bCs/>
    </w:rPr>
  </w:style>
  <w:style w:type="character" w:customStyle="1" w:styleId="CommentSubjectChar">
    <w:name w:val="Comment Subject Char"/>
    <w:basedOn w:val="CommentTextChar"/>
    <w:link w:val="CommentSubject"/>
    <w:uiPriority w:val="99"/>
    <w:semiHidden/>
    <w:rsid w:val="00F807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lija.leviniene@eimin.lt" TargetMode="External"
                 Type="http://schemas.openxmlformats.org/officeDocument/2006/relationships/hyperlink"/>
   <Relationship Id="rId11" Target="mailto:edita.bernatone@eimin.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jurana.juskaityte@eimin.lt"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 Id="rId2" Target="media/image20.jpeg"
                 Type="http://schemas.openxmlformats.org/officeDocument/2006/relationships/image"/>
</Relationships>
</file>

<file path=word/_rels/settings.xml.rels><?xml version="1.0" encoding="UTF-8" standalone="yes"?>
<Relationships xmlns="http://schemas.openxmlformats.org/package/2006/relationships">
   <Relationship Id="rId1" Target="file:///L:/Ukmin_blankai_2018/Rastas_lt_sp.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95E4-272C-448A-B58E-DE97CEAF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Template>
  <TotalTime>0</TotalTime>
  <Pages>3</Pages>
  <Words>1329</Words>
  <Characters>9208</Characters>
  <Application>Microsoft Office Word</Application>
  <DocSecurity>4</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2020-04-02T06:21:00Z</dcterms:created>
  <dc:creator>Brazeviciute Justina</dc:creator>
  <cp:lastModifiedBy>Birutė Kunigėlytė-Žiūkienė</cp:lastModifiedBy>
  <cp:lastPrinted>2020-01-17T08:31:00Z</cp:lastPrinted>
  <dcterms:modified xsi:type="dcterms:W3CDTF">2020-04-02T06:21:00Z</dcterms:modified>
  <cp:revision>2</cp:revision>
</cp:coreProperties>
</file>