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57084" w14:textId="77777777" w:rsidR="0025648D" w:rsidRPr="001E461C" w:rsidRDefault="0025648D" w:rsidP="00CB047F">
      <w:pPr>
        <w:pStyle w:val="Preformatted"/>
        <w:jc w:val="center"/>
        <w:rPr>
          <w:rFonts w:ascii="Times New Roman" w:hAnsi="Times New Roman"/>
          <w:b/>
          <w:caps/>
          <w:sz w:val="24"/>
          <w:szCs w:val="24"/>
        </w:rPr>
      </w:pPr>
      <w:r w:rsidRPr="001E461C">
        <w:rPr>
          <w:rFonts w:ascii="Times New Roman" w:hAnsi="Times New Roman"/>
          <w:b/>
          <w:caps/>
          <w:sz w:val="24"/>
          <w:szCs w:val="24"/>
        </w:rPr>
        <w:t>LIETUVOS RESPUBLIKOS VYRIAUSYBĖS KANCELIARIJA</w:t>
      </w:r>
    </w:p>
    <w:p w14:paraId="48A57085" w14:textId="37A5E99C" w:rsidR="0025648D" w:rsidRPr="001E461C" w:rsidRDefault="0025648D" w:rsidP="00CB047F">
      <w:pPr>
        <w:pStyle w:val="Preformatted"/>
        <w:jc w:val="center"/>
        <w:rPr>
          <w:rFonts w:ascii="Times New Roman" w:hAnsi="Times New Roman"/>
          <w:b/>
          <w:caps/>
          <w:sz w:val="24"/>
          <w:szCs w:val="24"/>
        </w:rPr>
      </w:pPr>
      <w:r w:rsidRPr="001E461C">
        <w:rPr>
          <w:rFonts w:ascii="Times New Roman" w:hAnsi="Times New Roman"/>
          <w:b/>
          <w:caps/>
          <w:sz w:val="24"/>
          <w:szCs w:val="24"/>
        </w:rPr>
        <w:t xml:space="preserve">TEISĖS </w:t>
      </w:r>
      <w:r w:rsidR="00950A1A" w:rsidRPr="001E461C">
        <w:rPr>
          <w:rFonts w:ascii="Times New Roman" w:hAnsi="Times New Roman"/>
          <w:b/>
          <w:caps/>
          <w:sz w:val="24"/>
          <w:szCs w:val="24"/>
        </w:rPr>
        <w:t>GRUPĖ</w:t>
      </w:r>
    </w:p>
    <w:p w14:paraId="48A57086" w14:textId="77777777" w:rsidR="0025648D" w:rsidRPr="001E461C" w:rsidRDefault="0025648D" w:rsidP="00CB047F">
      <w:pPr>
        <w:pStyle w:val="Preformatted"/>
        <w:spacing w:line="360" w:lineRule="auto"/>
        <w:jc w:val="center"/>
        <w:rPr>
          <w:rFonts w:ascii="Times New Roman" w:hAnsi="Times New Roman"/>
          <w:b/>
          <w:caps/>
          <w:sz w:val="24"/>
          <w:szCs w:val="24"/>
        </w:rPr>
      </w:pPr>
    </w:p>
    <w:p w14:paraId="48A57087" w14:textId="77777777" w:rsidR="0025648D" w:rsidRPr="001E461C" w:rsidRDefault="0025648D" w:rsidP="00CB047F">
      <w:pPr>
        <w:pStyle w:val="Preformatted"/>
        <w:spacing w:line="360" w:lineRule="auto"/>
        <w:jc w:val="center"/>
        <w:rPr>
          <w:rFonts w:ascii="Times New Roman" w:hAnsi="Times New Roman"/>
          <w:b/>
          <w:caps/>
          <w:sz w:val="24"/>
          <w:szCs w:val="24"/>
        </w:rPr>
      </w:pPr>
    </w:p>
    <w:p w14:paraId="48A57088" w14:textId="77777777" w:rsidR="0025648D" w:rsidRPr="001E461C" w:rsidRDefault="0025648D" w:rsidP="00CB047F">
      <w:pPr>
        <w:pStyle w:val="Preformatted"/>
        <w:spacing w:line="360" w:lineRule="auto"/>
        <w:jc w:val="center"/>
        <w:rPr>
          <w:rFonts w:ascii="Times New Roman" w:hAnsi="Times New Roman"/>
          <w:b/>
          <w:sz w:val="24"/>
        </w:rPr>
      </w:pPr>
      <w:r w:rsidRPr="001E461C">
        <w:rPr>
          <w:rFonts w:ascii="Times New Roman" w:hAnsi="Times New Roman"/>
          <w:b/>
          <w:sz w:val="24"/>
        </w:rPr>
        <w:t>IŠVADA</w:t>
      </w:r>
    </w:p>
    <w:p w14:paraId="48A57089" w14:textId="3AF8D022" w:rsidR="0025648D" w:rsidRPr="001E461C" w:rsidRDefault="0025648D" w:rsidP="00CB047F">
      <w:pPr>
        <w:pStyle w:val="Antraste"/>
        <w:rPr>
          <w:szCs w:val="24"/>
        </w:rPr>
      </w:pPr>
      <w:r w:rsidRPr="001E461C">
        <w:rPr>
          <w:szCs w:val="24"/>
        </w:rPr>
        <w:t xml:space="preserve">DĖL </w:t>
      </w:r>
      <w:r w:rsidR="0097219B" w:rsidRPr="001E461C">
        <w:rPr>
          <w:szCs w:val="24"/>
        </w:rPr>
        <w:t>Lietuvos Respublikos įstatymo dėl 2018 m. liepos 13 d. Tarybos sprendimo (ES, Euratomas) 2018/994, kuriuo iš dalies keičiamas prie 1976 m. rugsėjo 20 d. Tarybos sprendimo 76/787/EAPB, E</w:t>
      </w:r>
      <w:r w:rsidR="00B52627" w:rsidRPr="001E461C">
        <w:rPr>
          <w:szCs w:val="24"/>
        </w:rPr>
        <w:t>E</w:t>
      </w:r>
      <w:r w:rsidR="0097219B" w:rsidRPr="001E461C">
        <w:rPr>
          <w:szCs w:val="24"/>
        </w:rPr>
        <w:t>B, Euratomas pridėtas Aktas dėl Europos Parlamento narių rinkimų remiantis tiesiogine visuotine rinkimų teise patvirtinimo PROJEKTO</w:t>
      </w:r>
      <w:r w:rsidR="0099003E" w:rsidRPr="001E461C">
        <w:rPr>
          <w:szCs w:val="24"/>
        </w:rPr>
        <w:t xml:space="preserve"> (toliau – Projektas Nr. 1),</w:t>
      </w:r>
      <w:r w:rsidR="0097219B" w:rsidRPr="001E461C">
        <w:rPr>
          <w:szCs w:val="24"/>
        </w:rPr>
        <w:t xml:space="preserve"> Lietuvos Respublikos rinkimų į Europos Parlamentą įstatymo Nr. IX-1837 58 straipsnio ir įstatymo priedo pakeitimo įstatymo projektO</w:t>
      </w:r>
      <w:r w:rsidRPr="001E461C">
        <w:rPr>
          <w:szCs w:val="24"/>
        </w:rPr>
        <w:t xml:space="preserve"> </w:t>
      </w:r>
      <w:r w:rsidR="0099003E" w:rsidRPr="001E461C">
        <w:rPr>
          <w:szCs w:val="24"/>
        </w:rPr>
        <w:t xml:space="preserve">toliau – Projektas Nr. </w:t>
      </w:r>
      <w:r w:rsidR="0099003E" w:rsidRPr="001E461C">
        <w:rPr>
          <w:szCs w:val="24"/>
        </w:rPr>
        <w:t>2</w:t>
      </w:r>
      <w:r w:rsidR="0099003E" w:rsidRPr="001E461C">
        <w:rPr>
          <w:szCs w:val="24"/>
        </w:rPr>
        <w:t>)</w:t>
      </w:r>
      <w:r w:rsidR="0099003E" w:rsidRPr="001E461C">
        <w:rPr>
          <w:szCs w:val="24"/>
        </w:rPr>
        <w:t xml:space="preserve"> </w:t>
      </w:r>
      <w:r w:rsidR="00F24387" w:rsidRPr="001E461C">
        <w:rPr>
          <w:szCs w:val="24"/>
        </w:rPr>
        <w:t xml:space="preserve">ir susijusio lietuvos respublikos vyriausybės nutarimo projekto </w:t>
      </w:r>
      <w:r w:rsidR="001E6D10" w:rsidRPr="001E461C">
        <w:rPr>
          <w:szCs w:val="24"/>
        </w:rPr>
        <w:t>(</w:t>
      </w:r>
      <w:r w:rsidR="0099003E" w:rsidRPr="001E461C">
        <w:rPr>
          <w:szCs w:val="24"/>
        </w:rPr>
        <w:t xml:space="preserve">toliau – Projektas Nr. </w:t>
      </w:r>
      <w:r w:rsidR="0099003E" w:rsidRPr="001E461C">
        <w:rPr>
          <w:szCs w:val="24"/>
        </w:rPr>
        <w:t>3</w:t>
      </w:r>
      <w:r w:rsidR="0099003E" w:rsidRPr="001E461C">
        <w:rPr>
          <w:szCs w:val="24"/>
        </w:rPr>
        <w:t>)</w:t>
      </w:r>
    </w:p>
    <w:p w14:paraId="48A5708A" w14:textId="7226F8B3" w:rsidR="0025648D" w:rsidRPr="001E461C" w:rsidRDefault="001F67A3" w:rsidP="0025648D">
      <w:pPr>
        <w:pStyle w:val="Antraste"/>
        <w:spacing w:line="360" w:lineRule="auto"/>
      </w:pPr>
      <w:r w:rsidRPr="001E461C">
        <w:rPr>
          <w:szCs w:val="24"/>
        </w:rPr>
        <w:t>(TAP-18-1</w:t>
      </w:r>
      <w:r w:rsidR="00F24387" w:rsidRPr="001E461C">
        <w:rPr>
          <w:szCs w:val="24"/>
        </w:rPr>
        <w:t>788, 18-1789, 18-1790</w:t>
      </w:r>
      <w:r w:rsidRPr="001E461C">
        <w:rPr>
          <w:szCs w:val="24"/>
        </w:rPr>
        <w:t>; TAIS NR. 18-</w:t>
      </w:r>
      <w:r w:rsidR="007A607B" w:rsidRPr="001E461C">
        <w:rPr>
          <w:szCs w:val="24"/>
        </w:rPr>
        <w:t>11597(2), 18-11598(2) 18-11599(2)</w:t>
      </w:r>
      <w:r w:rsidRPr="001E461C">
        <w:rPr>
          <w:bCs/>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1E461C" w14:paraId="48A5708C" w14:textId="77777777" w:rsidTr="00F94D25">
        <w:tc>
          <w:tcPr>
            <w:tcW w:w="4536" w:type="dxa"/>
          </w:tcPr>
          <w:p w14:paraId="48A5708B" w14:textId="77777777" w:rsidR="00F94D25" w:rsidRPr="001E461C" w:rsidRDefault="00C307EB" w:rsidP="00EA08A9">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1E461C">
              <w:rPr>
                <w:spacing w:val="-6"/>
              </w:rPr>
              <w:t xml:space="preserve"> </w:t>
            </w:r>
            <w:r w:rsidR="00A05902" w:rsidRPr="001E461C">
              <w:rPr>
                <w:spacing w:val="-6"/>
              </w:rPr>
              <w:t xml:space="preserve"> </w:t>
            </w:r>
            <w:r w:rsidR="00F94D25" w:rsidRPr="001E461C">
              <w:rPr>
                <w:spacing w:val="-6"/>
              </w:rPr>
              <w:t xml:space="preserve">Nr. </w:t>
            </w:r>
            <w:sdt>
              <w:sdtPr>
                <w:rPr>
                  <w:spacing w:val="-6"/>
                </w:rPr>
                <w:tag w:val="registravimoNr"/>
                <w:id w:val="-314025492"/>
                <w:placeholder>
                  <w:docPart w:val="5227F9497BEB4502967040EA23B522FC"/>
                </w:placeholder>
              </w:sdtPr>
              <w:sdtEndPr/>
              <w:sdtContent>
                <w:r>
                  <w:t/>
                </w:r>
              </w:sdtContent>
            </w:sdt>
          </w:p>
        </w:tc>
      </w:tr>
    </w:tbl>
    <w:p w14:paraId="48A5708D" w14:textId="77777777" w:rsidR="00D72E97" w:rsidRPr="001E461C" w:rsidRDefault="008F31A4" w:rsidP="0025648D">
      <w:pPr>
        <w:spacing w:before="120" w:line="360" w:lineRule="auto"/>
        <w:jc w:val="center"/>
        <w:rPr>
          <w:spacing w:val="-6"/>
        </w:rPr>
      </w:pPr>
      <w:r w:rsidRPr="001E461C">
        <w:t>Vilnius</w:t>
      </w:r>
    </w:p>
    <w:p w14:paraId="48A5708E" w14:textId="77777777" w:rsidR="00553DF3" w:rsidRPr="001E461C" w:rsidRDefault="00553DF3" w:rsidP="001934A6">
      <w:pPr>
        <w:overflowPunct w:val="0"/>
        <w:autoSpaceDE w:val="0"/>
        <w:autoSpaceDN w:val="0"/>
        <w:adjustRightInd w:val="0"/>
        <w:spacing w:line="360" w:lineRule="auto"/>
        <w:ind w:left="142" w:hanging="142"/>
        <w:jc w:val="center"/>
      </w:pPr>
    </w:p>
    <w:p w14:paraId="48A57090" w14:textId="7F5A9319" w:rsidR="002D2622" w:rsidRPr="001E461C" w:rsidRDefault="001F67A3" w:rsidP="00A10024">
      <w:pPr>
        <w:tabs>
          <w:tab w:val="left" w:pos="1134"/>
        </w:tabs>
        <w:spacing w:line="276" w:lineRule="auto"/>
        <w:ind w:firstLine="720"/>
        <w:rPr>
          <w:color w:val="000000" w:themeColor="text1"/>
          <w:szCs w:val="24"/>
        </w:rPr>
      </w:pPr>
      <w:r w:rsidRPr="001E461C">
        <w:rPr>
          <w:snapToGrid w:val="0"/>
          <w:color w:val="000000" w:themeColor="text1"/>
          <w:szCs w:val="24"/>
        </w:rPr>
        <w:t>Įvertinę P</w:t>
      </w:r>
      <w:r w:rsidRPr="001E461C">
        <w:rPr>
          <w:bCs/>
          <w:color w:val="000000" w:themeColor="text1"/>
          <w:szCs w:val="24"/>
          <w:lang w:eastAsia="lt-LT"/>
        </w:rPr>
        <w:t>rojekt</w:t>
      </w:r>
      <w:r w:rsidR="001932FD" w:rsidRPr="001E461C">
        <w:rPr>
          <w:bCs/>
          <w:color w:val="000000" w:themeColor="text1"/>
          <w:szCs w:val="24"/>
          <w:lang w:eastAsia="lt-LT"/>
        </w:rPr>
        <w:t>ų</w:t>
      </w:r>
      <w:r w:rsidRPr="001E461C">
        <w:rPr>
          <w:bCs/>
          <w:color w:val="000000" w:themeColor="text1"/>
          <w:szCs w:val="24"/>
          <w:lang w:eastAsia="lt-LT"/>
        </w:rPr>
        <w:t xml:space="preserve"> </w:t>
      </w:r>
      <w:r w:rsidR="001E6D10" w:rsidRPr="001E461C">
        <w:rPr>
          <w:bCs/>
          <w:color w:val="000000" w:themeColor="text1"/>
          <w:szCs w:val="24"/>
          <w:lang w:eastAsia="lt-LT"/>
        </w:rPr>
        <w:t xml:space="preserve">ir jų lydimųjų dokumentų </w:t>
      </w:r>
      <w:r w:rsidRPr="001E461C">
        <w:rPr>
          <w:snapToGrid w:val="0"/>
          <w:color w:val="000000" w:themeColor="text1"/>
          <w:szCs w:val="24"/>
        </w:rPr>
        <w:t xml:space="preserve">atitiktį </w:t>
      </w:r>
      <w:r w:rsidR="001932FD" w:rsidRPr="001E461C">
        <w:rPr>
          <w:snapToGrid w:val="0"/>
          <w:color w:val="000000" w:themeColor="text1"/>
          <w:szCs w:val="24"/>
        </w:rPr>
        <w:t xml:space="preserve">ES teisei, </w:t>
      </w:r>
      <w:r w:rsidRPr="001E461C">
        <w:rPr>
          <w:snapToGrid w:val="0"/>
          <w:color w:val="000000" w:themeColor="text1"/>
          <w:szCs w:val="24"/>
        </w:rPr>
        <w:t xml:space="preserve">įstatymams, </w:t>
      </w:r>
      <w:r w:rsidRPr="001E461C">
        <w:rPr>
          <w:color w:val="000000" w:themeColor="text1"/>
          <w:szCs w:val="24"/>
        </w:rPr>
        <w:t>Vyriausybės nutarimams</w:t>
      </w:r>
      <w:r w:rsidR="00764079" w:rsidRPr="001E461C">
        <w:rPr>
          <w:color w:val="000000" w:themeColor="text1"/>
          <w:szCs w:val="24"/>
        </w:rPr>
        <w:t xml:space="preserve"> </w:t>
      </w:r>
      <w:r w:rsidRPr="001E461C">
        <w:rPr>
          <w:color w:val="000000" w:themeColor="text1"/>
          <w:szCs w:val="24"/>
        </w:rPr>
        <w:t>ir teisės technikos reikalavimams,</w:t>
      </w:r>
      <w:r w:rsidR="001E6D10" w:rsidRPr="001E461C">
        <w:rPr>
          <w:color w:val="000000" w:themeColor="text1"/>
          <w:szCs w:val="24"/>
        </w:rPr>
        <w:t xml:space="preserve"> norėtume </w:t>
      </w:r>
      <w:r w:rsidR="00994954" w:rsidRPr="001E461C">
        <w:rPr>
          <w:color w:val="000000" w:themeColor="text1"/>
          <w:szCs w:val="24"/>
        </w:rPr>
        <w:t xml:space="preserve">atkreipti </w:t>
      </w:r>
      <w:r w:rsidR="00232D0D" w:rsidRPr="001E461C">
        <w:rPr>
          <w:color w:val="000000" w:themeColor="text1"/>
          <w:szCs w:val="24"/>
        </w:rPr>
        <w:t>Projekt</w:t>
      </w:r>
      <w:r w:rsidR="00FD50E4" w:rsidRPr="001E461C">
        <w:rPr>
          <w:color w:val="000000" w:themeColor="text1"/>
          <w:szCs w:val="24"/>
        </w:rPr>
        <w:t>ų</w:t>
      </w:r>
      <w:r w:rsidR="00232D0D" w:rsidRPr="001E461C">
        <w:rPr>
          <w:color w:val="000000" w:themeColor="text1"/>
          <w:szCs w:val="24"/>
        </w:rPr>
        <w:t xml:space="preserve"> rengėj</w:t>
      </w:r>
      <w:r w:rsidR="00994954" w:rsidRPr="001E461C">
        <w:rPr>
          <w:color w:val="000000" w:themeColor="text1"/>
          <w:szCs w:val="24"/>
        </w:rPr>
        <w:t>ų</w:t>
      </w:r>
      <w:r w:rsidR="00232D0D" w:rsidRPr="001E461C">
        <w:rPr>
          <w:color w:val="000000" w:themeColor="text1"/>
          <w:szCs w:val="24"/>
        </w:rPr>
        <w:t xml:space="preserve"> </w:t>
      </w:r>
      <w:r w:rsidR="00994954" w:rsidRPr="001E461C">
        <w:rPr>
          <w:color w:val="000000" w:themeColor="text1"/>
          <w:szCs w:val="24"/>
        </w:rPr>
        <w:t xml:space="preserve">dėmesį į keletą </w:t>
      </w:r>
      <w:r w:rsidR="00B13674" w:rsidRPr="001E461C">
        <w:rPr>
          <w:color w:val="000000" w:themeColor="text1"/>
          <w:szCs w:val="24"/>
        </w:rPr>
        <w:t>svarbių</w:t>
      </w:r>
      <w:r w:rsidR="001E6D10" w:rsidRPr="001E461C">
        <w:rPr>
          <w:color w:val="000000" w:themeColor="text1"/>
          <w:szCs w:val="24"/>
        </w:rPr>
        <w:t xml:space="preserve"> aspektų</w:t>
      </w:r>
      <w:r w:rsidR="00B13674" w:rsidRPr="001E461C">
        <w:rPr>
          <w:color w:val="000000" w:themeColor="text1"/>
          <w:szCs w:val="24"/>
        </w:rPr>
        <w:t xml:space="preserve"> ir pateikti tikslinamojo pobūdžio pasiūlymų</w:t>
      </w:r>
      <w:r w:rsidR="001E6D10" w:rsidRPr="001E461C">
        <w:rPr>
          <w:color w:val="000000" w:themeColor="text1"/>
          <w:szCs w:val="24"/>
        </w:rPr>
        <w:t>.</w:t>
      </w:r>
    </w:p>
    <w:p w14:paraId="32355DB6" w14:textId="20131C16" w:rsidR="001932FD" w:rsidRPr="001E461C" w:rsidRDefault="002B3AE8" w:rsidP="00A10024">
      <w:pPr>
        <w:tabs>
          <w:tab w:val="left" w:pos="1134"/>
        </w:tabs>
        <w:spacing w:line="276" w:lineRule="auto"/>
        <w:ind w:firstLine="720"/>
        <w:rPr>
          <w:color w:val="000000" w:themeColor="text1"/>
          <w:szCs w:val="24"/>
        </w:rPr>
      </w:pPr>
      <w:r w:rsidRPr="001E461C">
        <w:rPr>
          <w:color w:val="000000" w:themeColor="text1"/>
          <w:szCs w:val="24"/>
        </w:rPr>
        <w:t xml:space="preserve">1. </w:t>
      </w:r>
      <w:r w:rsidR="00AB6F41" w:rsidRPr="001E461C">
        <w:rPr>
          <w:color w:val="000000" w:themeColor="text1"/>
          <w:szCs w:val="24"/>
        </w:rPr>
        <w:t xml:space="preserve">Projekte Nr. 3 </w:t>
      </w:r>
      <w:r w:rsidR="00577AD0" w:rsidRPr="001E461C">
        <w:rPr>
          <w:color w:val="000000" w:themeColor="text1"/>
          <w:szCs w:val="24"/>
        </w:rPr>
        <w:t xml:space="preserve">ir Projektų </w:t>
      </w:r>
      <w:r w:rsidR="00577AD0" w:rsidRPr="001E461C">
        <w:rPr>
          <w:color w:val="000000" w:themeColor="text1"/>
          <w:szCs w:val="24"/>
        </w:rPr>
        <w:t>lydim</w:t>
      </w:r>
      <w:r w:rsidR="00577AD0" w:rsidRPr="001E461C">
        <w:rPr>
          <w:color w:val="000000" w:themeColor="text1"/>
          <w:szCs w:val="24"/>
        </w:rPr>
        <w:t xml:space="preserve">uosiuose </w:t>
      </w:r>
      <w:r w:rsidR="00577AD0" w:rsidRPr="001E461C">
        <w:rPr>
          <w:color w:val="000000" w:themeColor="text1"/>
          <w:szCs w:val="24"/>
        </w:rPr>
        <w:t>dokument</w:t>
      </w:r>
      <w:r w:rsidR="00577AD0" w:rsidRPr="001E461C">
        <w:rPr>
          <w:color w:val="000000" w:themeColor="text1"/>
          <w:szCs w:val="24"/>
        </w:rPr>
        <w:t xml:space="preserve">uose siūlytume </w:t>
      </w:r>
      <w:r w:rsidR="00577AD0" w:rsidRPr="001E461C">
        <w:rPr>
          <w:color w:val="000000" w:themeColor="text1"/>
          <w:szCs w:val="24"/>
        </w:rPr>
        <w:t>rašyti vienod</w:t>
      </w:r>
      <w:r w:rsidR="00577AD0" w:rsidRPr="001E461C">
        <w:rPr>
          <w:color w:val="000000" w:themeColor="text1"/>
          <w:szCs w:val="24"/>
        </w:rPr>
        <w:t>ai</w:t>
      </w:r>
      <w:r w:rsidR="00577AD0" w:rsidRPr="001E461C">
        <w:rPr>
          <w:color w:val="000000" w:themeColor="text1"/>
          <w:szCs w:val="24"/>
        </w:rPr>
        <w:t xml:space="preserve"> Projekto Nr. 1 pavadinimą </w:t>
      </w:r>
      <w:r w:rsidR="00577AD0" w:rsidRPr="001E461C">
        <w:rPr>
          <w:color w:val="000000" w:themeColor="text1"/>
          <w:szCs w:val="24"/>
        </w:rPr>
        <w:t xml:space="preserve">ir visur jį rašyti </w:t>
      </w:r>
      <w:r w:rsidR="00577AD0" w:rsidRPr="001E461C">
        <w:rPr>
          <w:color w:val="000000" w:themeColor="text1"/>
          <w:szCs w:val="24"/>
        </w:rPr>
        <w:t>be kabučių</w:t>
      </w:r>
      <w:r w:rsidR="00577AD0" w:rsidRPr="001E461C">
        <w:rPr>
          <w:color w:val="000000" w:themeColor="text1"/>
          <w:szCs w:val="24"/>
        </w:rPr>
        <w:t xml:space="preserve"> atsižvelgiant į teisėkūros tendencijas, Teisingumo ministerijos praktiką </w:t>
      </w:r>
      <w:r w:rsidR="006B58C3" w:rsidRPr="001E461C">
        <w:rPr>
          <w:color w:val="000000" w:themeColor="text1"/>
          <w:szCs w:val="24"/>
        </w:rPr>
        <w:t xml:space="preserve">(pvz., Lietuvos Respublikos įstatymas dėl Europos Sąjungos valstybių narių sprendimų baudžiamosiose bylose tarpusavio pripažinimo ir vykdymo) </w:t>
      </w:r>
      <w:r w:rsidR="00577AD0" w:rsidRPr="001E461C">
        <w:rPr>
          <w:color w:val="000000" w:themeColor="text1"/>
          <w:szCs w:val="24"/>
        </w:rPr>
        <w:t>ir Teisingumo ministro patvirtintas Teisės aktų projektų rengimo rekomendacijas. T</w:t>
      </w:r>
      <w:r w:rsidR="00577AD0" w:rsidRPr="001E461C">
        <w:rPr>
          <w:color w:val="000000" w:themeColor="text1"/>
          <w:szCs w:val="24"/>
        </w:rPr>
        <w:t xml:space="preserve">aip pat Projekte Nr. </w:t>
      </w:r>
      <w:r w:rsidR="00577AD0" w:rsidRPr="001E461C">
        <w:rPr>
          <w:color w:val="000000" w:themeColor="text1"/>
          <w:szCs w:val="24"/>
        </w:rPr>
        <w:t>1</w:t>
      </w:r>
      <w:r w:rsidR="00577AD0" w:rsidRPr="001E461C">
        <w:rPr>
          <w:color w:val="000000" w:themeColor="text1"/>
          <w:szCs w:val="24"/>
        </w:rPr>
        <w:t xml:space="preserve"> </w:t>
      </w:r>
      <w:r w:rsidR="00577AD0" w:rsidRPr="001E461C">
        <w:rPr>
          <w:color w:val="000000" w:themeColor="text1"/>
          <w:szCs w:val="24"/>
        </w:rPr>
        <w:t xml:space="preserve">ir </w:t>
      </w:r>
      <w:r w:rsidR="00577AD0" w:rsidRPr="001E461C">
        <w:rPr>
          <w:color w:val="000000" w:themeColor="text1"/>
          <w:szCs w:val="24"/>
        </w:rPr>
        <w:t xml:space="preserve">Projekte Nr. 3 </w:t>
      </w:r>
      <w:r w:rsidR="00577AD0" w:rsidRPr="001E461C">
        <w:rPr>
          <w:color w:val="000000" w:themeColor="text1"/>
          <w:szCs w:val="24"/>
        </w:rPr>
        <w:t>bei</w:t>
      </w:r>
      <w:r w:rsidR="00577AD0" w:rsidRPr="001E461C">
        <w:rPr>
          <w:color w:val="000000" w:themeColor="text1"/>
          <w:szCs w:val="24"/>
        </w:rPr>
        <w:t xml:space="preserve"> Projektų lydimuosiuose dokumentuose rašyti santrumpą EEB (o ne EBB)</w:t>
      </w:r>
      <w:r w:rsidR="00577AD0" w:rsidRPr="001E461C">
        <w:rPr>
          <w:color w:val="000000" w:themeColor="text1"/>
          <w:szCs w:val="24"/>
        </w:rPr>
        <w:t>.</w:t>
      </w:r>
    </w:p>
    <w:p w14:paraId="65B7FCAC" w14:textId="620A8533" w:rsidR="002A5FB3" w:rsidRPr="001E461C" w:rsidRDefault="00577AD0" w:rsidP="00A10024">
      <w:pPr>
        <w:tabs>
          <w:tab w:val="left" w:pos="1134"/>
        </w:tabs>
        <w:spacing w:line="276" w:lineRule="auto"/>
        <w:ind w:firstLine="720"/>
        <w:rPr>
          <w:bCs/>
          <w:color w:val="000000" w:themeColor="text1"/>
          <w:szCs w:val="24"/>
        </w:rPr>
      </w:pPr>
      <w:r w:rsidRPr="001E461C">
        <w:rPr>
          <w:bCs/>
          <w:color w:val="000000" w:themeColor="text1"/>
          <w:szCs w:val="24"/>
        </w:rPr>
        <w:t xml:space="preserve">2. </w:t>
      </w:r>
      <w:r w:rsidR="001E461C" w:rsidRPr="001E461C">
        <w:rPr>
          <w:bCs/>
          <w:color w:val="000000" w:themeColor="text1"/>
          <w:szCs w:val="24"/>
        </w:rPr>
        <w:t xml:space="preserve">Manome, kad </w:t>
      </w:r>
      <w:r w:rsidR="001E461C">
        <w:rPr>
          <w:bCs/>
          <w:color w:val="000000" w:themeColor="text1"/>
          <w:szCs w:val="24"/>
        </w:rPr>
        <w:t>nėra</w:t>
      </w:r>
      <w:r w:rsidR="002A5FB3" w:rsidRPr="001E461C">
        <w:rPr>
          <w:bCs/>
          <w:color w:val="000000" w:themeColor="text1"/>
          <w:szCs w:val="24"/>
        </w:rPr>
        <w:t xml:space="preserve"> </w:t>
      </w:r>
      <w:r w:rsidR="00E81C0E" w:rsidRPr="001E461C">
        <w:rPr>
          <w:bCs/>
          <w:color w:val="000000" w:themeColor="text1"/>
          <w:szCs w:val="24"/>
        </w:rPr>
        <w:t xml:space="preserve">tikslinga Projekto Nr. 1 </w:t>
      </w:r>
      <w:r w:rsidR="002A5FB3" w:rsidRPr="001E461C">
        <w:rPr>
          <w:bCs/>
          <w:color w:val="000000" w:themeColor="text1"/>
          <w:szCs w:val="24"/>
        </w:rPr>
        <w:t xml:space="preserve">1 straipsnyje nurodyti du teisinius pagrindus, kuriais </w:t>
      </w:r>
      <w:r w:rsidR="002A5FB3" w:rsidRPr="001E461C">
        <w:rPr>
          <w:bCs/>
          <w:i/>
          <w:color w:val="000000" w:themeColor="text1"/>
          <w:szCs w:val="24"/>
        </w:rPr>
        <w:t>vadovaudamasis</w:t>
      </w:r>
      <w:r w:rsidR="002A5FB3" w:rsidRPr="001E461C">
        <w:rPr>
          <w:bCs/>
          <w:color w:val="000000" w:themeColor="text1"/>
          <w:szCs w:val="24"/>
        </w:rPr>
        <w:t xml:space="preserve"> </w:t>
      </w:r>
      <w:r w:rsidR="001E461C">
        <w:rPr>
          <w:bCs/>
          <w:color w:val="000000" w:themeColor="text1"/>
          <w:szCs w:val="24"/>
        </w:rPr>
        <w:t>Seimas priima įstatymą:</w:t>
      </w:r>
    </w:p>
    <w:p w14:paraId="4034B81A" w14:textId="29573134" w:rsidR="002A5FB3" w:rsidRPr="001E461C" w:rsidRDefault="002A5FB3" w:rsidP="00A10024">
      <w:pPr>
        <w:tabs>
          <w:tab w:val="left" w:pos="1134"/>
        </w:tabs>
        <w:spacing w:line="276" w:lineRule="auto"/>
        <w:ind w:firstLine="720"/>
        <w:rPr>
          <w:bCs/>
          <w:color w:val="000000" w:themeColor="text1"/>
          <w:szCs w:val="24"/>
        </w:rPr>
      </w:pPr>
      <w:r w:rsidRPr="001E461C">
        <w:rPr>
          <w:bCs/>
          <w:color w:val="000000" w:themeColor="text1"/>
          <w:szCs w:val="24"/>
        </w:rPr>
        <w:t>- paprastai teisiniai pagrindai nurodomi ratifikavimo įstatymuose, tačiau Tarybos sprendimas yra patvirtinamas, bet neratifikuojamas;</w:t>
      </w:r>
    </w:p>
    <w:p w14:paraId="5C5151F7" w14:textId="019A3BDE" w:rsidR="002A5FB3" w:rsidRPr="001E461C" w:rsidRDefault="002A5FB3" w:rsidP="00A10024">
      <w:pPr>
        <w:tabs>
          <w:tab w:val="left" w:pos="1134"/>
        </w:tabs>
        <w:spacing w:line="276" w:lineRule="auto"/>
        <w:ind w:firstLine="720"/>
        <w:rPr>
          <w:bCs/>
          <w:color w:val="000000" w:themeColor="text1"/>
          <w:szCs w:val="24"/>
        </w:rPr>
      </w:pPr>
      <w:r w:rsidRPr="001E461C">
        <w:rPr>
          <w:bCs/>
          <w:color w:val="000000" w:themeColor="text1"/>
          <w:szCs w:val="24"/>
        </w:rPr>
        <w:t xml:space="preserve">- paprastai </w:t>
      </w:r>
      <w:r w:rsidRPr="001E461C">
        <w:rPr>
          <w:bCs/>
          <w:color w:val="000000" w:themeColor="text1"/>
          <w:szCs w:val="24"/>
        </w:rPr>
        <w:t>ratifikavimo įstatymuose</w:t>
      </w:r>
      <w:r w:rsidRPr="001E461C">
        <w:rPr>
          <w:bCs/>
          <w:color w:val="000000" w:themeColor="text1"/>
          <w:szCs w:val="24"/>
        </w:rPr>
        <w:t xml:space="preserve"> nurodomos aukštesnės galios teisės akto, </w:t>
      </w:r>
      <w:proofErr w:type="spellStart"/>
      <w:r w:rsidRPr="001E461C">
        <w:rPr>
          <w:bCs/>
          <w:color w:val="000000" w:themeColor="text1"/>
          <w:szCs w:val="24"/>
        </w:rPr>
        <w:t>t.y</w:t>
      </w:r>
      <w:proofErr w:type="spellEnd"/>
      <w:r w:rsidRPr="001E461C">
        <w:rPr>
          <w:bCs/>
          <w:color w:val="000000" w:themeColor="text1"/>
          <w:szCs w:val="24"/>
        </w:rPr>
        <w:t>. Lietuvos Respublikos Konstitucijos, nuostatos, kurios numato atitinkamos tarptautinės sutarties ratifikavimą;</w:t>
      </w:r>
    </w:p>
    <w:p w14:paraId="5737CEC3" w14:textId="48A4D1FD" w:rsidR="002A5FB3" w:rsidRPr="001E461C" w:rsidRDefault="002A5FB3" w:rsidP="00A10024">
      <w:pPr>
        <w:tabs>
          <w:tab w:val="left" w:pos="1134"/>
        </w:tabs>
        <w:spacing w:line="276" w:lineRule="auto"/>
        <w:ind w:firstLine="720"/>
        <w:rPr>
          <w:bCs/>
          <w:color w:val="000000" w:themeColor="text1"/>
          <w:szCs w:val="24"/>
        </w:rPr>
      </w:pPr>
      <w:r w:rsidRPr="001E461C">
        <w:rPr>
          <w:bCs/>
          <w:color w:val="000000" w:themeColor="text1"/>
          <w:szCs w:val="24"/>
        </w:rPr>
        <w:t xml:space="preserve">- nuoroda į SESV 223 straipsnio 1 dalį nėra tinkama, nes šioje dalyje (antrojoje pastraipoje) tik bendrais bruožais nurodoma, kad valstybės tokius sprendimus tvirtina </w:t>
      </w:r>
      <w:r w:rsidRPr="001E461C">
        <w:rPr>
          <w:bCs/>
          <w:i/>
          <w:color w:val="000000" w:themeColor="text1"/>
          <w:szCs w:val="24"/>
        </w:rPr>
        <w:t>pagal savo atitinkamas konstitucines nuostatas</w:t>
      </w:r>
      <w:r w:rsidRPr="001E461C">
        <w:rPr>
          <w:bCs/>
          <w:color w:val="000000" w:themeColor="text1"/>
          <w:szCs w:val="24"/>
        </w:rPr>
        <w:t>, todėl jos ir turėtų būti nurodytos; SESV negali nustatyti (būti teisinis pagrindas) nacionalinių parlamentų kompetencijos priimti įstatymus ir pan.</w:t>
      </w:r>
      <w:r w:rsidR="001E461C">
        <w:rPr>
          <w:bCs/>
          <w:color w:val="000000" w:themeColor="text1"/>
          <w:szCs w:val="24"/>
        </w:rPr>
        <w:t>;</w:t>
      </w:r>
    </w:p>
    <w:p w14:paraId="5DFABEAE" w14:textId="3C15E7E6" w:rsidR="002A5FB3" w:rsidRPr="001E461C" w:rsidRDefault="002A5FB3" w:rsidP="00A10024">
      <w:pPr>
        <w:tabs>
          <w:tab w:val="left" w:pos="1134"/>
        </w:tabs>
        <w:spacing w:line="276" w:lineRule="auto"/>
        <w:ind w:firstLine="720"/>
        <w:rPr>
          <w:bCs/>
          <w:color w:val="000000" w:themeColor="text1"/>
          <w:szCs w:val="24"/>
        </w:rPr>
      </w:pPr>
      <w:r w:rsidRPr="001E461C">
        <w:rPr>
          <w:bCs/>
          <w:color w:val="000000" w:themeColor="text1"/>
          <w:szCs w:val="24"/>
        </w:rPr>
        <w:t>- nuoroda į Seimo statuto 180</w:t>
      </w:r>
      <w:r w:rsidRPr="001E461C">
        <w:rPr>
          <w:bCs/>
          <w:color w:val="000000" w:themeColor="text1"/>
          <w:szCs w:val="24"/>
          <w:vertAlign w:val="superscript"/>
        </w:rPr>
        <w:t>26</w:t>
      </w:r>
      <w:r w:rsidRPr="001E461C">
        <w:rPr>
          <w:bCs/>
          <w:color w:val="000000" w:themeColor="text1"/>
          <w:szCs w:val="24"/>
        </w:rPr>
        <w:t xml:space="preserve"> straipsnį apsprendžia tik procedūrinius klausimus, tiksliau, kad tokiais atvejais turi būti priimtas įstatymas; Seimo statutas negali išplėsti Konstitucijoje nustatytos Seimo kompetencijos arba suteikti papildomą kompetenciją</w:t>
      </w:r>
      <w:r w:rsidR="001E461C">
        <w:rPr>
          <w:bCs/>
          <w:color w:val="000000" w:themeColor="text1"/>
          <w:szCs w:val="24"/>
        </w:rPr>
        <w:t xml:space="preserve"> ir įprastai įstatymai nepriimami Seimo statuto pagrindu</w:t>
      </w:r>
      <w:r w:rsidR="00313C4B">
        <w:rPr>
          <w:bCs/>
          <w:color w:val="000000" w:themeColor="text1"/>
          <w:szCs w:val="24"/>
        </w:rPr>
        <w:t>;</w:t>
      </w:r>
    </w:p>
    <w:p w14:paraId="51EA07DF" w14:textId="54CE5971" w:rsidR="002A5FB3" w:rsidRPr="001E461C" w:rsidRDefault="002A5FB3" w:rsidP="00A10024">
      <w:pPr>
        <w:tabs>
          <w:tab w:val="left" w:pos="1134"/>
        </w:tabs>
        <w:spacing w:line="276" w:lineRule="auto"/>
        <w:ind w:firstLine="720"/>
        <w:rPr>
          <w:bCs/>
          <w:color w:val="000000" w:themeColor="text1"/>
          <w:szCs w:val="24"/>
        </w:rPr>
      </w:pPr>
      <w:r w:rsidRPr="001E461C">
        <w:rPr>
          <w:bCs/>
          <w:color w:val="000000" w:themeColor="text1"/>
          <w:szCs w:val="24"/>
        </w:rPr>
        <w:t>- Seimas turi bendrą kompetenciją priimti įstatymus, todėl konkretaus „teisinio pagrindo“ priimti Projektą Nr. 1 nurodyti nebūtina, o paaiškinimai, susiję su SESV 223 str. 1 d. ir Seimo Statut</w:t>
      </w:r>
      <w:r w:rsidR="002D3546" w:rsidRPr="001E461C">
        <w:rPr>
          <w:bCs/>
          <w:color w:val="000000" w:themeColor="text1"/>
          <w:szCs w:val="24"/>
        </w:rPr>
        <w:t>o nuostatomis, g</w:t>
      </w:r>
      <w:r w:rsidRPr="001E461C">
        <w:rPr>
          <w:bCs/>
          <w:color w:val="000000" w:themeColor="text1"/>
          <w:szCs w:val="24"/>
        </w:rPr>
        <w:t>alėtų būti pateikti aiškinamajame raš</w:t>
      </w:r>
      <w:r w:rsidR="002D3546" w:rsidRPr="001E461C">
        <w:rPr>
          <w:bCs/>
          <w:color w:val="000000" w:themeColor="text1"/>
          <w:szCs w:val="24"/>
        </w:rPr>
        <w:t>te</w:t>
      </w:r>
      <w:r w:rsidR="00313C4B">
        <w:rPr>
          <w:bCs/>
          <w:color w:val="000000" w:themeColor="text1"/>
          <w:szCs w:val="24"/>
        </w:rPr>
        <w:t>.</w:t>
      </w:r>
    </w:p>
    <w:p w14:paraId="7A9EC73C" w14:textId="14EBA059" w:rsidR="00871A19" w:rsidRPr="001E461C" w:rsidRDefault="002D3546" w:rsidP="00A10024">
      <w:pPr>
        <w:tabs>
          <w:tab w:val="left" w:pos="1134"/>
        </w:tabs>
        <w:spacing w:line="276" w:lineRule="auto"/>
        <w:ind w:firstLine="720"/>
        <w:rPr>
          <w:bCs/>
          <w:color w:val="000000" w:themeColor="text1"/>
          <w:szCs w:val="24"/>
        </w:rPr>
      </w:pPr>
      <w:r w:rsidRPr="001E461C">
        <w:rPr>
          <w:bCs/>
          <w:color w:val="000000" w:themeColor="text1"/>
          <w:szCs w:val="24"/>
        </w:rPr>
        <w:lastRenderedPageBreak/>
        <w:t xml:space="preserve">3. </w:t>
      </w:r>
      <w:r w:rsidRPr="001E461C">
        <w:rPr>
          <w:bCs/>
          <w:color w:val="000000" w:themeColor="text1"/>
          <w:szCs w:val="24"/>
        </w:rPr>
        <w:t>Siūlytume apsvarstyti, ar apskritai tikslinga</w:t>
      </w:r>
      <w:r w:rsidRPr="001E461C">
        <w:rPr>
          <w:bCs/>
          <w:color w:val="000000" w:themeColor="text1"/>
          <w:szCs w:val="24"/>
        </w:rPr>
        <w:t>s</w:t>
      </w:r>
      <w:r w:rsidRPr="001E461C">
        <w:rPr>
          <w:bCs/>
          <w:color w:val="000000" w:themeColor="text1"/>
          <w:szCs w:val="24"/>
        </w:rPr>
        <w:t xml:space="preserve"> Projekto Nr. </w:t>
      </w:r>
      <w:r w:rsidRPr="001E461C">
        <w:rPr>
          <w:bCs/>
          <w:color w:val="000000" w:themeColor="text1"/>
          <w:szCs w:val="24"/>
        </w:rPr>
        <w:t>1</w:t>
      </w:r>
      <w:r w:rsidRPr="001E461C">
        <w:rPr>
          <w:bCs/>
          <w:color w:val="000000" w:themeColor="text1"/>
          <w:szCs w:val="24"/>
        </w:rPr>
        <w:t xml:space="preserve"> </w:t>
      </w:r>
      <w:r w:rsidRPr="001E461C">
        <w:rPr>
          <w:bCs/>
          <w:color w:val="000000" w:themeColor="text1"/>
          <w:szCs w:val="24"/>
        </w:rPr>
        <w:t xml:space="preserve">2 </w:t>
      </w:r>
      <w:r w:rsidRPr="001E461C">
        <w:rPr>
          <w:bCs/>
          <w:color w:val="000000" w:themeColor="text1"/>
          <w:szCs w:val="24"/>
        </w:rPr>
        <w:t>straipsn</w:t>
      </w:r>
      <w:r w:rsidRPr="001E461C">
        <w:rPr>
          <w:bCs/>
          <w:color w:val="000000" w:themeColor="text1"/>
          <w:szCs w:val="24"/>
        </w:rPr>
        <w:t xml:space="preserve">is, bent jau toks, kaip jis suformuluotas. Skirtingai nei atskirų tarptautinių sutarčių atveju, aptariamas Tarybos sprendimas nereikalauja </w:t>
      </w:r>
      <w:r w:rsidRPr="001E461C">
        <w:rPr>
          <w:bCs/>
          <w:i/>
          <w:color w:val="000000" w:themeColor="text1"/>
          <w:szCs w:val="24"/>
        </w:rPr>
        <w:t>paskirti</w:t>
      </w:r>
      <w:r w:rsidRPr="001E461C">
        <w:rPr>
          <w:bCs/>
          <w:color w:val="000000" w:themeColor="text1"/>
          <w:szCs w:val="24"/>
        </w:rPr>
        <w:t xml:space="preserve"> jokių </w:t>
      </w:r>
      <w:r w:rsidR="00313C4B">
        <w:rPr>
          <w:bCs/>
          <w:color w:val="000000" w:themeColor="text1"/>
          <w:szCs w:val="24"/>
        </w:rPr>
        <w:t xml:space="preserve">„pranešančiųjų“ </w:t>
      </w:r>
      <w:r w:rsidRPr="001E461C">
        <w:rPr>
          <w:bCs/>
          <w:color w:val="000000" w:themeColor="text1"/>
          <w:szCs w:val="24"/>
        </w:rPr>
        <w:t>nacionalinių institucijų; viskas, ko reikalaujama pagal Tarybos sprendimo 2 straipsnį</w:t>
      </w:r>
      <w:r w:rsidR="00313C4B">
        <w:rPr>
          <w:bCs/>
          <w:color w:val="000000" w:themeColor="text1"/>
          <w:szCs w:val="24"/>
        </w:rPr>
        <w:t xml:space="preserve"> - </w:t>
      </w:r>
      <w:r w:rsidRPr="001E461C">
        <w:rPr>
          <w:bCs/>
          <w:color w:val="000000" w:themeColor="text1"/>
          <w:szCs w:val="24"/>
        </w:rPr>
        <w:t xml:space="preserve">kad valstybės narės </w:t>
      </w:r>
      <w:r w:rsidRPr="001E461C">
        <w:rPr>
          <w:bCs/>
          <w:i/>
          <w:color w:val="000000" w:themeColor="text1"/>
          <w:szCs w:val="24"/>
        </w:rPr>
        <w:t>praneštų</w:t>
      </w:r>
      <w:r w:rsidRPr="001E461C">
        <w:rPr>
          <w:bCs/>
          <w:color w:val="000000" w:themeColor="text1"/>
          <w:szCs w:val="24"/>
        </w:rPr>
        <w:t xml:space="preserve"> apie užbaigtas procedūras. Manytume, kad formaliam vienkartiniam pranešimui nereikia jokių papildomų įgaliojimų, ypač jei aišku, kuri institucija turi </w:t>
      </w:r>
      <w:r w:rsidR="00313C4B">
        <w:rPr>
          <w:bCs/>
          <w:color w:val="000000" w:themeColor="text1"/>
          <w:szCs w:val="24"/>
        </w:rPr>
        <w:t xml:space="preserve">tai </w:t>
      </w:r>
      <w:r w:rsidRPr="001E461C">
        <w:rPr>
          <w:bCs/>
          <w:color w:val="000000" w:themeColor="text1"/>
          <w:szCs w:val="24"/>
        </w:rPr>
        <w:t>padaryti. Tokiu būdu nereikėtų priimti dar vieno papildomo Vyriausybės nutarimo.</w:t>
      </w:r>
      <w:r w:rsidR="00313C4B">
        <w:rPr>
          <w:bCs/>
          <w:color w:val="000000" w:themeColor="text1"/>
          <w:szCs w:val="24"/>
        </w:rPr>
        <w:t xml:space="preserve"> Atitinkamai:</w:t>
      </w:r>
    </w:p>
    <w:p w14:paraId="2C706C7A" w14:textId="7D16793E" w:rsidR="00871A19" w:rsidRPr="001E461C" w:rsidRDefault="00871A19" w:rsidP="00A10024">
      <w:pPr>
        <w:tabs>
          <w:tab w:val="left" w:pos="1134"/>
        </w:tabs>
        <w:spacing w:line="276" w:lineRule="auto"/>
        <w:ind w:firstLine="720"/>
        <w:rPr>
          <w:bCs/>
          <w:color w:val="000000" w:themeColor="text1"/>
          <w:szCs w:val="24"/>
        </w:rPr>
      </w:pPr>
      <w:r w:rsidRPr="001E461C">
        <w:rPr>
          <w:bCs/>
          <w:color w:val="000000" w:themeColor="text1"/>
          <w:szCs w:val="24"/>
        </w:rPr>
        <w:t xml:space="preserve">- siūlytume </w:t>
      </w:r>
      <w:r w:rsidR="004D45DF" w:rsidRPr="001E461C">
        <w:rPr>
          <w:bCs/>
          <w:color w:val="000000" w:themeColor="text1"/>
          <w:szCs w:val="24"/>
        </w:rPr>
        <w:t xml:space="preserve">tikrai nevartoti frazės </w:t>
      </w:r>
      <w:r w:rsidR="00A0203E" w:rsidRPr="001E461C">
        <w:rPr>
          <w:bCs/>
          <w:color w:val="000000" w:themeColor="text1"/>
          <w:szCs w:val="24"/>
        </w:rPr>
        <w:t xml:space="preserve">„procedūros </w:t>
      </w:r>
      <w:r w:rsidR="00A0203E" w:rsidRPr="001E461C">
        <w:rPr>
          <w:bCs/>
          <w:i/>
          <w:color w:val="000000" w:themeColor="text1"/>
          <w:szCs w:val="24"/>
        </w:rPr>
        <w:t>šiam sprendimui priimti</w:t>
      </w:r>
      <w:r w:rsidR="00A0203E" w:rsidRPr="001E461C">
        <w:rPr>
          <w:bCs/>
          <w:color w:val="000000" w:themeColor="text1"/>
          <w:szCs w:val="24"/>
        </w:rPr>
        <w:t xml:space="preserve"> yra užbaigtos“, nes sprendimas jau yra priimtas, o Seimas </w:t>
      </w:r>
      <w:r w:rsidR="00313C4B">
        <w:rPr>
          <w:bCs/>
          <w:color w:val="000000" w:themeColor="text1"/>
          <w:szCs w:val="24"/>
        </w:rPr>
        <w:t xml:space="preserve">jį </w:t>
      </w:r>
      <w:r w:rsidR="00A0203E" w:rsidRPr="001E461C">
        <w:rPr>
          <w:bCs/>
          <w:color w:val="000000" w:themeColor="text1"/>
          <w:szCs w:val="24"/>
        </w:rPr>
        <w:t>tik tvirtina;</w:t>
      </w:r>
    </w:p>
    <w:p w14:paraId="4A4BDF51" w14:textId="1BA93A0B" w:rsidR="002D3546" w:rsidRPr="001E461C" w:rsidRDefault="00A0203E" w:rsidP="00A10024">
      <w:pPr>
        <w:tabs>
          <w:tab w:val="left" w:pos="1134"/>
        </w:tabs>
        <w:spacing w:line="276" w:lineRule="auto"/>
        <w:ind w:firstLine="720"/>
        <w:rPr>
          <w:bCs/>
          <w:color w:val="000000" w:themeColor="text1"/>
          <w:szCs w:val="24"/>
        </w:rPr>
      </w:pPr>
      <w:r w:rsidRPr="001E461C">
        <w:rPr>
          <w:bCs/>
          <w:color w:val="000000" w:themeColor="text1"/>
          <w:szCs w:val="24"/>
        </w:rPr>
        <w:t>-</w:t>
      </w:r>
      <w:r w:rsidR="002D3546" w:rsidRPr="001E461C">
        <w:rPr>
          <w:bCs/>
          <w:color w:val="000000" w:themeColor="text1"/>
          <w:szCs w:val="24"/>
        </w:rPr>
        <w:t xml:space="preserve"> siūlytume 2 straipsnį formuluoti taip: „Lietuvos Respublikos Vyriausybė pagal </w:t>
      </w:r>
      <w:r w:rsidR="00871A19" w:rsidRPr="001E461C">
        <w:rPr>
          <w:bCs/>
          <w:color w:val="000000" w:themeColor="text1"/>
          <w:szCs w:val="24"/>
        </w:rPr>
        <w:t xml:space="preserve">2018 m. liepos 13 d. Tarybos sprendimo (ES, Euratomas) 2018/994 2 straipsnį praneša Europos Sąjungos Tarybos Generaliniam sekretoriatui, kad įsigaliojus šiam </w:t>
      </w:r>
      <w:r w:rsidRPr="001E461C">
        <w:rPr>
          <w:bCs/>
          <w:color w:val="000000" w:themeColor="text1"/>
          <w:szCs w:val="24"/>
        </w:rPr>
        <w:t xml:space="preserve">Įstatymui </w:t>
      </w:r>
      <w:r w:rsidR="00871A19" w:rsidRPr="001E461C">
        <w:rPr>
          <w:bCs/>
          <w:color w:val="000000" w:themeColor="text1"/>
          <w:szCs w:val="24"/>
        </w:rPr>
        <w:t xml:space="preserve">nacionalinės procedūros dėl </w:t>
      </w:r>
      <w:r w:rsidRPr="001E461C">
        <w:rPr>
          <w:bCs/>
          <w:color w:val="000000" w:themeColor="text1"/>
          <w:szCs w:val="24"/>
        </w:rPr>
        <w:t>sprendimo patvirtinimo yra užbaigtos.</w:t>
      </w:r>
      <w:r w:rsidR="00871A19" w:rsidRPr="001E461C">
        <w:rPr>
          <w:bCs/>
          <w:color w:val="000000" w:themeColor="text1"/>
          <w:szCs w:val="24"/>
        </w:rPr>
        <w:t>“</w:t>
      </w:r>
    </w:p>
    <w:p w14:paraId="462486BF" w14:textId="6326FECF" w:rsidR="00A0203E" w:rsidRPr="001E461C" w:rsidRDefault="00A0203E" w:rsidP="00A10024">
      <w:pPr>
        <w:tabs>
          <w:tab w:val="left" w:pos="1134"/>
        </w:tabs>
        <w:spacing w:line="276" w:lineRule="auto"/>
        <w:ind w:firstLine="720"/>
        <w:rPr>
          <w:bCs/>
          <w:color w:val="000000" w:themeColor="text1"/>
          <w:szCs w:val="24"/>
        </w:rPr>
      </w:pPr>
      <w:r w:rsidRPr="001E461C">
        <w:rPr>
          <w:bCs/>
          <w:color w:val="000000" w:themeColor="text1"/>
          <w:szCs w:val="24"/>
        </w:rPr>
        <w:t>- jei nėra aišku, kuri institucija tokį pranešimą pateiks, siūlytume Projektą Nr. 3 papildyti 4 punktu ir nustatyti, kad Lietuvos Respublikos Seimui priėmus teikiam</w:t>
      </w:r>
      <w:r w:rsidR="00313C4B">
        <w:rPr>
          <w:bCs/>
          <w:color w:val="000000" w:themeColor="text1"/>
          <w:szCs w:val="24"/>
        </w:rPr>
        <w:t>ą</w:t>
      </w:r>
      <w:r w:rsidRPr="001E461C">
        <w:rPr>
          <w:bCs/>
          <w:color w:val="000000" w:themeColor="text1"/>
          <w:szCs w:val="24"/>
        </w:rPr>
        <w:t xml:space="preserve"> </w:t>
      </w:r>
      <w:r w:rsidR="00313C4B">
        <w:rPr>
          <w:bCs/>
          <w:color w:val="000000" w:themeColor="text1"/>
          <w:szCs w:val="24"/>
        </w:rPr>
        <w:t>P</w:t>
      </w:r>
      <w:r w:rsidRPr="001E461C">
        <w:rPr>
          <w:bCs/>
          <w:color w:val="000000" w:themeColor="text1"/>
          <w:szCs w:val="24"/>
        </w:rPr>
        <w:t>rojekt</w:t>
      </w:r>
      <w:r w:rsidR="00313C4B">
        <w:rPr>
          <w:bCs/>
          <w:color w:val="000000" w:themeColor="text1"/>
          <w:szCs w:val="24"/>
        </w:rPr>
        <w:t xml:space="preserve">ą Nr. 1 </w:t>
      </w:r>
      <w:r w:rsidRPr="001E461C">
        <w:rPr>
          <w:bCs/>
          <w:color w:val="000000" w:themeColor="text1"/>
          <w:szCs w:val="24"/>
        </w:rPr>
        <w:t>atitinkama ministerija informuoja Generalinį sekretoriatą apie nacionalinių procedūrų užbaigimą.</w:t>
      </w:r>
    </w:p>
    <w:p w14:paraId="7892514C" w14:textId="106566D4" w:rsidR="002A5FB3" w:rsidRPr="001E461C" w:rsidRDefault="00A0203E" w:rsidP="00A10024">
      <w:pPr>
        <w:tabs>
          <w:tab w:val="left" w:pos="1134"/>
        </w:tabs>
        <w:spacing w:line="276" w:lineRule="auto"/>
        <w:ind w:firstLine="720"/>
        <w:rPr>
          <w:bCs/>
          <w:color w:val="000000" w:themeColor="text1"/>
          <w:szCs w:val="24"/>
        </w:rPr>
      </w:pPr>
      <w:r w:rsidRPr="001E461C">
        <w:rPr>
          <w:bCs/>
          <w:color w:val="000000" w:themeColor="text1"/>
          <w:szCs w:val="24"/>
        </w:rPr>
        <w:t xml:space="preserve">4. </w:t>
      </w:r>
      <w:r w:rsidR="008D28F5" w:rsidRPr="001E461C">
        <w:rPr>
          <w:bCs/>
          <w:color w:val="000000" w:themeColor="text1"/>
          <w:szCs w:val="24"/>
        </w:rPr>
        <w:t>Projekto Nr. 2</w:t>
      </w:r>
      <w:r w:rsidR="008A783C" w:rsidRPr="001E461C">
        <w:rPr>
          <w:bCs/>
          <w:color w:val="000000" w:themeColor="text1"/>
          <w:szCs w:val="24"/>
        </w:rPr>
        <w:t xml:space="preserve"> 3 straipsnis </w:t>
      </w:r>
      <w:r w:rsidR="00F343F9" w:rsidRPr="001E461C">
        <w:rPr>
          <w:bCs/>
          <w:color w:val="000000" w:themeColor="text1"/>
          <w:szCs w:val="24"/>
        </w:rPr>
        <w:t>įstatymo įsigaliojimą sieja su Tarybos sprendimo įsigaliojimo diena. Siūlytume šios nuostatos atsisakyti ir numatyti konkrečią įstatymo įsigaliojimo dieną:</w:t>
      </w:r>
    </w:p>
    <w:p w14:paraId="1D269195" w14:textId="6894A1A3" w:rsidR="00F343F9" w:rsidRPr="001E461C" w:rsidRDefault="00F343F9" w:rsidP="00A10024">
      <w:pPr>
        <w:tabs>
          <w:tab w:val="left" w:pos="1134"/>
        </w:tabs>
        <w:spacing w:line="276" w:lineRule="auto"/>
        <w:ind w:firstLine="720"/>
        <w:rPr>
          <w:color w:val="000000" w:themeColor="text1"/>
          <w:szCs w:val="24"/>
        </w:rPr>
      </w:pPr>
      <w:r w:rsidRPr="001E461C">
        <w:rPr>
          <w:bCs/>
          <w:color w:val="000000" w:themeColor="text1"/>
          <w:szCs w:val="24"/>
        </w:rPr>
        <w:t xml:space="preserve">- Teisėkūros įstatymo 20 straipsnio 1 dalis numato, kad jei teisės akto įsigaliojimas nesiejamas su jo paskelbimo Teisės aktų registre, turi būti numatyta vėlesnė įsigaliojimo </w:t>
      </w:r>
      <w:r w:rsidRPr="001E461C">
        <w:rPr>
          <w:bCs/>
          <w:i/>
          <w:color w:val="000000" w:themeColor="text1"/>
          <w:szCs w:val="24"/>
        </w:rPr>
        <w:t>data</w:t>
      </w:r>
      <w:r w:rsidRPr="001E461C">
        <w:rPr>
          <w:bCs/>
          <w:color w:val="000000" w:themeColor="text1"/>
          <w:szCs w:val="24"/>
        </w:rPr>
        <w:t xml:space="preserve"> (bet ne momentas, aplinkybė); </w:t>
      </w:r>
      <w:r w:rsidRPr="001E461C">
        <w:rPr>
          <w:color w:val="000000" w:themeColor="text1"/>
          <w:szCs w:val="24"/>
        </w:rPr>
        <w:t>Teisės aktų</w:t>
      </w:r>
      <w:r w:rsidRPr="001E461C">
        <w:rPr>
          <w:color w:val="000000" w:themeColor="text1"/>
          <w:szCs w:val="24"/>
        </w:rPr>
        <w:t xml:space="preserve"> projektų rengimo rekomendacijų 25 punkte taip pat nurodyta, kad tokia nuostata, kaip yra Projekto Nr. 2 3 straipsnyje, negalima;</w:t>
      </w:r>
    </w:p>
    <w:p w14:paraId="2909D477" w14:textId="31475465" w:rsidR="00F343F9" w:rsidRPr="001E461C" w:rsidRDefault="008B7E7E" w:rsidP="00A10024">
      <w:pPr>
        <w:tabs>
          <w:tab w:val="left" w:pos="1134"/>
        </w:tabs>
        <w:spacing w:line="276" w:lineRule="auto"/>
        <w:ind w:firstLine="720"/>
        <w:rPr>
          <w:color w:val="000000" w:themeColor="text1"/>
          <w:szCs w:val="24"/>
        </w:rPr>
      </w:pPr>
      <w:r w:rsidRPr="001E461C">
        <w:rPr>
          <w:color w:val="000000" w:themeColor="text1"/>
          <w:szCs w:val="24"/>
        </w:rPr>
        <w:t xml:space="preserve">- </w:t>
      </w:r>
      <w:r w:rsidR="00F343F9" w:rsidRPr="001E461C">
        <w:rPr>
          <w:color w:val="000000" w:themeColor="text1"/>
          <w:szCs w:val="24"/>
        </w:rPr>
        <w:t>Tarybos sprendim</w:t>
      </w:r>
      <w:r w:rsidRPr="001E461C">
        <w:rPr>
          <w:color w:val="000000" w:themeColor="text1"/>
          <w:szCs w:val="24"/>
        </w:rPr>
        <w:t xml:space="preserve">u įterpiamame </w:t>
      </w:r>
      <w:r w:rsidRPr="001E461C">
        <w:rPr>
          <w:color w:val="000000" w:themeColor="text1"/>
          <w:szCs w:val="24"/>
        </w:rPr>
        <w:t>3b straipsn</w:t>
      </w:r>
      <w:r w:rsidRPr="001E461C">
        <w:rPr>
          <w:color w:val="000000" w:themeColor="text1"/>
          <w:szCs w:val="24"/>
        </w:rPr>
        <w:t>yje yra nustatyta, kad „v</w:t>
      </w:r>
      <w:r w:rsidRPr="001E461C">
        <w:rPr>
          <w:color w:val="000000" w:themeColor="text1"/>
          <w:szCs w:val="24"/>
        </w:rPr>
        <w:t xml:space="preserve">alstybės narės </w:t>
      </w:r>
      <w:r w:rsidRPr="001E461C">
        <w:rPr>
          <w:i/>
          <w:color w:val="000000" w:themeColor="text1"/>
          <w:szCs w:val="24"/>
        </w:rPr>
        <w:t>gali leisti</w:t>
      </w:r>
      <w:r w:rsidRPr="001E461C">
        <w:rPr>
          <w:color w:val="000000" w:themeColor="text1"/>
          <w:szCs w:val="24"/>
        </w:rPr>
        <w:t>, kad ant balsavimo biuletenių būtų nurodytas Europos politinės partijos, su kuria yra susijusi nacionalinė politinė partija arba atskiras kandidatas, pavadinimas arba pateiktas jos logotipas</w:t>
      </w:r>
      <w:r w:rsidRPr="001E461C">
        <w:rPr>
          <w:color w:val="000000" w:themeColor="text1"/>
          <w:szCs w:val="24"/>
        </w:rPr>
        <w:t>“; tai yra dispozicinė norma, kuria valstybė gali pasinaudoti; ji nėra siejama su Tarybos sprendimo įsigaliojimu, todėl Lietuva ir neįsigaliojus sprendimui (nesant tokio sprendimo) galėtų tokią nuostatą nustatyti (arba ne) savo įstatymuose;</w:t>
      </w:r>
    </w:p>
    <w:p w14:paraId="6C875655" w14:textId="0611A618" w:rsidR="008B7E7E" w:rsidRPr="001E461C" w:rsidRDefault="008B7E7E" w:rsidP="00A10024">
      <w:pPr>
        <w:tabs>
          <w:tab w:val="left" w:pos="1134"/>
        </w:tabs>
        <w:spacing w:line="276" w:lineRule="auto"/>
        <w:ind w:firstLine="720"/>
        <w:rPr>
          <w:color w:val="000000" w:themeColor="text1"/>
          <w:szCs w:val="24"/>
        </w:rPr>
      </w:pPr>
      <w:r w:rsidRPr="001E461C">
        <w:rPr>
          <w:color w:val="000000" w:themeColor="text1"/>
          <w:szCs w:val="24"/>
        </w:rPr>
        <w:t xml:space="preserve">- be to, </w:t>
      </w:r>
      <w:r w:rsidR="00DB0187" w:rsidRPr="001E461C">
        <w:rPr>
          <w:color w:val="000000" w:themeColor="text1"/>
          <w:szCs w:val="24"/>
        </w:rPr>
        <w:t xml:space="preserve">minėtame </w:t>
      </w:r>
      <w:r w:rsidR="00DB0187" w:rsidRPr="001E461C">
        <w:rPr>
          <w:color w:val="000000" w:themeColor="text1"/>
          <w:szCs w:val="24"/>
        </w:rPr>
        <w:t xml:space="preserve">3b straipsnyje </w:t>
      </w:r>
      <w:r w:rsidR="00DB0187" w:rsidRPr="001E461C">
        <w:rPr>
          <w:color w:val="000000" w:themeColor="text1"/>
          <w:szCs w:val="24"/>
        </w:rPr>
        <w:t xml:space="preserve">(kaip ir Projekto Nr. 2 1 straipsnyje) </w:t>
      </w:r>
      <w:r w:rsidR="00DB0187" w:rsidRPr="001E461C">
        <w:rPr>
          <w:color w:val="000000" w:themeColor="text1"/>
          <w:szCs w:val="24"/>
        </w:rPr>
        <w:t>yra nustatyta, kad Europos politinės partijos, su kuria yra susijusi nacionalinė politinė partija arba atskiras kandidatas, pavadinimas arba pateiktas jos logotipas</w:t>
      </w:r>
      <w:r w:rsidR="00DB0187" w:rsidRPr="001E461C">
        <w:rPr>
          <w:color w:val="000000" w:themeColor="text1"/>
          <w:szCs w:val="24"/>
        </w:rPr>
        <w:t xml:space="preserve"> gali būti </w:t>
      </w:r>
      <w:r w:rsidR="00DB0187" w:rsidRPr="001E461C">
        <w:rPr>
          <w:color w:val="000000" w:themeColor="text1"/>
          <w:szCs w:val="24"/>
        </w:rPr>
        <w:t>nurodytas</w:t>
      </w:r>
      <w:r w:rsidR="00DB0187" w:rsidRPr="001E461C">
        <w:rPr>
          <w:color w:val="000000" w:themeColor="text1"/>
          <w:szCs w:val="24"/>
        </w:rPr>
        <w:t xml:space="preserve"> </w:t>
      </w:r>
      <w:r w:rsidR="00DB0187" w:rsidRPr="001E461C">
        <w:rPr>
          <w:i/>
          <w:color w:val="000000" w:themeColor="text1"/>
          <w:szCs w:val="24"/>
        </w:rPr>
        <w:t>ant balsavimo biuletenių</w:t>
      </w:r>
      <w:r w:rsidR="00DB0187" w:rsidRPr="001E461C">
        <w:rPr>
          <w:color w:val="000000" w:themeColor="text1"/>
          <w:szCs w:val="24"/>
        </w:rPr>
        <w:t>. Tai reiškia, kad ši nuostata bus aktuali tik 2019 m. gegužės 26 d. (arba šiek tiek anksčiau, kai bus spausdinami balsavimo bi</w:t>
      </w:r>
      <w:r w:rsidR="00313C4B">
        <w:rPr>
          <w:color w:val="000000" w:themeColor="text1"/>
          <w:szCs w:val="24"/>
        </w:rPr>
        <w:t>uleteniai).</w:t>
      </w:r>
    </w:p>
    <w:p w14:paraId="67892B06" w14:textId="6A4C6A0C" w:rsidR="00DB0187" w:rsidRPr="001E461C" w:rsidRDefault="00313C4B" w:rsidP="00A10024">
      <w:pPr>
        <w:tabs>
          <w:tab w:val="left" w:pos="1134"/>
        </w:tabs>
        <w:spacing w:line="276" w:lineRule="auto"/>
        <w:ind w:firstLine="720"/>
        <w:rPr>
          <w:bCs/>
          <w:color w:val="000000" w:themeColor="text1"/>
          <w:szCs w:val="24"/>
        </w:rPr>
      </w:pPr>
      <w:r>
        <w:rPr>
          <w:color w:val="000000" w:themeColor="text1"/>
          <w:szCs w:val="24"/>
        </w:rPr>
        <w:t xml:space="preserve">Todėl </w:t>
      </w:r>
      <w:r w:rsidR="00DB0187" w:rsidRPr="001E461C">
        <w:rPr>
          <w:color w:val="000000" w:themeColor="text1"/>
          <w:szCs w:val="24"/>
        </w:rPr>
        <w:t>siūlome Projekto Nr. 2 3 straipsnyje nurodyti konkrečią įstatymo įsigaliojimo dieną</w:t>
      </w:r>
      <w:r>
        <w:rPr>
          <w:color w:val="000000" w:themeColor="text1"/>
          <w:szCs w:val="24"/>
        </w:rPr>
        <w:t xml:space="preserve"> </w:t>
      </w:r>
      <w:r w:rsidR="00DB0187" w:rsidRPr="001E461C">
        <w:rPr>
          <w:color w:val="000000" w:themeColor="text1"/>
          <w:szCs w:val="24"/>
        </w:rPr>
        <w:t>arba apskritai sieti jo įsigaliojimą su paskelbimu TAR. Tai nesukels jokių neigiamų pasekmių net ir neįsigaliojus Tarybos sprendimui.</w:t>
      </w:r>
      <w:r w:rsidR="00193CBF" w:rsidRPr="001E461C">
        <w:rPr>
          <w:color w:val="000000" w:themeColor="text1"/>
          <w:szCs w:val="24"/>
        </w:rPr>
        <w:t xml:space="preserve"> Tuo labiau, kad </w:t>
      </w:r>
      <w:r w:rsidRPr="001E461C">
        <w:rPr>
          <w:bCs/>
          <w:color w:val="000000" w:themeColor="text1"/>
          <w:szCs w:val="24"/>
        </w:rPr>
        <w:t>Tarybos</w:t>
      </w:r>
      <w:r w:rsidRPr="001E461C">
        <w:rPr>
          <w:color w:val="000000" w:themeColor="text1"/>
          <w:szCs w:val="24"/>
        </w:rPr>
        <w:t xml:space="preserve"> </w:t>
      </w:r>
      <w:r>
        <w:rPr>
          <w:color w:val="000000" w:themeColor="text1"/>
          <w:szCs w:val="24"/>
        </w:rPr>
        <w:t>s</w:t>
      </w:r>
      <w:r w:rsidR="00193CBF" w:rsidRPr="001E461C">
        <w:rPr>
          <w:color w:val="000000" w:themeColor="text1"/>
          <w:szCs w:val="24"/>
        </w:rPr>
        <w:t>prendimo preambulėje yra nurodoma, kad „</w:t>
      </w:r>
      <w:r w:rsidR="00193CBF" w:rsidRPr="001E461C">
        <w:rPr>
          <w:color w:val="000000" w:themeColor="text1"/>
          <w:szCs w:val="24"/>
        </w:rPr>
        <w:t xml:space="preserve">pageidautina, kad Sąjungos piliečiai </w:t>
      </w:r>
      <w:r w:rsidR="00193CBF" w:rsidRPr="001E461C">
        <w:rPr>
          <w:i/>
          <w:color w:val="000000" w:themeColor="text1"/>
          <w:szCs w:val="24"/>
        </w:rPr>
        <w:t>būtų gerokai prieš Europos Parlamento rinkimus informuojami</w:t>
      </w:r>
      <w:r w:rsidR="00193CBF" w:rsidRPr="001E461C">
        <w:rPr>
          <w:color w:val="000000" w:themeColor="text1"/>
          <w:szCs w:val="24"/>
        </w:rPr>
        <w:t xml:space="preserve"> apie tuose rinkimuose dalyvaujančius kandidatus ir apie nacionalinių politinių partijų priklausymą Europos politinėms partijoms</w:t>
      </w:r>
      <w:r w:rsidR="00193CBF" w:rsidRPr="001E461C">
        <w:rPr>
          <w:color w:val="000000" w:themeColor="text1"/>
          <w:szCs w:val="24"/>
        </w:rPr>
        <w:t>“.</w:t>
      </w:r>
    </w:p>
    <w:p w14:paraId="5851FA5B" w14:textId="19E4EA8A" w:rsidR="008D28F5" w:rsidRPr="001E461C" w:rsidRDefault="00DB0187" w:rsidP="00A10024">
      <w:pPr>
        <w:tabs>
          <w:tab w:val="left" w:pos="1134"/>
        </w:tabs>
        <w:spacing w:line="276" w:lineRule="auto"/>
        <w:ind w:firstLine="720"/>
        <w:rPr>
          <w:color w:val="000000" w:themeColor="text1"/>
          <w:szCs w:val="24"/>
        </w:rPr>
      </w:pPr>
      <w:r w:rsidRPr="001E461C">
        <w:rPr>
          <w:bCs/>
          <w:color w:val="000000" w:themeColor="text1"/>
          <w:szCs w:val="24"/>
        </w:rPr>
        <w:t xml:space="preserve">5. </w:t>
      </w:r>
      <w:r w:rsidRPr="001E461C">
        <w:rPr>
          <w:color w:val="000000" w:themeColor="text1"/>
          <w:szCs w:val="24"/>
        </w:rPr>
        <w:t xml:space="preserve">Projekto Nr. 2 </w:t>
      </w:r>
      <w:r w:rsidRPr="001E461C">
        <w:rPr>
          <w:color w:val="000000" w:themeColor="text1"/>
          <w:szCs w:val="24"/>
        </w:rPr>
        <w:t>1</w:t>
      </w:r>
      <w:r w:rsidRPr="001E461C">
        <w:rPr>
          <w:color w:val="000000" w:themeColor="text1"/>
          <w:szCs w:val="24"/>
        </w:rPr>
        <w:t xml:space="preserve"> straipsnyje</w:t>
      </w:r>
      <w:r w:rsidRPr="001E461C">
        <w:rPr>
          <w:color w:val="000000" w:themeColor="text1"/>
          <w:szCs w:val="24"/>
        </w:rPr>
        <w:t xml:space="preserve"> siūloma nustatyti, kad (balsavimo) biuletenyje turi būti atspausdintas </w:t>
      </w:r>
      <w:r w:rsidRPr="001E461C">
        <w:rPr>
          <w:color w:val="000000" w:themeColor="text1"/>
          <w:szCs w:val="24"/>
        </w:rPr>
        <w:t>Europos politinės partijos</w:t>
      </w:r>
      <w:r w:rsidRPr="001E461C">
        <w:rPr>
          <w:color w:val="000000" w:themeColor="text1"/>
          <w:szCs w:val="24"/>
        </w:rPr>
        <w:t xml:space="preserve"> </w:t>
      </w:r>
      <w:r w:rsidRPr="00313C4B">
        <w:rPr>
          <w:i/>
          <w:color w:val="000000" w:themeColor="text1"/>
          <w:szCs w:val="24"/>
        </w:rPr>
        <w:t>pavadinimas arba jos logotipas</w:t>
      </w:r>
      <w:r w:rsidRPr="001E461C">
        <w:rPr>
          <w:color w:val="000000" w:themeColor="text1"/>
          <w:szCs w:val="24"/>
        </w:rPr>
        <w:t xml:space="preserve">. </w:t>
      </w:r>
      <w:r w:rsidR="00313C4B">
        <w:rPr>
          <w:color w:val="000000" w:themeColor="text1"/>
          <w:szCs w:val="24"/>
        </w:rPr>
        <w:t>K</w:t>
      </w:r>
      <w:r w:rsidRPr="001E461C">
        <w:rPr>
          <w:color w:val="000000" w:themeColor="text1"/>
          <w:szCs w:val="24"/>
        </w:rPr>
        <w:t>yla klausimas, kas turi būti atspausdinta – pavadinimas ar logotipas, ar gali būti spausdinami abu ir kas tai nuspręs. Todėl siūl</w:t>
      </w:r>
      <w:r w:rsidR="00313C4B">
        <w:rPr>
          <w:color w:val="000000" w:themeColor="text1"/>
          <w:szCs w:val="24"/>
        </w:rPr>
        <w:t>ome</w:t>
      </w:r>
      <w:r w:rsidRPr="001E461C">
        <w:rPr>
          <w:color w:val="000000" w:themeColor="text1"/>
          <w:szCs w:val="24"/>
        </w:rPr>
        <w:t xml:space="preserve"> sukonkretinti nuostatą ir nurodyti, kad spausdinamas </w:t>
      </w:r>
      <w:r w:rsidRPr="001E461C">
        <w:rPr>
          <w:color w:val="000000" w:themeColor="text1"/>
          <w:szCs w:val="24"/>
        </w:rPr>
        <w:t>Europos politinės partijos</w:t>
      </w:r>
      <w:r w:rsidRPr="001E461C">
        <w:rPr>
          <w:color w:val="000000" w:themeColor="text1"/>
          <w:szCs w:val="24"/>
        </w:rPr>
        <w:t xml:space="preserve"> pavadinimas ir, jei </w:t>
      </w:r>
      <w:r w:rsidRPr="001E461C">
        <w:rPr>
          <w:color w:val="000000" w:themeColor="text1"/>
          <w:szCs w:val="24"/>
        </w:rPr>
        <w:t>Europos politinės partijos</w:t>
      </w:r>
      <w:r w:rsidR="00313C4B">
        <w:rPr>
          <w:color w:val="000000" w:themeColor="text1"/>
          <w:szCs w:val="24"/>
        </w:rPr>
        <w:t xml:space="preserve"> turi logotipą, jos logotipas (ar kitaip).</w:t>
      </w:r>
    </w:p>
    <w:p w14:paraId="52D50E30" w14:textId="07C109C8" w:rsidR="00DB0187" w:rsidRPr="001E461C" w:rsidRDefault="00DB0187" w:rsidP="00A10024">
      <w:pPr>
        <w:tabs>
          <w:tab w:val="left" w:pos="1134"/>
        </w:tabs>
        <w:spacing w:line="276" w:lineRule="auto"/>
        <w:ind w:firstLine="720"/>
        <w:rPr>
          <w:color w:val="000000" w:themeColor="text1"/>
          <w:szCs w:val="24"/>
        </w:rPr>
      </w:pPr>
      <w:r w:rsidRPr="001E461C">
        <w:rPr>
          <w:color w:val="000000" w:themeColor="text1"/>
          <w:szCs w:val="24"/>
        </w:rPr>
        <w:lastRenderedPageBreak/>
        <w:t xml:space="preserve">6. Manome, kad Projektu Nr. 2 nėra įgyvendinamos visos </w:t>
      </w:r>
      <w:r w:rsidR="00A51139" w:rsidRPr="001E461C">
        <w:rPr>
          <w:color w:val="000000" w:themeColor="text1"/>
          <w:szCs w:val="24"/>
        </w:rPr>
        <w:t xml:space="preserve">būtinos įgyvendinti </w:t>
      </w:r>
      <w:r w:rsidRPr="001E461C">
        <w:rPr>
          <w:color w:val="000000" w:themeColor="text1"/>
          <w:szCs w:val="24"/>
        </w:rPr>
        <w:t>Tarybos sprendimo nuostatos</w:t>
      </w:r>
      <w:r w:rsidR="00A51139" w:rsidRPr="001E461C">
        <w:rPr>
          <w:color w:val="000000" w:themeColor="text1"/>
          <w:szCs w:val="24"/>
        </w:rPr>
        <w:t xml:space="preserve"> arba jos įgyvendinamos nevis</w:t>
      </w:r>
      <w:r w:rsidR="00313C4B">
        <w:rPr>
          <w:color w:val="000000" w:themeColor="text1"/>
          <w:szCs w:val="24"/>
        </w:rPr>
        <w:t xml:space="preserve">iškai </w:t>
      </w:r>
      <w:r w:rsidR="00A51139" w:rsidRPr="001E461C">
        <w:rPr>
          <w:color w:val="000000" w:themeColor="text1"/>
          <w:szCs w:val="24"/>
        </w:rPr>
        <w:t>tiksliai</w:t>
      </w:r>
      <w:r w:rsidR="00193CBF" w:rsidRPr="001E461C">
        <w:rPr>
          <w:color w:val="000000" w:themeColor="text1"/>
          <w:szCs w:val="24"/>
        </w:rPr>
        <w:t xml:space="preserve">. </w:t>
      </w:r>
      <w:r w:rsidR="00313C4B">
        <w:rPr>
          <w:color w:val="000000" w:themeColor="text1"/>
          <w:szCs w:val="24"/>
        </w:rPr>
        <w:t xml:space="preserve">Manome, kad šiuo tikslu reikia </w:t>
      </w:r>
      <w:r w:rsidR="00193CBF" w:rsidRPr="001E461C">
        <w:rPr>
          <w:color w:val="000000" w:themeColor="text1"/>
          <w:szCs w:val="24"/>
        </w:rPr>
        <w:t>atlikti papildomus galiojančių teisės aktų pakeitimus dėl šių Tarybos sprendimo nuostatų</w:t>
      </w:r>
      <w:r w:rsidRPr="001E461C">
        <w:rPr>
          <w:color w:val="000000" w:themeColor="text1"/>
          <w:szCs w:val="24"/>
        </w:rPr>
        <w:t>:</w:t>
      </w:r>
    </w:p>
    <w:p w14:paraId="44FFD3AC" w14:textId="5C990AEC" w:rsidR="00775765" w:rsidRPr="001E461C" w:rsidRDefault="00DB0187" w:rsidP="00A10024">
      <w:pPr>
        <w:tabs>
          <w:tab w:val="left" w:pos="1134"/>
        </w:tabs>
        <w:spacing w:line="276" w:lineRule="auto"/>
        <w:ind w:firstLine="720"/>
        <w:rPr>
          <w:b/>
          <w:bCs/>
          <w:color w:val="000000" w:themeColor="text1"/>
          <w:szCs w:val="24"/>
          <w:lang w:eastAsia="lt-LT"/>
        </w:rPr>
      </w:pPr>
      <w:r w:rsidRPr="001E461C">
        <w:rPr>
          <w:color w:val="000000" w:themeColor="text1"/>
          <w:szCs w:val="24"/>
        </w:rPr>
        <w:t xml:space="preserve">- </w:t>
      </w:r>
      <w:r w:rsidR="00F96E14" w:rsidRPr="001E461C">
        <w:rPr>
          <w:color w:val="000000" w:themeColor="text1"/>
          <w:szCs w:val="24"/>
        </w:rPr>
        <w:t xml:space="preserve">nauja </w:t>
      </w:r>
      <w:r w:rsidR="00F96E14" w:rsidRPr="001E461C">
        <w:rPr>
          <w:color w:val="000000" w:themeColor="text1"/>
          <w:szCs w:val="24"/>
        </w:rPr>
        <w:t>3 straipsni</w:t>
      </w:r>
      <w:r w:rsidR="00F96E14" w:rsidRPr="001E461C">
        <w:rPr>
          <w:color w:val="000000" w:themeColor="text1"/>
          <w:szCs w:val="24"/>
        </w:rPr>
        <w:t>o</w:t>
      </w:r>
      <w:r w:rsidR="00F96E14" w:rsidRPr="001E461C">
        <w:rPr>
          <w:color w:val="000000" w:themeColor="text1"/>
          <w:szCs w:val="24"/>
        </w:rPr>
        <w:t xml:space="preserve"> 1</w:t>
      </w:r>
      <w:r w:rsidR="00F96E14" w:rsidRPr="001E461C">
        <w:rPr>
          <w:color w:val="000000" w:themeColor="text1"/>
          <w:szCs w:val="24"/>
        </w:rPr>
        <w:t xml:space="preserve"> dalis numato, kad jei v</w:t>
      </w:r>
      <w:r w:rsidR="00F96E14" w:rsidRPr="001E461C">
        <w:rPr>
          <w:color w:val="000000" w:themeColor="text1"/>
          <w:szCs w:val="24"/>
        </w:rPr>
        <w:t>alstybės narės nustat</w:t>
      </w:r>
      <w:r w:rsidR="00F96E14" w:rsidRPr="001E461C">
        <w:rPr>
          <w:color w:val="000000" w:themeColor="text1"/>
          <w:szCs w:val="24"/>
        </w:rPr>
        <w:t>o</w:t>
      </w:r>
      <w:r w:rsidR="00F96E14" w:rsidRPr="001E461C">
        <w:rPr>
          <w:color w:val="000000" w:themeColor="text1"/>
          <w:szCs w:val="24"/>
        </w:rPr>
        <w:t xml:space="preserve"> minimalią vietų paskirstymo ribą</w:t>
      </w:r>
      <w:r w:rsidR="00F96E14" w:rsidRPr="001E461C">
        <w:rPr>
          <w:color w:val="000000" w:themeColor="text1"/>
          <w:szCs w:val="24"/>
        </w:rPr>
        <w:t>, ji n</w:t>
      </w:r>
      <w:r w:rsidR="00F96E14" w:rsidRPr="001E461C">
        <w:rPr>
          <w:color w:val="000000" w:themeColor="text1"/>
          <w:szCs w:val="24"/>
        </w:rPr>
        <w:t xml:space="preserve">acionaliniu lygmeniu </w:t>
      </w:r>
      <w:r w:rsidR="00F96E14" w:rsidRPr="001E461C">
        <w:rPr>
          <w:color w:val="000000" w:themeColor="text1"/>
          <w:szCs w:val="24"/>
        </w:rPr>
        <w:t>„</w:t>
      </w:r>
      <w:r w:rsidR="00F96E14" w:rsidRPr="001E461C">
        <w:rPr>
          <w:color w:val="000000" w:themeColor="text1"/>
          <w:szCs w:val="24"/>
        </w:rPr>
        <w:t xml:space="preserve">negali viršyti 5 % </w:t>
      </w:r>
      <w:r w:rsidR="00F96E14" w:rsidRPr="001E461C">
        <w:rPr>
          <w:i/>
          <w:color w:val="000000" w:themeColor="text1"/>
          <w:szCs w:val="24"/>
        </w:rPr>
        <w:t>atiduotų galiojančių balsų</w:t>
      </w:r>
      <w:r w:rsidR="00F96E14" w:rsidRPr="001E461C">
        <w:rPr>
          <w:color w:val="000000" w:themeColor="text1"/>
          <w:szCs w:val="24"/>
        </w:rPr>
        <w:t xml:space="preserve">“. </w:t>
      </w:r>
      <w:r w:rsidR="00775765" w:rsidRPr="001E461C">
        <w:rPr>
          <w:color w:val="000000" w:themeColor="text1"/>
          <w:szCs w:val="24"/>
        </w:rPr>
        <w:t xml:space="preserve">Rinkimų į Europos Parlamentą įstatymo </w:t>
      </w:r>
      <w:r w:rsidR="00775765" w:rsidRPr="001E461C">
        <w:rPr>
          <w:bCs/>
          <w:color w:val="000000" w:themeColor="text1"/>
          <w:szCs w:val="24"/>
          <w:lang w:eastAsia="lt-LT"/>
        </w:rPr>
        <w:t xml:space="preserve">89 straipsnio </w:t>
      </w:r>
      <w:r w:rsidR="00775765" w:rsidRPr="00775765">
        <w:rPr>
          <w:color w:val="000000" w:themeColor="text1"/>
          <w:szCs w:val="24"/>
          <w:lang w:eastAsia="lt-LT"/>
        </w:rPr>
        <w:t>1</w:t>
      </w:r>
      <w:r w:rsidR="00775765" w:rsidRPr="001E461C">
        <w:rPr>
          <w:color w:val="000000" w:themeColor="text1"/>
          <w:szCs w:val="24"/>
          <w:lang w:eastAsia="lt-LT"/>
        </w:rPr>
        <w:t xml:space="preserve"> dalyje numatyta, kad „p</w:t>
      </w:r>
      <w:r w:rsidR="00775765" w:rsidRPr="00775765">
        <w:rPr>
          <w:color w:val="000000" w:themeColor="text1"/>
          <w:szCs w:val="24"/>
          <w:lang w:eastAsia="lt-LT"/>
        </w:rPr>
        <w:t>artijos</w:t>
      </w:r>
      <w:r w:rsidR="00775765" w:rsidRPr="001E461C">
        <w:rPr>
          <w:color w:val="000000" w:themeColor="text1"/>
          <w:szCs w:val="24"/>
          <w:lang w:eastAsia="lt-LT"/>
        </w:rPr>
        <w:t xml:space="preserve"> </w:t>
      </w:r>
      <w:r w:rsidR="00775765" w:rsidRPr="00775765">
        <w:rPr>
          <w:color w:val="000000" w:themeColor="text1"/>
          <w:szCs w:val="24"/>
          <w:lang w:eastAsia="lt-LT"/>
        </w:rPr>
        <w:t xml:space="preserve">ar rinkimų komiteto kandidatų sąrašas ar jungtinis kandidatų sąrašas gali gauti Europos Parlamento narių mandatų (dalyvauja skirstant mandatus) tik tuo atveju, jeigu už jį balsavo ne mažiau kaip 5 procentai </w:t>
      </w:r>
      <w:r w:rsidR="00775765" w:rsidRPr="00775765">
        <w:rPr>
          <w:i/>
          <w:color w:val="000000" w:themeColor="text1"/>
          <w:szCs w:val="24"/>
          <w:lang w:eastAsia="lt-LT"/>
        </w:rPr>
        <w:t>rinkimuose dalyvavusių rinkėjų</w:t>
      </w:r>
      <w:r w:rsidR="00775765" w:rsidRPr="001E461C">
        <w:rPr>
          <w:color w:val="000000" w:themeColor="text1"/>
          <w:szCs w:val="24"/>
          <w:lang w:eastAsia="lt-LT"/>
        </w:rPr>
        <w:t>“</w:t>
      </w:r>
      <w:r w:rsidR="00775765" w:rsidRPr="00775765">
        <w:rPr>
          <w:color w:val="000000" w:themeColor="text1"/>
          <w:szCs w:val="24"/>
          <w:lang w:eastAsia="lt-LT"/>
        </w:rPr>
        <w:t>.</w:t>
      </w:r>
      <w:r w:rsidR="00775765" w:rsidRPr="001E461C">
        <w:rPr>
          <w:color w:val="000000" w:themeColor="text1"/>
          <w:szCs w:val="24"/>
          <w:lang w:eastAsia="lt-LT"/>
        </w:rPr>
        <w:t xml:space="preserve"> Atsižvelgiant į šio įstatymo 80 straipsnio 2 dalį matyti, kad atiduotų balsų skaičius ir rinkimuose dalyvavusių balsų skaičius visuomet bus </w:t>
      </w:r>
      <w:r w:rsidR="004D1A5A" w:rsidRPr="001E461C">
        <w:rPr>
          <w:color w:val="000000" w:themeColor="text1"/>
          <w:szCs w:val="24"/>
          <w:lang w:eastAsia="lt-LT"/>
        </w:rPr>
        <w:t xml:space="preserve">skirtingi </w:t>
      </w:r>
      <w:r w:rsidR="00AA0DF4" w:rsidRPr="001E461C">
        <w:rPr>
          <w:color w:val="000000" w:themeColor="text1"/>
          <w:szCs w:val="24"/>
          <w:lang w:eastAsia="lt-LT"/>
        </w:rPr>
        <w:t>(kitaip tariant, Sprendime nustatyta mažesnė minimali riba</w:t>
      </w:r>
      <w:r w:rsidR="00313C4B">
        <w:rPr>
          <w:color w:val="000000" w:themeColor="text1"/>
          <w:szCs w:val="24"/>
          <w:lang w:eastAsia="lt-LT"/>
        </w:rPr>
        <w:t>);</w:t>
      </w:r>
    </w:p>
    <w:p w14:paraId="70002060" w14:textId="5B2018DE" w:rsidR="00FB14DA" w:rsidRPr="001E461C" w:rsidRDefault="00775765" w:rsidP="00A10024">
      <w:pPr>
        <w:tabs>
          <w:tab w:val="left" w:pos="1134"/>
        </w:tabs>
        <w:spacing w:line="276" w:lineRule="auto"/>
        <w:ind w:firstLine="720"/>
        <w:rPr>
          <w:b/>
          <w:bCs/>
          <w:color w:val="000000" w:themeColor="text1"/>
          <w:szCs w:val="24"/>
          <w:lang w:eastAsia="lt-LT"/>
        </w:rPr>
      </w:pPr>
      <w:r w:rsidRPr="001E461C">
        <w:rPr>
          <w:b/>
          <w:bCs/>
          <w:color w:val="000000" w:themeColor="text1"/>
          <w:szCs w:val="24"/>
          <w:lang w:eastAsia="lt-LT"/>
        </w:rPr>
        <w:t xml:space="preserve">- </w:t>
      </w:r>
      <w:r w:rsidR="00AA0DF4" w:rsidRPr="001E461C">
        <w:rPr>
          <w:bCs/>
          <w:color w:val="000000" w:themeColor="text1"/>
          <w:szCs w:val="24"/>
          <w:lang w:eastAsia="lt-LT"/>
        </w:rPr>
        <w:t>naujo</w:t>
      </w:r>
      <w:r w:rsidR="00FB14DA" w:rsidRPr="001E461C">
        <w:rPr>
          <w:bCs/>
          <w:color w:val="000000" w:themeColor="text1"/>
          <w:szCs w:val="24"/>
          <w:lang w:eastAsia="lt-LT"/>
        </w:rPr>
        <w:t xml:space="preserve"> </w:t>
      </w:r>
      <w:r w:rsidR="00FB14DA" w:rsidRPr="001E461C">
        <w:rPr>
          <w:color w:val="000000" w:themeColor="text1"/>
          <w:szCs w:val="24"/>
        </w:rPr>
        <w:t>9</w:t>
      </w:r>
      <w:r w:rsidR="00AA0DF4" w:rsidRPr="001E461C">
        <w:rPr>
          <w:color w:val="000000" w:themeColor="text1"/>
          <w:szCs w:val="24"/>
        </w:rPr>
        <w:t>b</w:t>
      </w:r>
      <w:r w:rsidR="00FB14DA" w:rsidRPr="001E461C">
        <w:rPr>
          <w:color w:val="000000" w:themeColor="text1"/>
          <w:szCs w:val="24"/>
        </w:rPr>
        <w:t xml:space="preserve"> straipsni</w:t>
      </w:r>
      <w:r w:rsidR="00AA0DF4" w:rsidRPr="001E461C">
        <w:rPr>
          <w:color w:val="000000" w:themeColor="text1"/>
          <w:szCs w:val="24"/>
        </w:rPr>
        <w:t>o</w:t>
      </w:r>
      <w:r w:rsidR="00FB14DA" w:rsidRPr="001E461C">
        <w:rPr>
          <w:color w:val="000000" w:themeColor="text1"/>
          <w:szCs w:val="24"/>
        </w:rPr>
        <w:t xml:space="preserve"> 1</w:t>
      </w:r>
      <w:r w:rsidR="00FB14DA" w:rsidRPr="001E461C">
        <w:rPr>
          <w:color w:val="000000" w:themeColor="text1"/>
          <w:szCs w:val="24"/>
        </w:rPr>
        <w:t xml:space="preserve"> dalis numato, kad </w:t>
      </w:r>
      <w:r w:rsidR="00AA0DF4" w:rsidRPr="001E461C">
        <w:rPr>
          <w:color w:val="000000" w:themeColor="text1"/>
          <w:szCs w:val="24"/>
        </w:rPr>
        <w:t>k</w:t>
      </w:r>
      <w:r w:rsidR="00AA0DF4" w:rsidRPr="001E461C">
        <w:rPr>
          <w:color w:val="000000" w:themeColor="text1"/>
          <w:szCs w:val="24"/>
        </w:rPr>
        <w:t xml:space="preserve">iekviena valstybė narė </w:t>
      </w:r>
      <w:r w:rsidR="00AA0DF4" w:rsidRPr="001E461C">
        <w:rPr>
          <w:i/>
          <w:color w:val="000000" w:themeColor="text1"/>
          <w:szCs w:val="24"/>
        </w:rPr>
        <w:t>paskiria kontaktinę instituciją</w:t>
      </w:r>
      <w:r w:rsidR="00AA0DF4" w:rsidRPr="001E461C">
        <w:rPr>
          <w:color w:val="000000" w:themeColor="text1"/>
          <w:szCs w:val="24"/>
        </w:rPr>
        <w:t xml:space="preserve">, </w:t>
      </w:r>
      <w:r w:rsidR="00AA0DF4" w:rsidRPr="001E461C">
        <w:rPr>
          <w:i/>
          <w:color w:val="000000" w:themeColor="text1"/>
          <w:szCs w:val="24"/>
        </w:rPr>
        <w:t>atsakingą už keitimąsi duomenimis</w:t>
      </w:r>
      <w:r w:rsidR="00AA0DF4" w:rsidRPr="001E461C">
        <w:rPr>
          <w:color w:val="000000" w:themeColor="text1"/>
          <w:szCs w:val="24"/>
        </w:rPr>
        <w:t xml:space="preserve"> apie rinkėjus ir kandidatus su kitų valstybių narių kontaktinėmis institucijomis.</w:t>
      </w:r>
      <w:r w:rsidR="00FB14DA" w:rsidRPr="001E461C">
        <w:rPr>
          <w:color w:val="000000" w:themeColor="text1"/>
          <w:szCs w:val="24"/>
        </w:rPr>
        <w:t xml:space="preserve"> </w:t>
      </w:r>
      <w:r w:rsidR="008427DC" w:rsidRPr="001E461C">
        <w:rPr>
          <w:color w:val="000000" w:themeColor="text1"/>
          <w:szCs w:val="24"/>
        </w:rPr>
        <w:t xml:space="preserve">Šio straipsnio 2 dalyje numatytas įpareigojimas nustatyta tvarka pateikti konkrečius rinkėjų duomenis. </w:t>
      </w:r>
      <w:r w:rsidR="00FB14DA" w:rsidRPr="001E461C">
        <w:rPr>
          <w:color w:val="000000" w:themeColor="text1"/>
          <w:szCs w:val="24"/>
        </w:rPr>
        <w:t xml:space="preserve">Vertinant galiojančias </w:t>
      </w:r>
      <w:r w:rsidR="008427DC" w:rsidRPr="001E461C">
        <w:rPr>
          <w:color w:val="000000" w:themeColor="text1"/>
          <w:szCs w:val="24"/>
        </w:rPr>
        <w:t xml:space="preserve">Rinkimų į Europos Parlamentą įstatymo nuostatas akivaizdu, kad Vyriausioji rinkimų komisija nėra paskirta kontaktine institucija, kuri siųstų ir gautų tokius duomenis. </w:t>
      </w:r>
      <w:r w:rsidR="00BB5F00" w:rsidRPr="001E461C">
        <w:rPr>
          <w:color w:val="000000" w:themeColor="text1"/>
          <w:szCs w:val="24"/>
        </w:rPr>
        <w:t xml:space="preserve">Manome, kad </w:t>
      </w:r>
      <w:r w:rsidR="008427DC" w:rsidRPr="001E461C">
        <w:rPr>
          <w:color w:val="000000" w:themeColor="text1"/>
          <w:szCs w:val="24"/>
        </w:rPr>
        <w:t xml:space="preserve">Vyriausiosios rinkimų komisijos įstatymo </w:t>
      </w:r>
      <w:r w:rsidR="006D0179" w:rsidRPr="001E461C">
        <w:rPr>
          <w:color w:val="000000" w:themeColor="text1"/>
          <w:szCs w:val="24"/>
        </w:rPr>
        <w:t xml:space="preserve">3 straipsnio 2 dalies </w:t>
      </w:r>
      <w:r w:rsidR="008427DC" w:rsidRPr="001E461C">
        <w:rPr>
          <w:color w:val="000000" w:themeColor="text1"/>
          <w:szCs w:val="24"/>
        </w:rPr>
        <w:t>12</w:t>
      </w:r>
      <w:r w:rsidR="006D0179" w:rsidRPr="001E461C">
        <w:rPr>
          <w:color w:val="000000" w:themeColor="text1"/>
          <w:szCs w:val="24"/>
        </w:rPr>
        <w:t xml:space="preserve"> punkto </w:t>
      </w:r>
      <w:r w:rsidR="00BB5F00" w:rsidRPr="001E461C">
        <w:rPr>
          <w:color w:val="000000" w:themeColor="text1"/>
          <w:szCs w:val="24"/>
        </w:rPr>
        <w:t xml:space="preserve">bendroji </w:t>
      </w:r>
      <w:r w:rsidR="006D0179" w:rsidRPr="001E461C">
        <w:rPr>
          <w:color w:val="000000" w:themeColor="text1"/>
          <w:szCs w:val="24"/>
        </w:rPr>
        <w:t>nuostata („</w:t>
      </w:r>
      <w:r w:rsidR="008427DC" w:rsidRPr="001E461C">
        <w:rPr>
          <w:i/>
          <w:color w:val="000000" w:themeColor="text1"/>
          <w:szCs w:val="24"/>
        </w:rPr>
        <w:t xml:space="preserve">palaiko ryšius </w:t>
      </w:r>
      <w:r w:rsidR="008427DC" w:rsidRPr="001E461C">
        <w:rPr>
          <w:color w:val="000000" w:themeColor="text1"/>
          <w:szCs w:val="24"/>
        </w:rPr>
        <w:t>su kitų valstybių institucijomis, organizuojančiomis rinkimus ir referendumus</w:t>
      </w:r>
      <w:r w:rsidR="006D0179" w:rsidRPr="001E461C">
        <w:rPr>
          <w:color w:val="000000" w:themeColor="text1"/>
          <w:szCs w:val="24"/>
        </w:rPr>
        <w:t xml:space="preserve">“) yra </w:t>
      </w:r>
      <w:r w:rsidR="00BB5F00" w:rsidRPr="001E461C">
        <w:rPr>
          <w:color w:val="000000" w:themeColor="text1"/>
          <w:szCs w:val="24"/>
        </w:rPr>
        <w:t>ne</w:t>
      </w:r>
      <w:r w:rsidR="006D0179" w:rsidRPr="001E461C">
        <w:rPr>
          <w:color w:val="000000" w:themeColor="text1"/>
          <w:szCs w:val="24"/>
        </w:rPr>
        <w:t xml:space="preserve">pakankama </w:t>
      </w:r>
      <w:r w:rsidR="00313C4B">
        <w:rPr>
          <w:color w:val="000000" w:themeColor="text1"/>
          <w:szCs w:val="24"/>
        </w:rPr>
        <w:t xml:space="preserve">tam, kad </w:t>
      </w:r>
      <w:r w:rsidR="006D0179" w:rsidRPr="001E461C">
        <w:rPr>
          <w:color w:val="000000" w:themeColor="text1"/>
          <w:szCs w:val="24"/>
        </w:rPr>
        <w:t xml:space="preserve">VRK pagal </w:t>
      </w:r>
      <w:r w:rsidR="00313C4B">
        <w:rPr>
          <w:color w:val="000000" w:themeColor="text1"/>
          <w:szCs w:val="24"/>
        </w:rPr>
        <w:t xml:space="preserve">Tarybos </w:t>
      </w:r>
      <w:r w:rsidR="006D0179" w:rsidRPr="001E461C">
        <w:rPr>
          <w:color w:val="000000" w:themeColor="text1"/>
          <w:szCs w:val="24"/>
        </w:rPr>
        <w:t xml:space="preserve">sprendimą </w:t>
      </w:r>
      <w:r w:rsidR="00313C4B">
        <w:rPr>
          <w:color w:val="000000" w:themeColor="text1"/>
          <w:szCs w:val="24"/>
        </w:rPr>
        <w:t xml:space="preserve">būtų galima </w:t>
      </w:r>
      <w:r w:rsidR="006D0179" w:rsidRPr="001E461C">
        <w:rPr>
          <w:color w:val="000000" w:themeColor="text1"/>
          <w:szCs w:val="24"/>
        </w:rPr>
        <w:t>laikyti kontaktine institucija, atsakinga už keitimąsi duomenimis</w:t>
      </w:r>
      <w:r w:rsidR="00BB5F00" w:rsidRPr="001E461C">
        <w:rPr>
          <w:color w:val="000000" w:themeColor="text1"/>
          <w:szCs w:val="24"/>
        </w:rPr>
        <w:t xml:space="preserve"> (tuo labiau, kad, pvz., </w:t>
      </w:r>
      <w:bookmarkStart w:id="0" w:name="_Hlk529423928"/>
      <w:r w:rsidR="00BB5F00" w:rsidRPr="001E461C">
        <w:rPr>
          <w:color w:val="000000" w:themeColor="text1"/>
          <w:szCs w:val="24"/>
        </w:rPr>
        <w:t>Rinkimų į Europos Parlamentą įstatymo</w:t>
      </w:r>
      <w:bookmarkEnd w:id="0"/>
      <w:r w:rsidR="00BB5F00" w:rsidRPr="001E461C">
        <w:rPr>
          <w:color w:val="000000" w:themeColor="text1"/>
          <w:szCs w:val="24"/>
        </w:rPr>
        <w:t xml:space="preserve"> 14 straipsnio 3 punkte yra numatyta atskira speciali VRK funkcija </w:t>
      </w:r>
      <w:r w:rsidR="00BB5F00" w:rsidRPr="001E461C">
        <w:rPr>
          <w:color w:val="000000" w:themeColor="text1"/>
          <w:szCs w:val="24"/>
        </w:rPr>
        <w:t xml:space="preserve">kitos Europos Sąjungos valstybės narės kompetentingos institucijos prašymu </w:t>
      </w:r>
      <w:r w:rsidR="00BB5F00" w:rsidRPr="001E461C">
        <w:rPr>
          <w:color w:val="000000" w:themeColor="text1"/>
          <w:szCs w:val="24"/>
        </w:rPr>
        <w:t xml:space="preserve">teikti konkrečią šiame punkte nurodytą </w:t>
      </w:r>
      <w:r w:rsidR="00BB5F00" w:rsidRPr="001E461C">
        <w:rPr>
          <w:color w:val="000000" w:themeColor="text1"/>
          <w:szCs w:val="24"/>
        </w:rPr>
        <w:t>informaciją</w:t>
      </w:r>
      <w:r w:rsidR="00313C4B">
        <w:rPr>
          <w:color w:val="000000" w:themeColor="text1"/>
          <w:szCs w:val="24"/>
        </w:rPr>
        <w:t>)</w:t>
      </w:r>
      <w:r w:rsidR="006D0179" w:rsidRPr="001E461C">
        <w:rPr>
          <w:color w:val="000000" w:themeColor="text1"/>
          <w:szCs w:val="24"/>
        </w:rPr>
        <w:t xml:space="preserve">. Todėl siūlytume Projektą Nr. </w:t>
      </w:r>
      <w:r w:rsidR="006D0179" w:rsidRPr="001E461C">
        <w:rPr>
          <w:color w:val="000000" w:themeColor="text1"/>
          <w:szCs w:val="24"/>
        </w:rPr>
        <w:t>2</w:t>
      </w:r>
      <w:r w:rsidR="006D0179" w:rsidRPr="001E461C">
        <w:rPr>
          <w:color w:val="000000" w:themeColor="text1"/>
          <w:szCs w:val="24"/>
        </w:rPr>
        <w:t xml:space="preserve"> </w:t>
      </w:r>
      <w:r w:rsidR="00BB5F00" w:rsidRPr="001E461C">
        <w:rPr>
          <w:color w:val="000000" w:themeColor="text1"/>
          <w:szCs w:val="24"/>
        </w:rPr>
        <w:t>(14 straipsnį)</w:t>
      </w:r>
      <w:r w:rsidR="00BB5F00" w:rsidRPr="001E461C">
        <w:rPr>
          <w:color w:val="000000" w:themeColor="text1"/>
          <w:szCs w:val="24"/>
        </w:rPr>
        <w:t xml:space="preserve"> </w:t>
      </w:r>
      <w:r w:rsidR="006D0179" w:rsidRPr="001E461C">
        <w:rPr>
          <w:color w:val="000000" w:themeColor="text1"/>
          <w:szCs w:val="24"/>
        </w:rPr>
        <w:t>papildyti atitinkamomis nuostatomis</w:t>
      </w:r>
      <w:r w:rsidR="00313C4B">
        <w:rPr>
          <w:color w:val="000000" w:themeColor="text1"/>
          <w:szCs w:val="24"/>
        </w:rPr>
        <w:t>;</w:t>
      </w:r>
    </w:p>
    <w:p w14:paraId="699C6865" w14:textId="7831A61D" w:rsidR="00FB14DA" w:rsidRPr="001E461C" w:rsidRDefault="006D0179" w:rsidP="00A10024">
      <w:pPr>
        <w:tabs>
          <w:tab w:val="left" w:pos="1134"/>
        </w:tabs>
        <w:spacing w:line="276" w:lineRule="auto"/>
        <w:ind w:firstLine="720"/>
        <w:rPr>
          <w:bCs/>
          <w:color w:val="000000" w:themeColor="text1"/>
          <w:szCs w:val="24"/>
          <w:lang w:eastAsia="lt-LT"/>
        </w:rPr>
      </w:pPr>
      <w:r w:rsidRPr="001E461C">
        <w:rPr>
          <w:bCs/>
          <w:color w:val="000000" w:themeColor="text1"/>
          <w:szCs w:val="24"/>
          <w:lang w:eastAsia="lt-LT"/>
        </w:rPr>
        <w:t xml:space="preserve">- Tarybos sprendimu naujos redakcijos 4a </w:t>
      </w:r>
      <w:r w:rsidR="00BB5F00" w:rsidRPr="001E461C">
        <w:rPr>
          <w:bCs/>
          <w:color w:val="000000" w:themeColor="text1"/>
          <w:szCs w:val="24"/>
          <w:lang w:eastAsia="lt-LT"/>
        </w:rPr>
        <w:t xml:space="preserve">straipsnyje </w:t>
      </w:r>
      <w:r w:rsidRPr="001E461C">
        <w:rPr>
          <w:bCs/>
          <w:color w:val="000000" w:themeColor="text1"/>
          <w:szCs w:val="24"/>
          <w:lang w:eastAsia="lt-LT"/>
        </w:rPr>
        <w:t>ir 9b straipsnio 2 dalyje yra nur</w:t>
      </w:r>
      <w:r w:rsidR="00BB5F00" w:rsidRPr="001E461C">
        <w:rPr>
          <w:bCs/>
          <w:color w:val="000000" w:themeColor="text1"/>
          <w:szCs w:val="24"/>
          <w:lang w:eastAsia="lt-LT"/>
        </w:rPr>
        <w:t>odyta</w:t>
      </w:r>
      <w:r w:rsidRPr="001E461C">
        <w:rPr>
          <w:bCs/>
          <w:color w:val="000000" w:themeColor="text1"/>
          <w:szCs w:val="24"/>
          <w:lang w:eastAsia="lt-LT"/>
        </w:rPr>
        <w:t xml:space="preserve">, kad </w:t>
      </w:r>
      <w:r w:rsidR="00BB5F00" w:rsidRPr="001E461C">
        <w:rPr>
          <w:bCs/>
          <w:color w:val="000000" w:themeColor="text1"/>
          <w:szCs w:val="24"/>
          <w:lang w:eastAsia="lt-LT"/>
        </w:rPr>
        <w:t xml:space="preserve">organizuojant rinkimus ir keičiantis informacija </w:t>
      </w:r>
      <w:r w:rsidRPr="001E461C">
        <w:rPr>
          <w:bCs/>
          <w:color w:val="000000" w:themeColor="text1"/>
          <w:szCs w:val="24"/>
          <w:lang w:eastAsia="lt-LT"/>
        </w:rPr>
        <w:t>turi b</w:t>
      </w:r>
      <w:r w:rsidR="00BB5F00" w:rsidRPr="001E461C">
        <w:rPr>
          <w:bCs/>
          <w:color w:val="000000" w:themeColor="text1"/>
          <w:szCs w:val="24"/>
          <w:lang w:eastAsia="lt-LT"/>
        </w:rPr>
        <w:t>ū</w:t>
      </w:r>
      <w:r w:rsidRPr="001E461C">
        <w:rPr>
          <w:bCs/>
          <w:color w:val="000000" w:themeColor="text1"/>
          <w:szCs w:val="24"/>
          <w:lang w:eastAsia="lt-LT"/>
        </w:rPr>
        <w:t xml:space="preserve">ti laikomasi </w:t>
      </w:r>
      <w:r w:rsidR="00BB5F00" w:rsidRPr="001E461C">
        <w:rPr>
          <w:bCs/>
          <w:color w:val="000000" w:themeColor="text1"/>
          <w:szCs w:val="24"/>
          <w:lang w:eastAsia="lt-LT"/>
        </w:rPr>
        <w:t>ES teisės aktų reikalavimų, susijusių su asmens duomenų apsauga (“</w:t>
      </w:r>
      <w:r w:rsidR="00BB5F00" w:rsidRPr="001E461C">
        <w:rPr>
          <w:color w:val="000000" w:themeColor="text1"/>
          <w:szCs w:val="24"/>
        </w:rPr>
        <w:t>vadovaudamasi taikytina Sąjungos teise dėl asmens duomenų apsaugos</w:t>
      </w:r>
      <w:r w:rsidR="00BB5F00" w:rsidRPr="001E461C">
        <w:rPr>
          <w:color w:val="000000" w:themeColor="text1"/>
          <w:szCs w:val="24"/>
        </w:rPr>
        <w:t>“)</w:t>
      </w:r>
      <w:r w:rsidR="00BB5F00" w:rsidRPr="001E461C">
        <w:rPr>
          <w:bCs/>
          <w:color w:val="000000" w:themeColor="text1"/>
          <w:szCs w:val="24"/>
          <w:lang w:eastAsia="lt-LT"/>
        </w:rPr>
        <w:t xml:space="preserve">. Kadangi nei </w:t>
      </w:r>
      <w:r w:rsidR="00BB5F00" w:rsidRPr="001E461C">
        <w:rPr>
          <w:color w:val="000000" w:themeColor="text1"/>
          <w:szCs w:val="24"/>
        </w:rPr>
        <w:t>Rinkimų į Europos Parlamentą įstatym</w:t>
      </w:r>
      <w:r w:rsidR="00BB5F00" w:rsidRPr="001E461C">
        <w:rPr>
          <w:color w:val="000000" w:themeColor="text1"/>
          <w:szCs w:val="24"/>
        </w:rPr>
        <w:t xml:space="preserve">e, nei </w:t>
      </w:r>
      <w:r w:rsidR="00BB5F00" w:rsidRPr="001E461C">
        <w:rPr>
          <w:color w:val="000000" w:themeColor="text1"/>
          <w:szCs w:val="24"/>
        </w:rPr>
        <w:t>Vyriausi</w:t>
      </w:r>
      <w:r w:rsidR="00BB5F00" w:rsidRPr="001E461C">
        <w:rPr>
          <w:color w:val="000000" w:themeColor="text1"/>
          <w:szCs w:val="24"/>
        </w:rPr>
        <w:t xml:space="preserve">osios rinkimų komisijos įstatyme jokių analogiškų nuostatų nėra, siūlome inicijuoti </w:t>
      </w:r>
      <w:r w:rsidR="00313C4B">
        <w:rPr>
          <w:color w:val="000000" w:themeColor="text1"/>
          <w:szCs w:val="24"/>
        </w:rPr>
        <w:t xml:space="preserve">šių įstatymų </w:t>
      </w:r>
      <w:r w:rsidR="00BB5F00" w:rsidRPr="001E461C">
        <w:rPr>
          <w:color w:val="000000" w:themeColor="text1"/>
          <w:szCs w:val="24"/>
        </w:rPr>
        <w:t>papildymą.</w:t>
      </w:r>
    </w:p>
    <w:p w14:paraId="6CF13C3B" w14:textId="53C18E77" w:rsidR="00FB14DA" w:rsidRPr="001E461C" w:rsidRDefault="00724549" w:rsidP="00A10024">
      <w:pPr>
        <w:tabs>
          <w:tab w:val="left" w:pos="1134"/>
        </w:tabs>
        <w:spacing w:line="276" w:lineRule="auto"/>
        <w:ind w:firstLine="720"/>
        <w:rPr>
          <w:b/>
          <w:bCs/>
          <w:color w:val="000000" w:themeColor="text1"/>
          <w:szCs w:val="24"/>
          <w:lang w:eastAsia="lt-LT"/>
        </w:rPr>
      </w:pPr>
      <w:r w:rsidRPr="001E461C">
        <w:rPr>
          <w:bCs/>
          <w:color w:val="000000" w:themeColor="text1"/>
          <w:szCs w:val="24"/>
        </w:rPr>
        <w:t>7. Taip pat atkreipiame dėmesį, kad Tarybos sprendime yra keletas nuostatų</w:t>
      </w:r>
      <w:r w:rsidRPr="001E461C">
        <w:rPr>
          <w:bCs/>
          <w:color w:val="000000" w:themeColor="text1"/>
          <w:szCs w:val="24"/>
        </w:rPr>
        <w:t xml:space="preserve">, kur valstybė turi teisę apsispręsti dėl jų taikymo. </w:t>
      </w:r>
      <w:r w:rsidR="0083598F" w:rsidRPr="001E461C">
        <w:rPr>
          <w:bCs/>
          <w:color w:val="000000" w:themeColor="text1"/>
          <w:szCs w:val="24"/>
        </w:rPr>
        <w:t xml:space="preserve">Pavyzdžiui, Tarybos sprendimu įterpiamas </w:t>
      </w:r>
      <w:r w:rsidR="0083598F" w:rsidRPr="001E461C">
        <w:rPr>
          <w:color w:val="000000" w:themeColor="text1"/>
          <w:szCs w:val="24"/>
        </w:rPr>
        <w:t xml:space="preserve">3b straipsnis </w:t>
      </w:r>
      <w:r w:rsidR="0083598F" w:rsidRPr="001E461C">
        <w:rPr>
          <w:color w:val="000000" w:themeColor="text1"/>
          <w:szCs w:val="24"/>
        </w:rPr>
        <w:t xml:space="preserve">numato galimybę, kad ant balsavimo biuletenių būtų nurodytas </w:t>
      </w:r>
      <w:r w:rsidR="0083598F" w:rsidRPr="001E461C">
        <w:rPr>
          <w:color w:val="000000" w:themeColor="text1"/>
          <w:szCs w:val="24"/>
        </w:rPr>
        <w:t>Europos politinės partijos</w:t>
      </w:r>
      <w:r w:rsidR="0083598F" w:rsidRPr="001E461C">
        <w:rPr>
          <w:color w:val="000000" w:themeColor="text1"/>
          <w:szCs w:val="24"/>
        </w:rPr>
        <w:t xml:space="preserve">, su kuria susijusi ne tik partija, bet ir atskiras kandidatas, pavadinimas ar logotipas. </w:t>
      </w:r>
      <w:r w:rsidR="00A10024" w:rsidRPr="001E461C">
        <w:rPr>
          <w:color w:val="000000" w:themeColor="text1"/>
          <w:szCs w:val="24"/>
        </w:rPr>
        <w:t xml:space="preserve">Todėl neaišku, kodėl Projekte Nr. 2 siūloma numatyti, kad Lietuvoje Europos politinės partijos pavadinimas ar logotipas gali būti nurodytas tik tuo atveju, jai su ja </w:t>
      </w:r>
      <w:r w:rsidR="00A10024" w:rsidRPr="001E461C">
        <w:rPr>
          <w:i/>
          <w:color w:val="000000" w:themeColor="text1"/>
          <w:szCs w:val="24"/>
        </w:rPr>
        <w:t>susijusi partija</w:t>
      </w:r>
      <w:r w:rsidR="00A10024" w:rsidRPr="001E461C">
        <w:rPr>
          <w:color w:val="000000" w:themeColor="text1"/>
          <w:szCs w:val="24"/>
        </w:rPr>
        <w:t>, bet ne rinkimų komitetas ar koalicija (jei tokia situacija įmanoma).</w:t>
      </w:r>
      <w:r w:rsidR="0083598F" w:rsidRPr="001E461C">
        <w:rPr>
          <w:bCs/>
          <w:color w:val="000000" w:themeColor="text1"/>
          <w:szCs w:val="24"/>
        </w:rPr>
        <w:t xml:space="preserve"> </w:t>
      </w:r>
      <w:r w:rsidRPr="001E461C">
        <w:rPr>
          <w:bCs/>
          <w:color w:val="000000" w:themeColor="text1"/>
          <w:szCs w:val="24"/>
        </w:rPr>
        <w:t>Teisėkūros pagrindų įstatyme įtvirtintas efektyvumo principas (</w:t>
      </w:r>
      <w:r w:rsidRPr="001E461C">
        <w:rPr>
          <w:color w:val="000000" w:themeColor="text1"/>
          <w:szCs w:val="24"/>
        </w:rPr>
        <w:t>rengiant teisės akto projektą turi būti įvertinamos visos galimos teisinio reguliavimo alternatyvos ir pasirenkama geriausia iš jų</w:t>
      </w:r>
      <w:r w:rsidRPr="001E461C">
        <w:rPr>
          <w:color w:val="000000" w:themeColor="text1"/>
          <w:szCs w:val="24"/>
        </w:rPr>
        <w:t>), o šio įstatymo 9 straipsnio 2 dalis numato, kad r</w:t>
      </w:r>
      <w:r w:rsidRPr="00724549">
        <w:rPr>
          <w:color w:val="000000" w:themeColor="text1"/>
          <w:szCs w:val="24"/>
          <w:lang w:eastAsia="lt-LT"/>
        </w:rPr>
        <w:t>engiant teisės akto projektą, kuriuo Lietuvos nacionalinė teisė derinama su Europos Sąjungos teise ar tarptautine teise, turi būti įvertintos visos galimos alternatyvos ir iš jų parinktas labiausiai Lietuvos interesus atitinkantis sprendimas</w:t>
      </w:r>
      <w:r w:rsidRPr="001E461C">
        <w:rPr>
          <w:color w:val="000000" w:themeColor="text1"/>
          <w:szCs w:val="24"/>
          <w:lang w:eastAsia="lt-LT"/>
        </w:rPr>
        <w:t xml:space="preserve">. Todėl aiškinamajame rašte turėtų būti pateikti motyvai, kodėl nuspręsta </w:t>
      </w:r>
      <w:r w:rsidR="00A10024" w:rsidRPr="001E461C">
        <w:rPr>
          <w:color w:val="000000" w:themeColor="text1"/>
          <w:szCs w:val="24"/>
          <w:lang w:eastAsia="lt-LT"/>
        </w:rPr>
        <w:t xml:space="preserve">pasirinkti vieną ar kitą </w:t>
      </w:r>
      <w:r w:rsidR="00A10024" w:rsidRPr="001E461C">
        <w:rPr>
          <w:color w:val="000000" w:themeColor="text1"/>
          <w:szCs w:val="24"/>
          <w:lang w:eastAsia="lt-LT"/>
        </w:rPr>
        <w:t>Tarybos sprendim</w:t>
      </w:r>
      <w:r w:rsidR="00A10024" w:rsidRPr="001E461C">
        <w:rPr>
          <w:color w:val="000000" w:themeColor="text1"/>
          <w:szCs w:val="24"/>
          <w:lang w:eastAsia="lt-LT"/>
        </w:rPr>
        <w:t>e numatytą galimybę.</w:t>
      </w:r>
    </w:p>
    <w:p w14:paraId="6895F072" w14:textId="2FE63445" w:rsidR="00616CCA" w:rsidRPr="001E461C" w:rsidRDefault="00A10024" w:rsidP="00A10024">
      <w:pPr>
        <w:pStyle w:val="Sraopastraipa"/>
        <w:tabs>
          <w:tab w:val="left" w:pos="1134"/>
        </w:tabs>
        <w:spacing w:line="276" w:lineRule="auto"/>
        <w:ind w:left="0" w:firstLine="720"/>
        <w:rPr>
          <w:color w:val="000000" w:themeColor="text1"/>
          <w:szCs w:val="24"/>
        </w:rPr>
      </w:pPr>
      <w:bookmarkStart w:id="1" w:name="part_da941960682346a7bf63f6e93bf9584a"/>
      <w:bookmarkEnd w:id="1"/>
      <w:r w:rsidRPr="001E461C">
        <w:rPr>
          <w:color w:val="000000" w:themeColor="text1"/>
          <w:szCs w:val="24"/>
        </w:rPr>
        <w:t xml:space="preserve">8. </w:t>
      </w:r>
      <w:r w:rsidR="00616CCA" w:rsidRPr="001E461C">
        <w:rPr>
          <w:color w:val="000000" w:themeColor="text1"/>
          <w:szCs w:val="24"/>
        </w:rPr>
        <w:t xml:space="preserve">Teikime, pažymoje </w:t>
      </w:r>
      <w:r w:rsidR="0009123B" w:rsidRPr="001E461C">
        <w:rPr>
          <w:color w:val="000000" w:themeColor="text1"/>
          <w:szCs w:val="24"/>
        </w:rPr>
        <w:t xml:space="preserve">ir aiškinamajame rašte </w:t>
      </w:r>
      <w:r w:rsidR="00616CCA" w:rsidRPr="001E461C">
        <w:rPr>
          <w:color w:val="000000" w:themeColor="text1"/>
          <w:szCs w:val="24"/>
        </w:rPr>
        <w:t>siūlytume tikslinti išsireiškimą „informuoti Lietuvos piliečius“, nes Lietuvoje rinkimuose į Europos Parlamentą dalyvauja ir kitų ES valstybių narių piliečiai, todėl ši informacija būtų skirta ir jiems („informuoti rinkėjus Lietuvoje“</w:t>
      </w:r>
      <w:r w:rsidR="006F208E" w:rsidRPr="001E461C">
        <w:rPr>
          <w:color w:val="000000" w:themeColor="text1"/>
          <w:szCs w:val="24"/>
        </w:rPr>
        <w:t>).</w:t>
      </w:r>
    </w:p>
    <w:p w14:paraId="73EB3890" w14:textId="7DC04F1B" w:rsidR="006F208E" w:rsidRPr="001E461C" w:rsidRDefault="00A10024" w:rsidP="00A10024">
      <w:pPr>
        <w:pStyle w:val="Sraopastraipa"/>
        <w:tabs>
          <w:tab w:val="left" w:pos="1134"/>
        </w:tabs>
        <w:spacing w:line="276" w:lineRule="auto"/>
        <w:ind w:left="0" w:firstLine="720"/>
        <w:rPr>
          <w:color w:val="000000" w:themeColor="text1"/>
          <w:szCs w:val="24"/>
        </w:rPr>
      </w:pPr>
      <w:r w:rsidRPr="001E461C">
        <w:rPr>
          <w:color w:val="000000" w:themeColor="text1"/>
          <w:szCs w:val="24"/>
        </w:rPr>
        <w:lastRenderedPageBreak/>
        <w:t xml:space="preserve">9. </w:t>
      </w:r>
      <w:r w:rsidR="006F208E" w:rsidRPr="001E461C">
        <w:rPr>
          <w:color w:val="000000" w:themeColor="text1"/>
          <w:szCs w:val="24"/>
        </w:rPr>
        <w:t>Siūlome tikslinti teikimą, kuria nurodyta, kad „Įstatymų projektai neperkelia ir neįgyvendina Europos Sąjungos teisės aktų nuostatų“, nes tai akivaizdžiai neatitinka Projektų esmės ir kituose lydimuosiuose dokumentuose pateiktos informacijos.</w:t>
      </w:r>
    </w:p>
    <w:p w14:paraId="4BBC5B97" w14:textId="525C5F61" w:rsidR="006F208E" w:rsidRPr="001E461C" w:rsidRDefault="00A10024" w:rsidP="00A10024">
      <w:pPr>
        <w:pStyle w:val="Sraopastraipa"/>
        <w:tabs>
          <w:tab w:val="left" w:pos="1134"/>
        </w:tabs>
        <w:spacing w:line="276" w:lineRule="auto"/>
        <w:ind w:left="0" w:firstLine="720"/>
        <w:rPr>
          <w:color w:val="000000" w:themeColor="text1"/>
          <w:szCs w:val="24"/>
        </w:rPr>
      </w:pPr>
      <w:r w:rsidRPr="001E461C">
        <w:rPr>
          <w:color w:val="000000" w:themeColor="text1"/>
          <w:szCs w:val="24"/>
        </w:rPr>
        <w:t xml:space="preserve">10. </w:t>
      </w:r>
      <w:r w:rsidR="00FD50E4" w:rsidRPr="001E461C">
        <w:rPr>
          <w:color w:val="000000" w:themeColor="text1"/>
          <w:szCs w:val="24"/>
        </w:rPr>
        <w:t xml:space="preserve">Siūlytume aiškinamajame rašte pateikti Vyriausybei ir Seimui aktualią informaciją, kiek ES valstybių narių jau patvirtino </w:t>
      </w:r>
      <w:r w:rsidR="00BC687E" w:rsidRPr="001E461C">
        <w:rPr>
          <w:color w:val="000000" w:themeColor="text1"/>
          <w:szCs w:val="24"/>
        </w:rPr>
        <w:t>šį Tarybos sprendimą.</w:t>
      </w:r>
    </w:p>
    <w:p w14:paraId="75A542F7" w14:textId="0E48BBFE" w:rsidR="0009123B" w:rsidRPr="001E461C" w:rsidRDefault="00A10024" w:rsidP="00A10024">
      <w:pPr>
        <w:pStyle w:val="Sraopastraipa"/>
        <w:tabs>
          <w:tab w:val="left" w:pos="1134"/>
        </w:tabs>
        <w:spacing w:line="276" w:lineRule="auto"/>
        <w:ind w:left="0" w:firstLine="720"/>
        <w:rPr>
          <w:color w:val="000000" w:themeColor="text1"/>
          <w:szCs w:val="24"/>
        </w:rPr>
      </w:pPr>
      <w:r w:rsidRPr="001E461C">
        <w:rPr>
          <w:color w:val="000000" w:themeColor="text1"/>
          <w:szCs w:val="24"/>
        </w:rPr>
        <w:t xml:space="preserve">11. </w:t>
      </w:r>
      <w:r w:rsidR="0009123B" w:rsidRPr="001E461C">
        <w:rPr>
          <w:color w:val="000000" w:themeColor="text1"/>
          <w:szCs w:val="24"/>
        </w:rPr>
        <w:t>Atsižvelgiant į numatomą projekto pateikimo Seimui datą ir tai, kad politinė kampanija prasidės 2018 m. lapkričio 26 d., siūlytume apsvarstyti, ar nereikėtų Seimo pr</w:t>
      </w:r>
      <w:r w:rsidR="004B7890">
        <w:rPr>
          <w:color w:val="000000" w:themeColor="text1"/>
          <w:szCs w:val="24"/>
        </w:rPr>
        <w:t>a</w:t>
      </w:r>
      <w:r w:rsidR="0009123B" w:rsidRPr="001E461C">
        <w:rPr>
          <w:color w:val="000000" w:themeColor="text1"/>
          <w:szCs w:val="24"/>
        </w:rPr>
        <w:t xml:space="preserve">šyti svarstyti projektus </w:t>
      </w:r>
      <w:r w:rsidR="0009123B" w:rsidRPr="001E461C">
        <w:rPr>
          <w:i/>
          <w:color w:val="000000" w:themeColor="text1"/>
          <w:szCs w:val="24"/>
        </w:rPr>
        <w:t>ypatingos</w:t>
      </w:r>
      <w:r w:rsidR="0009123B" w:rsidRPr="001E461C">
        <w:rPr>
          <w:color w:val="000000" w:themeColor="text1"/>
          <w:szCs w:val="24"/>
        </w:rPr>
        <w:t xml:space="preserve"> skubos tvarka.</w:t>
      </w:r>
    </w:p>
    <w:p w14:paraId="0D4F0ACF" w14:textId="77777777" w:rsidR="00BC687E" w:rsidRPr="001E461C" w:rsidRDefault="00BC687E" w:rsidP="00A10024">
      <w:pPr>
        <w:tabs>
          <w:tab w:val="left" w:pos="1134"/>
        </w:tabs>
        <w:spacing w:line="276" w:lineRule="auto"/>
        <w:ind w:firstLine="720"/>
        <w:rPr>
          <w:color w:val="000000" w:themeColor="text1"/>
          <w:szCs w:val="24"/>
        </w:rPr>
      </w:pPr>
    </w:p>
    <w:p w14:paraId="48A57096" w14:textId="1C015245" w:rsidR="007A4DCB" w:rsidRPr="001E461C" w:rsidRDefault="007A4DCB" w:rsidP="00A10024">
      <w:pPr>
        <w:tabs>
          <w:tab w:val="left" w:pos="1134"/>
        </w:tabs>
        <w:spacing w:line="276" w:lineRule="auto"/>
        <w:ind w:firstLine="720"/>
        <w:rPr>
          <w:color w:val="000000" w:themeColor="text1"/>
          <w:szCs w:val="24"/>
        </w:rPr>
      </w:pPr>
    </w:p>
    <w:p w14:paraId="79BDF3DC" w14:textId="0741341D" w:rsidR="001C0811" w:rsidRPr="001E461C" w:rsidRDefault="001C0811" w:rsidP="00A10024">
      <w:pPr>
        <w:tabs>
          <w:tab w:val="left" w:pos="1134"/>
        </w:tabs>
        <w:spacing w:line="276" w:lineRule="auto"/>
        <w:ind w:firstLine="720"/>
        <w:rPr>
          <w:color w:val="000000" w:themeColor="text1"/>
          <w:szCs w:val="24"/>
        </w:rPr>
      </w:pPr>
    </w:p>
    <w:p w14:paraId="07148DEE" w14:textId="77777777" w:rsidR="001C0811" w:rsidRPr="001E461C" w:rsidRDefault="001C0811" w:rsidP="00A10024">
      <w:pPr>
        <w:tabs>
          <w:tab w:val="left" w:pos="1134"/>
        </w:tabs>
        <w:spacing w:line="276" w:lineRule="auto"/>
        <w:ind w:firstLine="720"/>
        <w:rPr>
          <w:color w:val="000000" w:themeColor="text1"/>
          <w:szCs w:val="24"/>
        </w:rPr>
      </w:pPr>
    </w:p>
    <w:p w14:paraId="48A57097" w14:textId="77777777" w:rsidR="002D2622" w:rsidRPr="001E461C" w:rsidRDefault="002D2622" w:rsidP="00A10024">
      <w:pPr>
        <w:tabs>
          <w:tab w:val="left" w:pos="1134"/>
        </w:tabs>
        <w:spacing w:line="276" w:lineRule="auto"/>
        <w:ind w:firstLine="720"/>
        <w:rPr>
          <w:color w:val="000000" w:themeColor="text1"/>
          <w:szCs w:val="24"/>
        </w:rPr>
      </w:pPr>
    </w:p>
    <w:p w14:paraId="48A57098" w14:textId="14724A9A" w:rsidR="002D2622" w:rsidRPr="001E461C" w:rsidRDefault="003759E7" w:rsidP="00A10024">
      <w:pPr>
        <w:spacing w:line="276" w:lineRule="auto"/>
        <w:rPr>
          <w:szCs w:val="24"/>
        </w:rPr>
      </w:pPr>
      <w:r w:rsidRPr="001E461C">
        <w:rPr>
          <w:szCs w:val="24"/>
        </w:rPr>
        <w:t>Teisės grupės vyriausiasis patarėjas</w:t>
      </w:r>
      <w:r w:rsidRPr="001E461C">
        <w:rPr>
          <w:szCs w:val="24"/>
        </w:rPr>
        <w:tab/>
      </w:r>
      <w:r w:rsidRPr="001E461C">
        <w:rPr>
          <w:szCs w:val="24"/>
        </w:rPr>
        <w:tab/>
      </w:r>
      <w:r w:rsidRPr="001E461C">
        <w:rPr>
          <w:szCs w:val="24"/>
        </w:rPr>
        <w:tab/>
      </w:r>
      <w:r w:rsidRPr="001E461C">
        <w:rPr>
          <w:szCs w:val="24"/>
        </w:rPr>
        <w:tab/>
        <w:t>Deividas Kriaučiūnas</w:t>
      </w:r>
    </w:p>
    <w:p w14:paraId="5B6DBC31" w14:textId="1BD98C41" w:rsidR="00764079" w:rsidRPr="001E461C" w:rsidRDefault="00764079" w:rsidP="00764079">
      <w:pPr>
        <w:spacing w:line="276" w:lineRule="auto"/>
        <w:rPr>
          <w:szCs w:val="24"/>
        </w:rPr>
      </w:pPr>
    </w:p>
    <w:p w14:paraId="03E65509" w14:textId="3658EF52" w:rsidR="00764079" w:rsidRPr="001E461C" w:rsidRDefault="00764079" w:rsidP="00764079">
      <w:pPr>
        <w:spacing w:line="276" w:lineRule="auto"/>
        <w:rPr>
          <w:szCs w:val="24"/>
        </w:rPr>
      </w:pPr>
    </w:p>
    <w:p w14:paraId="0CE1E759" w14:textId="5174EA8B" w:rsidR="00764079" w:rsidRPr="001E461C" w:rsidRDefault="00764079" w:rsidP="00764079">
      <w:pPr>
        <w:spacing w:line="276" w:lineRule="auto"/>
        <w:rPr>
          <w:szCs w:val="24"/>
        </w:rPr>
      </w:pPr>
    </w:p>
    <w:p w14:paraId="0D56AC98" w14:textId="5127EB61" w:rsidR="00764079" w:rsidRPr="001E461C" w:rsidRDefault="00764079" w:rsidP="00764079">
      <w:pPr>
        <w:spacing w:line="276" w:lineRule="auto"/>
        <w:rPr>
          <w:szCs w:val="24"/>
        </w:rPr>
      </w:pPr>
    </w:p>
    <w:p w14:paraId="037DCFDE" w14:textId="77777777" w:rsidR="00764079" w:rsidRPr="001E461C" w:rsidRDefault="00764079" w:rsidP="00764079">
      <w:pPr>
        <w:spacing w:line="276" w:lineRule="auto"/>
        <w:rPr>
          <w:szCs w:val="24"/>
        </w:rPr>
      </w:pPr>
    </w:p>
    <w:p w14:paraId="48A57099" w14:textId="1760C88F" w:rsidR="004A3FA9" w:rsidRDefault="004A3FA9" w:rsidP="00764079">
      <w:pPr>
        <w:spacing w:line="276" w:lineRule="auto"/>
        <w:rPr>
          <w:szCs w:val="24"/>
        </w:rPr>
      </w:pPr>
    </w:p>
    <w:p w14:paraId="76FAC749" w14:textId="0DBC3FF5" w:rsidR="004B7890" w:rsidRDefault="004B7890" w:rsidP="00764079">
      <w:pPr>
        <w:spacing w:line="276" w:lineRule="auto"/>
        <w:rPr>
          <w:szCs w:val="24"/>
        </w:rPr>
      </w:pPr>
    </w:p>
    <w:p w14:paraId="09EE629D" w14:textId="1949D4E3" w:rsidR="004B7890" w:rsidRDefault="004B7890" w:rsidP="00764079">
      <w:pPr>
        <w:spacing w:line="276" w:lineRule="auto"/>
        <w:rPr>
          <w:szCs w:val="24"/>
        </w:rPr>
      </w:pPr>
    </w:p>
    <w:p w14:paraId="4078D69E" w14:textId="76CE302E" w:rsidR="004B7890" w:rsidRDefault="004B7890" w:rsidP="00764079">
      <w:pPr>
        <w:spacing w:line="276" w:lineRule="auto"/>
        <w:rPr>
          <w:szCs w:val="24"/>
        </w:rPr>
      </w:pPr>
    </w:p>
    <w:p w14:paraId="5F1B4B2C" w14:textId="77777777" w:rsidR="004B7890" w:rsidRPr="001E461C" w:rsidRDefault="004B7890" w:rsidP="00764079">
      <w:pPr>
        <w:spacing w:line="276" w:lineRule="auto"/>
        <w:rPr>
          <w:szCs w:val="24"/>
        </w:rPr>
      </w:pPr>
      <w:bookmarkStart w:id="2" w:name="_GoBack"/>
      <w:bookmarkEnd w:id="2"/>
    </w:p>
    <w:p w14:paraId="48A5709A" w14:textId="77777777" w:rsidR="004A3FA9" w:rsidRPr="001E461C" w:rsidRDefault="004A3FA9" w:rsidP="00764079">
      <w:pPr>
        <w:spacing w:line="276" w:lineRule="auto"/>
        <w:rPr>
          <w:szCs w:val="24"/>
        </w:rPr>
      </w:pPr>
    </w:p>
    <w:p w14:paraId="48A5709B" w14:textId="77777777" w:rsidR="004A3FA9" w:rsidRPr="001E461C" w:rsidRDefault="004A3FA9" w:rsidP="00764079">
      <w:pPr>
        <w:spacing w:line="276" w:lineRule="auto"/>
        <w:rPr>
          <w:szCs w:val="24"/>
        </w:rPr>
      </w:pPr>
    </w:p>
    <w:p w14:paraId="48A5709C" w14:textId="77777777" w:rsidR="00121647" w:rsidRPr="001E461C" w:rsidRDefault="00121647" w:rsidP="00764079">
      <w:pPr>
        <w:pStyle w:val="Preformatted"/>
        <w:spacing w:line="276" w:lineRule="auto"/>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21647" w:rsidRPr="001E461C" w14:paraId="48A5709E" w14:textId="77777777" w:rsidTr="000D65D9">
        <w:tc>
          <w:tcPr>
            <w:tcW w:w="9854" w:type="dxa"/>
          </w:tcPr>
          <w:p w14:paraId="48A5709D" w14:textId="77777777" w:rsidR="00121647" w:rsidRPr="001E461C" w:rsidRDefault="00C307EB" w:rsidP="00764079">
            <w:pPr>
              <w:spacing w:line="276" w:lineRule="auto"/>
              <w:rPr>
                <w:szCs w:val="24"/>
              </w:rPr>
            </w:pPr>
            <w:sdt>
              <w:sdtPr>
                <w:rPr>
                  <w:szCs w:val="24"/>
                </w:rPr>
                <w:tag w:val="rengejoNuoroda"/>
                <w:id w:val="668683481"/>
                <w:placeholder>
                  <w:docPart w:val="28BCF1F952E34D2E9B8274B664A8BD97"/>
                </w:placeholder>
              </w:sdtPr>
              <w:sdtEndPr/>
              <w:sdtContent>
                <w:r>
                  <w:t>Deividas Kriaučiūnas</w:t>
                </w:r>
              </w:sdtContent>
            </w:sdt>
            <w:r w:rsidR="00121647" w:rsidRPr="001E461C">
              <w:rPr>
                <w:szCs w:val="24"/>
              </w:rPr>
              <w:t xml:space="preserve">, tel. </w:t>
            </w:r>
            <w:sdt>
              <w:sdtPr>
                <w:rPr>
                  <w:szCs w:val="24"/>
                </w:rPr>
                <w:tag w:val="rengejoNuorodaTel"/>
                <w:id w:val="1793550689"/>
                <w:placeholder>
                  <w:docPart w:val="4059EC9A24CA41358911D6CD75BC07E9"/>
                </w:placeholder>
                <w:showingPlcHdr/>
              </w:sdtPr>
              <w:sdtEndPr/>
              <w:sdtContent>
                <w:r>
                  <w:t>870663817</w:t>
                </w:r>
              </w:sdtContent>
            </w:sdt>
            <w:r w:rsidR="00121647" w:rsidRPr="001E461C">
              <w:rPr>
                <w:szCs w:val="24"/>
              </w:rPr>
              <w:t xml:space="preserve">, el. p. </w:t>
            </w:r>
            <w:sdt>
              <w:sdtPr>
                <w:rPr>
                  <w:szCs w:val="24"/>
                </w:rPr>
                <w:tag w:val="rengejoNuorodaEmail"/>
                <w:id w:val="-99482106"/>
                <w:placeholder>
                  <w:docPart w:val="4059EC9A24CA41358911D6CD75BC07E9"/>
                </w:placeholder>
                <w:showingPlcHdr/>
              </w:sdtPr>
              <w:sdtEndPr/>
              <w:sdtContent>
                <w:r>
                  <w:t>deividas.kriauciunas@lrv.lt</w:t>
                </w:r>
              </w:sdtContent>
            </w:sdt>
          </w:p>
        </w:tc>
      </w:tr>
    </w:tbl>
    <w:p w14:paraId="48A5709F" w14:textId="77777777" w:rsidR="00121647" w:rsidRPr="001E461C" w:rsidRDefault="00121647" w:rsidP="00764079">
      <w:pPr>
        <w:pStyle w:val="Preformatted"/>
        <w:spacing w:line="276" w:lineRule="auto"/>
        <w:jc w:val="both"/>
        <w:rPr>
          <w:rFonts w:ascii="Times New Roman" w:hAnsi="Times New Roman"/>
          <w:sz w:val="24"/>
          <w:szCs w:val="24"/>
        </w:rPr>
      </w:pPr>
    </w:p>
    <w:sectPr w:rsidR="00121647" w:rsidRPr="001E461C" w:rsidSect="0025648D">
      <w:headerReference w:type="default" r:id="rId11"/>
      <w:footnotePr>
        <w:pos w:val="beneathText"/>
      </w:footnotePr>
      <w:pgSz w:w="11907" w:h="16840" w:code="9"/>
      <w:pgMar w:top="1134" w:right="851" w:bottom="1134" w:left="1418"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6A7D7" w14:textId="77777777" w:rsidR="00C307EB" w:rsidRDefault="00C307EB">
      <w:r>
        <w:separator/>
      </w:r>
    </w:p>
  </w:endnote>
  <w:endnote w:type="continuationSeparator" w:id="0">
    <w:p w14:paraId="5495753E" w14:textId="77777777" w:rsidR="00C307EB" w:rsidRDefault="00C3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42A9F" w14:textId="77777777" w:rsidR="00C307EB" w:rsidRDefault="00C307EB">
      <w:r>
        <w:separator/>
      </w:r>
    </w:p>
  </w:footnote>
  <w:footnote w:type="continuationSeparator" w:id="0">
    <w:p w14:paraId="2E7B1B22" w14:textId="77777777" w:rsidR="00C307EB" w:rsidRDefault="00C3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70A4"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934A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01CC7"/>
    <w:multiLevelType w:val="hybridMultilevel"/>
    <w:tmpl w:val="CA28FD32"/>
    <w:lvl w:ilvl="0" w:tplc="6BE80A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9FB0435"/>
    <w:multiLevelType w:val="hybridMultilevel"/>
    <w:tmpl w:val="BDBC4576"/>
    <w:lvl w:ilvl="0" w:tplc="97DA00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619B6"/>
    <w:rsid w:val="00061F0C"/>
    <w:rsid w:val="000836B0"/>
    <w:rsid w:val="0009123B"/>
    <w:rsid w:val="00095EC0"/>
    <w:rsid w:val="000C4D8D"/>
    <w:rsid w:val="00121647"/>
    <w:rsid w:val="0013117C"/>
    <w:rsid w:val="00132F4E"/>
    <w:rsid w:val="00135334"/>
    <w:rsid w:val="00161420"/>
    <w:rsid w:val="0016391D"/>
    <w:rsid w:val="001932FD"/>
    <w:rsid w:val="001934A6"/>
    <w:rsid w:val="00193CBF"/>
    <w:rsid w:val="001C0811"/>
    <w:rsid w:val="001E461C"/>
    <w:rsid w:val="001E605C"/>
    <w:rsid w:val="001E6D10"/>
    <w:rsid w:val="001F67A3"/>
    <w:rsid w:val="0021050E"/>
    <w:rsid w:val="00220951"/>
    <w:rsid w:val="00232D0D"/>
    <w:rsid w:val="00237858"/>
    <w:rsid w:val="00253B5B"/>
    <w:rsid w:val="0025648D"/>
    <w:rsid w:val="00280094"/>
    <w:rsid w:val="002956CD"/>
    <w:rsid w:val="002A5FB3"/>
    <w:rsid w:val="002B3AE8"/>
    <w:rsid w:val="002C039B"/>
    <w:rsid w:val="002C7662"/>
    <w:rsid w:val="002D2622"/>
    <w:rsid w:val="002D3546"/>
    <w:rsid w:val="002D764F"/>
    <w:rsid w:val="00313C4B"/>
    <w:rsid w:val="00315A7D"/>
    <w:rsid w:val="00317B6A"/>
    <w:rsid w:val="00343C06"/>
    <w:rsid w:val="00350AA1"/>
    <w:rsid w:val="0036567D"/>
    <w:rsid w:val="003759E7"/>
    <w:rsid w:val="00384CE6"/>
    <w:rsid w:val="00390926"/>
    <w:rsid w:val="003A5A58"/>
    <w:rsid w:val="003A7398"/>
    <w:rsid w:val="003C3259"/>
    <w:rsid w:val="003C78A9"/>
    <w:rsid w:val="00434303"/>
    <w:rsid w:val="00451243"/>
    <w:rsid w:val="004A3FA9"/>
    <w:rsid w:val="004B7890"/>
    <w:rsid w:val="004D1A5A"/>
    <w:rsid w:val="004D45DF"/>
    <w:rsid w:val="004E0AAB"/>
    <w:rsid w:val="004E68AF"/>
    <w:rsid w:val="004F66EC"/>
    <w:rsid w:val="00535D8F"/>
    <w:rsid w:val="0053764A"/>
    <w:rsid w:val="00553DF3"/>
    <w:rsid w:val="00571221"/>
    <w:rsid w:val="00577AD0"/>
    <w:rsid w:val="00587D6F"/>
    <w:rsid w:val="00595E42"/>
    <w:rsid w:val="005A7846"/>
    <w:rsid w:val="005F298D"/>
    <w:rsid w:val="00601661"/>
    <w:rsid w:val="00616CCA"/>
    <w:rsid w:val="00620713"/>
    <w:rsid w:val="00646939"/>
    <w:rsid w:val="00687627"/>
    <w:rsid w:val="006B4B23"/>
    <w:rsid w:val="006B58C3"/>
    <w:rsid w:val="006C2A33"/>
    <w:rsid w:val="006D0179"/>
    <w:rsid w:val="006F1998"/>
    <w:rsid w:val="006F208E"/>
    <w:rsid w:val="00724549"/>
    <w:rsid w:val="007335AB"/>
    <w:rsid w:val="00742138"/>
    <w:rsid w:val="007450CA"/>
    <w:rsid w:val="00760720"/>
    <w:rsid w:val="00764079"/>
    <w:rsid w:val="0077156F"/>
    <w:rsid w:val="00775765"/>
    <w:rsid w:val="007A4DCB"/>
    <w:rsid w:val="007A5095"/>
    <w:rsid w:val="007A607B"/>
    <w:rsid w:val="007E13AD"/>
    <w:rsid w:val="007E3129"/>
    <w:rsid w:val="008241FE"/>
    <w:rsid w:val="0083598F"/>
    <w:rsid w:val="00840BA0"/>
    <w:rsid w:val="008427DC"/>
    <w:rsid w:val="00864C04"/>
    <w:rsid w:val="0086703B"/>
    <w:rsid w:val="00870EC1"/>
    <w:rsid w:val="00871A19"/>
    <w:rsid w:val="008A783C"/>
    <w:rsid w:val="008B26B6"/>
    <w:rsid w:val="008B7E7E"/>
    <w:rsid w:val="008C0400"/>
    <w:rsid w:val="008D28F5"/>
    <w:rsid w:val="008F31A4"/>
    <w:rsid w:val="00902FE9"/>
    <w:rsid w:val="00910D20"/>
    <w:rsid w:val="00911A51"/>
    <w:rsid w:val="00950A1A"/>
    <w:rsid w:val="0097219B"/>
    <w:rsid w:val="0099003E"/>
    <w:rsid w:val="00991C38"/>
    <w:rsid w:val="0099450C"/>
    <w:rsid w:val="00994954"/>
    <w:rsid w:val="0099720E"/>
    <w:rsid w:val="00997F9F"/>
    <w:rsid w:val="009A33B1"/>
    <w:rsid w:val="009B79EB"/>
    <w:rsid w:val="009C4848"/>
    <w:rsid w:val="009C4CB2"/>
    <w:rsid w:val="009D1D6E"/>
    <w:rsid w:val="00A0203E"/>
    <w:rsid w:val="00A0515D"/>
    <w:rsid w:val="00A05902"/>
    <w:rsid w:val="00A10024"/>
    <w:rsid w:val="00A21578"/>
    <w:rsid w:val="00A240B4"/>
    <w:rsid w:val="00A25A56"/>
    <w:rsid w:val="00A37B79"/>
    <w:rsid w:val="00A40A4B"/>
    <w:rsid w:val="00A43E48"/>
    <w:rsid w:val="00A44C77"/>
    <w:rsid w:val="00A44E3F"/>
    <w:rsid w:val="00A45939"/>
    <w:rsid w:val="00A46A37"/>
    <w:rsid w:val="00A51139"/>
    <w:rsid w:val="00A56BA5"/>
    <w:rsid w:val="00A66F37"/>
    <w:rsid w:val="00A7075B"/>
    <w:rsid w:val="00A7299E"/>
    <w:rsid w:val="00AA0DF4"/>
    <w:rsid w:val="00AA1E3D"/>
    <w:rsid w:val="00AA780B"/>
    <w:rsid w:val="00AB6F41"/>
    <w:rsid w:val="00B069CE"/>
    <w:rsid w:val="00B13674"/>
    <w:rsid w:val="00B22CBE"/>
    <w:rsid w:val="00B30047"/>
    <w:rsid w:val="00B3095D"/>
    <w:rsid w:val="00B317F3"/>
    <w:rsid w:val="00B456DD"/>
    <w:rsid w:val="00B52627"/>
    <w:rsid w:val="00B858E9"/>
    <w:rsid w:val="00B86DE8"/>
    <w:rsid w:val="00B91219"/>
    <w:rsid w:val="00BA519F"/>
    <w:rsid w:val="00BB5F00"/>
    <w:rsid w:val="00BC687E"/>
    <w:rsid w:val="00BD12BB"/>
    <w:rsid w:val="00C10372"/>
    <w:rsid w:val="00C10F2E"/>
    <w:rsid w:val="00C17EB7"/>
    <w:rsid w:val="00C307EB"/>
    <w:rsid w:val="00C32926"/>
    <w:rsid w:val="00C375F3"/>
    <w:rsid w:val="00C66B96"/>
    <w:rsid w:val="00CC7B3C"/>
    <w:rsid w:val="00CF001B"/>
    <w:rsid w:val="00D01081"/>
    <w:rsid w:val="00D20A52"/>
    <w:rsid w:val="00D2671F"/>
    <w:rsid w:val="00D40534"/>
    <w:rsid w:val="00D530B0"/>
    <w:rsid w:val="00D55F73"/>
    <w:rsid w:val="00D6683E"/>
    <w:rsid w:val="00D72E97"/>
    <w:rsid w:val="00D84CDA"/>
    <w:rsid w:val="00D8530C"/>
    <w:rsid w:val="00DB0187"/>
    <w:rsid w:val="00DB0D08"/>
    <w:rsid w:val="00DC64BA"/>
    <w:rsid w:val="00DE7ECB"/>
    <w:rsid w:val="00DF1152"/>
    <w:rsid w:val="00DF31B3"/>
    <w:rsid w:val="00DF3B7A"/>
    <w:rsid w:val="00E42B1B"/>
    <w:rsid w:val="00E54F5B"/>
    <w:rsid w:val="00E81C0E"/>
    <w:rsid w:val="00EA08A9"/>
    <w:rsid w:val="00EB1CDF"/>
    <w:rsid w:val="00EB2794"/>
    <w:rsid w:val="00EB386C"/>
    <w:rsid w:val="00EE7003"/>
    <w:rsid w:val="00F24387"/>
    <w:rsid w:val="00F343F9"/>
    <w:rsid w:val="00F6630B"/>
    <w:rsid w:val="00F7301E"/>
    <w:rsid w:val="00F76A69"/>
    <w:rsid w:val="00F94D25"/>
    <w:rsid w:val="00F96552"/>
    <w:rsid w:val="00F96E14"/>
    <w:rsid w:val="00F97E85"/>
    <w:rsid w:val="00FB14DA"/>
    <w:rsid w:val="00FB2E40"/>
    <w:rsid w:val="00FD50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7084"/>
  <w15:docId w15:val="{002DBFF0-A8EA-4306-9C95-C2764C22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uiPriority w:val="99"/>
    <w:rsid w:val="002D2622"/>
    <w:pPr>
      <w:tabs>
        <w:tab w:val="center" w:pos="4153"/>
        <w:tab w:val="right" w:pos="8306"/>
      </w:tabs>
    </w:pPr>
  </w:style>
  <w:style w:type="character" w:customStyle="1" w:styleId="AntratsDiagrama">
    <w:name w:val="Antraštės Diagrama"/>
    <w:basedOn w:val="Numatytasispastraiposriftas"/>
    <w:link w:val="Antrats"/>
    <w:uiPriority w:val="99"/>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232D0D"/>
    <w:pPr>
      <w:ind w:left="720"/>
      <w:contextualSpacing/>
    </w:pPr>
  </w:style>
  <w:style w:type="character" w:styleId="Hipersaitas">
    <w:name w:val="Hyperlink"/>
    <w:basedOn w:val="Numatytasispastraiposriftas"/>
    <w:uiPriority w:val="99"/>
    <w:semiHidden/>
    <w:unhideWhenUsed/>
    <w:rsid w:val="00A25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8912">
      <w:bodyDiv w:val="1"/>
      <w:marLeft w:val="0"/>
      <w:marRight w:val="0"/>
      <w:marTop w:val="0"/>
      <w:marBottom w:val="0"/>
      <w:divBdr>
        <w:top w:val="none" w:sz="0" w:space="0" w:color="auto"/>
        <w:left w:val="none" w:sz="0" w:space="0" w:color="auto"/>
        <w:bottom w:val="none" w:sz="0" w:space="0" w:color="auto"/>
        <w:right w:val="none" w:sz="0" w:space="0" w:color="auto"/>
      </w:divBdr>
    </w:div>
    <w:div w:id="621427925">
      <w:bodyDiv w:val="1"/>
      <w:marLeft w:val="0"/>
      <w:marRight w:val="0"/>
      <w:marTop w:val="0"/>
      <w:marBottom w:val="0"/>
      <w:divBdr>
        <w:top w:val="none" w:sz="0" w:space="0" w:color="auto"/>
        <w:left w:val="none" w:sz="0" w:space="0" w:color="auto"/>
        <w:bottom w:val="none" w:sz="0" w:space="0" w:color="auto"/>
        <w:right w:val="none" w:sz="0" w:space="0" w:color="auto"/>
      </w:divBdr>
      <w:divsChild>
        <w:div w:id="1920863700">
          <w:marLeft w:val="0"/>
          <w:marRight w:val="0"/>
          <w:marTop w:val="0"/>
          <w:marBottom w:val="0"/>
          <w:divBdr>
            <w:top w:val="none" w:sz="0" w:space="0" w:color="auto"/>
            <w:left w:val="none" w:sz="0" w:space="0" w:color="auto"/>
            <w:bottom w:val="none" w:sz="0" w:space="0" w:color="auto"/>
            <w:right w:val="none" w:sz="0" w:space="0" w:color="auto"/>
          </w:divBdr>
        </w:div>
        <w:div w:id="52117329">
          <w:marLeft w:val="0"/>
          <w:marRight w:val="0"/>
          <w:marTop w:val="0"/>
          <w:marBottom w:val="0"/>
          <w:divBdr>
            <w:top w:val="none" w:sz="0" w:space="0" w:color="auto"/>
            <w:left w:val="none" w:sz="0" w:space="0" w:color="auto"/>
            <w:bottom w:val="none" w:sz="0" w:space="0" w:color="auto"/>
            <w:right w:val="none" w:sz="0" w:space="0" w:color="auto"/>
          </w:divBdr>
        </w:div>
      </w:divsChild>
    </w:div>
    <w:div w:id="731925669">
      <w:bodyDiv w:val="1"/>
      <w:marLeft w:val="0"/>
      <w:marRight w:val="0"/>
      <w:marTop w:val="0"/>
      <w:marBottom w:val="0"/>
      <w:divBdr>
        <w:top w:val="none" w:sz="0" w:space="0" w:color="auto"/>
        <w:left w:val="none" w:sz="0" w:space="0" w:color="auto"/>
        <w:bottom w:val="none" w:sz="0" w:space="0" w:color="auto"/>
        <w:right w:val="none" w:sz="0" w:space="0" w:color="auto"/>
      </w:divBdr>
      <w:divsChild>
        <w:div w:id="1106344576">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6674DC"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6674DC"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C6D44"/>
    <w:rsid w:val="001E0BF7"/>
    <w:rsid w:val="001F7310"/>
    <w:rsid w:val="00260A3A"/>
    <w:rsid w:val="00265455"/>
    <w:rsid w:val="002B0E91"/>
    <w:rsid w:val="002D2B10"/>
    <w:rsid w:val="00335FBF"/>
    <w:rsid w:val="003816BF"/>
    <w:rsid w:val="00383A07"/>
    <w:rsid w:val="00391668"/>
    <w:rsid w:val="00393187"/>
    <w:rsid w:val="003B5A75"/>
    <w:rsid w:val="003E362D"/>
    <w:rsid w:val="003F42DE"/>
    <w:rsid w:val="00420D08"/>
    <w:rsid w:val="004457B0"/>
    <w:rsid w:val="00466683"/>
    <w:rsid w:val="004701B7"/>
    <w:rsid w:val="00537F2D"/>
    <w:rsid w:val="0054013E"/>
    <w:rsid w:val="00563210"/>
    <w:rsid w:val="005B3156"/>
    <w:rsid w:val="005D1504"/>
    <w:rsid w:val="005D52D0"/>
    <w:rsid w:val="005E2AAD"/>
    <w:rsid w:val="006674DC"/>
    <w:rsid w:val="00684342"/>
    <w:rsid w:val="007078E6"/>
    <w:rsid w:val="007302D4"/>
    <w:rsid w:val="00733CF2"/>
    <w:rsid w:val="007D573A"/>
    <w:rsid w:val="007F1EF1"/>
    <w:rsid w:val="00802E58"/>
    <w:rsid w:val="008910C4"/>
    <w:rsid w:val="008F2108"/>
    <w:rsid w:val="008F3E12"/>
    <w:rsid w:val="009A5ABA"/>
    <w:rsid w:val="00A1138D"/>
    <w:rsid w:val="00A261D4"/>
    <w:rsid w:val="00AC69B5"/>
    <w:rsid w:val="00B30BCF"/>
    <w:rsid w:val="00B65C6B"/>
    <w:rsid w:val="00B774FD"/>
    <w:rsid w:val="00B85986"/>
    <w:rsid w:val="00B905C7"/>
    <w:rsid w:val="00BC2B1A"/>
    <w:rsid w:val="00BF4908"/>
    <w:rsid w:val="00C35324"/>
    <w:rsid w:val="00C35A5C"/>
    <w:rsid w:val="00C64F30"/>
    <w:rsid w:val="00C7327A"/>
    <w:rsid w:val="00C84BBA"/>
    <w:rsid w:val="00CB1DB4"/>
    <w:rsid w:val="00CD174D"/>
    <w:rsid w:val="00CF132B"/>
    <w:rsid w:val="00CF1C8C"/>
    <w:rsid w:val="00D963D7"/>
    <w:rsid w:val="00DC0E28"/>
    <w:rsid w:val="00DD195E"/>
    <w:rsid w:val="00DE1B9E"/>
    <w:rsid w:val="00E31BAE"/>
    <w:rsid w:val="00E91C3F"/>
    <w:rsid w:val="00ED56BF"/>
    <w:rsid w:val="00EE3564"/>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C57FD8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f01ba19fc655168d42159671b41c2d0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b60066abbedeafb1eab61e402e56cd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6E23E-38DF-4802-851D-A7C22BD9A5D8}">
  <ds:schemaRefs>
    <ds:schemaRef ds:uri="http://schemas.microsoft.com/office/2006/metadata/properties"/>
    <ds:schemaRef ds:uri="http://schemas.microsoft.com/office/infopath/2007/PartnerControls"/>
    <ds:schemaRef ds:uri="b34d8492-6b9e-4bf1-b00a-2b1a1b8ee439"/>
  </ds:schemaRefs>
</ds:datastoreItem>
</file>

<file path=customXml/itemProps2.xml><?xml version="1.0" encoding="utf-8"?>
<ds:datastoreItem xmlns:ds="http://schemas.openxmlformats.org/officeDocument/2006/customXml" ds:itemID="{81EADE34-E79F-4082-B1BD-701D6BFC4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32853-55E3-4F36-A6EF-EA6746E4554A}">
  <ds:schemaRefs>
    <ds:schemaRef ds:uri="http://schemas.microsoft.com/sharepoint/v3/contenttype/forms"/>
  </ds:schemaRefs>
</ds:datastoreItem>
</file>

<file path=customXml/itemProps4.xml><?xml version="1.0" encoding="utf-8"?>
<ds:datastoreItem xmlns:ds="http://schemas.openxmlformats.org/officeDocument/2006/customXml" ds:itemID="{203C8035-FAD7-405F-AF65-7C248E63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1374</TotalTime>
  <Pages>4</Pages>
  <Words>7414</Words>
  <Characters>4227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2018-11-05T10:52:00Z</dcterms:created>
  <dc:creator>Evelina Grincevičiūtė</dc:creator>
  <cp:lastModifiedBy>Deividas Kriaučiūnas</cp:lastModifiedBy>
  <dcterms:modified xsi:type="dcterms:W3CDTF">2018-11-08T05:37:00Z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