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829E0" w14:textId="77777777" w:rsidR="00BF0015" w:rsidRDefault="00BF0015" w:rsidP="00BF0015">
      <w:pPr>
        <w:jc w:val="center"/>
        <w:rPr>
          <w:b/>
        </w:rPr>
      </w:pPr>
      <w:bookmarkStart w:id="0" w:name="_GoBack"/>
      <w:bookmarkEnd w:id="0"/>
    </w:p>
    <w:p w14:paraId="15B3D224" w14:textId="5E5DD93B" w:rsidR="0066439F" w:rsidRDefault="00C07FF7" w:rsidP="00D64C8F">
      <w:pPr>
        <w:jc w:val="center"/>
        <w:rPr>
          <w:b/>
          <w:caps/>
        </w:rPr>
      </w:pPr>
      <w:r>
        <w:rPr>
          <w:b/>
          <w:bCs/>
          <w:caps/>
        </w:rPr>
        <w:t>20</w:t>
      </w:r>
      <w:r w:rsidR="00DE4429">
        <w:rPr>
          <w:b/>
          <w:bCs/>
          <w:caps/>
        </w:rPr>
        <w:t>18</w:t>
      </w:r>
      <w:r>
        <w:rPr>
          <w:b/>
          <w:bCs/>
          <w:caps/>
        </w:rPr>
        <w:t xml:space="preserve"> m. </w:t>
      </w:r>
      <w:r w:rsidR="00DE4429">
        <w:rPr>
          <w:b/>
          <w:bCs/>
          <w:caps/>
        </w:rPr>
        <w:t>spalio</w:t>
      </w:r>
      <w:r>
        <w:rPr>
          <w:b/>
          <w:bCs/>
          <w:caps/>
        </w:rPr>
        <w:t xml:space="preserve"> 1</w:t>
      </w:r>
      <w:r w:rsidR="005328B4">
        <w:rPr>
          <w:b/>
          <w:bCs/>
          <w:caps/>
        </w:rPr>
        <w:t>9</w:t>
      </w:r>
      <w:r>
        <w:rPr>
          <w:b/>
          <w:bCs/>
          <w:caps/>
        </w:rPr>
        <w:t xml:space="preserve"> d. </w:t>
      </w:r>
      <w:r w:rsidR="00E56916">
        <w:rPr>
          <w:b/>
          <w:bCs/>
          <w:caps/>
        </w:rPr>
        <w:t>komisijos įgyvendinimo direktyvos (es) 2018/1581</w:t>
      </w:r>
      <w:r w:rsidR="003D30B5">
        <w:rPr>
          <w:b/>
          <w:bCs/>
          <w:caps/>
        </w:rPr>
        <w:t xml:space="preserve">, kuria iš dalies keičiamos </w:t>
      </w:r>
      <w:r>
        <w:rPr>
          <w:b/>
          <w:bCs/>
          <w:caps/>
        </w:rPr>
        <w:t>tarybos direktyvos</w:t>
      </w:r>
      <w:r w:rsidR="003D30B5">
        <w:rPr>
          <w:b/>
          <w:bCs/>
          <w:caps/>
        </w:rPr>
        <w:t xml:space="preserve"> 2009/119/eb nuostatos dėl atsargų saugojimo </w:t>
      </w:r>
      <w:r w:rsidR="0066439F">
        <w:rPr>
          <w:b/>
          <w:bCs/>
          <w:caps/>
        </w:rPr>
        <w:t>į</w:t>
      </w:r>
      <w:r w:rsidR="00432FF2">
        <w:rPr>
          <w:b/>
          <w:bCs/>
          <w:caps/>
        </w:rPr>
        <w:t>pareigojimų apskaičiavimo</w:t>
      </w:r>
      <w:r w:rsidR="00A44A80">
        <w:rPr>
          <w:b/>
          <w:bCs/>
          <w:caps/>
        </w:rPr>
        <w:t xml:space="preserve"> </w:t>
      </w:r>
      <w:r w:rsidR="00432FF2">
        <w:rPr>
          <w:b/>
          <w:bCs/>
          <w:caps/>
        </w:rPr>
        <w:t>metodų</w:t>
      </w:r>
      <w:r w:rsidR="00E95519">
        <w:rPr>
          <w:b/>
          <w:bCs/>
          <w:caps/>
        </w:rPr>
        <w:t>,</w:t>
      </w:r>
      <w:r w:rsidR="00A44A80">
        <w:rPr>
          <w:b/>
          <w:bCs/>
          <w:caps/>
        </w:rPr>
        <w:t xml:space="preserve"> ir </w:t>
      </w:r>
      <w:r w:rsidR="00F71EA5">
        <w:rPr>
          <w:b/>
          <w:caps/>
        </w:rPr>
        <w:t>lietuvos respublikos</w:t>
      </w:r>
      <w:r w:rsidR="00BF0015">
        <w:rPr>
          <w:b/>
          <w:caps/>
        </w:rPr>
        <w:t xml:space="preserve"> naftos produktų ir naftos valstybės </w:t>
      </w:r>
    </w:p>
    <w:p w14:paraId="1CF716CF" w14:textId="14BA0EB4" w:rsidR="0066439F" w:rsidRDefault="00BF0015" w:rsidP="00D64C8F">
      <w:pPr>
        <w:jc w:val="center"/>
        <w:rPr>
          <w:b/>
          <w:caps/>
        </w:rPr>
      </w:pPr>
      <w:r>
        <w:rPr>
          <w:b/>
          <w:caps/>
        </w:rPr>
        <w:t>atsargų įstatymo NR. IX-986 2, 4, 7, 9, 21</w:t>
      </w:r>
      <w:r w:rsidR="008E6862">
        <w:rPr>
          <w:b/>
          <w:caps/>
        </w:rPr>
        <w:t>, 22</w:t>
      </w:r>
      <w:r>
        <w:rPr>
          <w:b/>
          <w:caps/>
        </w:rPr>
        <w:t xml:space="preserve"> STRAIPSNIų ir priedo </w:t>
      </w:r>
    </w:p>
    <w:p w14:paraId="75B544E5" w14:textId="2E91730A" w:rsidR="00BF0015" w:rsidRDefault="00BF0015" w:rsidP="00D64C8F">
      <w:pPr>
        <w:jc w:val="center"/>
        <w:rPr>
          <w:caps/>
        </w:rPr>
      </w:pPr>
      <w:r>
        <w:rPr>
          <w:b/>
          <w:caps/>
        </w:rPr>
        <w:t xml:space="preserve">PAKEITIMO ĮSTATYMo projekto </w:t>
      </w:r>
      <w:r w:rsidR="00274448">
        <w:rPr>
          <w:b/>
          <w:caps/>
        </w:rPr>
        <w:t>atitikties lentelė</w:t>
      </w:r>
    </w:p>
    <w:p w14:paraId="7B6B8A59" w14:textId="77777777" w:rsidR="00BF0015" w:rsidRDefault="00BF0015"/>
    <w:p w14:paraId="67A78233" w14:textId="77777777" w:rsidR="00BF0015" w:rsidRDefault="00BF0015"/>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4819"/>
        <w:gridCol w:w="2263"/>
      </w:tblGrid>
      <w:tr w:rsidR="00BF0015" w:rsidRPr="00EC6DA9" w14:paraId="26395C26" w14:textId="77777777" w:rsidTr="00AF40EC">
        <w:tc>
          <w:tcPr>
            <w:tcW w:w="2547" w:type="dxa"/>
            <w:vAlign w:val="center"/>
          </w:tcPr>
          <w:p w14:paraId="203AC0C3" w14:textId="1AAA5FC5" w:rsidR="00BF0015" w:rsidRPr="00EC6DA9" w:rsidRDefault="00BF0015" w:rsidP="009270B6">
            <w:pPr>
              <w:jc w:val="both"/>
              <w:rPr>
                <w:b/>
              </w:rPr>
            </w:pPr>
            <w:r w:rsidRPr="00EC6DA9">
              <w:rPr>
                <w:b/>
              </w:rPr>
              <w:t>20</w:t>
            </w:r>
            <w:r w:rsidR="00BF47D4">
              <w:rPr>
                <w:b/>
              </w:rPr>
              <w:t>18</w:t>
            </w:r>
            <w:r w:rsidRPr="00EC6DA9">
              <w:rPr>
                <w:b/>
              </w:rPr>
              <w:t xml:space="preserve"> m. </w:t>
            </w:r>
            <w:r w:rsidR="008E538B">
              <w:rPr>
                <w:b/>
              </w:rPr>
              <w:t>spalio</w:t>
            </w:r>
            <w:r w:rsidRPr="00EC6DA9">
              <w:rPr>
                <w:b/>
              </w:rPr>
              <w:t xml:space="preserve"> 1</w:t>
            </w:r>
            <w:r w:rsidR="005328B4">
              <w:rPr>
                <w:b/>
              </w:rPr>
              <w:t>9</w:t>
            </w:r>
            <w:r w:rsidRPr="00EC6DA9">
              <w:rPr>
                <w:b/>
              </w:rPr>
              <w:t xml:space="preserve"> d. </w:t>
            </w:r>
            <w:r w:rsidR="008E538B">
              <w:rPr>
                <w:b/>
              </w:rPr>
              <w:t>Komisijos</w:t>
            </w:r>
            <w:r w:rsidRPr="00EC6DA9">
              <w:rPr>
                <w:b/>
              </w:rPr>
              <w:t xml:space="preserve"> </w:t>
            </w:r>
            <w:r w:rsidR="00A35E26">
              <w:rPr>
                <w:b/>
              </w:rPr>
              <w:t>įgyvendini</w:t>
            </w:r>
            <w:r w:rsidR="008E6862">
              <w:rPr>
                <w:b/>
              </w:rPr>
              <w:softHyphen/>
            </w:r>
            <w:r w:rsidR="00A35E26">
              <w:rPr>
                <w:b/>
              </w:rPr>
              <w:t xml:space="preserve">mo </w:t>
            </w:r>
            <w:r w:rsidRPr="00EC6DA9">
              <w:rPr>
                <w:b/>
              </w:rPr>
              <w:t xml:space="preserve">direktyva </w:t>
            </w:r>
            <w:r w:rsidR="00371B0F">
              <w:rPr>
                <w:b/>
              </w:rPr>
              <w:t xml:space="preserve">(ES) </w:t>
            </w:r>
            <w:r w:rsidRPr="00EC6DA9">
              <w:rPr>
                <w:b/>
              </w:rPr>
              <w:t>20</w:t>
            </w:r>
            <w:r w:rsidR="008E538B">
              <w:rPr>
                <w:b/>
              </w:rPr>
              <w:t>18</w:t>
            </w:r>
            <w:r w:rsidRPr="00EC6DA9">
              <w:rPr>
                <w:b/>
              </w:rPr>
              <w:t>/</w:t>
            </w:r>
            <w:r w:rsidR="005E20CE">
              <w:rPr>
                <w:b/>
              </w:rPr>
              <w:t>1581</w:t>
            </w:r>
            <w:r w:rsidRPr="00EC6DA9">
              <w:rPr>
                <w:b/>
              </w:rPr>
              <w:t xml:space="preserve">, kuria </w:t>
            </w:r>
            <w:r w:rsidR="005E20CE">
              <w:rPr>
                <w:b/>
              </w:rPr>
              <w:t>iš dalies keičiamos Tarybos di</w:t>
            </w:r>
            <w:r w:rsidR="003D0B04">
              <w:rPr>
                <w:b/>
              </w:rPr>
              <w:t>r</w:t>
            </w:r>
            <w:r w:rsidR="005E20CE">
              <w:rPr>
                <w:b/>
              </w:rPr>
              <w:t>ektyvos 2009/</w:t>
            </w:r>
            <w:r w:rsidR="003D0B04">
              <w:rPr>
                <w:b/>
              </w:rPr>
              <w:t>119/EB nuostatos dėl</w:t>
            </w:r>
            <w:r w:rsidRPr="00EC6DA9">
              <w:rPr>
                <w:b/>
              </w:rPr>
              <w:t xml:space="preserve"> atsarg</w:t>
            </w:r>
            <w:r w:rsidR="00ED14CF">
              <w:rPr>
                <w:b/>
              </w:rPr>
              <w:t>ų saugojimo įpareigojimų apskaičiavimo metodų</w:t>
            </w:r>
          </w:p>
        </w:tc>
        <w:tc>
          <w:tcPr>
            <w:tcW w:w="4819" w:type="dxa"/>
            <w:vAlign w:val="center"/>
          </w:tcPr>
          <w:p w14:paraId="0901B157" w14:textId="415E5388" w:rsidR="00BF0015" w:rsidRPr="00EC6DA9" w:rsidRDefault="00BF0015" w:rsidP="009270B6">
            <w:pPr>
              <w:jc w:val="both"/>
              <w:rPr>
                <w:b/>
              </w:rPr>
            </w:pPr>
            <w:r w:rsidRPr="00EC6DA9">
              <w:rPr>
                <w:b/>
              </w:rPr>
              <w:t xml:space="preserve">Lietuvos Respublikos </w:t>
            </w:r>
            <w:r w:rsidR="006B3F79">
              <w:rPr>
                <w:b/>
              </w:rPr>
              <w:t>naftos produktų ir naftos</w:t>
            </w:r>
            <w:r w:rsidR="0003112D">
              <w:rPr>
                <w:b/>
              </w:rPr>
              <w:t xml:space="preserve"> valstybės atsargų</w:t>
            </w:r>
            <w:r w:rsidRPr="00EC6DA9">
              <w:rPr>
                <w:b/>
              </w:rPr>
              <w:t xml:space="preserve"> </w:t>
            </w:r>
            <w:r w:rsidR="00C75B16">
              <w:rPr>
                <w:b/>
              </w:rPr>
              <w:t>įstatymo</w:t>
            </w:r>
            <w:r w:rsidRPr="00EC6DA9">
              <w:rPr>
                <w:b/>
              </w:rPr>
              <w:t xml:space="preserve"> Nr. </w:t>
            </w:r>
            <w:r w:rsidR="00C75B16">
              <w:rPr>
                <w:b/>
              </w:rPr>
              <w:t xml:space="preserve">IX-986 </w:t>
            </w:r>
            <w:r w:rsidR="007D6C11">
              <w:rPr>
                <w:b/>
              </w:rPr>
              <w:t>2, 4, 7, 9, 21</w:t>
            </w:r>
            <w:r w:rsidR="00FA7BBA">
              <w:rPr>
                <w:b/>
              </w:rPr>
              <w:t>, 22</w:t>
            </w:r>
            <w:r w:rsidR="007D6C11">
              <w:rPr>
                <w:b/>
              </w:rPr>
              <w:t xml:space="preserve"> straipsnių ir </w:t>
            </w:r>
            <w:r w:rsidR="00011E90">
              <w:rPr>
                <w:b/>
              </w:rPr>
              <w:t xml:space="preserve">priedo pakeitimo įstatymo </w:t>
            </w:r>
            <w:r w:rsidRPr="00EC6DA9">
              <w:rPr>
                <w:b/>
                <w:color w:val="000000"/>
              </w:rPr>
              <w:t xml:space="preserve">projektas </w:t>
            </w:r>
            <w:r w:rsidRPr="00EC6DA9">
              <w:rPr>
                <w:b/>
              </w:rPr>
              <w:t xml:space="preserve">(toliau – </w:t>
            </w:r>
            <w:r w:rsidR="0003112D">
              <w:rPr>
                <w:b/>
              </w:rPr>
              <w:t>Įstatymo</w:t>
            </w:r>
            <w:r w:rsidRPr="00EC6DA9">
              <w:rPr>
                <w:b/>
              </w:rPr>
              <w:t xml:space="preserve"> projektas)</w:t>
            </w:r>
          </w:p>
        </w:tc>
        <w:tc>
          <w:tcPr>
            <w:tcW w:w="2263" w:type="dxa"/>
            <w:vAlign w:val="center"/>
          </w:tcPr>
          <w:p w14:paraId="20FD086F" w14:textId="77777777" w:rsidR="00BF0015" w:rsidRPr="00EC6DA9" w:rsidRDefault="00BF0015" w:rsidP="002C05A6">
            <w:pPr>
              <w:jc w:val="center"/>
              <w:rPr>
                <w:b/>
              </w:rPr>
            </w:pPr>
            <w:r w:rsidRPr="00EC6DA9">
              <w:rPr>
                <w:b/>
              </w:rPr>
              <w:t>Direktyvos perkėlimo ir įgyvendinimo lygis</w:t>
            </w:r>
          </w:p>
        </w:tc>
      </w:tr>
      <w:tr w:rsidR="00BF0015" w:rsidRPr="00EC6DA9" w14:paraId="5C432B2A" w14:textId="77777777" w:rsidTr="00AF40EC">
        <w:tc>
          <w:tcPr>
            <w:tcW w:w="2547" w:type="dxa"/>
          </w:tcPr>
          <w:p w14:paraId="72B8BC1D" w14:textId="77777777" w:rsidR="00BF0015" w:rsidRDefault="008301F6" w:rsidP="000E23C3">
            <w:pPr>
              <w:pStyle w:val="CM4"/>
              <w:jc w:val="both"/>
              <w:rPr>
                <w:rFonts w:ascii="Times New Roman" w:hAnsi="Times New Roman"/>
                <w:b/>
                <w:iCs/>
                <w:color w:val="000000"/>
              </w:rPr>
            </w:pPr>
            <w:r>
              <w:rPr>
                <w:rFonts w:ascii="Times New Roman" w:hAnsi="Times New Roman"/>
                <w:b/>
                <w:iCs/>
                <w:color w:val="000000"/>
              </w:rPr>
              <w:t>1</w:t>
            </w:r>
            <w:r w:rsidR="00BF0015" w:rsidRPr="00884580">
              <w:rPr>
                <w:rFonts w:ascii="Times New Roman" w:hAnsi="Times New Roman"/>
                <w:b/>
                <w:iCs/>
                <w:color w:val="000000"/>
              </w:rPr>
              <w:t xml:space="preserve"> straipsnis </w:t>
            </w:r>
          </w:p>
          <w:p w14:paraId="11457ABB" w14:textId="2924BFD4" w:rsidR="004969A4" w:rsidRPr="004969A4" w:rsidRDefault="00A963F6" w:rsidP="004969A4">
            <w:r>
              <w:t>Direktyva 2009/119/EB iš dalies keičiama taip:</w:t>
            </w:r>
          </w:p>
        </w:tc>
        <w:tc>
          <w:tcPr>
            <w:tcW w:w="4819" w:type="dxa"/>
          </w:tcPr>
          <w:p w14:paraId="6393CD0B" w14:textId="78BF2432" w:rsidR="00BF0015" w:rsidRPr="0042178F" w:rsidRDefault="00BF0015" w:rsidP="002C05A6">
            <w:pPr>
              <w:pStyle w:val="NormalWeb"/>
              <w:tabs>
                <w:tab w:val="left" w:pos="993"/>
              </w:tabs>
              <w:spacing w:before="0" w:beforeAutospacing="0" w:after="0" w:afterAutospacing="0"/>
              <w:ind w:firstLine="176"/>
              <w:jc w:val="both"/>
            </w:pPr>
          </w:p>
        </w:tc>
        <w:tc>
          <w:tcPr>
            <w:tcW w:w="2263" w:type="dxa"/>
          </w:tcPr>
          <w:p w14:paraId="382E1E0A" w14:textId="2BDFD8B1" w:rsidR="00BF0015" w:rsidRPr="0010105E" w:rsidRDefault="00BF0015" w:rsidP="002C05A6"/>
        </w:tc>
      </w:tr>
      <w:tr w:rsidR="00552DAD" w:rsidRPr="00EC6DA9" w14:paraId="74BE7CCC" w14:textId="77777777" w:rsidTr="00AF40EC">
        <w:tc>
          <w:tcPr>
            <w:tcW w:w="2547" w:type="dxa"/>
          </w:tcPr>
          <w:p w14:paraId="0848CE31" w14:textId="37136321" w:rsidR="00552DAD" w:rsidRDefault="00F17A6E" w:rsidP="000E23C3">
            <w:pPr>
              <w:pStyle w:val="CM4"/>
              <w:jc w:val="both"/>
              <w:rPr>
                <w:rFonts w:ascii="Times New Roman" w:hAnsi="Times New Roman"/>
                <w:b/>
                <w:iCs/>
                <w:color w:val="000000"/>
              </w:rPr>
            </w:pPr>
            <w:r w:rsidRPr="00F17A6E">
              <w:t>1) 2</w:t>
            </w:r>
            <w:r>
              <w:t> </w:t>
            </w:r>
            <w:r w:rsidRPr="00F17A6E">
              <w:t>straipsnio i punktas pakeičiamas taip: „i) „naftos atsargos“</w:t>
            </w:r>
            <w:r>
              <w:t xml:space="preserve"> </w:t>
            </w:r>
            <w:r w:rsidRPr="00F17A6E">
              <w:t>–</w:t>
            </w:r>
            <w:r>
              <w:t xml:space="preserve"> </w:t>
            </w:r>
            <w:r w:rsidRPr="00F17A6E">
              <w:t>energetikos produktų, išvardytų Reglamento (EB) Nr.</w:t>
            </w:r>
            <w:r>
              <w:t> </w:t>
            </w:r>
            <w:r w:rsidRPr="00F17A6E">
              <w:t>1099/2008 A priedo 3.4 skyriuje, atsargos;“</w:t>
            </w:r>
          </w:p>
        </w:tc>
        <w:tc>
          <w:tcPr>
            <w:tcW w:w="4819" w:type="dxa"/>
          </w:tcPr>
          <w:p w14:paraId="57DC828E" w14:textId="0D457EAE" w:rsidR="000E23C3" w:rsidRDefault="00547EC8" w:rsidP="000E23C3">
            <w:pPr>
              <w:pStyle w:val="NormalWeb"/>
              <w:tabs>
                <w:tab w:val="left" w:pos="993"/>
              </w:tabs>
              <w:spacing w:before="0" w:beforeAutospacing="0" w:after="0" w:afterAutospacing="0"/>
              <w:jc w:val="both"/>
              <w:rPr>
                <w:b/>
              </w:rPr>
            </w:pPr>
            <w:r>
              <w:rPr>
                <w:b/>
              </w:rPr>
              <w:t>Įstatymo</w:t>
            </w:r>
            <w:r w:rsidRPr="00EC6DA9">
              <w:rPr>
                <w:b/>
              </w:rPr>
              <w:t xml:space="preserve"> </w:t>
            </w:r>
            <w:r w:rsidR="000E23C3" w:rsidRPr="00EC6DA9">
              <w:rPr>
                <w:b/>
              </w:rPr>
              <w:t>projektas</w:t>
            </w:r>
          </w:p>
          <w:p w14:paraId="46C48AC7" w14:textId="77777777" w:rsidR="002C3540" w:rsidRDefault="002C3540" w:rsidP="000E23C3">
            <w:pPr>
              <w:pStyle w:val="NormalWeb"/>
              <w:tabs>
                <w:tab w:val="left" w:pos="993"/>
              </w:tabs>
              <w:spacing w:before="0" w:beforeAutospacing="0" w:after="0" w:afterAutospacing="0"/>
              <w:jc w:val="both"/>
              <w:rPr>
                <w:b/>
              </w:rPr>
            </w:pPr>
          </w:p>
          <w:p w14:paraId="130B8D78" w14:textId="77777777" w:rsidR="00406AEA" w:rsidRDefault="00406AEA" w:rsidP="00406AEA">
            <w:pPr>
              <w:spacing w:line="276" w:lineRule="auto"/>
              <w:jc w:val="both"/>
              <w:rPr>
                <w:b/>
                <w:bCs/>
              </w:rPr>
            </w:pPr>
            <w:r w:rsidRPr="00406AEA">
              <w:rPr>
                <w:b/>
                <w:bCs/>
              </w:rPr>
              <w:t>1 straipsnis. 2 straipsnio pakeitimas</w:t>
            </w:r>
          </w:p>
          <w:p w14:paraId="027C243D" w14:textId="77777777" w:rsidR="009270B6" w:rsidRPr="00406AEA" w:rsidRDefault="009270B6" w:rsidP="00406AEA">
            <w:pPr>
              <w:spacing w:line="276" w:lineRule="auto"/>
              <w:jc w:val="both"/>
              <w:rPr>
                <w:b/>
                <w:bCs/>
              </w:rPr>
            </w:pPr>
          </w:p>
          <w:p w14:paraId="3D3EF21C" w14:textId="77777777" w:rsidR="00406AEA" w:rsidRDefault="00406AEA" w:rsidP="007F76C8">
            <w:pPr>
              <w:spacing w:line="276" w:lineRule="auto"/>
              <w:jc w:val="both"/>
              <w:rPr>
                <w:lang w:eastAsia="en-US"/>
              </w:rPr>
            </w:pPr>
            <w:r w:rsidRPr="00406AEA">
              <w:t>Pakeisti 2</w:t>
            </w:r>
            <w:r w:rsidRPr="00406AEA">
              <w:rPr>
                <w:lang w:eastAsia="en-US"/>
              </w:rPr>
              <w:t xml:space="preserve"> straipsnio 7 dalį ir ją išdėstyti taip:</w:t>
            </w:r>
          </w:p>
          <w:p w14:paraId="6C1AD79C" w14:textId="7F65A9E7" w:rsidR="00552DAD" w:rsidRPr="00EC6DA9" w:rsidRDefault="009270B6" w:rsidP="004B3D29">
            <w:pPr>
              <w:pStyle w:val="NoSpacing"/>
              <w:jc w:val="both"/>
              <w:rPr>
                <w:b/>
              </w:rPr>
            </w:pPr>
            <w:r w:rsidRPr="009270B6">
              <w:t>„7. Naftos produktų ir naftos atsargos (toliau – atsargos) – energetikos produktų, nurodytų 2008 m. spalio 22 d. Europos Parlamento ir Tarybos reglamento (EB) Nr. 1099/2008 dėl energetikos statistikos (OL 2008 L 304, p. 1) (toliau – Reglamentas (EB) Nr. 1099/2008</w:t>
            </w:r>
            <w:r w:rsidRPr="00281098">
              <w:t>)</w:t>
            </w:r>
            <w:r w:rsidRPr="00281098">
              <w:rPr>
                <w:strike/>
              </w:rPr>
              <w:t xml:space="preserve"> C priedo 3.1 skirsnio pirmoje pastraipoje</w:t>
            </w:r>
            <w:r w:rsidRPr="00281098">
              <w:rPr>
                <w:b/>
                <w:bCs/>
              </w:rPr>
              <w:t xml:space="preserve"> A priedo 3.4 skyriuje</w:t>
            </w:r>
            <w:r w:rsidRPr="009270B6">
              <w:t>, atsargos, įskaitant specialiąsias naftos produktų atsargas.“</w:t>
            </w:r>
            <w:bookmarkStart w:id="1" w:name="part_07214e677c8448358f00a0aa9b75f65e"/>
            <w:bookmarkEnd w:id="1"/>
          </w:p>
        </w:tc>
        <w:tc>
          <w:tcPr>
            <w:tcW w:w="2263" w:type="dxa"/>
          </w:tcPr>
          <w:p w14:paraId="5CCE6325" w14:textId="1C20FF2A" w:rsidR="00552DAD" w:rsidRPr="00CF3ABF" w:rsidRDefault="00D527A7" w:rsidP="002C05A6">
            <w:r>
              <w:t>Visiškai įgyvendinta</w:t>
            </w:r>
          </w:p>
        </w:tc>
      </w:tr>
      <w:tr w:rsidR="00552DAD" w:rsidRPr="00EC6DA9" w14:paraId="189B2004" w14:textId="77777777" w:rsidTr="00AF40EC">
        <w:tc>
          <w:tcPr>
            <w:tcW w:w="2547" w:type="dxa"/>
          </w:tcPr>
          <w:p w14:paraId="308BBBA0" w14:textId="0478F017" w:rsidR="00552DAD" w:rsidRPr="007869A1" w:rsidRDefault="007869A1" w:rsidP="007869A1">
            <w:pPr>
              <w:pStyle w:val="CM4"/>
              <w:jc w:val="both"/>
              <w:rPr>
                <w:rFonts w:ascii="Times New Roman" w:hAnsi="Times New Roman"/>
                <w:bCs/>
                <w:iCs/>
                <w:color w:val="000000"/>
              </w:rPr>
            </w:pPr>
            <w:r w:rsidRPr="007869A1">
              <w:rPr>
                <w:rFonts w:ascii="Times New Roman" w:hAnsi="Times New Roman"/>
                <w:bCs/>
                <w:iCs/>
                <w:color w:val="000000"/>
              </w:rPr>
              <w:t>3) 6 straipsnio 1 dalies antras sakinys pakeičiamas taip: „Tame registre visų pirma pateikiama informacija, reikalinga tiksliai nurodyti sandėliui, perdirbimo įmonei ar saugyklai, kurioje yra atitinkamos atsargos, taip pat jų kiekiui, savininkui ir pobūdžiui pagal Regla</w:t>
            </w:r>
            <w:r w:rsidR="004029A6">
              <w:rPr>
                <w:rFonts w:ascii="Times New Roman" w:hAnsi="Times New Roman"/>
                <w:bCs/>
                <w:iCs/>
                <w:color w:val="000000"/>
              </w:rPr>
              <w:softHyphen/>
            </w:r>
            <w:r w:rsidRPr="007869A1">
              <w:rPr>
                <w:rFonts w:ascii="Times New Roman" w:hAnsi="Times New Roman"/>
                <w:bCs/>
                <w:iCs/>
                <w:color w:val="000000"/>
              </w:rPr>
              <w:t xml:space="preserve">mento (EB) Nr. 1099/2008 A priedo 3.4 </w:t>
            </w:r>
            <w:r w:rsidRPr="007869A1">
              <w:rPr>
                <w:rFonts w:ascii="Times New Roman" w:hAnsi="Times New Roman"/>
                <w:bCs/>
                <w:iCs/>
                <w:color w:val="000000"/>
              </w:rPr>
              <w:lastRenderedPageBreak/>
              <w:t>skyriuje nustatytas kategorijas.“</w:t>
            </w:r>
          </w:p>
        </w:tc>
        <w:tc>
          <w:tcPr>
            <w:tcW w:w="4819" w:type="dxa"/>
          </w:tcPr>
          <w:p w14:paraId="280BE393" w14:textId="77777777" w:rsidR="00497FC4" w:rsidRDefault="00497FC4" w:rsidP="00497FC4">
            <w:pPr>
              <w:pStyle w:val="NormalWeb"/>
              <w:tabs>
                <w:tab w:val="left" w:pos="993"/>
              </w:tabs>
              <w:spacing w:before="0" w:beforeAutospacing="0" w:after="0" w:afterAutospacing="0"/>
              <w:jc w:val="both"/>
              <w:rPr>
                <w:b/>
              </w:rPr>
            </w:pPr>
            <w:r>
              <w:rPr>
                <w:b/>
              </w:rPr>
              <w:lastRenderedPageBreak/>
              <w:t>Įstatymo</w:t>
            </w:r>
            <w:r w:rsidRPr="00EC6DA9">
              <w:rPr>
                <w:b/>
              </w:rPr>
              <w:t xml:space="preserve"> projektas</w:t>
            </w:r>
          </w:p>
          <w:p w14:paraId="7D0CDB9E" w14:textId="77777777" w:rsidR="002C3540" w:rsidRDefault="002C3540" w:rsidP="00497FC4">
            <w:pPr>
              <w:pStyle w:val="NormalWeb"/>
              <w:tabs>
                <w:tab w:val="left" w:pos="993"/>
              </w:tabs>
              <w:spacing w:before="0" w:beforeAutospacing="0" w:after="0" w:afterAutospacing="0"/>
              <w:jc w:val="both"/>
              <w:rPr>
                <w:b/>
              </w:rPr>
            </w:pPr>
          </w:p>
          <w:p w14:paraId="071CDE91" w14:textId="77777777" w:rsidR="00497FC4" w:rsidRDefault="00497FC4" w:rsidP="00497FC4">
            <w:pPr>
              <w:spacing w:line="276" w:lineRule="auto"/>
              <w:jc w:val="both"/>
              <w:rPr>
                <w:b/>
                <w:bCs/>
              </w:rPr>
            </w:pPr>
            <w:r>
              <w:rPr>
                <w:b/>
                <w:bCs/>
              </w:rPr>
              <w:t>5 straipsnis. 21 straipsnio pakeitimas</w:t>
            </w:r>
          </w:p>
          <w:p w14:paraId="715228BE" w14:textId="77777777" w:rsidR="002C3540" w:rsidRDefault="002C3540" w:rsidP="00497FC4">
            <w:pPr>
              <w:spacing w:line="276" w:lineRule="auto"/>
              <w:jc w:val="both"/>
              <w:rPr>
                <w:b/>
                <w:bCs/>
              </w:rPr>
            </w:pPr>
          </w:p>
          <w:p w14:paraId="79931100" w14:textId="77777777" w:rsidR="00497FC4" w:rsidRDefault="00497FC4" w:rsidP="00497FC4">
            <w:pPr>
              <w:spacing w:line="276" w:lineRule="auto"/>
              <w:jc w:val="both"/>
            </w:pPr>
            <w:r>
              <w:t>Pakeisti 21 straipsnio 1 dalį ir ją išdėstyti taip:</w:t>
            </w:r>
          </w:p>
          <w:p w14:paraId="4E18C26C" w14:textId="26E77D75" w:rsidR="009270B6" w:rsidRPr="009270B6" w:rsidRDefault="009270B6" w:rsidP="009270B6">
            <w:pPr>
              <w:pStyle w:val="NoSpacing"/>
              <w:jc w:val="both"/>
            </w:pPr>
            <w:r w:rsidRPr="009270B6">
              <w:t xml:space="preserve"> „1. Agentūra valdo ir tvarko nuolat atnaujinamą ir išsamią atsargų informacinę sistemą, kurioje nurodomi tikslūs konkrečių atsargų kiekiai, pobūdis, savininkai ir sandėliai, perdirbimo įmonės ir saugyklos, kuriuose šios atsargos yra laikomos pagal Reglamento (EB) Nr. 1099/</w:t>
            </w:r>
            <w:r w:rsidRPr="009163F5">
              <w:rPr>
                <w:bCs/>
              </w:rPr>
              <w:t>2008</w:t>
            </w:r>
            <w:r w:rsidRPr="009163F5">
              <w:rPr>
                <w:bCs/>
                <w:strike/>
              </w:rPr>
              <w:t xml:space="preserve"> C priedo 3.1 skirsnio pirmoje pastraipoje</w:t>
            </w:r>
            <w:r w:rsidRPr="009270B6">
              <w:t xml:space="preserve"> </w:t>
            </w:r>
            <w:r w:rsidRPr="009163F5">
              <w:rPr>
                <w:b/>
              </w:rPr>
              <w:t xml:space="preserve">A priedo 3.4 skyriuje </w:t>
            </w:r>
            <w:r w:rsidRPr="009270B6">
              <w:t xml:space="preserve">nustatytas kategorijas, informacija apie atsargų kaupimo ir tvarkymo </w:t>
            </w:r>
            <w:r w:rsidRPr="009270B6">
              <w:lastRenderedPageBreak/>
              <w:t>sąnaudas, taip pat kiti Taisyklėse nurodyti duomenys ir informacija.“</w:t>
            </w:r>
          </w:p>
          <w:p w14:paraId="7BA9B10E" w14:textId="50576516" w:rsidR="009270B6" w:rsidRPr="00EC6DA9" w:rsidRDefault="009270B6" w:rsidP="00497FC4">
            <w:pPr>
              <w:pStyle w:val="NormalWeb"/>
              <w:tabs>
                <w:tab w:val="left" w:pos="993"/>
              </w:tabs>
              <w:spacing w:before="0" w:beforeAutospacing="0" w:after="0" w:afterAutospacing="0"/>
              <w:jc w:val="both"/>
              <w:rPr>
                <w:b/>
              </w:rPr>
            </w:pPr>
          </w:p>
        </w:tc>
        <w:tc>
          <w:tcPr>
            <w:tcW w:w="2263" w:type="dxa"/>
          </w:tcPr>
          <w:p w14:paraId="5182C151" w14:textId="77777777" w:rsidR="006A1026" w:rsidRDefault="006A1026" w:rsidP="006A1026">
            <w:r>
              <w:lastRenderedPageBreak/>
              <w:t xml:space="preserve">Iš dalies </w:t>
            </w:r>
            <w:r w:rsidRPr="00D477B1">
              <w:t>įgyvendinta</w:t>
            </w:r>
          </w:p>
          <w:p w14:paraId="32D9321B" w14:textId="77777777" w:rsidR="006A1026" w:rsidRDefault="006A1026" w:rsidP="006A1026"/>
          <w:p w14:paraId="37FA4E50" w14:textId="6D33B76C" w:rsidR="00552DAD" w:rsidRPr="00F02409" w:rsidRDefault="006A1026" w:rsidP="006A1026">
            <w:pPr>
              <w:jc w:val="both"/>
            </w:pPr>
            <w:r w:rsidRPr="00F02409">
              <w:t>Reikia pakeisti Naftos produktų ir naftos valstybės atsargų sudarymo, reglamentavimo, tvarkymo, kaupimo, naudojimo ir priežiūros taisykles, patvirtintas L</w:t>
            </w:r>
            <w:r w:rsidR="009B30F7">
              <w:t xml:space="preserve">ietuvos </w:t>
            </w:r>
            <w:r w:rsidRPr="00F02409">
              <w:t>R</w:t>
            </w:r>
            <w:r w:rsidR="007366CA">
              <w:t xml:space="preserve">espublikos </w:t>
            </w:r>
            <w:r w:rsidRPr="00F02409">
              <w:t>V</w:t>
            </w:r>
            <w:r w:rsidR="007366CA">
              <w:t>yriausybės</w:t>
            </w:r>
            <w:r w:rsidRPr="00F02409">
              <w:t xml:space="preserve"> 2002 m. gruodžio 5 d. nutarimu Nr. 1901 „Dėl Naftos </w:t>
            </w:r>
            <w:r w:rsidRPr="00F02409">
              <w:lastRenderedPageBreak/>
              <w:t>produktų ir naftos valstybės atsargų sudarymo, reglame</w:t>
            </w:r>
            <w:r w:rsidR="00F02409">
              <w:softHyphen/>
            </w:r>
            <w:r w:rsidRPr="00F02409">
              <w:t>ntavimo, tvarkymo, kaupimo, naudojimo ir priežiūros taisyklių patvirtinimo“</w:t>
            </w:r>
            <w:r w:rsidR="00A86578">
              <w:t>.</w:t>
            </w:r>
          </w:p>
        </w:tc>
      </w:tr>
      <w:tr w:rsidR="00552DAD" w:rsidRPr="00EC6DA9" w14:paraId="457DF695" w14:textId="77777777" w:rsidTr="00AF40EC">
        <w:tc>
          <w:tcPr>
            <w:tcW w:w="2547" w:type="dxa"/>
          </w:tcPr>
          <w:p w14:paraId="6A6434D1" w14:textId="2729E7A4" w:rsidR="00552DAD" w:rsidRPr="005922DA" w:rsidRDefault="005922DA" w:rsidP="002C05A6">
            <w:pPr>
              <w:pStyle w:val="CM4"/>
              <w:jc w:val="both"/>
              <w:rPr>
                <w:rFonts w:ascii="Times New Roman" w:hAnsi="Times New Roman"/>
                <w:bCs/>
                <w:iCs/>
                <w:color w:val="000000"/>
              </w:rPr>
            </w:pPr>
            <w:r w:rsidRPr="005922DA">
              <w:rPr>
                <w:rFonts w:ascii="Times New Roman" w:hAnsi="Times New Roman"/>
                <w:bCs/>
                <w:iCs/>
                <w:color w:val="000000"/>
              </w:rPr>
              <w:lastRenderedPageBreak/>
              <w:t>4) 9 straipsnio 2 dalies pirmas sakinys pakeičiamas taip: „2.</w:t>
            </w:r>
            <w:r>
              <w:rPr>
                <w:rFonts w:ascii="Times New Roman" w:hAnsi="Times New Roman"/>
                <w:bCs/>
                <w:iCs/>
                <w:color w:val="000000"/>
              </w:rPr>
              <w:t xml:space="preserve"> </w:t>
            </w:r>
            <w:r w:rsidRPr="005922DA">
              <w:rPr>
                <w:rFonts w:ascii="Times New Roman" w:hAnsi="Times New Roman"/>
                <w:bCs/>
                <w:iCs/>
                <w:color w:val="000000"/>
              </w:rPr>
              <w:t>Specialiąsias atsargas gali sudaryti tik vienos ar kelių toliau išvardytų kategorijų produktai, apibrėžti Reglamento (EB) Nr. 1099/2008 A priedo 3.4 skyriuje:“;</w:t>
            </w:r>
          </w:p>
        </w:tc>
        <w:tc>
          <w:tcPr>
            <w:tcW w:w="4819" w:type="dxa"/>
          </w:tcPr>
          <w:p w14:paraId="214B36F4" w14:textId="2EC8C715" w:rsidR="00552DAD" w:rsidRPr="002C3540" w:rsidRDefault="002C3540" w:rsidP="003169AE">
            <w:pPr>
              <w:pStyle w:val="NormalWeb"/>
              <w:tabs>
                <w:tab w:val="left" w:pos="993"/>
              </w:tabs>
              <w:spacing w:before="0" w:beforeAutospacing="0" w:after="0" w:afterAutospacing="0"/>
              <w:jc w:val="both"/>
              <w:rPr>
                <w:i/>
              </w:rPr>
            </w:pPr>
            <w:r w:rsidRPr="002C3540">
              <w:rPr>
                <w:i/>
              </w:rPr>
              <w:t xml:space="preserve">Direktyvos nuostatos papildomai perkelti </w:t>
            </w:r>
            <w:r>
              <w:rPr>
                <w:i/>
              </w:rPr>
              <w:t>nereikia</w:t>
            </w:r>
          </w:p>
        </w:tc>
        <w:tc>
          <w:tcPr>
            <w:tcW w:w="2263" w:type="dxa"/>
          </w:tcPr>
          <w:p w14:paraId="4F24CC93" w14:textId="11D39996" w:rsidR="00D527A7" w:rsidRDefault="00D477B1" w:rsidP="00D66AB6">
            <w:pPr>
              <w:pStyle w:val="NormalWeb"/>
              <w:tabs>
                <w:tab w:val="left" w:pos="993"/>
              </w:tabs>
              <w:spacing w:before="0" w:beforeAutospacing="0" w:after="0" w:afterAutospacing="0"/>
              <w:contextualSpacing/>
              <w:jc w:val="both"/>
            </w:pPr>
            <w:r w:rsidRPr="00D477B1">
              <w:t>Visiškai įgyvendinta</w:t>
            </w:r>
            <w:r w:rsidR="00E735D5">
              <w:t xml:space="preserve"> </w:t>
            </w:r>
            <w:r w:rsidR="002C3540" w:rsidRPr="00A805B9">
              <w:rPr>
                <w:b/>
                <w:highlight w:val="yellow"/>
              </w:rPr>
              <w:t xml:space="preserve"> </w:t>
            </w:r>
            <w:r w:rsidR="002C3540" w:rsidRPr="002C3540">
              <w:t>Lietuvos Respublikos naftos produktų ir na</w:t>
            </w:r>
            <w:r w:rsidR="002C3540">
              <w:t>ftos valstybės atsargų įstatymo</w:t>
            </w:r>
            <w:r w:rsidR="002C3540" w:rsidRPr="002C3540">
              <w:t xml:space="preserve"> Nr. IX-986 </w:t>
            </w:r>
            <w:r w:rsidR="00D66AB6">
              <w:t xml:space="preserve"> </w:t>
            </w:r>
            <w:r w:rsidR="002C3540">
              <w:t>6 straipsniu</w:t>
            </w:r>
            <w:r w:rsidR="002C3540" w:rsidRPr="002C3540">
              <w:t>. Kaupiamos atsargos</w:t>
            </w:r>
            <w:r w:rsidR="00D527A7">
              <w:t xml:space="preserve"> </w:t>
            </w:r>
          </w:p>
          <w:p w14:paraId="5D88003C" w14:textId="7410A08B" w:rsidR="00552DAD" w:rsidRPr="00CF3ABF" w:rsidRDefault="00D527A7" w:rsidP="00BF60AB">
            <w:pPr>
              <w:pStyle w:val="NormalWeb"/>
              <w:tabs>
                <w:tab w:val="left" w:pos="993"/>
              </w:tabs>
              <w:spacing w:before="0" w:beforeAutospacing="0" w:after="0" w:afterAutospacing="0"/>
              <w:contextualSpacing/>
              <w:jc w:val="both"/>
            </w:pPr>
            <w:r>
              <w:t>(žr. Direktyvos 2009/119 perkėlimą)</w:t>
            </w:r>
            <w:r w:rsidR="00A86578">
              <w:t>.</w:t>
            </w:r>
          </w:p>
        </w:tc>
      </w:tr>
      <w:tr w:rsidR="000252FB" w:rsidRPr="00EC6DA9" w14:paraId="46B26788" w14:textId="77777777" w:rsidTr="00AF40EC">
        <w:tc>
          <w:tcPr>
            <w:tcW w:w="2547" w:type="dxa"/>
          </w:tcPr>
          <w:p w14:paraId="660BD946" w14:textId="11213ADD" w:rsidR="000252FB" w:rsidRPr="005922DA" w:rsidRDefault="00EC76D4" w:rsidP="002C05A6">
            <w:pPr>
              <w:pStyle w:val="CM4"/>
              <w:jc w:val="both"/>
              <w:rPr>
                <w:rFonts w:ascii="Times New Roman" w:hAnsi="Times New Roman"/>
                <w:bCs/>
                <w:iCs/>
                <w:color w:val="000000"/>
              </w:rPr>
            </w:pPr>
            <w:r>
              <w:rPr>
                <w:rFonts w:ascii="Times New Roman" w:hAnsi="Times New Roman"/>
                <w:b/>
                <w:iCs/>
                <w:color w:val="000000"/>
              </w:rPr>
              <w:t>2</w:t>
            </w:r>
            <w:r w:rsidR="00D736DD" w:rsidRPr="00884580">
              <w:rPr>
                <w:rFonts w:ascii="Times New Roman" w:hAnsi="Times New Roman"/>
                <w:b/>
                <w:iCs/>
                <w:color w:val="000000"/>
              </w:rPr>
              <w:t xml:space="preserve"> straipsnis</w:t>
            </w:r>
          </w:p>
        </w:tc>
        <w:tc>
          <w:tcPr>
            <w:tcW w:w="4819" w:type="dxa"/>
          </w:tcPr>
          <w:p w14:paraId="6F9B454B" w14:textId="77777777" w:rsidR="000252FB" w:rsidRPr="00D477B1" w:rsidRDefault="000252FB" w:rsidP="003169AE">
            <w:pPr>
              <w:pStyle w:val="msonormalcxsplast"/>
              <w:tabs>
                <w:tab w:val="left" w:pos="993"/>
              </w:tabs>
              <w:spacing w:before="0" w:beforeAutospacing="0" w:after="0" w:afterAutospacing="0"/>
              <w:jc w:val="both"/>
              <w:rPr>
                <w:b/>
                <w:highlight w:val="yellow"/>
              </w:rPr>
            </w:pPr>
          </w:p>
        </w:tc>
        <w:tc>
          <w:tcPr>
            <w:tcW w:w="2263" w:type="dxa"/>
          </w:tcPr>
          <w:p w14:paraId="32BE398B" w14:textId="77777777" w:rsidR="000252FB" w:rsidRPr="00D477B1" w:rsidRDefault="000252FB" w:rsidP="002C05A6"/>
        </w:tc>
      </w:tr>
      <w:tr w:rsidR="004B3D29" w:rsidRPr="00EC6DA9" w14:paraId="6F19FB36" w14:textId="77777777" w:rsidTr="00AF40EC">
        <w:tc>
          <w:tcPr>
            <w:tcW w:w="2547" w:type="dxa"/>
          </w:tcPr>
          <w:p w14:paraId="0956D608" w14:textId="7DC5EF87" w:rsidR="004B3D29" w:rsidRDefault="004B3D29" w:rsidP="004B3D29">
            <w:pPr>
              <w:pStyle w:val="CM4"/>
              <w:jc w:val="both"/>
              <w:rPr>
                <w:rFonts w:ascii="Times New Roman" w:hAnsi="Times New Roman"/>
                <w:bCs/>
                <w:iCs/>
                <w:color w:val="000000"/>
              </w:rPr>
            </w:pPr>
            <w:r w:rsidRPr="00EC76D4">
              <w:rPr>
                <w:rFonts w:ascii="Times New Roman" w:hAnsi="Times New Roman"/>
                <w:bCs/>
                <w:iCs/>
                <w:color w:val="000000"/>
              </w:rPr>
              <w:t>1</w:t>
            </w:r>
            <w:r w:rsidRPr="006F17CC">
              <w:rPr>
                <w:rFonts w:ascii="Times New Roman" w:hAnsi="Times New Roman"/>
                <w:bCs/>
                <w:iCs/>
                <w:color w:val="000000"/>
              </w:rPr>
              <w:t>.Valstybės narės ne vėliau kaip iki 2019 m. spalio 19 d. priima ir paskelbia įstatymus ir kitus teisės aktus, būtinus, kad būtų laikomasi šios direktyvos. Jos nedelsdamos pateikia Komisijai tų teisės aktų nuostatų tekstą.</w:t>
            </w:r>
            <w:r w:rsidRPr="00EC76D4">
              <w:rPr>
                <w:rFonts w:ascii="Times New Roman" w:hAnsi="Times New Roman"/>
                <w:bCs/>
                <w:iCs/>
                <w:color w:val="000000"/>
              </w:rPr>
              <w:t xml:space="preserve"> </w:t>
            </w:r>
          </w:p>
          <w:p w14:paraId="2D8304A8" w14:textId="77777777" w:rsidR="004B3D29" w:rsidRPr="00CE36BE" w:rsidRDefault="004B3D29" w:rsidP="004B3D29"/>
          <w:p w14:paraId="179A6CE1" w14:textId="16566931" w:rsidR="004B3D29" w:rsidRDefault="004B3D29" w:rsidP="004B3D29">
            <w:pPr>
              <w:pStyle w:val="CM4"/>
              <w:jc w:val="both"/>
              <w:rPr>
                <w:rFonts w:ascii="Times New Roman" w:hAnsi="Times New Roman"/>
                <w:bCs/>
                <w:iCs/>
                <w:color w:val="000000"/>
              </w:rPr>
            </w:pPr>
            <w:r w:rsidRPr="00EC76D4">
              <w:rPr>
                <w:rFonts w:ascii="Times New Roman" w:hAnsi="Times New Roman"/>
                <w:bCs/>
                <w:iCs/>
                <w:color w:val="000000"/>
              </w:rPr>
              <w:t>Tas nuostatas jos taiko nuo 2020 m. sausio 1 d.</w:t>
            </w:r>
          </w:p>
          <w:p w14:paraId="0C0E2D35" w14:textId="77777777" w:rsidR="004B3D29" w:rsidRPr="00CE36BE" w:rsidRDefault="004B3D29" w:rsidP="004B3D29"/>
          <w:p w14:paraId="399B904B" w14:textId="1A4FADA9" w:rsidR="004B3D29" w:rsidRPr="00EC76D4" w:rsidRDefault="004B3D29" w:rsidP="004B3D29">
            <w:pPr>
              <w:pStyle w:val="CM4"/>
              <w:jc w:val="both"/>
              <w:rPr>
                <w:rFonts w:ascii="Times New Roman" w:hAnsi="Times New Roman"/>
                <w:bCs/>
                <w:iCs/>
                <w:color w:val="000000"/>
              </w:rPr>
            </w:pPr>
            <w:r w:rsidRPr="00EC76D4">
              <w:rPr>
                <w:rFonts w:ascii="Times New Roman" w:hAnsi="Times New Roman"/>
                <w:bCs/>
                <w:iCs/>
                <w:color w:val="000000"/>
              </w:rPr>
              <w:t>Valstybės narės, priimdamos tas nuostatas, daro jose nuorodą į šią direktyvą arba tokia nuoroda daroma jas oficialiai skelbiant. Nuorodos darymo tvarką nustato valstybės narės.</w:t>
            </w:r>
          </w:p>
        </w:tc>
        <w:tc>
          <w:tcPr>
            <w:tcW w:w="4819" w:type="dxa"/>
          </w:tcPr>
          <w:p w14:paraId="05A5EFB1" w14:textId="77777777" w:rsidR="004B3D29" w:rsidRDefault="004B3D29" w:rsidP="004B3D29">
            <w:pPr>
              <w:pStyle w:val="NormalWeb"/>
              <w:tabs>
                <w:tab w:val="left" w:pos="993"/>
              </w:tabs>
              <w:spacing w:before="0" w:beforeAutospacing="0" w:after="0" w:afterAutospacing="0"/>
              <w:jc w:val="both"/>
              <w:rPr>
                <w:b/>
              </w:rPr>
            </w:pPr>
            <w:r w:rsidRPr="007D2B9C">
              <w:rPr>
                <w:b/>
              </w:rPr>
              <w:t>Įstatymo projektas</w:t>
            </w:r>
          </w:p>
          <w:p w14:paraId="77F1F409" w14:textId="77777777" w:rsidR="004B3D29" w:rsidRPr="007D2B9C" w:rsidRDefault="004B3D29" w:rsidP="004B3D29">
            <w:pPr>
              <w:pStyle w:val="NormalWeb"/>
              <w:tabs>
                <w:tab w:val="left" w:pos="993"/>
              </w:tabs>
              <w:spacing w:before="0" w:beforeAutospacing="0" w:after="0" w:afterAutospacing="0"/>
              <w:jc w:val="both"/>
              <w:rPr>
                <w:b/>
              </w:rPr>
            </w:pPr>
          </w:p>
          <w:p w14:paraId="2FE96703" w14:textId="77777777" w:rsidR="004B3D29" w:rsidRDefault="004B3D29" w:rsidP="004B3D29">
            <w:pPr>
              <w:pStyle w:val="msonormalcxsplast"/>
              <w:tabs>
                <w:tab w:val="left" w:pos="993"/>
              </w:tabs>
              <w:spacing w:before="0" w:beforeAutospacing="0" w:after="0" w:afterAutospacing="0"/>
              <w:rPr>
                <w:b/>
              </w:rPr>
            </w:pPr>
            <w:r w:rsidRPr="007D2B9C">
              <w:rPr>
                <w:b/>
              </w:rPr>
              <w:t>6 straipsnis. Įstatymo priedo pakeitimas</w:t>
            </w:r>
          </w:p>
          <w:p w14:paraId="182BF695" w14:textId="77777777" w:rsidR="004B3D29" w:rsidRPr="007D2B9C" w:rsidRDefault="004B3D29" w:rsidP="004B3D29">
            <w:pPr>
              <w:pStyle w:val="msonormalcxsplast"/>
              <w:tabs>
                <w:tab w:val="left" w:pos="993"/>
              </w:tabs>
              <w:spacing w:before="0" w:beforeAutospacing="0" w:after="0" w:afterAutospacing="0"/>
              <w:rPr>
                <w:b/>
              </w:rPr>
            </w:pPr>
          </w:p>
          <w:p w14:paraId="2821A13A" w14:textId="77777777" w:rsidR="004B3D29" w:rsidRPr="007D2B9C" w:rsidRDefault="004B3D29" w:rsidP="004B3D29">
            <w:pPr>
              <w:pStyle w:val="msonormalcxsplast"/>
              <w:tabs>
                <w:tab w:val="left" w:pos="993"/>
              </w:tabs>
              <w:spacing w:before="0" w:beforeAutospacing="0" w:after="0" w:afterAutospacing="0"/>
              <w:rPr>
                <w:bCs/>
              </w:rPr>
            </w:pPr>
            <w:r w:rsidRPr="007D2B9C">
              <w:rPr>
                <w:bCs/>
              </w:rPr>
              <w:t>Papildyti Įstatymo priedą 2 punktu:</w:t>
            </w:r>
          </w:p>
          <w:p w14:paraId="2D32FE52" w14:textId="77777777" w:rsidR="004B3D29" w:rsidRPr="009270B6" w:rsidRDefault="004B3D29" w:rsidP="004B3D29">
            <w:pPr>
              <w:pStyle w:val="msonormalcxsplast"/>
              <w:tabs>
                <w:tab w:val="left" w:pos="993"/>
              </w:tabs>
              <w:spacing w:before="0" w:beforeAutospacing="0" w:after="0" w:afterAutospacing="0"/>
              <w:jc w:val="both"/>
              <w:rPr>
                <w:b/>
                <w:bCs/>
              </w:rPr>
            </w:pPr>
            <w:r w:rsidRPr="007D2B9C">
              <w:rPr>
                <w:bCs/>
              </w:rPr>
              <w:t>„</w:t>
            </w:r>
            <w:r w:rsidRPr="00432A24">
              <w:rPr>
                <w:b/>
              </w:rPr>
              <w:t xml:space="preserve">2. </w:t>
            </w:r>
            <w:r w:rsidRPr="009270B6">
              <w:rPr>
                <w:b/>
                <w:bCs/>
              </w:rPr>
              <w:t>2018 m. spalio 19 d. Komisijos įgyvendinimo direktyva (ES) 2018/1581, kuria iš dalies keičiamos Tarybos direktyvos 2009/119/EB nuostatos dėl atsargų saugojimo įpareigojimų apskaičiavimo metodų (OL 2018 L 263, p. 57).</w:t>
            </w:r>
            <w:r w:rsidRPr="00EB1130">
              <w:t>“</w:t>
            </w:r>
          </w:p>
          <w:p w14:paraId="185357DF" w14:textId="77777777" w:rsidR="004B3D29" w:rsidRPr="007D2B9C" w:rsidRDefault="004B3D29" w:rsidP="004B3D29">
            <w:pPr>
              <w:pStyle w:val="msonormalcxsplast"/>
              <w:tabs>
                <w:tab w:val="left" w:pos="993"/>
              </w:tabs>
              <w:spacing w:before="0" w:beforeAutospacing="0" w:after="0" w:afterAutospacing="0"/>
              <w:rPr>
                <w:bCs/>
              </w:rPr>
            </w:pPr>
          </w:p>
          <w:p w14:paraId="505ED5CF" w14:textId="6E179724" w:rsidR="004B3D29" w:rsidRDefault="004B3D29" w:rsidP="004B3D29">
            <w:pPr>
              <w:pStyle w:val="msonormalcxsplast"/>
              <w:tabs>
                <w:tab w:val="left" w:pos="993"/>
              </w:tabs>
              <w:spacing w:before="0" w:beforeAutospacing="0" w:after="0" w:afterAutospacing="0"/>
              <w:rPr>
                <w:b/>
              </w:rPr>
            </w:pPr>
            <w:r w:rsidRPr="007D2B9C">
              <w:rPr>
                <w:b/>
              </w:rPr>
              <w:t>7 straipsnis. Įstatymo įsigaliojimas</w:t>
            </w:r>
            <w:r w:rsidR="007D5FFE">
              <w:rPr>
                <w:b/>
              </w:rPr>
              <w:t xml:space="preserve">, taikymas </w:t>
            </w:r>
            <w:r w:rsidRPr="007D2B9C">
              <w:rPr>
                <w:b/>
              </w:rPr>
              <w:t>ir įgyvendinimas</w:t>
            </w:r>
          </w:p>
          <w:p w14:paraId="699F6899" w14:textId="77777777" w:rsidR="004B3D29" w:rsidRPr="007D2B9C" w:rsidRDefault="004B3D29" w:rsidP="004B3D29">
            <w:pPr>
              <w:pStyle w:val="msonormalcxsplast"/>
              <w:tabs>
                <w:tab w:val="left" w:pos="993"/>
              </w:tabs>
              <w:spacing w:before="0" w:beforeAutospacing="0" w:after="0" w:afterAutospacing="0"/>
              <w:rPr>
                <w:b/>
              </w:rPr>
            </w:pPr>
          </w:p>
          <w:p w14:paraId="4EA8C11A" w14:textId="1C1A3766" w:rsidR="004B3D29" w:rsidRDefault="004B3D29" w:rsidP="004B3D29">
            <w:pPr>
              <w:pStyle w:val="msonormalcxsplast"/>
              <w:tabs>
                <w:tab w:val="left" w:pos="993"/>
              </w:tabs>
              <w:spacing w:before="0" w:beforeAutospacing="0" w:after="0" w:afterAutospacing="0"/>
              <w:jc w:val="both"/>
              <w:rPr>
                <w:bCs/>
              </w:rPr>
            </w:pPr>
            <w:r w:rsidRPr="007D2B9C">
              <w:rPr>
                <w:bCs/>
              </w:rPr>
              <w:t xml:space="preserve">1. Šis įstatymas, išskyrus šio įstatymo </w:t>
            </w:r>
            <w:r w:rsidR="00345731">
              <w:t xml:space="preserve">2, 4 </w:t>
            </w:r>
            <w:r w:rsidRPr="007D2B9C">
              <w:rPr>
                <w:bCs/>
              </w:rPr>
              <w:t xml:space="preserve">ir </w:t>
            </w:r>
            <w:r w:rsidR="00345731">
              <w:rPr>
                <w:bCs/>
              </w:rPr>
              <w:t>6</w:t>
            </w:r>
            <w:r w:rsidRPr="007D2B9C">
              <w:rPr>
                <w:bCs/>
              </w:rPr>
              <w:t xml:space="preserve"> straipsnius ir šio straipsnio </w:t>
            </w:r>
            <w:r w:rsidR="00345731">
              <w:rPr>
                <w:bCs/>
              </w:rPr>
              <w:t>3</w:t>
            </w:r>
            <w:r w:rsidRPr="007D2B9C">
              <w:rPr>
                <w:bCs/>
              </w:rPr>
              <w:t xml:space="preserve"> ir </w:t>
            </w:r>
            <w:r w:rsidR="00345731">
              <w:rPr>
                <w:bCs/>
              </w:rPr>
              <w:t>4</w:t>
            </w:r>
            <w:r w:rsidRPr="007D2B9C">
              <w:rPr>
                <w:bCs/>
              </w:rPr>
              <w:t xml:space="preserve"> dalis, įsigalioja 2020 m. sausio 1 d.</w:t>
            </w:r>
          </w:p>
          <w:p w14:paraId="07AC1C87" w14:textId="77777777" w:rsidR="004B3D29" w:rsidRPr="003169AE" w:rsidRDefault="004B3D29" w:rsidP="004B3D29">
            <w:pPr>
              <w:pStyle w:val="NormalWeb"/>
              <w:tabs>
                <w:tab w:val="left" w:pos="993"/>
              </w:tabs>
              <w:spacing w:before="0" w:beforeAutospacing="0" w:after="0" w:afterAutospacing="0"/>
              <w:contextualSpacing/>
              <w:jc w:val="both"/>
            </w:pPr>
            <w:r w:rsidRPr="003169AE">
              <w:t>&lt;...&gt;</w:t>
            </w:r>
          </w:p>
          <w:p w14:paraId="1FFB527B" w14:textId="51E5D5B5" w:rsidR="004B3D29" w:rsidRPr="00D477B1" w:rsidRDefault="001A5BA9" w:rsidP="004B3D29">
            <w:pPr>
              <w:pStyle w:val="msonormalcxsplast"/>
              <w:tabs>
                <w:tab w:val="left" w:pos="993"/>
              </w:tabs>
              <w:spacing w:before="0" w:beforeAutospacing="0" w:after="0" w:afterAutospacing="0"/>
              <w:jc w:val="both"/>
              <w:rPr>
                <w:b/>
                <w:highlight w:val="yellow"/>
              </w:rPr>
            </w:pPr>
            <w:r>
              <w:rPr>
                <w:szCs w:val="22"/>
              </w:rPr>
              <w:t>4</w:t>
            </w:r>
            <w:r w:rsidR="004B3D29">
              <w:rPr>
                <w:szCs w:val="22"/>
              </w:rPr>
              <w:t xml:space="preserve">. Lietuvos Respublikos Vyriausybė ir jos įgaliotos institucijos iki 2019 m. spalio 19 d. priima šio įstatymo įgyvendinamuosius teisės aktus. </w:t>
            </w:r>
          </w:p>
        </w:tc>
        <w:tc>
          <w:tcPr>
            <w:tcW w:w="2263" w:type="dxa"/>
          </w:tcPr>
          <w:p w14:paraId="7AD6B245" w14:textId="77777777" w:rsidR="004B3D29" w:rsidRDefault="004B3D29" w:rsidP="004B3D29">
            <w:r>
              <w:t xml:space="preserve">Iš dalies </w:t>
            </w:r>
            <w:r w:rsidRPr="00D477B1">
              <w:t>įgyvendinta</w:t>
            </w:r>
          </w:p>
          <w:p w14:paraId="1982074E" w14:textId="77777777" w:rsidR="004B3D29" w:rsidRDefault="004B3D29" w:rsidP="004B3D29"/>
          <w:p w14:paraId="07980C3B" w14:textId="040058B5" w:rsidR="004B3D29" w:rsidRPr="00D477B1" w:rsidRDefault="004B3D29" w:rsidP="004B3D29">
            <w:pPr>
              <w:jc w:val="both"/>
            </w:pPr>
            <w:r w:rsidRPr="00F02409">
              <w:t>Reikia pakeisti Naftos produktų ir naftos valstybės atsargų sudarymo, reglamentavimo, tvarkymo, kaupi</w:t>
            </w:r>
            <w:r>
              <w:softHyphen/>
            </w:r>
            <w:r w:rsidRPr="00F02409">
              <w:t xml:space="preserve">mo, naudojimo ir priežiūros taisykles, patvirtintas </w:t>
            </w:r>
            <w:r w:rsidR="00C4184C" w:rsidRPr="00F02409">
              <w:t>L</w:t>
            </w:r>
            <w:r w:rsidR="00C4184C">
              <w:t xml:space="preserve">ietuvos </w:t>
            </w:r>
            <w:r w:rsidR="00C4184C" w:rsidRPr="00F02409">
              <w:t>R</w:t>
            </w:r>
            <w:r w:rsidR="00C4184C">
              <w:t xml:space="preserve">espublikos </w:t>
            </w:r>
            <w:r w:rsidR="00C4184C" w:rsidRPr="00F02409">
              <w:t>V</w:t>
            </w:r>
            <w:r w:rsidR="00C4184C">
              <w:t>yriausybės</w:t>
            </w:r>
            <w:r w:rsidR="00C4184C" w:rsidRPr="00F02409">
              <w:t xml:space="preserve"> </w:t>
            </w:r>
            <w:r w:rsidRPr="00F02409">
              <w:t>2002 m. gruodžio 5 d. nutarimu Nr. 1901 „Dėl Naftos produktų ir naftos valstybės atsargų sudarymo, reglame</w:t>
            </w:r>
            <w:r>
              <w:softHyphen/>
            </w:r>
            <w:r w:rsidRPr="00F02409">
              <w:t>ntavimo, tvarkymo, kaupimo, naudojimo ir priežiūros taisyklių patvirtinimo“</w:t>
            </w:r>
            <w:r w:rsidR="00C4184C">
              <w:t xml:space="preserve">. </w:t>
            </w:r>
          </w:p>
        </w:tc>
      </w:tr>
    </w:tbl>
    <w:p w14:paraId="17DBD9AE" w14:textId="77777777" w:rsidR="00BF0015" w:rsidRPr="00EC6DA9" w:rsidRDefault="00BF0015" w:rsidP="00BF0015"/>
    <w:p w14:paraId="683A9F82" w14:textId="77777777" w:rsidR="00BF0015" w:rsidRPr="00EC6DA9" w:rsidRDefault="00BF0015" w:rsidP="00BF0015"/>
    <w:p w14:paraId="2C061A04" w14:textId="77777777" w:rsidR="00BF0015" w:rsidRPr="00EC6DA9" w:rsidRDefault="00BF0015" w:rsidP="00BF0015">
      <w:pPr>
        <w:jc w:val="center"/>
      </w:pPr>
      <w:r w:rsidRPr="00EC6DA9">
        <w:t>____________________________________</w:t>
      </w:r>
    </w:p>
    <w:p w14:paraId="0120D27D" w14:textId="77777777" w:rsidR="00BF0015" w:rsidRDefault="00BF0015" w:rsidP="00BF0015"/>
    <w:p w14:paraId="6337C060" w14:textId="77777777" w:rsidR="00BF0015" w:rsidRDefault="00BF0015"/>
    <w:p w14:paraId="6CDC2134" w14:textId="77777777" w:rsidR="00BF0015" w:rsidRDefault="00BF0015"/>
    <w:p w14:paraId="53F2B6A2" w14:textId="77777777" w:rsidR="00BF0015" w:rsidRDefault="00BF0015"/>
    <w:sectPr w:rsidR="00BF0015" w:rsidSect="00F5151A">
      <w:headerReference w:type="default" r:id="rId6"/>
      <w:pgSz w:w="11907" w:h="16840" w:code="9"/>
      <w:pgMar w:top="1135"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BAD0B" w14:textId="77777777" w:rsidR="00E00D91" w:rsidRDefault="00E00D91" w:rsidP="00F5151A">
      <w:r>
        <w:separator/>
      </w:r>
    </w:p>
  </w:endnote>
  <w:endnote w:type="continuationSeparator" w:id="0">
    <w:p w14:paraId="62D403D2" w14:textId="77777777" w:rsidR="00E00D91" w:rsidRDefault="00E00D91" w:rsidP="00F5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7ADE0" w14:textId="77777777" w:rsidR="00E00D91" w:rsidRDefault="00E00D91" w:rsidP="00F5151A">
      <w:r>
        <w:separator/>
      </w:r>
    </w:p>
  </w:footnote>
  <w:footnote w:type="continuationSeparator" w:id="0">
    <w:p w14:paraId="6E7393E3" w14:textId="77777777" w:rsidR="00E00D91" w:rsidRDefault="00E00D91" w:rsidP="00F5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550958"/>
      <w:docPartObj>
        <w:docPartGallery w:val="Page Numbers (Top of Page)"/>
        <w:docPartUnique/>
      </w:docPartObj>
    </w:sdtPr>
    <w:sdtEndPr/>
    <w:sdtContent>
      <w:p w14:paraId="440AAD86" w14:textId="3C68F543" w:rsidR="00F5151A" w:rsidRDefault="00F5151A">
        <w:pPr>
          <w:pStyle w:val="Header"/>
          <w:jc w:val="center"/>
        </w:pPr>
        <w:r>
          <w:fldChar w:fldCharType="begin"/>
        </w:r>
        <w:r>
          <w:instrText>PAGE   \* MERGEFORMAT</w:instrText>
        </w:r>
        <w:r>
          <w:fldChar w:fldCharType="separate"/>
        </w:r>
        <w:r>
          <w:t>2</w:t>
        </w:r>
        <w:r>
          <w:fldChar w:fldCharType="end"/>
        </w:r>
      </w:p>
    </w:sdtContent>
  </w:sdt>
  <w:p w14:paraId="60304817" w14:textId="77777777" w:rsidR="00F5151A" w:rsidRDefault="00F515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15"/>
    <w:rsid w:val="00011E90"/>
    <w:rsid w:val="000252FB"/>
    <w:rsid w:val="0003112D"/>
    <w:rsid w:val="000A56FF"/>
    <w:rsid w:val="000E23C3"/>
    <w:rsid w:val="001A31CA"/>
    <w:rsid w:val="001A5BA9"/>
    <w:rsid w:val="00274448"/>
    <w:rsid w:val="00281098"/>
    <w:rsid w:val="00282388"/>
    <w:rsid w:val="002B1BE7"/>
    <w:rsid w:val="002C2DD2"/>
    <w:rsid w:val="002C3540"/>
    <w:rsid w:val="003169AE"/>
    <w:rsid w:val="00345731"/>
    <w:rsid w:val="00355053"/>
    <w:rsid w:val="00370807"/>
    <w:rsid w:val="00371B0F"/>
    <w:rsid w:val="003D0B04"/>
    <w:rsid w:val="003D30B5"/>
    <w:rsid w:val="004029A6"/>
    <w:rsid w:val="00406AEA"/>
    <w:rsid w:val="00432A24"/>
    <w:rsid w:val="00432FF2"/>
    <w:rsid w:val="004969A4"/>
    <w:rsid w:val="00497FC4"/>
    <w:rsid w:val="004A686A"/>
    <w:rsid w:val="004B3D29"/>
    <w:rsid w:val="004C3F19"/>
    <w:rsid w:val="004E2B39"/>
    <w:rsid w:val="005328B4"/>
    <w:rsid w:val="00547EC8"/>
    <w:rsid w:val="00552DAD"/>
    <w:rsid w:val="00562477"/>
    <w:rsid w:val="005840EF"/>
    <w:rsid w:val="005922DA"/>
    <w:rsid w:val="005B34D7"/>
    <w:rsid w:val="005C3651"/>
    <w:rsid w:val="005E20CE"/>
    <w:rsid w:val="006311F4"/>
    <w:rsid w:val="00631B80"/>
    <w:rsid w:val="0066439F"/>
    <w:rsid w:val="00667A14"/>
    <w:rsid w:val="006A1026"/>
    <w:rsid w:val="006B3F79"/>
    <w:rsid w:val="006F17CC"/>
    <w:rsid w:val="00710A3D"/>
    <w:rsid w:val="007173EF"/>
    <w:rsid w:val="007366CA"/>
    <w:rsid w:val="007502CA"/>
    <w:rsid w:val="007869A1"/>
    <w:rsid w:val="007D2B9C"/>
    <w:rsid w:val="007D5FFE"/>
    <w:rsid w:val="007D6C11"/>
    <w:rsid w:val="007F76C8"/>
    <w:rsid w:val="008301F6"/>
    <w:rsid w:val="008447EA"/>
    <w:rsid w:val="0088373E"/>
    <w:rsid w:val="008E538B"/>
    <w:rsid w:val="008E6862"/>
    <w:rsid w:val="009163F5"/>
    <w:rsid w:val="009270B6"/>
    <w:rsid w:val="00981F6A"/>
    <w:rsid w:val="009B30F7"/>
    <w:rsid w:val="00A35E26"/>
    <w:rsid w:val="00A44A80"/>
    <w:rsid w:val="00A805B9"/>
    <w:rsid w:val="00A86578"/>
    <w:rsid w:val="00A963F6"/>
    <w:rsid w:val="00AF40EC"/>
    <w:rsid w:val="00B7175C"/>
    <w:rsid w:val="00B90404"/>
    <w:rsid w:val="00BF0015"/>
    <w:rsid w:val="00BF47D4"/>
    <w:rsid w:val="00BF60AB"/>
    <w:rsid w:val="00C07FF7"/>
    <w:rsid w:val="00C239D6"/>
    <w:rsid w:val="00C25D14"/>
    <w:rsid w:val="00C279CE"/>
    <w:rsid w:val="00C4184C"/>
    <w:rsid w:val="00C75B16"/>
    <w:rsid w:val="00CD4775"/>
    <w:rsid w:val="00CE36BE"/>
    <w:rsid w:val="00CF10B0"/>
    <w:rsid w:val="00CF1669"/>
    <w:rsid w:val="00D477B1"/>
    <w:rsid w:val="00D527A7"/>
    <w:rsid w:val="00D64C8F"/>
    <w:rsid w:val="00D66AB6"/>
    <w:rsid w:val="00D736DD"/>
    <w:rsid w:val="00DA4981"/>
    <w:rsid w:val="00DB36EE"/>
    <w:rsid w:val="00DD35CF"/>
    <w:rsid w:val="00DE4429"/>
    <w:rsid w:val="00E00D91"/>
    <w:rsid w:val="00E1418E"/>
    <w:rsid w:val="00E47C78"/>
    <w:rsid w:val="00E56916"/>
    <w:rsid w:val="00E735D5"/>
    <w:rsid w:val="00E95519"/>
    <w:rsid w:val="00EB1130"/>
    <w:rsid w:val="00EC76D4"/>
    <w:rsid w:val="00ED14CF"/>
    <w:rsid w:val="00F02409"/>
    <w:rsid w:val="00F0769F"/>
    <w:rsid w:val="00F17A6E"/>
    <w:rsid w:val="00F5151A"/>
    <w:rsid w:val="00F524DF"/>
    <w:rsid w:val="00F71EA5"/>
    <w:rsid w:val="00FA7BBA"/>
    <w:rsid w:val="00FC0F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6434"/>
  <w15:chartTrackingRefBased/>
  <w15:docId w15:val="{BF5B7471-4EEA-4F0F-9242-369FBD9F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015"/>
    <w:pPr>
      <w:spacing w:after="0" w:line="240" w:lineRule="auto"/>
    </w:pPr>
    <w:rPr>
      <w:rFonts w:eastAsia="Times New Roman" w:cs="Times New Roman"/>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0015"/>
    <w:pPr>
      <w:spacing w:before="100" w:beforeAutospacing="1" w:after="100" w:afterAutospacing="1"/>
    </w:pPr>
  </w:style>
  <w:style w:type="paragraph" w:customStyle="1" w:styleId="CM4">
    <w:name w:val="CM4"/>
    <w:basedOn w:val="Normal"/>
    <w:next w:val="Normal"/>
    <w:rsid w:val="00BF0015"/>
    <w:pPr>
      <w:autoSpaceDE w:val="0"/>
      <w:autoSpaceDN w:val="0"/>
      <w:adjustRightInd w:val="0"/>
    </w:pPr>
    <w:rPr>
      <w:rFonts w:ascii="EUAlbertina" w:hAnsi="EUAlbertina"/>
    </w:rPr>
  </w:style>
  <w:style w:type="paragraph" w:styleId="Header">
    <w:name w:val="header"/>
    <w:basedOn w:val="Normal"/>
    <w:link w:val="HeaderChar"/>
    <w:uiPriority w:val="99"/>
    <w:unhideWhenUsed/>
    <w:rsid w:val="00497FC4"/>
    <w:pPr>
      <w:tabs>
        <w:tab w:val="center" w:pos="4819"/>
        <w:tab w:val="right" w:pos="9638"/>
      </w:tabs>
    </w:pPr>
    <w:rPr>
      <w:szCs w:val="20"/>
      <w:lang w:eastAsia="en-US"/>
    </w:rPr>
  </w:style>
  <w:style w:type="character" w:customStyle="1" w:styleId="HeaderChar">
    <w:name w:val="Header Char"/>
    <w:basedOn w:val="DefaultParagraphFont"/>
    <w:link w:val="Header"/>
    <w:uiPriority w:val="99"/>
    <w:rsid w:val="00497FC4"/>
    <w:rPr>
      <w:rFonts w:eastAsia="Times New Roman" w:cs="Times New Roman"/>
      <w:szCs w:val="20"/>
      <w:lang w:val="lt-LT"/>
    </w:rPr>
  </w:style>
  <w:style w:type="paragraph" w:customStyle="1" w:styleId="msonormalcxsplast">
    <w:name w:val="msonormalcxsplast"/>
    <w:basedOn w:val="Normal"/>
    <w:rsid w:val="003169AE"/>
    <w:pPr>
      <w:spacing w:before="100" w:beforeAutospacing="1" w:after="100" w:afterAutospacing="1"/>
    </w:pPr>
  </w:style>
  <w:style w:type="paragraph" w:styleId="NoSpacing">
    <w:name w:val="No Spacing"/>
    <w:uiPriority w:val="1"/>
    <w:qFormat/>
    <w:rsid w:val="009270B6"/>
    <w:pPr>
      <w:spacing w:after="0" w:line="240" w:lineRule="auto"/>
    </w:pPr>
    <w:rPr>
      <w:rFonts w:eastAsia="Times New Roman" w:cs="Times New Roman"/>
      <w:szCs w:val="24"/>
      <w:lang w:val="lt-LT" w:eastAsia="lt-LT"/>
    </w:rPr>
  </w:style>
  <w:style w:type="paragraph" w:styleId="Footer">
    <w:name w:val="footer"/>
    <w:basedOn w:val="Normal"/>
    <w:link w:val="FooterChar"/>
    <w:uiPriority w:val="99"/>
    <w:unhideWhenUsed/>
    <w:rsid w:val="00F5151A"/>
    <w:pPr>
      <w:tabs>
        <w:tab w:val="center" w:pos="4819"/>
        <w:tab w:val="right" w:pos="9638"/>
      </w:tabs>
    </w:pPr>
  </w:style>
  <w:style w:type="character" w:customStyle="1" w:styleId="FooterChar">
    <w:name w:val="Footer Char"/>
    <w:basedOn w:val="DefaultParagraphFont"/>
    <w:link w:val="Footer"/>
    <w:uiPriority w:val="99"/>
    <w:rsid w:val="00F5151A"/>
    <w:rPr>
      <w:rFonts w:eastAsia="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3120</Words>
  <Characters>1779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2019-04-19T07:20:00Z</dcterms:created>
  <dc:creator>Lina Svegzdaite</dc:creator>
  <cp:lastModifiedBy>Lina Svegzdaite</cp:lastModifiedBy>
  <dcterms:modified xsi:type="dcterms:W3CDTF">2019-04-19T07:20:00Z</dcterms:modified>
  <cp:revision>2</cp:revision>
</cp:coreProperties>
</file>