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2AA9C" w14:textId="77777777" w:rsidR="00990E2E" w:rsidRDefault="008A08B4" w:rsidP="00990E2E">
      <w:pPr>
        <w:tabs>
          <w:tab w:val="left" w:pos="567"/>
        </w:tabs>
        <w:ind w:left="7371"/>
        <w:jc w:val="both"/>
        <w:rPr>
          <w:b/>
          <w:szCs w:val="22"/>
          <w:lang w:eastAsia="lt-LT"/>
        </w:rPr>
      </w:pPr>
      <w:r>
        <w:rPr>
          <w:b/>
          <w:szCs w:val="22"/>
          <w:lang w:eastAsia="lt-LT"/>
        </w:rPr>
        <w:t>Projekt</w:t>
      </w:r>
      <w:r w:rsidR="009F03E8">
        <w:rPr>
          <w:b/>
          <w:szCs w:val="22"/>
          <w:lang w:eastAsia="lt-LT"/>
        </w:rPr>
        <w:t>o</w:t>
      </w:r>
      <w:r w:rsidR="00990E2E">
        <w:rPr>
          <w:b/>
          <w:szCs w:val="22"/>
          <w:lang w:eastAsia="lt-LT"/>
        </w:rPr>
        <w:t xml:space="preserve"> </w:t>
      </w:r>
    </w:p>
    <w:p w14:paraId="37EC8FD9" w14:textId="551937C1" w:rsidR="002B05C7" w:rsidRPr="00990E2E" w:rsidRDefault="009F03E8" w:rsidP="00990E2E">
      <w:pPr>
        <w:tabs>
          <w:tab w:val="left" w:pos="567"/>
        </w:tabs>
        <w:ind w:left="7371"/>
        <w:jc w:val="both"/>
        <w:rPr>
          <w:b/>
          <w:szCs w:val="22"/>
          <w:lang w:eastAsia="lt-LT"/>
        </w:rPr>
      </w:pPr>
      <w:r>
        <w:rPr>
          <w:b/>
          <w:szCs w:val="22"/>
          <w:lang w:eastAsia="lt-LT"/>
        </w:rPr>
        <w:t>lyginamasis variantas</w:t>
      </w:r>
    </w:p>
    <w:p w14:paraId="260DB944" w14:textId="77777777" w:rsidR="008A08B4" w:rsidRDefault="008A08B4" w:rsidP="00990E2E">
      <w:pPr>
        <w:tabs>
          <w:tab w:val="left" w:pos="567"/>
        </w:tabs>
        <w:ind w:firstLine="567"/>
        <w:jc w:val="center"/>
        <w:rPr>
          <w:szCs w:val="22"/>
          <w:lang w:eastAsia="lt-LT"/>
        </w:rPr>
      </w:pPr>
    </w:p>
    <w:p w14:paraId="65697E40" w14:textId="77777777" w:rsidR="00A82BF0" w:rsidRDefault="00A82BF0" w:rsidP="00A82BF0">
      <w:pPr>
        <w:tabs>
          <w:tab w:val="left" w:pos="567"/>
        </w:tabs>
        <w:jc w:val="center"/>
        <w:rPr>
          <w:szCs w:val="22"/>
          <w:lang w:eastAsia="lt-LT"/>
        </w:rPr>
      </w:pPr>
      <w:r>
        <w:rPr>
          <w:b/>
          <w:szCs w:val="22"/>
          <w:lang w:eastAsia="lt-LT"/>
        </w:rPr>
        <w:t>LIETUVOS RESPUBLIKOS</w:t>
      </w:r>
    </w:p>
    <w:p w14:paraId="1B1D5C2E" w14:textId="6FFEBC17" w:rsidR="00A82BF0" w:rsidRPr="00205BEE" w:rsidRDefault="00A82BF0" w:rsidP="00A82BF0">
      <w:pPr>
        <w:tabs>
          <w:tab w:val="left" w:pos="567"/>
        </w:tabs>
        <w:ind w:firstLine="567"/>
        <w:jc w:val="center"/>
        <w:rPr>
          <w:szCs w:val="22"/>
          <w:lang w:eastAsia="lt-LT"/>
        </w:rPr>
      </w:pPr>
      <w:r>
        <w:rPr>
          <w:b/>
          <w:szCs w:val="22"/>
          <w:lang w:eastAsia="lt-LT"/>
        </w:rPr>
        <w:t>ELEKTROS ENERGETIKOS ĮSTATYMO NR. VIII-1881 3, 6</w:t>
      </w:r>
      <w:r w:rsidR="00F942E5">
        <w:rPr>
          <w:b/>
          <w:szCs w:val="22"/>
          <w:lang w:eastAsia="lt-LT"/>
        </w:rPr>
        <w:t xml:space="preserve">, </w:t>
      </w:r>
      <w:r>
        <w:rPr>
          <w:b/>
          <w:szCs w:val="22"/>
          <w:lang w:eastAsia="lt-LT"/>
        </w:rPr>
        <w:t xml:space="preserve">7 STRAIPSNIŲ, VIENUOLIKTOJO SKIRSNIO PAVADINIMO IR PRIEDO PAKEITIMO </w:t>
      </w:r>
      <w:r w:rsidR="00D47839">
        <w:rPr>
          <w:b/>
          <w:szCs w:val="22"/>
          <w:lang w:eastAsia="lt-LT"/>
        </w:rPr>
        <w:t xml:space="preserve">IR </w:t>
      </w:r>
      <w:r w:rsidR="004B0628">
        <w:rPr>
          <w:b/>
          <w:szCs w:val="22"/>
          <w:lang w:eastAsia="lt-LT"/>
        </w:rPr>
        <w:t>ĮSTATYMO</w:t>
      </w:r>
      <w:r>
        <w:rPr>
          <w:b/>
          <w:szCs w:val="22"/>
          <w:lang w:eastAsia="lt-LT"/>
        </w:rPr>
        <w:t xml:space="preserve"> PAPILDYMO 73</w:t>
      </w:r>
      <w:r>
        <w:rPr>
          <w:b/>
          <w:szCs w:val="22"/>
          <w:vertAlign w:val="superscript"/>
          <w:lang w:eastAsia="lt-LT"/>
        </w:rPr>
        <w:t xml:space="preserve">1 </w:t>
      </w:r>
      <w:r w:rsidR="004B0628">
        <w:rPr>
          <w:b/>
          <w:szCs w:val="22"/>
          <w:lang w:eastAsia="lt-LT"/>
        </w:rPr>
        <w:t>STRAIPSNIU</w:t>
      </w:r>
    </w:p>
    <w:p w14:paraId="50661F03" w14:textId="77777777" w:rsidR="00A82BF0" w:rsidRPr="0072251D" w:rsidRDefault="00A82BF0" w:rsidP="00A82BF0">
      <w:pPr>
        <w:tabs>
          <w:tab w:val="left" w:pos="567"/>
        </w:tabs>
        <w:jc w:val="center"/>
        <w:rPr>
          <w:szCs w:val="22"/>
          <w:lang w:eastAsia="lt-LT"/>
        </w:rPr>
      </w:pPr>
      <w:r>
        <w:rPr>
          <w:b/>
          <w:color w:val="000000"/>
          <w:spacing w:val="20"/>
          <w:szCs w:val="22"/>
          <w:lang w:eastAsia="lt-LT"/>
        </w:rPr>
        <w:t>ĮSTATYMAS</w:t>
      </w:r>
    </w:p>
    <w:p w14:paraId="78C088CF" w14:textId="77777777" w:rsidR="00A82BF0" w:rsidRDefault="00A82BF0" w:rsidP="00A82BF0">
      <w:pPr>
        <w:tabs>
          <w:tab w:val="left" w:pos="567"/>
        </w:tabs>
        <w:ind w:firstLine="567"/>
        <w:jc w:val="center"/>
        <w:rPr>
          <w:color w:val="000000"/>
          <w:spacing w:val="20"/>
          <w:szCs w:val="22"/>
          <w:lang w:eastAsia="lt-LT"/>
        </w:rPr>
      </w:pPr>
    </w:p>
    <w:p w14:paraId="0D4D5B6C" w14:textId="1A82A695" w:rsidR="00A82BF0" w:rsidRDefault="00A82BF0" w:rsidP="00A82BF0">
      <w:pPr>
        <w:tabs>
          <w:tab w:val="left" w:pos="567"/>
        </w:tabs>
        <w:jc w:val="center"/>
        <w:rPr>
          <w:color w:val="000000"/>
          <w:spacing w:val="20"/>
          <w:szCs w:val="22"/>
          <w:lang w:eastAsia="lt-LT"/>
        </w:rPr>
      </w:pPr>
      <w:r>
        <w:rPr>
          <w:color w:val="000000"/>
          <w:szCs w:val="22"/>
          <w:lang w:eastAsia="lt-LT"/>
        </w:rPr>
        <w:t>202</w:t>
      </w:r>
      <w:r w:rsidR="00D47839">
        <w:rPr>
          <w:color w:val="000000"/>
          <w:szCs w:val="22"/>
          <w:lang w:eastAsia="lt-LT"/>
        </w:rPr>
        <w:t>0</w:t>
      </w:r>
      <w:r>
        <w:rPr>
          <w:color w:val="000000"/>
          <w:szCs w:val="22"/>
          <w:lang w:eastAsia="lt-LT"/>
        </w:rPr>
        <w:t xml:space="preserve"> m.</w:t>
      </w:r>
      <w:r>
        <w:rPr>
          <w:color w:val="000000"/>
          <w:spacing w:val="20"/>
          <w:szCs w:val="22"/>
          <w:lang w:eastAsia="lt-LT"/>
        </w:rPr>
        <w:t xml:space="preserve">       </w:t>
      </w:r>
      <w:r>
        <w:rPr>
          <w:color w:val="000000"/>
          <w:spacing w:val="20"/>
          <w:szCs w:val="22"/>
          <w:lang w:eastAsia="lt-LT"/>
        </w:rPr>
        <w:tab/>
        <w:t xml:space="preserve">    d. Nr. </w:t>
      </w:r>
    </w:p>
    <w:p w14:paraId="6BB8F933" w14:textId="77777777" w:rsidR="00A82BF0" w:rsidRDefault="00A82BF0" w:rsidP="00A82BF0">
      <w:pPr>
        <w:tabs>
          <w:tab w:val="left" w:pos="567"/>
        </w:tabs>
        <w:jc w:val="center"/>
        <w:rPr>
          <w:color w:val="000000"/>
          <w:szCs w:val="22"/>
          <w:lang w:eastAsia="lt-LT"/>
        </w:rPr>
      </w:pPr>
      <w:r>
        <w:rPr>
          <w:color w:val="000000"/>
          <w:szCs w:val="22"/>
          <w:lang w:eastAsia="lt-LT"/>
        </w:rPr>
        <w:t>Vilnius</w:t>
      </w:r>
    </w:p>
    <w:p w14:paraId="323D17DC" w14:textId="77777777" w:rsidR="00A82BF0" w:rsidRDefault="00A82BF0" w:rsidP="00A82BF0">
      <w:pPr>
        <w:tabs>
          <w:tab w:val="left" w:pos="567"/>
        </w:tabs>
        <w:jc w:val="both"/>
        <w:rPr>
          <w:b/>
          <w:szCs w:val="24"/>
          <w:lang w:eastAsia="lt-LT"/>
        </w:rPr>
      </w:pPr>
      <w:bookmarkStart w:id="0" w:name="_Hlk20920145"/>
    </w:p>
    <w:p w14:paraId="42A3CAF7" w14:textId="0FF27AAD" w:rsidR="006825F9" w:rsidRPr="00B62E1A" w:rsidRDefault="00A82BF0" w:rsidP="00FC107E">
      <w:pPr>
        <w:tabs>
          <w:tab w:val="left" w:pos="567"/>
        </w:tabs>
        <w:ind w:firstLine="567"/>
        <w:jc w:val="both"/>
        <w:rPr>
          <w:bCs/>
          <w:szCs w:val="24"/>
          <w:lang w:val="en-GB" w:eastAsia="lt-LT"/>
        </w:rPr>
      </w:pPr>
      <w:r w:rsidRPr="00AA2D05">
        <w:rPr>
          <w:b/>
          <w:szCs w:val="24"/>
          <w:lang w:eastAsia="lt-LT"/>
        </w:rPr>
        <w:t>1</w:t>
      </w:r>
      <w:r>
        <w:rPr>
          <w:b/>
          <w:szCs w:val="24"/>
          <w:lang w:eastAsia="lt-LT"/>
        </w:rPr>
        <w:t xml:space="preserve"> straipsnis. 3 straipsnio pakeitimas</w:t>
      </w:r>
    </w:p>
    <w:p w14:paraId="7877382B" w14:textId="43524BF4" w:rsidR="00A82BF0" w:rsidRDefault="00A82BF0" w:rsidP="006825F9">
      <w:pPr>
        <w:tabs>
          <w:tab w:val="left" w:pos="567"/>
        </w:tabs>
        <w:ind w:firstLine="567"/>
        <w:jc w:val="both"/>
        <w:rPr>
          <w:bCs/>
          <w:szCs w:val="24"/>
          <w:lang w:eastAsia="lt-LT"/>
        </w:rPr>
      </w:pPr>
      <w:r>
        <w:rPr>
          <w:bCs/>
          <w:szCs w:val="24"/>
          <w:lang w:eastAsia="lt-LT"/>
        </w:rPr>
        <w:t>Papildyti 3 straipsnį 11 punktu:</w:t>
      </w:r>
    </w:p>
    <w:p w14:paraId="10B2D31E" w14:textId="4738AD27" w:rsidR="00A82BF0" w:rsidRDefault="00A82BF0" w:rsidP="00A82BF0">
      <w:pPr>
        <w:tabs>
          <w:tab w:val="left" w:pos="567"/>
        </w:tabs>
        <w:ind w:firstLine="567"/>
        <w:jc w:val="both"/>
        <w:rPr>
          <w:bCs/>
          <w:szCs w:val="24"/>
          <w:lang w:eastAsia="lt-LT"/>
        </w:rPr>
      </w:pPr>
      <w:r>
        <w:rPr>
          <w:bCs/>
          <w:szCs w:val="24"/>
          <w:lang w:eastAsia="lt-LT"/>
        </w:rPr>
        <w:t>„</w:t>
      </w:r>
      <w:r w:rsidRPr="00A82BF0">
        <w:rPr>
          <w:b/>
          <w:szCs w:val="24"/>
          <w:lang w:eastAsia="lt-LT"/>
        </w:rPr>
        <w:t xml:space="preserve">11) nustatyti pagrindinius elektros energetikos sektoriaus krizių prevencijos, pasiruošimo šioms krizėms ir jų valdymo </w:t>
      </w:r>
      <w:r w:rsidR="00A23B75">
        <w:rPr>
          <w:b/>
          <w:szCs w:val="24"/>
          <w:lang w:eastAsia="lt-LT"/>
        </w:rPr>
        <w:t>teisinius pagrindus</w:t>
      </w:r>
      <w:r w:rsidRPr="00A82BF0">
        <w:rPr>
          <w:b/>
          <w:szCs w:val="24"/>
          <w:lang w:eastAsia="lt-LT"/>
        </w:rPr>
        <w:t>.</w:t>
      </w:r>
      <w:r>
        <w:rPr>
          <w:bCs/>
          <w:szCs w:val="24"/>
          <w:lang w:eastAsia="lt-LT"/>
        </w:rPr>
        <w:t>“</w:t>
      </w:r>
    </w:p>
    <w:p w14:paraId="3759E55D" w14:textId="77777777" w:rsidR="00A82BF0" w:rsidRDefault="00A82BF0" w:rsidP="00A82BF0">
      <w:pPr>
        <w:tabs>
          <w:tab w:val="left" w:pos="567"/>
        </w:tabs>
        <w:jc w:val="both"/>
        <w:rPr>
          <w:b/>
          <w:szCs w:val="24"/>
          <w:lang w:eastAsia="lt-LT"/>
        </w:rPr>
      </w:pPr>
    </w:p>
    <w:p w14:paraId="0EC0F4DC" w14:textId="77777777" w:rsidR="00A82BF0" w:rsidRPr="004562A3" w:rsidRDefault="00A82BF0" w:rsidP="00A82BF0">
      <w:pPr>
        <w:tabs>
          <w:tab w:val="left" w:pos="567"/>
        </w:tabs>
        <w:ind w:firstLine="567"/>
        <w:jc w:val="both"/>
        <w:rPr>
          <w:b/>
          <w:szCs w:val="24"/>
          <w:lang w:eastAsia="lt-LT"/>
        </w:rPr>
      </w:pPr>
      <w:r w:rsidRPr="00AA2D05">
        <w:rPr>
          <w:b/>
          <w:szCs w:val="24"/>
          <w:lang w:eastAsia="lt-LT"/>
        </w:rPr>
        <w:t>2</w:t>
      </w:r>
      <w:r w:rsidRPr="004562A3">
        <w:rPr>
          <w:b/>
          <w:szCs w:val="24"/>
          <w:lang w:eastAsia="lt-LT"/>
        </w:rPr>
        <w:t xml:space="preserve"> straipsnis. </w:t>
      </w:r>
      <w:r>
        <w:rPr>
          <w:b/>
          <w:szCs w:val="24"/>
          <w:lang w:eastAsia="lt-LT"/>
        </w:rPr>
        <w:t>6</w:t>
      </w:r>
      <w:r w:rsidRPr="004562A3">
        <w:rPr>
          <w:b/>
          <w:szCs w:val="24"/>
          <w:lang w:eastAsia="lt-LT"/>
        </w:rPr>
        <w:t xml:space="preserve"> straipsnio pakeitimas</w:t>
      </w:r>
    </w:p>
    <w:p w14:paraId="1B7E47C2" w14:textId="76B1403C" w:rsidR="00A82BF0" w:rsidRPr="00A06B36" w:rsidRDefault="00A82BF0" w:rsidP="00A82BF0">
      <w:pPr>
        <w:pStyle w:val="ListParagraph"/>
        <w:numPr>
          <w:ilvl w:val="0"/>
          <w:numId w:val="4"/>
        </w:numPr>
        <w:tabs>
          <w:tab w:val="left" w:pos="567"/>
        </w:tabs>
        <w:jc w:val="both"/>
        <w:rPr>
          <w:bCs/>
          <w:szCs w:val="24"/>
          <w:lang w:eastAsia="lt-LT"/>
        </w:rPr>
      </w:pPr>
      <w:r w:rsidRPr="00A06B36">
        <w:rPr>
          <w:bCs/>
          <w:szCs w:val="24"/>
          <w:lang w:eastAsia="lt-LT"/>
        </w:rPr>
        <w:t xml:space="preserve">Papildyti </w:t>
      </w:r>
      <w:r>
        <w:rPr>
          <w:bCs/>
          <w:szCs w:val="24"/>
          <w:lang w:eastAsia="lt-LT"/>
        </w:rPr>
        <w:t>6</w:t>
      </w:r>
      <w:r w:rsidRPr="00A06B36">
        <w:rPr>
          <w:bCs/>
          <w:szCs w:val="24"/>
          <w:lang w:eastAsia="lt-LT"/>
        </w:rPr>
        <w:t xml:space="preserve"> straipsn</w:t>
      </w:r>
      <w:r w:rsidR="00BB6345">
        <w:rPr>
          <w:bCs/>
          <w:szCs w:val="24"/>
          <w:lang w:eastAsia="lt-LT"/>
        </w:rPr>
        <w:t>io</w:t>
      </w:r>
      <w:r w:rsidRPr="00A06B36">
        <w:rPr>
          <w:bCs/>
          <w:szCs w:val="24"/>
          <w:lang w:eastAsia="lt-LT"/>
        </w:rPr>
        <w:t xml:space="preserve"> </w:t>
      </w:r>
      <w:r>
        <w:rPr>
          <w:bCs/>
          <w:szCs w:val="24"/>
          <w:lang w:eastAsia="lt-LT"/>
        </w:rPr>
        <w:t xml:space="preserve">1 dalį </w:t>
      </w:r>
      <w:r w:rsidRPr="00A06B36">
        <w:rPr>
          <w:bCs/>
          <w:szCs w:val="24"/>
          <w:lang w:eastAsia="lt-LT"/>
        </w:rPr>
        <w:t>nauju 1</w:t>
      </w:r>
      <w:r>
        <w:rPr>
          <w:bCs/>
          <w:szCs w:val="24"/>
          <w:lang w:eastAsia="lt-LT"/>
        </w:rPr>
        <w:t>0</w:t>
      </w:r>
      <w:r w:rsidRPr="00A06B36">
        <w:rPr>
          <w:bCs/>
          <w:szCs w:val="24"/>
          <w:lang w:eastAsia="lt-LT"/>
        </w:rPr>
        <w:t xml:space="preserve"> punktu:</w:t>
      </w:r>
    </w:p>
    <w:p w14:paraId="56939AEB" w14:textId="295A960E" w:rsidR="00A82BF0" w:rsidRDefault="00A82BF0" w:rsidP="00A82BF0">
      <w:pPr>
        <w:ind w:firstLine="567"/>
        <w:jc w:val="both"/>
        <w:rPr>
          <w:rFonts w:eastAsia="Calibri"/>
          <w:szCs w:val="24"/>
        </w:rPr>
      </w:pPr>
      <w:r w:rsidRPr="00A06B36">
        <w:rPr>
          <w:rFonts w:eastAsia="Calibri"/>
          <w:szCs w:val="24"/>
        </w:rPr>
        <w:t>„</w:t>
      </w:r>
      <w:r w:rsidRPr="00A82BF0">
        <w:rPr>
          <w:rFonts w:eastAsia="Calibri"/>
          <w:b/>
          <w:bCs/>
          <w:szCs w:val="24"/>
        </w:rPr>
        <w:t xml:space="preserve">10) tvirtina </w:t>
      </w:r>
      <w:r w:rsidR="00FA266A">
        <w:rPr>
          <w:b/>
          <w:bCs/>
        </w:rPr>
        <w:t>e</w:t>
      </w:r>
      <w:r w:rsidRPr="00A82BF0">
        <w:rPr>
          <w:b/>
          <w:bCs/>
        </w:rPr>
        <w:t>lektros energijos tiekimo saugumo užtikrinimo priemonių aprašą</w:t>
      </w:r>
      <w:r w:rsidRPr="00A82BF0">
        <w:rPr>
          <w:rFonts w:eastAsia="Calibri"/>
          <w:b/>
          <w:bCs/>
          <w:szCs w:val="24"/>
        </w:rPr>
        <w:t>;</w:t>
      </w:r>
      <w:r w:rsidRPr="00A06B36">
        <w:rPr>
          <w:rFonts w:eastAsia="Calibri"/>
          <w:szCs w:val="24"/>
        </w:rPr>
        <w:t>“</w:t>
      </w:r>
      <w:r w:rsidR="000357DA">
        <w:rPr>
          <w:rFonts w:eastAsia="Calibri"/>
          <w:szCs w:val="24"/>
        </w:rPr>
        <w:t>.</w:t>
      </w:r>
    </w:p>
    <w:p w14:paraId="77AB011C" w14:textId="77777777" w:rsidR="00A82BF0" w:rsidRDefault="00A82BF0" w:rsidP="00A82BF0">
      <w:pPr>
        <w:ind w:firstLine="567"/>
        <w:jc w:val="both"/>
        <w:rPr>
          <w:rFonts w:eastAsia="Calibri"/>
          <w:szCs w:val="24"/>
        </w:rPr>
      </w:pPr>
      <w:r>
        <w:rPr>
          <w:rFonts w:eastAsia="Calibri"/>
          <w:szCs w:val="24"/>
        </w:rPr>
        <w:t>2. Buvusį 6 straipsnio 1 dalies 10 punktą laikyti 11 punktu.</w:t>
      </w:r>
    </w:p>
    <w:p w14:paraId="765683E8" w14:textId="77777777" w:rsidR="00A82BF0" w:rsidRDefault="00A82BF0" w:rsidP="00A82BF0">
      <w:pPr>
        <w:ind w:firstLine="567"/>
        <w:jc w:val="both"/>
        <w:rPr>
          <w:rFonts w:eastAsia="Calibri"/>
          <w:szCs w:val="24"/>
        </w:rPr>
      </w:pPr>
    </w:p>
    <w:p w14:paraId="211B1CE5" w14:textId="77777777" w:rsidR="00E50E71" w:rsidRDefault="00E50E71" w:rsidP="00E50E71">
      <w:pPr>
        <w:ind w:firstLine="567"/>
        <w:jc w:val="both"/>
        <w:rPr>
          <w:rFonts w:eastAsia="Calibri"/>
          <w:szCs w:val="24"/>
        </w:rPr>
      </w:pPr>
      <w:r w:rsidRPr="00AA2D05">
        <w:rPr>
          <w:rFonts w:eastAsia="Calibri"/>
          <w:b/>
          <w:bCs/>
          <w:szCs w:val="24"/>
        </w:rPr>
        <w:t>3</w:t>
      </w:r>
      <w:r>
        <w:rPr>
          <w:rFonts w:eastAsia="Calibri"/>
          <w:b/>
          <w:bCs/>
          <w:szCs w:val="24"/>
        </w:rPr>
        <w:t xml:space="preserve"> straipsnis. 7 straipsnio pakeitimas</w:t>
      </w:r>
      <w:r>
        <w:rPr>
          <w:rFonts w:eastAsia="Calibri"/>
          <w:szCs w:val="24"/>
        </w:rPr>
        <w:t xml:space="preserve"> </w:t>
      </w:r>
    </w:p>
    <w:p w14:paraId="12291839" w14:textId="09A00DF3" w:rsidR="00E50E71" w:rsidRPr="007042D7" w:rsidRDefault="007042D7" w:rsidP="00CB0970">
      <w:pPr>
        <w:ind w:left="567"/>
        <w:jc w:val="both"/>
        <w:rPr>
          <w:rFonts w:eastAsia="Calibri"/>
          <w:szCs w:val="24"/>
        </w:rPr>
      </w:pPr>
      <w:r>
        <w:rPr>
          <w:rFonts w:eastAsia="Calibri"/>
          <w:szCs w:val="24"/>
        </w:rPr>
        <w:t xml:space="preserve">1. </w:t>
      </w:r>
      <w:r w:rsidR="00E50E71" w:rsidRPr="007042D7">
        <w:rPr>
          <w:rFonts w:eastAsia="Calibri"/>
          <w:szCs w:val="24"/>
        </w:rPr>
        <w:t xml:space="preserve">Papildyti 7 straipsnį </w:t>
      </w:r>
      <w:r>
        <w:rPr>
          <w:rFonts w:eastAsia="Calibri"/>
          <w:szCs w:val="24"/>
        </w:rPr>
        <w:t xml:space="preserve">nauju </w:t>
      </w:r>
      <w:r w:rsidR="00E50E71" w:rsidRPr="007042D7">
        <w:rPr>
          <w:rFonts w:eastAsia="Calibri"/>
          <w:szCs w:val="24"/>
        </w:rPr>
        <w:t>1</w:t>
      </w:r>
      <w:r>
        <w:rPr>
          <w:rFonts w:eastAsia="Calibri"/>
          <w:szCs w:val="24"/>
        </w:rPr>
        <w:t>6</w:t>
      </w:r>
      <w:r w:rsidR="00E50E71" w:rsidRPr="007042D7">
        <w:rPr>
          <w:rFonts w:eastAsia="Calibri"/>
          <w:szCs w:val="24"/>
        </w:rPr>
        <w:t xml:space="preserve"> punktu:</w:t>
      </w:r>
    </w:p>
    <w:p w14:paraId="425EFEBB" w14:textId="64577F04" w:rsidR="00E50E71" w:rsidRDefault="00E50E71" w:rsidP="00E50E71">
      <w:pPr>
        <w:ind w:left="567"/>
        <w:jc w:val="both"/>
        <w:rPr>
          <w:rFonts w:eastAsia="Calibri"/>
          <w:szCs w:val="24"/>
        </w:rPr>
      </w:pPr>
      <w:r w:rsidRPr="00A06B36">
        <w:rPr>
          <w:rFonts w:eastAsia="Calibri"/>
          <w:szCs w:val="24"/>
        </w:rPr>
        <w:t>„</w:t>
      </w:r>
      <w:r w:rsidRPr="00137705">
        <w:rPr>
          <w:rFonts w:eastAsia="Calibri"/>
          <w:b/>
          <w:bCs/>
          <w:szCs w:val="24"/>
        </w:rPr>
        <w:t>1</w:t>
      </w:r>
      <w:r w:rsidR="00B7260F">
        <w:rPr>
          <w:rFonts w:eastAsia="Calibri"/>
          <w:b/>
          <w:bCs/>
          <w:szCs w:val="24"/>
        </w:rPr>
        <w:t>6</w:t>
      </w:r>
      <w:r w:rsidRPr="00137705">
        <w:rPr>
          <w:rFonts w:eastAsia="Calibri"/>
          <w:b/>
          <w:bCs/>
          <w:szCs w:val="24"/>
        </w:rPr>
        <w:t xml:space="preserve">) tvirtina </w:t>
      </w:r>
      <w:r w:rsidR="000357DA">
        <w:rPr>
          <w:rFonts w:eastAsia="Calibri"/>
          <w:b/>
          <w:bCs/>
          <w:szCs w:val="24"/>
        </w:rPr>
        <w:t>P</w:t>
      </w:r>
      <w:r w:rsidRPr="00137705">
        <w:rPr>
          <w:rFonts w:eastAsia="Calibri"/>
          <w:b/>
          <w:bCs/>
          <w:szCs w:val="24"/>
        </w:rPr>
        <w:t>asirengimo valdyti riziką elektros energetikos sektoriuje planą;</w:t>
      </w:r>
      <w:r w:rsidRPr="00A06B36">
        <w:rPr>
          <w:rFonts w:eastAsia="Calibri"/>
          <w:szCs w:val="24"/>
        </w:rPr>
        <w:t>“</w:t>
      </w:r>
      <w:r w:rsidR="000357DA">
        <w:rPr>
          <w:rFonts w:eastAsia="Calibri"/>
          <w:szCs w:val="24"/>
        </w:rPr>
        <w:t>.</w:t>
      </w:r>
    </w:p>
    <w:p w14:paraId="09BF9D07" w14:textId="3241D3E6" w:rsidR="00A82BF0" w:rsidRDefault="007042D7" w:rsidP="00E50E71">
      <w:pPr>
        <w:ind w:left="567"/>
        <w:jc w:val="both"/>
        <w:rPr>
          <w:rFonts w:eastAsia="Calibri"/>
          <w:szCs w:val="24"/>
        </w:rPr>
      </w:pPr>
      <w:r>
        <w:rPr>
          <w:rFonts w:eastAsia="Calibri"/>
          <w:szCs w:val="24"/>
        </w:rPr>
        <w:t>2</w:t>
      </w:r>
      <w:r w:rsidR="00E50E71">
        <w:rPr>
          <w:rFonts w:eastAsia="Calibri"/>
          <w:szCs w:val="24"/>
        </w:rPr>
        <w:t xml:space="preserve">. </w:t>
      </w:r>
      <w:r w:rsidR="00E50E71" w:rsidRPr="00A06B36">
        <w:rPr>
          <w:rFonts w:eastAsia="Calibri"/>
          <w:szCs w:val="24"/>
        </w:rPr>
        <w:t>Buvusį 7 straipsnio 16 punktą laikyti 1</w:t>
      </w:r>
      <w:r>
        <w:rPr>
          <w:rFonts w:eastAsia="Calibri"/>
          <w:szCs w:val="24"/>
        </w:rPr>
        <w:t>7</w:t>
      </w:r>
      <w:r w:rsidR="00E50E71" w:rsidRPr="00A06B36">
        <w:rPr>
          <w:rFonts w:eastAsia="Calibri"/>
          <w:szCs w:val="24"/>
        </w:rPr>
        <w:t xml:space="preserve"> punktu.</w:t>
      </w:r>
    </w:p>
    <w:p w14:paraId="22E1AF7B" w14:textId="77777777" w:rsidR="00E50E71" w:rsidRDefault="00E50E71" w:rsidP="00E50E71">
      <w:pPr>
        <w:jc w:val="both"/>
        <w:rPr>
          <w:rFonts w:eastAsia="Calibri"/>
          <w:szCs w:val="24"/>
        </w:rPr>
      </w:pPr>
    </w:p>
    <w:p w14:paraId="16F7DE60" w14:textId="77777777" w:rsidR="00A82BF0" w:rsidRDefault="00A82BF0" w:rsidP="00A82BF0">
      <w:pPr>
        <w:ind w:firstLine="567"/>
        <w:jc w:val="both"/>
        <w:rPr>
          <w:rFonts w:eastAsia="Calibri"/>
          <w:b/>
          <w:bCs/>
          <w:szCs w:val="24"/>
        </w:rPr>
      </w:pPr>
      <w:r w:rsidRPr="00AA2D05">
        <w:rPr>
          <w:rFonts w:eastAsia="Calibri"/>
          <w:b/>
          <w:bCs/>
          <w:szCs w:val="24"/>
        </w:rPr>
        <w:t>4</w:t>
      </w:r>
      <w:r>
        <w:rPr>
          <w:rFonts w:eastAsia="Calibri"/>
          <w:b/>
          <w:bCs/>
          <w:szCs w:val="24"/>
        </w:rPr>
        <w:t xml:space="preserve"> straipsnis. Vienuoliktojo skirsnio pavadinimo pakeitimas</w:t>
      </w:r>
    </w:p>
    <w:p w14:paraId="3E1AD1A1" w14:textId="7C74C6F9" w:rsidR="00A82BF0" w:rsidRDefault="00A82BF0" w:rsidP="00A82BF0">
      <w:pPr>
        <w:ind w:firstLine="567"/>
        <w:jc w:val="both"/>
        <w:rPr>
          <w:rFonts w:eastAsia="Calibri"/>
          <w:szCs w:val="24"/>
        </w:rPr>
      </w:pPr>
      <w:r>
        <w:rPr>
          <w:rFonts w:eastAsia="Calibri"/>
          <w:szCs w:val="24"/>
        </w:rPr>
        <w:t xml:space="preserve">Pakeisti vienuoliktojo skirsnio pavadinimą ir </w:t>
      </w:r>
      <w:r w:rsidR="000357DA">
        <w:rPr>
          <w:rFonts w:eastAsia="Calibri"/>
          <w:szCs w:val="24"/>
        </w:rPr>
        <w:t xml:space="preserve">jį </w:t>
      </w:r>
      <w:r>
        <w:rPr>
          <w:rFonts w:eastAsia="Calibri"/>
          <w:szCs w:val="24"/>
        </w:rPr>
        <w:t>išdėstyti taip:</w:t>
      </w:r>
    </w:p>
    <w:p w14:paraId="25E8F5A4" w14:textId="77777777" w:rsidR="00A82BF0" w:rsidRPr="00A82BF0" w:rsidRDefault="00A82BF0" w:rsidP="00A82BF0">
      <w:pPr>
        <w:jc w:val="center"/>
        <w:rPr>
          <w:rFonts w:eastAsia="Calibri"/>
          <w:szCs w:val="24"/>
        </w:rPr>
      </w:pPr>
      <w:r>
        <w:rPr>
          <w:rFonts w:eastAsia="Calibri"/>
          <w:szCs w:val="24"/>
        </w:rPr>
        <w:t>„</w:t>
      </w:r>
      <w:r w:rsidRPr="00A82BF0">
        <w:rPr>
          <w:rFonts w:eastAsia="Calibri"/>
          <w:szCs w:val="24"/>
        </w:rPr>
        <w:t>VIENUOLIKTASIS SKIRSNIS</w:t>
      </w:r>
    </w:p>
    <w:p w14:paraId="75245A7C" w14:textId="36A74419" w:rsidR="00A82BF0" w:rsidRDefault="00A82BF0" w:rsidP="00A82BF0">
      <w:pPr>
        <w:jc w:val="center"/>
        <w:rPr>
          <w:rFonts w:eastAsia="Calibri"/>
          <w:szCs w:val="24"/>
        </w:rPr>
      </w:pPr>
      <w:r w:rsidRPr="008534A4">
        <w:rPr>
          <w:rFonts w:eastAsia="Calibri"/>
          <w:szCs w:val="24"/>
        </w:rPr>
        <w:t xml:space="preserve">APRŪPINIMO ELEKTROS ENERGIJA NUTRAUKIMAS IR RIBOJIMAS. TECHNINIAI </w:t>
      </w:r>
      <w:r w:rsidRPr="00CC670F">
        <w:rPr>
          <w:rFonts w:eastAsia="Calibri"/>
          <w:strike/>
          <w:szCs w:val="24"/>
        </w:rPr>
        <w:t>IR SAUGUMO</w:t>
      </w:r>
      <w:r w:rsidRPr="008534A4">
        <w:rPr>
          <w:rFonts w:eastAsia="Calibri"/>
          <w:szCs w:val="24"/>
        </w:rPr>
        <w:t xml:space="preserve"> REIKALAVIMAI</w:t>
      </w:r>
      <w:r w:rsidR="00133885">
        <w:rPr>
          <w:rFonts w:eastAsia="Calibri"/>
          <w:b/>
          <w:bCs/>
          <w:szCs w:val="24"/>
        </w:rPr>
        <w:t xml:space="preserve"> IR </w:t>
      </w:r>
      <w:r w:rsidRPr="00A82BF0">
        <w:rPr>
          <w:rFonts w:eastAsia="Calibri"/>
          <w:b/>
          <w:bCs/>
          <w:szCs w:val="24"/>
        </w:rPr>
        <w:t>ELEKTROS ENERGIJOS TIEKIMO SAUGUM</w:t>
      </w:r>
      <w:r w:rsidR="00EF5B27">
        <w:rPr>
          <w:rFonts w:eastAsia="Calibri"/>
          <w:b/>
          <w:bCs/>
          <w:szCs w:val="24"/>
        </w:rPr>
        <w:t>O UŽTIKRINIMAS</w:t>
      </w:r>
      <w:r>
        <w:rPr>
          <w:rFonts w:eastAsia="Calibri"/>
          <w:szCs w:val="24"/>
        </w:rPr>
        <w:t>“</w:t>
      </w:r>
      <w:r w:rsidR="00D47839">
        <w:rPr>
          <w:rFonts w:eastAsia="Calibri"/>
          <w:szCs w:val="24"/>
        </w:rPr>
        <w:t>.</w:t>
      </w:r>
    </w:p>
    <w:p w14:paraId="0EB032F2" w14:textId="77777777" w:rsidR="00A82BF0" w:rsidRDefault="00A82BF0" w:rsidP="00A82BF0">
      <w:pPr>
        <w:jc w:val="center"/>
        <w:rPr>
          <w:rFonts w:eastAsia="Calibri"/>
          <w:szCs w:val="24"/>
        </w:rPr>
      </w:pPr>
    </w:p>
    <w:p w14:paraId="189F36F9" w14:textId="1F5C8E18" w:rsidR="00A82BF0" w:rsidRDefault="00A82BF0" w:rsidP="00A82BF0">
      <w:pPr>
        <w:ind w:firstLine="567"/>
        <w:jc w:val="both"/>
        <w:rPr>
          <w:rFonts w:eastAsia="Calibri"/>
          <w:b/>
          <w:bCs/>
          <w:szCs w:val="24"/>
        </w:rPr>
      </w:pPr>
      <w:r w:rsidRPr="00AA2D05">
        <w:rPr>
          <w:rFonts w:eastAsia="Calibri"/>
          <w:b/>
          <w:bCs/>
          <w:szCs w:val="24"/>
        </w:rPr>
        <w:t>5</w:t>
      </w:r>
      <w:r>
        <w:rPr>
          <w:rFonts w:eastAsia="Calibri"/>
          <w:b/>
          <w:bCs/>
          <w:szCs w:val="24"/>
        </w:rPr>
        <w:t xml:space="preserve"> straipsnis. </w:t>
      </w:r>
      <w:r w:rsidR="0071445C">
        <w:rPr>
          <w:rFonts w:eastAsia="Calibri"/>
          <w:b/>
          <w:bCs/>
          <w:szCs w:val="24"/>
        </w:rPr>
        <w:t>Įstatymo</w:t>
      </w:r>
      <w:r>
        <w:rPr>
          <w:rFonts w:eastAsia="Calibri"/>
          <w:b/>
          <w:bCs/>
          <w:szCs w:val="24"/>
        </w:rPr>
        <w:t xml:space="preserve"> papildymas 73</w:t>
      </w:r>
      <w:r>
        <w:rPr>
          <w:rFonts w:eastAsia="Calibri"/>
          <w:b/>
          <w:bCs/>
          <w:szCs w:val="24"/>
          <w:vertAlign w:val="superscript"/>
        </w:rPr>
        <w:t xml:space="preserve">1 </w:t>
      </w:r>
      <w:r>
        <w:rPr>
          <w:rFonts w:eastAsia="Calibri"/>
          <w:b/>
          <w:bCs/>
          <w:szCs w:val="24"/>
        </w:rPr>
        <w:t>straipsniu</w:t>
      </w:r>
    </w:p>
    <w:p w14:paraId="2F0CA5C1" w14:textId="77E5E6FB" w:rsidR="00A82BF0" w:rsidRDefault="00A82BF0" w:rsidP="00A82BF0">
      <w:pPr>
        <w:ind w:firstLine="567"/>
        <w:jc w:val="both"/>
        <w:rPr>
          <w:rFonts w:eastAsia="Calibri"/>
          <w:b/>
          <w:bCs/>
          <w:szCs w:val="24"/>
        </w:rPr>
      </w:pPr>
      <w:r>
        <w:rPr>
          <w:rFonts w:eastAsia="Calibri"/>
          <w:szCs w:val="24"/>
        </w:rPr>
        <w:t xml:space="preserve">Papildyti </w:t>
      </w:r>
      <w:r w:rsidR="00B23176">
        <w:rPr>
          <w:rFonts w:eastAsia="Calibri"/>
          <w:szCs w:val="24"/>
        </w:rPr>
        <w:t>Į</w:t>
      </w:r>
      <w:r w:rsidR="00286800">
        <w:rPr>
          <w:rFonts w:eastAsia="Calibri"/>
          <w:szCs w:val="24"/>
        </w:rPr>
        <w:t xml:space="preserve">statymo </w:t>
      </w:r>
      <w:r>
        <w:rPr>
          <w:rFonts w:eastAsia="Calibri"/>
          <w:szCs w:val="24"/>
        </w:rPr>
        <w:t xml:space="preserve">vienuoliktąjį skirsnį </w:t>
      </w:r>
      <w:r w:rsidRPr="00286800">
        <w:rPr>
          <w:rFonts w:eastAsia="Calibri"/>
          <w:szCs w:val="24"/>
        </w:rPr>
        <w:t>73</w:t>
      </w:r>
      <w:r w:rsidRPr="00320FD5">
        <w:rPr>
          <w:rFonts w:eastAsia="Calibri"/>
          <w:szCs w:val="24"/>
          <w:vertAlign w:val="superscript"/>
        </w:rPr>
        <w:t>1</w:t>
      </w:r>
      <w:r>
        <w:rPr>
          <w:rFonts w:eastAsia="Calibri"/>
          <w:b/>
          <w:bCs/>
          <w:szCs w:val="24"/>
          <w:vertAlign w:val="superscript"/>
        </w:rPr>
        <w:t xml:space="preserve"> </w:t>
      </w:r>
      <w:r>
        <w:rPr>
          <w:rFonts w:eastAsia="Calibri"/>
          <w:szCs w:val="24"/>
          <w:vertAlign w:val="superscript"/>
        </w:rPr>
        <w:t xml:space="preserve"> </w:t>
      </w:r>
      <w:r w:rsidR="000357DA">
        <w:rPr>
          <w:rFonts w:eastAsia="Calibri"/>
          <w:szCs w:val="24"/>
        </w:rPr>
        <w:t>straipsniu</w:t>
      </w:r>
      <w:r>
        <w:rPr>
          <w:rFonts w:eastAsia="Calibri"/>
          <w:szCs w:val="24"/>
        </w:rPr>
        <w:t>:</w:t>
      </w:r>
    </w:p>
    <w:p w14:paraId="133FB8E7" w14:textId="77777777" w:rsidR="00A82BF0" w:rsidRDefault="00A82BF0" w:rsidP="00A82BF0">
      <w:pPr>
        <w:ind w:left="567"/>
        <w:jc w:val="both"/>
        <w:rPr>
          <w:rFonts w:eastAsia="Calibri"/>
          <w:b/>
          <w:bCs/>
          <w:szCs w:val="24"/>
        </w:rPr>
      </w:pPr>
      <w:r>
        <w:rPr>
          <w:rFonts w:eastAsia="Calibri"/>
          <w:szCs w:val="24"/>
        </w:rPr>
        <w:t>„</w:t>
      </w:r>
      <w:r>
        <w:rPr>
          <w:rFonts w:eastAsia="Calibri"/>
          <w:b/>
          <w:bCs/>
          <w:szCs w:val="24"/>
        </w:rPr>
        <w:t>73</w:t>
      </w:r>
      <w:r>
        <w:rPr>
          <w:rFonts w:eastAsia="Calibri"/>
          <w:b/>
          <w:bCs/>
          <w:szCs w:val="24"/>
          <w:vertAlign w:val="superscript"/>
        </w:rPr>
        <w:t xml:space="preserve">1 </w:t>
      </w:r>
      <w:r>
        <w:rPr>
          <w:rFonts w:eastAsia="Calibri"/>
          <w:b/>
          <w:bCs/>
          <w:szCs w:val="24"/>
        </w:rPr>
        <w:t>straipsnis. E</w:t>
      </w:r>
      <w:r w:rsidRPr="000C4F83">
        <w:rPr>
          <w:rFonts w:eastAsia="Calibri"/>
          <w:b/>
          <w:bCs/>
          <w:szCs w:val="24"/>
        </w:rPr>
        <w:t>lektros energijos tiekimo saugum</w:t>
      </w:r>
      <w:r>
        <w:rPr>
          <w:rFonts w:eastAsia="Calibri"/>
          <w:b/>
          <w:bCs/>
          <w:szCs w:val="24"/>
        </w:rPr>
        <w:t>o užtikrinimas</w:t>
      </w:r>
    </w:p>
    <w:p w14:paraId="0EA53CF4" w14:textId="2BB8C6A5" w:rsidR="00A82BF0" w:rsidRPr="00A82BF0" w:rsidRDefault="00A82BF0" w:rsidP="00A82BF0">
      <w:pPr>
        <w:pStyle w:val="ListParagraph"/>
        <w:ind w:left="0" w:firstLine="567"/>
        <w:jc w:val="both"/>
        <w:rPr>
          <w:rFonts w:eastAsia="Calibri"/>
          <w:b/>
          <w:bCs/>
          <w:szCs w:val="24"/>
        </w:rPr>
      </w:pPr>
      <w:r w:rsidRPr="00A82BF0">
        <w:rPr>
          <w:rFonts w:eastAsia="Calibri"/>
          <w:b/>
          <w:bCs/>
          <w:szCs w:val="24"/>
        </w:rPr>
        <w:t xml:space="preserve">1. Už elektros energijos tiekimo saugumo užtikrinimą pagal savo kompetenciją atsako Vyriausybė, Energetikos ministerija, Taryba, </w:t>
      </w:r>
      <w:r w:rsidRPr="00E50E71">
        <w:rPr>
          <w:rFonts w:eastAsia="Calibri"/>
          <w:b/>
          <w:bCs/>
          <w:szCs w:val="24"/>
        </w:rPr>
        <w:t>viešoji įstaiga Lietuvos energetikos agentūra (toliau – Agentūra</w:t>
      </w:r>
      <w:r w:rsidRPr="00A82BF0">
        <w:rPr>
          <w:rFonts w:eastAsia="Calibri"/>
          <w:b/>
          <w:bCs/>
          <w:szCs w:val="24"/>
        </w:rPr>
        <w:t>)</w:t>
      </w:r>
      <w:r w:rsidR="00596F61">
        <w:rPr>
          <w:rFonts w:eastAsia="Calibri"/>
          <w:b/>
          <w:bCs/>
          <w:szCs w:val="24"/>
        </w:rPr>
        <w:t>,</w:t>
      </w:r>
      <w:r w:rsidR="00BD1515">
        <w:rPr>
          <w:rFonts w:eastAsia="Calibri"/>
          <w:b/>
          <w:bCs/>
          <w:szCs w:val="24"/>
        </w:rPr>
        <w:t xml:space="preserve"> </w:t>
      </w:r>
      <w:r w:rsidR="00BD1515" w:rsidRPr="00A82BF0">
        <w:rPr>
          <w:rFonts w:eastAsia="Calibri"/>
          <w:b/>
          <w:bCs/>
          <w:szCs w:val="24"/>
        </w:rPr>
        <w:t>elektros energetikos įmonės</w:t>
      </w:r>
      <w:r w:rsidR="00501783">
        <w:rPr>
          <w:rFonts w:eastAsia="Calibri"/>
          <w:b/>
          <w:bCs/>
          <w:szCs w:val="24"/>
        </w:rPr>
        <w:t xml:space="preserve"> ir </w:t>
      </w:r>
      <w:r w:rsidR="00BD1515">
        <w:rPr>
          <w:rFonts w:eastAsia="Calibri"/>
          <w:b/>
          <w:bCs/>
          <w:szCs w:val="24"/>
        </w:rPr>
        <w:t>vartotojai</w:t>
      </w:r>
      <w:r w:rsidR="00BD1515" w:rsidRPr="0069318F">
        <w:rPr>
          <w:rFonts w:eastAsia="Calibri"/>
          <w:b/>
          <w:bCs/>
          <w:szCs w:val="24"/>
        </w:rPr>
        <w:t>, kurių įrenginiai yra prijungti prie perdavimo tinklų</w:t>
      </w:r>
      <w:r w:rsidRPr="00A82BF0">
        <w:rPr>
          <w:rFonts w:eastAsia="Calibri"/>
          <w:b/>
          <w:bCs/>
          <w:szCs w:val="24"/>
        </w:rPr>
        <w:t xml:space="preserve">. </w:t>
      </w:r>
    </w:p>
    <w:p w14:paraId="7420179B" w14:textId="6361B41E" w:rsidR="00A82BF0" w:rsidRPr="00A82BF0" w:rsidRDefault="00A82BF0" w:rsidP="00A82BF0">
      <w:pPr>
        <w:pStyle w:val="ListParagraph"/>
        <w:ind w:left="0" w:firstLine="567"/>
        <w:jc w:val="both"/>
        <w:rPr>
          <w:rFonts w:eastAsia="Calibri"/>
          <w:b/>
          <w:bCs/>
          <w:szCs w:val="24"/>
        </w:rPr>
      </w:pPr>
      <w:r w:rsidRPr="00A82BF0">
        <w:rPr>
          <w:rFonts w:eastAsia="Calibri"/>
          <w:b/>
          <w:bCs/>
          <w:szCs w:val="24"/>
        </w:rPr>
        <w:t xml:space="preserve">2. </w:t>
      </w:r>
      <w:bookmarkStart w:id="1" w:name="_Hlk34396500"/>
      <w:r w:rsidRPr="00A82BF0">
        <w:rPr>
          <w:rFonts w:eastAsia="Calibri"/>
          <w:b/>
          <w:bCs/>
          <w:szCs w:val="24"/>
        </w:rPr>
        <w:t xml:space="preserve">Vyriausybė </w:t>
      </w:r>
      <w:r w:rsidR="004927A4">
        <w:rPr>
          <w:rFonts w:eastAsia="Calibri"/>
          <w:b/>
          <w:bCs/>
          <w:szCs w:val="24"/>
        </w:rPr>
        <w:t>tvirtina</w:t>
      </w:r>
      <w:r w:rsidR="00BC4A42">
        <w:rPr>
          <w:rFonts w:eastAsia="Calibri"/>
          <w:b/>
          <w:bCs/>
          <w:szCs w:val="24"/>
        </w:rPr>
        <w:t xml:space="preserve"> </w:t>
      </w:r>
      <w:r w:rsidR="00B36928">
        <w:rPr>
          <w:rFonts w:eastAsia="Calibri"/>
          <w:b/>
          <w:bCs/>
          <w:szCs w:val="24"/>
        </w:rPr>
        <w:t>e</w:t>
      </w:r>
      <w:r w:rsidRPr="00A82BF0">
        <w:rPr>
          <w:rFonts w:eastAsia="Calibri"/>
          <w:b/>
          <w:bCs/>
          <w:szCs w:val="24"/>
        </w:rPr>
        <w:t>lektros energijos tiekimo saugumo užtikrinimo priemonių apraš</w:t>
      </w:r>
      <w:r w:rsidR="00BC4A42">
        <w:rPr>
          <w:rFonts w:eastAsia="Calibri"/>
          <w:b/>
          <w:bCs/>
          <w:szCs w:val="24"/>
        </w:rPr>
        <w:t>ą</w:t>
      </w:r>
      <w:r w:rsidR="000059C8">
        <w:rPr>
          <w:rFonts w:eastAsia="Calibri"/>
          <w:b/>
          <w:bCs/>
          <w:szCs w:val="24"/>
        </w:rPr>
        <w:t>,</w:t>
      </w:r>
      <w:r w:rsidR="009E2D05">
        <w:rPr>
          <w:rFonts w:eastAsia="Calibri"/>
          <w:b/>
          <w:bCs/>
          <w:szCs w:val="24"/>
        </w:rPr>
        <w:t xml:space="preserve"> </w:t>
      </w:r>
      <w:r w:rsidR="00B560EB">
        <w:rPr>
          <w:rFonts w:eastAsia="Calibri"/>
          <w:b/>
          <w:bCs/>
          <w:szCs w:val="24"/>
        </w:rPr>
        <w:t>kuriame</w:t>
      </w:r>
      <w:r w:rsidRPr="00A82BF0">
        <w:rPr>
          <w:rFonts w:eastAsia="Calibri"/>
          <w:b/>
          <w:bCs/>
          <w:szCs w:val="24"/>
        </w:rPr>
        <w:t xml:space="preserve"> nustato </w:t>
      </w:r>
      <w:r w:rsidR="00946D21">
        <w:rPr>
          <w:rFonts w:eastAsia="Calibri"/>
          <w:b/>
          <w:bCs/>
          <w:szCs w:val="24"/>
        </w:rPr>
        <w:t>elektros ener</w:t>
      </w:r>
      <w:r w:rsidR="00D43E86">
        <w:rPr>
          <w:rFonts w:eastAsia="Calibri"/>
          <w:b/>
          <w:bCs/>
          <w:szCs w:val="24"/>
        </w:rPr>
        <w:t xml:space="preserve">gijos tiekimo </w:t>
      </w:r>
      <w:r w:rsidRPr="00A82BF0">
        <w:rPr>
          <w:rFonts w:eastAsia="Calibri"/>
          <w:b/>
          <w:bCs/>
          <w:szCs w:val="24"/>
        </w:rPr>
        <w:t>saugumą užtikrinanči</w:t>
      </w:r>
      <w:r w:rsidR="009B46FC">
        <w:rPr>
          <w:rFonts w:eastAsia="Calibri"/>
          <w:b/>
          <w:bCs/>
          <w:szCs w:val="24"/>
        </w:rPr>
        <w:t>ų</w:t>
      </w:r>
      <w:r w:rsidRPr="00A82BF0">
        <w:rPr>
          <w:rFonts w:eastAsia="Calibri"/>
          <w:b/>
          <w:bCs/>
          <w:szCs w:val="24"/>
        </w:rPr>
        <w:t xml:space="preserve"> priemon</w:t>
      </w:r>
      <w:r w:rsidR="009B46FC">
        <w:rPr>
          <w:rFonts w:eastAsia="Calibri"/>
          <w:b/>
          <w:bCs/>
          <w:szCs w:val="24"/>
        </w:rPr>
        <w:t>ių</w:t>
      </w:r>
      <w:r w:rsidRPr="00A82BF0">
        <w:rPr>
          <w:rFonts w:eastAsia="Calibri"/>
          <w:b/>
          <w:bCs/>
          <w:szCs w:val="24"/>
        </w:rPr>
        <w:t xml:space="preserve">, </w:t>
      </w:r>
      <w:r w:rsidR="009B46FC">
        <w:rPr>
          <w:rFonts w:eastAsia="Calibri"/>
          <w:b/>
          <w:bCs/>
          <w:szCs w:val="24"/>
        </w:rPr>
        <w:t>kuri</w:t>
      </w:r>
      <w:r w:rsidR="001F4E46">
        <w:rPr>
          <w:rFonts w:eastAsia="Calibri"/>
          <w:b/>
          <w:bCs/>
          <w:szCs w:val="24"/>
        </w:rPr>
        <w:t>os yra būtinos</w:t>
      </w:r>
      <w:r w:rsidR="00132AE1">
        <w:rPr>
          <w:rFonts w:eastAsia="Calibri"/>
          <w:b/>
          <w:bCs/>
          <w:szCs w:val="24"/>
        </w:rPr>
        <w:t xml:space="preserve"> </w:t>
      </w:r>
      <w:r w:rsidR="00132AE1" w:rsidRPr="00132AE1">
        <w:rPr>
          <w:rFonts w:eastAsia="Calibri"/>
          <w:b/>
          <w:bCs/>
          <w:szCs w:val="24"/>
        </w:rPr>
        <w:t>krizių elektros energetikos sektoriuje prevencijai, pasiruošimui šioms krizėms bei jų valdymui</w:t>
      </w:r>
      <w:r w:rsidR="009B46FC">
        <w:rPr>
          <w:rFonts w:eastAsia="Calibri"/>
          <w:b/>
          <w:bCs/>
          <w:szCs w:val="24"/>
        </w:rPr>
        <w:t xml:space="preserve"> ir kurių</w:t>
      </w:r>
      <w:r w:rsidRPr="00A82BF0">
        <w:rPr>
          <w:rFonts w:eastAsia="Calibri"/>
          <w:b/>
          <w:bCs/>
          <w:szCs w:val="24"/>
        </w:rPr>
        <w:t xml:space="preserve"> įgyvendinimas šio straipsnio 1 dalyje nurodyt</w:t>
      </w:r>
      <w:r w:rsidR="009B7377">
        <w:rPr>
          <w:rFonts w:eastAsia="Calibri"/>
          <w:b/>
          <w:bCs/>
          <w:szCs w:val="24"/>
        </w:rPr>
        <w:t>oms</w:t>
      </w:r>
      <w:r w:rsidRPr="00A82BF0">
        <w:rPr>
          <w:rFonts w:eastAsia="Calibri"/>
          <w:b/>
          <w:bCs/>
          <w:szCs w:val="24"/>
        </w:rPr>
        <w:t xml:space="preserve"> </w:t>
      </w:r>
      <w:r w:rsidR="009B7377">
        <w:rPr>
          <w:rFonts w:eastAsia="Calibri"/>
          <w:b/>
          <w:bCs/>
          <w:szCs w:val="24"/>
        </w:rPr>
        <w:t xml:space="preserve">institucijoms ir </w:t>
      </w:r>
      <w:r w:rsidRPr="00A82BF0">
        <w:rPr>
          <w:rFonts w:eastAsia="Calibri"/>
          <w:b/>
          <w:bCs/>
          <w:szCs w:val="24"/>
        </w:rPr>
        <w:t>asmenims yra privalomas</w:t>
      </w:r>
      <w:r w:rsidR="009B46FC">
        <w:rPr>
          <w:rFonts w:eastAsia="Calibri"/>
          <w:b/>
          <w:bCs/>
          <w:szCs w:val="24"/>
        </w:rPr>
        <w:t>,</w:t>
      </w:r>
      <w:r w:rsidR="009B46FC" w:rsidRPr="009B46FC">
        <w:rPr>
          <w:rFonts w:eastAsia="Calibri"/>
          <w:b/>
          <w:bCs/>
          <w:szCs w:val="24"/>
        </w:rPr>
        <w:t xml:space="preserve"> </w:t>
      </w:r>
      <w:r w:rsidR="009B46FC">
        <w:rPr>
          <w:rFonts w:eastAsia="Calibri"/>
          <w:b/>
          <w:bCs/>
          <w:szCs w:val="24"/>
        </w:rPr>
        <w:t>taikymo ir įgyvendinimo tvarką</w:t>
      </w:r>
      <w:r w:rsidRPr="00A82BF0">
        <w:rPr>
          <w:rFonts w:eastAsia="Calibri"/>
          <w:b/>
          <w:bCs/>
          <w:szCs w:val="24"/>
        </w:rPr>
        <w:t xml:space="preserve">. Šios priemonės apima </w:t>
      </w:r>
      <w:r w:rsidR="00B469F1">
        <w:rPr>
          <w:rFonts w:eastAsia="Calibri"/>
          <w:b/>
          <w:bCs/>
          <w:szCs w:val="24"/>
        </w:rPr>
        <w:t xml:space="preserve">nacionalinių </w:t>
      </w:r>
      <w:r w:rsidR="002703F1" w:rsidRPr="00A82BF0">
        <w:rPr>
          <w:rFonts w:eastAsia="Calibri"/>
          <w:b/>
          <w:bCs/>
          <w:szCs w:val="24"/>
        </w:rPr>
        <w:t>elektros energ</w:t>
      </w:r>
      <w:r w:rsidR="00740962">
        <w:rPr>
          <w:rFonts w:eastAsia="Calibri"/>
          <w:b/>
          <w:bCs/>
          <w:szCs w:val="24"/>
        </w:rPr>
        <w:t>etik</w:t>
      </w:r>
      <w:r w:rsidR="002703F1" w:rsidRPr="00A82BF0">
        <w:rPr>
          <w:rFonts w:eastAsia="Calibri"/>
          <w:b/>
          <w:bCs/>
          <w:szCs w:val="24"/>
        </w:rPr>
        <w:t>os krizės scenarij</w:t>
      </w:r>
      <w:r w:rsidR="002703F1">
        <w:rPr>
          <w:rFonts w:eastAsia="Calibri"/>
          <w:b/>
          <w:bCs/>
          <w:szCs w:val="24"/>
        </w:rPr>
        <w:t>ų</w:t>
      </w:r>
      <w:r w:rsidR="004E5841">
        <w:rPr>
          <w:rFonts w:eastAsia="Calibri"/>
          <w:b/>
          <w:bCs/>
          <w:szCs w:val="24"/>
        </w:rPr>
        <w:t xml:space="preserve"> </w:t>
      </w:r>
      <w:r w:rsidR="00E93FB2">
        <w:rPr>
          <w:rFonts w:eastAsia="Calibri"/>
          <w:b/>
          <w:bCs/>
          <w:szCs w:val="24"/>
        </w:rPr>
        <w:t>identifikavimo</w:t>
      </w:r>
      <w:r w:rsidR="00E50E71">
        <w:rPr>
          <w:rFonts w:eastAsia="Calibri"/>
          <w:b/>
          <w:bCs/>
          <w:szCs w:val="24"/>
        </w:rPr>
        <w:t xml:space="preserve"> </w:t>
      </w:r>
      <w:r w:rsidR="002703F1">
        <w:rPr>
          <w:rFonts w:eastAsia="Calibri"/>
          <w:b/>
          <w:bCs/>
          <w:szCs w:val="24"/>
        </w:rPr>
        <w:t>ir</w:t>
      </w:r>
      <w:r w:rsidRPr="00A82BF0">
        <w:rPr>
          <w:rFonts w:eastAsia="Calibri"/>
          <w:b/>
          <w:bCs/>
          <w:szCs w:val="24"/>
        </w:rPr>
        <w:t xml:space="preserve"> </w:t>
      </w:r>
      <w:r w:rsidR="00AD7A49">
        <w:rPr>
          <w:rFonts w:eastAsia="Calibri"/>
          <w:b/>
          <w:bCs/>
          <w:szCs w:val="24"/>
        </w:rPr>
        <w:t>P</w:t>
      </w:r>
      <w:r w:rsidRPr="00A82BF0">
        <w:rPr>
          <w:rFonts w:eastAsia="Calibri"/>
          <w:b/>
          <w:bCs/>
          <w:szCs w:val="24"/>
        </w:rPr>
        <w:t>asirengimo valdyti riziką elektros energetikos sektoriuje plan</w:t>
      </w:r>
      <w:r w:rsidR="002703F1">
        <w:rPr>
          <w:rFonts w:eastAsia="Calibri"/>
          <w:b/>
          <w:bCs/>
          <w:szCs w:val="24"/>
        </w:rPr>
        <w:t xml:space="preserve">o rengimo </w:t>
      </w:r>
      <w:r w:rsidR="009A64A3">
        <w:rPr>
          <w:rFonts w:eastAsia="Calibri"/>
          <w:b/>
          <w:bCs/>
          <w:szCs w:val="24"/>
        </w:rPr>
        <w:t>procesus</w:t>
      </w:r>
      <w:r w:rsidRPr="00A82BF0">
        <w:rPr>
          <w:rFonts w:eastAsia="Calibri"/>
          <w:b/>
          <w:bCs/>
          <w:szCs w:val="24"/>
        </w:rPr>
        <w:t xml:space="preserve">, išankstinio perspėjimo apie gresiančias elektros energetikos sektoriaus krizes </w:t>
      </w:r>
      <w:r w:rsidR="002703F1">
        <w:rPr>
          <w:rFonts w:eastAsia="Calibri"/>
          <w:b/>
          <w:bCs/>
          <w:szCs w:val="24"/>
        </w:rPr>
        <w:t xml:space="preserve">ir krizės </w:t>
      </w:r>
      <w:r w:rsidR="002703F1" w:rsidRPr="002703F1">
        <w:rPr>
          <w:rFonts w:eastAsia="Calibri"/>
          <w:b/>
          <w:bCs/>
          <w:szCs w:val="24"/>
        </w:rPr>
        <w:t>elektros energetikos sektor</w:t>
      </w:r>
      <w:r w:rsidR="002703F1">
        <w:rPr>
          <w:rFonts w:eastAsia="Calibri"/>
          <w:b/>
          <w:bCs/>
          <w:szCs w:val="24"/>
        </w:rPr>
        <w:t>iuje paskelbimo</w:t>
      </w:r>
      <w:r w:rsidR="002703F1" w:rsidRPr="002703F1">
        <w:rPr>
          <w:rFonts w:eastAsia="Calibri"/>
          <w:b/>
          <w:bCs/>
          <w:szCs w:val="24"/>
        </w:rPr>
        <w:t xml:space="preserve"> </w:t>
      </w:r>
      <w:r w:rsidRPr="00A82BF0">
        <w:rPr>
          <w:rFonts w:eastAsia="Calibri"/>
          <w:b/>
          <w:bCs/>
          <w:szCs w:val="24"/>
        </w:rPr>
        <w:t xml:space="preserve">sistemą </w:t>
      </w:r>
      <w:r w:rsidR="009A64A3">
        <w:rPr>
          <w:rFonts w:eastAsia="Calibri"/>
          <w:b/>
          <w:bCs/>
          <w:szCs w:val="24"/>
        </w:rPr>
        <w:t>bei</w:t>
      </w:r>
      <w:r w:rsidRPr="00A82BF0">
        <w:rPr>
          <w:rFonts w:eastAsia="Calibri"/>
          <w:b/>
          <w:bCs/>
          <w:szCs w:val="24"/>
        </w:rPr>
        <w:t xml:space="preserve"> kit</w:t>
      </w:r>
      <w:r w:rsidR="002A509D">
        <w:rPr>
          <w:rFonts w:eastAsia="Calibri"/>
          <w:b/>
          <w:bCs/>
          <w:szCs w:val="24"/>
        </w:rPr>
        <w:t>a</w:t>
      </w:r>
      <w:r w:rsidRPr="00A82BF0">
        <w:rPr>
          <w:rFonts w:eastAsia="Calibri"/>
          <w:b/>
          <w:bCs/>
          <w:szCs w:val="24"/>
        </w:rPr>
        <w:t>s elektros energ</w:t>
      </w:r>
      <w:r w:rsidR="00475FFB">
        <w:rPr>
          <w:rFonts w:eastAsia="Calibri"/>
          <w:b/>
          <w:bCs/>
          <w:szCs w:val="24"/>
        </w:rPr>
        <w:t>ij</w:t>
      </w:r>
      <w:r w:rsidR="00F71670">
        <w:rPr>
          <w:rFonts w:eastAsia="Calibri"/>
          <w:b/>
          <w:bCs/>
          <w:szCs w:val="24"/>
        </w:rPr>
        <w:t>os</w:t>
      </w:r>
      <w:r w:rsidR="00CA442B">
        <w:rPr>
          <w:rFonts w:eastAsia="Calibri"/>
          <w:b/>
          <w:bCs/>
          <w:szCs w:val="24"/>
        </w:rPr>
        <w:t xml:space="preserve"> tiekimo saugu</w:t>
      </w:r>
      <w:r w:rsidR="009E445F">
        <w:rPr>
          <w:rFonts w:eastAsia="Calibri"/>
          <w:b/>
          <w:bCs/>
          <w:szCs w:val="24"/>
        </w:rPr>
        <w:t>mą užtikrinančias priemones</w:t>
      </w:r>
      <w:r w:rsidRPr="00A82BF0">
        <w:rPr>
          <w:rFonts w:eastAsia="Calibri"/>
          <w:b/>
          <w:bCs/>
          <w:szCs w:val="24"/>
        </w:rPr>
        <w:t>.</w:t>
      </w:r>
    </w:p>
    <w:bookmarkEnd w:id="1"/>
    <w:p w14:paraId="0E3693A4" w14:textId="0AF6DA2B" w:rsidR="00A82BF0" w:rsidRPr="00A82BF0" w:rsidRDefault="00A82BF0" w:rsidP="00A82BF0">
      <w:pPr>
        <w:pStyle w:val="ListParagraph"/>
        <w:ind w:left="0" w:firstLine="567"/>
        <w:jc w:val="both"/>
        <w:rPr>
          <w:rFonts w:eastAsia="Calibri"/>
          <w:b/>
          <w:bCs/>
          <w:szCs w:val="24"/>
        </w:rPr>
      </w:pPr>
      <w:r w:rsidRPr="00A82BF0">
        <w:rPr>
          <w:rFonts w:eastAsia="Calibri"/>
          <w:b/>
          <w:bCs/>
          <w:szCs w:val="24"/>
        </w:rPr>
        <w:lastRenderedPageBreak/>
        <w:t xml:space="preserve">3. Kompetentinga institucija, atsakinga už Reglamente (ES) 2019/941 numatytų užduočių, susijusių su </w:t>
      </w:r>
      <w:r w:rsidR="004A0812" w:rsidRPr="00A82BF0">
        <w:rPr>
          <w:rFonts w:eastAsia="Calibri"/>
          <w:b/>
          <w:bCs/>
          <w:szCs w:val="24"/>
        </w:rPr>
        <w:t xml:space="preserve">elektros energetikos </w:t>
      </w:r>
      <w:r w:rsidR="004A0812">
        <w:rPr>
          <w:rFonts w:eastAsia="Calibri"/>
          <w:b/>
          <w:bCs/>
          <w:szCs w:val="24"/>
        </w:rPr>
        <w:t>s</w:t>
      </w:r>
      <w:r w:rsidR="004A0812" w:rsidRPr="00A82BF0">
        <w:rPr>
          <w:b/>
          <w:szCs w:val="24"/>
          <w:lang w:eastAsia="lt-LT"/>
        </w:rPr>
        <w:t>ektoriaus krizių prevencij</w:t>
      </w:r>
      <w:r w:rsidR="004A0812">
        <w:rPr>
          <w:b/>
          <w:szCs w:val="24"/>
          <w:lang w:eastAsia="lt-LT"/>
        </w:rPr>
        <w:t>a</w:t>
      </w:r>
      <w:r w:rsidR="004A0812" w:rsidRPr="00A82BF0">
        <w:rPr>
          <w:b/>
          <w:szCs w:val="24"/>
          <w:lang w:eastAsia="lt-LT"/>
        </w:rPr>
        <w:t xml:space="preserve">, </w:t>
      </w:r>
      <w:r w:rsidRPr="00A82BF0">
        <w:rPr>
          <w:rFonts w:eastAsia="Calibri"/>
          <w:b/>
          <w:bCs/>
          <w:szCs w:val="24"/>
        </w:rPr>
        <w:t>pasirengimu</w:t>
      </w:r>
      <w:r w:rsidR="00320FD5">
        <w:rPr>
          <w:rFonts w:eastAsia="Calibri"/>
          <w:b/>
          <w:bCs/>
          <w:szCs w:val="24"/>
        </w:rPr>
        <w:t xml:space="preserve"> </w:t>
      </w:r>
      <w:r w:rsidR="00320FD5" w:rsidRPr="00A82BF0">
        <w:rPr>
          <w:b/>
          <w:szCs w:val="24"/>
          <w:lang w:eastAsia="lt-LT"/>
        </w:rPr>
        <w:t>šioms</w:t>
      </w:r>
      <w:r w:rsidR="00320FD5" w:rsidRPr="00A82BF0">
        <w:rPr>
          <w:rFonts w:eastAsia="Calibri"/>
          <w:b/>
          <w:bCs/>
          <w:szCs w:val="24"/>
        </w:rPr>
        <w:t xml:space="preserve"> </w:t>
      </w:r>
      <w:r w:rsidRPr="00A82BF0">
        <w:rPr>
          <w:rFonts w:eastAsia="Calibri"/>
          <w:b/>
          <w:bCs/>
          <w:szCs w:val="24"/>
        </w:rPr>
        <w:t xml:space="preserve">krizėms ir jų valdymu, vykdymą yra Energetikos ministerija.  </w:t>
      </w:r>
    </w:p>
    <w:p w14:paraId="5ECAB7A5" w14:textId="375C2560" w:rsidR="00A82BF0" w:rsidRPr="00A82BF0" w:rsidRDefault="00A82BF0" w:rsidP="00A82BF0">
      <w:pPr>
        <w:pStyle w:val="ListParagraph"/>
        <w:ind w:left="0" w:firstLine="567"/>
        <w:jc w:val="both"/>
        <w:rPr>
          <w:rFonts w:eastAsia="Calibri"/>
          <w:b/>
          <w:bCs/>
          <w:szCs w:val="24"/>
        </w:rPr>
      </w:pPr>
      <w:r w:rsidRPr="00A82BF0">
        <w:rPr>
          <w:rFonts w:eastAsia="Calibri"/>
          <w:b/>
          <w:bCs/>
          <w:szCs w:val="24"/>
        </w:rPr>
        <w:t xml:space="preserve">4. </w:t>
      </w:r>
      <w:bookmarkStart w:id="2" w:name="_Hlk34396673"/>
      <w:r w:rsidR="00AB79A2">
        <w:rPr>
          <w:rFonts w:eastAsia="Calibri"/>
          <w:b/>
          <w:bCs/>
          <w:szCs w:val="24"/>
        </w:rPr>
        <w:t>Nacionalinius e</w:t>
      </w:r>
      <w:r w:rsidR="00AB79A2" w:rsidRPr="00A82BF0">
        <w:rPr>
          <w:rFonts w:eastAsia="Calibri"/>
          <w:b/>
          <w:bCs/>
          <w:szCs w:val="24"/>
        </w:rPr>
        <w:t>lektros energ</w:t>
      </w:r>
      <w:r w:rsidR="00AB79A2">
        <w:rPr>
          <w:rFonts w:eastAsia="Calibri"/>
          <w:b/>
          <w:bCs/>
          <w:szCs w:val="24"/>
        </w:rPr>
        <w:t>etik</w:t>
      </w:r>
      <w:r w:rsidR="00AB79A2" w:rsidRPr="00A82BF0">
        <w:rPr>
          <w:rFonts w:eastAsia="Calibri"/>
          <w:b/>
          <w:bCs/>
          <w:szCs w:val="24"/>
        </w:rPr>
        <w:t xml:space="preserve">os sektoriaus krizės scenarijus </w:t>
      </w:r>
      <w:r w:rsidR="00AB79A2">
        <w:rPr>
          <w:rFonts w:eastAsia="Calibri"/>
          <w:b/>
          <w:bCs/>
          <w:szCs w:val="24"/>
        </w:rPr>
        <w:t xml:space="preserve">identifikuoja </w:t>
      </w:r>
      <w:r w:rsidR="00AB79A2" w:rsidRPr="00A82BF0">
        <w:rPr>
          <w:rFonts w:eastAsia="Calibri"/>
          <w:b/>
          <w:bCs/>
          <w:szCs w:val="24"/>
        </w:rPr>
        <w:t xml:space="preserve">ir </w:t>
      </w:r>
      <w:r w:rsidR="00AB79A2">
        <w:rPr>
          <w:rFonts w:eastAsia="Calibri"/>
          <w:b/>
          <w:bCs/>
          <w:szCs w:val="24"/>
        </w:rPr>
        <w:t>P</w:t>
      </w:r>
      <w:r w:rsidR="00AB79A2" w:rsidRPr="00A82BF0">
        <w:rPr>
          <w:rFonts w:eastAsia="Calibri"/>
          <w:b/>
          <w:bCs/>
          <w:szCs w:val="24"/>
        </w:rPr>
        <w:t>asirengimo valdyti riziką elektros energetikos sektoriuje planą rengia ir kompetentingai institucijai tvirtinti teikia Agentūra.</w:t>
      </w:r>
      <w:r w:rsidR="00AE6C8B">
        <w:rPr>
          <w:rFonts w:eastAsia="Calibri"/>
          <w:b/>
          <w:bCs/>
          <w:szCs w:val="24"/>
        </w:rPr>
        <w:t xml:space="preserve"> </w:t>
      </w:r>
      <w:bookmarkEnd w:id="2"/>
    </w:p>
    <w:p w14:paraId="5C4C2AF7" w14:textId="47017D83" w:rsidR="0098146D" w:rsidRDefault="00FF7C9F" w:rsidP="00CC2F17">
      <w:pPr>
        <w:pStyle w:val="ListParagraph"/>
        <w:ind w:left="0" w:firstLine="567"/>
        <w:jc w:val="both"/>
        <w:rPr>
          <w:rFonts w:eastAsia="Calibri"/>
          <w:b/>
          <w:bCs/>
          <w:szCs w:val="24"/>
        </w:rPr>
      </w:pPr>
      <w:r w:rsidRPr="00A82BF0">
        <w:rPr>
          <w:rFonts w:eastAsia="Calibri"/>
          <w:b/>
          <w:bCs/>
          <w:szCs w:val="24"/>
        </w:rPr>
        <w:t xml:space="preserve">5. </w:t>
      </w:r>
      <w:r>
        <w:rPr>
          <w:rFonts w:eastAsia="Calibri"/>
          <w:b/>
          <w:bCs/>
          <w:szCs w:val="24"/>
        </w:rPr>
        <w:t xml:space="preserve">Šio straipsnio 1 dalyje </w:t>
      </w:r>
      <w:r w:rsidRPr="00A82BF0">
        <w:rPr>
          <w:rFonts w:eastAsia="Calibri"/>
          <w:b/>
          <w:bCs/>
          <w:szCs w:val="24"/>
        </w:rPr>
        <w:t>nurodyt</w:t>
      </w:r>
      <w:r>
        <w:rPr>
          <w:rFonts w:eastAsia="Calibri"/>
          <w:b/>
          <w:bCs/>
          <w:szCs w:val="24"/>
        </w:rPr>
        <w:t>os institucijos ir</w:t>
      </w:r>
      <w:r w:rsidRPr="00A82BF0">
        <w:rPr>
          <w:rFonts w:eastAsia="Calibri"/>
          <w:b/>
          <w:bCs/>
          <w:szCs w:val="24"/>
        </w:rPr>
        <w:t xml:space="preserve"> </w:t>
      </w:r>
      <w:r>
        <w:rPr>
          <w:rFonts w:eastAsia="Calibri"/>
          <w:b/>
          <w:bCs/>
          <w:szCs w:val="24"/>
        </w:rPr>
        <w:t>asmenys,</w:t>
      </w:r>
      <w:r w:rsidRPr="00A82BF0">
        <w:rPr>
          <w:rFonts w:eastAsia="Calibri"/>
          <w:b/>
          <w:bCs/>
          <w:szCs w:val="24"/>
        </w:rPr>
        <w:t xml:space="preserve"> </w:t>
      </w:r>
      <w:r>
        <w:rPr>
          <w:rFonts w:eastAsia="Calibri"/>
          <w:b/>
          <w:bCs/>
          <w:szCs w:val="24"/>
        </w:rPr>
        <w:t>s</w:t>
      </w:r>
      <w:r w:rsidRPr="00A82BF0">
        <w:rPr>
          <w:rFonts w:eastAsia="Calibri"/>
          <w:b/>
          <w:bCs/>
          <w:szCs w:val="24"/>
        </w:rPr>
        <w:t xml:space="preserve">iekdami </w:t>
      </w:r>
      <w:r>
        <w:rPr>
          <w:rFonts w:eastAsia="Calibri"/>
          <w:b/>
          <w:bCs/>
          <w:szCs w:val="24"/>
        </w:rPr>
        <w:t xml:space="preserve">užtikrinti </w:t>
      </w:r>
      <w:r w:rsidRPr="00A82BF0">
        <w:rPr>
          <w:rFonts w:eastAsia="Calibri"/>
          <w:b/>
          <w:bCs/>
          <w:szCs w:val="24"/>
        </w:rPr>
        <w:t>energijos tiekimo saugum</w:t>
      </w:r>
      <w:r>
        <w:rPr>
          <w:rFonts w:eastAsia="Calibri"/>
          <w:b/>
          <w:bCs/>
          <w:szCs w:val="24"/>
        </w:rPr>
        <w:t>ą,</w:t>
      </w:r>
      <w:bookmarkStart w:id="3" w:name="_GoBack"/>
      <w:bookmarkEnd w:id="3"/>
      <w:r w:rsidRPr="00A82BF0">
        <w:rPr>
          <w:rFonts w:eastAsia="Calibri"/>
          <w:b/>
          <w:bCs/>
          <w:szCs w:val="24"/>
        </w:rPr>
        <w:t xml:space="preserve"> tarpusavyje bendradarbiauja </w:t>
      </w:r>
      <w:r>
        <w:rPr>
          <w:rFonts w:eastAsia="Calibri"/>
          <w:b/>
          <w:bCs/>
          <w:szCs w:val="24"/>
        </w:rPr>
        <w:t xml:space="preserve">identifikuojant nacionalinius </w:t>
      </w:r>
      <w:r w:rsidRPr="00A82BF0">
        <w:rPr>
          <w:rFonts w:eastAsia="Calibri"/>
          <w:b/>
          <w:bCs/>
          <w:szCs w:val="24"/>
        </w:rPr>
        <w:t xml:space="preserve">elektros energetikos sektoriaus krizės scenarijus, </w:t>
      </w:r>
      <w:r>
        <w:rPr>
          <w:rFonts w:eastAsia="Calibri"/>
          <w:b/>
          <w:bCs/>
          <w:szCs w:val="24"/>
        </w:rPr>
        <w:t>rengiant P</w:t>
      </w:r>
      <w:r w:rsidRPr="00A82BF0">
        <w:rPr>
          <w:rFonts w:eastAsia="Calibri"/>
          <w:b/>
          <w:bCs/>
          <w:szCs w:val="24"/>
        </w:rPr>
        <w:t>asirengimo valdyti riziką elektros energetikos sektoriuje planą ir įgyvendinant kitas elektros energijos tiekimo saugumą užtikrinančias priemones</w:t>
      </w:r>
      <w:r w:rsidRPr="0068689D">
        <w:rPr>
          <w:rFonts w:eastAsia="Calibri"/>
          <w:b/>
          <w:bCs/>
          <w:szCs w:val="24"/>
        </w:rPr>
        <w:t xml:space="preserve">, </w:t>
      </w:r>
      <w:r>
        <w:rPr>
          <w:rFonts w:eastAsia="Calibri"/>
          <w:b/>
          <w:bCs/>
          <w:szCs w:val="24"/>
        </w:rPr>
        <w:t>vadovaudamiesi</w:t>
      </w:r>
      <w:r w:rsidRPr="0068689D">
        <w:rPr>
          <w:rFonts w:eastAsia="Calibri"/>
          <w:b/>
          <w:bCs/>
          <w:szCs w:val="24"/>
        </w:rPr>
        <w:t xml:space="preserve"> Vyriausybės tvirtinam</w:t>
      </w:r>
      <w:r>
        <w:rPr>
          <w:rFonts w:eastAsia="Calibri"/>
          <w:b/>
          <w:bCs/>
          <w:szCs w:val="24"/>
        </w:rPr>
        <w:t>o</w:t>
      </w:r>
      <w:r w:rsidRPr="0068689D">
        <w:rPr>
          <w:rFonts w:eastAsia="Calibri"/>
          <w:b/>
          <w:bCs/>
          <w:szCs w:val="24"/>
        </w:rPr>
        <w:t xml:space="preserve"> elektros energijos tiekimo saugumo užtikrin</w:t>
      </w:r>
      <w:r>
        <w:rPr>
          <w:rFonts w:eastAsia="Calibri"/>
          <w:b/>
          <w:bCs/>
          <w:szCs w:val="24"/>
        </w:rPr>
        <w:t>i</w:t>
      </w:r>
      <w:r w:rsidRPr="0068689D">
        <w:rPr>
          <w:rFonts w:eastAsia="Calibri"/>
          <w:b/>
          <w:bCs/>
          <w:szCs w:val="24"/>
        </w:rPr>
        <w:t>mo priemon</w:t>
      </w:r>
      <w:r>
        <w:rPr>
          <w:rFonts w:eastAsia="Calibri"/>
          <w:b/>
          <w:bCs/>
          <w:szCs w:val="24"/>
        </w:rPr>
        <w:t>ių aprašo nuostatomis</w:t>
      </w:r>
      <w:r w:rsidRPr="00A82BF0">
        <w:rPr>
          <w:rFonts w:eastAsia="Calibri"/>
          <w:b/>
          <w:bCs/>
          <w:szCs w:val="24"/>
        </w:rPr>
        <w:t>.</w:t>
      </w:r>
    </w:p>
    <w:p w14:paraId="69B638D1" w14:textId="3F7E324F" w:rsidR="007B04C1" w:rsidRDefault="0098146D" w:rsidP="00CC2F17">
      <w:pPr>
        <w:pStyle w:val="ListParagraph"/>
        <w:ind w:left="0" w:firstLine="567"/>
        <w:jc w:val="both"/>
        <w:rPr>
          <w:rFonts w:eastAsia="Calibri"/>
          <w:b/>
          <w:bCs/>
          <w:szCs w:val="24"/>
        </w:rPr>
      </w:pPr>
      <w:r w:rsidRPr="00AF7C9B">
        <w:rPr>
          <w:rFonts w:eastAsia="Calibri"/>
          <w:b/>
          <w:bCs/>
          <w:szCs w:val="24"/>
        </w:rPr>
        <w:t xml:space="preserve">6. </w:t>
      </w:r>
      <w:r w:rsidR="007B04C1" w:rsidRPr="00A82BF0">
        <w:rPr>
          <w:rFonts w:eastAsia="Calibri"/>
          <w:b/>
          <w:bCs/>
          <w:szCs w:val="24"/>
        </w:rPr>
        <w:t>Energetikos ministerija</w:t>
      </w:r>
      <w:r w:rsidR="007B04C1">
        <w:rPr>
          <w:rFonts w:eastAsia="Calibri"/>
          <w:b/>
          <w:bCs/>
          <w:szCs w:val="24"/>
        </w:rPr>
        <w:t>,</w:t>
      </w:r>
      <w:r w:rsidR="007B04C1" w:rsidRPr="00A82BF0">
        <w:rPr>
          <w:rFonts w:eastAsia="Calibri"/>
          <w:b/>
          <w:bCs/>
          <w:szCs w:val="24"/>
        </w:rPr>
        <w:t xml:space="preserve"> </w:t>
      </w:r>
      <w:r w:rsidR="007B04C1">
        <w:rPr>
          <w:rFonts w:eastAsia="Calibri"/>
          <w:b/>
          <w:bCs/>
          <w:szCs w:val="24"/>
        </w:rPr>
        <w:t>v</w:t>
      </w:r>
      <w:r w:rsidR="007B04C1" w:rsidRPr="00A82BF0">
        <w:rPr>
          <w:rFonts w:eastAsia="Calibri"/>
          <w:b/>
          <w:bCs/>
          <w:szCs w:val="24"/>
        </w:rPr>
        <w:t xml:space="preserve">ykdydama užduotis, susijusias su elektros energijos tiekimo saugumo įgyvendinimu, tvirtina ir savo interneto svetainėje skelbia </w:t>
      </w:r>
      <w:r w:rsidR="007B04C1">
        <w:rPr>
          <w:rFonts w:eastAsia="Calibri"/>
          <w:b/>
          <w:bCs/>
          <w:szCs w:val="24"/>
        </w:rPr>
        <w:t>P</w:t>
      </w:r>
      <w:r w:rsidR="007B04C1" w:rsidRPr="00A82BF0">
        <w:rPr>
          <w:rFonts w:eastAsia="Calibri"/>
          <w:b/>
          <w:bCs/>
          <w:szCs w:val="24"/>
        </w:rPr>
        <w:t>asirengimo valdyti riziką elektros energetikos sektoriuje planą, teikia informaciją apie elektros energijos tiekimo saugumo užtikrinimo priemones Europos Komisijai ir valstybėms narėms, skelbia apie gresiančią, prasidėjusią elektros energetikos sektoriaus krizę, informuoja apie tai regioninių (</w:t>
      </w:r>
      <w:r w:rsidR="007B04C1" w:rsidRPr="009A64A3">
        <w:rPr>
          <w:rFonts w:eastAsia="Calibri"/>
          <w:b/>
          <w:bCs/>
          <w:szCs w:val="24"/>
        </w:rPr>
        <w:t>tiesiogiai sujungtų</w:t>
      </w:r>
      <w:r w:rsidR="007B04C1" w:rsidRPr="00A82BF0">
        <w:rPr>
          <w:rFonts w:eastAsia="Calibri"/>
          <w:b/>
          <w:bCs/>
          <w:szCs w:val="24"/>
        </w:rPr>
        <w:t xml:space="preserve">) valstybių narių kompetentingas institucijas ir Europos Komisiją.  </w:t>
      </w:r>
    </w:p>
    <w:p w14:paraId="21F41035" w14:textId="44747624" w:rsidR="00A82BF0" w:rsidRPr="00CC2F17" w:rsidRDefault="007B04C1" w:rsidP="00CC2F17">
      <w:pPr>
        <w:pStyle w:val="ListParagraph"/>
        <w:ind w:left="0" w:firstLine="567"/>
        <w:jc w:val="both"/>
        <w:rPr>
          <w:rFonts w:eastAsia="Calibri"/>
          <w:b/>
          <w:bCs/>
          <w:szCs w:val="24"/>
        </w:rPr>
      </w:pPr>
      <w:r>
        <w:rPr>
          <w:rFonts w:eastAsia="Calibri"/>
          <w:b/>
          <w:bCs/>
          <w:szCs w:val="24"/>
        </w:rPr>
        <w:t xml:space="preserve">7. </w:t>
      </w:r>
      <w:r w:rsidR="0098146D" w:rsidRPr="00AF7C9B">
        <w:rPr>
          <w:rFonts w:eastAsia="Calibri"/>
          <w:b/>
          <w:bCs/>
          <w:szCs w:val="24"/>
        </w:rPr>
        <w:t>Nacionaliniai elektros energetikos sektoriaus krizės scenarijai ir Pasirengimo valdyti riziką elektros energetikos sektoriuje planas atnaujinami kas ketverius metus, nebent dėl svarbių priežasčių</w:t>
      </w:r>
      <w:r w:rsidR="009B46FC">
        <w:rPr>
          <w:rFonts w:eastAsia="Calibri"/>
          <w:b/>
          <w:bCs/>
          <w:szCs w:val="24"/>
        </w:rPr>
        <w:t>, inici</w:t>
      </w:r>
      <w:r w:rsidR="000B4442">
        <w:rPr>
          <w:rFonts w:eastAsia="Calibri"/>
          <w:b/>
          <w:bCs/>
          <w:szCs w:val="24"/>
        </w:rPr>
        <w:t>j</w:t>
      </w:r>
      <w:r w:rsidR="009B46FC">
        <w:rPr>
          <w:rFonts w:eastAsia="Calibri"/>
          <w:b/>
          <w:bCs/>
          <w:szCs w:val="24"/>
        </w:rPr>
        <w:t xml:space="preserve">avus Energetikos ministerijai, </w:t>
      </w:r>
      <w:r w:rsidR="00F66396">
        <w:rPr>
          <w:rFonts w:eastAsia="Calibri"/>
          <w:b/>
          <w:bCs/>
          <w:szCs w:val="24"/>
        </w:rPr>
        <w:t>Tarybai ar perdavimo sistemos operatoriui,</w:t>
      </w:r>
      <w:r w:rsidR="0098146D" w:rsidRPr="00AF7C9B">
        <w:rPr>
          <w:rFonts w:eastAsia="Calibri"/>
          <w:b/>
          <w:bCs/>
          <w:szCs w:val="24"/>
        </w:rPr>
        <w:t xml:space="preserve"> juos reikėtų atnaujinti dažniau.</w:t>
      </w:r>
      <w:r w:rsidR="00A82BF0" w:rsidRPr="00CC2F17">
        <w:rPr>
          <w:rFonts w:eastAsia="Calibri"/>
          <w:szCs w:val="24"/>
        </w:rPr>
        <w:t xml:space="preserve">“ </w:t>
      </w:r>
    </w:p>
    <w:p w14:paraId="2B1E7DDF" w14:textId="77777777" w:rsidR="00A82BF0" w:rsidRPr="00A54156" w:rsidRDefault="00A82BF0" w:rsidP="00A82BF0">
      <w:pPr>
        <w:jc w:val="both"/>
        <w:rPr>
          <w:rFonts w:eastAsia="Calibri"/>
          <w:szCs w:val="24"/>
        </w:rPr>
      </w:pPr>
    </w:p>
    <w:p w14:paraId="4BCFABD4" w14:textId="39464DBD" w:rsidR="00A82BF0" w:rsidRDefault="00A82BF0" w:rsidP="00A82BF0">
      <w:pPr>
        <w:ind w:firstLine="567"/>
        <w:jc w:val="both"/>
        <w:rPr>
          <w:rFonts w:eastAsia="Calibri"/>
          <w:b/>
          <w:bCs/>
          <w:szCs w:val="24"/>
        </w:rPr>
      </w:pPr>
      <w:r>
        <w:rPr>
          <w:rFonts w:eastAsia="Calibri"/>
          <w:b/>
          <w:bCs/>
          <w:szCs w:val="24"/>
        </w:rPr>
        <w:t xml:space="preserve">6 straipsnis. </w:t>
      </w:r>
      <w:r w:rsidR="00AD7A49">
        <w:rPr>
          <w:rFonts w:eastAsia="Calibri"/>
          <w:b/>
          <w:bCs/>
          <w:szCs w:val="24"/>
        </w:rPr>
        <w:t>Įstatymo p</w:t>
      </w:r>
      <w:r>
        <w:rPr>
          <w:rFonts w:eastAsia="Calibri"/>
          <w:b/>
          <w:bCs/>
          <w:szCs w:val="24"/>
        </w:rPr>
        <w:t>riedo pakeitimas</w:t>
      </w:r>
    </w:p>
    <w:p w14:paraId="4FBB813E" w14:textId="12D4BC4B" w:rsidR="00B870C4" w:rsidRPr="00D86CEF" w:rsidRDefault="00291A84" w:rsidP="00AF501A">
      <w:pPr>
        <w:ind w:firstLine="567"/>
        <w:jc w:val="both"/>
        <w:rPr>
          <w:rFonts w:eastAsia="Calibri"/>
          <w:szCs w:val="24"/>
        </w:rPr>
      </w:pPr>
      <w:r>
        <w:rPr>
          <w:rFonts w:eastAsia="Calibri"/>
          <w:szCs w:val="24"/>
        </w:rPr>
        <w:t xml:space="preserve">Papildyti Įstatymo priedą </w:t>
      </w:r>
      <w:r w:rsidRPr="003010A9">
        <w:rPr>
          <w:rFonts w:eastAsia="Calibri"/>
          <w:szCs w:val="24"/>
        </w:rPr>
        <w:t>1</w:t>
      </w:r>
      <w:r w:rsidR="002979BF" w:rsidRPr="003010A9">
        <w:rPr>
          <w:rFonts w:eastAsia="Calibri"/>
          <w:szCs w:val="24"/>
        </w:rPr>
        <w:t>1</w:t>
      </w:r>
      <w:r>
        <w:rPr>
          <w:rFonts w:eastAsia="Calibri"/>
          <w:szCs w:val="24"/>
        </w:rPr>
        <w:t xml:space="preserve"> punktu:</w:t>
      </w:r>
    </w:p>
    <w:p w14:paraId="0576D3FE" w14:textId="4FB06872" w:rsidR="00A82BF0" w:rsidRDefault="00AF501A" w:rsidP="00A82BF0">
      <w:pPr>
        <w:ind w:firstLine="567"/>
        <w:jc w:val="both"/>
        <w:rPr>
          <w:rFonts w:eastAsia="Calibri"/>
          <w:szCs w:val="24"/>
        </w:rPr>
      </w:pPr>
      <w:r>
        <w:rPr>
          <w:rFonts w:eastAsia="Calibri"/>
          <w:szCs w:val="24"/>
        </w:rPr>
        <w:t>„</w:t>
      </w:r>
      <w:r w:rsidR="00A82BF0" w:rsidRPr="001B4B25">
        <w:rPr>
          <w:rFonts w:eastAsia="Calibri"/>
          <w:b/>
          <w:bCs/>
          <w:szCs w:val="24"/>
        </w:rPr>
        <w:t>1</w:t>
      </w:r>
      <w:r w:rsidR="00A82BF0" w:rsidRPr="00AF501A">
        <w:rPr>
          <w:rFonts w:eastAsia="Calibri"/>
          <w:b/>
          <w:bCs/>
          <w:szCs w:val="24"/>
        </w:rPr>
        <w:t>1</w:t>
      </w:r>
      <w:r w:rsidR="00A82BF0" w:rsidRPr="001B4B25">
        <w:rPr>
          <w:rFonts w:eastAsia="Calibri"/>
          <w:b/>
          <w:bCs/>
          <w:szCs w:val="24"/>
        </w:rPr>
        <w:t>. 2019</w:t>
      </w:r>
      <w:r w:rsidR="00A82BF0" w:rsidRPr="00A82BF0">
        <w:rPr>
          <w:rFonts w:eastAsia="Calibri"/>
          <w:b/>
          <w:bCs/>
          <w:szCs w:val="24"/>
        </w:rPr>
        <w:t xml:space="preserve"> m. birželio </w:t>
      </w:r>
      <w:r w:rsidR="00A82BF0" w:rsidRPr="00A82BF0">
        <w:rPr>
          <w:rFonts w:eastAsia="Calibri"/>
          <w:b/>
          <w:bCs/>
          <w:szCs w:val="24"/>
          <w:lang w:val="en-US"/>
        </w:rPr>
        <w:t xml:space="preserve">5 d. Europos </w:t>
      </w:r>
      <w:proofErr w:type="spellStart"/>
      <w:r w:rsidR="00A82BF0" w:rsidRPr="00A82BF0">
        <w:rPr>
          <w:rFonts w:eastAsia="Calibri"/>
          <w:b/>
          <w:bCs/>
          <w:szCs w:val="24"/>
          <w:lang w:val="en-US"/>
        </w:rPr>
        <w:t>Parlamento</w:t>
      </w:r>
      <w:proofErr w:type="spellEnd"/>
      <w:r w:rsidR="00A82BF0" w:rsidRPr="00A82BF0">
        <w:rPr>
          <w:rFonts w:eastAsia="Calibri"/>
          <w:b/>
          <w:bCs/>
          <w:szCs w:val="24"/>
          <w:lang w:val="en-US"/>
        </w:rPr>
        <w:t xml:space="preserve"> </w:t>
      </w:r>
      <w:proofErr w:type="spellStart"/>
      <w:r w:rsidR="00A82BF0" w:rsidRPr="00A82BF0">
        <w:rPr>
          <w:rFonts w:eastAsia="Calibri"/>
          <w:b/>
          <w:bCs/>
          <w:szCs w:val="24"/>
          <w:lang w:val="en-US"/>
        </w:rPr>
        <w:t>ir</w:t>
      </w:r>
      <w:proofErr w:type="spellEnd"/>
      <w:r w:rsidR="00A82BF0" w:rsidRPr="00A82BF0">
        <w:rPr>
          <w:rFonts w:eastAsia="Calibri"/>
          <w:b/>
          <w:bCs/>
          <w:szCs w:val="24"/>
          <w:lang w:val="en-US"/>
        </w:rPr>
        <w:t xml:space="preserve"> </w:t>
      </w:r>
      <w:proofErr w:type="spellStart"/>
      <w:r w:rsidR="00A82BF0" w:rsidRPr="00A82BF0">
        <w:rPr>
          <w:rFonts w:eastAsia="Calibri"/>
          <w:b/>
          <w:bCs/>
          <w:szCs w:val="24"/>
          <w:lang w:val="en-US"/>
        </w:rPr>
        <w:t>Tarybos</w:t>
      </w:r>
      <w:proofErr w:type="spellEnd"/>
      <w:r w:rsidR="00A82BF0" w:rsidRPr="00A82BF0">
        <w:rPr>
          <w:rFonts w:eastAsia="Calibri"/>
          <w:b/>
          <w:bCs/>
          <w:szCs w:val="24"/>
          <w:lang w:val="en-US"/>
        </w:rPr>
        <w:t xml:space="preserve"> </w:t>
      </w:r>
      <w:proofErr w:type="spellStart"/>
      <w:r w:rsidR="00E14C94">
        <w:rPr>
          <w:rFonts w:eastAsia="Calibri"/>
          <w:b/>
          <w:bCs/>
          <w:szCs w:val="24"/>
          <w:lang w:val="en-US"/>
        </w:rPr>
        <w:t>r</w:t>
      </w:r>
      <w:r w:rsidR="00A82BF0" w:rsidRPr="00A82BF0">
        <w:rPr>
          <w:rFonts w:eastAsia="Calibri"/>
          <w:b/>
          <w:bCs/>
          <w:szCs w:val="24"/>
          <w:lang w:val="en-US"/>
        </w:rPr>
        <w:t>eglamentas</w:t>
      </w:r>
      <w:proofErr w:type="spellEnd"/>
      <w:r w:rsidR="00A82BF0" w:rsidRPr="00A82BF0">
        <w:rPr>
          <w:rFonts w:eastAsia="Calibri"/>
          <w:b/>
          <w:bCs/>
          <w:szCs w:val="24"/>
          <w:lang w:val="en-US"/>
        </w:rPr>
        <w:t xml:space="preserve"> (ES) 2019/941 d</w:t>
      </w:r>
      <w:proofErr w:type="spellStart"/>
      <w:r w:rsidR="00A82BF0" w:rsidRPr="00A82BF0">
        <w:rPr>
          <w:rFonts w:eastAsia="Calibri"/>
          <w:b/>
          <w:bCs/>
          <w:szCs w:val="24"/>
        </w:rPr>
        <w:t>ėl</w:t>
      </w:r>
      <w:proofErr w:type="spellEnd"/>
      <w:r w:rsidR="00A82BF0" w:rsidRPr="00A82BF0">
        <w:rPr>
          <w:rFonts w:eastAsia="Calibri"/>
          <w:b/>
          <w:bCs/>
          <w:szCs w:val="24"/>
        </w:rPr>
        <w:t xml:space="preserve"> pasirengimo valdyti riziką elektros energijos sektoriuje, panaikina</w:t>
      </w:r>
      <w:r w:rsidR="005D70AE">
        <w:rPr>
          <w:rFonts w:eastAsia="Calibri"/>
          <w:b/>
          <w:bCs/>
          <w:szCs w:val="24"/>
        </w:rPr>
        <w:t>ntis</w:t>
      </w:r>
      <w:r w:rsidR="00A82BF0" w:rsidRPr="00A82BF0">
        <w:rPr>
          <w:rFonts w:eastAsia="Calibri"/>
          <w:b/>
          <w:bCs/>
          <w:szCs w:val="24"/>
        </w:rPr>
        <w:t xml:space="preserve"> Direktyv</w:t>
      </w:r>
      <w:r w:rsidR="005D70AE">
        <w:rPr>
          <w:rFonts w:eastAsia="Calibri"/>
          <w:b/>
          <w:bCs/>
          <w:szCs w:val="24"/>
        </w:rPr>
        <w:t>ą</w:t>
      </w:r>
      <w:r w:rsidR="00A82BF0" w:rsidRPr="00A82BF0">
        <w:rPr>
          <w:rFonts w:eastAsia="Calibri"/>
          <w:b/>
          <w:bCs/>
          <w:szCs w:val="24"/>
        </w:rPr>
        <w:t xml:space="preserve"> 2005/89/EB.</w:t>
      </w:r>
      <w:r w:rsidR="00A82BF0">
        <w:rPr>
          <w:rFonts w:eastAsia="Calibri"/>
          <w:szCs w:val="24"/>
        </w:rPr>
        <w:t>“</w:t>
      </w:r>
    </w:p>
    <w:p w14:paraId="7BCB2356" w14:textId="0CA92E1A" w:rsidR="004930C2" w:rsidRDefault="004930C2" w:rsidP="00A82BF0">
      <w:pPr>
        <w:ind w:firstLine="567"/>
        <w:jc w:val="both"/>
        <w:rPr>
          <w:rFonts w:eastAsia="Calibri"/>
          <w:szCs w:val="24"/>
        </w:rPr>
      </w:pPr>
    </w:p>
    <w:p w14:paraId="31AAE07F" w14:textId="6A3E9E83" w:rsidR="004930C2" w:rsidRDefault="004930C2" w:rsidP="004930C2">
      <w:pPr>
        <w:ind w:firstLine="567"/>
        <w:jc w:val="both"/>
        <w:rPr>
          <w:rFonts w:eastAsia="Calibri"/>
          <w:b/>
          <w:bCs/>
          <w:szCs w:val="24"/>
        </w:rPr>
      </w:pPr>
      <w:r>
        <w:rPr>
          <w:rFonts w:eastAsia="Calibri"/>
          <w:b/>
          <w:bCs/>
          <w:szCs w:val="24"/>
        </w:rPr>
        <w:t>7 straipsnis. Įstatymo į</w:t>
      </w:r>
      <w:r w:rsidR="00356FEE">
        <w:rPr>
          <w:rFonts w:eastAsia="Calibri"/>
          <w:b/>
          <w:bCs/>
          <w:szCs w:val="24"/>
        </w:rPr>
        <w:t>gyvendinimas</w:t>
      </w:r>
    </w:p>
    <w:p w14:paraId="515A40FC" w14:textId="7F53E493" w:rsidR="004930C2" w:rsidRPr="005C2D9C" w:rsidRDefault="00076B20" w:rsidP="00EF5E7C">
      <w:pPr>
        <w:ind w:firstLine="567"/>
        <w:jc w:val="both"/>
        <w:rPr>
          <w:rFonts w:eastAsia="Calibri"/>
          <w:szCs w:val="24"/>
        </w:rPr>
      </w:pPr>
      <w:r w:rsidRPr="005C2D9C">
        <w:rPr>
          <w:rFonts w:eastAsia="Calibri"/>
          <w:szCs w:val="24"/>
        </w:rPr>
        <w:t xml:space="preserve">Lietuvos Respublikos </w:t>
      </w:r>
      <w:r w:rsidR="00F56CEC" w:rsidRPr="005C2D9C">
        <w:rPr>
          <w:rFonts w:eastAsia="Calibri"/>
          <w:szCs w:val="24"/>
        </w:rPr>
        <w:t xml:space="preserve">Vyriausybė </w:t>
      </w:r>
      <w:r w:rsidRPr="005C2D9C">
        <w:rPr>
          <w:rFonts w:eastAsia="Calibri"/>
          <w:szCs w:val="24"/>
        </w:rPr>
        <w:t>iki</w:t>
      </w:r>
      <w:r>
        <w:rPr>
          <w:rFonts w:eastAsia="Calibri"/>
          <w:b/>
          <w:bCs/>
          <w:szCs w:val="24"/>
        </w:rPr>
        <w:t xml:space="preserve"> </w:t>
      </w:r>
      <w:r w:rsidR="004930C2">
        <w:rPr>
          <w:szCs w:val="24"/>
        </w:rPr>
        <w:t xml:space="preserve"> 2020 m. spalio 1 d.</w:t>
      </w:r>
      <w:r>
        <w:rPr>
          <w:szCs w:val="24"/>
        </w:rPr>
        <w:t xml:space="preserve"> </w:t>
      </w:r>
      <w:r w:rsidRPr="005C2D9C">
        <w:rPr>
          <w:rFonts w:eastAsia="Calibri"/>
          <w:szCs w:val="24"/>
        </w:rPr>
        <w:t>patvirtina elektros energijos tiekimo saugumo užtikrinimo priemonių aprašą.</w:t>
      </w:r>
    </w:p>
    <w:bookmarkEnd w:id="0"/>
    <w:p w14:paraId="7922FC73" w14:textId="6976FFD3" w:rsidR="00A82BF0" w:rsidRDefault="00A82BF0" w:rsidP="000B4EA2">
      <w:pPr>
        <w:tabs>
          <w:tab w:val="left" w:pos="567"/>
        </w:tabs>
        <w:spacing w:line="276" w:lineRule="auto"/>
        <w:jc w:val="both"/>
        <w:rPr>
          <w:szCs w:val="22"/>
          <w:lang w:eastAsia="lt-LT"/>
        </w:rPr>
      </w:pPr>
    </w:p>
    <w:p w14:paraId="1541375E" w14:textId="77777777" w:rsidR="00FB12F5" w:rsidRDefault="00FB12F5" w:rsidP="000B4EA2">
      <w:pPr>
        <w:tabs>
          <w:tab w:val="left" w:pos="567"/>
        </w:tabs>
        <w:spacing w:line="276" w:lineRule="auto"/>
        <w:jc w:val="both"/>
        <w:rPr>
          <w:szCs w:val="22"/>
          <w:lang w:eastAsia="lt-LT"/>
        </w:rPr>
      </w:pPr>
    </w:p>
    <w:p w14:paraId="4E3BC522" w14:textId="77777777" w:rsidR="00A82BF0" w:rsidRDefault="00A82BF0" w:rsidP="00A82BF0">
      <w:pPr>
        <w:tabs>
          <w:tab w:val="left" w:pos="567"/>
        </w:tabs>
        <w:spacing w:line="276" w:lineRule="auto"/>
        <w:ind w:firstLine="567"/>
        <w:jc w:val="both"/>
        <w:rPr>
          <w:i/>
          <w:szCs w:val="22"/>
          <w:lang w:eastAsia="lt-LT"/>
        </w:rPr>
      </w:pPr>
      <w:r>
        <w:rPr>
          <w:i/>
          <w:szCs w:val="22"/>
          <w:lang w:eastAsia="lt-LT"/>
        </w:rPr>
        <w:t>Skelbiu šį Lietuvos Respublikos Seimo priimtą įstatymą.</w:t>
      </w:r>
    </w:p>
    <w:p w14:paraId="66067ED8" w14:textId="1AD1887B" w:rsidR="00A82BF0" w:rsidRDefault="00A82BF0" w:rsidP="00A82BF0">
      <w:pPr>
        <w:tabs>
          <w:tab w:val="left" w:pos="567"/>
        </w:tabs>
        <w:spacing w:line="276" w:lineRule="auto"/>
        <w:ind w:firstLine="567"/>
        <w:jc w:val="both"/>
        <w:rPr>
          <w:i/>
          <w:szCs w:val="22"/>
          <w:lang w:eastAsia="lt-LT"/>
        </w:rPr>
      </w:pPr>
    </w:p>
    <w:p w14:paraId="736DA701" w14:textId="77777777" w:rsidR="00A721FB" w:rsidRDefault="00A721FB" w:rsidP="00A82BF0">
      <w:pPr>
        <w:tabs>
          <w:tab w:val="left" w:pos="567"/>
        </w:tabs>
        <w:spacing w:line="276" w:lineRule="auto"/>
        <w:ind w:firstLine="567"/>
        <w:jc w:val="both"/>
        <w:rPr>
          <w:i/>
          <w:szCs w:val="22"/>
          <w:lang w:eastAsia="lt-LT"/>
        </w:rPr>
      </w:pPr>
    </w:p>
    <w:p w14:paraId="223D07FA" w14:textId="77777777" w:rsidR="00A82BF0" w:rsidRDefault="00A82BF0" w:rsidP="00A82BF0">
      <w:pPr>
        <w:tabs>
          <w:tab w:val="left" w:pos="567"/>
        </w:tabs>
        <w:spacing w:line="276" w:lineRule="auto"/>
        <w:ind w:firstLine="567"/>
        <w:jc w:val="both"/>
        <w:rPr>
          <w:i/>
          <w:szCs w:val="22"/>
          <w:lang w:eastAsia="lt-LT"/>
        </w:rPr>
      </w:pPr>
    </w:p>
    <w:p w14:paraId="1A67BDB1" w14:textId="77777777" w:rsidR="00A82BF0" w:rsidRDefault="00A82BF0" w:rsidP="000B4EA2">
      <w:pPr>
        <w:tabs>
          <w:tab w:val="left" w:pos="567"/>
        </w:tabs>
        <w:spacing w:line="276" w:lineRule="auto"/>
        <w:jc w:val="both"/>
        <w:rPr>
          <w:i/>
          <w:szCs w:val="22"/>
          <w:lang w:eastAsia="lt-LT"/>
        </w:rPr>
      </w:pPr>
      <w:r>
        <w:rPr>
          <w:szCs w:val="22"/>
          <w:lang w:eastAsia="lt-LT"/>
        </w:rPr>
        <w:t>Respublikos Prezidentas</w:t>
      </w:r>
    </w:p>
    <w:p w14:paraId="3B40172D" w14:textId="64C032F5" w:rsidR="002B05C7" w:rsidRDefault="002B05C7" w:rsidP="00A82BF0">
      <w:pPr>
        <w:tabs>
          <w:tab w:val="left" w:pos="567"/>
        </w:tabs>
        <w:jc w:val="center"/>
        <w:rPr>
          <w:i/>
          <w:szCs w:val="22"/>
          <w:lang w:eastAsia="lt-LT"/>
        </w:rPr>
      </w:pPr>
    </w:p>
    <w:sectPr w:rsidR="002B05C7">
      <w:headerReference w:type="even" r:id="rId10"/>
      <w:headerReference w:type="default" r:id="rId11"/>
      <w:footerReference w:type="even" r:id="rId12"/>
      <w:footerReference w:type="default" r:id="rId13"/>
      <w:headerReference w:type="first" r:id="rId14"/>
      <w:footerReference w:type="first" r:id="rId15"/>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D2E11" w14:textId="77777777" w:rsidR="0038481A" w:rsidRDefault="0038481A">
      <w:pPr>
        <w:rPr>
          <w:rFonts w:ascii="Calibri" w:hAnsi="Calibri"/>
          <w:sz w:val="22"/>
          <w:szCs w:val="22"/>
          <w:lang w:eastAsia="lt-LT"/>
        </w:rPr>
      </w:pPr>
      <w:r>
        <w:rPr>
          <w:rFonts w:ascii="Calibri" w:hAnsi="Calibri"/>
          <w:sz w:val="22"/>
          <w:szCs w:val="22"/>
          <w:lang w:eastAsia="lt-LT"/>
        </w:rPr>
        <w:separator/>
      </w:r>
    </w:p>
  </w:endnote>
  <w:endnote w:type="continuationSeparator" w:id="0">
    <w:p w14:paraId="0C997F55" w14:textId="77777777" w:rsidR="0038481A" w:rsidRDefault="0038481A">
      <w:pPr>
        <w:rPr>
          <w:rFonts w:ascii="Calibri" w:hAnsi="Calibri"/>
          <w:sz w:val="22"/>
          <w:szCs w:val="22"/>
          <w:lang w:eastAsia="lt-LT"/>
        </w:rPr>
      </w:pPr>
      <w:r>
        <w:rPr>
          <w:rFonts w:ascii="Calibri" w:hAnsi="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ECE88" w14:textId="77777777" w:rsidR="00B65CEE" w:rsidRDefault="00B65CEE">
    <w:pPr>
      <w:tabs>
        <w:tab w:val="center" w:pos="4819"/>
        <w:tab w:val="right" w:pos="9638"/>
      </w:tabs>
      <w:rPr>
        <w:rFonts w:ascii="Calibri" w:hAnsi="Calibri"/>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33AA0" w14:textId="77777777" w:rsidR="00B65CEE" w:rsidRDefault="00B65CEE">
    <w:pPr>
      <w:tabs>
        <w:tab w:val="center" w:pos="4819"/>
        <w:tab w:val="right" w:pos="9638"/>
      </w:tabs>
      <w:rPr>
        <w:rFonts w:ascii="Calibri" w:hAnsi="Calibri"/>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1287D" w14:textId="77777777" w:rsidR="00B65CEE" w:rsidRDefault="00B65CEE">
    <w:pPr>
      <w:tabs>
        <w:tab w:val="center" w:pos="4819"/>
        <w:tab w:val="right" w:pos="9638"/>
      </w:tabs>
      <w:rPr>
        <w:rFonts w:ascii="Calibri" w:hAnsi="Calibri"/>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46301" w14:textId="77777777" w:rsidR="0038481A" w:rsidRDefault="0038481A">
      <w:pPr>
        <w:rPr>
          <w:rFonts w:ascii="Calibri" w:hAnsi="Calibri"/>
          <w:sz w:val="22"/>
          <w:szCs w:val="22"/>
          <w:lang w:eastAsia="lt-LT"/>
        </w:rPr>
      </w:pPr>
      <w:r>
        <w:rPr>
          <w:rFonts w:ascii="Calibri" w:hAnsi="Calibri"/>
          <w:sz w:val="22"/>
          <w:szCs w:val="22"/>
          <w:lang w:eastAsia="lt-LT"/>
        </w:rPr>
        <w:separator/>
      </w:r>
    </w:p>
  </w:footnote>
  <w:footnote w:type="continuationSeparator" w:id="0">
    <w:p w14:paraId="0A9BAFBC" w14:textId="77777777" w:rsidR="0038481A" w:rsidRDefault="0038481A">
      <w:pPr>
        <w:rPr>
          <w:rFonts w:ascii="Calibri" w:hAnsi="Calibri"/>
          <w:sz w:val="22"/>
          <w:szCs w:val="22"/>
          <w:lang w:eastAsia="lt-LT"/>
        </w:rPr>
      </w:pPr>
      <w:r>
        <w:rPr>
          <w:rFonts w:ascii="Calibri" w:hAnsi="Calibri"/>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AB184" w14:textId="77777777" w:rsidR="00B65CEE" w:rsidRDefault="00B65CEE">
    <w:pPr>
      <w:tabs>
        <w:tab w:val="center" w:pos="4819"/>
        <w:tab w:val="right" w:pos="9638"/>
      </w:tabs>
      <w:rPr>
        <w:rFonts w:ascii="Calibri" w:hAnsi="Calibri"/>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E4059" w14:textId="4E969B58" w:rsidR="00B65CEE" w:rsidRDefault="00B65CEE">
    <w:pPr>
      <w:tabs>
        <w:tab w:val="center" w:pos="4819"/>
        <w:tab w:val="right" w:pos="9638"/>
      </w:tabs>
      <w:jc w:val="center"/>
      <w:rPr>
        <w:rFonts w:ascii="Calibri" w:hAnsi="Calibri"/>
        <w:sz w:val="22"/>
        <w:szCs w:val="22"/>
        <w:lang w:eastAsia="lt-LT"/>
      </w:rPr>
    </w:pPr>
    <w:r>
      <w:rPr>
        <w:sz w:val="22"/>
        <w:szCs w:val="22"/>
        <w:lang w:eastAsia="lt-LT"/>
      </w:rPr>
      <w:fldChar w:fldCharType="begin"/>
    </w:r>
    <w:r>
      <w:rPr>
        <w:sz w:val="22"/>
        <w:szCs w:val="22"/>
        <w:lang w:eastAsia="lt-LT"/>
      </w:rPr>
      <w:instrText xml:space="preserve"> PAGE   \* MERGEFORMAT </w:instrText>
    </w:r>
    <w:r>
      <w:rPr>
        <w:sz w:val="22"/>
        <w:szCs w:val="22"/>
        <w:lang w:eastAsia="lt-LT"/>
      </w:rPr>
      <w:fldChar w:fldCharType="separate"/>
    </w:r>
    <w:r>
      <w:rPr>
        <w:sz w:val="22"/>
        <w:szCs w:val="22"/>
        <w:lang w:eastAsia="lt-LT"/>
      </w:rPr>
      <w:t>26</w:t>
    </w:r>
    <w:r>
      <w:rPr>
        <w:sz w:val="22"/>
        <w:szCs w:val="22"/>
        <w:lang w:eastAsia="lt-LT"/>
      </w:rPr>
      <w:fldChar w:fldCharType="end"/>
    </w:r>
  </w:p>
  <w:p w14:paraId="40478C32" w14:textId="77777777" w:rsidR="00B65CEE" w:rsidRDefault="00B65CEE">
    <w:pPr>
      <w:tabs>
        <w:tab w:val="center" w:pos="4819"/>
        <w:tab w:val="right" w:pos="9638"/>
      </w:tabs>
      <w:rPr>
        <w:rFonts w:ascii="Calibri" w:hAnsi="Calibri"/>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D7650" w14:textId="77777777" w:rsidR="00B65CEE" w:rsidRDefault="00B65CEE">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5D3C"/>
    <w:multiLevelType w:val="hybridMultilevel"/>
    <w:tmpl w:val="B61E43AA"/>
    <w:lvl w:ilvl="0" w:tplc="6CB6DC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2D23C2D"/>
    <w:multiLevelType w:val="hybridMultilevel"/>
    <w:tmpl w:val="4E32505A"/>
    <w:lvl w:ilvl="0" w:tplc="21B8E992">
      <w:start w:val="1"/>
      <w:numFmt w:val="decimal"/>
      <w:lvlText w:val="%1."/>
      <w:lvlJc w:val="left"/>
      <w:pPr>
        <w:ind w:left="680" w:firstLine="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CD679A"/>
    <w:multiLevelType w:val="hybridMultilevel"/>
    <w:tmpl w:val="183E6D94"/>
    <w:lvl w:ilvl="0" w:tplc="F6B634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CE0024C"/>
    <w:multiLevelType w:val="hybridMultilevel"/>
    <w:tmpl w:val="D07EF77E"/>
    <w:lvl w:ilvl="0" w:tplc="8A4858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ED92476"/>
    <w:multiLevelType w:val="hybridMultilevel"/>
    <w:tmpl w:val="2BE44EAE"/>
    <w:lvl w:ilvl="0" w:tplc="DF685D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16732B6"/>
    <w:multiLevelType w:val="hybridMultilevel"/>
    <w:tmpl w:val="007CD09A"/>
    <w:lvl w:ilvl="0" w:tplc="E508E8A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8BD25EC"/>
    <w:multiLevelType w:val="hybridMultilevel"/>
    <w:tmpl w:val="03BA542C"/>
    <w:lvl w:ilvl="0" w:tplc="D5D2516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C0C7871"/>
    <w:multiLevelType w:val="hybridMultilevel"/>
    <w:tmpl w:val="E72E6E16"/>
    <w:lvl w:ilvl="0" w:tplc="3554667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325E0DD2"/>
    <w:multiLevelType w:val="hybridMultilevel"/>
    <w:tmpl w:val="B7B41CCA"/>
    <w:lvl w:ilvl="0" w:tplc="2DC8B35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55944E8"/>
    <w:multiLevelType w:val="hybridMultilevel"/>
    <w:tmpl w:val="D20EE6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102CD"/>
    <w:multiLevelType w:val="hybridMultilevel"/>
    <w:tmpl w:val="FB92B320"/>
    <w:lvl w:ilvl="0" w:tplc="74709080">
      <w:start w:val="1"/>
      <w:numFmt w:val="decimal"/>
      <w:lvlText w:val="%1."/>
      <w:lvlJc w:val="left"/>
      <w:pPr>
        <w:ind w:left="927"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6EB7AC1"/>
    <w:multiLevelType w:val="hybridMultilevel"/>
    <w:tmpl w:val="D3DC33DE"/>
    <w:lvl w:ilvl="0" w:tplc="4ECE83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3D55D26"/>
    <w:multiLevelType w:val="hybridMultilevel"/>
    <w:tmpl w:val="43CAE8A4"/>
    <w:lvl w:ilvl="0" w:tplc="4A7CE19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2983E32"/>
    <w:multiLevelType w:val="hybridMultilevel"/>
    <w:tmpl w:val="F72E5630"/>
    <w:lvl w:ilvl="0" w:tplc="E32EF0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58D11EF"/>
    <w:multiLevelType w:val="hybridMultilevel"/>
    <w:tmpl w:val="2DB28E30"/>
    <w:lvl w:ilvl="0" w:tplc="DB0292CC">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7"/>
  </w:num>
  <w:num w:numId="2">
    <w:abstractNumId w:val="2"/>
  </w:num>
  <w:num w:numId="3">
    <w:abstractNumId w:val="3"/>
  </w:num>
  <w:num w:numId="4">
    <w:abstractNumId w:val="8"/>
  </w:num>
  <w:num w:numId="5">
    <w:abstractNumId w:val="4"/>
  </w:num>
  <w:num w:numId="6">
    <w:abstractNumId w:val="0"/>
  </w:num>
  <w:num w:numId="7">
    <w:abstractNumId w:val="13"/>
  </w:num>
  <w:num w:numId="8">
    <w:abstractNumId w:val="6"/>
  </w:num>
  <w:num w:numId="9">
    <w:abstractNumId w:val="12"/>
  </w:num>
  <w:num w:numId="10">
    <w:abstractNumId w:val="5"/>
  </w:num>
  <w:num w:numId="11">
    <w:abstractNumId w:val="14"/>
  </w:num>
  <w:num w:numId="12">
    <w:abstractNumId w:val="11"/>
  </w:num>
  <w:num w:numId="13">
    <w:abstractNumId w:val="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20"/>
    <w:rsid w:val="0000595B"/>
    <w:rsid w:val="000059C8"/>
    <w:rsid w:val="00013310"/>
    <w:rsid w:val="000145EA"/>
    <w:rsid w:val="0002072B"/>
    <w:rsid w:val="00021BB0"/>
    <w:rsid w:val="0002667C"/>
    <w:rsid w:val="00026827"/>
    <w:rsid w:val="00031E32"/>
    <w:rsid w:val="0003287A"/>
    <w:rsid w:val="0003457E"/>
    <w:rsid w:val="000357DA"/>
    <w:rsid w:val="0004592C"/>
    <w:rsid w:val="00050D63"/>
    <w:rsid w:val="000518D0"/>
    <w:rsid w:val="00055846"/>
    <w:rsid w:val="00056706"/>
    <w:rsid w:val="00071795"/>
    <w:rsid w:val="00076B20"/>
    <w:rsid w:val="00083F2E"/>
    <w:rsid w:val="000857DA"/>
    <w:rsid w:val="00086AF8"/>
    <w:rsid w:val="00086BB5"/>
    <w:rsid w:val="000907E6"/>
    <w:rsid w:val="00092212"/>
    <w:rsid w:val="00093BD3"/>
    <w:rsid w:val="00094F5A"/>
    <w:rsid w:val="000B0125"/>
    <w:rsid w:val="000B1437"/>
    <w:rsid w:val="000B1D38"/>
    <w:rsid w:val="000B4027"/>
    <w:rsid w:val="000B4442"/>
    <w:rsid w:val="000B4EA2"/>
    <w:rsid w:val="000C4F83"/>
    <w:rsid w:val="000C6973"/>
    <w:rsid w:val="000D0C55"/>
    <w:rsid w:val="000D3868"/>
    <w:rsid w:val="000D3D92"/>
    <w:rsid w:val="000E02BA"/>
    <w:rsid w:val="000E4CBE"/>
    <w:rsid w:val="000E517F"/>
    <w:rsid w:val="000E757B"/>
    <w:rsid w:val="000F0C62"/>
    <w:rsid w:val="00100B5F"/>
    <w:rsid w:val="00102699"/>
    <w:rsid w:val="00104003"/>
    <w:rsid w:val="00105B62"/>
    <w:rsid w:val="00106773"/>
    <w:rsid w:val="00106D97"/>
    <w:rsid w:val="001076CC"/>
    <w:rsid w:val="00107E7A"/>
    <w:rsid w:val="00107F5D"/>
    <w:rsid w:val="00111F26"/>
    <w:rsid w:val="001155C2"/>
    <w:rsid w:val="001156D9"/>
    <w:rsid w:val="00116D50"/>
    <w:rsid w:val="00116DA8"/>
    <w:rsid w:val="001215DD"/>
    <w:rsid w:val="001228C1"/>
    <w:rsid w:val="00125A6A"/>
    <w:rsid w:val="00132AE1"/>
    <w:rsid w:val="00132CAA"/>
    <w:rsid w:val="001336BF"/>
    <w:rsid w:val="00133885"/>
    <w:rsid w:val="00135954"/>
    <w:rsid w:val="00135A74"/>
    <w:rsid w:val="0013621E"/>
    <w:rsid w:val="00140680"/>
    <w:rsid w:val="0015010F"/>
    <w:rsid w:val="00154381"/>
    <w:rsid w:val="001649CA"/>
    <w:rsid w:val="001663EF"/>
    <w:rsid w:val="001667B3"/>
    <w:rsid w:val="0016741E"/>
    <w:rsid w:val="0017099C"/>
    <w:rsid w:val="00170DE4"/>
    <w:rsid w:val="0017492E"/>
    <w:rsid w:val="00192316"/>
    <w:rsid w:val="001B1D10"/>
    <w:rsid w:val="001B2623"/>
    <w:rsid w:val="001B4B25"/>
    <w:rsid w:val="001C0306"/>
    <w:rsid w:val="001C284B"/>
    <w:rsid w:val="001C2A78"/>
    <w:rsid w:val="001C5956"/>
    <w:rsid w:val="001C5B21"/>
    <w:rsid w:val="001D34E7"/>
    <w:rsid w:val="001D74EF"/>
    <w:rsid w:val="001D7FED"/>
    <w:rsid w:val="001E128B"/>
    <w:rsid w:val="001F1E5E"/>
    <w:rsid w:val="001F294B"/>
    <w:rsid w:val="001F4E46"/>
    <w:rsid w:val="001F66F0"/>
    <w:rsid w:val="00203843"/>
    <w:rsid w:val="00205BEE"/>
    <w:rsid w:val="00223CC2"/>
    <w:rsid w:val="00224AD3"/>
    <w:rsid w:val="00225799"/>
    <w:rsid w:val="0023521D"/>
    <w:rsid w:val="00241387"/>
    <w:rsid w:val="00242D4D"/>
    <w:rsid w:val="00243159"/>
    <w:rsid w:val="002437AE"/>
    <w:rsid w:val="00250DB3"/>
    <w:rsid w:val="00252EC6"/>
    <w:rsid w:val="0025412B"/>
    <w:rsid w:val="00254DAA"/>
    <w:rsid w:val="00256953"/>
    <w:rsid w:val="002574AA"/>
    <w:rsid w:val="00260198"/>
    <w:rsid w:val="00262062"/>
    <w:rsid w:val="00263534"/>
    <w:rsid w:val="002703F1"/>
    <w:rsid w:val="00271AEA"/>
    <w:rsid w:val="00272213"/>
    <w:rsid w:val="00273CC6"/>
    <w:rsid w:val="00282621"/>
    <w:rsid w:val="0028337F"/>
    <w:rsid w:val="00284B60"/>
    <w:rsid w:val="00286800"/>
    <w:rsid w:val="0029183E"/>
    <w:rsid w:val="00291A84"/>
    <w:rsid w:val="002946DA"/>
    <w:rsid w:val="00296C5E"/>
    <w:rsid w:val="002971A2"/>
    <w:rsid w:val="002979BF"/>
    <w:rsid w:val="002A0FAF"/>
    <w:rsid w:val="002A509D"/>
    <w:rsid w:val="002A7B27"/>
    <w:rsid w:val="002B05C7"/>
    <w:rsid w:val="002B0F39"/>
    <w:rsid w:val="002B2C33"/>
    <w:rsid w:val="002B43E0"/>
    <w:rsid w:val="002B7BEB"/>
    <w:rsid w:val="002C1597"/>
    <w:rsid w:val="002C1DF6"/>
    <w:rsid w:val="002C3D71"/>
    <w:rsid w:val="002D1013"/>
    <w:rsid w:val="002D3C6A"/>
    <w:rsid w:val="002D4B0A"/>
    <w:rsid w:val="002D6A1C"/>
    <w:rsid w:val="002E0A23"/>
    <w:rsid w:val="002E0C8D"/>
    <w:rsid w:val="002E31B0"/>
    <w:rsid w:val="002E5B78"/>
    <w:rsid w:val="002E67A9"/>
    <w:rsid w:val="002F0C4C"/>
    <w:rsid w:val="002F0D18"/>
    <w:rsid w:val="002F1AA7"/>
    <w:rsid w:val="002F636F"/>
    <w:rsid w:val="002F671B"/>
    <w:rsid w:val="003010A9"/>
    <w:rsid w:val="00303EC8"/>
    <w:rsid w:val="003044AF"/>
    <w:rsid w:val="00306F82"/>
    <w:rsid w:val="00310471"/>
    <w:rsid w:val="00314DC6"/>
    <w:rsid w:val="00315ECD"/>
    <w:rsid w:val="00320FD5"/>
    <w:rsid w:val="00321B26"/>
    <w:rsid w:val="0032296D"/>
    <w:rsid w:val="00323026"/>
    <w:rsid w:val="0032325B"/>
    <w:rsid w:val="00323DB0"/>
    <w:rsid w:val="003267A5"/>
    <w:rsid w:val="0033273A"/>
    <w:rsid w:val="00334856"/>
    <w:rsid w:val="00334D49"/>
    <w:rsid w:val="003426FD"/>
    <w:rsid w:val="0034281E"/>
    <w:rsid w:val="0035124E"/>
    <w:rsid w:val="00352AAC"/>
    <w:rsid w:val="0035313F"/>
    <w:rsid w:val="00355066"/>
    <w:rsid w:val="00356FEE"/>
    <w:rsid w:val="00365980"/>
    <w:rsid w:val="00370D53"/>
    <w:rsid w:val="00372195"/>
    <w:rsid w:val="003731F4"/>
    <w:rsid w:val="00373F93"/>
    <w:rsid w:val="00376ED7"/>
    <w:rsid w:val="00377B86"/>
    <w:rsid w:val="0038409B"/>
    <w:rsid w:val="003840B8"/>
    <w:rsid w:val="0038436F"/>
    <w:rsid w:val="0038481A"/>
    <w:rsid w:val="003865FA"/>
    <w:rsid w:val="00391DCA"/>
    <w:rsid w:val="0039289A"/>
    <w:rsid w:val="00393C02"/>
    <w:rsid w:val="00396905"/>
    <w:rsid w:val="00397B31"/>
    <w:rsid w:val="003A016D"/>
    <w:rsid w:val="003A352B"/>
    <w:rsid w:val="003A584B"/>
    <w:rsid w:val="003A5CCF"/>
    <w:rsid w:val="003A6E87"/>
    <w:rsid w:val="003A7849"/>
    <w:rsid w:val="003B1E95"/>
    <w:rsid w:val="003B21E5"/>
    <w:rsid w:val="003B3B18"/>
    <w:rsid w:val="003B47A8"/>
    <w:rsid w:val="003B4CD0"/>
    <w:rsid w:val="003B5977"/>
    <w:rsid w:val="003C0793"/>
    <w:rsid w:val="003C1022"/>
    <w:rsid w:val="003C4C1B"/>
    <w:rsid w:val="003D58B0"/>
    <w:rsid w:val="003D5C16"/>
    <w:rsid w:val="003E0347"/>
    <w:rsid w:val="003E0708"/>
    <w:rsid w:val="003F16AC"/>
    <w:rsid w:val="003F3132"/>
    <w:rsid w:val="003F3EC1"/>
    <w:rsid w:val="003F7167"/>
    <w:rsid w:val="003F7C05"/>
    <w:rsid w:val="004006A1"/>
    <w:rsid w:val="004035F9"/>
    <w:rsid w:val="00403920"/>
    <w:rsid w:val="004109EA"/>
    <w:rsid w:val="00411113"/>
    <w:rsid w:val="00415624"/>
    <w:rsid w:val="00415AE8"/>
    <w:rsid w:val="0042413E"/>
    <w:rsid w:val="00425B10"/>
    <w:rsid w:val="0042682F"/>
    <w:rsid w:val="004317DE"/>
    <w:rsid w:val="004338F2"/>
    <w:rsid w:val="00436E87"/>
    <w:rsid w:val="00443D11"/>
    <w:rsid w:val="00444584"/>
    <w:rsid w:val="00452206"/>
    <w:rsid w:val="004562A3"/>
    <w:rsid w:val="004577CC"/>
    <w:rsid w:val="00460E0A"/>
    <w:rsid w:val="004623D6"/>
    <w:rsid w:val="004625E4"/>
    <w:rsid w:val="00463E0A"/>
    <w:rsid w:val="00464C8C"/>
    <w:rsid w:val="004650BF"/>
    <w:rsid w:val="00470F76"/>
    <w:rsid w:val="00472A23"/>
    <w:rsid w:val="00475572"/>
    <w:rsid w:val="00475FFB"/>
    <w:rsid w:val="00482CBB"/>
    <w:rsid w:val="00485A11"/>
    <w:rsid w:val="00486B22"/>
    <w:rsid w:val="0049182F"/>
    <w:rsid w:val="004927A4"/>
    <w:rsid w:val="004930C2"/>
    <w:rsid w:val="00493C3B"/>
    <w:rsid w:val="004940F9"/>
    <w:rsid w:val="004949C5"/>
    <w:rsid w:val="004A0812"/>
    <w:rsid w:val="004A36BF"/>
    <w:rsid w:val="004A696B"/>
    <w:rsid w:val="004B027A"/>
    <w:rsid w:val="004B0628"/>
    <w:rsid w:val="004B72DB"/>
    <w:rsid w:val="004C180A"/>
    <w:rsid w:val="004C2862"/>
    <w:rsid w:val="004C5360"/>
    <w:rsid w:val="004D1DC3"/>
    <w:rsid w:val="004D4CB0"/>
    <w:rsid w:val="004D5111"/>
    <w:rsid w:val="004D7E64"/>
    <w:rsid w:val="004E02A2"/>
    <w:rsid w:val="004E0B18"/>
    <w:rsid w:val="004E41B5"/>
    <w:rsid w:val="004E5841"/>
    <w:rsid w:val="004E5D44"/>
    <w:rsid w:val="004E5EAC"/>
    <w:rsid w:val="004E7D59"/>
    <w:rsid w:val="004F22B2"/>
    <w:rsid w:val="004F475C"/>
    <w:rsid w:val="004F5C50"/>
    <w:rsid w:val="004F5F73"/>
    <w:rsid w:val="004F677E"/>
    <w:rsid w:val="004F75A1"/>
    <w:rsid w:val="00501783"/>
    <w:rsid w:val="0050391E"/>
    <w:rsid w:val="005056BE"/>
    <w:rsid w:val="00507179"/>
    <w:rsid w:val="00513D58"/>
    <w:rsid w:val="00514CA3"/>
    <w:rsid w:val="00514E84"/>
    <w:rsid w:val="0051640A"/>
    <w:rsid w:val="00522F84"/>
    <w:rsid w:val="00527912"/>
    <w:rsid w:val="00527B6B"/>
    <w:rsid w:val="00527C07"/>
    <w:rsid w:val="00531229"/>
    <w:rsid w:val="005317E4"/>
    <w:rsid w:val="005347C8"/>
    <w:rsid w:val="00536EA9"/>
    <w:rsid w:val="00537148"/>
    <w:rsid w:val="005377AF"/>
    <w:rsid w:val="00545938"/>
    <w:rsid w:val="005468A5"/>
    <w:rsid w:val="005569DB"/>
    <w:rsid w:val="00563230"/>
    <w:rsid w:val="005637F7"/>
    <w:rsid w:val="005675BA"/>
    <w:rsid w:val="0057481D"/>
    <w:rsid w:val="00574B67"/>
    <w:rsid w:val="00574D30"/>
    <w:rsid w:val="00581211"/>
    <w:rsid w:val="00582982"/>
    <w:rsid w:val="0058677D"/>
    <w:rsid w:val="00587A95"/>
    <w:rsid w:val="005901CB"/>
    <w:rsid w:val="00590866"/>
    <w:rsid w:val="00590EDD"/>
    <w:rsid w:val="005914D1"/>
    <w:rsid w:val="00593599"/>
    <w:rsid w:val="00596F61"/>
    <w:rsid w:val="005A6793"/>
    <w:rsid w:val="005B2953"/>
    <w:rsid w:val="005C008F"/>
    <w:rsid w:val="005C1A5D"/>
    <w:rsid w:val="005C2691"/>
    <w:rsid w:val="005C2D9C"/>
    <w:rsid w:val="005C55D4"/>
    <w:rsid w:val="005D2385"/>
    <w:rsid w:val="005D3362"/>
    <w:rsid w:val="005D70AE"/>
    <w:rsid w:val="005E0F34"/>
    <w:rsid w:val="005E0F88"/>
    <w:rsid w:val="005E32C5"/>
    <w:rsid w:val="005E4324"/>
    <w:rsid w:val="005F06C1"/>
    <w:rsid w:val="005F06F8"/>
    <w:rsid w:val="005F5714"/>
    <w:rsid w:val="005F5ABF"/>
    <w:rsid w:val="005F7105"/>
    <w:rsid w:val="006005A7"/>
    <w:rsid w:val="00600803"/>
    <w:rsid w:val="00601120"/>
    <w:rsid w:val="00610F87"/>
    <w:rsid w:val="00612028"/>
    <w:rsid w:val="00615582"/>
    <w:rsid w:val="006156C7"/>
    <w:rsid w:val="006164CD"/>
    <w:rsid w:val="0061670F"/>
    <w:rsid w:val="006175C1"/>
    <w:rsid w:val="00626502"/>
    <w:rsid w:val="00637AFE"/>
    <w:rsid w:val="00640808"/>
    <w:rsid w:val="00641919"/>
    <w:rsid w:val="00641E3F"/>
    <w:rsid w:val="00642EE7"/>
    <w:rsid w:val="00643C0A"/>
    <w:rsid w:val="00647DA3"/>
    <w:rsid w:val="00647E8E"/>
    <w:rsid w:val="0065128D"/>
    <w:rsid w:val="00655CB2"/>
    <w:rsid w:val="00661B09"/>
    <w:rsid w:val="006631FE"/>
    <w:rsid w:val="00666454"/>
    <w:rsid w:val="00671EB2"/>
    <w:rsid w:val="006725CA"/>
    <w:rsid w:val="0067420C"/>
    <w:rsid w:val="00674B26"/>
    <w:rsid w:val="006810A5"/>
    <w:rsid w:val="006825F9"/>
    <w:rsid w:val="0068333E"/>
    <w:rsid w:val="0068689D"/>
    <w:rsid w:val="0068736E"/>
    <w:rsid w:val="006875D6"/>
    <w:rsid w:val="0069318F"/>
    <w:rsid w:val="00695D88"/>
    <w:rsid w:val="00696D46"/>
    <w:rsid w:val="006B31CC"/>
    <w:rsid w:val="006B3B3D"/>
    <w:rsid w:val="006B3D04"/>
    <w:rsid w:val="006C26FC"/>
    <w:rsid w:val="006C3403"/>
    <w:rsid w:val="006C3CA7"/>
    <w:rsid w:val="006D179B"/>
    <w:rsid w:val="006D1861"/>
    <w:rsid w:val="006D481D"/>
    <w:rsid w:val="006D5608"/>
    <w:rsid w:val="006E2FEB"/>
    <w:rsid w:val="006E429E"/>
    <w:rsid w:val="006E66D6"/>
    <w:rsid w:val="006F22C9"/>
    <w:rsid w:val="007042D7"/>
    <w:rsid w:val="0070494B"/>
    <w:rsid w:val="00706248"/>
    <w:rsid w:val="00707696"/>
    <w:rsid w:val="0071445C"/>
    <w:rsid w:val="0072251D"/>
    <w:rsid w:val="00723191"/>
    <w:rsid w:val="0072521C"/>
    <w:rsid w:val="00726C95"/>
    <w:rsid w:val="007363EA"/>
    <w:rsid w:val="00740962"/>
    <w:rsid w:val="00743BD9"/>
    <w:rsid w:val="00751694"/>
    <w:rsid w:val="00751E94"/>
    <w:rsid w:val="00762B0C"/>
    <w:rsid w:val="00764037"/>
    <w:rsid w:val="00765039"/>
    <w:rsid w:val="00767DAA"/>
    <w:rsid w:val="00776097"/>
    <w:rsid w:val="00780DA1"/>
    <w:rsid w:val="00786642"/>
    <w:rsid w:val="007939B3"/>
    <w:rsid w:val="0079658F"/>
    <w:rsid w:val="00797868"/>
    <w:rsid w:val="007A1222"/>
    <w:rsid w:val="007A1B8F"/>
    <w:rsid w:val="007A5B53"/>
    <w:rsid w:val="007A6D0F"/>
    <w:rsid w:val="007B04C1"/>
    <w:rsid w:val="007B11A7"/>
    <w:rsid w:val="007B304B"/>
    <w:rsid w:val="007B773A"/>
    <w:rsid w:val="007C047B"/>
    <w:rsid w:val="007C3265"/>
    <w:rsid w:val="007C49CB"/>
    <w:rsid w:val="007C53BF"/>
    <w:rsid w:val="007C6503"/>
    <w:rsid w:val="007C78D5"/>
    <w:rsid w:val="007D3FFC"/>
    <w:rsid w:val="007D44E8"/>
    <w:rsid w:val="007E28C1"/>
    <w:rsid w:val="007E37E6"/>
    <w:rsid w:val="007E66E4"/>
    <w:rsid w:val="007F06B2"/>
    <w:rsid w:val="007F0E63"/>
    <w:rsid w:val="007F437F"/>
    <w:rsid w:val="007F5521"/>
    <w:rsid w:val="00801C2D"/>
    <w:rsid w:val="008035AD"/>
    <w:rsid w:val="0080472C"/>
    <w:rsid w:val="00812917"/>
    <w:rsid w:val="00815131"/>
    <w:rsid w:val="0082056B"/>
    <w:rsid w:val="008207A7"/>
    <w:rsid w:val="0082238C"/>
    <w:rsid w:val="0083477C"/>
    <w:rsid w:val="00834DDC"/>
    <w:rsid w:val="00841A01"/>
    <w:rsid w:val="00842D19"/>
    <w:rsid w:val="0084319F"/>
    <w:rsid w:val="008534A4"/>
    <w:rsid w:val="00854174"/>
    <w:rsid w:val="00855C39"/>
    <w:rsid w:val="008621BA"/>
    <w:rsid w:val="00863CC5"/>
    <w:rsid w:val="0086408E"/>
    <w:rsid w:val="00864902"/>
    <w:rsid w:val="00864AC6"/>
    <w:rsid w:val="00865BF8"/>
    <w:rsid w:val="00866546"/>
    <w:rsid w:val="00866792"/>
    <w:rsid w:val="0087004D"/>
    <w:rsid w:val="00870CA8"/>
    <w:rsid w:val="0087582C"/>
    <w:rsid w:val="008764CF"/>
    <w:rsid w:val="008768BB"/>
    <w:rsid w:val="0087698B"/>
    <w:rsid w:val="00876F04"/>
    <w:rsid w:val="008817F2"/>
    <w:rsid w:val="00882E20"/>
    <w:rsid w:val="00884692"/>
    <w:rsid w:val="00885019"/>
    <w:rsid w:val="00885DD4"/>
    <w:rsid w:val="00886249"/>
    <w:rsid w:val="00892FFD"/>
    <w:rsid w:val="00893887"/>
    <w:rsid w:val="008A08B4"/>
    <w:rsid w:val="008B011D"/>
    <w:rsid w:val="008B0F3F"/>
    <w:rsid w:val="008B59E1"/>
    <w:rsid w:val="008B61A0"/>
    <w:rsid w:val="008C1B2C"/>
    <w:rsid w:val="008C3F01"/>
    <w:rsid w:val="008D02A0"/>
    <w:rsid w:val="008D1B77"/>
    <w:rsid w:val="008D5FA7"/>
    <w:rsid w:val="008E5088"/>
    <w:rsid w:val="008E7C4B"/>
    <w:rsid w:val="008E7DA8"/>
    <w:rsid w:val="008F1679"/>
    <w:rsid w:val="008F2E3E"/>
    <w:rsid w:val="008F7B39"/>
    <w:rsid w:val="0090331D"/>
    <w:rsid w:val="009049B9"/>
    <w:rsid w:val="0090575A"/>
    <w:rsid w:val="009075C5"/>
    <w:rsid w:val="00914136"/>
    <w:rsid w:val="00914411"/>
    <w:rsid w:val="009146EF"/>
    <w:rsid w:val="00914CD3"/>
    <w:rsid w:val="0091651D"/>
    <w:rsid w:val="00923A8D"/>
    <w:rsid w:val="00924642"/>
    <w:rsid w:val="00930409"/>
    <w:rsid w:val="00932466"/>
    <w:rsid w:val="009350C1"/>
    <w:rsid w:val="009351AF"/>
    <w:rsid w:val="00936A7A"/>
    <w:rsid w:val="00945095"/>
    <w:rsid w:val="00946D21"/>
    <w:rsid w:val="00950288"/>
    <w:rsid w:val="0095384E"/>
    <w:rsid w:val="00954FFE"/>
    <w:rsid w:val="0096259F"/>
    <w:rsid w:val="00963345"/>
    <w:rsid w:val="00966668"/>
    <w:rsid w:val="00974205"/>
    <w:rsid w:val="009806CF"/>
    <w:rsid w:val="0098146D"/>
    <w:rsid w:val="00982279"/>
    <w:rsid w:val="009858C8"/>
    <w:rsid w:val="00985CD1"/>
    <w:rsid w:val="00990E2E"/>
    <w:rsid w:val="009910AA"/>
    <w:rsid w:val="0099125A"/>
    <w:rsid w:val="009A2CF2"/>
    <w:rsid w:val="009A64A3"/>
    <w:rsid w:val="009B1650"/>
    <w:rsid w:val="009B222C"/>
    <w:rsid w:val="009B46FC"/>
    <w:rsid w:val="009B483C"/>
    <w:rsid w:val="009B7377"/>
    <w:rsid w:val="009C4E84"/>
    <w:rsid w:val="009D3080"/>
    <w:rsid w:val="009D68C7"/>
    <w:rsid w:val="009D7E71"/>
    <w:rsid w:val="009E2D05"/>
    <w:rsid w:val="009E445F"/>
    <w:rsid w:val="009F03E8"/>
    <w:rsid w:val="009F1E8D"/>
    <w:rsid w:val="00A0335B"/>
    <w:rsid w:val="00A05322"/>
    <w:rsid w:val="00A06B36"/>
    <w:rsid w:val="00A1076D"/>
    <w:rsid w:val="00A16898"/>
    <w:rsid w:val="00A20404"/>
    <w:rsid w:val="00A218ED"/>
    <w:rsid w:val="00A23B75"/>
    <w:rsid w:val="00A25C2F"/>
    <w:rsid w:val="00A27375"/>
    <w:rsid w:val="00A33981"/>
    <w:rsid w:val="00A43029"/>
    <w:rsid w:val="00A5243A"/>
    <w:rsid w:val="00A54156"/>
    <w:rsid w:val="00A553B1"/>
    <w:rsid w:val="00A60F04"/>
    <w:rsid w:val="00A64636"/>
    <w:rsid w:val="00A6666F"/>
    <w:rsid w:val="00A7194F"/>
    <w:rsid w:val="00A721FB"/>
    <w:rsid w:val="00A82BF0"/>
    <w:rsid w:val="00A84169"/>
    <w:rsid w:val="00A8416E"/>
    <w:rsid w:val="00A841C3"/>
    <w:rsid w:val="00A850FF"/>
    <w:rsid w:val="00A854CA"/>
    <w:rsid w:val="00A92862"/>
    <w:rsid w:val="00A93B94"/>
    <w:rsid w:val="00AA0E46"/>
    <w:rsid w:val="00AA29DC"/>
    <w:rsid w:val="00AA503F"/>
    <w:rsid w:val="00AA5313"/>
    <w:rsid w:val="00AB5591"/>
    <w:rsid w:val="00AB79A2"/>
    <w:rsid w:val="00AD4564"/>
    <w:rsid w:val="00AD7A49"/>
    <w:rsid w:val="00AE6C8B"/>
    <w:rsid w:val="00AE6DB2"/>
    <w:rsid w:val="00AF340F"/>
    <w:rsid w:val="00AF4034"/>
    <w:rsid w:val="00AF501A"/>
    <w:rsid w:val="00AF6265"/>
    <w:rsid w:val="00AF76A3"/>
    <w:rsid w:val="00AF7C9B"/>
    <w:rsid w:val="00B0019A"/>
    <w:rsid w:val="00B0097E"/>
    <w:rsid w:val="00B03EE6"/>
    <w:rsid w:val="00B03F56"/>
    <w:rsid w:val="00B1423A"/>
    <w:rsid w:val="00B23176"/>
    <w:rsid w:val="00B24221"/>
    <w:rsid w:val="00B27556"/>
    <w:rsid w:val="00B31CBC"/>
    <w:rsid w:val="00B34F8C"/>
    <w:rsid w:val="00B36928"/>
    <w:rsid w:val="00B36B57"/>
    <w:rsid w:val="00B36D0F"/>
    <w:rsid w:val="00B425B7"/>
    <w:rsid w:val="00B460D0"/>
    <w:rsid w:val="00B469F1"/>
    <w:rsid w:val="00B473C9"/>
    <w:rsid w:val="00B479E0"/>
    <w:rsid w:val="00B47BE9"/>
    <w:rsid w:val="00B56029"/>
    <w:rsid w:val="00B560EB"/>
    <w:rsid w:val="00B6032E"/>
    <w:rsid w:val="00B6312E"/>
    <w:rsid w:val="00B65665"/>
    <w:rsid w:val="00B65CEE"/>
    <w:rsid w:val="00B7260F"/>
    <w:rsid w:val="00B80E8E"/>
    <w:rsid w:val="00B81A1C"/>
    <w:rsid w:val="00B81FCA"/>
    <w:rsid w:val="00B8576C"/>
    <w:rsid w:val="00B870C4"/>
    <w:rsid w:val="00B871AD"/>
    <w:rsid w:val="00B901A9"/>
    <w:rsid w:val="00B922C7"/>
    <w:rsid w:val="00B9747B"/>
    <w:rsid w:val="00B97BFF"/>
    <w:rsid w:val="00BA0226"/>
    <w:rsid w:val="00BA15A8"/>
    <w:rsid w:val="00BA18D0"/>
    <w:rsid w:val="00BA1C88"/>
    <w:rsid w:val="00BA24EE"/>
    <w:rsid w:val="00BA71CE"/>
    <w:rsid w:val="00BA7616"/>
    <w:rsid w:val="00BB1453"/>
    <w:rsid w:val="00BB3371"/>
    <w:rsid w:val="00BB6345"/>
    <w:rsid w:val="00BB796E"/>
    <w:rsid w:val="00BC05A1"/>
    <w:rsid w:val="00BC3F71"/>
    <w:rsid w:val="00BC4A42"/>
    <w:rsid w:val="00BC4CAE"/>
    <w:rsid w:val="00BC69AF"/>
    <w:rsid w:val="00BC6DB3"/>
    <w:rsid w:val="00BC79CE"/>
    <w:rsid w:val="00BD07BE"/>
    <w:rsid w:val="00BD1515"/>
    <w:rsid w:val="00BD459A"/>
    <w:rsid w:val="00BD60DE"/>
    <w:rsid w:val="00BD72AA"/>
    <w:rsid w:val="00BE017D"/>
    <w:rsid w:val="00BE0D0B"/>
    <w:rsid w:val="00BE1EE4"/>
    <w:rsid w:val="00BE2A5D"/>
    <w:rsid w:val="00BF35A8"/>
    <w:rsid w:val="00BF3EAD"/>
    <w:rsid w:val="00BF56B8"/>
    <w:rsid w:val="00C006B3"/>
    <w:rsid w:val="00C00BC2"/>
    <w:rsid w:val="00C036E7"/>
    <w:rsid w:val="00C04C5F"/>
    <w:rsid w:val="00C05893"/>
    <w:rsid w:val="00C05A42"/>
    <w:rsid w:val="00C121EF"/>
    <w:rsid w:val="00C12E64"/>
    <w:rsid w:val="00C16815"/>
    <w:rsid w:val="00C17E70"/>
    <w:rsid w:val="00C20AD5"/>
    <w:rsid w:val="00C2112A"/>
    <w:rsid w:val="00C24B96"/>
    <w:rsid w:val="00C25A81"/>
    <w:rsid w:val="00C30731"/>
    <w:rsid w:val="00C32EF7"/>
    <w:rsid w:val="00C33BB0"/>
    <w:rsid w:val="00C35F91"/>
    <w:rsid w:val="00C36A0B"/>
    <w:rsid w:val="00C374A4"/>
    <w:rsid w:val="00C40E7C"/>
    <w:rsid w:val="00C41B90"/>
    <w:rsid w:val="00C512EA"/>
    <w:rsid w:val="00C517D7"/>
    <w:rsid w:val="00C51824"/>
    <w:rsid w:val="00C51B0B"/>
    <w:rsid w:val="00C54246"/>
    <w:rsid w:val="00C565EC"/>
    <w:rsid w:val="00C65A3F"/>
    <w:rsid w:val="00C66F07"/>
    <w:rsid w:val="00C81138"/>
    <w:rsid w:val="00C825D8"/>
    <w:rsid w:val="00C85984"/>
    <w:rsid w:val="00C85B42"/>
    <w:rsid w:val="00C90726"/>
    <w:rsid w:val="00C90F1A"/>
    <w:rsid w:val="00C917EE"/>
    <w:rsid w:val="00CA442B"/>
    <w:rsid w:val="00CA496B"/>
    <w:rsid w:val="00CA5F9C"/>
    <w:rsid w:val="00CA6F0B"/>
    <w:rsid w:val="00CB0970"/>
    <w:rsid w:val="00CB0C31"/>
    <w:rsid w:val="00CB140C"/>
    <w:rsid w:val="00CB5BA0"/>
    <w:rsid w:val="00CC2F17"/>
    <w:rsid w:val="00CC3237"/>
    <w:rsid w:val="00CC670F"/>
    <w:rsid w:val="00CD14ED"/>
    <w:rsid w:val="00CD4297"/>
    <w:rsid w:val="00CD59D2"/>
    <w:rsid w:val="00CE1EA6"/>
    <w:rsid w:val="00CE3B88"/>
    <w:rsid w:val="00CE4554"/>
    <w:rsid w:val="00CE64AB"/>
    <w:rsid w:val="00D00369"/>
    <w:rsid w:val="00D0479F"/>
    <w:rsid w:val="00D057F2"/>
    <w:rsid w:val="00D136BE"/>
    <w:rsid w:val="00D13767"/>
    <w:rsid w:val="00D17D41"/>
    <w:rsid w:val="00D233E7"/>
    <w:rsid w:val="00D23A88"/>
    <w:rsid w:val="00D24A7B"/>
    <w:rsid w:val="00D36EEB"/>
    <w:rsid w:val="00D43E86"/>
    <w:rsid w:val="00D47839"/>
    <w:rsid w:val="00D51DC9"/>
    <w:rsid w:val="00D53878"/>
    <w:rsid w:val="00D54E40"/>
    <w:rsid w:val="00D552E7"/>
    <w:rsid w:val="00D55905"/>
    <w:rsid w:val="00D57C13"/>
    <w:rsid w:val="00D626EA"/>
    <w:rsid w:val="00D62CBC"/>
    <w:rsid w:val="00D642D9"/>
    <w:rsid w:val="00D64FE0"/>
    <w:rsid w:val="00D664F9"/>
    <w:rsid w:val="00D66BBD"/>
    <w:rsid w:val="00D66F2A"/>
    <w:rsid w:val="00D70CFB"/>
    <w:rsid w:val="00D7518E"/>
    <w:rsid w:val="00D8220E"/>
    <w:rsid w:val="00D85248"/>
    <w:rsid w:val="00D86CEF"/>
    <w:rsid w:val="00D9051E"/>
    <w:rsid w:val="00D938CB"/>
    <w:rsid w:val="00D93931"/>
    <w:rsid w:val="00D943F8"/>
    <w:rsid w:val="00D96753"/>
    <w:rsid w:val="00DA180A"/>
    <w:rsid w:val="00DA2EE5"/>
    <w:rsid w:val="00DA3C3A"/>
    <w:rsid w:val="00DA402C"/>
    <w:rsid w:val="00DA4325"/>
    <w:rsid w:val="00DA445D"/>
    <w:rsid w:val="00DA4893"/>
    <w:rsid w:val="00DA533D"/>
    <w:rsid w:val="00DA76D0"/>
    <w:rsid w:val="00DB28D5"/>
    <w:rsid w:val="00DB2EB5"/>
    <w:rsid w:val="00DB4FBD"/>
    <w:rsid w:val="00DB6EDE"/>
    <w:rsid w:val="00DC1091"/>
    <w:rsid w:val="00DC1B09"/>
    <w:rsid w:val="00DC1B97"/>
    <w:rsid w:val="00DC20F6"/>
    <w:rsid w:val="00DC349D"/>
    <w:rsid w:val="00DC3FB1"/>
    <w:rsid w:val="00DC5DB8"/>
    <w:rsid w:val="00DC75CC"/>
    <w:rsid w:val="00DD305B"/>
    <w:rsid w:val="00DD3473"/>
    <w:rsid w:val="00DD77D3"/>
    <w:rsid w:val="00DE0C43"/>
    <w:rsid w:val="00DE3C91"/>
    <w:rsid w:val="00DE59C1"/>
    <w:rsid w:val="00DF4424"/>
    <w:rsid w:val="00DF795A"/>
    <w:rsid w:val="00DF7D8F"/>
    <w:rsid w:val="00E02E3F"/>
    <w:rsid w:val="00E03C93"/>
    <w:rsid w:val="00E10248"/>
    <w:rsid w:val="00E1234E"/>
    <w:rsid w:val="00E1292C"/>
    <w:rsid w:val="00E12A5B"/>
    <w:rsid w:val="00E12AD3"/>
    <w:rsid w:val="00E12ED2"/>
    <w:rsid w:val="00E13633"/>
    <w:rsid w:val="00E14C94"/>
    <w:rsid w:val="00E16D7A"/>
    <w:rsid w:val="00E21628"/>
    <w:rsid w:val="00E22A75"/>
    <w:rsid w:val="00E242EF"/>
    <w:rsid w:val="00E4070B"/>
    <w:rsid w:val="00E43940"/>
    <w:rsid w:val="00E4739C"/>
    <w:rsid w:val="00E50E71"/>
    <w:rsid w:val="00E537B3"/>
    <w:rsid w:val="00E54138"/>
    <w:rsid w:val="00E611C3"/>
    <w:rsid w:val="00E62DAC"/>
    <w:rsid w:val="00E65361"/>
    <w:rsid w:val="00E7084D"/>
    <w:rsid w:val="00E7682A"/>
    <w:rsid w:val="00E91DD8"/>
    <w:rsid w:val="00E93ABE"/>
    <w:rsid w:val="00E93FB2"/>
    <w:rsid w:val="00EA1516"/>
    <w:rsid w:val="00EA1F17"/>
    <w:rsid w:val="00EA7927"/>
    <w:rsid w:val="00EA7F84"/>
    <w:rsid w:val="00EB3951"/>
    <w:rsid w:val="00EB44B7"/>
    <w:rsid w:val="00EB5541"/>
    <w:rsid w:val="00EC39EA"/>
    <w:rsid w:val="00EC7DDA"/>
    <w:rsid w:val="00ED17C9"/>
    <w:rsid w:val="00ED4672"/>
    <w:rsid w:val="00EF5B27"/>
    <w:rsid w:val="00EF5E7C"/>
    <w:rsid w:val="00F01084"/>
    <w:rsid w:val="00F01167"/>
    <w:rsid w:val="00F11B86"/>
    <w:rsid w:val="00F123E3"/>
    <w:rsid w:val="00F13758"/>
    <w:rsid w:val="00F14C82"/>
    <w:rsid w:val="00F30ECE"/>
    <w:rsid w:val="00F31613"/>
    <w:rsid w:val="00F41117"/>
    <w:rsid w:val="00F47824"/>
    <w:rsid w:val="00F532B9"/>
    <w:rsid w:val="00F56CEC"/>
    <w:rsid w:val="00F57FEF"/>
    <w:rsid w:val="00F60161"/>
    <w:rsid w:val="00F66396"/>
    <w:rsid w:val="00F700C0"/>
    <w:rsid w:val="00F71465"/>
    <w:rsid w:val="00F71670"/>
    <w:rsid w:val="00F72A9C"/>
    <w:rsid w:val="00F7557D"/>
    <w:rsid w:val="00F768E1"/>
    <w:rsid w:val="00F77346"/>
    <w:rsid w:val="00F82B7B"/>
    <w:rsid w:val="00F86C8B"/>
    <w:rsid w:val="00F907F7"/>
    <w:rsid w:val="00F942E5"/>
    <w:rsid w:val="00F967AB"/>
    <w:rsid w:val="00FA1044"/>
    <w:rsid w:val="00FA1F71"/>
    <w:rsid w:val="00FA266A"/>
    <w:rsid w:val="00FB12F5"/>
    <w:rsid w:val="00FB1410"/>
    <w:rsid w:val="00FB1D49"/>
    <w:rsid w:val="00FB489F"/>
    <w:rsid w:val="00FB6E87"/>
    <w:rsid w:val="00FC107E"/>
    <w:rsid w:val="00FC1DB4"/>
    <w:rsid w:val="00FC3581"/>
    <w:rsid w:val="00FC5619"/>
    <w:rsid w:val="00FC64DC"/>
    <w:rsid w:val="00FC679E"/>
    <w:rsid w:val="00FD07BF"/>
    <w:rsid w:val="00FD528F"/>
    <w:rsid w:val="00FD64EF"/>
    <w:rsid w:val="00FE01D5"/>
    <w:rsid w:val="00FE0F67"/>
    <w:rsid w:val="00FE1AED"/>
    <w:rsid w:val="00FE2B1B"/>
    <w:rsid w:val="00FF204E"/>
    <w:rsid w:val="00FF3FD2"/>
    <w:rsid w:val="00FF4D70"/>
    <w:rsid w:val="00FF5CAE"/>
    <w:rsid w:val="00FF6F37"/>
    <w:rsid w:val="00FF7595"/>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7E55"/>
  <w15:docId w15:val="{22E598E8-3E7F-4D7D-B1CB-6D4B9FE8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A08B4"/>
    <w:rPr>
      <w:rFonts w:ascii="Segoe UI" w:hAnsi="Segoe UI" w:cs="Segoe UI"/>
      <w:sz w:val="18"/>
      <w:szCs w:val="18"/>
    </w:rPr>
  </w:style>
  <w:style w:type="character" w:customStyle="1" w:styleId="BalloonTextChar">
    <w:name w:val="Balloon Text Char"/>
    <w:basedOn w:val="DefaultParagraphFont"/>
    <w:link w:val="BalloonText"/>
    <w:rsid w:val="008A08B4"/>
    <w:rPr>
      <w:rFonts w:ascii="Segoe UI" w:hAnsi="Segoe UI" w:cs="Segoe UI"/>
      <w:sz w:val="18"/>
      <w:szCs w:val="18"/>
    </w:rPr>
  </w:style>
  <w:style w:type="paragraph" w:styleId="ListParagraph">
    <w:name w:val="List Paragraph"/>
    <w:basedOn w:val="Normal"/>
    <w:rsid w:val="008A08B4"/>
    <w:pPr>
      <w:ind w:left="720"/>
      <w:contextualSpacing/>
    </w:pPr>
  </w:style>
  <w:style w:type="character" w:styleId="CommentReference">
    <w:name w:val="annotation reference"/>
    <w:basedOn w:val="DefaultParagraphFont"/>
    <w:semiHidden/>
    <w:unhideWhenUsed/>
    <w:rsid w:val="00FE2B1B"/>
    <w:rPr>
      <w:sz w:val="16"/>
      <w:szCs w:val="16"/>
    </w:rPr>
  </w:style>
  <w:style w:type="paragraph" w:styleId="CommentText">
    <w:name w:val="annotation text"/>
    <w:basedOn w:val="Normal"/>
    <w:link w:val="CommentTextChar"/>
    <w:unhideWhenUsed/>
    <w:rsid w:val="00FE2B1B"/>
    <w:rPr>
      <w:sz w:val="20"/>
    </w:rPr>
  </w:style>
  <w:style w:type="character" w:customStyle="1" w:styleId="CommentTextChar">
    <w:name w:val="Comment Text Char"/>
    <w:basedOn w:val="DefaultParagraphFont"/>
    <w:link w:val="CommentText"/>
    <w:rsid w:val="00FE2B1B"/>
    <w:rPr>
      <w:sz w:val="20"/>
    </w:rPr>
  </w:style>
  <w:style w:type="paragraph" w:styleId="CommentSubject">
    <w:name w:val="annotation subject"/>
    <w:basedOn w:val="CommentText"/>
    <w:next w:val="CommentText"/>
    <w:link w:val="CommentSubjectChar"/>
    <w:semiHidden/>
    <w:unhideWhenUsed/>
    <w:rsid w:val="00FE2B1B"/>
    <w:rPr>
      <w:b/>
      <w:bCs/>
    </w:rPr>
  </w:style>
  <w:style w:type="character" w:customStyle="1" w:styleId="CommentSubjectChar">
    <w:name w:val="Comment Subject Char"/>
    <w:basedOn w:val="CommentTextChar"/>
    <w:link w:val="CommentSubject"/>
    <w:semiHidden/>
    <w:rsid w:val="00FE2B1B"/>
    <w:rPr>
      <w:b/>
      <w:bCs/>
      <w:sz w:val="20"/>
    </w:rPr>
  </w:style>
  <w:style w:type="character" w:customStyle="1" w:styleId="bold">
    <w:name w:val="bold"/>
    <w:basedOn w:val="DefaultParagraphFont"/>
    <w:rsid w:val="00FA1F71"/>
  </w:style>
  <w:style w:type="paragraph" w:customStyle="1" w:styleId="Normal3">
    <w:name w:val="Normal3"/>
    <w:basedOn w:val="Normal"/>
    <w:rsid w:val="0026206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2430">
      <w:bodyDiv w:val="1"/>
      <w:marLeft w:val="0"/>
      <w:marRight w:val="0"/>
      <w:marTop w:val="0"/>
      <w:marBottom w:val="0"/>
      <w:divBdr>
        <w:top w:val="none" w:sz="0" w:space="0" w:color="auto"/>
        <w:left w:val="none" w:sz="0" w:space="0" w:color="auto"/>
        <w:bottom w:val="none" w:sz="0" w:space="0" w:color="auto"/>
        <w:right w:val="none" w:sz="0" w:space="0" w:color="auto"/>
      </w:divBdr>
    </w:div>
    <w:div w:id="203563222">
      <w:bodyDiv w:val="1"/>
      <w:marLeft w:val="0"/>
      <w:marRight w:val="0"/>
      <w:marTop w:val="0"/>
      <w:marBottom w:val="0"/>
      <w:divBdr>
        <w:top w:val="none" w:sz="0" w:space="0" w:color="auto"/>
        <w:left w:val="none" w:sz="0" w:space="0" w:color="auto"/>
        <w:bottom w:val="none" w:sz="0" w:space="0" w:color="auto"/>
        <w:right w:val="none" w:sz="0" w:space="0" w:color="auto"/>
      </w:divBdr>
    </w:div>
    <w:div w:id="205879120">
      <w:bodyDiv w:val="1"/>
      <w:marLeft w:val="0"/>
      <w:marRight w:val="0"/>
      <w:marTop w:val="0"/>
      <w:marBottom w:val="0"/>
      <w:divBdr>
        <w:top w:val="none" w:sz="0" w:space="0" w:color="auto"/>
        <w:left w:val="none" w:sz="0" w:space="0" w:color="auto"/>
        <w:bottom w:val="none" w:sz="0" w:space="0" w:color="auto"/>
        <w:right w:val="none" w:sz="0" w:space="0" w:color="auto"/>
      </w:divBdr>
    </w:div>
    <w:div w:id="284775578">
      <w:bodyDiv w:val="1"/>
      <w:marLeft w:val="0"/>
      <w:marRight w:val="0"/>
      <w:marTop w:val="0"/>
      <w:marBottom w:val="0"/>
      <w:divBdr>
        <w:top w:val="none" w:sz="0" w:space="0" w:color="auto"/>
        <w:left w:val="none" w:sz="0" w:space="0" w:color="auto"/>
        <w:bottom w:val="none" w:sz="0" w:space="0" w:color="auto"/>
        <w:right w:val="none" w:sz="0" w:space="0" w:color="auto"/>
      </w:divBdr>
    </w:div>
    <w:div w:id="312831077">
      <w:bodyDiv w:val="1"/>
      <w:marLeft w:val="0"/>
      <w:marRight w:val="0"/>
      <w:marTop w:val="0"/>
      <w:marBottom w:val="0"/>
      <w:divBdr>
        <w:top w:val="none" w:sz="0" w:space="0" w:color="auto"/>
        <w:left w:val="none" w:sz="0" w:space="0" w:color="auto"/>
        <w:bottom w:val="none" w:sz="0" w:space="0" w:color="auto"/>
        <w:right w:val="none" w:sz="0" w:space="0" w:color="auto"/>
      </w:divBdr>
    </w:div>
    <w:div w:id="416251458">
      <w:bodyDiv w:val="1"/>
      <w:marLeft w:val="0"/>
      <w:marRight w:val="0"/>
      <w:marTop w:val="0"/>
      <w:marBottom w:val="0"/>
      <w:divBdr>
        <w:top w:val="none" w:sz="0" w:space="0" w:color="auto"/>
        <w:left w:val="none" w:sz="0" w:space="0" w:color="auto"/>
        <w:bottom w:val="none" w:sz="0" w:space="0" w:color="auto"/>
        <w:right w:val="none" w:sz="0" w:space="0" w:color="auto"/>
      </w:divBdr>
    </w:div>
    <w:div w:id="507327528">
      <w:bodyDiv w:val="1"/>
      <w:marLeft w:val="0"/>
      <w:marRight w:val="0"/>
      <w:marTop w:val="0"/>
      <w:marBottom w:val="0"/>
      <w:divBdr>
        <w:top w:val="none" w:sz="0" w:space="0" w:color="auto"/>
        <w:left w:val="none" w:sz="0" w:space="0" w:color="auto"/>
        <w:bottom w:val="none" w:sz="0" w:space="0" w:color="auto"/>
        <w:right w:val="none" w:sz="0" w:space="0" w:color="auto"/>
      </w:divBdr>
    </w:div>
    <w:div w:id="1164592539">
      <w:bodyDiv w:val="1"/>
      <w:marLeft w:val="0"/>
      <w:marRight w:val="0"/>
      <w:marTop w:val="0"/>
      <w:marBottom w:val="0"/>
      <w:divBdr>
        <w:top w:val="none" w:sz="0" w:space="0" w:color="auto"/>
        <w:left w:val="none" w:sz="0" w:space="0" w:color="auto"/>
        <w:bottom w:val="none" w:sz="0" w:space="0" w:color="auto"/>
        <w:right w:val="none" w:sz="0" w:space="0" w:color="auto"/>
      </w:divBdr>
    </w:div>
    <w:div w:id="1266770958">
      <w:bodyDiv w:val="1"/>
      <w:marLeft w:val="0"/>
      <w:marRight w:val="0"/>
      <w:marTop w:val="0"/>
      <w:marBottom w:val="0"/>
      <w:divBdr>
        <w:top w:val="none" w:sz="0" w:space="0" w:color="auto"/>
        <w:left w:val="none" w:sz="0" w:space="0" w:color="auto"/>
        <w:bottom w:val="none" w:sz="0" w:space="0" w:color="auto"/>
        <w:right w:val="none" w:sz="0" w:space="0" w:color="auto"/>
      </w:divBdr>
    </w:div>
    <w:div w:id="1413040572">
      <w:bodyDiv w:val="1"/>
      <w:marLeft w:val="0"/>
      <w:marRight w:val="0"/>
      <w:marTop w:val="0"/>
      <w:marBottom w:val="0"/>
      <w:divBdr>
        <w:top w:val="none" w:sz="0" w:space="0" w:color="auto"/>
        <w:left w:val="none" w:sz="0" w:space="0" w:color="auto"/>
        <w:bottom w:val="none" w:sz="0" w:space="0" w:color="auto"/>
        <w:right w:val="none" w:sz="0" w:space="0" w:color="auto"/>
      </w:divBdr>
    </w:div>
    <w:div w:id="1456483583">
      <w:bodyDiv w:val="1"/>
      <w:marLeft w:val="0"/>
      <w:marRight w:val="0"/>
      <w:marTop w:val="0"/>
      <w:marBottom w:val="0"/>
      <w:divBdr>
        <w:top w:val="none" w:sz="0" w:space="0" w:color="auto"/>
        <w:left w:val="none" w:sz="0" w:space="0" w:color="auto"/>
        <w:bottom w:val="none" w:sz="0" w:space="0" w:color="auto"/>
        <w:right w:val="none" w:sz="0" w:space="0" w:color="auto"/>
      </w:divBdr>
    </w:div>
    <w:div w:id="1752776552">
      <w:bodyDiv w:val="1"/>
      <w:marLeft w:val="0"/>
      <w:marRight w:val="0"/>
      <w:marTop w:val="0"/>
      <w:marBottom w:val="0"/>
      <w:divBdr>
        <w:top w:val="none" w:sz="0" w:space="0" w:color="auto"/>
        <w:left w:val="none" w:sz="0" w:space="0" w:color="auto"/>
        <w:bottom w:val="none" w:sz="0" w:space="0" w:color="auto"/>
        <w:right w:val="none" w:sz="0" w:space="0" w:color="auto"/>
      </w:divBdr>
    </w:div>
    <w:div w:id="2045405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696D5C94E70F04591DCC0CD6B735CD9" ma:contentTypeVersion="2" ma:contentTypeDescription="Kurkite naują dokumentą." ma:contentTypeScope="" ma:versionID="e4ecb6bac7281adb1515cbd8faba779a">
  <xsd:schema xmlns:xsd="http://www.w3.org/2001/XMLSchema" xmlns:xs="http://www.w3.org/2001/XMLSchema" xmlns:p="http://schemas.microsoft.com/office/2006/metadata/properties" xmlns:ns2="eed1c164-dc88-4e80-8d86-e5ef60d6edca" targetNamespace="http://schemas.microsoft.com/office/2006/metadata/properties" ma:root="true" ma:fieldsID="3b5d532c1c0e3ed58b7d19ba85aa82f8" ns2:_="">
    <xsd:import namespace="eed1c164-dc88-4e80-8d86-e5ef60d6edc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1c164-dc88-4e80-8d86-e5ef60d6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8E7B66-BDD1-4B3E-8443-9190173D509B}">
  <ds:schemaRefs>
    <ds:schemaRef ds:uri="http://schemas.microsoft.com/sharepoint/v3/contenttype/forms"/>
  </ds:schemaRefs>
</ds:datastoreItem>
</file>

<file path=customXml/itemProps2.xml><?xml version="1.0" encoding="utf-8"?>
<ds:datastoreItem xmlns:ds="http://schemas.openxmlformats.org/officeDocument/2006/customXml" ds:itemID="{3AB9BA4F-C557-45D0-8F38-0C0DAFEA1F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01F025-F90D-43D5-9FCA-1E09859B6A09}"/>
</file>

<file path=docProps/app.xml><?xml version="1.0" encoding="utf-8"?>
<Properties xmlns="http://schemas.openxmlformats.org/officeDocument/2006/extended-properties" xmlns:vt="http://schemas.openxmlformats.org/officeDocument/2006/docPropsVTypes">
  <Template>Normal.dotm</Template>
  <TotalTime>17</TotalTime>
  <Pages>2</Pages>
  <Words>3042</Words>
  <Characters>1735</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2020-04-29T11:29:00Z</dcterms:created>
  <dc:creator>Ramune Mikalauskiene</dc:creator>
  <cp:lastModifiedBy>Sandra Romienė</cp:lastModifiedBy>
  <cp:lastPrinted>2020-03-04T12:30:00Z</cp:lastPrinted>
  <dcterms:modified xsi:type="dcterms:W3CDTF">2020-05-07T08:50:00Z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0x0101001696D5C94E70F04591DCC0CD6B735CD9</vt:lpwstr>
  </property>
</Properties>
</file>