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C118BA" w:rsidRDefault="00523C46" w:rsidP="00650E80">
      <w:pPr>
        <w:spacing w:after="0" w:line="240" w:lineRule="auto"/>
        <w:jc w:val="center"/>
        <w:rPr>
          <w:rFonts w:eastAsia="Calibri" w:cs="Times New Roman"/>
          <w:b/>
          <w:sz w:val="26"/>
          <w:szCs w:val="26"/>
        </w:rPr>
      </w:pPr>
      <w:r w:rsidRPr="00C118BA">
        <w:rPr>
          <w:rFonts w:eastAsia="Calibri" w:cs="Times New Roman"/>
          <w:b/>
          <w:sz w:val="26"/>
          <w:szCs w:val="26"/>
        </w:rPr>
        <w:t>PAŽYMA</w:t>
      </w:r>
    </w:p>
    <w:p w:rsidR="006A4A7B" w:rsidRPr="00C118BA" w:rsidRDefault="00C7443E" w:rsidP="006A4A7B">
      <w:pPr>
        <w:spacing w:after="0" w:line="240" w:lineRule="auto"/>
        <w:jc w:val="center"/>
        <w:rPr>
          <w:rFonts w:eastAsia="Calibri" w:cs="Times New Roman"/>
          <w:b/>
          <w:sz w:val="26"/>
          <w:szCs w:val="26"/>
        </w:rPr>
      </w:pPr>
      <w:r w:rsidRPr="00C118BA">
        <w:rPr>
          <w:rFonts w:eastAsia="Calibri" w:cs="Times New Roman"/>
          <w:b/>
          <w:sz w:val="26"/>
          <w:szCs w:val="26"/>
        </w:rPr>
        <w:t>D</w:t>
      </w:r>
      <w:r w:rsidR="00E12653">
        <w:rPr>
          <w:rFonts w:eastAsia="Calibri" w:cs="Times New Roman"/>
          <w:b/>
          <w:sz w:val="26"/>
          <w:szCs w:val="26"/>
        </w:rPr>
        <w:t>ėl š. m. birželio 11</w:t>
      </w:r>
      <w:r w:rsidR="006A4A7B" w:rsidRPr="00C118BA">
        <w:rPr>
          <w:rFonts w:eastAsia="Calibri" w:cs="Times New Roman"/>
          <w:b/>
          <w:sz w:val="26"/>
          <w:szCs w:val="26"/>
        </w:rPr>
        <w:t xml:space="preserve"> d. EURO GRUPĖS klausimų</w:t>
      </w:r>
    </w:p>
    <w:p w:rsidR="00C7443E" w:rsidRPr="009328D5" w:rsidRDefault="00C7443E" w:rsidP="0009586B">
      <w:pPr>
        <w:spacing w:after="0" w:line="240" w:lineRule="auto"/>
        <w:jc w:val="both"/>
        <w:rPr>
          <w:rFonts w:cs="Times New Roman"/>
          <w:b/>
          <w:szCs w:val="24"/>
        </w:rPr>
      </w:pPr>
    </w:p>
    <w:p w:rsidR="000922B3" w:rsidRDefault="00D1442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rFonts w:cs="Times New Roman"/>
          <w:b/>
          <w:szCs w:val="24"/>
        </w:rPr>
        <w:t>Bankų sąjunga –</w:t>
      </w:r>
      <w:r w:rsidR="00506C31">
        <w:rPr>
          <w:rFonts w:cs="Times New Roman"/>
          <w:b/>
          <w:szCs w:val="24"/>
        </w:rPr>
        <w:t xml:space="preserve"> euro zonos aspektai</w:t>
      </w:r>
    </w:p>
    <w:p w:rsidR="00392E9D" w:rsidRDefault="00392E9D"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rFonts w:cs="Times New Roman"/>
          <w:b/>
          <w:szCs w:val="24"/>
        </w:rPr>
        <w:t xml:space="preserve">a. 11-asis </w:t>
      </w:r>
      <w:r w:rsidR="002B06DD" w:rsidRPr="002B06DD">
        <w:rPr>
          <w:rFonts w:cs="Times New Roman"/>
          <w:b/>
          <w:szCs w:val="24"/>
        </w:rPr>
        <w:t xml:space="preserve">ECB Bankų priežiūros tarnybos  pirmininko </w:t>
      </w:r>
      <w:r>
        <w:rPr>
          <w:rFonts w:cs="Times New Roman"/>
          <w:b/>
          <w:szCs w:val="24"/>
        </w:rPr>
        <w:t>klausymas</w:t>
      </w:r>
    </w:p>
    <w:p w:rsidR="00392E9D" w:rsidRDefault="00392E9D"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rFonts w:cs="Times New Roman"/>
          <w:b/>
          <w:szCs w:val="24"/>
        </w:rPr>
        <w:t xml:space="preserve">b. </w:t>
      </w:r>
      <w:r w:rsidR="002B06DD" w:rsidRPr="002B06DD">
        <w:rPr>
          <w:rFonts w:cs="Times New Roman"/>
          <w:b/>
          <w:szCs w:val="24"/>
        </w:rPr>
        <w:t xml:space="preserve">Bendrosios pertvarkymo valdybos (SRB) naujausių veiksmų </w:t>
      </w:r>
      <w:r>
        <w:rPr>
          <w:rFonts w:cs="Times New Roman"/>
          <w:b/>
          <w:szCs w:val="24"/>
        </w:rPr>
        <w:t>ataskaita</w:t>
      </w:r>
    </w:p>
    <w:p w:rsidR="000922B3" w:rsidRPr="009328D5" w:rsidRDefault="000922B3" w:rsidP="00650E80">
      <w:pPr>
        <w:spacing w:after="0" w:line="240" w:lineRule="auto"/>
        <w:jc w:val="both"/>
        <w:rPr>
          <w:rFonts w:cs="Times New Roman"/>
          <w:b/>
          <w:szCs w:val="24"/>
        </w:rPr>
      </w:pPr>
    </w:p>
    <w:p w:rsidR="00196D70" w:rsidRPr="00773C90" w:rsidRDefault="0091687C" w:rsidP="00196D70">
      <w:pPr>
        <w:spacing w:after="120" w:line="240" w:lineRule="auto"/>
        <w:jc w:val="both"/>
        <w:rPr>
          <w:szCs w:val="24"/>
        </w:rPr>
      </w:pPr>
      <w:r w:rsidRPr="00773C90">
        <w:rPr>
          <w:rFonts w:eastAsia="Calibri" w:cs="Times New Roman"/>
          <w:b/>
          <w:szCs w:val="24"/>
          <w:u w:val="single"/>
        </w:rPr>
        <w:t>Klausimo esmė.</w:t>
      </w:r>
      <w:r w:rsidR="00D21D7E" w:rsidRPr="00773C90">
        <w:rPr>
          <w:rFonts w:cs="Times New Roman"/>
          <w:szCs w:val="24"/>
        </w:rPr>
        <w:t xml:space="preserve"> </w:t>
      </w:r>
      <w:r w:rsidR="00196D70" w:rsidRPr="00773C90">
        <w:rPr>
          <w:szCs w:val="24"/>
        </w:rPr>
        <w:t xml:space="preserve">Euro grupės </w:t>
      </w:r>
      <w:r w:rsidR="00DD0759">
        <w:rPr>
          <w:szCs w:val="24"/>
        </w:rPr>
        <w:t xml:space="preserve">(EG) </w:t>
      </w:r>
      <w:r w:rsidR="00196D70" w:rsidRPr="00773C90">
        <w:rPr>
          <w:szCs w:val="24"/>
        </w:rPr>
        <w:t xml:space="preserve">posėdyje bus pristatyta šeštoji </w:t>
      </w:r>
      <w:proofErr w:type="spellStart"/>
      <w:r w:rsidR="00196D70" w:rsidRPr="00773C90">
        <w:rPr>
          <w:szCs w:val="24"/>
        </w:rPr>
        <w:t>stebėsenos</w:t>
      </w:r>
      <w:proofErr w:type="spellEnd"/>
      <w:r w:rsidR="00196D70" w:rsidRPr="00773C90">
        <w:rPr>
          <w:szCs w:val="24"/>
        </w:rPr>
        <w:t xml:space="preserve"> ataskaita apie rizikos mažinimo rodiklius, parengta Komisijos (EK), ECB ir Bendrosios pertvarkymo valdybos (SRB), atsižvelgiant į EG pirmininko prašymą. Tokių ataskaitų tikslas – pateikti reguliarius vertinimus apie pasiektą rizikos mažinimo pažangą bankų sąjungoje (BU), kuria remiantis galima būtų priimti tolesnius politinius sprendimus dėl BU užbaigimo.</w:t>
      </w:r>
    </w:p>
    <w:p w:rsidR="002B06DD" w:rsidRPr="00773C90" w:rsidRDefault="002B06DD" w:rsidP="00556C65">
      <w:pPr>
        <w:spacing w:after="0" w:line="240" w:lineRule="auto"/>
        <w:jc w:val="both"/>
        <w:rPr>
          <w:i/>
          <w:szCs w:val="24"/>
        </w:rPr>
      </w:pPr>
      <w:proofErr w:type="spellStart"/>
      <w:r w:rsidRPr="00773C90">
        <w:rPr>
          <w:i/>
          <w:szCs w:val="24"/>
        </w:rPr>
        <w:t>Stebėsenos</w:t>
      </w:r>
      <w:proofErr w:type="spellEnd"/>
      <w:r w:rsidRPr="00773C90">
        <w:rPr>
          <w:i/>
          <w:szCs w:val="24"/>
        </w:rPr>
        <w:t xml:space="preserve"> ataskaita apie rizikos mažinimo rodiklius</w:t>
      </w:r>
    </w:p>
    <w:p w:rsidR="002B06DD" w:rsidRPr="00010959" w:rsidRDefault="00773C90" w:rsidP="00556C65">
      <w:pPr>
        <w:spacing w:after="0" w:line="240" w:lineRule="auto"/>
        <w:jc w:val="both"/>
        <w:rPr>
          <w:i/>
          <w:szCs w:val="24"/>
        </w:rPr>
      </w:pPr>
      <w:r w:rsidRPr="00773C90">
        <w:rPr>
          <w:szCs w:val="24"/>
        </w:rPr>
        <w:t xml:space="preserve">Įvertinus rizikos mažinimo rodiklius (bankų kapitalo pozicijas, sverto rodiklius, likvidumo ir finansavimo pozicijas, neveiksnių paskolų (NPL) lygį, minimalaus nuosavų lėšų ir tinkamų įsipareigojimų reikalavimo (MREL) vykdymą), daroma išvada, kad bankų likvidumo ir kapitalo pozicijos nuosekliai sustiprėjo nuo 2014 m. ir išliko stabilios nuo 2018 m. Bankų bendrasis sverto rodiklis nuo 2014 m. sumažėjo. NPL lygis ES bankų balansuose toliau mažėja (ES vidurkis 2019 m. 4 </w:t>
      </w:r>
      <w:proofErr w:type="spellStart"/>
      <w:r w:rsidRPr="00773C90">
        <w:rPr>
          <w:szCs w:val="24"/>
        </w:rPr>
        <w:t>ketv</w:t>
      </w:r>
      <w:proofErr w:type="spellEnd"/>
      <w:r w:rsidRPr="00773C90">
        <w:rPr>
          <w:szCs w:val="24"/>
        </w:rPr>
        <w:t xml:space="preserve">. – 3,2 </w:t>
      </w:r>
      <w:r w:rsidRPr="00773C90">
        <w:rPr>
          <w:bCs/>
          <w:szCs w:val="24"/>
        </w:rPr>
        <w:t>%</w:t>
      </w:r>
      <w:r w:rsidRPr="00773C90">
        <w:rPr>
          <w:rStyle w:val="Puslapioinaosnuoroda"/>
          <w:bCs/>
          <w:szCs w:val="24"/>
        </w:rPr>
        <w:footnoteReference w:id="1"/>
      </w:r>
      <w:r w:rsidRPr="00773C90">
        <w:rPr>
          <w:bCs/>
          <w:szCs w:val="24"/>
        </w:rPr>
        <w:t>)</w:t>
      </w:r>
      <w:r w:rsidRPr="00773C90">
        <w:rPr>
          <w:szCs w:val="24"/>
        </w:rPr>
        <w:t>, o MREL kaupimas nuosekliai tęsėsi, mažinant šio reikalavimo bendrą trūkumą bankų sektoriuje. Pažymėtina, kad šis vertinimas atliktas, atsižvelgiant į gautus duomenis dar prieš kilusią pandemiją.</w:t>
      </w:r>
    </w:p>
    <w:p w:rsidR="00556C65" w:rsidRDefault="00556C65" w:rsidP="00556C65">
      <w:pPr>
        <w:pStyle w:val="Sraopastraipa"/>
        <w:spacing w:after="0" w:line="240" w:lineRule="auto"/>
        <w:ind w:left="0"/>
        <w:rPr>
          <w:rFonts w:ascii="Times New Roman" w:hAnsi="Times New Roman" w:cs="Times New Roman"/>
          <w:i/>
          <w:sz w:val="24"/>
          <w:szCs w:val="24"/>
          <w:u w:val="single"/>
        </w:rPr>
      </w:pPr>
    </w:p>
    <w:p w:rsidR="002B06DD" w:rsidRPr="00CC5EAB" w:rsidRDefault="002B06DD" w:rsidP="00556C65">
      <w:pPr>
        <w:pStyle w:val="Sraopastraipa"/>
        <w:spacing w:after="0" w:line="240" w:lineRule="auto"/>
        <w:ind w:left="0"/>
        <w:rPr>
          <w:rFonts w:ascii="Times New Roman" w:hAnsi="Times New Roman" w:cs="Times New Roman"/>
          <w:i/>
          <w:sz w:val="24"/>
          <w:szCs w:val="24"/>
          <w:u w:val="single"/>
        </w:rPr>
      </w:pPr>
      <w:r w:rsidRPr="00CC5EAB">
        <w:rPr>
          <w:rFonts w:ascii="Times New Roman" w:hAnsi="Times New Roman" w:cs="Times New Roman"/>
          <w:i/>
          <w:sz w:val="24"/>
          <w:szCs w:val="24"/>
          <w:u w:val="single"/>
        </w:rPr>
        <w:t xml:space="preserve">a. </w:t>
      </w:r>
      <w:r w:rsidR="00773C90" w:rsidRPr="00773C90">
        <w:rPr>
          <w:rFonts w:ascii="Times New Roman" w:hAnsi="Times New Roman" w:cs="Times New Roman"/>
          <w:i/>
          <w:sz w:val="24"/>
          <w:szCs w:val="24"/>
          <w:u w:val="single"/>
          <w:lang w:val="en-US"/>
        </w:rPr>
        <w:t xml:space="preserve">11-asis ECB </w:t>
      </w:r>
      <w:proofErr w:type="spellStart"/>
      <w:r w:rsidR="00773C90" w:rsidRPr="00773C90">
        <w:rPr>
          <w:rFonts w:ascii="Times New Roman" w:hAnsi="Times New Roman" w:cs="Times New Roman"/>
          <w:i/>
          <w:sz w:val="24"/>
          <w:szCs w:val="24"/>
          <w:u w:val="single"/>
          <w:lang w:val="en-US"/>
        </w:rPr>
        <w:t>Bankų</w:t>
      </w:r>
      <w:proofErr w:type="spellEnd"/>
      <w:r w:rsidR="00773C90" w:rsidRPr="00773C90">
        <w:rPr>
          <w:rFonts w:ascii="Times New Roman" w:hAnsi="Times New Roman" w:cs="Times New Roman"/>
          <w:i/>
          <w:sz w:val="24"/>
          <w:szCs w:val="24"/>
          <w:u w:val="single"/>
          <w:lang w:val="en-US"/>
        </w:rPr>
        <w:t xml:space="preserve"> </w:t>
      </w:r>
      <w:proofErr w:type="spellStart"/>
      <w:r w:rsidR="00773C90" w:rsidRPr="00773C90">
        <w:rPr>
          <w:rFonts w:ascii="Times New Roman" w:hAnsi="Times New Roman" w:cs="Times New Roman"/>
          <w:i/>
          <w:sz w:val="24"/>
          <w:szCs w:val="24"/>
          <w:u w:val="single"/>
          <w:lang w:val="en-US"/>
        </w:rPr>
        <w:t>priežiūros</w:t>
      </w:r>
      <w:proofErr w:type="spellEnd"/>
      <w:r w:rsidR="00773C90" w:rsidRPr="00773C90">
        <w:rPr>
          <w:rFonts w:ascii="Times New Roman" w:hAnsi="Times New Roman" w:cs="Times New Roman"/>
          <w:i/>
          <w:sz w:val="24"/>
          <w:szCs w:val="24"/>
          <w:u w:val="single"/>
          <w:lang w:val="en-US"/>
        </w:rPr>
        <w:t xml:space="preserve"> </w:t>
      </w:r>
      <w:proofErr w:type="spellStart"/>
      <w:proofErr w:type="gramStart"/>
      <w:r w:rsidR="00773C90" w:rsidRPr="00773C90">
        <w:rPr>
          <w:rFonts w:ascii="Times New Roman" w:hAnsi="Times New Roman" w:cs="Times New Roman"/>
          <w:i/>
          <w:sz w:val="24"/>
          <w:szCs w:val="24"/>
          <w:u w:val="single"/>
          <w:lang w:val="en-US"/>
        </w:rPr>
        <w:t>tarnybos</w:t>
      </w:r>
      <w:proofErr w:type="spellEnd"/>
      <w:r w:rsidR="00773C90" w:rsidRPr="00773C90">
        <w:rPr>
          <w:rFonts w:ascii="Times New Roman" w:hAnsi="Times New Roman" w:cs="Times New Roman"/>
          <w:i/>
          <w:sz w:val="24"/>
          <w:szCs w:val="24"/>
          <w:u w:val="single"/>
          <w:lang w:val="en-US"/>
        </w:rPr>
        <w:t xml:space="preserve">  </w:t>
      </w:r>
      <w:proofErr w:type="spellStart"/>
      <w:r w:rsidR="00773C90" w:rsidRPr="00773C90">
        <w:rPr>
          <w:rFonts w:ascii="Times New Roman" w:hAnsi="Times New Roman" w:cs="Times New Roman"/>
          <w:i/>
          <w:sz w:val="24"/>
          <w:szCs w:val="24"/>
          <w:u w:val="single"/>
          <w:lang w:val="en-US"/>
        </w:rPr>
        <w:t>pirmininko</w:t>
      </w:r>
      <w:proofErr w:type="spellEnd"/>
      <w:proofErr w:type="gramEnd"/>
      <w:r w:rsidR="00773C90" w:rsidRPr="00773C90">
        <w:rPr>
          <w:rFonts w:ascii="Times New Roman" w:hAnsi="Times New Roman" w:cs="Times New Roman"/>
          <w:i/>
          <w:sz w:val="24"/>
          <w:szCs w:val="24"/>
          <w:u w:val="single"/>
          <w:lang w:val="en-US"/>
        </w:rPr>
        <w:t xml:space="preserve"> </w:t>
      </w:r>
      <w:proofErr w:type="spellStart"/>
      <w:r w:rsidR="00773C90" w:rsidRPr="00773C90">
        <w:rPr>
          <w:rFonts w:ascii="Times New Roman" w:hAnsi="Times New Roman" w:cs="Times New Roman"/>
          <w:i/>
          <w:sz w:val="24"/>
          <w:szCs w:val="24"/>
          <w:u w:val="single"/>
          <w:lang w:val="en-US"/>
        </w:rPr>
        <w:t>klausymas</w:t>
      </w:r>
      <w:proofErr w:type="spellEnd"/>
    </w:p>
    <w:p w:rsidR="00556C65" w:rsidRDefault="002B06DD" w:rsidP="00556C65">
      <w:pPr>
        <w:pStyle w:val="Sraopastraipa"/>
        <w:spacing w:after="0" w:line="240" w:lineRule="auto"/>
        <w:ind w:left="0"/>
        <w:jc w:val="both"/>
        <w:rPr>
          <w:rFonts w:ascii="Times New Roman" w:hAnsi="Times New Roman" w:cs="Times New Roman"/>
          <w:iCs/>
          <w:sz w:val="24"/>
          <w:szCs w:val="24"/>
        </w:rPr>
      </w:pPr>
      <w:r w:rsidRPr="00CC5EAB">
        <w:rPr>
          <w:rFonts w:ascii="Times New Roman" w:hAnsi="Times New Roman" w:cs="Times New Roman"/>
          <w:iCs/>
          <w:sz w:val="24"/>
          <w:szCs w:val="24"/>
        </w:rPr>
        <w:t xml:space="preserve">Metinėje 2019 m. ECB ataskaitoje skelbiama, kad per 2019 m. ECB Bankų priežiūros tarnybos vykdyta </w:t>
      </w:r>
      <w:proofErr w:type="spellStart"/>
      <w:r w:rsidRPr="00CC5EAB">
        <w:rPr>
          <w:rFonts w:ascii="Times New Roman" w:hAnsi="Times New Roman" w:cs="Times New Roman"/>
          <w:iCs/>
          <w:sz w:val="24"/>
          <w:szCs w:val="24"/>
        </w:rPr>
        <w:t>mikroprudencinė</w:t>
      </w:r>
      <w:proofErr w:type="spellEnd"/>
      <w:r w:rsidRPr="00CC5EAB">
        <w:rPr>
          <w:rFonts w:ascii="Times New Roman" w:hAnsi="Times New Roman" w:cs="Times New Roman"/>
          <w:iCs/>
          <w:sz w:val="24"/>
          <w:szCs w:val="24"/>
        </w:rPr>
        <w:t xml:space="preserve"> veikla prisidėjo prie stabilumo Europos bankų sektoriuje užtikrinimo ir vienodų visų euro zonos bankų veiklos sąlygų.</w:t>
      </w:r>
      <w:r w:rsidR="00CC5EAB" w:rsidRPr="00CC5EAB">
        <w:rPr>
          <w:rFonts w:ascii="Times New Roman" w:hAnsi="Times New Roman" w:cs="Times New Roman"/>
          <w:iCs/>
          <w:sz w:val="24"/>
          <w:szCs w:val="24"/>
        </w:rPr>
        <w:t xml:space="preserve"> </w:t>
      </w:r>
    </w:p>
    <w:p w:rsidR="00BC4F1B" w:rsidRDefault="00BC4F1B" w:rsidP="00556C65">
      <w:pPr>
        <w:pStyle w:val="Sraopastraipa"/>
        <w:spacing w:after="0" w:line="240" w:lineRule="auto"/>
        <w:ind w:left="0"/>
        <w:jc w:val="both"/>
        <w:rPr>
          <w:rFonts w:ascii="Times New Roman" w:hAnsi="Times New Roman" w:cs="Times New Roman"/>
          <w:iCs/>
          <w:sz w:val="24"/>
          <w:szCs w:val="24"/>
        </w:rPr>
      </w:pPr>
    </w:p>
    <w:p w:rsidR="002B06DD" w:rsidRPr="00CC5EAB" w:rsidRDefault="002B06DD" w:rsidP="00556C65">
      <w:pPr>
        <w:pStyle w:val="Sraopastraipa"/>
        <w:spacing w:after="0" w:line="240" w:lineRule="auto"/>
        <w:ind w:left="0"/>
        <w:jc w:val="both"/>
        <w:rPr>
          <w:rFonts w:ascii="Times New Roman" w:eastAsia="Calibri" w:hAnsi="Times New Roman" w:cs="Times New Roman"/>
          <w:i/>
          <w:color w:val="000000" w:themeColor="text1"/>
          <w:sz w:val="24"/>
          <w:szCs w:val="24"/>
          <w:u w:val="single"/>
        </w:rPr>
      </w:pPr>
      <w:r w:rsidRPr="00CC5EAB">
        <w:rPr>
          <w:rFonts w:ascii="Times New Roman" w:eastAsia="Calibri" w:hAnsi="Times New Roman" w:cs="Times New Roman"/>
          <w:i/>
          <w:color w:val="000000" w:themeColor="text1"/>
          <w:sz w:val="24"/>
          <w:szCs w:val="24"/>
          <w:u w:val="single"/>
        </w:rPr>
        <w:t xml:space="preserve">b. </w:t>
      </w:r>
      <w:proofErr w:type="spellStart"/>
      <w:r w:rsidR="00773C90" w:rsidRPr="00773C90">
        <w:rPr>
          <w:rFonts w:ascii="Times New Roman" w:hAnsi="Times New Roman" w:cs="Times New Roman"/>
          <w:i/>
          <w:sz w:val="24"/>
          <w:szCs w:val="24"/>
          <w:u w:val="single"/>
          <w:lang w:val="en-US"/>
        </w:rPr>
        <w:t>Bendrosios</w:t>
      </w:r>
      <w:proofErr w:type="spellEnd"/>
      <w:r w:rsidR="00773C90" w:rsidRPr="00773C90">
        <w:rPr>
          <w:rFonts w:ascii="Times New Roman" w:hAnsi="Times New Roman" w:cs="Times New Roman"/>
          <w:i/>
          <w:sz w:val="24"/>
          <w:szCs w:val="24"/>
          <w:u w:val="single"/>
          <w:lang w:val="en-US"/>
        </w:rPr>
        <w:t xml:space="preserve"> </w:t>
      </w:r>
      <w:proofErr w:type="spellStart"/>
      <w:r w:rsidR="00773C90" w:rsidRPr="00773C90">
        <w:rPr>
          <w:rFonts w:ascii="Times New Roman" w:hAnsi="Times New Roman" w:cs="Times New Roman"/>
          <w:i/>
          <w:sz w:val="24"/>
          <w:szCs w:val="24"/>
          <w:u w:val="single"/>
          <w:lang w:val="en-US"/>
        </w:rPr>
        <w:t>pertvarkymo</w:t>
      </w:r>
      <w:proofErr w:type="spellEnd"/>
      <w:r w:rsidR="00773C90" w:rsidRPr="00773C90">
        <w:rPr>
          <w:rFonts w:ascii="Times New Roman" w:hAnsi="Times New Roman" w:cs="Times New Roman"/>
          <w:i/>
          <w:sz w:val="24"/>
          <w:szCs w:val="24"/>
          <w:u w:val="single"/>
          <w:lang w:val="en-US"/>
        </w:rPr>
        <w:t xml:space="preserve"> </w:t>
      </w:r>
      <w:proofErr w:type="spellStart"/>
      <w:r w:rsidR="00773C90" w:rsidRPr="00773C90">
        <w:rPr>
          <w:rFonts w:ascii="Times New Roman" w:hAnsi="Times New Roman" w:cs="Times New Roman"/>
          <w:i/>
          <w:sz w:val="24"/>
          <w:szCs w:val="24"/>
          <w:u w:val="single"/>
          <w:lang w:val="en-US"/>
        </w:rPr>
        <w:t>valdybos</w:t>
      </w:r>
      <w:proofErr w:type="spellEnd"/>
      <w:r w:rsidR="00773C90" w:rsidRPr="00773C90">
        <w:rPr>
          <w:rFonts w:ascii="Times New Roman" w:hAnsi="Times New Roman" w:cs="Times New Roman"/>
          <w:i/>
          <w:sz w:val="24"/>
          <w:szCs w:val="24"/>
          <w:u w:val="single"/>
          <w:lang w:val="en-US"/>
        </w:rPr>
        <w:t xml:space="preserve"> (SRB) </w:t>
      </w:r>
      <w:proofErr w:type="spellStart"/>
      <w:r w:rsidR="00773C90" w:rsidRPr="00773C90">
        <w:rPr>
          <w:rFonts w:ascii="Times New Roman" w:hAnsi="Times New Roman" w:cs="Times New Roman"/>
          <w:i/>
          <w:sz w:val="24"/>
          <w:szCs w:val="24"/>
          <w:u w:val="single"/>
          <w:lang w:val="en-US"/>
        </w:rPr>
        <w:t>naujausių</w:t>
      </w:r>
      <w:proofErr w:type="spellEnd"/>
      <w:r w:rsidR="00773C90" w:rsidRPr="00773C90">
        <w:rPr>
          <w:rFonts w:ascii="Times New Roman" w:hAnsi="Times New Roman" w:cs="Times New Roman"/>
          <w:i/>
          <w:sz w:val="24"/>
          <w:szCs w:val="24"/>
          <w:u w:val="single"/>
          <w:lang w:val="en-US"/>
        </w:rPr>
        <w:t xml:space="preserve"> </w:t>
      </w:r>
      <w:proofErr w:type="spellStart"/>
      <w:r w:rsidR="00773C90" w:rsidRPr="00773C90">
        <w:rPr>
          <w:rFonts w:ascii="Times New Roman" w:hAnsi="Times New Roman" w:cs="Times New Roman"/>
          <w:i/>
          <w:sz w:val="24"/>
          <w:szCs w:val="24"/>
          <w:u w:val="single"/>
          <w:lang w:val="en-US"/>
        </w:rPr>
        <w:t>veiksmų</w:t>
      </w:r>
      <w:proofErr w:type="spellEnd"/>
      <w:r w:rsidR="00773C90" w:rsidRPr="00773C90">
        <w:rPr>
          <w:rFonts w:ascii="Times New Roman" w:hAnsi="Times New Roman" w:cs="Times New Roman"/>
          <w:i/>
          <w:sz w:val="24"/>
          <w:szCs w:val="24"/>
          <w:u w:val="single"/>
          <w:lang w:val="en-US"/>
        </w:rPr>
        <w:t xml:space="preserve"> </w:t>
      </w:r>
      <w:proofErr w:type="spellStart"/>
      <w:r w:rsidR="00773C90" w:rsidRPr="00773C90">
        <w:rPr>
          <w:rFonts w:ascii="Times New Roman" w:hAnsi="Times New Roman" w:cs="Times New Roman"/>
          <w:i/>
          <w:sz w:val="24"/>
          <w:szCs w:val="24"/>
          <w:u w:val="single"/>
          <w:lang w:val="en-US"/>
        </w:rPr>
        <w:t>ataskaita</w:t>
      </w:r>
      <w:proofErr w:type="spellEnd"/>
    </w:p>
    <w:p w:rsidR="00556C65" w:rsidRDefault="00CC5EAB" w:rsidP="00556C65">
      <w:pPr>
        <w:spacing w:after="0" w:line="240" w:lineRule="auto"/>
        <w:jc w:val="both"/>
        <w:rPr>
          <w:rFonts w:cs="Times New Roman"/>
          <w:szCs w:val="24"/>
        </w:rPr>
      </w:pPr>
      <w:r w:rsidRPr="00F14A09">
        <w:rPr>
          <w:rFonts w:cs="Times New Roman"/>
          <w:szCs w:val="24"/>
        </w:rPr>
        <w:t>Balandžio pradžioje SRB išleido "</w:t>
      </w:r>
      <w:proofErr w:type="spellStart"/>
      <w:r w:rsidRPr="00665D2B">
        <w:rPr>
          <w:rFonts w:cs="Times New Roman"/>
          <w:i/>
          <w:szCs w:val="24"/>
        </w:rPr>
        <w:t>Expectations</w:t>
      </w:r>
      <w:proofErr w:type="spellEnd"/>
      <w:r w:rsidRPr="00665D2B">
        <w:rPr>
          <w:rFonts w:cs="Times New Roman"/>
          <w:i/>
          <w:szCs w:val="24"/>
        </w:rPr>
        <w:t xml:space="preserve"> </w:t>
      </w:r>
      <w:proofErr w:type="spellStart"/>
      <w:r w:rsidRPr="00665D2B">
        <w:rPr>
          <w:rFonts w:cs="Times New Roman"/>
          <w:i/>
          <w:szCs w:val="24"/>
        </w:rPr>
        <w:t>for</w:t>
      </w:r>
      <w:proofErr w:type="spellEnd"/>
      <w:r w:rsidRPr="00665D2B">
        <w:rPr>
          <w:rFonts w:cs="Times New Roman"/>
          <w:i/>
          <w:szCs w:val="24"/>
        </w:rPr>
        <w:t xml:space="preserve"> </w:t>
      </w:r>
      <w:proofErr w:type="spellStart"/>
      <w:r w:rsidRPr="00665D2B">
        <w:rPr>
          <w:rFonts w:cs="Times New Roman"/>
          <w:i/>
          <w:szCs w:val="24"/>
        </w:rPr>
        <w:t>the</w:t>
      </w:r>
      <w:proofErr w:type="spellEnd"/>
      <w:r w:rsidRPr="00665D2B">
        <w:rPr>
          <w:rFonts w:cs="Times New Roman"/>
          <w:i/>
          <w:szCs w:val="24"/>
        </w:rPr>
        <w:t xml:space="preserve"> </w:t>
      </w:r>
      <w:proofErr w:type="spellStart"/>
      <w:r w:rsidRPr="00665D2B">
        <w:rPr>
          <w:rFonts w:cs="Times New Roman"/>
          <w:i/>
          <w:szCs w:val="24"/>
        </w:rPr>
        <w:t>Banks</w:t>
      </w:r>
      <w:proofErr w:type="spellEnd"/>
      <w:r w:rsidR="00F8340A">
        <w:rPr>
          <w:rFonts w:cs="Times New Roman"/>
          <w:szCs w:val="24"/>
        </w:rPr>
        <w:t>“, kuriame</w:t>
      </w:r>
      <w:r w:rsidRPr="00F14A09">
        <w:rPr>
          <w:rFonts w:cs="Times New Roman"/>
          <w:szCs w:val="24"/>
        </w:rPr>
        <w:t xml:space="preserve"> yra išreiškiami aiškūs ir konkretūs lūkesčiai bankams įvairiose srityse (rizikos valdymas, įstaigos valdymas ir kt.), kad jie galėtų būti ateityje sėkmingai pertvarkomi, jeigu to prireiktų. Taip pat bankai iš SRB gavo prioritetų laiškus (</w:t>
      </w:r>
      <w:proofErr w:type="spellStart"/>
      <w:r w:rsidRPr="004E35CC">
        <w:rPr>
          <w:rFonts w:cs="Times New Roman"/>
          <w:i/>
          <w:szCs w:val="24"/>
        </w:rPr>
        <w:t>priority</w:t>
      </w:r>
      <w:proofErr w:type="spellEnd"/>
      <w:r w:rsidRPr="004E35CC">
        <w:rPr>
          <w:rFonts w:cs="Times New Roman"/>
          <w:i/>
          <w:szCs w:val="24"/>
        </w:rPr>
        <w:t xml:space="preserve"> </w:t>
      </w:r>
      <w:proofErr w:type="spellStart"/>
      <w:r w:rsidRPr="004E35CC">
        <w:rPr>
          <w:rFonts w:cs="Times New Roman"/>
          <w:i/>
          <w:szCs w:val="24"/>
        </w:rPr>
        <w:t>letters</w:t>
      </w:r>
      <w:proofErr w:type="spellEnd"/>
      <w:r w:rsidRPr="00F14A09">
        <w:rPr>
          <w:rFonts w:cs="Times New Roman"/>
          <w:szCs w:val="24"/>
        </w:rPr>
        <w:t xml:space="preserve">) – </w:t>
      </w:r>
      <w:r w:rsidRPr="004E35CC">
        <w:rPr>
          <w:rFonts w:eastAsia="Calibri" w:cs="Times New Roman"/>
          <w:szCs w:val="24"/>
        </w:rPr>
        <w:t>metini</w:t>
      </w:r>
      <w:r>
        <w:rPr>
          <w:rFonts w:eastAsia="Calibri" w:cs="Times New Roman"/>
          <w:szCs w:val="24"/>
        </w:rPr>
        <w:t>us</w:t>
      </w:r>
      <w:r w:rsidRPr="004E35CC">
        <w:rPr>
          <w:rFonts w:eastAsia="Calibri" w:cs="Times New Roman"/>
          <w:szCs w:val="24"/>
        </w:rPr>
        <w:t xml:space="preserve"> individual</w:t>
      </w:r>
      <w:r>
        <w:rPr>
          <w:rFonts w:eastAsia="Calibri" w:cs="Times New Roman"/>
          <w:szCs w:val="24"/>
        </w:rPr>
        <w:t>iu</w:t>
      </w:r>
      <w:r w:rsidRPr="004E35CC">
        <w:rPr>
          <w:rFonts w:eastAsia="Calibri" w:cs="Times New Roman"/>
          <w:szCs w:val="24"/>
        </w:rPr>
        <w:t>s laišk</w:t>
      </w:r>
      <w:r>
        <w:rPr>
          <w:rFonts w:eastAsia="Calibri" w:cs="Times New Roman"/>
          <w:szCs w:val="24"/>
        </w:rPr>
        <w:t>us</w:t>
      </w:r>
      <w:r w:rsidRPr="004E35CC">
        <w:rPr>
          <w:rFonts w:eastAsia="Calibri" w:cs="Times New Roman"/>
          <w:szCs w:val="24"/>
        </w:rPr>
        <w:t>, kuriuose kiekvienam konkrečiam bankui, už kurį atsakinga SRB, pabrėžiami prioritetai, ties kuriais bankas turėtų sutelkti dėmesį, kad ateityje jis galėtų būti sėkmingai pertvarkomas</w:t>
      </w:r>
      <w:r w:rsidRPr="00F14A09">
        <w:rPr>
          <w:rFonts w:cs="Times New Roman"/>
          <w:szCs w:val="24"/>
        </w:rPr>
        <w:t xml:space="preserve">. Pagal </w:t>
      </w:r>
      <w:proofErr w:type="spellStart"/>
      <w:r w:rsidRPr="004E35CC">
        <w:rPr>
          <w:rFonts w:cs="Times New Roman"/>
          <w:i/>
          <w:szCs w:val="24"/>
        </w:rPr>
        <w:t>priority</w:t>
      </w:r>
      <w:proofErr w:type="spellEnd"/>
      <w:r w:rsidRPr="004E35CC">
        <w:rPr>
          <w:rFonts w:cs="Times New Roman"/>
          <w:i/>
          <w:szCs w:val="24"/>
        </w:rPr>
        <w:t xml:space="preserve"> </w:t>
      </w:r>
      <w:proofErr w:type="spellStart"/>
      <w:r w:rsidRPr="004E35CC">
        <w:rPr>
          <w:rFonts w:cs="Times New Roman"/>
          <w:i/>
          <w:szCs w:val="24"/>
        </w:rPr>
        <w:t>letters</w:t>
      </w:r>
      <w:proofErr w:type="spellEnd"/>
      <w:r w:rsidRPr="00F14A09">
        <w:rPr>
          <w:rFonts w:cs="Times New Roman"/>
          <w:szCs w:val="24"/>
        </w:rPr>
        <w:t xml:space="preserve"> nurodymų vykdymą bus rengiamas bankų vertinimas. </w:t>
      </w:r>
    </w:p>
    <w:p w:rsidR="00CC5EAB" w:rsidRPr="00F14A09" w:rsidRDefault="00CC5EAB" w:rsidP="00556C65">
      <w:pPr>
        <w:spacing w:after="0" w:line="240" w:lineRule="auto"/>
        <w:jc w:val="both"/>
        <w:rPr>
          <w:rFonts w:cs="Times New Roman"/>
          <w:szCs w:val="24"/>
        </w:rPr>
      </w:pPr>
      <w:r w:rsidRPr="00F14A09">
        <w:rPr>
          <w:rFonts w:cs="Times New Roman"/>
          <w:szCs w:val="24"/>
        </w:rPr>
        <w:t>SRB toliau dirba prie Bendrojo pertvarkymo fondo (toliau – SRF) pildymo. SRB valdyba nusprendė, kad 202</w:t>
      </w:r>
      <w:r>
        <w:rPr>
          <w:rFonts w:cs="Times New Roman"/>
          <w:szCs w:val="24"/>
        </w:rPr>
        <w:t xml:space="preserve">0 m. bus surenkama 9,1 mlrd. </w:t>
      </w:r>
      <w:proofErr w:type="spellStart"/>
      <w:r>
        <w:rPr>
          <w:rFonts w:cs="Times New Roman"/>
          <w:szCs w:val="24"/>
        </w:rPr>
        <w:t>Eur</w:t>
      </w:r>
      <w:proofErr w:type="spellEnd"/>
      <w:r w:rsidRPr="00F14A09">
        <w:rPr>
          <w:rFonts w:cs="Times New Roman"/>
          <w:szCs w:val="24"/>
        </w:rPr>
        <w:t xml:space="preserve"> iš 3 066 įstaigų </w:t>
      </w:r>
      <w:proofErr w:type="spellStart"/>
      <w:r w:rsidRPr="00EA2B77">
        <w:rPr>
          <w:rFonts w:cs="Times New Roman"/>
          <w:i/>
          <w:szCs w:val="24"/>
        </w:rPr>
        <w:t>ex-ante</w:t>
      </w:r>
      <w:proofErr w:type="spellEnd"/>
      <w:r w:rsidRPr="00F14A09">
        <w:rPr>
          <w:rFonts w:cs="Times New Roman"/>
          <w:szCs w:val="24"/>
        </w:rPr>
        <w:t xml:space="preserve"> įmokų. Tai reiškia, kad iki gegužės mėn. pabaigos bus surinkta apie du trečdali</w:t>
      </w:r>
      <w:r>
        <w:rPr>
          <w:rFonts w:cs="Times New Roman"/>
          <w:szCs w:val="24"/>
        </w:rPr>
        <w:t xml:space="preserve">ai SRF sumos, t. y. 42 mlrd. </w:t>
      </w:r>
      <w:proofErr w:type="spellStart"/>
      <w:r>
        <w:rPr>
          <w:rFonts w:cs="Times New Roman"/>
          <w:szCs w:val="24"/>
        </w:rPr>
        <w:t>Eur</w:t>
      </w:r>
      <w:proofErr w:type="spellEnd"/>
      <w:r w:rsidRPr="00F14A09">
        <w:rPr>
          <w:rFonts w:cs="Times New Roman"/>
          <w:szCs w:val="24"/>
        </w:rPr>
        <w:t xml:space="preserve">. </w:t>
      </w:r>
    </w:p>
    <w:p w:rsidR="00CC5EAB" w:rsidRPr="00F14A09" w:rsidRDefault="00CC5EAB" w:rsidP="00556C65">
      <w:pPr>
        <w:spacing w:after="0" w:line="240" w:lineRule="auto"/>
        <w:jc w:val="both"/>
        <w:rPr>
          <w:rFonts w:cs="Times New Roman"/>
          <w:szCs w:val="24"/>
        </w:rPr>
      </w:pPr>
      <w:r w:rsidRPr="00F14A09">
        <w:rPr>
          <w:rFonts w:cs="Times New Roman"/>
          <w:szCs w:val="24"/>
        </w:rPr>
        <w:t xml:space="preserve">Balandį prasidėjo 2020 m. pertvarkymo planavimo ciklas. </w:t>
      </w:r>
      <w:r w:rsidR="00F8340A">
        <w:rPr>
          <w:rFonts w:cs="Times New Roman"/>
          <w:szCs w:val="24"/>
        </w:rPr>
        <w:t>B</w:t>
      </w:r>
      <w:r w:rsidRPr="00F14A09">
        <w:rPr>
          <w:rFonts w:cs="Times New Roman"/>
          <w:szCs w:val="24"/>
        </w:rPr>
        <w:t>us ne tik įgyvendintos naujos Bankų paketo nuostatos, bet ir palengvintas bankų pertvarkymo procesas ir pagerinta pertvarkymo planų kokybė.</w:t>
      </w:r>
    </w:p>
    <w:p w:rsidR="00356F64" w:rsidRDefault="00CC5EAB" w:rsidP="00556C65">
      <w:pPr>
        <w:spacing w:after="0" w:line="240" w:lineRule="auto"/>
        <w:jc w:val="both"/>
        <w:rPr>
          <w:rFonts w:cs="Times New Roman"/>
          <w:szCs w:val="24"/>
        </w:rPr>
      </w:pPr>
      <w:r w:rsidRPr="00F14A09">
        <w:rPr>
          <w:rFonts w:cs="Times New Roman"/>
          <w:szCs w:val="24"/>
        </w:rPr>
        <w:t>Kalbant apie esamus privalomus MREL tikslinius dydžius, SRB taiko į ateitį nukreiptą požiūrį (</w:t>
      </w:r>
      <w:proofErr w:type="spellStart"/>
      <w:r w:rsidRPr="004E35CC">
        <w:rPr>
          <w:rFonts w:cs="Times New Roman"/>
          <w:i/>
          <w:szCs w:val="24"/>
        </w:rPr>
        <w:t>forward</w:t>
      </w:r>
      <w:proofErr w:type="spellEnd"/>
      <w:r w:rsidRPr="004E35CC">
        <w:rPr>
          <w:rFonts w:cs="Times New Roman"/>
          <w:i/>
          <w:szCs w:val="24"/>
        </w:rPr>
        <w:t xml:space="preserve"> </w:t>
      </w:r>
      <w:proofErr w:type="spellStart"/>
      <w:r w:rsidRPr="004E35CC">
        <w:rPr>
          <w:rFonts w:cs="Times New Roman"/>
          <w:i/>
          <w:szCs w:val="24"/>
        </w:rPr>
        <w:t>looking</w:t>
      </w:r>
      <w:proofErr w:type="spellEnd"/>
      <w:r w:rsidRPr="004E35CC">
        <w:rPr>
          <w:rFonts w:cs="Times New Roman"/>
          <w:i/>
          <w:szCs w:val="24"/>
        </w:rPr>
        <w:t xml:space="preserve"> </w:t>
      </w:r>
      <w:proofErr w:type="spellStart"/>
      <w:r w:rsidRPr="004E35CC">
        <w:rPr>
          <w:rFonts w:cs="Times New Roman"/>
          <w:i/>
          <w:szCs w:val="24"/>
        </w:rPr>
        <w:t>approach</w:t>
      </w:r>
      <w:proofErr w:type="spellEnd"/>
      <w:r w:rsidRPr="00F14A09">
        <w:rPr>
          <w:rFonts w:cs="Times New Roman"/>
          <w:szCs w:val="24"/>
        </w:rPr>
        <w:t xml:space="preserve">) dėl bankų, kuriems gali kilti sunkumų pasiekiant nustatytus dydžius, kol įsigalios nauji sprendimai iš 2020 m. pertvarkymo planavimo ciklo, kuriais bus atnaujinti MREL tiksliniai dydžiai. </w:t>
      </w:r>
    </w:p>
    <w:p w:rsidR="00087A40" w:rsidRDefault="00D21D7E" w:rsidP="00087A40">
      <w:pPr>
        <w:spacing w:after="0" w:line="240" w:lineRule="auto"/>
        <w:jc w:val="both"/>
        <w:rPr>
          <w:rStyle w:val="tlid-translation"/>
          <w:rFonts w:cs="Times New Roman"/>
          <w:szCs w:val="24"/>
        </w:rPr>
      </w:pPr>
      <w:r w:rsidRPr="009328D5">
        <w:rPr>
          <w:rFonts w:cs="Times New Roman"/>
          <w:b/>
          <w:bCs/>
          <w:szCs w:val="24"/>
          <w:u w:val="single"/>
        </w:rPr>
        <w:t>Lietuvos pozicija.</w:t>
      </w:r>
      <w:r w:rsidR="00087A40">
        <w:rPr>
          <w:rFonts w:cs="Times New Roman"/>
          <w:b/>
          <w:bCs/>
          <w:szCs w:val="24"/>
        </w:rPr>
        <w:t xml:space="preserve"> </w:t>
      </w:r>
      <w:r w:rsidR="00087A40">
        <w:rPr>
          <w:rStyle w:val="tlid-translation"/>
          <w:rFonts w:cs="Times New Roman"/>
          <w:szCs w:val="24"/>
        </w:rPr>
        <w:t xml:space="preserve">BU </w:t>
      </w:r>
      <w:r w:rsidR="00154140">
        <w:rPr>
          <w:rStyle w:val="tlid-translation"/>
          <w:rFonts w:cs="Times New Roman"/>
          <w:szCs w:val="24"/>
        </w:rPr>
        <w:t>užbaigimas</w:t>
      </w:r>
      <w:r w:rsidR="00087A40" w:rsidRPr="00A37229">
        <w:rPr>
          <w:rStyle w:val="tlid-translation"/>
          <w:rFonts w:cs="Times New Roman"/>
          <w:szCs w:val="24"/>
        </w:rPr>
        <w:t xml:space="preserve"> </w:t>
      </w:r>
      <w:r w:rsidR="00087A40">
        <w:rPr>
          <w:rStyle w:val="tlid-translation"/>
          <w:rFonts w:cs="Times New Roman"/>
          <w:szCs w:val="24"/>
        </w:rPr>
        <w:t>yra</w:t>
      </w:r>
      <w:r w:rsidR="00087A40" w:rsidRPr="00A37229">
        <w:rPr>
          <w:rStyle w:val="tlid-translation"/>
          <w:rFonts w:cs="Times New Roman"/>
          <w:szCs w:val="24"/>
        </w:rPr>
        <w:t xml:space="preserve"> nepaprastai svarbus siekiant išsaugoti ekonominį ir finansinį stabilumą ir sustiprinti Europos atsparumą būsimiems sukrėtimams.</w:t>
      </w:r>
      <w:r w:rsidR="00087A40">
        <w:rPr>
          <w:rStyle w:val="tlid-translation"/>
          <w:rFonts w:cs="Times New Roman"/>
          <w:szCs w:val="24"/>
        </w:rPr>
        <w:t xml:space="preserve"> Pasisakome už tai, kad turi būti priimti strateginiai</w:t>
      </w:r>
      <w:r w:rsidR="00087A40" w:rsidRPr="00A37229">
        <w:rPr>
          <w:rStyle w:val="tlid-translation"/>
          <w:rFonts w:cs="Times New Roman"/>
          <w:szCs w:val="24"/>
        </w:rPr>
        <w:t xml:space="preserve"> </w:t>
      </w:r>
      <w:r w:rsidR="00087A40">
        <w:rPr>
          <w:rStyle w:val="tlid-translation"/>
          <w:rFonts w:cs="Times New Roman"/>
          <w:szCs w:val="24"/>
        </w:rPr>
        <w:t>sprendimai</w:t>
      </w:r>
      <w:r w:rsidR="00087A40" w:rsidRPr="00A37229">
        <w:rPr>
          <w:rStyle w:val="tlid-translation"/>
          <w:rFonts w:cs="Times New Roman"/>
          <w:szCs w:val="24"/>
        </w:rPr>
        <w:t xml:space="preserve"> dėl </w:t>
      </w:r>
      <w:r w:rsidR="00087A40">
        <w:rPr>
          <w:rStyle w:val="tlid-translation"/>
          <w:rFonts w:cs="Times New Roman"/>
          <w:szCs w:val="24"/>
        </w:rPr>
        <w:t>BU</w:t>
      </w:r>
      <w:r w:rsidR="00087A40" w:rsidRPr="00A37229">
        <w:rPr>
          <w:rStyle w:val="tlid-translation"/>
          <w:rFonts w:cs="Times New Roman"/>
          <w:szCs w:val="24"/>
        </w:rPr>
        <w:t xml:space="preserve"> stiprinimo darbo krypčių ir terminų (tokių kaip krizių valdymas, EDIS, sustiprinta tarpvalstybinė integracija, RTSE (</w:t>
      </w:r>
      <w:proofErr w:type="spellStart"/>
      <w:r w:rsidR="00087A40" w:rsidRPr="00A37229">
        <w:rPr>
          <w:rStyle w:val="tlid-translation"/>
          <w:rFonts w:cs="Times New Roman"/>
          <w:i/>
          <w:szCs w:val="24"/>
        </w:rPr>
        <w:t>regulatory</w:t>
      </w:r>
      <w:proofErr w:type="spellEnd"/>
      <w:r w:rsidR="00087A40" w:rsidRPr="00A37229">
        <w:rPr>
          <w:rStyle w:val="tlid-translation"/>
          <w:rFonts w:cs="Times New Roman"/>
          <w:i/>
          <w:szCs w:val="24"/>
        </w:rPr>
        <w:t xml:space="preserve"> </w:t>
      </w:r>
      <w:proofErr w:type="spellStart"/>
      <w:r w:rsidR="00087A40" w:rsidRPr="00A37229">
        <w:rPr>
          <w:rStyle w:val="tlid-translation"/>
          <w:rFonts w:cs="Times New Roman"/>
          <w:i/>
          <w:szCs w:val="24"/>
        </w:rPr>
        <w:t>treatment</w:t>
      </w:r>
      <w:proofErr w:type="spellEnd"/>
      <w:r w:rsidR="00087A40" w:rsidRPr="00A37229">
        <w:rPr>
          <w:rStyle w:val="tlid-translation"/>
          <w:rFonts w:cs="Times New Roman"/>
          <w:i/>
          <w:szCs w:val="24"/>
        </w:rPr>
        <w:t xml:space="preserve"> </w:t>
      </w:r>
      <w:proofErr w:type="spellStart"/>
      <w:r w:rsidR="00087A40" w:rsidRPr="00A37229">
        <w:rPr>
          <w:rStyle w:val="tlid-translation"/>
          <w:rFonts w:cs="Times New Roman"/>
          <w:i/>
          <w:szCs w:val="24"/>
        </w:rPr>
        <w:t>on</w:t>
      </w:r>
      <w:proofErr w:type="spellEnd"/>
      <w:r w:rsidR="00087A40" w:rsidRPr="00A37229">
        <w:rPr>
          <w:rStyle w:val="tlid-translation"/>
          <w:rFonts w:cs="Times New Roman"/>
          <w:i/>
          <w:szCs w:val="24"/>
        </w:rPr>
        <w:t xml:space="preserve"> </w:t>
      </w:r>
      <w:proofErr w:type="spellStart"/>
      <w:r w:rsidR="00087A40" w:rsidRPr="00A37229">
        <w:rPr>
          <w:rStyle w:val="tlid-translation"/>
          <w:rFonts w:cs="Times New Roman"/>
          <w:i/>
          <w:szCs w:val="24"/>
        </w:rPr>
        <w:t>sovereign</w:t>
      </w:r>
      <w:proofErr w:type="spellEnd"/>
      <w:r w:rsidR="00087A40" w:rsidRPr="00A37229">
        <w:rPr>
          <w:rStyle w:val="tlid-translation"/>
          <w:rFonts w:cs="Times New Roman"/>
          <w:i/>
          <w:szCs w:val="24"/>
        </w:rPr>
        <w:t xml:space="preserve"> </w:t>
      </w:r>
      <w:proofErr w:type="spellStart"/>
      <w:r w:rsidR="00087A40" w:rsidRPr="00A37229">
        <w:rPr>
          <w:rStyle w:val="tlid-translation"/>
          <w:rFonts w:cs="Times New Roman"/>
          <w:i/>
          <w:szCs w:val="24"/>
        </w:rPr>
        <w:t>exposure</w:t>
      </w:r>
      <w:proofErr w:type="spellEnd"/>
      <w:r w:rsidR="00087A40" w:rsidRPr="00A37229">
        <w:rPr>
          <w:rStyle w:val="tlid-translation"/>
          <w:rFonts w:cs="Times New Roman"/>
          <w:szCs w:val="24"/>
        </w:rPr>
        <w:t>)</w:t>
      </w:r>
      <w:r w:rsidR="00087A40">
        <w:rPr>
          <w:rStyle w:val="tlid-translation"/>
          <w:rFonts w:cs="Times New Roman"/>
          <w:szCs w:val="24"/>
        </w:rPr>
        <w:t xml:space="preserve"> ir finansinio stabilumo, ankstyvo</w:t>
      </w:r>
      <w:r w:rsidR="00087A40" w:rsidRPr="00A37229">
        <w:rPr>
          <w:rStyle w:val="tlid-translation"/>
          <w:rFonts w:cs="Times New Roman"/>
          <w:szCs w:val="24"/>
        </w:rPr>
        <w:t xml:space="preserve"> </w:t>
      </w:r>
      <w:proofErr w:type="spellStart"/>
      <w:r w:rsidR="00087A40" w:rsidRPr="00A37229">
        <w:rPr>
          <w:rStyle w:val="tlid-translation"/>
          <w:rFonts w:cs="Times New Roman"/>
          <w:i/>
          <w:szCs w:val="24"/>
        </w:rPr>
        <w:t>common</w:t>
      </w:r>
      <w:proofErr w:type="spellEnd"/>
      <w:r w:rsidR="00087A40" w:rsidRPr="00A37229">
        <w:rPr>
          <w:rStyle w:val="tlid-translation"/>
          <w:rFonts w:cs="Times New Roman"/>
          <w:i/>
          <w:szCs w:val="24"/>
        </w:rPr>
        <w:t xml:space="preserve"> </w:t>
      </w:r>
      <w:proofErr w:type="spellStart"/>
      <w:r w:rsidR="00087A40" w:rsidRPr="00A37229">
        <w:rPr>
          <w:rStyle w:val="tlid-translation"/>
          <w:rFonts w:cs="Times New Roman"/>
          <w:i/>
          <w:szCs w:val="24"/>
        </w:rPr>
        <w:t>backstop</w:t>
      </w:r>
      <w:proofErr w:type="spellEnd"/>
      <w:r w:rsidR="00087A40" w:rsidRPr="00A37229">
        <w:rPr>
          <w:rStyle w:val="tlid-translation"/>
          <w:rFonts w:cs="Times New Roman"/>
          <w:szCs w:val="24"/>
        </w:rPr>
        <w:t xml:space="preserve"> </w:t>
      </w:r>
      <w:r w:rsidR="00087A40">
        <w:rPr>
          <w:rStyle w:val="tlid-translation"/>
          <w:rFonts w:cs="Times New Roman"/>
          <w:szCs w:val="24"/>
        </w:rPr>
        <w:t>įvedimo, ESM reformos, susietos</w:t>
      </w:r>
      <w:r w:rsidR="00087A40" w:rsidRPr="00A37229">
        <w:rPr>
          <w:rStyle w:val="tlid-translation"/>
          <w:rFonts w:cs="Times New Roman"/>
          <w:szCs w:val="24"/>
        </w:rPr>
        <w:t xml:space="preserve"> su </w:t>
      </w:r>
      <w:proofErr w:type="spellStart"/>
      <w:r w:rsidR="00087A40" w:rsidRPr="00A37229">
        <w:rPr>
          <w:rStyle w:val="tlid-translation"/>
          <w:rFonts w:cs="Times New Roman"/>
          <w:i/>
          <w:szCs w:val="24"/>
        </w:rPr>
        <w:t>common</w:t>
      </w:r>
      <w:proofErr w:type="spellEnd"/>
      <w:r w:rsidR="00087A40" w:rsidRPr="00A37229">
        <w:rPr>
          <w:rStyle w:val="tlid-translation"/>
          <w:rFonts w:cs="Times New Roman"/>
          <w:szCs w:val="24"/>
        </w:rPr>
        <w:t xml:space="preserve"> </w:t>
      </w:r>
      <w:proofErr w:type="spellStart"/>
      <w:r w:rsidR="00087A40" w:rsidRPr="00A37229">
        <w:rPr>
          <w:rStyle w:val="tlid-translation"/>
          <w:rFonts w:cs="Times New Roman"/>
          <w:i/>
          <w:szCs w:val="24"/>
        </w:rPr>
        <w:t>backstop</w:t>
      </w:r>
      <w:proofErr w:type="spellEnd"/>
      <w:r w:rsidR="00087A40" w:rsidRPr="00A37229">
        <w:rPr>
          <w:rStyle w:val="tlid-translation"/>
          <w:rFonts w:cs="Times New Roman"/>
          <w:szCs w:val="24"/>
        </w:rPr>
        <w:t xml:space="preserve"> ir </w:t>
      </w:r>
      <w:proofErr w:type="spellStart"/>
      <w:r w:rsidR="00087A40" w:rsidRPr="00A37229">
        <w:rPr>
          <w:rStyle w:val="tlid-translation"/>
          <w:rFonts w:cs="Times New Roman"/>
          <w:i/>
          <w:szCs w:val="24"/>
        </w:rPr>
        <w:t>liquidity</w:t>
      </w:r>
      <w:proofErr w:type="spellEnd"/>
      <w:r w:rsidR="00087A40" w:rsidRPr="00A37229">
        <w:rPr>
          <w:rStyle w:val="tlid-translation"/>
          <w:rFonts w:cs="Times New Roman"/>
          <w:i/>
          <w:szCs w:val="24"/>
        </w:rPr>
        <w:t xml:space="preserve"> </w:t>
      </w:r>
      <w:proofErr w:type="spellStart"/>
      <w:r w:rsidR="00087A40" w:rsidRPr="00A37229">
        <w:rPr>
          <w:rStyle w:val="tlid-translation"/>
          <w:rFonts w:cs="Times New Roman"/>
          <w:i/>
          <w:szCs w:val="24"/>
        </w:rPr>
        <w:t>in</w:t>
      </w:r>
      <w:proofErr w:type="spellEnd"/>
      <w:r w:rsidR="00087A40" w:rsidRPr="00A37229">
        <w:rPr>
          <w:rStyle w:val="tlid-translation"/>
          <w:rFonts w:cs="Times New Roman"/>
          <w:i/>
          <w:szCs w:val="24"/>
        </w:rPr>
        <w:t xml:space="preserve"> </w:t>
      </w:r>
      <w:proofErr w:type="spellStart"/>
      <w:r w:rsidR="00087A40" w:rsidRPr="00A37229">
        <w:rPr>
          <w:rStyle w:val="tlid-translation"/>
          <w:rFonts w:cs="Times New Roman"/>
          <w:i/>
          <w:szCs w:val="24"/>
        </w:rPr>
        <w:t>resolution</w:t>
      </w:r>
      <w:proofErr w:type="spellEnd"/>
      <w:r w:rsidR="00087A40" w:rsidRPr="00A37229">
        <w:rPr>
          <w:rStyle w:val="tlid-translation"/>
          <w:rFonts w:cs="Times New Roman"/>
          <w:szCs w:val="24"/>
        </w:rPr>
        <w:t xml:space="preserve">, kurios buvo atidėtos </w:t>
      </w:r>
      <w:r w:rsidR="00087A40">
        <w:rPr>
          <w:rStyle w:val="tlid-translation"/>
          <w:rFonts w:cs="Times New Roman"/>
          <w:szCs w:val="24"/>
        </w:rPr>
        <w:t xml:space="preserve">COVID-19 </w:t>
      </w:r>
      <w:r w:rsidR="00087A40" w:rsidRPr="00A37229">
        <w:rPr>
          <w:rStyle w:val="tlid-translation"/>
          <w:rFonts w:cs="Times New Roman"/>
          <w:szCs w:val="24"/>
        </w:rPr>
        <w:t xml:space="preserve">pandemijos pradžioje. </w:t>
      </w:r>
    </w:p>
    <w:p w:rsidR="00BC4F1B" w:rsidRDefault="00BC4F1B" w:rsidP="00087A40">
      <w:pPr>
        <w:spacing w:after="0" w:line="240" w:lineRule="auto"/>
        <w:jc w:val="both"/>
        <w:rPr>
          <w:rStyle w:val="tlid-translation"/>
          <w:rFonts w:cs="Times New Roman"/>
          <w:szCs w:val="24"/>
        </w:rPr>
      </w:pPr>
    </w:p>
    <w:p w:rsidR="00BC4F1B" w:rsidRDefault="00BC4F1B" w:rsidP="00087A40">
      <w:pPr>
        <w:spacing w:after="0" w:line="240" w:lineRule="auto"/>
        <w:jc w:val="both"/>
        <w:rPr>
          <w:rStyle w:val="tlid-translation"/>
          <w:rFonts w:cs="Times New Roman"/>
          <w:szCs w:val="24"/>
        </w:rPr>
      </w:pPr>
    </w:p>
    <w:p w:rsidR="003B7462" w:rsidRPr="00087A40" w:rsidRDefault="003B7462" w:rsidP="00087A40">
      <w:pPr>
        <w:spacing w:after="0" w:line="240" w:lineRule="auto"/>
        <w:jc w:val="both"/>
        <w:rPr>
          <w:rStyle w:val="tlid-translation"/>
          <w:rFonts w:cs="Times New Roman"/>
          <w:szCs w:val="24"/>
        </w:rPr>
      </w:pPr>
      <w:bookmarkStart w:id="0" w:name="_GoBack"/>
      <w:bookmarkEnd w:id="0"/>
    </w:p>
    <w:p w:rsidR="00087A40" w:rsidRDefault="00087A40" w:rsidP="00556C65">
      <w:pPr>
        <w:spacing w:after="0" w:line="240" w:lineRule="auto"/>
        <w:jc w:val="both"/>
        <w:rPr>
          <w:rFonts w:cs="Times New Roman"/>
          <w:szCs w:val="24"/>
        </w:rPr>
      </w:pPr>
    </w:p>
    <w:p w:rsidR="00C4173B" w:rsidRPr="00381F48" w:rsidRDefault="00C4173B" w:rsidP="00C4173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Cs/>
          <w:szCs w:val="24"/>
        </w:rPr>
      </w:pPr>
      <w:r>
        <w:rPr>
          <w:b/>
          <w:szCs w:val="24"/>
          <w:lang w:bidi="lt-LT"/>
        </w:rPr>
        <w:lastRenderedPageBreak/>
        <w:t xml:space="preserve">8-oji </w:t>
      </w:r>
      <w:r w:rsidRPr="00381F48">
        <w:rPr>
          <w:b/>
          <w:szCs w:val="24"/>
          <w:lang w:bidi="lt-LT"/>
        </w:rPr>
        <w:t xml:space="preserve">Kipro </w:t>
      </w:r>
      <w:r w:rsidRPr="00381F48">
        <w:rPr>
          <w:rFonts w:eastAsia="Calibri" w:cs="Times New Roman"/>
          <w:b/>
          <w:szCs w:val="24"/>
        </w:rPr>
        <w:t>po-programinės politikos vertinimo misijos ataskaita</w:t>
      </w:r>
    </w:p>
    <w:p w:rsidR="00C4173B" w:rsidRDefault="00C4173B" w:rsidP="00C4173B">
      <w:pPr>
        <w:spacing w:after="0" w:line="240" w:lineRule="auto"/>
        <w:rPr>
          <w:szCs w:val="24"/>
        </w:rPr>
      </w:pPr>
    </w:p>
    <w:p w:rsidR="00C4173B" w:rsidRDefault="00C4173B" w:rsidP="00C4173B">
      <w:pPr>
        <w:spacing w:after="0" w:line="240" w:lineRule="auto"/>
        <w:jc w:val="both"/>
        <w:rPr>
          <w:rFonts w:eastAsia="Calibri" w:cs="Times New Roman"/>
          <w:b/>
          <w:szCs w:val="24"/>
          <w:u w:val="single"/>
        </w:rPr>
      </w:pPr>
      <w:r w:rsidRPr="00773C90">
        <w:rPr>
          <w:rFonts w:eastAsia="Calibri" w:cs="Times New Roman"/>
          <w:b/>
          <w:szCs w:val="24"/>
          <w:u w:val="single"/>
        </w:rPr>
        <w:t>Klausimo esmė.</w:t>
      </w:r>
      <w:r w:rsidRPr="0008525E">
        <w:rPr>
          <w:rFonts w:eastAsia="Calibri" w:cs="Times New Roman"/>
          <w:b/>
          <w:szCs w:val="24"/>
        </w:rPr>
        <w:t xml:space="preserve"> </w:t>
      </w:r>
      <w:r w:rsidR="004A30E5" w:rsidRPr="004A30E5">
        <w:rPr>
          <w:rFonts w:eastAsia="Calibri" w:cs="Times New Roman"/>
          <w:szCs w:val="24"/>
        </w:rPr>
        <w:t>Posėdyje bus pristatyta</w:t>
      </w:r>
      <w:r w:rsidR="004A30E5">
        <w:rPr>
          <w:rFonts w:eastAsia="Calibri" w:cs="Times New Roman"/>
          <w:b/>
          <w:szCs w:val="24"/>
        </w:rPr>
        <w:t xml:space="preserve"> </w:t>
      </w:r>
      <w:r w:rsidR="004A30E5" w:rsidRPr="00485F58">
        <w:rPr>
          <w:rFonts w:eastAsia="Calibri" w:cs="Times New Roman"/>
          <w:kern w:val="3"/>
          <w:szCs w:val="24"/>
          <w:lang w:bidi="hi-IN"/>
        </w:rPr>
        <w:t>20</w:t>
      </w:r>
      <w:r w:rsidR="004A30E5">
        <w:rPr>
          <w:rFonts w:eastAsia="Calibri" w:cs="Times New Roman"/>
          <w:kern w:val="3"/>
          <w:szCs w:val="24"/>
          <w:lang w:bidi="hi-IN"/>
        </w:rPr>
        <w:t>20</w:t>
      </w:r>
      <w:r w:rsidR="004A30E5" w:rsidRPr="00485F58">
        <w:rPr>
          <w:rFonts w:eastAsia="Calibri" w:cs="Times New Roman"/>
          <w:kern w:val="3"/>
          <w:szCs w:val="24"/>
          <w:lang w:bidi="hi-IN"/>
        </w:rPr>
        <w:t xml:space="preserve"> m. </w:t>
      </w:r>
      <w:r w:rsidR="004A30E5">
        <w:rPr>
          <w:rFonts w:eastAsia="Calibri" w:cs="Times New Roman"/>
          <w:kern w:val="3"/>
          <w:szCs w:val="24"/>
          <w:lang w:bidi="hi-IN"/>
        </w:rPr>
        <w:t>kovo mėn</w:t>
      </w:r>
      <w:r w:rsidR="00CA334A">
        <w:rPr>
          <w:rFonts w:eastAsia="Calibri" w:cs="Times New Roman"/>
          <w:kern w:val="3"/>
          <w:szCs w:val="24"/>
          <w:lang w:bidi="hi-IN"/>
        </w:rPr>
        <w:t>.</w:t>
      </w:r>
      <w:r w:rsidR="004A30E5">
        <w:rPr>
          <w:rFonts w:eastAsia="Calibri" w:cs="Times New Roman"/>
          <w:kern w:val="3"/>
          <w:szCs w:val="24"/>
          <w:lang w:bidi="hi-IN"/>
        </w:rPr>
        <w:t xml:space="preserve"> vykusi </w:t>
      </w:r>
      <w:r>
        <w:rPr>
          <w:rFonts w:eastAsia="Calibri" w:cs="Times New Roman"/>
          <w:kern w:val="3"/>
          <w:szCs w:val="24"/>
          <w:lang w:bidi="hi-IN"/>
        </w:rPr>
        <w:t>Kipro</w:t>
      </w:r>
      <w:r w:rsidRPr="00485F58">
        <w:rPr>
          <w:rFonts w:eastAsia="Calibri" w:cs="Times New Roman"/>
          <w:kern w:val="3"/>
          <w:szCs w:val="24"/>
          <w:lang w:bidi="hi-IN"/>
        </w:rPr>
        <w:t xml:space="preserve"> </w:t>
      </w:r>
      <w:r w:rsidR="008A023B">
        <w:rPr>
          <w:rFonts w:eastAsia="Calibri" w:cs="Times New Roman"/>
          <w:kern w:val="3"/>
          <w:szCs w:val="24"/>
          <w:lang w:bidi="hi-IN"/>
        </w:rPr>
        <w:t>8-</w:t>
      </w:r>
      <w:r>
        <w:rPr>
          <w:rFonts w:eastAsia="Calibri" w:cs="Times New Roman"/>
          <w:kern w:val="3"/>
          <w:szCs w:val="24"/>
          <w:lang w:bidi="hi-IN"/>
        </w:rPr>
        <w:t>oji</w:t>
      </w:r>
      <w:r w:rsidRPr="00485F58">
        <w:rPr>
          <w:rFonts w:eastAsia="Calibri" w:cs="Times New Roman"/>
          <w:kern w:val="3"/>
          <w:szCs w:val="24"/>
          <w:lang w:bidi="hi-IN"/>
        </w:rPr>
        <w:t xml:space="preserve"> </w:t>
      </w:r>
      <w:r w:rsidR="009B6311" w:rsidRPr="009B6311">
        <w:rPr>
          <w:rFonts w:eastAsia="Calibri" w:cs="Times New Roman"/>
          <w:szCs w:val="24"/>
        </w:rPr>
        <w:t xml:space="preserve">po-programinės politikos </w:t>
      </w:r>
      <w:r w:rsidRPr="00485F58">
        <w:rPr>
          <w:rFonts w:eastAsia="Calibri" w:cs="Times New Roman"/>
          <w:kern w:val="3"/>
          <w:szCs w:val="24"/>
          <w:lang w:bidi="hi-IN"/>
        </w:rPr>
        <w:t>vertinimo misija</w:t>
      </w:r>
      <w:r>
        <w:rPr>
          <w:rFonts w:eastAsia="Calibri" w:cs="Times New Roman"/>
          <w:kern w:val="3"/>
          <w:szCs w:val="24"/>
          <w:lang w:bidi="hi-IN"/>
        </w:rPr>
        <w:t>.</w:t>
      </w:r>
      <w:r w:rsidRPr="00485F58">
        <w:rPr>
          <w:rFonts w:eastAsia="Calibri" w:cs="Times New Roman"/>
          <w:kern w:val="3"/>
          <w:szCs w:val="24"/>
          <w:lang w:bidi="hi-IN"/>
        </w:rPr>
        <w:t xml:space="preserve"> </w:t>
      </w:r>
      <w:r>
        <w:rPr>
          <w:rFonts w:eastAsia="Calibri" w:cs="Times New Roman"/>
          <w:kern w:val="3"/>
          <w:szCs w:val="24"/>
          <w:lang w:bidi="hi-IN"/>
        </w:rPr>
        <w:t xml:space="preserve">Ilgą laiką didėjusį ekonomikos augimą sustabdė </w:t>
      </w:r>
      <w:r w:rsidR="00CA334A">
        <w:rPr>
          <w:rFonts w:eastAsia="Calibri" w:cs="Times New Roman"/>
          <w:kern w:val="3"/>
          <w:szCs w:val="24"/>
          <w:lang w:bidi="hi-IN"/>
        </w:rPr>
        <w:t xml:space="preserve">dėl </w:t>
      </w:r>
      <w:r w:rsidR="00CA334A" w:rsidRPr="00485F58">
        <w:rPr>
          <w:rFonts w:cs="Times New Roman"/>
        </w:rPr>
        <w:t>COVID-19 protrūki</w:t>
      </w:r>
      <w:r w:rsidR="00CA334A">
        <w:rPr>
          <w:rFonts w:cs="Times New Roman"/>
        </w:rPr>
        <w:t>o</w:t>
      </w:r>
      <w:r w:rsidR="00CA334A">
        <w:rPr>
          <w:rFonts w:eastAsia="Calibri" w:cs="Times New Roman"/>
          <w:kern w:val="3"/>
          <w:szCs w:val="24"/>
          <w:lang w:bidi="hi-IN"/>
        </w:rPr>
        <w:t xml:space="preserve"> </w:t>
      </w:r>
      <w:r>
        <w:rPr>
          <w:rFonts w:eastAsia="Calibri" w:cs="Times New Roman"/>
          <w:kern w:val="3"/>
          <w:szCs w:val="24"/>
          <w:lang w:bidi="hi-IN"/>
        </w:rPr>
        <w:t>kilusi pandemija</w:t>
      </w:r>
      <w:r>
        <w:rPr>
          <w:rFonts w:cs="Times New Roman"/>
        </w:rPr>
        <w:t>. Numatoma, kad 2020 m. BVP sumažės 7,5 proc.</w:t>
      </w:r>
      <w:r w:rsidRPr="00485F58">
        <w:rPr>
          <w:rFonts w:eastAsia="Calibri" w:cs="Times New Roman"/>
          <w:kern w:val="3"/>
          <w:szCs w:val="24"/>
          <w:lang w:bidi="hi-IN"/>
        </w:rPr>
        <w:t xml:space="preserve">, </w:t>
      </w:r>
      <w:r>
        <w:rPr>
          <w:rFonts w:eastAsia="Calibri" w:cs="Times New Roman"/>
          <w:kern w:val="3"/>
          <w:szCs w:val="24"/>
          <w:lang w:bidi="hi-IN"/>
        </w:rPr>
        <w:t xml:space="preserve">o </w:t>
      </w:r>
      <w:r w:rsidRPr="00485F58">
        <w:rPr>
          <w:rFonts w:eastAsia="Calibri" w:cs="Times New Roman"/>
          <w:kern w:val="3"/>
          <w:szCs w:val="24"/>
          <w:lang w:bidi="hi-IN"/>
        </w:rPr>
        <w:t xml:space="preserve">skolos lygis </w:t>
      </w:r>
      <w:r>
        <w:rPr>
          <w:rFonts w:eastAsia="Calibri" w:cs="Times New Roman"/>
          <w:kern w:val="3"/>
          <w:szCs w:val="24"/>
          <w:lang w:bidi="hi-IN"/>
        </w:rPr>
        <w:t>pakils</w:t>
      </w:r>
      <w:r w:rsidRPr="00485F58">
        <w:rPr>
          <w:rFonts w:eastAsia="Calibri" w:cs="Times New Roman"/>
          <w:kern w:val="3"/>
          <w:szCs w:val="24"/>
          <w:lang w:bidi="hi-IN"/>
        </w:rPr>
        <w:t xml:space="preserve"> </w:t>
      </w:r>
      <w:r>
        <w:rPr>
          <w:rFonts w:eastAsia="Calibri" w:cs="Times New Roman"/>
          <w:kern w:val="3"/>
          <w:szCs w:val="24"/>
          <w:lang w:bidi="hi-IN"/>
        </w:rPr>
        <w:t>iki 116</w:t>
      </w:r>
      <w:r w:rsidRPr="00485F58">
        <w:rPr>
          <w:rFonts w:eastAsia="Calibri" w:cs="Times New Roman"/>
          <w:kern w:val="3"/>
          <w:szCs w:val="24"/>
          <w:lang w:bidi="hi-IN"/>
        </w:rPr>
        <w:t xml:space="preserve"> proc. BVP. </w:t>
      </w:r>
      <w:r>
        <w:rPr>
          <w:rFonts w:eastAsia="Calibri" w:cs="Times New Roman"/>
          <w:kern w:val="3"/>
          <w:szCs w:val="24"/>
          <w:lang w:bidi="hi-IN"/>
        </w:rPr>
        <w:t>Kartu manoma, kad dėl savalaikių priemonių ekonomikos augimas atsigaus 2021 m.</w:t>
      </w:r>
    </w:p>
    <w:p w:rsidR="00C4173B" w:rsidRPr="008C3637" w:rsidRDefault="00C4173B" w:rsidP="00C4173B">
      <w:pPr>
        <w:spacing w:after="0" w:line="240" w:lineRule="auto"/>
        <w:jc w:val="both"/>
        <w:rPr>
          <w:rFonts w:cs="Times New Roman"/>
          <w:i/>
          <w:color w:val="000000"/>
          <w:szCs w:val="24"/>
        </w:rPr>
      </w:pPr>
      <w:r w:rsidRPr="008C3637">
        <w:rPr>
          <w:rFonts w:eastAsia="Calibri" w:cs="Times New Roman"/>
          <w:b/>
          <w:color w:val="000000"/>
          <w:szCs w:val="24"/>
          <w:u w:val="single"/>
        </w:rPr>
        <w:t>Lietuvos pozicija</w:t>
      </w:r>
      <w:r w:rsidRPr="008C3637">
        <w:rPr>
          <w:rFonts w:eastAsia="Calibri" w:cs="Times New Roman"/>
          <w:b/>
          <w:color w:val="000000"/>
          <w:szCs w:val="24"/>
        </w:rPr>
        <w:t xml:space="preserve">. </w:t>
      </w:r>
      <w:r w:rsidR="002A1663">
        <w:rPr>
          <w:rFonts w:eastAsia="Calibri" w:cs="Times New Roman"/>
          <w:szCs w:val="24"/>
        </w:rPr>
        <w:t>Pritariame</w:t>
      </w:r>
      <w:r w:rsidRPr="007C086D">
        <w:rPr>
          <w:rFonts w:eastAsia="Calibri" w:cs="Times New Roman"/>
          <w:szCs w:val="24"/>
        </w:rPr>
        <w:t xml:space="preserve"> </w:t>
      </w:r>
      <w:r w:rsidRPr="00647F51">
        <w:rPr>
          <w:szCs w:val="24"/>
          <w:lang w:bidi="lt-LT"/>
        </w:rPr>
        <w:t xml:space="preserve">Kipro </w:t>
      </w:r>
      <w:r w:rsidRPr="00647F51">
        <w:rPr>
          <w:rFonts w:eastAsia="Calibri" w:cs="Times New Roman"/>
          <w:szCs w:val="24"/>
        </w:rPr>
        <w:t>po-programinės politikos vertinimo misijos</w:t>
      </w:r>
      <w:r w:rsidRPr="00381F48">
        <w:rPr>
          <w:rFonts w:eastAsia="Calibri" w:cs="Times New Roman"/>
          <w:b/>
          <w:szCs w:val="24"/>
        </w:rPr>
        <w:t xml:space="preserve"> </w:t>
      </w:r>
      <w:r w:rsidRPr="007C086D">
        <w:rPr>
          <w:rFonts w:eastAsia="Calibri" w:cs="Times New Roman"/>
          <w:szCs w:val="24"/>
        </w:rPr>
        <w:t>ataskaitai.</w:t>
      </w:r>
    </w:p>
    <w:p w:rsidR="00C4173B" w:rsidRDefault="00C4173B" w:rsidP="00C4173B">
      <w:pPr>
        <w:spacing w:after="0" w:line="240" w:lineRule="auto"/>
        <w:rPr>
          <w:rFonts w:eastAsia="Calibri" w:cs="Times New Roman"/>
          <w:b/>
          <w:szCs w:val="24"/>
          <w:u w:val="single"/>
        </w:rPr>
      </w:pPr>
    </w:p>
    <w:p w:rsidR="00C4173B" w:rsidRPr="00381F48" w:rsidRDefault="00C4173B" w:rsidP="00C4173B">
      <w:pPr>
        <w:spacing w:after="0" w:line="240" w:lineRule="auto"/>
        <w:rPr>
          <w:szCs w:val="24"/>
        </w:rPr>
      </w:pPr>
    </w:p>
    <w:p w:rsidR="00C4173B" w:rsidRPr="00381F48" w:rsidRDefault="00C4173B" w:rsidP="00C4173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Cs/>
          <w:szCs w:val="24"/>
        </w:rPr>
      </w:pPr>
      <w:r>
        <w:rPr>
          <w:b/>
          <w:szCs w:val="24"/>
          <w:lang w:bidi="lt-LT"/>
        </w:rPr>
        <w:t xml:space="preserve">13-oji </w:t>
      </w:r>
      <w:r w:rsidRPr="00381F48">
        <w:rPr>
          <w:b/>
          <w:szCs w:val="24"/>
          <w:lang w:bidi="lt-LT"/>
        </w:rPr>
        <w:t xml:space="preserve">Ispanijos </w:t>
      </w:r>
      <w:r w:rsidRPr="00381F48">
        <w:rPr>
          <w:rFonts w:eastAsia="Calibri" w:cs="Times New Roman"/>
          <w:b/>
          <w:szCs w:val="24"/>
        </w:rPr>
        <w:t>po-programinės politikos vertinimo misijos ataskaita</w:t>
      </w:r>
    </w:p>
    <w:p w:rsidR="001B7FF5" w:rsidRDefault="001B7FF5" w:rsidP="00C4173B">
      <w:pPr>
        <w:spacing w:after="0" w:line="240" w:lineRule="auto"/>
        <w:jc w:val="both"/>
        <w:rPr>
          <w:rFonts w:eastAsia="Calibri" w:cs="Times New Roman"/>
          <w:b/>
          <w:szCs w:val="24"/>
          <w:u w:val="single"/>
        </w:rPr>
      </w:pPr>
    </w:p>
    <w:p w:rsidR="00C4173B" w:rsidRPr="00435B60" w:rsidRDefault="00C4173B" w:rsidP="008A023B">
      <w:pPr>
        <w:spacing w:after="0" w:line="240" w:lineRule="auto"/>
        <w:jc w:val="both"/>
        <w:rPr>
          <w:rFonts w:eastAsia="Calibri" w:cs="Times New Roman"/>
          <w:szCs w:val="24"/>
        </w:rPr>
      </w:pPr>
      <w:r w:rsidRPr="00773C90">
        <w:rPr>
          <w:rFonts w:eastAsia="Calibri" w:cs="Times New Roman"/>
          <w:b/>
          <w:szCs w:val="24"/>
          <w:u w:val="single"/>
        </w:rPr>
        <w:t>Klausimo esmė.</w:t>
      </w:r>
      <w:r w:rsidRPr="0008525E">
        <w:rPr>
          <w:rFonts w:eastAsia="Calibri" w:cs="Times New Roman"/>
          <w:szCs w:val="24"/>
        </w:rPr>
        <w:t xml:space="preserve"> </w:t>
      </w:r>
      <w:r w:rsidR="004A30E5" w:rsidRPr="004A30E5">
        <w:rPr>
          <w:rFonts w:eastAsia="Calibri" w:cs="Times New Roman"/>
          <w:szCs w:val="24"/>
        </w:rPr>
        <w:t>Posėdyje bus pristatyta</w:t>
      </w:r>
      <w:r w:rsidR="004A30E5">
        <w:rPr>
          <w:rFonts w:eastAsia="Calibri" w:cs="Times New Roman"/>
          <w:b/>
          <w:szCs w:val="24"/>
        </w:rPr>
        <w:t xml:space="preserve"> </w:t>
      </w:r>
      <w:r w:rsidR="004A30E5" w:rsidRPr="00485F58">
        <w:rPr>
          <w:rFonts w:eastAsia="Calibri" w:cs="Times New Roman"/>
          <w:kern w:val="3"/>
          <w:szCs w:val="24"/>
          <w:lang w:bidi="hi-IN"/>
        </w:rPr>
        <w:t>20</w:t>
      </w:r>
      <w:r w:rsidR="004A30E5">
        <w:rPr>
          <w:rFonts w:eastAsia="Calibri" w:cs="Times New Roman"/>
          <w:kern w:val="3"/>
          <w:szCs w:val="24"/>
          <w:lang w:bidi="hi-IN"/>
        </w:rPr>
        <w:t>20</w:t>
      </w:r>
      <w:r w:rsidR="004A30E5" w:rsidRPr="00485F58">
        <w:rPr>
          <w:rFonts w:eastAsia="Calibri" w:cs="Times New Roman"/>
          <w:kern w:val="3"/>
          <w:szCs w:val="24"/>
          <w:lang w:bidi="hi-IN"/>
        </w:rPr>
        <w:t xml:space="preserve"> m.</w:t>
      </w:r>
      <w:r w:rsidR="004A30E5">
        <w:rPr>
          <w:rFonts w:eastAsia="Calibri" w:cs="Times New Roman"/>
          <w:kern w:val="3"/>
          <w:szCs w:val="24"/>
          <w:lang w:bidi="hi-IN"/>
        </w:rPr>
        <w:t xml:space="preserve"> </w:t>
      </w:r>
      <w:r w:rsidR="004A30E5">
        <w:rPr>
          <w:rFonts w:eastAsia="Calibri" w:cs="Times New Roman"/>
          <w:szCs w:val="24"/>
        </w:rPr>
        <w:t>balandžio mėn. vykusi</w:t>
      </w:r>
      <w:r w:rsidR="004A30E5" w:rsidRPr="00485F58">
        <w:rPr>
          <w:rFonts w:eastAsia="Calibri" w:cs="Times New Roman"/>
          <w:kern w:val="3"/>
          <w:szCs w:val="24"/>
          <w:lang w:bidi="hi-IN"/>
        </w:rPr>
        <w:t xml:space="preserve"> </w:t>
      </w:r>
      <w:r w:rsidRPr="0008525E">
        <w:rPr>
          <w:rFonts w:eastAsia="Calibri" w:cs="Times New Roman"/>
          <w:szCs w:val="24"/>
        </w:rPr>
        <w:t>Ispanij</w:t>
      </w:r>
      <w:r>
        <w:rPr>
          <w:rFonts w:eastAsia="Calibri" w:cs="Times New Roman"/>
          <w:szCs w:val="24"/>
        </w:rPr>
        <w:t>os</w:t>
      </w:r>
      <w:r w:rsidR="008A023B">
        <w:rPr>
          <w:rFonts w:eastAsia="Calibri" w:cs="Times New Roman"/>
          <w:szCs w:val="24"/>
        </w:rPr>
        <w:t xml:space="preserve"> 13-</w:t>
      </w:r>
      <w:r w:rsidRPr="0008525E">
        <w:rPr>
          <w:rFonts w:eastAsia="Calibri" w:cs="Times New Roman"/>
          <w:szCs w:val="24"/>
        </w:rPr>
        <w:t xml:space="preserve">oji </w:t>
      </w:r>
      <w:r w:rsidR="009B6311" w:rsidRPr="009B6311">
        <w:rPr>
          <w:rFonts w:eastAsia="Calibri" w:cs="Times New Roman"/>
          <w:szCs w:val="24"/>
        </w:rPr>
        <w:t>po-programinės politikos</w:t>
      </w:r>
      <w:r w:rsidR="009B6311" w:rsidRPr="00381F48">
        <w:rPr>
          <w:rFonts w:eastAsia="Calibri" w:cs="Times New Roman"/>
          <w:b/>
          <w:szCs w:val="24"/>
        </w:rPr>
        <w:t xml:space="preserve"> </w:t>
      </w:r>
      <w:r w:rsidR="001B7FF5">
        <w:rPr>
          <w:rFonts w:eastAsia="Calibri" w:cs="Times New Roman"/>
          <w:szCs w:val="24"/>
        </w:rPr>
        <w:t xml:space="preserve">vertinimo </w:t>
      </w:r>
      <w:r w:rsidR="004A30E5">
        <w:rPr>
          <w:rFonts w:eastAsia="Calibri" w:cs="Times New Roman"/>
          <w:szCs w:val="24"/>
        </w:rPr>
        <w:t>misija</w:t>
      </w:r>
      <w:r>
        <w:rPr>
          <w:rFonts w:eastAsia="Calibri" w:cs="Times New Roman"/>
          <w:szCs w:val="24"/>
        </w:rPr>
        <w:t>. Vyriausybės 2020 m. kovo mėn. priimtos griežtos priemonės kovai s</w:t>
      </w:r>
      <w:r w:rsidR="008A023B">
        <w:rPr>
          <w:rFonts w:eastAsia="Calibri" w:cs="Times New Roman"/>
          <w:szCs w:val="24"/>
        </w:rPr>
        <w:t>u pandemijos padariniais</w:t>
      </w:r>
      <w:r>
        <w:rPr>
          <w:rFonts w:eastAsia="Calibri" w:cs="Times New Roman"/>
          <w:szCs w:val="24"/>
        </w:rPr>
        <w:t xml:space="preserve"> sudavė stiprų smūgį Ispanijos ekonomikai. Tačiau tikėtina, kad rengiant 13-sios misijos ataskaitą, jo realios pasekmės dar nebuvo įvertintos. Labiausiai paveiktame turizmo sektoriuje laukiama atsigavimo po karantino gegužės mėn. pabaigos. Todėl 2021 m., po staigaus ekonomikos kritimo 2020 m., tikimasi staigaus atsigavimo. </w:t>
      </w:r>
      <w:r w:rsidR="008A023B">
        <w:rPr>
          <w:rStyle w:val="tlid-translation"/>
        </w:rPr>
        <w:t>Pandemijos sąlygotos</w:t>
      </w:r>
      <w:r>
        <w:rPr>
          <w:rStyle w:val="tlid-translation"/>
        </w:rPr>
        <w:t xml:space="preserve"> krizės poveikio Ispanijos bankų sektoriui dar negalima įvertinti, tačiau manoma, kad pastaraisiais metais sukurto sektoriaus atsparumas padės išsaugoti bendrą stabilumą.</w:t>
      </w:r>
      <w:r>
        <w:rPr>
          <w:rFonts w:eastAsia="Calibri" w:cs="Times New Roman"/>
          <w:szCs w:val="24"/>
        </w:rPr>
        <w:t xml:space="preserve"> </w:t>
      </w:r>
    </w:p>
    <w:p w:rsidR="00C4173B" w:rsidRPr="008C3637" w:rsidRDefault="00C4173B" w:rsidP="008A023B">
      <w:pPr>
        <w:spacing w:after="0" w:line="240" w:lineRule="auto"/>
        <w:jc w:val="both"/>
        <w:rPr>
          <w:rFonts w:cs="Times New Roman"/>
          <w:i/>
          <w:color w:val="000000"/>
          <w:szCs w:val="24"/>
        </w:rPr>
      </w:pPr>
      <w:r w:rsidRPr="008C3637">
        <w:rPr>
          <w:rFonts w:eastAsia="Calibri" w:cs="Times New Roman"/>
          <w:b/>
          <w:color w:val="000000"/>
          <w:szCs w:val="24"/>
          <w:u w:val="single"/>
        </w:rPr>
        <w:t>Lietuvos pozicija</w:t>
      </w:r>
      <w:r w:rsidRPr="008C3637">
        <w:rPr>
          <w:rFonts w:eastAsia="Calibri" w:cs="Times New Roman"/>
          <w:b/>
          <w:color w:val="000000"/>
          <w:szCs w:val="24"/>
        </w:rPr>
        <w:t xml:space="preserve">. </w:t>
      </w:r>
      <w:r w:rsidR="002A1663">
        <w:rPr>
          <w:rFonts w:eastAsia="Calibri" w:cs="Times New Roman"/>
          <w:szCs w:val="24"/>
        </w:rPr>
        <w:t>Pritariame</w:t>
      </w:r>
      <w:r w:rsidRPr="007C086D">
        <w:rPr>
          <w:rFonts w:eastAsia="Calibri" w:cs="Times New Roman"/>
          <w:szCs w:val="24"/>
        </w:rPr>
        <w:t xml:space="preserve"> </w:t>
      </w:r>
      <w:r>
        <w:rPr>
          <w:szCs w:val="24"/>
          <w:lang w:bidi="lt-LT"/>
        </w:rPr>
        <w:t>Ispanijos</w:t>
      </w:r>
      <w:r w:rsidRPr="00647F51">
        <w:rPr>
          <w:szCs w:val="24"/>
          <w:lang w:bidi="lt-LT"/>
        </w:rPr>
        <w:t xml:space="preserve"> </w:t>
      </w:r>
      <w:r w:rsidRPr="00647F51">
        <w:rPr>
          <w:rFonts w:eastAsia="Calibri" w:cs="Times New Roman"/>
          <w:szCs w:val="24"/>
        </w:rPr>
        <w:t>po-programinės politikos vertinimo misijos</w:t>
      </w:r>
      <w:r w:rsidRPr="00381F48">
        <w:rPr>
          <w:rFonts w:eastAsia="Calibri" w:cs="Times New Roman"/>
          <w:b/>
          <w:szCs w:val="24"/>
        </w:rPr>
        <w:t xml:space="preserve"> </w:t>
      </w:r>
      <w:r w:rsidRPr="007C086D">
        <w:rPr>
          <w:rFonts w:eastAsia="Calibri" w:cs="Times New Roman"/>
          <w:szCs w:val="24"/>
        </w:rPr>
        <w:t>ataskaitai.</w:t>
      </w:r>
    </w:p>
    <w:p w:rsidR="00C4173B" w:rsidRPr="009328D5" w:rsidRDefault="00C4173B" w:rsidP="00C4173B">
      <w:pPr>
        <w:spacing w:after="0" w:line="240" w:lineRule="auto"/>
        <w:rPr>
          <w:szCs w:val="24"/>
        </w:rPr>
      </w:pPr>
    </w:p>
    <w:p w:rsidR="00C4173B" w:rsidRPr="00381F48" w:rsidRDefault="00C4173B" w:rsidP="00C4173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381F48">
        <w:rPr>
          <w:rFonts w:cs="Times New Roman"/>
          <w:b/>
          <w:szCs w:val="24"/>
          <w:lang w:eastAsia="fr-BE"/>
        </w:rPr>
        <w:t xml:space="preserve">Šeštoji </w:t>
      </w:r>
      <w:r w:rsidRPr="00381F48">
        <w:rPr>
          <w:rFonts w:eastAsia="Times New Roman" w:cs="Times New Roman"/>
          <w:b/>
          <w:szCs w:val="24"/>
        </w:rPr>
        <w:t>po-programinės sustiprintos priežiūros</w:t>
      </w:r>
      <w:r w:rsidRPr="00381F48">
        <w:rPr>
          <w:rFonts w:cs="Times New Roman"/>
          <w:b/>
          <w:szCs w:val="24"/>
          <w:lang w:eastAsia="fr-BE"/>
        </w:rPr>
        <w:t xml:space="preserve"> ataskaita dėl Graikijos skolos mažinimo priemonių įgyvendinimo</w:t>
      </w:r>
    </w:p>
    <w:p w:rsidR="00C4173B" w:rsidRPr="009328D5" w:rsidRDefault="00C4173B" w:rsidP="00C4173B">
      <w:pPr>
        <w:autoSpaceDE w:val="0"/>
        <w:autoSpaceDN w:val="0"/>
        <w:adjustRightInd w:val="0"/>
        <w:spacing w:after="0" w:line="240" w:lineRule="auto"/>
        <w:jc w:val="both"/>
        <w:rPr>
          <w:rFonts w:cs="Times New Roman"/>
          <w:szCs w:val="24"/>
          <w:lang w:bidi="lt-LT"/>
        </w:rPr>
      </w:pPr>
    </w:p>
    <w:p w:rsidR="00C4173B" w:rsidRPr="008C3637" w:rsidRDefault="00C4173B" w:rsidP="00C4173B">
      <w:pPr>
        <w:spacing w:line="240" w:lineRule="auto"/>
        <w:contextualSpacing/>
        <w:jc w:val="both"/>
        <w:rPr>
          <w:rFonts w:eastAsia="Calibri" w:cs="Times New Roman"/>
          <w:szCs w:val="24"/>
        </w:rPr>
      </w:pPr>
      <w:r w:rsidRPr="00D22BC3">
        <w:rPr>
          <w:rFonts w:eastAsia="Calibri" w:cs="Times New Roman"/>
          <w:b/>
          <w:szCs w:val="24"/>
          <w:u w:val="single"/>
        </w:rPr>
        <w:t>Klausimo esmė.</w:t>
      </w:r>
      <w:r w:rsidRPr="00D22BC3">
        <w:rPr>
          <w:rFonts w:eastAsia="Calibri" w:cs="Times New Roman"/>
          <w:szCs w:val="24"/>
        </w:rPr>
        <w:t xml:space="preserve"> </w:t>
      </w:r>
      <w:r w:rsidRPr="008C3637">
        <w:rPr>
          <w:rFonts w:eastAsia="Calibri" w:cs="Times New Roman"/>
          <w:szCs w:val="24"/>
        </w:rPr>
        <w:t xml:space="preserve">Posėdyje </w:t>
      </w:r>
      <w:r w:rsidRPr="008C3637">
        <w:rPr>
          <w:rFonts w:cs="Times New Roman"/>
          <w:szCs w:val="24"/>
          <w:lang w:eastAsia="fr-BE"/>
        </w:rPr>
        <w:t>Europos stabilumo mechanizmo (ESM) atstovai pristatys ataskaitą dėl Graikijos skolos mažinimo priemonių įgyvendinimo.</w:t>
      </w:r>
    </w:p>
    <w:p w:rsidR="00C4173B" w:rsidRPr="008C3637" w:rsidRDefault="00C4173B" w:rsidP="00C4173B">
      <w:pPr>
        <w:spacing w:after="0" w:line="240" w:lineRule="auto"/>
        <w:jc w:val="both"/>
        <w:rPr>
          <w:rFonts w:eastAsia="Times New Roman" w:cs="Times New Roman"/>
          <w:b/>
          <w:i/>
          <w:szCs w:val="24"/>
          <w:u w:val="single"/>
        </w:rPr>
      </w:pPr>
    </w:p>
    <w:p w:rsidR="00C4173B" w:rsidRPr="00595EFE" w:rsidRDefault="00C4173B" w:rsidP="00C4173B">
      <w:pPr>
        <w:spacing w:after="0" w:line="240" w:lineRule="auto"/>
        <w:jc w:val="both"/>
        <w:rPr>
          <w:rFonts w:eastAsia="Times New Roman" w:cs="Times New Roman"/>
          <w:i/>
          <w:szCs w:val="24"/>
          <w:u w:val="single"/>
        </w:rPr>
      </w:pPr>
      <w:r w:rsidRPr="00595EFE">
        <w:rPr>
          <w:rFonts w:eastAsia="Times New Roman" w:cs="Times New Roman"/>
          <w:i/>
          <w:szCs w:val="24"/>
          <w:u w:val="single"/>
        </w:rPr>
        <w:t>Dėl 6</w:t>
      </w:r>
      <w:r>
        <w:rPr>
          <w:rFonts w:eastAsia="Times New Roman" w:cs="Times New Roman"/>
          <w:i/>
          <w:szCs w:val="24"/>
          <w:u w:val="single"/>
        </w:rPr>
        <w:t>-osios</w:t>
      </w:r>
      <w:r w:rsidRPr="00595EFE">
        <w:rPr>
          <w:rFonts w:eastAsia="Times New Roman" w:cs="Times New Roman"/>
          <w:i/>
          <w:szCs w:val="24"/>
          <w:u w:val="single"/>
        </w:rPr>
        <w:t xml:space="preserve"> po-pro</w:t>
      </w:r>
      <w:r>
        <w:rPr>
          <w:rFonts w:eastAsia="Times New Roman" w:cs="Times New Roman"/>
          <w:i/>
          <w:szCs w:val="24"/>
          <w:u w:val="single"/>
        </w:rPr>
        <w:t>graminės sustiprintos priežiūros</w:t>
      </w:r>
      <w:r w:rsidRPr="00595EFE">
        <w:rPr>
          <w:rFonts w:eastAsia="Times New Roman" w:cs="Times New Roman"/>
          <w:i/>
          <w:szCs w:val="24"/>
          <w:u w:val="single"/>
        </w:rPr>
        <w:t xml:space="preserve"> </w:t>
      </w:r>
    </w:p>
    <w:p w:rsidR="00C4173B" w:rsidRPr="008C3637" w:rsidRDefault="00C4173B" w:rsidP="00C4173B">
      <w:pPr>
        <w:spacing w:after="120" w:line="240" w:lineRule="auto"/>
        <w:jc w:val="both"/>
        <w:rPr>
          <w:rFonts w:eastAsia="Times New Roman" w:cs="Times New Roman"/>
          <w:szCs w:val="24"/>
        </w:rPr>
      </w:pPr>
      <w:r w:rsidRPr="008C3637">
        <w:rPr>
          <w:rFonts w:eastAsia="Times New Roman" w:cs="Times New Roman"/>
          <w:szCs w:val="24"/>
        </w:rPr>
        <w:t>2020 m. gegužės mėn. ESM paskelbė 6 po-programinės sustiprintos priežiūros ataskaitą. A</w:t>
      </w:r>
      <w:r w:rsidRPr="008C3637">
        <w:rPr>
          <w:rStyle w:val="tlid-translation"/>
          <w:rFonts w:cs="Times New Roman"/>
          <w:szCs w:val="24"/>
        </w:rPr>
        <w:t>taskaitoje daroma išvada, kad nepaisant nepaprastų aplinkybių, kilusių dėl COVID-19 protrūkio, Graikija ėmėsi būtinų veiksmų, siekdama vykdyti anksčiau sutartus įsipareigojimus</w:t>
      </w:r>
      <w:r>
        <w:rPr>
          <w:rStyle w:val="tlid-translation"/>
          <w:rFonts w:cs="Times New Roman"/>
          <w:szCs w:val="24"/>
        </w:rPr>
        <w:t>. D</w:t>
      </w:r>
      <w:r w:rsidRPr="008C3637">
        <w:rPr>
          <w:rStyle w:val="tlid-translation"/>
          <w:rFonts w:cs="Times New Roman"/>
          <w:szCs w:val="24"/>
        </w:rPr>
        <w:t>ėl to, kad daugiau išteklių ir pastangų buvo nukreipta į pandemijos poveikio sumažinimą,</w:t>
      </w:r>
      <w:r>
        <w:rPr>
          <w:rStyle w:val="tlid-translation"/>
          <w:rFonts w:cs="Times New Roman"/>
          <w:szCs w:val="24"/>
        </w:rPr>
        <w:t xml:space="preserve"> reformų įgyvendinimas sulėtėjo</w:t>
      </w:r>
      <w:r w:rsidRPr="008C3637">
        <w:rPr>
          <w:rStyle w:val="tlid-translation"/>
          <w:rFonts w:cs="Times New Roman"/>
          <w:szCs w:val="24"/>
        </w:rPr>
        <w:t>.</w:t>
      </w:r>
      <w:r w:rsidR="00E37BE2">
        <w:rPr>
          <w:rStyle w:val="tlid-translation"/>
          <w:rFonts w:cs="Times New Roman"/>
          <w:szCs w:val="24"/>
        </w:rPr>
        <w:t xml:space="preserve"> V</w:t>
      </w:r>
      <w:r w:rsidR="0011152F">
        <w:rPr>
          <w:rStyle w:val="tlid-translation"/>
          <w:rFonts w:cs="Times New Roman"/>
          <w:szCs w:val="24"/>
        </w:rPr>
        <w:t>is dėl</w:t>
      </w:r>
      <w:r w:rsidR="00E37BE2">
        <w:rPr>
          <w:rStyle w:val="tlid-translation"/>
          <w:rFonts w:cs="Times New Roman"/>
          <w:szCs w:val="24"/>
        </w:rPr>
        <w:t>to</w:t>
      </w:r>
      <w:r w:rsidR="0011152F">
        <w:rPr>
          <w:rStyle w:val="tlid-translation"/>
          <w:rFonts w:cs="Times New Roman"/>
          <w:szCs w:val="24"/>
        </w:rPr>
        <w:t xml:space="preserve">, EK mano, kad Graikija įvykdė savo įsipareigojimus, ir tai sudaro pagrindą pervesti Graikijai </w:t>
      </w:r>
      <w:r w:rsidR="0011152F" w:rsidRPr="008C3637">
        <w:rPr>
          <w:rStyle w:val="tlid-translation"/>
          <w:rFonts w:cs="Times New Roman"/>
          <w:szCs w:val="24"/>
        </w:rPr>
        <w:t>SMP/ANFA</w:t>
      </w:r>
      <w:r w:rsidR="0011152F">
        <w:rPr>
          <w:rStyle w:val="tlid-translation"/>
          <w:rFonts w:cs="Times New Roman"/>
          <w:szCs w:val="24"/>
        </w:rPr>
        <w:t xml:space="preserve"> pelno dalį.</w:t>
      </w:r>
    </w:p>
    <w:p w:rsidR="00C4173B" w:rsidRPr="008C3637" w:rsidRDefault="00C4173B" w:rsidP="00C4173B">
      <w:pPr>
        <w:spacing w:after="120" w:line="240" w:lineRule="auto"/>
        <w:jc w:val="both"/>
        <w:rPr>
          <w:rFonts w:cs="Times New Roman"/>
          <w:szCs w:val="24"/>
        </w:rPr>
      </w:pPr>
      <w:r w:rsidRPr="008C3637">
        <w:rPr>
          <w:rFonts w:eastAsia="Times New Roman" w:cs="Times New Roman"/>
          <w:szCs w:val="24"/>
        </w:rPr>
        <w:t>Dėl pandemijos smarkiai nukentėjo pagrindiniai sektoriai – laivyba</w:t>
      </w:r>
      <w:r>
        <w:rPr>
          <w:rFonts w:eastAsia="Times New Roman" w:cs="Times New Roman"/>
          <w:szCs w:val="24"/>
        </w:rPr>
        <w:t>,</w:t>
      </w:r>
      <w:r w:rsidRPr="008C3637">
        <w:rPr>
          <w:rFonts w:eastAsia="Times New Roman" w:cs="Times New Roman"/>
          <w:szCs w:val="24"/>
        </w:rPr>
        <w:t xml:space="preserve"> turizmas</w:t>
      </w:r>
      <w:r>
        <w:rPr>
          <w:rFonts w:eastAsia="Times New Roman" w:cs="Times New Roman"/>
          <w:szCs w:val="24"/>
        </w:rPr>
        <w:t>, transportas</w:t>
      </w:r>
      <w:r w:rsidRPr="008C3637">
        <w:rPr>
          <w:rFonts w:eastAsia="Times New Roman" w:cs="Times New Roman"/>
          <w:szCs w:val="24"/>
        </w:rPr>
        <w:t xml:space="preserve">. Numatoma, kad 2020 m.  ženkliai padidės </w:t>
      </w:r>
      <w:r>
        <w:rPr>
          <w:rFonts w:eastAsia="Times New Roman" w:cs="Times New Roman"/>
          <w:szCs w:val="24"/>
        </w:rPr>
        <w:t xml:space="preserve">nedarbas </w:t>
      </w:r>
      <w:r w:rsidRPr="008C3637">
        <w:rPr>
          <w:rFonts w:eastAsia="Times New Roman" w:cs="Times New Roman"/>
          <w:szCs w:val="24"/>
        </w:rPr>
        <w:t xml:space="preserve">(pagal EK prognozes apie 20 proc., palyginus su 17,3 proc. 2019 m.). </w:t>
      </w:r>
      <w:r w:rsidRPr="008C3637">
        <w:rPr>
          <w:rFonts w:cs="Times New Roman"/>
          <w:szCs w:val="24"/>
        </w:rPr>
        <w:t xml:space="preserve">Pagal EK prognozes Graikijos BVP 2020 m. </w:t>
      </w:r>
      <w:r>
        <w:rPr>
          <w:rFonts w:cs="Times New Roman"/>
          <w:szCs w:val="24"/>
        </w:rPr>
        <w:t>sumažės apie 10 proc., t</w:t>
      </w:r>
      <w:r w:rsidRPr="008C3637">
        <w:rPr>
          <w:rFonts w:cs="Times New Roman"/>
          <w:szCs w:val="24"/>
        </w:rPr>
        <w:t>ačiau 2021 m. laukiama ženklaus atsigavimo (apie 7,9 proc.).</w:t>
      </w:r>
    </w:p>
    <w:p w:rsidR="00C4173B" w:rsidRPr="00595EFE" w:rsidRDefault="00C4173B" w:rsidP="00C4173B">
      <w:pPr>
        <w:spacing w:after="0" w:line="240" w:lineRule="auto"/>
        <w:jc w:val="both"/>
        <w:rPr>
          <w:rFonts w:eastAsia="Times New Roman" w:cs="Times New Roman"/>
          <w:i/>
          <w:szCs w:val="24"/>
          <w:u w:val="single"/>
        </w:rPr>
      </w:pPr>
      <w:r w:rsidRPr="00595EFE">
        <w:rPr>
          <w:rFonts w:eastAsia="Times New Roman" w:cs="Times New Roman"/>
          <w:i/>
          <w:szCs w:val="24"/>
          <w:u w:val="single"/>
        </w:rPr>
        <w:t>Dėl SMP (</w:t>
      </w:r>
      <w:proofErr w:type="spellStart"/>
      <w:r w:rsidRPr="00595EFE">
        <w:rPr>
          <w:rFonts w:eastAsia="Times New Roman" w:cs="Times New Roman"/>
          <w:i/>
          <w:szCs w:val="24"/>
          <w:u w:val="single"/>
        </w:rPr>
        <w:t>Securities</w:t>
      </w:r>
      <w:proofErr w:type="spellEnd"/>
      <w:r w:rsidRPr="00595EFE">
        <w:rPr>
          <w:rFonts w:eastAsia="Times New Roman" w:cs="Times New Roman"/>
          <w:i/>
          <w:szCs w:val="24"/>
          <w:u w:val="single"/>
        </w:rPr>
        <w:t xml:space="preserve"> </w:t>
      </w:r>
      <w:proofErr w:type="spellStart"/>
      <w:r w:rsidRPr="00595EFE">
        <w:rPr>
          <w:rFonts w:eastAsia="Times New Roman" w:cs="Times New Roman"/>
          <w:i/>
          <w:szCs w:val="24"/>
          <w:u w:val="single"/>
        </w:rPr>
        <w:t>Markets</w:t>
      </w:r>
      <w:proofErr w:type="spellEnd"/>
      <w:r w:rsidRPr="00595EFE">
        <w:rPr>
          <w:rFonts w:eastAsia="Times New Roman" w:cs="Times New Roman"/>
          <w:i/>
          <w:szCs w:val="24"/>
          <w:u w:val="single"/>
        </w:rPr>
        <w:t xml:space="preserve"> </w:t>
      </w:r>
      <w:proofErr w:type="spellStart"/>
      <w:r w:rsidRPr="00595EFE">
        <w:rPr>
          <w:rFonts w:eastAsia="Times New Roman" w:cs="Times New Roman"/>
          <w:i/>
          <w:szCs w:val="24"/>
          <w:u w:val="single"/>
        </w:rPr>
        <w:t>Programme</w:t>
      </w:r>
      <w:proofErr w:type="spellEnd"/>
      <w:r w:rsidRPr="00595EFE">
        <w:rPr>
          <w:rFonts w:eastAsia="Times New Roman" w:cs="Times New Roman"/>
          <w:i/>
          <w:szCs w:val="24"/>
          <w:u w:val="single"/>
        </w:rPr>
        <w:t>)/ANFA (</w:t>
      </w:r>
      <w:proofErr w:type="spellStart"/>
      <w:r w:rsidRPr="00595EFE">
        <w:rPr>
          <w:rFonts w:eastAsia="Times New Roman" w:cs="Times New Roman"/>
          <w:i/>
          <w:szCs w:val="24"/>
          <w:u w:val="single"/>
        </w:rPr>
        <w:t>Agreement</w:t>
      </w:r>
      <w:proofErr w:type="spellEnd"/>
      <w:r w:rsidRPr="00595EFE">
        <w:rPr>
          <w:rFonts w:eastAsia="Times New Roman" w:cs="Times New Roman"/>
          <w:i/>
          <w:szCs w:val="24"/>
          <w:u w:val="single"/>
        </w:rPr>
        <w:t xml:space="preserve"> </w:t>
      </w:r>
      <w:proofErr w:type="spellStart"/>
      <w:r w:rsidRPr="00595EFE">
        <w:rPr>
          <w:rFonts w:eastAsia="Times New Roman" w:cs="Times New Roman"/>
          <w:i/>
          <w:szCs w:val="24"/>
          <w:u w:val="single"/>
        </w:rPr>
        <w:t>on</w:t>
      </w:r>
      <w:proofErr w:type="spellEnd"/>
      <w:r w:rsidRPr="00595EFE">
        <w:rPr>
          <w:rFonts w:eastAsia="Times New Roman" w:cs="Times New Roman"/>
          <w:i/>
          <w:szCs w:val="24"/>
          <w:u w:val="single"/>
        </w:rPr>
        <w:t xml:space="preserve"> Net </w:t>
      </w:r>
      <w:proofErr w:type="spellStart"/>
      <w:r w:rsidRPr="00595EFE">
        <w:rPr>
          <w:rFonts w:eastAsia="Times New Roman" w:cs="Times New Roman"/>
          <w:i/>
          <w:szCs w:val="24"/>
          <w:u w:val="single"/>
        </w:rPr>
        <w:t>Financial</w:t>
      </w:r>
      <w:proofErr w:type="spellEnd"/>
      <w:r w:rsidRPr="00595EFE">
        <w:rPr>
          <w:rFonts w:eastAsia="Times New Roman" w:cs="Times New Roman"/>
          <w:i/>
          <w:szCs w:val="24"/>
          <w:u w:val="single"/>
        </w:rPr>
        <w:t xml:space="preserve"> </w:t>
      </w:r>
      <w:proofErr w:type="spellStart"/>
      <w:r w:rsidRPr="00595EFE">
        <w:rPr>
          <w:rFonts w:eastAsia="Times New Roman" w:cs="Times New Roman"/>
          <w:i/>
          <w:szCs w:val="24"/>
          <w:u w:val="single"/>
        </w:rPr>
        <w:t>Assets</w:t>
      </w:r>
      <w:proofErr w:type="spellEnd"/>
      <w:r w:rsidRPr="00595EFE">
        <w:rPr>
          <w:rFonts w:eastAsia="Times New Roman" w:cs="Times New Roman"/>
          <w:i/>
          <w:szCs w:val="24"/>
          <w:u w:val="single"/>
        </w:rPr>
        <w:t>) mokėjimo</w:t>
      </w:r>
    </w:p>
    <w:p w:rsidR="00C4173B" w:rsidRPr="008C3637" w:rsidRDefault="00C4173B" w:rsidP="00C4173B">
      <w:pPr>
        <w:spacing w:after="120" w:line="240" w:lineRule="auto"/>
        <w:jc w:val="both"/>
        <w:rPr>
          <w:rStyle w:val="tlid-translation"/>
          <w:rFonts w:cs="Times New Roman"/>
          <w:szCs w:val="24"/>
        </w:rPr>
      </w:pPr>
      <w:r w:rsidRPr="008C3637">
        <w:rPr>
          <w:rStyle w:val="tlid-translation"/>
          <w:rFonts w:cs="Times New Roman"/>
          <w:szCs w:val="24"/>
        </w:rPr>
        <w:t xml:space="preserve">2018 m. birželio mėn. </w:t>
      </w:r>
      <w:r>
        <w:rPr>
          <w:rStyle w:val="tlid-translation"/>
          <w:rFonts w:cs="Times New Roman"/>
          <w:szCs w:val="24"/>
        </w:rPr>
        <w:t>EG</w:t>
      </w:r>
      <w:r w:rsidRPr="008C3637">
        <w:rPr>
          <w:rStyle w:val="tlid-translation"/>
          <w:rFonts w:cs="Times New Roman"/>
          <w:szCs w:val="24"/>
        </w:rPr>
        <w:t xml:space="preserve"> nustatė, kad SMP/ANFA pervedimai bus atliekami į atskirtą ESM sąskaitą ir bus naudojami skolos padengimui. 2019 m. gruodžio mėn. </w:t>
      </w:r>
      <w:r>
        <w:rPr>
          <w:rStyle w:val="tlid-translation"/>
          <w:rFonts w:cs="Times New Roman"/>
          <w:szCs w:val="24"/>
        </w:rPr>
        <w:t>EG</w:t>
      </w:r>
      <w:r w:rsidRPr="008C3637">
        <w:rPr>
          <w:rStyle w:val="tlid-translation"/>
          <w:rFonts w:cs="Times New Roman"/>
          <w:szCs w:val="24"/>
        </w:rPr>
        <w:t xml:space="preserve"> įgaliojo Europos institucijas „pradėti techninį darbą dėl galimo ANFA ir SMP pajamų naudojimo siekiant sumažinti bendrąjį finansavimo poreikį arba finansuoti abipusiai sutartas investicijas“. Diskusija </w:t>
      </w:r>
      <w:r>
        <w:rPr>
          <w:rStyle w:val="tlid-translation"/>
          <w:rFonts w:cs="Times New Roman"/>
          <w:szCs w:val="24"/>
        </w:rPr>
        <w:t>EG</w:t>
      </w:r>
      <w:r w:rsidRPr="008C3637">
        <w:rPr>
          <w:rStyle w:val="tlid-translation"/>
          <w:rFonts w:cs="Times New Roman"/>
          <w:szCs w:val="24"/>
        </w:rPr>
        <w:t xml:space="preserve"> galėtų vykti 2020 m. antro</w:t>
      </w:r>
      <w:r w:rsidR="00D85B37">
        <w:rPr>
          <w:rStyle w:val="tlid-translation"/>
          <w:rFonts w:cs="Times New Roman"/>
          <w:szCs w:val="24"/>
        </w:rPr>
        <w:t>jo</w:t>
      </w:r>
      <w:r w:rsidRPr="008C3637">
        <w:rPr>
          <w:rStyle w:val="tlid-translation"/>
          <w:rFonts w:cs="Times New Roman"/>
          <w:szCs w:val="24"/>
        </w:rPr>
        <w:t>je pus</w:t>
      </w:r>
      <w:r>
        <w:rPr>
          <w:rStyle w:val="tlid-translation"/>
          <w:rFonts w:cs="Times New Roman"/>
          <w:szCs w:val="24"/>
        </w:rPr>
        <w:t>ėje remiantis Graikijos parengtu</w:t>
      </w:r>
      <w:r w:rsidRPr="008C3637">
        <w:rPr>
          <w:rStyle w:val="tlid-translation"/>
          <w:rFonts w:cs="Times New Roman"/>
          <w:szCs w:val="24"/>
        </w:rPr>
        <w:t xml:space="preserve"> dokumentu.</w:t>
      </w:r>
    </w:p>
    <w:p w:rsidR="00C4173B" w:rsidRPr="008C3637" w:rsidRDefault="00C4173B" w:rsidP="00C4173B">
      <w:pPr>
        <w:spacing w:after="120" w:line="240" w:lineRule="auto"/>
        <w:jc w:val="both"/>
        <w:rPr>
          <w:rFonts w:cs="Times New Roman"/>
          <w:color w:val="000000"/>
          <w:szCs w:val="24"/>
        </w:rPr>
      </w:pPr>
      <w:r w:rsidRPr="008C3637">
        <w:rPr>
          <w:rFonts w:eastAsia="Times New Roman" w:cs="Times New Roman"/>
          <w:szCs w:val="24"/>
        </w:rPr>
        <w:t>Pirmas</w:t>
      </w:r>
      <w:r w:rsidR="00D85B37">
        <w:rPr>
          <w:rFonts w:eastAsia="Times New Roman" w:cs="Times New Roman"/>
          <w:szCs w:val="24"/>
        </w:rPr>
        <w:t>is</w:t>
      </w:r>
      <w:r w:rsidRPr="008C3637">
        <w:rPr>
          <w:rFonts w:eastAsia="Times New Roman" w:cs="Times New Roman"/>
          <w:szCs w:val="24"/>
        </w:rPr>
        <w:t xml:space="preserve"> 5,3 mln. EUR SMP/ANFA pervedimas turėjo būti atliktas iki 2019 m. liepos 15 d. Tačiau dėl to, kad Graikija stipri</w:t>
      </w:r>
      <w:r>
        <w:rPr>
          <w:rFonts w:eastAsia="Times New Roman" w:cs="Times New Roman"/>
          <w:szCs w:val="24"/>
        </w:rPr>
        <w:t>ai vėlavo įvykdyti iki 2019 m.</w:t>
      </w:r>
      <w:r w:rsidRPr="008C3637">
        <w:rPr>
          <w:rFonts w:eastAsia="Times New Roman" w:cs="Times New Roman"/>
          <w:szCs w:val="24"/>
        </w:rPr>
        <w:t xml:space="preserve"> vasaros prisiimtus įsipareigojimus, SMP/ANFA pervedimai buvo sustabdyti. 2019 m. lapkričio 26 d. EWG, atsižvelgiant į Graikijos įvykdytus tarpinius įsipareigojimus (kurie turėjo būti įvykdyti iki 2019 m. vidurio), buvo nuspręsta atnaujinti SMP/ANFA pervedimus. </w:t>
      </w:r>
      <w:r w:rsidRPr="008C3637">
        <w:rPr>
          <w:rFonts w:cs="Times New Roman"/>
          <w:color w:val="000000"/>
          <w:szCs w:val="24"/>
        </w:rPr>
        <w:t xml:space="preserve">Visos VN pervedė pirmus mokėjimus, išskyrus ESP. </w:t>
      </w:r>
    </w:p>
    <w:p w:rsidR="00C4173B" w:rsidRDefault="00C4173B" w:rsidP="00C4173B">
      <w:pPr>
        <w:spacing w:after="120" w:line="240" w:lineRule="auto"/>
        <w:jc w:val="both"/>
        <w:rPr>
          <w:rFonts w:cs="Times New Roman"/>
          <w:color w:val="000000"/>
          <w:szCs w:val="24"/>
        </w:rPr>
      </w:pPr>
      <w:r w:rsidRPr="008C3637">
        <w:rPr>
          <w:rFonts w:cs="Times New Roman"/>
          <w:bCs/>
          <w:color w:val="000000"/>
          <w:szCs w:val="24"/>
        </w:rPr>
        <w:t>Antras</w:t>
      </w:r>
      <w:r w:rsidR="00D85B37">
        <w:rPr>
          <w:rFonts w:cs="Times New Roman"/>
          <w:bCs/>
          <w:color w:val="000000"/>
          <w:szCs w:val="24"/>
        </w:rPr>
        <w:t>is</w:t>
      </w:r>
      <w:r w:rsidRPr="008C3637">
        <w:rPr>
          <w:rFonts w:cs="Times New Roman"/>
          <w:bCs/>
          <w:color w:val="000000"/>
          <w:szCs w:val="24"/>
        </w:rPr>
        <w:t xml:space="preserve"> pervedimas turėjo būti atliktas 2020 m. sausio mėn., bet buvo nuspręsta nukelti ir šią datą.</w:t>
      </w:r>
      <w:r w:rsidRPr="008C3637">
        <w:rPr>
          <w:rFonts w:cs="Times New Roman"/>
          <w:color w:val="000000"/>
          <w:szCs w:val="24"/>
        </w:rPr>
        <w:t xml:space="preserve"> Dvi VN (BE ir LT) dėl biudžeto reikalavimų jau padarė išankstinius pervedimus. </w:t>
      </w:r>
    </w:p>
    <w:p w:rsidR="00E72785" w:rsidRDefault="00C4173B" w:rsidP="00E72785">
      <w:pPr>
        <w:spacing w:after="0" w:line="240" w:lineRule="auto"/>
        <w:jc w:val="both"/>
        <w:rPr>
          <w:rStyle w:val="tlid-translation"/>
          <w:rFonts w:cs="Times New Roman"/>
          <w:szCs w:val="24"/>
        </w:rPr>
      </w:pPr>
      <w:r w:rsidRPr="008C3637">
        <w:rPr>
          <w:rStyle w:val="tlid-translation"/>
          <w:rFonts w:cs="Times New Roman"/>
          <w:szCs w:val="24"/>
        </w:rPr>
        <w:lastRenderedPageBreak/>
        <w:t>Visi 2019–2020 m. pervesti SMP/ANFA mokėjimai buvo panaudoti skolos padengimui.</w:t>
      </w:r>
    </w:p>
    <w:p w:rsidR="00C4173B" w:rsidRPr="00E72785" w:rsidRDefault="00C4173B" w:rsidP="00E72785">
      <w:pPr>
        <w:spacing w:after="0" w:line="240" w:lineRule="auto"/>
        <w:jc w:val="both"/>
        <w:rPr>
          <w:rFonts w:cs="Times New Roman"/>
          <w:szCs w:val="24"/>
        </w:rPr>
      </w:pPr>
      <w:r w:rsidRPr="008C3637">
        <w:rPr>
          <w:rFonts w:eastAsia="Calibri" w:cs="Times New Roman"/>
          <w:b/>
          <w:color w:val="000000"/>
          <w:szCs w:val="24"/>
          <w:u w:val="single"/>
        </w:rPr>
        <w:t>Lietuvos pozicija</w:t>
      </w:r>
      <w:r w:rsidRPr="008C3637">
        <w:rPr>
          <w:rFonts w:eastAsia="Calibri" w:cs="Times New Roman"/>
          <w:b/>
          <w:color w:val="000000"/>
          <w:szCs w:val="24"/>
        </w:rPr>
        <w:t xml:space="preserve">. </w:t>
      </w:r>
      <w:r w:rsidR="00F36D20">
        <w:rPr>
          <w:rFonts w:eastAsia="Calibri" w:cs="Times New Roman"/>
          <w:szCs w:val="24"/>
        </w:rPr>
        <w:t>Pritariame</w:t>
      </w:r>
      <w:r w:rsidRPr="00C4173B">
        <w:rPr>
          <w:rFonts w:eastAsia="Calibri" w:cs="Times New Roman"/>
          <w:szCs w:val="24"/>
        </w:rPr>
        <w:t xml:space="preserve"> </w:t>
      </w:r>
      <w:r w:rsidRPr="00C4173B">
        <w:rPr>
          <w:rFonts w:cs="Times New Roman"/>
          <w:szCs w:val="24"/>
          <w:lang w:eastAsia="fr-BE"/>
        </w:rPr>
        <w:t>Graikijos skolos mažinimo priemonių įgyvendinimo</w:t>
      </w:r>
      <w:r w:rsidRPr="00C4173B">
        <w:rPr>
          <w:rFonts w:eastAsia="Calibri" w:cs="Times New Roman"/>
          <w:szCs w:val="24"/>
        </w:rPr>
        <w:t xml:space="preserve"> ataskaitai.</w:t>
      </w:r>
    </w:p>
    <w:p w:rsidR="00C4173B" w:rsidRPr="00F14A09" w:rsidRDefault="00C4173B" w:rsidP="00556C65">
      <w:pPr>
        <w:spacing w:after="0" w:line="240" w:lineRule="auto"/>
        <w:jc w:val="both"/>
        <w:rPr>
          <w:rFonts w:cs="Times New Roman"/>
          <w:szCs w:val="24"/>
        </w:rPr>
      </w:pPr>
    </w:p>
    <w:p w:rsidR="00E12653" w:rsidRPr="009328D5" w:rsidRDefault="009F276D" w:rsidP="00E12653">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b/>
          <w:szCs w:val="24"/>
          <w:lang w:bidi="lt-LT"/>
        </w:rPr>
        <w:t>Peržiūrėta trumpalaikė</w:t>
      </w:r>
      <w:r w:rsidR="00E12653">
        <w:rPr>
          <w:b/>
          <w:szCs w:val="24"/>
          <w:lang w:bidi="lt-LT"/>
        </w:rPr>
        <w:t xml:space="preserve"> Euro </w:t>
      </w:r>
      <w:r>
        <w:rPr>
          <w:b/>
          <w:szCs w:val="24"/>
          <w:lang w:bidi="lt-LT"/>
        </w:rPr>
        <w:t xml:space="preserve">grupės </w:t>
      </w:r>
      <w:r w:rsidR="00E12653">
        <w:rPr>
          <w:b/>
          <w:szCs w:val="24"/>
          <w:lang w:bidi="lt-LT"/>
        </w:rPr>
        <w:t>darbo programa</w:t>
      </w:r>
    </w:p>
    <w:p w:rsidR="00071DB2" w:rsidRDefault="00071DB2" w:rsidP="009F276D">
      <w:pPr>
        <w:autoSpaceDE w:val="0"/>
        <w:autoSpaceDN w:val="0"/>
        <w:adjustRightInd w:val="0"/>
        <w:spacing w:after="0" w:line="240" w:lineRule="auto"/>
        <w:jc w:val="both"/>
        <w:rPr>
          <w:rFonts w:eastAsia="Calibri" w:cs="Times New Roman"/>
          <w:b/>
          <w:szCs w:val="24"/>
          <w:u w:val="single"/>
        </w:rPr>
      </w:pPr>
    </w:p>
    <w:p w:rsidR="005F4C36" w:rsidRPr="003A6F53" w:rsidRDefault="00223741" w:rsidP="009F276D">
      <w:pPr>
        <w:autoSpaceDE w:val="0"/>
        <w:autoSpaceDN w:val="0"/>
        <w:adjustRightInd w:val="0"/>
        <w:spacing w:after="0" w:line="240" w:lineRule="auto"/>
        <w:jc w:val="both"/>
        <w:rPr>
          <w:rFonts w:eastAsia="Times New Roman" w:cs="Times New Roman"/>
          <w:color w:val="222222"/>
          <w:szCs w:val="24"/>
          <w:lang w:eastAsia="lt-LT"/>
        </w:rPr>
      </w:pPr>
      <w:r w:rsidRPr="00D22BC3">
        <w:rPr>
          <w:rFonts w:eastAsia="Calibri" w:cs="Times New Roman"/>
          <w:b/>
          <w:szCs w:val="24"/>
          <w:u w:val="single"/>
        </w:rPr>
        <w:t>Klausimo esmė.</w:t>
      </w:r>
      <w:r w:rsidRPr="00D22BC3">
        <w:rPr>
          <w:rFonts w:eastAsia="Calibri" w:cs="Times New Roman"/>
          <w:szCs w:val="24"/>
        </w:rPr>
        <w:t xml:space="preserve"> </w:t>
      </w:r>
      <w:r w:rsidR="00F44C30">
        <w:rPr>
          <w:rFonts w:eastAsia="Times New Roman" w:cs="Times New Roman"/>
          <w:color w:val="222222"/>
          <w:szCs w:val="24"/>
          <w:lang w:eastAsia="lt-LT"/>
        </w:rPr>
        <w:t>A</w:t>
      </w:r>
      <w:r w:rsidR="009F276D" w:rsidRPr="009F276D">
        <w:rPr>
          <w:rFonts w:eastAsia="Times New Roman" w:cs="Times New Roman"/>
          <w:color w:val="222222"/>
          <w:szCs w:val="24"/>
          <w:lang w:eastAsia="lt-LT"/>
        </w:rPr>
        <w:t xml:space="preserve">tsižvelgiant į iki </w:t>
      </w:r>
      <w:r w:rsidR="00071DB2">
        <w:rPr>
          <w:rFonts w:eastAsia="Times New Roman" w:cs="Times New Roman"/>
          <w:color w:val="222222"/>
          <w:szCs w:val="24"/>
          <w:lang w:eastAsia="lt-LT"/>
        </w:rPr>
        <w:t xml:space="preserve">COVID-19 </w:t>
      </w:r>
      <w:r w:rsidR="009F276D" w:rsidRPr="009F276D">
        <w:rPr>
          <w:rFonts w:eastAsia="Times New Roman" w:cs="Times New Roman"/>
          <w:color w:val="222222"/>
          <w:szCs w:val="24"/>
          <w:lang w:eastAsia="lt-LT"/>
        </w:rPr>
        <w:t xml:space="preserve">pandemijos nustatytus prioritetus, </w:t>
      </w:r>
      <w:r w:rsidR="009F276D">
        <w:rPr>
          <w:rFonts w:eastAsia="Times New Roman" w:cs="Times New Roman"/>
          <w:color w:val="222222"/>
          <w:szCs w:val="24"/>
          <w:lang w:eastAsia="lt-LT"/>
        </w:rPr>
        <w:t>EG</w:t>
      </w:r>
      <w:r w:rsidR="009F276D" w:rsidRPr="009F276D">
        <w:rPr>
          <w:rFonts w:eastAsia="Times New Roman" w:cs="Times New Roman"/>
          <w:color w:val="222222"/>
          <w:szCs w:val="24"/>
          <w:lang w:eastAsia="lt-LT"/>
        </w:rPr>
        <w:t xml:space="preserve"> susitikimams iki spalio mėn. buvo parengta peržiūrėta trumpalaikė darbo programa</w:t>
      </w:r>
      <w:r w:rsidR="00F44C30">
        <w:rPr>
          <w:rFonts w:eastAsia="Times New Roman" w:cs="Times New Roman"/>
          <w:color w:val="222222"/>
          <w:szCs w:val="24"/>
          <w:lang w:eastAsia="lt-LT"/>
        </w:rPr>
        <w:t xml:space="preserve">, kuri bus pristatyta </w:t>
      </w:r>
      <w:r w:rsidR="00661C8E">
        <w:rPr>
          <w:rFonts w:eastAsia="Times New Roman" w:cs="Times New Roman"/>
          <w:color w:val="222222"/>
          <w:szCs w:val="24"/>
          <w:lang w:eastAsia="lt-LT"/>
        </w:rPr>
        <w:t xml:space="preserve">EG </w:t>
      </w:r>
      <w:r w:rsidR="001E424C">
        <w:rPr>
          <w:rFonts w:eastAsia="Times New Roman" w:cs="Times New Roman"/>
          <w:color w:val="222222"/>
          <w:szCs w:val="24"/>
          <w:lang w:eastAsia="lt-LT"/>
        </w:rPr>
        <w:t>posė</w:t>
      </w:r>
      <w:r w:rsidR="00F44C30">
        <w:rPr>
          <w:rFonts w:eastAsia="Times New Roman" w:cs="Times New Roman"/>
          <w:color w:val="222222"/>
          <w:szCs w:val="24"/>
          <w:lang w:eastAsia="lt-LT"/>
        </w:rPr>
        <w:t>dyje</w:t>
      </w:r>
      <w:r w:rsidR="005F4C36">
        <w:rPr>
          <w:rFonts w:eastAsia="Times New Roman" w:cs="Times New Roman"/>
          <w:color w:val="222222"/>
          <w:szCs w:val="24"/>
          <w:lang w:eastAsia="lt-LT"/>
        </w:rPr>
        <w:t>.</w:t>
      </w:r>
      <w:r w:rsidR="003A6F53">
        <w:rPr>
          <w:rFonts w:eastAsia="Times New Roman" w:cs="Times New Roman"/>
          <w:color w:val="222222"/>
          <w:szCs w:val="24"/>
          <w:lang w:eastAsia="lt-LT"/>
        </w:rPr>
        <w:t xml:space="preserve"> </w:t>
      </w:r>
      <w:r w:rsidR="005F4C36" w:rsidRPr="003A6F53">
        <w:rPr>
          <w:rFonts w:eastAsia="Times New Roman" w:cs="Times New Roman"/>
          <w:color w:val="222222"/>
          <w:szCs w:val="24"/>
          <w:lang w:eastAsia="lt-LT"/>
        </w:rPr>
        <w:t>EG</w:t>
      </w:r>
      <w:r w:rsidR="005F4C36" w:rsidRPr="005F4C36">
        <w:rPr>
          <w:rFonts w:eastAsia="Times New Roman" w:cs="Times New Roman"/>
          <w:color w:val="222222"/>
          <w:szCs w:val="24"/>
          <w:lang w:eastAsia="lt-LT"/>
        </w:rPr>
        <w:t xml:space="preserve"> (įprastos </w:t>
      </w:r>
      <w:r w:rsidR="005F4C36" w:rsidRPr="003A6F53">
        <w:rPr>
          <w:rFonts w:eastAsia="Times New Roman" w:cs="Times New Roman"/>
          <w:color w:val="222222"/>
          <w:szCs w:val="24"/>
          <w:lang w:eastAsia="lt-LT"/>
        </w:rPr>
        <w:t xml:space="preserve">ir įtraukios </w:t>
      </w:r>
      <w:r w:rsidR="005F4C36" w:rsidRPr="005F4C36">
        <w:rPr>
          <w:rFonts w:eastAsia="Times New Roman" w:cs="Times New Roman"/>
          <w:color w:val="222222"/>
          <w:szCs w:val="24"/>
          <w:lang w:eastAsia="lt-LT"/>
        </w:rPr>
        <w:t xml:space="preserve">sudėties) toliau </w:t>
      </w:r>
      <w:r w:rsidR="003A6F53" w:rsidRPr="003A6F53">
        <w:rPr>
          <w:rFonts w:eastAsia="Times New Roman" w:cs="Times New Roman"/>
          <w:color w:val="222222"/>
          <w:szCs w:val="24"/>
          <w:lang w:eastAsia="lt-LT"/>
        </w:rPr>
        <w:t>tęs</w:t>
      </w:r>
      <w:r w:rsidR="005F4C36" w:rsidRPr="003A6F53">
        <w:rPr>
          <w:rFonts w:eastAsia="Times New Roman" w:cs="Times New Roman"/>
          <w:color w:val="222222"/>
          <w:szCs w:val="24"/>
          <w:lang w:eastAsia="lt-LT"/>
        </w:rPr>
        <w:t xml:space="preserve"> ekonominės situacijos </w:t>
      </w:r>
      <w:proofErr w:type="spellStart"/>
      <w:r w:rsidR="005F4C36" w:rsidRPr="005F4C36">
        <w:rPr>
          <w:rFonts w:eastAsia="Times New Roman" w:cs="Times New Roman"/>
          <w:color w:val="222222"/>
          <w:szCs w:val="24"/>
          <w:lang w:eastAsia="lt-LT"/>
        </w:rPr>
        <w:t>stebės</w:t>
      </w:r>
      <w:r w:rsidR="005F4C36" w:rsidRPr="003A6F53">
        <w:rPr>
          <w:rFonts w:eastAsia="Times New Roman" w:cs="Times New Roman"/>
          <w:color w:val="222222"/>
          <w:szCs w:val="24"/>
          <w:lang w:eastAsia="lt-LT"/>
        </w:rPr>
        <w:t>eną</w:t>
      </w:r>
      <w:proofErr w:type="spellEnd"/>
      <w:r w:rsidR="00F44C30">
        <w:rPr>
          <w:rFonts w:eastAsia="Times New Roman" w:cs="Times New Roman"/>
          <w:color w:val="222222"/>
          <w:szCs w:val="24"/>
          <w:lang w:eastAsia="lt-LT"/>
        </w:rPr>
        <w:t xml:space="preserve">, </w:t>
      </w:r>
      <w:r w:rsidR="003A6F53" w:rsidRPr="003A6F53">
        <w:rPr>
          <w:rFonts w:eastAsia="Times New Roman" w:cs="Times New Roman"/>
          <w:color w:val="222222"/>
          <w:szCs w:val="24"/>
          <w:lang w:eastAsia="lt-LT"/>
        </w:rPr>
        <w:t>atsakomosios</w:t>
      </w:r>
      <w:r w:rsidR="00F44C30">
        <w:rPr>
          <w:rFonts w:eastAsia="Times New Roman" w:cs="Times New Roman"/>
          <w:color w:val="222222"/>
          <w:szCs w:val="24"/>
          <w:lang w:eastAsia="lt-LT"/>
        </w:rPr>
        <w:t xml:space="preserve"> </w:t>
      </w:r>
      <w:r w:rsidR="003A6F53" w:rsidRPr="003A6F53">
        <w:rPr>
          <w:rFonts w:eastAsia="Times New Roman" w:cs="Times New Roman"/>
          <w:color w:val="222222"/>
          <w:szCs w:val="24"/>
          <w:lang w:eastAsia="lt-LT"/>
        </w:rPr>
        <w:t>politikos įgyvendinimą</w:t>
      </w:r>
      <w:r w:rsidR="00F44C30">
        <w:rPr>
          <w:rFonts w:eastAsia="Times New Roman" w:cs="Times New Roman"/>
          <w:color w:val="222222"/>
          <w:szCs w:val="24"/>
          <w:lang w:eastAsia="lt-LT"/>
        </w:rPr>
        <w:t xml:space="preserve">, </w:t>
      </w:r>
      <w:r w:rsidR="005F4C36" w:rsidRPr="005F4C36">
        <w:rPr>
          <w:rFonts w:eastAsia="Times New Roman" w:cs="Times New Roman"/>
          <w:color w:val="222222"/>
          <w:szCs w:val="24"/>
          <w:lang w:eastAsia="lt-LT"/>
        </w:rPr>
        <w:t>rengs Euro</w:t>
      </w:r>
      <w:r w:rsidR="005F4C36" w:rsidRPr="003A6F53">
        <w:rPr>
          <w:rFonts w:eastAsia="Times New Roman" w:cs="Times New Roman"/>
          <w:color w:val="222222"/>
          <w:szCs w:val="24"/>
          <w:lang w:eastAsia="lt-LT"/>
        </w:rPr>
        <w:t>pos vadovų tarybos</w:t>
      </w:r>
      <w:r w:rsidR="005F4C36" w:rsidRPr="005F4C36">
        <w:rPr>
          <w:rFonts w:eastAsia="Times New Roman" w:cs="Times New Roman"/>
          <w:color w:val="222222"/>
          <w:szCs w:val="24"/>
          <w:lang w:eastAsia="lt-LT"/>
        </w:rPr>
        <w:t xml:space="preserve"> aukščiausiojo lygio susit</w:t>
      </w:r>
      <w:r w:rsidR="003A6F53" w:rsidRPr="003A6F53">
        <w:rPr>
          <w:rFonts w:eastAsia="Times New Roman" w:cs="Times New Roman"/>
          <w:color w:val="222222"/>
          <w:szCs w:val="24"/>
          <w:lang w:eastAsia="lt-LT"/>
        </w:rPr>
        <w:t xml:space="preserve">ikimus ir seks jų eigą bei </w:t>
      </w:r>
      <w:r w:rsidR="00F44C30" w:rsidRPr="003A6F53">
        <w:rPr>
          <w:rFonts w:eastAsia="Times New Roman" w:cs="Times New Roman"/>
          <w:color w:val="222222"/>
          <w:szCs w:val="24"/>
          <w:lang w:eastAsia="lt-LT"/>
        </w:rPr>
        <w:t>2020 m. antrąjį pusmetį arba 2021 m. p</w:t>
      </w:r>
      <w:r w:rsidR="00F44C30" w:rsidRPr="005F4C36">
        <w:rPr>
          <w:rFonts w:eastAsia="Times New Roman" w:cs="Times New Roman"/>
          <w:color w:val="222222"/>
          <w:szCs w:val="24"/>
          <w:lang w:eastAsia="lt-LT"/>
        </w:rPr>
        <w:t>radž</w:t>
      </w:r>
      <w:r w:rsidR="00F44C30" w:rsidRPr="003A6F53">
        <w:rPr>
          <w:rFonts w:eastAsia="Times New Roman" w:cs="Times New Roman"/>
          <w:color w:val="222222"/>
          <w:szCs w:val="24"/>
          <w:lang w:eastAsia="lt-LT"/>
        </w:rPr>
        <w:t xml:space="preserve">ioje </w:t>
      </w:r>
      <w:r w:rsidR="003A6F53" w:rsidRPr="003A6F53">
        <w:rPr>
          <w:rFonts w:eastAsia="Times New Roman" w:cs="Times New Roman"/>
          <w:color w:val="222222"/>
          <w:szCs w:val="24"/>
          <w:lang w:eastAsia="lt-LT"/>
        </w:rPr>
        <w:t>peržiūrės</w:t>
      </w:r>
      <w:r w:rsidR="005F4C36" w:rsidRPr="005F4C36">
        <w:rPr>
          <w:rFonts w:eastAsia="Times New Roman" w:cs="Times New Roman"/>
          <w:color w:val="222222"/>
          <w:szCs w:val="24"/>
          <w:lang w:eastAsia="lt-LT"/>
        </w:rPr>
        <w:t xml:space="preserve"> skaidru</w:t>
      </w:r>
      <w:r w:rsidR="003A6F53" w:rsidRPr="003A6F53">
        <w:rPr>
          <w:rFonts w:eastAsia="Times New Roman" w:cs="Times New Roman"/>
          <w:color w:val="222222"/>
          <w:szCs w:val="24"/>
          <w:lang w:eastAsia="lt-LT"/>
        </w:rPr>
        <w:t>mo režimo įgyvendinimą</w:t>
      </w:r>
      <w:r w:rsidR="005F4C36" w:rsidRPr="003A6F53">
        <w:rPr>
          <w:rFonts w:eastAsia="Times New Roman" w:cs="Times New Roman"/>
          <w:color w:val="222222"/>
          <w:szCs w:val="24"/>
          <w:lang w:eastAsia="lt-LT"/>
        </w:rPr>
        <w:t>.</w:t>
      </w:r>
      <w:r w:rsidR="00661C8E">
        <w:rPr>
          <w:rFonts w:eastAsia="Times New Roman" w:cs="Times New Roman"/>
          <w:color w:val="222222"/>
          <w:szCs w:val="24"/>
          <w:lang w:eastAsia="lt-LT"/>
        </w:rPr>
        <w:t xml:space="preserve"> EK</w:t>
      </w:r>
      <w:r w:rsidR="00F8710E">
        <w:rPr>
          <w:rFonts w:cs="Times New Roman"/>
          <w:color w:val="000000"/>
          <w:szCs w:val="24"/>
        </w:rPr>
        <w:t xml:space="preserve"> pasisiūlė spalio mėn. tematinei diskusijai parengti diskusijų dokumentą</w:t>
      </w:r>
      <w:r w:rsidR="00661C8E">
        <w:rPr>
          <w:rFonts w:cs="Times New Roman"/>
          <w:color w:val="000000"/>
          <w:szCs w:val="24"/>
        </w:rPr>
        <w:t xml:space="preserve"> (angl. </w:t>
      </w:r>
      <w:proofErr w:type="spellStart"/>
      <w:r w:rsidR="00661C8E" w:rsidRPr="00661C8E">
        <w:rPr>
          <w:rFonts w:cs="Times New Roman"/>
          <w:i/>
          <w:color w:val="000000"/>
          <w:szCs w:val="24"/>
        </w:rPr>
        <w:t>pape</w:t>
      </w:r>
      <w:r w:rsidR="00661C8E">
        <w:rPr>
          <w:rFonts w:cs="Times New Roman"/>
          <w:color w:val="000000"/>
          <w:szCs w:val="24"/>
        </w:rPr>
        <w:t>r</w:t>
      </w:r>
      <w:proofErr w:type="spellEnd"/>
      <w:r w:rsidR="00661C8E">
        <w:rPr>
          <w:rFonts w:cs="Times New Roman"/>
          <w:color w:val="000000"/>
          <w:szCs w:val="24"/>
        </w:rPr>
        <w:t>)</w:t>
      </w:r>
      <w:r w:rsidR="00F8710E">
        <w:rPr>
          <w:rFonts w:cs="Times New Roman"/>
          <w:color w:val="000000"/>
          <w:szCs w:val="24"/>
        </w:rPr>
        <w:t xml:space="preserve"> dėl įvairių ekonomikos gaivinimo priemonių įgyvendinimo pažangos.</w:t>
      </w:r>
    </w:p>
    <w:p w:rsidR="00223741" w:rsidRPr="00D046D0" w:rsidRDefault="00223741" w:rsidP="00223741">
      <w:pPr>
        <w:spacing w:after="0" w:line="240" w:lineRule="auto"/>
        <w:jc w:val="both"/>
        <w:rPr>
          <w:rFonts w:eastAsia="Calibri" w:cs="Times New Roman"/>
          <w:color w:val="FF0000"/>
          <w:szCs w:val="24"/>
        </w:rPr>
      </w:pPr>
      <w:r w:rsidRPr="005A1557">
        <w:rPr>
          <w:rFonts w:eastAsia="Calibri" w:cs="Times New Roman"/>
          <w:b/>
          <w:color w:val="000000"/>
          <w:szCs w:val="24"/>
          <w:u w:val="single"/>
        </w:rPr>
        <w:t>Lietuvos pozicija.</w:t>
      </w:r>
      <w:r>
        <w:rPr>
          <w:rFonts w:eastAsia="Calibri" w:cs="Times New Roman"/>
          <w:b/>
          <w:color w:val="000000"/>
          <w:szCs w:val="24"/>
        </w:rPr>
        <w:t xml:space="preserve"> </w:t>
      </w:r>
      <w:r w:rsidR="00F36D20">
        <w:rPr>
          <w:rFonts w:cs="Times New Roman"/>
          <w:szCs w:val="24"/>
        </w:rPr>
        <w:t>Pritariame programai</w:t>
      </w:r>
      <w:r w:rsidR="001F510A" w:rsidRPr="00F14A09">
        <w:rPr>
          <w:rFonts w:cs="Times New Roman"/>
          <w:szCs w:val="24"/>
        </w:rPr>
        <w:t>.</w:t>
      </w:r>
    </w:p>
    <w:p w:rsidR="00E12653" w:rsidRDefault="00E12653" w:rsidP="00E12653">
      <w:pPr>
        <w:spacing w:after="0" w:line="240" w:lineRule="auto"/>
        <w:jc w:val="both"/>
        <w:rPr>
          <w:rFonts w:cs="Times New Roman"/>
          <w:i/>
          <w:color w:val="000000"/>
          <w:szCs w:val="24"/>
        </w:rPr>
      </w:pPr>
    </w:p>
    <w:sectPr w:rsidR="00E12653" w:rsidSect="005C3E7C">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496" w:rsidRDefault="00F26496" w:rsidP="00CA70EF">
      <w:pPr>
        <w:spacing w:after="0" w:line="240" w:lineRule="auto"/>
      </w:pPr>
      <w:r>
        <w:separator/>
      </w:r>
    </w:p>
  </w:endnote>
  <w:endnote w:type="continuationSeparator" w:id="0">
    <w:p w:rsidR="00F26496" w:rsidRDefault="00F26496"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3B7462">
          <w:rPr>
            <w:noProof/>
          </w:rPr>
          <w:t>3</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496" w:rsidRDefault="00F26496" w:rsidP="00CA70EF">
      <w:pPr>
        <w:spacing w:after="0" w:line="240" w:lineRule="auto"/>
      </w:pPr>
      <w:r>
        <w:separator/>
      </w:r>
    </w:p>
  </w:footnote>
  <w:footnote w:type="continuationSeparator" w:id="0">
    <w:p w:rsidR="00F26496" w:rsidRDefault="00F26496" w:rsidP="00CA70EF">
      <w:pPr>
        <w:spacing w:after="0" w:line="240" w:lineRule="auto"/>
      </w:pPr>
      <w:r>
        <w:continuationSeparator/>
      </w:r>
    </w:p>
  </w:footnote>
  <w:footnote w:id="1">
    <w:p w:rsidR="00773C90" w:rsidRPr="002832C8" w:rsidRDefault="00773C90" w:rsidP="00773C90">
      <w:pPr>
        <w:pStyle w:val="Puslapioinaostekstas"/>
        <w:rPr>
          <w:sz w:val="18"/>
          <w:szCs w:val="18"/>
        </w:rPr>
      </w:pPr>
      <w:r w:rsidRPr="002832C8">
        <w:rPr>
          <w:rStyle w:val="Puslapioinaosnuoroda"/>
          <w:sz w:val="18"/>
          <w:szCs w:val="18"/>
        </w:rPr>
        <w:footnoteRef/>
      </w:r>
      <w:r w:rsidRPr="002832C8">
        <w:rPr>
          <w:sz w:val="18"/>
          <w:szCs w:val="18"/>
        </w:rPr>
        <w:t xml:space="preserve"> LB duomenimis, Lietuvoje NPL lygis 2019 m. IV </w:t>
      </w:r>
      <w:proofErr w:type="spellStart"/>
      <w:r w:rsidRPr="002832C8">
        <w:rPr>
          <w:sz w:val="18"/>
          <w:szCs w:val="18"/>
        </w:rPr>
        <w:t>ketv</w:t>
      </w:r>
      <w:proofErr w:type="spellEnd"/>
      <w:r w:rsidRPr="002832C8">
        <w:rPr>
          <w:sz w:val="18"/>
          <w:szCs w:val="18"/>
        </w:rPr>
        <w:t xml:space="preserve">. buvo 1,6 </w:t>
      </w:r>
      <w:r w:rsidRPr="002832C8">
        <w:rPr>
          <w:b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107D1C"/>
    <w:lvl w:ilvl="0">
      <w:numFmt w:val="bullet"/>
      <w:lvlText w:val="*"/>
      <w:lvlJc w:val="left"/>
    </w:lvl>
  </w:abstractNum>
  <w:abstractNum w:abstractNumId="1">
    <w:nsid w:val="16404C02"/>
    <w:multiLevelType w:val="multilevel"/>
    <w:tmpl w:val="595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0788D"/>
    <w:multiLevelType w:val="hybridMultilevel"/>
    <w:tmpl w:val="76700052"/>
    <w:lvl w:ilvl="0" w:tplc="21E2600E">
      <w:numFmt w:val="bullet"/>
      <w:lvlText w:val=""/>
      <w:lvlJc w:val="left"/>
      <w:pPr>
        <w:ind w:left="786" w:hanging="360"/>
      </w:pPr>
      <w:rPr>
        <w:rFonts w:ascii="Symbol" w:eastAsiaTheme="minorHAnsi" w:hAnsi="Symbol" w:cs="Courier New" w:hint="default"/>
        <w:b w:val="0"/>
      </w:rPr>
    </w:lvl>
    <w:lvl w:ilvl="1" w:tplc="04270001">
      <w:start w:val="1"/>
      <w:numFmt w:val="bullet"/>
      <w:lvlText w:val=""/>
      <w:lvlJc w:val="left"/>
      <w:pPr>
        <w:ind w:left="1506" w:hanging="360"/>
      </w:pPr>
      <w:rPr>
        <w:rFonts w:ascii="Symbol" w:hAnsi="Symbol"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3">
    <w:nsid w:val="3ED1211C"/>
    <w:multiLevelType w:val="hybridMultilevel"/>
    <w:tmpl w:val="DC38EB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46101C04"/>
    <w:multiLevelType w:val="hybridMultilevel"/>
    <w:tmpl w:val="EC44B536"/>
    <w:lvl w:ilvl="0" w:tplc="6F0801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F9B7F25"/>
    <w:multiLevelType w:val="hybridMultilevel"/>
    <w:tmpl w:val="F0523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59A5709"/>
    <w:multiLevelType w:val="hybridMultilevel"/>
    <w:tmpl w:val="8ED275E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2"/>
  </w:num>
  <w:num w:numId="5">
    <w:abstractNumId w:val="3"/>
  </w:num>
  <w:num w:numId="6">
    <w:abstractNumId w:val="4"/>
  </w:num>
  <w:num w:numId="7">
    <w:abstractNumId w:val="0"/>
    <w:lvlOverride w:ilvl="0">
      <w:lvl w:ilvl="0">
        <w:numFmt w:val="bullet"/>
        <w:lvlText w:val=""/>
        <w:legacy w:legacy="1" w:legacySpace="0" w:legacyIndent="0"/>
        <w:lvlJc w:val="left"/>
        <w:rPr>
          <w:rFonts w:ascii="Symbol" w:hAnsi="Symbol" w:hint="default"/>
          <w:sz w:val="22"/>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00D75"/>
    <w:rsid w:val="00005269"/>
    <w:rsid w:val="00010959"/>
    <w:rsid w:val="00023A5A"/>
    <w:rsid w:val="00034872"/>
    <w:rsid w:val="00036C9B"/>
    <w:rsid w:val="000424F9"/>
    <w:rsid w:val="000463FC"/>
    <w:rsid w:val="00047C1C"/>
    <w:rsid w:val="000568E5"/>
    <w:rsid w:val="00063D6F"/>
    <w:rsid w:val="00065F6A"/>
    <w:rsid w:val="00071DB2"/>
    <w:rsid w:val="00076418"/>
    <w:rsid w:val="0008168D"/>
    <w:rsid w:val="00087A40"/>
    <w:rsid w:val="000922B3"/>
    <w:rsid w:val="00094C59"/>
    <w:rsid w:val="0009586B"/>
    <w:rsid w:val="000A3F18"/>
    <w:rsid w:val="000A53EF"/>
    <w:rsid w:val="000A5DD4"/>
    <w:rsid w:val="000A6246"/>
    <w:rsid w:val="000B11EF"/>
    <w:rsid w:val="000B19FB"/>
    <w:rsid w:val="000B5129"/>
    <w:rsid w:val="000C0182"/>
    <w:rsid w:val="000C0BCE"/>
    <w:rsid w:val="000C5D33"/>
    <w:rsid w:val="000D0184"/>
    <w:rsid w:val="000D2193"/>
    <w:rsid w:val="000D2D30"/>
    <w:rsid w:val="000E0FF2"/>
    <w:rsid w:val="000E1C7D"/>
    <w:rsid w:val="000E3A7C"/>
    <w:rsid w:val="000E5CCD"/>
    <w:rsid w:val="000F4E61"/>
    <w:rsid w:val="001011B5"/>
    <w:rsid w:val="0010259B"/>
    <w:rsid w:val="00103E0A"/>
    <w:rsid w:val="00111005"/>
    <w:rsid w:val="0011152F"/>
    <w:rsid w:val="00112FEC"/>
    <w:rsid w:val="00114A4B"/>
    <w:rsid w:val="00120416"/>
    <w:rsid w:val="001205F2"/>
    <w:rsid w:val="00120D14"/>
    <w:rsid w:val="00122DA9"/>
    <w:rsid w:val="0012596B"/>
    <w:rsid w:val="00136BB0"/>
    <w:rsid w:val="001371BE"/>
    <w:rsid w:val="001437E9"/>
    <w:rsid w:val="001517F4"/>
    <w:rsid w:val="001530B0"/>
    <w:rsid w:val="00154140"/>
    <w:rsid w:val="00161E7E"/>
    <w:rsid w:val="001629E9"/>
    <w:rsid w:val="0016384B"/>
    <w:rsid w:val="001658BC"/>
    <w:rsid w:val="00166524"/>
    <w:rsid w:val="00173C4E"/>
    <w:rsid w:val="00174CBD"/>
    <w:rsid w:val="00182EC2"/>
    <w:rsid w:val="0018563F"/>
    <w:rsid w:val="00192354"/>
    <w:rsid w:val="00194F39"/>
    <w:rsid w:val="00196D2C"/>
    <w:rsid w:val="00196D70"/>
    <w:rsid w:val="001B180A"/>
    <w:rsid w:val="001B2A89"/>
    <w:rsid w:val="001B784E"/>
    <w:rsid w:val="001B7FF5"/>
    <w:rsid w:val="001D3D09"/>
    <w:rsid w:val="001E3F01"/>
    <w:rsid w:val="001E424C"/>
    <w:rsid w:val="001F0504"/>
    <w:rsid w:val="001F0CD8"/>
    <w:rsid w:val="001F510A"/>
    <w:rsid w:val="00202592"/>
    <w:rsid w:val="0020512B"/>
    <w:rsid w:val="002144F1"/>
    <w:rsid w:val="00220E49"/>
    <w:rsid w:val="00223741"/>
    <w:rsid w:val="00224830"/>
    <w:rsid w:val="0023140F"/>
    <w:rsid w:val="002404FC"/>
    <w:rsid w:val="0024632F"/>
    <w:rsid w:val="00251724"/>
    <w:rsid w:val="00254E26"/>
    <w:rsid w:val="002550B1"/>
    <w:rsid w:val="00257079"/>
    <w:rsid w:val="002572F3"/>
    <w:rsid w:val="00267738"/>
    <w:rsid w:val="00273820"/>
    <w:rsid w:val="00281958"/>
    <w:rsid w:val="00283951"/>
    <w:rsid w:val="00287697"/>
    <w:rsid w:val="002879EE"/>
    <w:rsid w:val="002907CC"/>
    <w:rsid w:val="0029554C"/>
    <w:rsid w:val="00297D77"/>
    <w:rsid w:val="002A1419"/>
    <w:rsid w:val="002A1663"/>
    <w:rsid w:val="002A31E5"/>
    <w:rsid w:val="002A6B86"/>
    <w:rsid w:val="002B06DD"/>
    <w:rsid w:val="002C6511"/>
    <w:rsid w:val="002D3BF6"/>
    <w:rsid w:val="002D5289"/>
    <w:rsid w:val="002D667F"/>
    <w:rsid w:val="002D71E1"/>
    <w:rsid w:val="002F18D2"/>
    <w:rsid w:val="002F5336"/>
    <w:rsid w:val="002F5ABA"/>
    <w:rsid w:val="002F602E"/>
    <w:rsid w:val="0030082C"/>
    <w:rsid w:val="00310948"/>
    <w:rsid w:val="00310DA9"/>
    <w:rsid w:val="00315CA2"/>
    <w:rsid w:val="00316D75"/>
    <w:rsid w:val="00323F70"/>
    <w:rsid w:val="003316EF"/>
    <w:rsid w:val="00333F58"/>
    <w:rsid w:val="00341355"/>
    <w:rsid w:val="0034338B"/>
    <w:rsid w:val="00343558"/>
    <w:rsid w:val="00347A60"/>
    <w:rsid w:val="00351711"/>
    <w:rsid w:val="00354729"/>
    <w:rsid w:val="00356F64"/>
    <w:rsid w:val="00357088"/>
    <w:rsid w:val="00360C91"/>
    <w:rsid w:val="00364BD5"/>
    <w:rsid w:val="00366E6B"/>
    <w:rsid w:val="0037142C"/>
    <w:rsid w:val="00372175"/>
    <w:rsid w:val="00375E81"/>
    <w:rsid w:val="00380CB2"/>
    <w:rsid w:val="00381F48"/>
    <w:rsid w:val="003825A2"/>
    <w:rsid w:val="00382E88"/>
    <w:rsid w:val="00390B3D"/>
    <w:rsid w:val="00392E9D"/>
    <w:rsid w:val="003948F6"/>
    <w:rsid w:val="00395776"/>
    <w:rsid w:val="003A4523"/>
    <w:rsid w:val="003A6F53"/>
    <w:rsid w:val="003A7A0F"/>
    <w:rsid w:val="003B0320"/>
    <w:rsid w:val="003B2508"/>
    <w:rsid w:val="003B7462"/>
    <w:rsid w:val="003B7DA9"/>
    <w:rsid w:val="003C47D0"/>
    <w:rsid w:val="003C76C8"/>
    <w:rsid w:val="003F41B7"/>
    <w:rsid w:val="003F4F6D"/>
    <w:rsid w:val="003F5087"/>
    <w:rsid w:val="00400088"/>
    <w:rsid w:val="0041491A"/>
    <w:rsid w:val="00420E11"/>
    <w:rsid w:val="00421F54"/>
    <w:rsid w:val="004309F1"/>
    <w:rsid w:val="00433C27"/>
    <w:rsid w:val="00435B60"/>
    <w:rsid w:val="00441770"/>
    <w:rsid w:val="00443785"/>
    <w:rsid w:val="00450D09"/>
    <w:rsid w:val="004534C6"/>
    <w:rsid w:val="00453C04"/>
    <w:rsid w:val="00462C72"/>
    <w:rsid w:val="00481D35"/>
    <w:rsid w:val="004868E1"/>
    <w:rsid w:val="0049353A"/>
    <w:rsid w:val="004952B0"/>
    <w:rsid w:val="004A30E5"/>
    <w:rsid w:val="004D0576"/>
    <w:rsid w:val="004D32CD"/>
    <w:rsid w:val="004E35CC"/>
    <w:rsid w:val="004E391F"/>
    <w:rsid w:val="004E56FE"/>
    <w:rsid w:val="004F0024"/>
    <w:rsid w:val="00504E41"/>
    <w:rsid w:val="00506C31"/>
    <w:rsid w:val="00514C94"/>
    <w:rsid w:val="00516233"/>
    <w:rsid w:val="005234AB"/>
    <w:rsid w:val="00523C46"/>
    <w:rsid w:val="00523D92"/>
    <w:rsid w:val="0053086E"/>
    <w:rsid w:val="00531BF1"/>
    <w:rsid w:val="005363F1"/>
    <w:rsid w:val="00546EBA"/>
    <w:rsid w:val="00556C65"/>
    <w:rsid w:val="00561308"/>
    <w:rsid w:val="005617D8"/>
    <w:rsid w:val="00563C6C"/>
    <w:rsid w:val="00567F26"/>
    <w:rsid w:val="00580256"/>
    <w:rsid w:val="00587BDA"/>
    <w:rsid w:val="00590243"/>
    <w:rsid w:val="00592E5A"/>
    <w:rsid w:val="00595EFE"/>
    <w:rsid w:val="005A1489"/>
    <w:rsid w:val="005A3CD5"/>
    <w:rsid w:val="005B21D3"/>
    <w:rsid w:val="005B54DC"/>
    <w:rsid w:val="005C106D"/>
    <w:rsid w:val="005C1381"/>
    <w:rsid w:val="005C2F00"/>
    <w:rsid w:val="005C3692"/>
    <w:rsid w:val="005C3976"/>
    <w:rsid w:val="005C3E7C"/>
    <w:rsid w:val="005C44E5"/>
    <w:rsid w:val="005C6384"/>
    <w:rsid w:val="005C7794"/>
    <w:rsid w:val="005D50C9"/>
    <w:rsid w:val="005D6A77"/>
    <w:rsid w:val="005E167E"/>
    <w:rsid w:val="005F4C36"/>
    <w:rsid w:val="005F6ADD"/>
    <w:rsid w:val="006022CA"/>
    <w:rsid w:val="00613C5B"/>
    <w:rsid w:val="0062763B"/>
    <w:rsid w:val="00634DF1"/>
    <w:rsid w:val="00646CDD"/>
    <w:rsid w:val="0064710E"/>
    <w:rsid w:val="00647F51"/>
    <w:rsid w:val="00650E80"/>
    <w:rsid w:val="00661C8E"/>
    <w:rsid w:val="00665D2B"/>
    <w:rsid w:val="006662BC"/>
    <w:rsid w:val="0066647A"/>
    <w:rsid w:val="00676CED"/>
    <w:rsid w:val="00683F6F"/>
    <w:rsid w:val="00687257"/>
    <w:rsid w:val="0069003E"/>
    <w:rsid w:val="00696329"/>
    <w:rsid w:val="006A4A7B"/>
    <w:rsid w:val="006A5604"/>
    <w:rsid w:val="006B0A30"/>
    <w:rsid w:val="006B5E52"/>
    <w:rsid w:val="006C76E8"/>
    <w:rsid w:val="006D0DD1"/>
    <w:rsid w:val="006E34B1"/>
    <w:rsid w:val="007056E1"/>
    <w:rsid w:val="007061A3"/>
    <w:rsid w:val="007137FE"/>
    <w:rsid w:val="00715871"/>
    <w:rsid w:val="007168A7"/>
    <w:rsid w:val="00725FE5"/>
    <w:rsid w:val="00733567"/>
    <w:rsid w:val="00733CF4"/>
    <w:rsid w:val="007424A4"/>
    <w:rsid w:val="0074462A"/>
    <w:rsid w:val="00744CC1"/>
    <w:rsid w:val="00745BA0"/>
    <w:rsid w:val="00746F2D"/>
    <w:rsid w:val="00752280"/>
    <w:rsid w:val="00753471"/>
    <w:rsid w:val="0076154F"/>
    <w:rsid w:val="00763CEB"/>
    <w:rsid w:val="007645B4"/>
    <w:rsid w:val="007652C2"/>
    <w:rsid w:val="007668C2"/>
    <w:rsid w:val="007672AC"/>
    <w:rsid w:val="007674B9"/>
    <w:rsid w:val="00773B78"/>
    <w:rsid w:val="00773C90"/>
    <w:rsid w:val="00784913"/>
    <w:rsid w:val="00785520"/>
    <w:rsid w:val="00787D9E"/>
    <w:rsid w:val="007912C4"/>
    <w:rsid w:val="00791A33"/>
    <w:rsid w:val="00792C64"/>
    <w:rsid w:val="0079426C"/>
    <w:rsid w:val="00796219"/>
    <w:rsid w:val="007A58DF"/>
    <w:rsid w:val="007A74C5"/>
    <w:rsid w:val="007B5B45"/>
    <w:rsid w:val="007B5FE5"/>
    <w:rsid w:val="007C034B"/>
    <w:rsid w:val="007C086D"/>
    <w:rsid w:val="007D1A74"/>
    <w:rsid w:val="007D319A"/>
    <w:rsid w:val="007D3EAF"/>
    <w:rsid w:val="007D405D"/>
    <w:rsid w:val="007E1F06"/>
    <w:rsid w:val="007E6959"/>
    <w:rsid w:val="008022D7"/>
    <w:rsid w:val="00804A77"/>
    <w:rsid w:val="00805C15"/>
    <w:rsid w:val="00815894"/>
    <w:rsid w:val="00820669"/>
    <w:rsid w:val="008218BE"/>
    <w:rsid w:val="008242FA"/>
    <w:rsid w:val="00824C14"/>
    <w:rsid w:val="00827E85"/>
    <w:rsid w:val="00834254"/>
    <w:rsid w:val="00840D2D"/>
    <w:rsid w:val="00841E12"/>
    <w:rsid w:val="00841E83"/>
    <w:rsid w:val="0084520E"/>
    <w:rsid w:val="00845FF8"/>
    <w:rsid w:val="008531B1"/>
    <w:rsid w:val="00855CDB"/>
    <w:rsid w:val="008618AA"/>
    <w:rsid w:val="00861D50"/>
    <w:rsid w:val="00863C8A"/>
    <w:rsid w:val="00871363"/>
    <w:rsid w:val="008818DE"/>
    <w:rsid w:val="00886F69"/>
    <w:rsid w:val="008905F2"/>
    <w:rsid w:val="00895D43"/>
    <w:rsid w:val="008A023B"/>
    <w:rsid w:val="008A366B"/>
    <w:rsid w:val="008B6C06"/>
    <w:rsid w:val="008C3637"/>
    <w:rsid w:val="008C3792"/>
    <w:rsid w:val="008D55D7"/>
    <w:rsid w:val="008F18CC"/>
    <w:rsid w:val="008F7763"/>
    <w:rsid w:val="009038E8"/>
    <w:rsid w:val="009124DE"/>
    <w:rsid w:val="0091341C"/>
    <w:rsid w:val="0091661C"/>
    <w:rsid w:val="0091687C"/>
    <w:rsid w:val="009213C8"/>
    <w:rsid w:val="00923C71"/>
    <w:rsid w:val="0092533A"/>
    <w:rsid w:val="00931B31"/>
    <w:rsid w:val="009328D5"/>
    <w:rsid w:val="00932B61"/>
    <w:rsid w:val="00933C22"/>
    <w:rsid w:val="0093518F"/>
    <w:rsid w:val="009500CC"/>
    <w:rsid w:val="009531C7"/>
    <w:rsid w:val="00953707"/>
    <w:rsid w:val="00955E06"/>
    <w:rsid w:val="009564E6"/>
    <w:rsid w:val="00960522"/>
    <w:rsid w:val="00967F62"/>
    <w:rsid w:val="00974629"/>
    <w:rsid w:val="00976406"/>
    <w:rsid w:val="00981199"/>
    <w:rsid w:val="009846D2"/>
    <w:rsid w:val="00984C9D"/>
    <w:rsid w:val="0099647D"/>
    <w:rsid w:val="00996FD3"/>
    <w:rsid w:val="009A2EF8"/>
    <w:rsid w:val="009A2F6C"/>
    <w:rsid w:val="009A5951"/>
    <w:rsid w:val="009B0F56"/>
    <w:rsid w:val="009B6311"/>
    <w:rsid w:val="009B65E9"/>
    <w:rsid w:val="009C7962"/>
    <w:rsid w:val="009C7F6C"/>
    <w:rsid w:val="009D4DFA"/>
    <w:rsid w:val="009F276D"/>
    <w:rsid w:val="00A20375"/>
    <w:rsid w:val="00A24736"/>
    <w:rsid w:val="00A3381D"/>
    <w:rsid w:val="00A427F1"/>
    <w:rsid w:val="00A442E5"/>
    <w:rsid w:val="00A47A9A"/>
    <w:rsid w:val="00A51160"/>
    <w:rsid w:val="00A53380"/>
    <w:rsid w:val="00A577FB"/>
    <w:rsid w:val="00A6317F"/>
    <w:rsid w:val="00A7013E"/>
    <w:rsid w:val="00A75D59"/>
    <w:rsid w:val="00A77581"/>
    <w:rsid w:val="00A819D2"/>
    <w:rsid w:val="00A925A5"/>
    <w:rsid w:val="00A95557"/>
    <w:rsid w:val="00A96413"/>
    <w:rsid w:val="00A97270"/>
    <w:rsid w:val="00AA6AC2"/>
    <w:rsid w:val="00AB341E"/>
    <w:rsid w:val="00AD2E09"/>
    <w:rsid w:val="00AE1EF5"/>
    <w:rsid w:val="00AE3E27"/>
    <w:rsid w:val="00AE7ADF"/>
    <w:rsid w:val="00AF37A5"/>
    <w:rsid w:val="00AF438B"/>
    <w:rsid w:val="00B01A83"/>
    <w:rsid w:val="00B02BD3"/>
    <w:rsid w:val="00B053E2"/>
    <w:rsid w:val="00B11CD7"/>
    <w:rsid w:val="00B1257E"/>
    <w:rsid w:val="00B13D0D"/>
    <w:rsid w:val="00B163C2"/>
    <w:rsid w:val="00B249C7"/>
    <w:rsid w:val="00B267AE"/>
    <w:rsid w:val="00B32D90"/>
    <w:rsid w:val="00B431FD"/>
    <w:rsid w:val="00B55356"/>
    <w:rsid w:val="00B57322"/>
    <w:rsid w:val="00B577B4"/>
    <w:rsid w:val="00B64BD5"/>
    <w:rsid w:val="00B71767"/>
    <w:rsid w:val="00B720FA"/>
    <w:rsid w:val="00B744B0"/>
    <w:rsid w:val="00B77813"/>
    <w:rsid w:val="00B85022"/>
    <w:rsid w:val="00B87ADC"/>
    <w:rsid w:val="00B923D0"/>
    <w:rsid w:val="00B97B8D"/>
    <w:rsid w:val="00BA2F1B"/>
    <w:rsid w:val="00BA4978"/>
    <w:rsid w:val="00BA52BB"/>
    <w:rsid w:val="00BA745C"/>
    <w:rsid w:val="00BA7D22"/>
    <w:rsid w:val="00BB541E"/>
    <w:rsid w:val="00BC4F1B"/>
    <w:rsid w:val="00BC6F89"/>
    <w:rsid w:val="00BD6A8C"/>
    <w:rsid w:val="00BD76AA"/>
    <w:rsid w:val="00BE0B4D"/>
    <w:rsid w:val="00BE0F68"/>
    <w:rsid w:val="00BE209E"/>
    <w:rsid w:val="00BE2E6B"/>
    <w:rsid w:val="00BF0B01"/>
    <w:rsid w:val="00BF134E"/>
    <w:rsid w:val="00BF528C"/>
    <w:rsid w:val="00C01740"/>
    <w:rsid w:val="00C05BBA"/>
    <w:rsid w:val="00C07DD2"/>
    <w:rsid w:val="00C118BA"/>
    <w:rsid w:val="00C17F4E"/>
    <w:rsid w:val="00C21322"/>
    <w:rsid w:val="00C300B2"/>
    <w:rsid w:val="00C310E4"/>
    <w:rsid w:val="00C317EA"/>
    <w:rsid w:val="00C32423"/>
    <w:rsid w:val="00C4089F"/>
    <w:rsid w:val="00C4173B"/>
    <w:rsid w:val="00C41DB5"/>
    <w:rsid w:val="00C50D48"/>
    <w:rsid w:val="00C55B38"/>
    <w:rsid w:val="00C57A83"/>
    <w:rsid w:val="00C7443E"/>
    <w:rsid w:val="00C8168C"/>
    <w:rsid w:val="00C81C48"/>
    <w:rsid w:val="00C84F2C"/>
    <w:rsid w:val="00C93931"/>
    <w:rsid w:val="00CA334A"/>
    <w:rsid w:val="00CA64F1"/>
    <w:rsid w:val="00CA70AF"/>
    <w:rsid w:val="00CA70EF"/>
    <w:rsid w:val="00CB1189"/>
    <w:rsid w:val="00CB5FED"/>
    <w:rsid w:val="00CC5E6B"/>
    <w:rsid w:val="00CC5EAB"/>
    <w:rsid w:val="00CC76C0"/>
    <w:rsid w:val="00CD0CDD"/>
    <w:rsid w:val="00CD10C6"/>
    <w:rsid w:val="00CD1D3B"/>
    <w:rsid w:val="00CD3C8A"/>
    <w:rsid w:val="00CE1BB0"/>
    <w:rsid w:val="00CE2FE8"/>
    <w:rsid w:val="00CF11EA"/>
    <w:rsid w:val="00CF32BA"/>
    <w:rsid w:val="00D041A2"/>
    <w:rsid w:val="00D046D0"/>
    <w:rsid w:val="00D059E4"/>
    <w:rsid w:val="00D05CC5"/>
    <w:rsid w:val="00D108B2"/>
    <w:rsid w:val="00D1442E"/>
    <w:rsid w:val="00D21D7E"/>
    <w:rsid w:val="00D31A9E"/>
    <w:rsid w:val="00D327C9"/>
    <w:rsid w:val="00D32E2E"/>
    <w:rsid w:val="00D35D4D"/>
    <w:rsid w:val="00D428ED"/>
    <w:rsid w:val="00D45D75"/>
    <w:rsid w:val="00D56E69"/>
    <w:rsid w:val="00D60644"/>
    <w:rsid w:val="00D609E6"/>
    <w:rsid w:val="00D63504"/>
    <w:rsid w:val="00D63E40"/>
    <w:rsid w:val="00D63FE8"/>
    <w:rsid w:val="00D64A40"/>
    <w:rsid w:val="00D75A2B"/>
    <w:rsid w:val="00D85B37"/>
    <w:rsid w:val="00D876C0"/>
    <w:rsid w:val="00D87C5F"/>
    <w:rsid w:val="00D93099"/>
    <w:rsid w:val="00D96403"/>
    <w:rsid w:val="00DA485E"/>
    <w:rsid w:val="00DA5388"/>
    <w:rsid w:val="00DA765A"/>
    <w:rsid w:val="00DB08A9"/>
    <w:rsid w:val="00DB34D7"/>
    <w:rsid w:val="00DB4864"/>
    <w:rsid w:val="00DC1957"/>
    <w:rsid w:val="00DC573C"/>
    <w:rsid w:val="00DD0759"/>
    <w:rsid w:val="00DD0818"/>
    <w:rsid w:val="00DD0A51"/>
    <w:rsid w:val="00DD1D02"/>
    <w:rsid w:val="00DD2365"/>
    <w:rsid w:val="00DD26BC"/>
    <w:rsid w:val="00DD2CB1"/>
    <w:rsid w:val="00DE03D9"/>
    <w:rsid w:val="00DE48AC"/>
    <w:rsid w:val="00DF0D0B"/>
    <w:rsid w:val="00E124C5"/>
    <w:rsid w:val="00E12653"/>
    <w:rsid w:val="00E2576D"/>
    <w:rsid w:val="00E358C8"/>
    <w:rsid w:val="00E35CD3"/>
    <w:rsid w:val="00E37BE2"/>
    <w:rsid w:val="00E40A00"/>
    <w:rsid w:val="00E43571"/>
    <w:rsid w:val="00E45973"/>
    <w:rsid w:val="00E64534"/>
    <w:rsid w:val="00E64C2B"/>
    <w:rsid w:val="00E72785"/>
    <w:rsid w:val="00E74E3D"/>
    <w:rsid w:val="00E80F39"/>
    <w:rsid w:val="00E826FE"/>
    <w:rsid w:val="00E84CA5"/>
    <w:rsid w:val="00E85DF2"/>
    <w:rsid w:val="00EA2B77"/>
    <w:rsid w:val="00EA3088"/>
    <w:rsid w:val="00EA4103"/>
    <w:rsid w:val="00EB073D"/>
    <w:rsid w:val="00EB5451"/>
    <w:rsid w:val="00EC5411"/>
    <w:rsid w:val="00ED5919"/>
    <w:rsid w:val="00EE7170"/>
    <w:rsid w:val="00EF4FF0"/>
    <w:rsid w:val="00F10C76"/>
    <w:rsid w:val="00F1175E"/>
    <w:rsid w:val="00F125D8"/>
    <w:rsid w:val="00F14480"/>
    <w:rsid w:val="00F14A09"/>
    <w:rsid w:val="00F244CF"/>
    <w:rsid w:val="00F25802"/>
    <w:rsid w:val="00F26496"/>
    <w:rsid w:val="00F278AB"/>
    <w:rsid w:val="00F3058D"/>
    <w:rsid w:val="00F33441"/>
    <w:rsid w:val="00F35B12"/>
    <w:rsid w:val="00F35F69"/>
    <w:rsid w:val="00F36CC4"/>
    <w:rsid w:val="00F36D20"/>
    <w:rsid w:val="00F44C30"/>
    <w:rsid w:val="00F62110"/>
    <w:rsid w:val="00F65E92"/>
    <w:rsid w:val="00F725F9"/>
    <w:rsid w:val="00F7514A"/>
    <w:rsid w:val="00F80FD8"/>
    <w:rsid w:val="00F8340A"/>
    <w:rsid w:val="00F8710E"/>
    <w:rsid w:val="00F90228"/>
    <w:rsid w:val="00F92876"/>
    <w:rsid w:val="00F96563"/>
    <w:rsid w:val="00FA0A4E"/>
    <w:rsid w:val="00FA3833"/>
    <w:rsid w:val="00FB6F2E"/>
    <w:rsid w:val="00FC35E3"/>
    <w:rsid w:val="00FC3927"/>
    <w:rsid w:val="00FD11E9"/>
    <w:rsid w:val="00FD2A1D"/>
    <w:rsid w:val="00FE5420"/>
    <w:rsid w:val="00FE64E0"/>
    <w:rsid w:val="00FE692E"/>
    <w:rsid w:val="00FE7573"/>
    <w:rsid w:val="00FF5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qFormat/>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qFormat/>
    <w:rsid w:val="00166524"/>
    <w:rPr>
      <w:sz w:val="20"/>
      <w:szCs w:val="20"/>
    </w:rPr>
  </w:style>
  <w:style w:type="character" w:styleId="Puslapioinaosnuoroda">
    <w:name w:val="footnote reference"/>
    <w:basedOn w:val="Numatytasispastraiposriftas"/>
    <w:semiHidden/>
    <w:unhideWhenUsed/>
    <w:qFormat/>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qFormat/>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 w:type="paragraph" w:customStyle="1" w:styleId="PointManual1">
    <w:name w:val="Point Manual (1)"/>
    <w:basedOn w:val="prastasis"/>
    <w:rsid w:val="00B1257E"/>
    <w:pPr>
      <w:spacing w:after="0" w:line="240" w:lineRule="auto"/>
      <w:ind w:left="1134" w:hanging="567"/>
    </w:pPr>
    <w:rPr>
      <w:rFonts w:eastAsia="Calibri" w:cs="Times New Roman"/>
      <w:lang w:val="en-GB"/>
    </w:rPr>
  </w:style>
  <w:style w:type="character" w:customStyle="1" w:styleId="Ohne">
    <w:name w:val="Ohne"/>
    <w:basedOn w:val="Numatytasispastraiposriftas"/>
    <w:rsid w:val="001F0CD8"/>
  </w:style>
  <w:style w:type="character" w:customStyle="1" w:styleId="st1">
    <w:name w:val="st1"/>
    <w:rsid w:val="00923C71"/>
  </w:style>
  <w:style w:type="paragraph" w:customStyle="1" w:styleId="Text3">
    <w:name w:val="Text 3"/>
    <w:basedOn w:val="prastasis"/>
    <w:link w:val="Text3Char"/>
    <w:rsid w:val="0009586B"/>
    <w:pPr>
      <w:spacing w:after="0" w:line="240" w:lineRule="auto"/>
      <w:ind w:left="1701"/>
      <w:outlineLvl w:val="2"/>
    </w:pPr>
    <w:rPr>
      <w:rFonts w:eastAsia="Times New Roman" w:cs="Times New Roman"/>
      <w:szCs w:val="24"/>
      <w:lang w:val="en-GB"/>
    </w:rPr>
  </w:style>
  <w:style w:type="character" w:customStyle="1" w:styleId="Text3Char">
    <w:name w:val="Text 3 Char"/>
    <w:link w:val="Text3"/>
    <w:locked/>
    <w:rsid w:val="0009586B"/>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semiHidden/>
    <w:unhideWhenUsed/>
    <w:rsid w:val="00796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796219"/>
    <w:rPr>
      <w:rFonts w:ascii="Courier New" w:eastAsia="Times New Roman" w:hAnsi="Courier New" w:cs="Courier New"/>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qFormat/>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qFormat/>
    <w:rsid w:val="00166524"/>
    <w:rPr>
      <w:sz w:val="20"/>
      <w:szCs w:val="20"/>
    </w:rPr>
  </w:style>
  <w:style w:type="character" w:styleId="Puslapioinaosnuoroda">
    <w:name w:val="footnote reference"/>
    <w:basedOn w:val="Numatytasispastraiposriftas"/>
    <w:semiHidden/>
    <w:unhideWhenUsed/>
    <w:qFormat/>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qFormat/>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 w:type="paragraph" w:customStyle="1" w:styleId="PointManual1">
    <w:name w:val="Point Manual (1)"/>
    <w:basedOn w:val="prastasis"/>
    <w:rsid w:val="00B1257E"/>
    <w:pPr>
      <w:spacing w:after="0" w:line="240" w:lineRule="auto"/>
      <w:ind w:left="1134" w:hanging="567"/>
    </w:pPr>
    <w:rPr>
      <w:rFonts w:eastAsia="Calibri" w:cs="Times New Roman"/>
      <w:lang w:val="en-GB"/>
    </w:rPr>
  </w:style>
  <w:style w:type="character" w:customStyle="1" w:styleId="Ohne">
    <w:name w:val="Ohne"/>
    <w:basedOn w:val="Numatytasispastraiposriftas"/>
    <w:rsid w:val="001F0CD8"/>
  </w:style>
  <w:style w:type="character" w:customStyle="1" w:styleId="st1">
    <w:name w:val="st1"/>
    <w:rsid w:val="00923C71"/>
  </w:style>
  <w:style w:type="paragraph" w:customStyle="1" w:styleId="Text3">
    <w:name w:val="Text 3"/>
    <w:basedOn w:val="prastasis"/>
    <w:link w:val="Text3Char"/>
    <w:rsid w:val="0009586B"/>
    <w:pPr>
      <w:spacing w:after="0" w:line="240" w:lineRule="auto"/>
      <w:ind w:left="1701"/>
      <w:outlineLvl w:val="2"/>
    </w:pPr>
    <w:rPr>
      <w:rFonts w:eastAsia="Times New Roman" w:cs="Times New Roman"/>
      <w:szCs w:val="24"/>
      <w:lang w:val="en-GB"/>
    </w:rPr>
  </w:style>
  <w:style w:type="character" w:customStyle="1" w:styleId="Text3Char">
    <w:name w:val="Text 3 Char"/>
    <w:link w:val="Text3"/>
    <w:locked/>
    <w:rsid w:val="0009586B"/>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semiHidden/>
    <w:unhideWhenUsed/>
    <w:rsid w:val="00796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796219"/>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9447">
      <w:bodyDiv w:val="1"/>
      <w:marLeft w:val="0"/>
      <w:marRight w:val="0"/>
      <w:marTop w:val="0"/>
      <w:marBottom w:val="0"/>
      <w:divBdr>
        <w:top w:val="none" w:sz="0" w:space="0" w:color="auto"/>
        <w:left w:val="none" w:sz="0" w:space="0" w:color="auto"/>
        <w:bottom w:val="none" w:sz="0" w:space="0" w:color="auto"/>
        <w:right w:val="none" w:sz="0" w:space="0" w:color="auto"/>
      </w:divBdr>
    </w:div>
    <w:div w:id="149714484">
      <w:bodyDiv w:val="1"/>
      <w:marLeft w:val="0"/>
      <w:marRight w:val="0"/>
      <w:marTop w:val="0"/>
      <w:marBottom w:val="0"/>
      <w:divBdr>
        <w:top w:val="none" w:sz="0" w:space="0" w:color="auto"/>
        <w:left w:val="none" w:sz="0" w:space="0" w:color="auto"/>
        <w:bottom w:val="none" w:sz="0" w:space="0" w:color="auto"/>
        <w:right w:val="none" w:sz="0" w:space="0" w:color="auto"/>
      </w:divBdr>
    </w:div>
    <w:div w:id="301034277">
      <w:bodyDiv w:val="1"/>
      <w:marLeft w:val="0"/>
      <w:marRight w:val="0"/>
      <w:marTop w:val="0"/>
      <w:marBottom w:val="0"/>
      <w:divBdr>
        <w:top w:val="none" w:sz="0" w:space="0" w:color="auto"/>
        <w:left w:val="none" w:sz="0" w:space="0" w:color="auto"/>
        <w:bottom w:val="none" w:sz="0" w:space="0" w:color="auto"/>
        <w:right w:val="none" w:sz="0" w:space="0" w:color="auto"/>
      </w:divBdr>
    </w:div>
    <w:div w:id="303773362">
      <w:bodyDiv w:val="1"/>
      <w:marLeft w:val="0"/>
      <w:marRight w:val="0"/>
      <w:marTop w:val="0"/>
      <w:marBottom w:val="0"/>
      <w:divBdr>
        <w:top w:val="none" w:sz="0" w:space="0" w:color="auto"/>
        <w:left w:val="none" w:sz="0" w:space="0" w:color="auto"/>
        <w:bottom w:val="none" w:sz="0" w:space="0" w:color="auto"/>
        <w:right w:val="none" w:sz="0" w:space="0" w:color="auto"/>
      </w:divBdr>
    </w:div>
    <w:div w:id="399597877">
      <w:bodyDiv w:val="1"/>
      <w:marLeft w:val="0"/>
      <w:marRight w:val="0"/>
      <w:marTop w:val="0"/>
      <w:marBottom w:val="0"/>
      <w:divBdr>
        <w:top w:val="none" w:sz="0" w:space="0" w:color="auto"/>
        <w:left w:val="none" w:sz="0" w:space="0" w:color="auto"/>
        <w:bottom w:val="none" w:sz="0" w:space="0" w:color="auto"/>
        <w:right w:val="none" w:sz="0" w:space="0" w:color="auto"/>
      </w:divBdr>
    </w:div>
    <w:div w:id="424768349">
      <w:bodyDiv w:val="1"/>
      <w:marLeft w:val="0"/>
      <w:marRight w:val="0"/>
      <w:marTop w:val="0"/>
      <w:marBottom w:val="0"/>
      <w:divBdr>
        <w:top w:val="none" w:sz="0" w:space="0" w:color="auto"/>
        <w:left w:val="none" w:sz="0" w:space="0" w:color="auto"/>
        <w:bottom w:val="none" w:sz="0" w:space="0" w:color="auto"/>
        <w:right w:val="none" w:sz="0" w:space="0" w:color="auto"/>
      </w:divBdr>
    </w:div>
    <w:div w:id="444808073">
      <w:bodyDiv w:val="1"/>
      <w:marLeft w:val="0"/>
      <w:marRight w:val="0"/>
      <w:marTop w:val="0"/>
      <w:marBottom w:val="0"/>
      <w:divBdr>
        <w:top w:val="none" w:sz="0" w:space="0" w:color="auto"/>
        <w:left w:val="none" w:sz="0" w:space="0" w:color="auto"/>
        <w:bottom w:val="none" w:sz="0" w:space="0" w:color="auto"/>
        <w:right w:val="none" w:sz="0" w:space="0" w:color="auto"/>
      </w:divBdr>
      <w:divsChild>
        <w:div w:id="869299129">
          <w:marLeft w:val="0"/>
          <w:marRight w:val="0"/>
          <w:marTop w:val="0"/>
          <w:marBottom w:val="0"/>
          <w:divBdr>
            <w:top w:val="none" w:sz="0" w:space="0" w:color="auto"/>
            <w:left w:val="none" w:sz="0" w:space="0" w:color="auto"/>
            <w:bottom w:val="none" w:sz="0" w:space="0" w:color="auto"/>
            <w:right w:val="none" w:sz="0" w:space="0" w:color="auto"/>
          </w:divBdr>
        </w:div>
      </w:divsChild>
    </w:div>
    <w:div w:id="702249576">
      <w:bodyDiv w:val="1"/>
      <w:marLeft w:val="0"/>
      <w:marRight w:val="0"/>
      <w:marTop w:val="0"/>
      <w:marBottom w:val="0"/>
      <w:divBdr>
        <w:top w:val="none" w:sz="0" w:space="0" w:color="auto"/>
        <w:left w:val="none" w:sz="0" w:space="0" w:color="auto"/>
        <w:bottom w:val="none" w:sz="0" w:space="0" w:color="auto"/>
        <w:right w:val="none" w:sz="0" w:space="0" w:color="auto"/>
      </w:divBdr>
    </w:div>
    <w:div w:id="892279979">
      <w:bodyDiv w:val="1"/>
      <w:marLeft w:val="0"/>
      <w:marRight w:val="0"/>
      <w:marTop w:val="0"/>
      <w:marBottom w:val="0"/>
      <w:divBdr>
        <w:top w:val="none" w:sz="0" w:space="0" w:color="auto"/>
        <w:left w:val="none" w:sz="0" w:space="0" w:color="auto"/>
        <w:bottom w:val="none" w:sz="0" w:space="0" w:color="auto"/>
        <w:right w:val="none" w:sz="0" w:space="0" w:color="auto"/>
      </w:divBdr>
    </w:div>
    <w:div w:id="1055620308">
      <w:bodyDiv w:val="1"/>
      <w:marLeft w:val="0"/>
      <w:marRight w:val="0"/>
      <w:marTop w:val="0"/>
      <w:marBottom w:val="0"/>
      <w:divBdr>
        <w:top w:val="none" w:sz="0" w:space="0" w:color="auto"/>
        <w:left w:val="none" w:sz="0" w:space="0" w:color="auto"/>
        <w:bottom w:val="none" w:sz="0" w:space="0" w:color="auto"/>
        <w:right w:val="none" w:sz="0" w:space="0" w:color="auto"/>
      </w:divBdr>
      <w:divsChild>
        <w:div w:id="1619337630">
          <w:marLeft w:val="0"/>
          <w:marRight w:val="0"/>
          <w:marTop w:val="0"/>
          <w:marBottom w:val="0"/>
          <w:divBdr>
            <w:top w:val="none" w:sz="0" w:space="0" w:color="auto"/>
            <w:left w:val="none" w:sz="0" w:space="0" w:color="auto"/>
            <w:bottom w:val="none" w:sz="0" w:space="0" w:color="auto"/>
            <w:right w:val="none" w:sz="0" w:space="0" w:color="auto"/>
          </w:divBdr>
        </w:div>
      </w:divsChild>
    </w:div>
    <w:div w:id="1068307162">
      <w:bodyDiv w:val="1"/>
      <w:marLeft w:val="0"/>
      <w:marRight w:val="0"/>
      <w:marTop w:val="0"/>
      <w:marBottom w:val="0"/>
      <w:divBdr>
        <w:top w:val="none" w:sz="0" w:space="0" w:color="auto"/>
        <w:left w:val="none" w:sz="0" w:space="0" w:color="auto"/>
        <w:bottom w:val="none" w:sz="0" w:space="0" w:color="auto"/>
        <w:right w:val="none" w:sz="0" w:space="0" w:color="auto"/>
      </w:divBdr>
    </w:div>
    <w:div w:id="1149520838">
      <w:bodyDiv w:val="1"/>
      <w:marLeft w:val="0"/>
      <w:marRight w:val="0"/>
      <w:marTop w:val="0"/>
      <w:marBottom w:val="0"/>
      <w:divBdr>
        <w:top w:val="none" w:sz="0" w:space="0" w:color="auto"/>
        <w:left w:val="none" w:sz="0" w:space="0" w:color="auto"/>
        <w:bottom w:val="none" w:sz="0" w:space="0" w:color="auto"/>
        <w:right w:val="none" w:sz="0" w:space="0" w:color="auto"/>
      </w:divBdr>
      <w:divsChild>
        <w:div w:id="1523015732">
          <w:marLeft w:val="0"/>
          <w:marRight w:val="0"/>
          <w:marTop w:val="0"/>
          <w:marBottom w:val="0"/>
          <w:divBdr>
            <w:top w:val="none" w:sz="0" w:space="0" w:color="auto"/>
            <w:left w:val="none" w:sz="0" w:space="0" w:color="auto"/>
            <w:bottom w:val="none" w:sz="0" w:space="0" w:color="auto"/>
            <w:right w:val="none" w:sz="0" w:space="0" w:color="auto"/>
          </w:divBdr>
        </w:div>
      </w:divsChild>
    </w:div>
    <w:div w:id="1164323958">
      <w:bodyDiv w:val="1"/>
      <w:marLeft w:val="0"/>
      <w:marRight w:val="0"/>
      <w:marTop w:val="0"/>
      <w:marBottom w:val="0"/>
      <w:divBdr>
        <w:top w:val="none" w:sz="0" w:space="0" w:color="auto"/>
        <w:left w:val="none" w:sz="0" w:space="0" w:color="auto"/>
        <w:bottom w:val="none" w:sz="0" w:space="0" w:color="auto"/>
        <w:right w:val="none" w:sz="0" w:space="0" w:color="auto"/>
      </w:divBdr>
    </w:div>
    <w:div w:id="1266814076">
      <w:bodyDiv w:val="1"/>
      <w:marLeft w:val="0"/>
      <w:marRight w:val="0"/>
      <w:marTop w:val="0"/>
      <w:marBottom w:val="0"/>
      <w:divBdr>
        <w:top w:val="none" w:sz="0" w:space="0" w:color="auto"/>
        <w:left w:val="none" w:sz="0" w:space="0" w:color="auto"/>
        <w:bottom w:val="none" w:sz="0" w:space="0" w:color="auto"/>
        <w:right w:val="none" w:sz="0" w:space="0" w:color="auto"/>
      </w:divBdr>
    </w:div>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1303004431">
      <w:bodyDiv w:val="1"/>
      <w:marLeft w:val="0"/>
      <w:marRight w:val="0"/>
      <w:marTop w:val="0"/>
      <w:marBottom w:val="0"/>
      <w:divBdr>
        <w:top w:val="none" w:sz="0" w:space="0" w:color="auto"/>
        <w:left w:val="none" w:sz="0" w:space="0" w:color="auto"/>
        <w:bottom w:val="none" w:sz="0" w:space="0" w:color="auto"/>
        <w:right w:val="none" w:sz="0" w:space="0" w:color="auto"/>
      </w:divBdr>
    </w:div>
    <w:div w:id="1338389856">
      <w:bodyDiv w:val="1"/>
      <w:marLeft w:val="0"/>
      <w:marRight w:val="0"/>
      <w:marTop w:val="0"/>
      <w:marBottom w:val="0"/>
      <w:divBdr>
        <w:top w:val="none" w:sz="0" w:space="0" w:color="auto"/>
        <w:left w:val="none" w:sz="0" w:space="0" w:color="auto"/>
        <w:bottom w:val="none" w:sz="0" w:space="0" w:color="auto"/>
        <w:right w:val="none" w:sz="0" w:space="0" w:color="auto"/>
      </w:divBdr>
    </w:div>
    <w:div w:id="1343317323">
      <w:bodyDiv w:val="1"/>
      <w:marLeft w:val="0"/>
      <w:marRight w:val="0"/>
      <w:marTop w:val="0"/>
      <w:marBottom w:val="0"/>
      <w:divBdr>
        <w:top w:val="none" w:sz="0" w:space="0" w:color="auto"/>
        <w:left w:val="none" w:sz="0" w:space="0" w:color="auto"/>
        <w:bottom w:val="none" w:sz="0" w:space="0" w:color="auto"/>
        <w:right w:val="none" w:sz="0" w:space="0" w:color="auto"/>
      </w:divBdr>
    </w:div>
    <w:div w:id="1443838010">
      <w:bodyDiv w:val="1"/>
      <w:marLeft w:val="0"/>
      <w:marRight w:val="0"/>
      <w:marTop w:val="0"/>
      <w:marBottom w:val="0"/>
      <w:divBdr>
        <w:top w:val="none" w:sz="0" w:space="0" w:color="auto"/>
        <w:left w:val="none" w:sz="0" w:space="0" w:color="auto"/>
        <w:bottom w:val="none" w:sz="0" w:space="0" w:color="auto"/>
        <w:right w:val="none" w:sz="0" w:space="0" w:color="auto"/>
      </w:divBdr>
    </w:div>
    <w:div w:id="1648514214">
      <w:bodyDiv w:val="1"/>
      <w:marLeft w:val="0"/>
      <w:marRight w:val="0"/>
      <w:marTop w:val="0"/>
      <w:marBottom w:val="0"/>
      <w:divBdr>
        <w:top w:val="none" w:sz="0" w:space="0" w:color="auto"/>
        <w:left w:val="none" w:sz="0" w:space="0" w:color="auto"/>
        <w:bottom w:val="none" w:sz="0" w:space="0" w:color="auto"/>
        <w:right w:val="none" w:sz="0" w:space="0" w:color="auto"/>
      </w:divBdr>
    </w:div>
    <w:div w:id="1757244516">
      <w:bodyDiv w:val="1"/>
      <w:marLeft w:val="0"/>
      <w:marRight w:val="0"/>
      <w:marTop w:val="0"/>
      <w:marBottom w:val="0"/>
      <w:divBdr>
        <w:top w:val="none" w:sz="0" w:space="0" w:color="auto"/>
        <w:left w:val="none" w:sz="0" w:space="0" w:color="auto"/>
        <w:bottom w:val="none" w:sz="0" w:space="0" w:color="auto"/>
        <w:right w:val="none" w:sz="0" w:space="0" w:color="auto"/>
      </w:divBdr>
    </w:div>
    <w:div w:id="1999140951">
      <w:bodyDiv w:val="1"/>
      <w:marLeft w:val="0"/>
      <w:marRight w:val="0"/>
      <w:marTop w:val="0"/>
      <w:marBottom w:val="0"/>
      <w:divBdr>
        <w:top w:val="none" w:sz="0" w:space="0" w:color="auto"/>
        <w:left w:val="none" w:sz="0" w:space="0" w:color="auto"/>
        <w:bottom w:val="none" w:sz="0" w:space="0" w:color="auto"/>
        <w:right w:val="none" w:sz="0" w:space="0" w:color="auto"/>
      </w:divBdr>
    </w:div>
    <w:div w:id="2059280091">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B6A8-CE10-4ECB-9FAA-4FF90B19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5353</Words>
  <Characters>3052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Rita Šniukienė</cp:lastModifiedBy>
  <cp:revision>333</cp:revision>
  <cp:lastPrinted>2020-06-08T09:53:00Z</cp:lastPrinted>
  <dcterms:created xsi:type="dcterms:W3CDTF">2020-06-06T19:22:00Z</dcterms:created>
  <dcterms:modified xsi:type="dcterms:W3CDTF">2020-06-08T10:09:00Z</dcterms:modified>
</cp:coreProperties>
</file>