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58669" w14:textId="77777777" w:rsidR="009A1FC6" w:rsidRPr="005823E8" w:rsidRDefault="009A1FC6" w:rsidP="009A1FC6">
      <w:pPr>
        <w:jc w:val="center"/>
        <w:rPr>
          <w:b/>
          <w:caps/>
        </w:rPr>
      </w:pPr>
      <w:r w:rsidRPr="005823E8">
        <w:rPr>
          <w:b/>
          <w:bCs/>
          <w:caps/>
        </w:rPr>
        <w:t xml:space="preserve">LIETUVOS RESPUBLIKOS </w:t>
      </w:r>
    </w:p>
    <w:p w14:paraId="2FFC7EC5" w14:textId="35A9E830" w:rsidR="00E03C90" w:rsidRPr="005823E8" w:rsidRDefault="009020E9" w:rsidP="009020E9">
      <w:pPr>
        <w:jc w:val="center"/>
        <w:rPr>
          <w:b/>
          <w:caps/>
        </w:rPr>
      </w:pPr>
      <w:r w:rsidRPr="005823E8">
        <w:rPr>
          <w:b/>
          <w:caps/>
        </w:rPr>
        <w:t>VIDAUS TARNYBOS STATUTO 18, 26, 28, 31, 31</w:t>
      </w:r>
      <w:r w:rsidRPr="005823E8">
        <w:rPr>
          <w:b/>
          <w:caps/>
          <w:vertAlign w:val="superscript"/>
        </w:rPr>
        <w:t>1</w:t>
      </w:r>
      <w:r w:rsidRPr="005823E8">
        <w:rPr>
          <w:b/>
          <w:caps/>
        </w:rPr>
        <w:t xml:space="preserve">, 32, 33, 34, 35, 37, 53, 56, 58, 59, </w:t>
      </w:r>
      <w:r w:rsidR="00DA3234" w:rsidRPr="005823E8">
        <w:rPr>
          <w:b/>
          <w:caps/>
        </w:rPr>
        <w:t>64, 68, 69 IR</w:t>
      </w:r>
      <w:r w:rsidRPr="005823E8">
        <w:rPr>
          <w:b/>
          <w:caps/>
        </w:rPr>
        <w:t xml:space="preserve"> 75 STRAIPSNIŲ PAKEITIMO </w:t>
      </w:r>
      <w:r w:rsidR="009A1FC6" w:rsidRPr="005823E8">
        <w:rPr>
          <w:b/>
          <w:caps/>
        </w:rPr>
        <w:t>ĮSTATYMO projekto</w:t>
      </w:r>
      <w:r w:rsidR="009A1FC6" w:rsidRPr="005823E8">
        <w:rPr>
          <w:b/>
          <w:bCs/>
          <w:caps/>
          <w:color w:val="000000"/>
        </w:rPr>
        <w:t xml:space="preserve"> </w:t>
      </w:r>
      <w:r w:rsidR="00E03C90" w:rsidRPr="005823E8">
        <w:rPr>
          <w:b/>
          <w:caps/>
          <w:color w:val="000000"/>
        </w:rPr>
        <w:t>Derinimo pažyma</w:t>
      </w:r>
    </w:p>
    <w:p w14:paraId="38B3FA82" w14:textId="77777777" w:rsidR="00357C5F" w:rsidRPr="007D40A2" w:rsidRDefault="00357C5F" w:rsidP="000020BC">
      <w:pPr>
        <w:pStyle w:val="Pagrindinistekstas"/>
        <w:spacing w:after="0"/>
        <w:jc w:val="center"/>
        <w:rPr>
          <w:b/>
          <w:bCs/>
          <w:caps/>
          <w:color w:val="000000"/>
          <w:lang w:val="lt-LT"/>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2977"/>
        <w:gridCol w:w="4536"/>
        <w:gridCol w:w="6095"/>
      </w:tblGrid>
      <w:tr w:rsidR="00A82090" w:rsidRPr="005823E8" w14:paraId="60D8CFEA" w14:textId="77777777" w:rsidTr="00924869">
        <w:trPr>
          <w:trHeight w:val="1301"/>
        </w:trPr>
        <w:tc>
          <w:tcPr>
            <w:tcW w:w="880" w:type="dxa"/>
          </w:tcPr>
          <w:p w14:paraId="6B0510E4" w14:textId="77777777" w:rsidR="00A82090" w:rsidRPr="005823E8" w:rsidRDefault="00A82090" w:rsidP="000020BC">
            <w:pPr>
              <w:jc w:val="center"/>
              <w:rPr>
                <w:b/>
                <w:color w:val="000000"/>
              </w:rPr>
            </w:pPr>
            <w:r w:rsidRPr="005823E8">
              <w:rPr>
                <w:b/>
                <w:color w:val="000000"/>
              </w:rPr>
              <w:t>Eil. Nr.</w:t>
            </w:r>
          </w:p>
        </w:tc>
        <w:tc>
          <w:tcPr>
            <w:tcW w:w="2977" w:type="dxa"/>
            <w:shd w:val="clear" w:color="auto" w:fill="auto"/>
          </w:tcPr>
          <w:p w14:paraId="3C65EEBE" w14:textId="77777777" w:rsidR="00A82090" w:rsidRPr="005823E8" w:rsidRDefault="00A82090" w:rsidP="000020BC">
            <w:pPr>
              <w:jc w:val="center"/>
              <w:rPr>
                <w:b/>
                <w:color w:val="000000"/>
              </w:rPr>
            </w:pPr>
            <w:r w:rsidRPr="005823E8">
              <w:rPr>
                <w:b/>
                <w:color w:val="000000"/>
              </w:rPr>
              <w:t>Suinteresuotos institucijos pavadinimas, rašto data ir numeris</w:t>
            </w:r>
          </w:p>
        </w:tc>
        <w:tc>
          <w:tcPr>
            <w:tcW w:w="4536" w:type="dxa"/>
            <w:shd w:val="clear" w:color="auto" w:fill="auto"/>
          </w:tcPr>
          <w:p w14:paraId="2D84C8DD" w14:textId="77777777" w:rsidR="00A82090" w:rsidRPr="005823E8" w:rsidRDefault="00A82090" w:rsidP="000020BC">
            <w:pPr>
              <w:jc w:val="center"/>
              <w:rPr>
                <w:b/>
                <w:color w:val="000000"/>
              </w:rPr>
            </w:pPr>
            <w:r w:rsidRPr="005823E8">
              <w:rPr>
                <w:b/>
                <w:caps/>
                <w:color w:val="000000"/>
              </w:rPr>
              <w:t>p</w:t>
            </w:r>
            <w:r w:rsidRPr="005823E8">
              <w:rPr>
                <w:b/>
                <w:color w:val="000000"/>
              </w:rPr>
              <w:t>astabos ir pasiūlymai</w:t>
            </w:r>
          </w:p>
        </w:tc>
        <w:tc>
          <w:tcPr>
            <w:tcW w:w="6095" w:type="dxa"/>
            <w:shd w:val="clear" w:color="auto" w:fill="auto"/>
          </w:tcPr>
          <w:p w14:paraId="5A1A97F5" w14:textId="73C25015" w:rsidR="00A82090" w:rsidRPr="005823E8" w:rsidRDefault="00A82090" w:rsidP="000020BC">
            <w:pPr>
              <w:ind w:right="72"/>
              <w:jc w:val="center"/>
              <w:rPr>
                <w:b/>
                <w:color w:val="000000"/>
              </w:rPr>
            </w:pPr>
            <w:r w:rsidRPr="005823E8">
              <w:rPr>
                <w:b/>
                <w:caps/>
                <w:color w:val="000000"/>
              </w:rPr>
              <w:t>A</w:t>
            </w:r>
            <w:r w:rsidRPr="005823E8">
              <w:rPr>
                <w:b/>
                <w:color w:val="000000"/>
              </w:rPr>
              <w:t>rgumentai, kodėl neatsižvelgta arba atsižvelgta iš dalies į suinteresuotos institucijos pastabas ir pasiūlymus</w:t>
            </w:r>
          </w:p>
          <w:p w14:paraId="49446B65" w14:textId="77777777" w:rsidR="00A82090" w:rsidRPr="005823E8" w:rsidRDefault="00A82090" w:rsidP="000020BC">
            <w:pPr>
              <w:jc w:val="center"/>
              <w:rPr>
                <w:b/>
                <w:color w:val="000000"/>
              </w:rPr>
            </w:pPr>
          </w:p>
        </w:tc>
      </w:tr>
      <w:tr w:rsidR="000417DF" w:rsidRPr="005823E8" w14:paraId="02A74A3F" w14:textId="77777777" w:rsidTr="00924869">
        <w:trPr>
          <w:trHeight w:val="2348"/>
        </w:trPr>
        <w:tc>
          <w:tcPr>
            <w:tcW w:w="880" w:type="dxa"/>
          </w:tcPr>
          <w:p w14:paraId="493B2212" w14:textId="59DCD3CA" w:rsidR="000417DF" w:rsidRPr="007D40A2" w:rsidRDefault="000417DF" w:rsidP="000020BC">
            <w:pPr>
              <w:pStyle w:val="Adresas"/>
              <w:numPr>
                <w:ilvl w:val="0"/>
                <w:numId w:val="1"/>
              </w:numPr>
              <w:ind w:left="0" w:right="0"/>
              <w:jc w:val="center"/>
              <w:rPr>
                <w:rStyle w:val="Emfaz"/>
                <w:i w:val="0"/>
                <w:iCs w:val="0"/>
              </w:rPr>
            </w:pPr>
          </w:p>
        </w:tc>
        <w:tc>
          <w:tcPr>
            <w:tcW w:w="2977" w:type="dxa"/>
            <w:shd w:val="clear" w:color="auto" w:fill="auto"/>
          </w:tcPr>
          <w:p w14:paraId="7C96E301" w14:textId="2DDDF860" w:rsidR="000417DF" w:rsidRPr="007D40A2" w:rsidRDefault="0077129D" w:rsidP="007D40A2">
            <w:pPr>
              <w:pStyle w:val="Adresas"/>
              <w:jc w:val="both"/>
              <w:rPr>
                <w:iCs/>
                <w:color w:val="000000"/>
              </w:rPr>
            </w:pPr>
            <w:r w:rsidRPr="007D40A2">
              <w:rPr>
                <w:iCs/>
                <w:color w:val="000000"/>
              </w:rPr>
              <w:t xml:space="preserve">Lietuvos teisėsaugos pareigūnų federacija, 2019-10-09 </w:t>
            </w:r>
            <w:r w:rsidR="005823E8">
              <w:rPr>
                <w:iCs/>
                <w:color w:val="000000"/>
              </w:rPr>
              <w:t xml:space="preserve">raštas </w:t>
            </w:r>
            <w:r w:rsidRPr="007D40A2">
              <w:rPr>
                <w:iCs/>
                <w:color w:val="000000"/>
              </w:rPr>
              <w:t>Nr. 4-205</w:t>
            </w:r>
          </w:p>
        </w:tc>
        <w:tc>
          <w:tcPr>
            <w:tcW w:w="4536" w:type="dxa"/>
            <w:shd w:val="clear" w:color="auto" w:fill="auto"/>
          </w:tcPr>
          <w:p w14:paraId="438F8EBB" w14:textId="1C2E2AC4" w:rsidR="00316544" w:rsidRPr="005823E8" w:rsidRDefault="00A77670">
            <w:pPr>
              <w:jc w:val="both"/>
              <w:rPr>
                <w:iCs/>
              </w:rPr>
            </w:pPr>
            <w:r w:rsidRPr="005823E8">
              <w:rPr>
                <w:iCs/>
              </w:rPr>
              <w:t xml:space="preserve">LTPF nepritaria siūlomam Statuto 33 straipsnio 1 dalies 8 punkto papildymui, nes pareigūnų perkėlimas į žemesnes pareigas, nurodytas Statuto 33 straipsnyje, nėra tolygus pareigūnų atrankai į laisvas pareigūno pareigas. Pareigūnui laimėjus atranką į laisvas aukštesnes ar į laisvas žemesnes pareigas, pareigūnas yra paskiriamas į laimėtas pareigas, o ne perkeliamas. Atkreiptinas dėmesys, kad Statuto 53 straipsnio 4 dalyje yra reglamentuota, kad pareigūnas atrankos būdu į aukštesnes pareigas yra paskiriamas, o ne perkeliamas, todėl ir į žemesnes pareigas atrankos būdu pareigūnas analogiškai yra paskiriamas. Priešingu atveju būtų iškreiptas Statute numatytas pareigūno karjeros teisinis reglamentavimas. Be to, svarstytina, ar pareigūnui laimėjus atranką į laisvas žemesnes pareigas, jam turi būti taikomos Statuto 33 straipsnyje 3 dalies nuostatos dėl pareiginės algos koeficiento mažinimo, kurios yra taikomos būtent perkėlimo metu. </w:t>
            </w:r>
          </w:p>
        </w:tc>
        <w:tc>
          <w:tcPr>
            <w:tcW w:w="6095" w:type="dxa"/>
            <w:shd w:val="clear" w:color="auto" w:fill="auto"/>
          </w:tcPr>
          <w:p w14:paraId="45EF09D2" w14:textId="36FD3B3A" w:rsidR="000417DF" w:rsidRPr="005823E8" w:rsidRDefault="000C1251" w:rsidP="000020BC">
            <w:pPr>
              <w:ind w:firstLine="34"/>
              <w:jc w:val="both"/>
              <w:rPr>
                <w:rStyle w:val="Emfaz"/>
                <w:b/>
                <w:i w:val="0"/>
                <w:iCs w:val="0"/>
              </w:rPr>
            </w:pPr>
            <w:r w:rsidRPr="005823E8">
              <w:rPr>
                <w:rStyle w:val="Emfaz"/>
                <w:b/>
                <w:i w:val="0"/>
                <w:iCs w:val="0"/>
              </w:rPr>
              <w:t>Neatsižvelgta</w:t>
            </w:r>
            <w:r w:rsidR="00D97B44" w:rsidRPr="005823E8">
              <w:rPr>
                <w:rStyle w:val="Emfaz"/>
                <w:b/>
                <w:i w:val="0"/>
                <w:iCs w:val="0"/>
              </w:rPr>
              <w:t>.</w:t>
            </w:r>
          </w:p>
          <w:p w14:paraId="5C8AAD85" w14:textId="01606DD6" w:rsidR="003D72D7" w:rsidRPr="005823E8" w:rsidRDefault="00A32A17" w:rsidP="000C1251">
            <w:pPr>
              <w:ind w:firstLine="34"/>
              <w:jc w:val="both"/>
              <w:rPr>
                <w:rStyle w:val="Emfaz"/>
                <w:i w:val="0"/>
                <w:iCs w:val="0"/>
              </w:rPr>
            </w:pPr>
            <w:r w:rsidRPr="005823E8">
              <w:rPr>
                <w:rStyle w:val="Emfaz"/>
                <w:i w:val="0"/>
                <w:iCs w:val="0"/>
              </w:rPr>
              <w:t>Vidaus tarnybos s</w:t>
            </w:r>
            <w:r w:rsidR="000C1251" w:rsidRPr="005823E8">
              <w:rPr>
                <w:rStyle w:val="Emfaz"/>
                <w:i w:val="0"/>
                <w:iCs w:val="0"/>
              </w:rPr>
              <w:t xml:space="preserve">tatuto 27 straipsnyje nustatyta, kad pareigūnas į aukštesnes pareigas gali būti </w:t>
            </w:r>
            <w:r w:rsidR="000C1251" w:rsidRPr="005823E8">
              <w:rPr>
                <w:rStyle w:val="Emfaz"/>
                <w:i w:val="0"/>
                <w:iCs w:val="0"/>
                <w:u w:val="single"/>
              </w:rPr>
              <w:t>perkeltas</w:t>
            </w:r>
            <w:r w:rsidR="000C1251" w:rsidRPr="005823E8">
              <w:rPr>
                <w:rStyle w:val="Emfaz"/>
                <w:i w:val="0"/>
                <w:iCs w:val="0"/>
              </w:rPr>
              <w:t xml:space="preserve"> atrankos būdu. </w:t>
            </w:r>
          </w:p>
          <w:p w14:paraId="2BD60380" w14:textId="322B550E" w:rsidR="000C1251" w:rsidRPr="005823E8" w:rsidRDefault="000C1251" w:rsidP="000C1251">
            <w:pPr>
              <w:ind w:firstLine="34"/>
              <w:jc w:val="both"/>
              <w:rPr>
                <w:rStyle w:val="Emfaz"/>
                <w:i w:val="0"/>
                <w:iCs w:val="0"/>
              </w:rPr>
            </w:pPr>
            <w:r w:rsidRPr="005823E8">
              <w:rPr>
                <w:rStyle w:val="Emfaz"/>
                <w:i w:val="0"/>
                <w:iCs w:val="0"/>
              </w:rPr>
              <w:t xml:space="preserve">Pažymėtina, kad siūlomu </w:t>
            </w:r>
            <w:r w:rsidR="00D83CF7" w:rsidRPr="005823E8">
              <w:rPr>
                <w:rStyle w:val="Emfaz"/>
                <w:i w:val="0"/>
                <w:iCs w:val="0"/>
              </w:rPr>
              <w:t>pakeitimu yra siekiama sureglamen</w:t>
            </w:r>
            <w:r w:rsidRPr="005823E8">
              <w:rPr>
                <w:rStyle w:val="Emfaz"/>
                <w:i w:val="0"/>
                <w:iCs w:val="0"/>
              </w:rPr>
              <w:t>tuoti darbo užmokesčio nustatymą pareigūną į žemesnes pareigas perkėlus atrankos būdu. Tai, ar pareigūnas į šias pareigas bus perkeliamas, ar skiriamas, priklausys nuo konkrečios situacijos, pvz., kai jis atranką laimės toje pačioje įstaigoje, bus perkeliamas, kai kitoje</w:t>
            </w:r>
            <w:r w:rsidR="005823E8">
              <w:rPr>
                <w:rStyle w:val="Emfaz"/>
                <w:i w:val="0"/>
                <w:iCs w:val="0"/>
              </w:rPr>
              <w:t xml:space="preserve"> – </w:t>
            </w:r>
            <w:r w:rsidRPr="005823E8">
              <w:rPr>
                <w:rStyle w:val="Emfaz"/>
                <w:i w:val="0"/>
                <w:iCs w:val="0"/>
              </w:rPr>
              <w:t xml:space="preserve">skiriamas. </w:t>
            </w:r>
          </w:p>
          <w:p w14:paraId="75636F07" w14:textId="436AC83C" w:rsidR="000C1251" w:rsidRPr="005823E8" w:rsidRDefault="000C1251">
            <w:pPr>
              <w:ind w:firstLine="34"/>
              <w:jc w:val="both"/>
              <w:rPr>
                <w:rStyle w:val="Emfaz"/>
                <w:i w:val="0"/>
                <w:iCs w:val="0"/>
              </w:rPr>
            </w:pPr>
            <w:r w:rsidRPr="005823E8">
              <w:rPr>
                <w:rStyle w:val="Emfaz"/>
                <w:i w:val="0"/>
                <w:iCs w:val="0"/>
              </w:rPr>
              <w:t xml:space="preserve">Taip pat manome, kad pareigūnui, laimėjusiam atranką į žemesnes pareigas, nustatyti tokį patį ar didesnį pareiginės algos koeficientą būtų neproporcinga ir neteisinga kitų pareigūnų atžvilgiu, kurie į žemesnes pareigas skiriami tarnybinio kaitumo būdu, dėl sveikatos ar kt. </w:t>
            </w:r>
          </w:p>
        </w:tc>
      </w:tr>
      <w:tr w:rsidR="00D947A6" w:rsidRPr="005823E8" w14:paraId="5ADECC58" w14:textId="77777777" w:rsidTr="00924869">
        <w:trPr>
          <w:trHeight w:val="2348"/>
        </w:trPr>
        <w:tc>
          <w:tcPr>
            <w:tcW w:w="880" w:type="dxa"/>
          </w:tcPr>
          <w:p w14:paraId="4A150501" w14:textId="77777777" w:rsidR="00D947A6" w:rsidRPr="007D40A2" w:rsidRDefault="00D947A6" w:rsidP="000020BC">
            <w:pPr>
              <w:pStyle w:val="Adresas"/>
              <w:numPr>
                <w:ilvl w:val="0"/>
                <w:numId w:val="1"/>
              </w:numPr>
              <w:ind w:left="0" w:right="0"/>
              <w:jc w:val="center"/>
              <w:rPr>
                <w:rStyle w:val="Emfaz"/>
                <w:i w:val="0"/>
                <w:iCs w:val="0"/>
              </w:rPr>
            </w:pPr>
          </w:p>
        </w:tc>
        <w:tc>
          <w:tcPr>
            <w:tcW w:w="2977" w:type="dxa"/>
            <w:shd w:val="clear" w:color="auto" w:fill="auto"/>
          </w:tcPr>
          <w:p w14:paraId="236DCF42" w14:textId="2F156404" w:rsidR="0077129D" w:rsidRPr="007D40A2" w:rsidRDefault="0077129D" w:rsidP="007D40A2">
            <w:pPr>
              <w:pStyle w:val="Adresas"/>
              <w:jc w:val="both"/>
              <w:rPr>
                <w:iCs/>
                <w:color w:val="000000"/>
              </w:rPr>
            </w:pPr>
            <w:r w:rsidRPr="007D40A2">
              <w:rPr>
                <w:iCs/>
                <w:color w:val="000000"/>
              </w:rPr>
              <w:t>Nacionalinis pareigūnų profesinių sąjungų susivienijimas,</w:t>
            </w:r>
            <w:r w:rsidR="005823E8">
              <w:rPr>
                <w:iCs/>
                <w:color w:val="000000"/>
              </w:rPr>
              <w:t xml:space="preserve"> </w:t>
            </w:r>
            <w:r w:rsidR="005823E8">
              <w:rPr>
                <w:iCs/>
                <w:color w:val="000000"/>
              </w:rPr>
              <w:br/>
            </w:r>
            <w:r w:rsidRPr="007D40A2">
              <w:rPr>
                <w:iCs/>
                <w:color w:val="000000"/>
              </w:rPr>
              <w:t xml:space="preserve">2019-10-11 </w:t>
            </w:r>
            <w:r w:rsidR="005823E8">
              <w:rPr>
                <w:iCs/>
                <w:color w:val="000000"/>
              </w:rPr>
              <w:t xml:space="preserve">raštas </w:t>
            </w:r>
            <w:r w:rsidRPr="007D40A2">
              <w:rPr>
                <w:iCs/>
                <w:color w:val="000000"/>
              </w:rPr>
              <w:t>Nr.</w:t>
            </w:r>
            <w:r w:rsidR="005823E8">
              <w:rPr>
                <w:iCs/>
                <w:color w:val="000000"/>
              </w:rPr>
              <w:t> </w:t>
            </w:r>
            <w:r w:rsidRPr="007D40A2">
              <w:rPr>
                <w:iCs/>
                <w:color w:val="000000"/>
              </w:rPr>
              <w:t>NP17-54(19)</w:t>
            </w:r>
          </w:p>
        </w:tc>
        <w:tc>
          <w:tcPr>
            <w:tcW w:w="4536" w:type="dxa"/>
            <w:shd w:val="clear" w:color="auto" w:fill="auto"/>
          </w:tcPr>
          <w:p w14:paraId="46B4CCED" w14:textId="62AAA7AC" w:rsidR="00D947A6" w:rsidRPr="005823E8" w:rsidRDefault="0077129D">
            <w:pPr>
              <w:ind w:firstLine="33"/>
              <w:jc w:val="both"/>
              <w:rPr>
                <w:iCs/>
              </w:rPr>
            </w:pPr>
            <w:r w:rsidRPr="005823E8">
              <w:rPr>
                <w:iCs/>
              </w:rPr>
              <w:t xml:space="preserve">Projekte siūloma nustatyti, kad vertinimo komisija, įvertinusi pareigūno tarnybinę veiklą labai gerai, pareigūną į pareigas skiriančiam asmeniui gali siūlyti taikyti pareigūnui Vidaus tarnybos statuto 37 str. 1 d. 1, 3 ir 4 punktuose bei 3 d. 1 p. nustatytas skatinimo priemones (pareikšti padėką, suteikti papildomas mokamas atostogas, apdovanoti vardine dovana ar žinybiniu ženklu). Tokiam siūlymui nepritariame, kadangi manome, kad siūlomos nelygiavertės skatinimo priemonės tik iškreips tarnybinės veiklos vertinimo procesą bei skatins tarnybinius ginčus. Įtvirtinant įstatyme nelygiavertes skatinimo priemones galimai bus pasiektas atvirkštinis rezultatas, kuomet pareigūnas po veiklos vertinimo proceso jausis netinkamai paskatintas ir demotyvuotas. Taip pat tokios vertinimo priemonės iš esmės iškreiptų karjeros institutą. </w:t>
            </w:r>
          </w:p>
        </w:tc>
        <w:tc>
          <w:tcPr>
            <w:tcW w:w="6095" w:type="dxa"/>
            <w:shd w:val="clear" w:color="auto" w:fill="auto"/>
          </w:tcPr>
          <w:p w14:paraId="5F7DD29D" w14:textId="77777777" w:rsidR="00D947A6" w:rsidRPr="005823E8" w:rsidRDefault="00D947A6" w:rsidP="000020BC">
            <w:pPr>
              <w:ind w:firstLine="34"/>
              <w:jc w:val="both"/>
              <w:rPr>
                <w:rStyle w:val="Emfaz"/>
                <w:b/>
                <w:i w:val="0"/>
                <w:iCs w:val="0"/>
              </w:rPr>
            </w:pPr>
            <w:r w:rsidRPr="005823E8">
              <w:rPr>
                <w:rStyle w:val="Emfaz"/>
                <w:b/>
                <w:i w:val="0"/>
                <w:iCs w:val="0"/>
              </w:rPr>
              <w:t>Neatsižvelgta.</w:t>
            </w:r>
          </w:p>
          <w:p w14:paraId="07D5E8E9" w14:textId="77777777" w:rsidR="00EF5184" w:rsidRPr="005823E8" w:rsidRDefault="00EF5184" w:rsidP="00EF5184">
            <w:pPr>
              <w:jc w:val="both"/>
            </w:pPr>
            <w:r w:rsidRPr="005823E8">
              <w:t xml:space="preserve">Manytina, kad pareigūnų tarnybinės veiklos vertinimas neturi būti siejamas vien tik su papildomų lėšų poreikiu. Pareigūnams yra svarbu būti įvertintiems objektyviai, o ne tik atsižvelgiant į finansines galimybes. </w:t>
            </w:r>
          </w:p>
          <w:p w14:paraId="2126718C" w14:textId="42EFD7E7" w:rsidR="00D947A6" w:rsidRPr="005823E8" w:rsidRDefault="00EF5184" w:rsidP="007D40A2">
            <w:pPr>
              <w:jc w:val="both"/>
              <w:rPr>
                <w:rStyle w:val="Emfaz"/>
                <w:i w:val="0"/>
                <w:iCs w:val="0"/>
              </w:rPr>
            </w:pPr>
            <w:r w:rsidRPr="005823E8">
              <w:t>Analogiškas reglamentavimas yra įtvirtintas Valstybės tarnybos įstatyme.</w:t>
            </w:r>
          </w:p>
        </w:tc>
      </w:tr>
      <w:tr w:rsidR="007F149C" w:rsidRPr="005823E8" w14:paraId="4E351970" w14:textId="77777777" w:rsidTr="00924869">
        <w:trPr>
          <w:trHeight w:val="2348"/>
        </w:trPr>
        <w:tc>
          <w:tcPr>
            <w:tcW w:w="880" w:type="dxa"/>
          </w:tcPr>
          <w:p w14:paraId="4F8B402A" w14:textId="77777777" w:rsidR="007F149C" w:rsidRPr="007D40A2" w:rsidRDefault="007F149C" w:rsidP="000020BC">
            <w:pPr>
              <w:pStyle w:val="Adresas"/>
              <w:numPr>
                <w:ilvl w:val="0"/>
                <w:numId w:val="1"/>
              </w:numPr>
              <w:ind w:left="0" w:right="0"/>
              <w:jc w:val="center"/>
              <w:rPr>
                <w:rStyle w:val="Emfaz"/>
                <w:i w:val="0"/>
                <w:iCs w:val="0"/>
              </w:rPr>
            </w:pPr>
          </w:p>
        </w:tc>
        <w:tc>
          <w:tcPr>
            <w:tcW w:w="2977" w:type="dxa"/>
            <w:shd w:val="clear" w:color="auto" w:fill="auto"/>
          </w:tcPr>
          <w:p w14:paraId="2C2963C0" w14:textId="77777777" w:rsidR="007F149C" w:rsidRPr="007D40A2" w:rsidRDefault="007F149C" w:rsidP="000020BC">
            <w:pPr>
              <w:pStyle w:val="Adresas"/>
              <w:jc w:val="center"/>
              <w:rPr>
                <w:iCs/>
                <w:color w:val="000000"/>
              </w:rPr>
            </w:pPr>
          </w:p>
        </w:tc>
        <w:tc>
          <w:tcPr>
            <w:tcW w:w="4536" w:type="dxa"/>
            <w:shd w:val="clear" w:color="auto" w:fill="auto"/>
          </w:tcPr>
          <w:p w14:paraId="4AE48415" w14:textId="177F0CBD" w:rsidR="007F149C" w:rsidRPr="005823E8" w:rsidRDefault="00D641B5" w:rsidP="0077129D">
            <w:pPr>
              <w:ind w:firstLine="33"/>
              <w:jc w:val="both"/>
              <w:rPr>
                <w:iCs/>
              </w:rPr>
            </w:pPr>
            <w:r w:rsidRPr="007D40A2">
              <w:rPr>
                <w:iCs/>
              </w:rPr>
              <w:t>Projekte siūloma, kad į centrinėms statutinėms įstaigoms pavaldžių statutinių įstaigų ir statutinių profesinio mokymo įstaigų vadovų ir vadovų pavaduotojų, statutinių įstaigų struktūrinių padalinių vadovų pareigas skiriami tik atrankos būdu, išskyrus šio statuto 29 straipsnio 4 dalyje (</w:t>
            </w:r>
            <w:r w:rsidR="00F76509" w:rsidRPr="005823E8">
              <w:rPr>
                <w:iCs/>
              </w:rPr>
              <w:t>kai į pareigas skiriamas asmuo, ėjęs centrinės įstaigos vadovo ar pavaduotojo pareigas), 30 straipsnio 1 ir 2 dalyse (kai pareigūnas į jo prašymu perkeliamas į kitas lygiavertes ar žemesnes pareigas ar kai pareigūnai, einantys lygiavertes pareigas, sukeičiami vietomis), 31 straipsnio 1 ir 2 dalyse (kai pareigūnas tarnybinio būtinumo atveju laikinai perkeliamas į kitas pareigas</w:t>
            </w:r>
            <w:r w:rsidR="00827CEE" w:rsidRPr="005823E8">
              <w:rPr>
                <w:iCs/>
              </w:rPr>
              <w:t xml:space="preserve"> be jo rašytinio </w:t>
            </w:r>
            <w:r w:rsidR="00827CEE" w:rsidRPr="005823E8">
              <w:rPr>
                <w:iCs/>
              </w:rPr>
              <w:lastRenderedPageBreak/>
              <w:t xml:space="preserve">sutikimo) ir 32 straipsnio 3 dalies 3 punkte (kai pareigūnas, kuriam taikoma rotacija, jo tarnybinę veiklą įvertinus patenkinamai perkeliamas į kitas pareigas) nustatytus atvejus. Tokiam siūlymui nepritariame, kadangi tokiu reglamentavimu siekiama išvengti atrankos. Centrinėms statutinėms įstaigoms pavaldžių statutinių įstaigų ir statutinių profesinio mokymo įstaigų vadovams ir vadovų pavaduotojams, statutinių įstaigų struktūrinių padalinių vadovams keliami aukšti reikalavimai, todėl tinkamą vadovavimą galima užtikrinti tik atrenkant tinkamiausius kandidatus, patikrinus jų turimą kvalifikaciją bei tinkamumą eiti pareigas. </w:t>
            </w:r>
          </w:p>
        </w:tc>
        <w:tc>
          <w:tcPr>
            <w:tcW w:w="6095" w:type="dxa"/>
            <w:shd w:val="clear" w:color="auto" w:fill="auto"/>
          </w:tcPr>
          <w:p w14:paraId="42354A1A" w14:textId="77777777" w:rsidR="007F149C" w:rsidRPr="005823E8" w:rsidRDefault="00827CEE" w:rsidP="000020BC">
            <w:pPr>
              <w:ind w:firstLine="34"/>
              <w:jc w:val="both"/>
              <w:rPr>
                <w:rStyle w:val="Emfaz"/>
                <w:b/>
                <w:i w:val="0"/>
                <w:iCs w:val="0"/>
              </w:rPr>
            </w:pPr>
            <w:r w:rsidRPr="005823E8">
              <w:rPr>
                <w:rStyle w:val="Emfaz"/>
                <w:b/>
                <w:i w:val="0"/>
                <w:iCs w:val="0"/>
              </w:rPr>
              <w:lastRenderedPageBreak/>
              <w:t xml:space="preserve">Neatsižvelgta. </w:t>
            </w:r>
          </w:p>
          <w:p w14:paraId="0FAC3876" w14:textId="710CE344" w:rsidR="00BA3D8D" w:rsidRPr="005823E8" w:rsidRDefault="00BA3D8D" w:rsidP="00A32A17">
            <w:pPr>
              <w:ind w:firstLine="34"/>
              <w:jc w:val="both"/>
            </w:pPr>
            <w:r w:rsidRPr="005823E8">
              <w:rPr>
                <w:rStyle w:val="Emfaz"/>
                <w:i w:val="0"/>
                <w:iCs w:val="0"/>
                <w:u w:val="single"/>
              </w:rPr>
              <w:t>Pagal šiuo metu galiojantį</w:t>
            </w:r>
            <w:r w:rsidRPr="005823E8">
              <w:rPr>
                <w:rStyle w:val="Emfaz"/>
                <w:i w:val="0"/>
                <w:iCs w:val="0"/>
              </w:rPr>
              <w:t xml:space="preserve"> reglamentavimą </w:t>
            </w:r>
            <w:r w:rsidRPr="005823E8">
              <w:rPr>
                <w:bCs/>
              </w:rPr>
              <w:t>į</w:t>
            </w:r>
            <w:r w:rsidRPr="005823E8">
              <w:t xml:space="preserve"> centrinėms statutinėms įstaigoms pavaldžių statutinių įstaigų ir statutinių profesinio mokymo įstaigų vadovų ir vadovų pavaduotojų</w:t>
            </w:r>
            <w:r w:rsidRPr="005823E8">
              <w:rPr>
                <w:bCs/>
              </w:rPr>
              <w:t>, statutinių įstaigų struktūrinių padalinių vadovų pareigas pareigūnai skiriami tik atrankos būdu</w:t>
            </w:r>
            <w:r w:rsidRPr="005823E8">
              <w:t>, išskyrus šio statuto 29 straipsnio 4 dalyje (kai į pareigas skiriamas asmuo, ėjęs centrinės įstaigos vadovo ar pavaduotojo pareigas), 30 straipsnio 1 ir 2</w:t>
            </w:r>
            <w:r w:rsidRPr="005823E8">
              <w:rPr>
                <w:b/>
              </w:rPr>
              <w:t xml:space="preserve"> </w:t>
            </w:r>
            <w:r w:rsidRPr="005823E8">
              <w:t xml:space="preserve">dalyse (kai pareigūnas jo prašymu perkeliamas į kitas lygiavertes ar žemesnes pareigas ar kai pareigūnai, einantys lygiavertes pareigas, sukeičiami vietomis), 31 straipsnio 1 ir 2 dalyse (kai pareigūnas tarnybinio būtinumo atveju laikinai perkeliamas į kitas pareigas be jo rašytinio sutikimo) ir 32 straipsnio 3 dalies 3 punkte (kai pareigūnas, kuriam taikoma rotacija, jo tarnybinę </w:t>
            </w:r>
            <w:r w:rsidRPr="005823E8">
              <w:lastRenderedPageBreak/>
              <w:t xml:space="preserve">veiklą įvertinus patenkinamai perkeliamas į kitas pareigas) nustatytus atvejus. </w:t>
            </w:r>
          </w:p>
          <w:p w14:paraId="35BAD70F" w14:textId="65ED9C9E" w:rsidR="00BA3D8D" w:rsidRPr="005823E8" w:rsidRDefault="00BA3D8D" w:rsidP="00A32A17">
            <w:pPr>
              <w:ind w:firstLine="709"/>
              <w:jc w:val="both"/>
              <w:rPr>
                <w:bCs/>
              </w:rPr>
            </w:pPr>
            <w:r w:rsidRPr="005823E8">
              <w:t xml:space="preserve">VTS projekte siūloma </w:t>
            </w:r>
            <w:r w:rsidRPr="005823E8">
              <w:rPr>
                <w:u w:val="single"/>
              </w:rPr>
              <w:t>nustatyti papildomus atvejus</w:t>
            </w:r>
            <w:r w:rsidRPr="005823E8">
              <w:t xml:space="preserve">, kuriems esant </w:t>
            </w:r>
            <w:r w:rsidRPr="005823E8">
              <w:rPr>
                <w:bCs/>
              </w:rPr>
              <w:t>į</w:t>
            </w:r>
            <w:r w:rsidRPr="005823E8">
              <w:t xml:space="preserve"> centrinėms statutinėms įstaigoms pavaldžių statutinių įstaigų ir statutinių profesinio mokymo įstaigų vadovų ir vadovų pavaduotojų</w:t>
            </w:r>
            <w:r w:rsidRPr="005823E8">
              <w:rPr>
                <w:bCs/>
              </w:rPr>
              <w:t xml:space="preserve">, statutinių įstaigų struktūrinių padalinių vadovų pareigas pareigūnai skiriami be atrankos: kai yra Centrinės medicinos ekspertizės komisijos išvada, kad pareigūnas dėl sveikatos būklės negali eiti savo pareigų; kai pareigūnas jo rašytiniu sutikimu į kitas pareigas perkeliamas laikinai tarnybinio būtinumo atveju; kai pareigūnas, uždraudus jam dirbti ar susipažinti su įslaptinta informacija, negali eiti savo pareigų nesinaudodamas tokia informacija, jo rašytiniu sutikimu laikinai perkeliamas į kitas pareigas; kai rotuojamas pareigas einančio pareigūno tarnybinė veikla įvertinama nepatenkinamai ir jis perkeliamas į kitas pareigas; kai pareigūnas į kitas pareigas perkeliamas panaikinus jo pareigybę, įgyvendinant tarnybinės veiklos vertinimo komisijos </w:t>
            </w:r>
            <w:r w:rsidR="005823E8">
              <w:rPr>
                <w:bCs/>
              </w:rPr>
              <w:t>pa</w:t>
            </w:r>
            <w:r w:rsidRPr="005823E8">
              <w:rPr>
                <w:bCs/>
              </w:rPr>
              <w:t xml:space="preserve">siūlymą – perkelti į žemesnes pareigas, paskyrus tarnybinę nuobaudą – perkėlimą į žemesnes pareigas, kai į jo einamas pareigas teismo sprendimu grąžinamas šias pareigas ėjęs pareigūnas, pasibaigus tarnybos einant atitinkamas pareigas laikotarpiui ar paties prašymu.  </w:t>
            </w:r>
          </w:p>
          <w:p w14:paraId="3BABF079" w14:textId="1F2E7449" w:rsidR="00BA3D8D" w:rsidRPr="005823E8" w:rsidRDefault="00A32A17" w:rsidP="00870AC7">
            <w:pPr>
              <w:ind w:firstLine="34"/>
              <w:jc w:val="both"/>
              <w:rPr>
                <w:rStyle w:val="Emfaz"/>
                <w:i w:val="0"/>
                <w:iCs w:val="0"/>
              </w:rPr>
            </w:pPr>
            <w:r w:rsidRPr="007D40A2">
              <w:t>Pažymėtina, kad siūlomais pakeitimais siekiama užtikrinti pareigūnų teisėtus lūkesčius ir įgyvendinti jų teisę į karjerą. T</w:t>
            </w:r>
            <w:r w:rsidR="0001488B" w:rsidRPr="005823E8">
              <w:t>ai</w:t>
            </w:r>
            <w:r w:rsidRPr="005823E8">
              <w:t xml:space="preserve">p </w:t>
            </w:r>
            <w:r w:rsidR="0001488B" w:rsidRPr="005823E8">
              <w:t xml:space="preserve">pat atkreiptinas dėmesys į tai, kad asmenys, į vadovų pareigas paskirti atrankos būdu ir vėliau negalintys jų eiti dėl sveikatos būklės, </w:t>
            </w:r>
            <w:r w:rsidR="00DF41BD" w:rsidRPr="005823E8">
              <w:t xml:space="preserve">panaikinus pareigybę, </w:t>
            </w:r>
            <w:r w:rsidR="0001488B" w:rsidRPr="005823E8">
              <w:t>kai į jo einamas pareigas teismo sprendimu grąžinamas šias pareigas ėjęs pareigūnas, pasibaigus tarnybos einant atitinkamas pareigas laikotarpiui ar dėl kitų objektyvių priežasčių, turi turėti galimybę būti perkelti į</w:t>
            </w:r>
            <w:r w:rsidR="00870AC7" w:rsidRPr="005823E8">
              <w:t xml:space="preserve"> viena grupe žemesnes pareigas. </w:t>
            </w:r>
          </w:p>
        </w:tc>
      </w:tr>
      <w:tr w:rsidR="002C7844" w:rsidRPr="005823E8" w14:paraId="325337EB" w14:textId="77777777" w:rsidTr="00924869">
        <w:trPr>
          <w:trHeight w:val="2348"/>
        </w:trPr>
        <w:tc>
          <w:tcPr>
            <w:tcW w:w="880" w:type="dxa"/>
          </w:tcPr>
          <w:p w14:paraId="3408D2D9" w14:textId="77777777" w:rsidR="002C7844" w:rsidRPr="007D40A2" w:rsidRDefault="002C7844" w:rsidP="000020BC">
            <w:pPr>
              <w:pStyle w:val="Adresas"/>
              <w:numPr>
                <w:ilvl w:val="0"/>
                <w:numId w:val="1"/>
              </w:numPr>
              <w:ind w:left="0" w:right="0"/>
              <w:jc w:val="center"/>
              <w:rPr>
                <w:rStyle w:val="Emfaz"/>
                <w:i w:val="0"/>
                <w:iCs w:val="0"/>
              </w:rPr>
            </w:pPr>
          </w:p>
        </w:tc>
        <w:tc>
          <w:tcPr>
            <w:tcW w:w="2977" w:type="dxa"/>
            <w:shd w:val="clear" w:color="auto" w:fill="auto"/>
          </w:tcPr>
          <w:p w14:paraId="518D9749" w14:textId="0DAD2A37" w:rsidR="002C7844" w:rsidRPr="007D40A2" w:rsidRDefault="002C7844" w:rsidP="007D40A2">
            <w:pPr>
              <w:pStyle w:val="Adresas"/>
              <w:jc w:val="both"/>
              <w:rPr>
                <w:iCs/>
                <w:color w:val="000000"/>
              </w:rPr>
            </w:pPr>
            <w:r w:rsidRPr="007D40A2">
              <w:rPr>
                <w:iCs/>
                <w:color w:val="000000"/>
              </w:rPr>
              <w:t>Muitinės departamentas prie Finansų ministerijos,</w:t>
            </w:r>
            <w:r w:rsidR="005823E8">
              <w:rPr>
                <w:iCs/>
                <w:color w:val="000000"/>
              </w:rPr>
              <w:t xml:space="preserve"> </w:t>
            </w:r>
            <w:r w:rsidRPr="007D40A2">
              <w:rPr>
                <w:iCs/>
                <w:color w:val="000000"/>
              </w:rPr>
              <w:t xml:space="preserve">2019-10-10 </w:t>
            </w:r>
            <w:r w:rsidR="005823E8">
              <w:rPr>
                <w:iCs/>
                <w:color w:val="000000"/>
              </w:rPr>
              <w:t xml:space="preserve">raštas </w:t>
            </w:r>
            <w:r w:rsidRPr="007D40A2">
              <w:rPr>
                <w:iCs/>
                <w:color w:val="000000"/>
              </w:rPr>
              <w:t>Nr.</w:t>
            </w:r>
            <w:r w:rsidR="005823E8">
              <w:rPr>
                <w:iCs/>
                <w:color w:val="000000"/>
              </w:rPr>
              <w:t> </w:t>
            </w:r>
            <w:r w:rsidRPr="007D40A2">
              <w:rPr>
                <w:iCs/>
                <w:color w:val="000000"/>
              </w:rPr>
              <w:t>(5.19)3B-8066</w:t>
            </w:r>
          </w:p>
        </w:tc>
        <w:tc>
          <w:tcPr>
            <w:tcW w:w="4536" w:type="dxa"/>
            <w:shd w:val="clear" w:color="auto" w:fill="auto"/>
          </w:tcPr>
          <w:p w14:paraId="0FC3DBFC" w14:textId="77777777" w:rsidR="002C7844" w:rsidRPr="005823E8" w:rsidRDefault="002C7844" w:rsidP="002C7844">
            <w:pPr>
              <w:pStyle w:val="Antrats"/>
              <w:tabs>
                <w:tab w:val="left" w:pos="720"/>
                <w:tab w:val="left" w:pos="993"/>
                <w:tab w:val="left" w:pos="1418"/>
              </w:tabs>
              <w:ind w:firstLine="33"/>
              <w:jc w:val="both"/>
            </w:pPr>
            <w:r w:rsidRPr="005823E8">
              <w:t xml:space="preserve">Statuto 27 straipsnyje nustatyta, kad pareigūnai į aukštesnes pareigas gali būti </w:t>
            </w:r>
            <w:r w:rsidRPr="005823E8">
              <w:rPr>
                <w:u w:val="single"/>
              </w:rPr>
              <w:t>perkelti tarnybinės veiklos vertinimo būdu</w:t>
            </w:r>
            <w:r w:rsidRPr="005823E8">
              <w:t xml:space="preserve">, nors Statuto 28 straipsnio 5 dalyje nustatyta, kad į centrinėms statutinėms įstaigoms pavaldžių statutinių įstaigų ir statutinių profesinio mokymo įstaigų vadovų ir vadovų pavaduotojų, statutinių įstaigų struktūrinių padalinių vadovų pareigas pareigūnai </w:t>
            </w:r>
            <w:r w:rsidRPr="005823E8">
              <w:rPr>
                <w:u w:val="single"/>
              </w:rPr>
              <w:t>skiriami tik atrankos būdu</w:t>
            </w:r>
            <w:r w:rsidRPr="005823E8">
              <w:t>. Darytina išvada, kad reglamentavimas, nustatantis pareigūnų perkėlimą į aukštesnes pareigas tarnybinės veiklos vertinimo metu, yra dviprasmiškas.</w:t>
            </w:r>
          </w:p>
          <w:p w14:paraId="67DB1575" w14:textId="77777777" w:rsidR="002C7844" w:rsidRPr="005823E8" w:rsidRDefault="002C7844" w:rsidP="002C7844">
            <w:pPr>
              <w:ind w:firstLine="175"/>
              <w:jc w:val="both"/>
            </w:pPr>
            <w:r w:rsidRPr="005823E8">
              <w:t>Įstatymo projekto 3 straipsnio 2 dalį siūlome išdėstyti taip:</w:t>
            </w:r>
          </w:p>
          <w:p w14:paraId="5AD32236" w14:textId="77777777" w:rsidR="002C7844" w:rsidRPr="005823E8" w:rsidRDefault="002C7844" w:rsidP="002C7844">
            <w:pPr>
              <w:ind w:firstLine="175"/>
              <w:jc w:val="both"/>
              <w:rPr>
                <w:i/>
              </w:rPr>
            </w:pPr>
            <w:r w:rsidRPr="005823E8">
              <w:t>„</w:t>
            </w:r>
            <w:r w:rsidRPr="005823E8">
              <w:rPr>
                <w:b/>
                <w:i/>
              </w:rPr>
              <w:t>3 straipsnis. 28 straipsnio pakeitimas</w:t>
            </w:r>
          </w:p>
          <w:p w14:paraId="70D4635B" w14:textId="77777777" w:rsidR="002C7844" w:rsidRPr="005823E8" w:rsidRDefault="002C7844" w:rsidP="002C7844">
            <w:pPr>
              <w:ind w:firstLine="175"/>
              <w:jc w:val="both"/>
              <w:rPr>
                <w:i/>
              </w:rPr>
            </w:pPr>
            <w:r w:rsidRPr="005823E8">
              <w:rPr>
                <w:i/>
              </w:rPr>
              <w:t>1. Pakeisti 28 straipsnio 5 dalį ir ją išdėstyti taip:</w:t>
            </w:r>
          </w:p>
          <w:p w14:paraId="3FF1BE29" w14:textId="47393EEC" w:rsidR="002C7844" w:rsidRPr="005823E8" w:rsidRDefault="002C7844" w:rsidP="007D40A2">
            <w:pPr>
              <w:ind w:firstLine="851"/>
              <w:jc w:val="both"/>
              <w:rPr>
                <w:iCs/>
              </w:rPr>
            </w:pPr>
            <w:r w:rsidRPr="005823E8">
              <w:rPr>
                <w:i/>
              </w:rPr>
              <w:t xml:space="preserve">„5. Į centrinėms statutinėms įstaigoms pavaldžių statutinių įstaigų ir statutinių profesinio mokymo įstaigų vadovų ir vadovų pavaduotojų, statutinių įstaigų struktūrinių padalinių vadovų pareigas pareigūnai skiriami tik atrankos būdu, išskyrus šio statuto 29 straipsnio 4 dalyje,                30 straipsnio 1, 2 ir 4 dalyse, 31 straipsnio 1, 2, 3 ir 5 dalyse, 32 straipsnio 3 dalies 3 ir                  4 punktuose, 33 straipsnio 1 dalies 1–7 punktuose, </w:t>
            </w:r>
            <w:r w:rsidRPr="005823E8">
              <w:rPr>
                <w:b/>
                <w:i/>
              </w:rPr>
              <w:t>34 straipsnio 15 dalies 2 punkte</w:t>
            </w:r>
            <w:r w:rsidRPr="005823E8">
              <w:rPr>
                <w:i/>
              </w:rPr>
              <w:t xml:space="preserve"> nustatytus atvejus</w:t>
            </w:r>
            <w:r w:rsidRPr="005823E8">
              <w:t>.“</w:t>
            </w:r>
          </w:p>
        </w:tc>
        <w:tc>
          <w:tcPr>
            <w:tcW w:w="6095" w:type="dxa"/>
            <w:shd w:val="clear" w:color="auto" w:fill="auto"/>
          </w:tcPr>
          <w:p w14:paraId="68BD3193" w14:textId="35A7C35F" w:rsidR="002C7844" w:rsidRPr="005823E8" w:rsidRDefault="00DC511E" w:rsidP="000020BC">
            <w:pPr>
              <w:ind w:firstLine="34"/>
              <w:jc w:val="both"/>
              <w:rPr>
                <w:rStyle w:val="Emfaz"/>
                <w:b/>
                <w:i w:val="0"/>
                <w:iCs w:val="0"/>
              </w:rPr>
            </w:pPr>
            <w:r w:rsidRPr="005823E8">
              <w:rPr>
                <w:rStyle w:val="Emfaz"/>
                <w:b/>
                <w:i w:val="0"/>
                <w:iCs w:val="0"/>
              </w:rPr>
              <w:t>A</w:t>
            </w:r>
            <w:r w:rsidR="002C7844" w:rsidRPr="005823E8">
              <w:rPr>
                <w:rStyle w:val="Emfaz"/>
                <w:b/>
                <w:i w:val="0"/>
                <w:iCs w:val="0"/>
              </w:rPr>
              <w:t>tsižvelgta</w:t>
            </w:r>
            <w:r w:rsidRPr="005823E8">
              <w:rPr>
                <w:rStyle w:val="Emfaz"/>
                <w:b/>
                <w:i w:val="0"/>
                <w:iCs w:val="0"/>
              </w:rPr>
              <w:t xml:space="preserve"> iš dalies</w:t>
            </w:r>
            <w:r w:rsidR="002C7844" w:rsidRPr="005823E8">
              <w:rPr>
                <w:rStyle w:val="Emfaz"/>
                <w:b/>
                <w:i w:val="0"/>
                <w:iCs w:val="0"/>
              </w:rPr>
              <w:t xml:space="preserve">. </w:t>
            </w:r>
          </w:p>
          <w:p w14:paraId="262142A2" w14:textId="7A2FAD63" w:rsidR="002C7844" w:rsidRPr="005823E8" w:rsidRDefault="00222C64" w:rsidP="00222C64">
            <w:pPr>
              <w:ind w:firstLine="34"/>
              <w:jc w:val="both"/>
              <w:rPr>
                <w:rStyle w:val="Emfaz"/>
                <w:i w:val="0"/>
                <w:iCs w:val="0"/>
              </w:rPr>
            </w:pPr>
            <w:r w:rsidRPr="005823E8">
              <w:rPr>
                <w:rStyle w:val="Emfaz"/>
                <w:i w:val="0"/>
                <w:iCs w:val="0"/>
              </w:rPr>
              <w:t>Siekiant užtikri</w:t>
            </w:r>
            <w:r w:rsidR="005823E8">
              <w:rPr>
                <w:rStyle w:val="Emfaz"/>
                <w:i w:val="0"/>
                <w:iCs w:val="0"/>
              </w:rPr>
              <w:t>n</w:t>
            </w:r>
            <w:r w:rsidRPr="005823E8">
              <w:rPr>
                <w:rStyle w:val="Emfaz"/>
                <w:i w:val="0"/>
                <w:iCs w:val="0"/>
              </w:rPr>
              <w:t>ti, kad centrinėms statutinėms įstaigoms pavaldžių statutinių įstaigų ir statutinių profesinio mokymo įstaigų vadovų ir vadovų pavaduotojų, statutinių įstaigų struktūrinių padalinių vadovų pareigas eitų tik kompete</w:t>
            </w:r>
            <w:r w:rsidR="009A2A54" w:rsidRPr="005823E8">
              <w:rPr>
                <w:rStyle w:val="Emfaz"/>
                <w:i w:val="0"/>
                <w:iCs w:val="0"/>
              </w:rPr>
              <w:t>n</w:t>
            </w:r>
            <w:r w:rsidRPr="005823E8">
              <w:rPr>
                <w:rStyle w:val="Emfaz"/>
                <w:i w:val="0"/>
                <w:iCs w:val="0"/>
              </w:rPr>
              <w:t xml:space="preserve">tingiausi ir aukščiausios kvalifikacijos asmenys, turintys atitinkamų vadovavimo gebėjimų, kurie tikrinami atrankos procedūros metu, Vidaus tarnybos statute įtvirtinta nuostata, kad į minėtas pareigas asmenys gali būti skiriami tik atrankos būdu. </w:t>
            </w:r>
          </w:p>
          <w:p w14:paraId="3819014A" w14:textId="1F4B54CA" w:rsidR="00DC511E" w:rsidRPr="005823E8" w:rsidRDefault="00DC511E">
            <w:pPr>
              <w:ind w:firstLine="34"/>
              <w:jc w:val="both"/>
              <w:rPr>
                <w:rStyle w:val="Emfaz"/>
                <w:i w:val="0"/>
                <w:iCs w:val="0"/>
              </w:rPr>
            </w:pPr>
            <w:r w:rsidRPr="005823E8">
              <w:rPr>
                <w:rStyle w:val="Emfaz"/>
                <w:i w:val="0"/>
                <w:iCs w:val="0"/>
              </w:rPr>
              <w:t>Siekiant išvengti dviprasmybės, Vidaus tarnybos statuto 34 straipsnio 15 dalis papildyta:</w:t>
            </w:r>
            <w:r w:rsidR="005823E8">
              <w:rPr>
                <w:rStyle w:val="Emfaz"/>
                <w:i w:val="0"/>
                <w:iCs w:val="0"/>
              </w:rPr>
              <w:t xml:space="preserve"> </w:t>
            </w:r>
            <w:r w:rsidR="005823E8">
              <w:rPr>
                <w:color w:val="000000"/>
                <w:lang w:eastAsia="lt-LT"/>
              </w:rPr>
              <w:t>„</w:t>
            </w:r>
            <w:r w:rsidRPr="005823E8">
              <w:rPr>
                <w:color w:val="000000"/>
                <w:lang w:eastAsia="lt-LT"/>
              </w:rPr>
              <w:t>2) perkelti pareigūną į aukštesnes pareigas</w:t>
            </w:r>
            <w:r w:rsidRPr="005823E8">
              <w:rPr>
                <w:b/>
                <w:color w:val="000000"/>
                <w:lang w:eastAsia="lt-LT"/>
              </w:rPr>
              <w:t>, išskyrus šio statuto 28 straipsnio 5 dalyje nurodytas pareigas</w:t>
            </w:r>
            <w:r w:rsidRPr="005823E8">
              <w:rPr>
                <w:color w:val="000000"/>
                <w:lang w:eastAsia="lt-LT"/>
              </w:rPr>
              <w:t>;</w:t>
            </w:r>
            <w:r w:rsidR="005823E8">
              <w:rPr>
                <w:color w:val="000000"/>
                <w:lang w:eastAsia="lt-LT"/>
              </w:rPr>
              <w:t>“.</w:t>
            </w:r>
          </w:p>
        </w:tc>
      </w:tr>
      <w:tr w:rsidR="007D78C0" w:rsidRPr="005823E8" w14:paraId="2FEDE28A" w14:textId="77777777" w:rsidTr="00924869">
        <w:trPr>
          <w:trHeight w:val="2348"/>
        </w:trPr>
        <w:tc>
          <w:tcPr>
            <w:tcW w:w="880" w:type="dxa"/>
          </w:tcPr>
          <w:p w14:paraId="3B4D0AC1" w14:textId="7B3F66A8" w:rsidR="007D78C0" w:rsidRPr="007D40A2" w:rsidRDefault="007D78C0" w:rsidP="000020BC">
            <w:pPr>
              <w:pStyle w:val="Adresas"/>
              <w:numPr>
                <w:ilvl w:val="0"/>
                <w:numId w:val="1"/>
              </w:numPr>
              <w:ind w:left="0" w:right="0"/>
              <w:jc w:val="center"/>
              <w:rPr>
                <w:rStyle w:val="Emfaz"/>
                <w:i w:val="0"/>
                <w:iCs w:val="0"/>
              </w:rPr>
            </w:pPr>
          </w:p>
        </w:tc>
        <w:tc>
          <w:tcPr>
            <w:tcW w:w="2977" w:type="dxa"/>
            <w:shd w:val="clear" w:color="auto" w:fill="auto"/>
          </w:tcPr>
          <w:p w14:paraId="15A261BC" w14:textId="2B6DB5E3" w:rsidR="007D78C0" w:rsidRPr="007D40A2" w:rsidRDefault="00612D04" w:rsidP="007D40A2">
            <w:pPr>
              <w:pStyle w:val="Adresas"/>
              <w:jc w:val="both"/>
              <w:rPr>
                <w:iCs/>
                <w:color w:val="000000"/>
              </w:rPr>
            </w:pPr>
            <w:r w:rsidRPr="007D40A2">
              <w:rPr>
                <w:iCs/>
                <w:color w:val="000000"/>
              </w:rPr>
              <w:t xml:space="preserve">Teisingumo ministerija, 2019-10-23 </w:t>
            </w:r>
            <w:r w:rsidR="005823E8">
              <w:rPr>
                <w:iCs/>
                <w:color w:val="000000"/>
              </w:rPr>
              <w:t xml:space="preserve">raštas </w:t>
            </w:r>
            <w:r w:rsidRPr="007D40A2">
              <w:rPr>
                <w:iCs/>
              </w:rPr>
              <w:t>Nr.</w:t>
            </w:r>
            <w:r w:rsidR="005823E8" w:rsidRPr="007D40A2">
              <w:rPr>
                <w:iCs/>
              </w:rPr>
              <w:t xml:space="preserve"> </w:t>
            </w:r>
            <w:r w:rsidR="007D40A2" w:rsidRPr="007D40A2">
              <w:rPr>
                <w:iCs/>
              </w:rPr>
              <w:t>(1.36E)2T-1075</w:t>
            </w:r>
          </w:p>
        </w:tc>
        <w:tc>
          <w:tcPr>
            <w:tcW w:w="4536" w:type="dxa"/>
            <w:shd w:val="clear" w:color="auto" w:fill="auto"/>
          </w:tcPr>
          <w:p w14:paraId="04B4E657" w14:textId="77777777" w:rsidR="007D78C0" w:rsidRPr="005823E8" w:rsidRDefault="007D78C0" w:rsidP="007D78C0">
            <w:pPr>
              <w:ind w:right="-28"/>
              <w:jc w:val="both"/>
              <w:rPr>
                <w:lang w:eastAsia="lt-LT"/>
              </w:rPr>
            </w:pPr>
            <w:r w:rsidRPr="005823E8">
              <w:rPr>
                <w:lang w:eastAsia="lt-LT"/>
              </w:rPr>
              <w:t>Projekto 10 straipsniu keičiamo VTS 37 straipsnio 8 dalyje siūloma nustatyti, kad „apdovanojimas šio straipsnio 9 dalyje nustatyta tvarka gali būti atimtas“, tačiau atkreiptinas dėmesys, kad VTS 37 straipsnio 9 dalis nenustato apdovanojimo atėmimo tvarkos. Atsižvelgiant į tai, siūlytina projekto 10 straipsnį išdėstyti taip:</w:t>
            </w:r>
          </w:p>
          <w:p w14:paraId="2AF5561A" w14:textId="77777777" w:rsidR="007D78C0" w:rsidRPr="005823E8" w:rsidRDefault="007D78C0" w:rsidP="007D78C0">
            <w:pPr>
              <w:ind w:left="2127" w:hanging="2127"/>
              <w:jc w:val="both"/>
              <w:rPr>
                <w:lang w:eastAsia="lt-LT"/>
              </w:rPr>
            </w:pPr>
            <w:r w:rsidRPr="005823E8">
              <w:rPr>
                <w:b/>
                <w:bCs/>
                <w:lang w:eastAsia="lt-LT"/>
              </w:rPr>
              <w:t>„10 straipsnis. 37 straipsnio pakeitimas</w:t>
            </w:r>
          </w:p>
          <w:p w14:paraId="20F4DA49" w14:textId="77777777" w:rsidR="007D78C0" w:rsidRPr="005823E8" w:rsidRDefault="007D78C0" w:rsidP="007D78C0">
            <w:pPr>
              <w:jc w:val="both"/>
              <w:rPr>
                <w:lang w:eastAsia="lt-LT"/>
              </w:rPr>
            </w:pPr>
            <w:r w:rsidRPr="005823E8">
              <w:rPr>
                <w:lang w:eastAsia="lt-LT"/>
              </w:rPr>
              <w:t>1. Pake</w:t>
            </w:r>
            <w:bookmarkStart w:id="0" w:name="_GoBack"/>
            <w:bookmarkEnd w:id="0"/>
            <w:r w:rsidRPr="005823E8">
              <w:rPr>
                <w:lang w:eastAsia="lt-LT"/>
              </w:rPr>
              <w:t>isti 37 straipsnio 8 dalį ir ją išdėstyti taip:</w:t>
            </w:r>
          </w:p>
          <w:p w14:paraId="6C66EB9C" w14:textId="77777777" w:rsidR="007D78C0" w:rsidRPr="005823E8" w:rsidRDefault="007D78C0" w:rsidP="007D78C0">
            <w:pPr>
              <w:ind w:firstLine="33"/>
              <w:jc w:val="both"/>
              <w:rPr>
                <w:lang w:eastAsia="lt-LT"/>
              </w:rPr>
            </w:pPr>
            <w:r w:rsidRPr="005823E8">
              <w:rPr>
                <w:lang w:eastAsia="lt-LT"/>
              </w:rPr>
              <w:t xml:space="preserve">„8. Apdovanojimas </w:t>
            </w:r>
            <w:r w:rsidRPr="005823E8">
              <w:rPr>
                <w:strike/>
                <w:lang w:eastAsia="lt-LT"/>
              </w:rPr>
              <w:t>ministro nustatyta tvarka</w:t>
            </w:r>
            <w:r w:rsidRPr="005823E8">
              <w:rPr>
                <w:lang w:eastAsia="lt-LT"/>
              </w:rPr>
              <w:t xml:space="preserve"> gali būti atimtas, kai paaiškėja aplinkybės, dėl kurių pareigūnas negalėjo būti apdovanotas, arba kai pareigūnas pažemina pareigūno vardą.“</w:t>
            </w:r>
          </w:p>
          <w:p w14:paraId="4369B400" w14:textId="77777777" w:rsidR="007D78C0" w:rsidRPr="005823E8" w:rsidRDefault="007D78C0" w:rsidP="007D78C0">
            <w:pPr>
              <w:jc w:val="both"/>
              <w:rPr>
                <w:lang w:eastAsia="lt-LT"/>
              </w:rPr>
            </w:pPr>
            <w:r w:rsidRPr="005823E8">
              <w:rPr>
                <w:lang w:eastAsia="lt-LT"/>
              </w:rPr>
              <w:t>2. Pakeisti 37 straipsnio 9 dalį ir ją išdėstyti taip:</w:t>
            </w:r>
          </w:p>
          <w:p w14:paraId="492B2AA8" w14:textId="77777777" w:rsidR="007D78C0" w:rsidRPr="005823E8" w:rsidRDefault="007D78C0" w:rsidP="007D78C0">
            <w:pPr>
              <w:ind w:firstLine="33"/>
              <w:jc w:val="both"/>
              <w:rPr>
                <w:lang w:eastAsia="lt-LT"/>
              </w:rPr>
            </w:pPr>
            <w:r w:rsidRPr="005823E8">
              <w:rPr>
                <w:lang w:eastAsia="lt-LT"/>
              </w:rPr>
              <w:t xml:space="preserve">„9. Pareigūnų skatinimo ir apdovanojimo </w:t>
            </w:r>
            <w:r w:rsidRPr="005823E8">
              <w:rPr>
                <w:strike/>
                <w:lang w:eastAsia="lt-LT"/>
              </w:rPr>
              <w:t>tvarką</w:t>
            </w:r>
            <w:r w:rsidRPr="005823E8">
              <w:rPr>
                <w:lang w:eastAsia="lt-LT"/>
              </w:rPr>
              <w:t xml:space="preserve">, išskyrus vienkartinių piniginių išmokų skyrimą ir mokėjimą, </w:t>
            </w:r>
            <w:r w:rsidRPr="005823E8">
              <w:rPr>
                <w:b/>
                <w:bCs/>
                <w:lang w:eastAsia="lt-LT"/>
              </w:rPr>
              <w:t>taip pat apdovanojimo atėmimo</w:t>
            </w:r>
            <w:r w:rsidRPr="005823E8">
              <w:rPr>
                <w:lang w:eastAsia="lt-LT"/>
              </w:rPr>
              <w:t xml:space="preserve"> </w:t>
            </w:r>
            <w:r w:rsidRPr="005823E8">
              <w:rPr>
                <w:b/>
                <w:bCs/>
                <w:lang w:eastAsia="lt-LT"/>
              </w:rPr>
              <w:t xml:space="preserve">tvarką </w:t>
            </w:r>
            <w:r w:rsidRPr="005823E8">
              <w:rPr>
                <w:lang w:eastAsia="lt-LT"/>
              </w:rPr>
              <w:t>nustato vidaus reikalų ministras, suderinęs su finansų ir teisingumo ministrais.“</w:t>
            </w:r>
          </w:p>
          <w:p w14:paraId="118C380D" w14:textId="538F6EC3" w:rsidR="007D78C0" w:rsidRPr="005823E8" w:rsidRDefault="007D78C0" w:rsidP="007D78C0">
            <w:pPr>
              <w:pStyle w:val="Antrats"/>
              <w:tabs>
                <w:tab w:val="left" w:pos="720"/>
                <w:tab w:val="left" w:pos="993"/>
                <w:tab w:val="left" w:pos="1418"/>
              </w:tabs>
              <w:ind w:firstLine="33"/>
              <w:jc w:val="both"/>
            </w:pPr>
            <w:r w:rsidRPr="005823E8">
              <w:t xml:space="preserve">Kartu atsižvelgiant į tai, kad minėtu pakeitimu siekiama </w:t>
            </w:r>
            <w:r w:rsidRPr="005823E8">
              <w:rPr>
                <w:color w:val="000000"/>
              </w:rPr>
              <w:t>užtikrinti teisėkūros efektyvumo principą, reglamentuojant vienodus teisinius santykius viename teisės akte, siūlytina analogiškai unifikuoti ir kitų VTS nuostatų įgyvendinimą (pvz., VTS 11 straipsnio 1 dalis ir 2 dalies 2 ir 4 punktai, 12 straipsnio 2 dalis, 14 straipsnio 5 dalis, 18 straipsnio 1 dalis, 19 straipsnio 5 dalis, 39 straipsnio 8 dalis, 51 straipsnio 3 ir 7 dalys, 63 straipsnio 4 dalis, 69 straipsnio 3 dalis, 80 straipsnis).</w:t>
            </w:r>
          </w:p>
        </w:tc>
        <w:tc>
          <w:tcPr>
            <w:tcW w:w="6095" w:type="dxa"/>
            <w:shd w:val="clear" w:color="auto" w:fill="auto"/>
          </w:tcPr>
          <w:p w14:paraId="706A00E4" w14:textId="77777777" w:rsidR="007D78C0" w:rsidRPr="005823E8" w:rsidRDefault="007D78C0" w:rsidP="000020BC">
            <w:pPr>
              <w:ind w:firstLine="34"/>
              <w:jc w:val="both"/>
              <w:rPr>
                <w:rStyle w:val="Emfaz"/>
                <w:b/>
                <w:i w:val="0"/>
                <w:iCs w:val="0"/>
              </w:rPr>
            </w:pPr>
            <w:r w:rsidRPr="005823E8">
              <w:rPr>
                <w:rStyle w:val="Emfaz"/>
                <w:b/>
                <w:i w:val="0"/>
                <w:iCs w:val="0"/>
              </w:rPr>
              <w:t xml:space="preserve">Atsižvelgta iš dalies. </w:t>
            </w:r>
          </w:p>
          <w:p w14:paraId="3ED05186" w14:textId="3E7EB0BA" w:rsidR="007D78C0" w:rsidRPr="005823E8" w:rsidRDefault="007D78C0" w:rsidP="000020BC">
            <w:pPr>
              <w:ind w:firstLine="34"/>
              <w:jc w:val="both"/>
              <w:rPr>
                <w:rStyle w:val="Emfaz"/>
                <w:i w:val="0"/>
                <w:iCs w:val="0"/>
              </w:rPr>
            </w:pPr>
            <w:r w:rsidRPr="005823E8">
              <w:rPr>
                <w:rStyle w:val="Emfaz"/>
                <w:i w:val="0"/>
                <w:iCs w:val="0"/>
              </w:rPr>
              <w:t xml:space="preserve">Pagal pateiktus </w:t>
            </w:r>
            <w:r w:rsidR="005823E8">
              <w:rPr>
                <w:rStyle w:val="Emfaz"/>
                <w:i w:val="0"/>
                <w:iCs w:val="0"/>
              </w:rPr>
              <w:t>pa</w:t>
            </w:r>
            <w:r w:rsidRPr="005823E8">
              <w:rPr>
                <w:rStyle w:val="Emfaz"/>
                <w:i w:val="0"/>
                <w:iCs w:val="0"/>
              </w:rPr>
              <w:t xml:space="preserve">siūlymus patikslintos Vidaus tarnybos statuto 37 straipsnio 8 ir 9 dalys. </w:t>
            </w:r>
          </w:p>
          <w:p w14:paraId="4B4EFA87" w14:textId="6B9304D5" w:rsidR="007D78C0" w:rsidRPr="005823E8" w:rsidRDefault="007D78C0" w:rsidP="007D78C0">
            <w:pPr>
              <w:ind w:firstLine="34"/>
              <w:jc w:val="both"/>
              <w:rPr>
                <w:rStyle w:val="Emfaz"/>
                <w:i w:val="0"/>
                <w:iCs w:val="0"/>
              </w:rPr>
            </w:pPr>
            <w:r w:rsidRPr="005823E8">
              <w:rPr>
                <w:rStyle w:val="Emfaz"/>
                <w:i w:val="0"/>
                <w:iCs w:val="0"/>
              </w:rPr>
              <w:t xml:space="preserve">Vidaus tarnybos statuto </w:t>
            </w:r>
            <w:r w:rsidRPr="005823E8">
              <w:rPr>
                <w:color w:val="000000"/>
              </w:rPr>
              <w:t xml:space="preserve">11 straipsnio 1 dalyje ir 2 dalies 2 ir 4 punktuose, 12 straipsnio 2 dalyje, 14 straipsnio 5 dalyje, 18 straipsnio 1 dalyje, 19 straipsnio 5 dalyje, 39 straipsnio 8 dalyje, 51 straipsnio 3 ir 7 dalyse, 63 straipsnio 4 dalyje, 69 straipsnio 3 dalyje ir 80 straipsnyje nustatytos tvarkos yra susijusios su statutinių įstaigų specifika, todėl nustatomos kiekvieno ministro atskirai. </w:t>
            </w:r>
            <w:r w:rsidR="0015444F" w:rsidRPr="005823E8">
              <w:rPr>
                <w:color w:val="000000"/>
              </w:rPr>
              <w:t xml:space="preserve">Be to, šios tvarkos jau yra patvirtintos, todėl jas derinti ir tvirtinti iš naujo nebūtų efektyvu. </w:t>
            </w:r>
          </w:p>
        </w:tc>
      </w:tr>
    </w:tbl>
    <w:p w14:paraId="3267B771" w14:textId="58D455D3" w:rsidR="002E22A6" w:rsidRPr="005823E8" w:rsidRDefault="002E22A6" w:rsidP="000020BC"/>
    <w:sectPr w:rsidR="002E22A6" w:rsidRPr="005823E8" w:rsidSect="00DE65E4">
      <w:headerReference w:type="default" r:id="rId7"/>
      <w:pgSz w:w="15840" w:h="12240" w:orient="landscape"/>
      <w:pgMar w:top="709" w:right="672"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72D4C" w14:textId="77777777" w:rsidR="00F95B7D" w:rsidRDefault="00F95B7D" w:rsidP="00261517">
      <w:r>
        <w:separator/>
      </w:r>
    </w:p>
  </w:endnote>
  <w:endnote w:type="continuationSeparator" w:id="0">
    <w:p w14:paraId="085C0A16" w14:textId="77777777" w:rsidR="00F95B7D" w:rsidRDefault="00F95B7D" w:rsidP="00261517">
      <w:r>
        <w:continuationSeparator/>
      </w:r>
    </w:p>
  </w:endnote>
  <w:endnote w:type="continuationNotice" w:id="1">
    <w:p w14:paraId="49F28451" w14:textId="77777777" w:rsidR="00F95B7D" w:rsidRDefault="00F95B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6E2A6" w14:textId="77777777" w:rsidR="00F95B7D" w:rsidRDefault="00F95B7D" w:rsidP="00261517">
      <w:r>
        <w:separator/>
      </w:r>
    </w:p>
  </w:footnote>
  <w:footnote w:type="continuationSeparator" w:id="0">
    <w:p w14:paraId="70A6EBDD" w14:textId="77777777" w:rsidR="00F95B7D" w:rsidRDefault="00F95B7D" w:rsidP="00261517">
      <w:r>
        <w:continuationSeparator/>
      </w:r>
    </w:p>
  </w:footnote>
  <w:footnote w:type="continuationNotice" w:id="1">
    <w:p w14:paraId="534E6F62" w14:textId="77777777" w:rsidR="00F95B7D" w:rsidRDefault="00F95B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791293"/>
      <w:docPartObj>
        <w:docPartGallery w:val="Page Numbers (Top of Page)"/>
        <w:docPartUnique/>
      </w:docPartObj>
    </w:sdtPr>
    <w:sdtEndPr/>
    <w:sdtContent>
      <w:p w14:paraId="36A613EF" w14:textId="667638B0" w:rsidR="007A30CA" w:rsidRDefault="007A30CA">
        <w:pPr>
          <w:pStyle w:val="Antrats"/>
          <w:jc w:val="center"/>
        </w:pPr>
        <w:r>
          <w:fldChar w:fldCharType="begin"/>
        </w:r>
        <w:r>
          <w:instrText>PAGE   \* MERGEFORMAT</w:instrText>
        </w:r>
        <w:r>
          <w:fldChar w:fldCharType="separate"/>
        </w:r>
        <w:r w:rsidR="007D40A2">
          <w:rPr>
            <w:noProof/>
          </w:rPr>
          <w:t>5</w:t>
        </w:r>
        <w:r>
          <w:fldChar w:fldCharType="end"/>
        </w:r>
      </w:p>
    </w:sdtContent>
  </w:sdt>
  <w:p w14:paraId="4F7DA620" w14:textId="77777777" w:rsidR="007A30CA" w:rsidRDefault="007A30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3C48"/>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06551B3E"/>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 w15:restartNumberingAfterBreak="0">
    <w:nsid w:val="078B0EC7"/>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15:restartNumberingAfterBreak="0">
    <w:nsid w:val="08C237E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09750EBB"/>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5" w15:restartNumberingAfterBreak="0">
    <w:nsid w:val="0A77286B"/>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6" w15:restartNumberingAfterBreak="0">
    <w:nsid w:val="0AC8579F"/>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0B1E3C0E"/>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15:restartNumberingAfterBreak="0">
    <w:nsid w:val="0D511A21"/>
    <w:multiLevelType w:val="hybridMultilevel"/>
    <w:tmpl w:val="EA4AC756"/>
    <w:lvl w:ilvl="0" w:tplc="A74A3296">
      <w:start w:val="14"/>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64E66E8"/>
    <w:multiLevelType w:val="hybridMultilevel"/>
    <w:tmpl w:val="626E82B0"/>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7ED0C7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19630E4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2" w15:restartNumberingAfterBreak="0">
    <w:nsid w:val="316113E9"/>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15:restartNumberingAfterBreak="0">
    <w:nsid w:val="350365BD"/>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15:restartNumberingAfterBreak="0">
    <w:nsid w:val="3BAD297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419B1D35"/>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439869C8"/>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7" w15:restartNumberingAfterBreak="0">
    <w:nsid w:val="46DF1863"/>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483556CD"/>
    <w:multiLevelType w:val="hybridMultilevel"/>
    <w:tmpl w:val="9990D6DC"/>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663AD3"/>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0" w15:restartNumberingAfterBreak="0">
    <w:nsid w:val="576516D4"/>
    <w:multiLevelType w:val="hybridMultilevel"/>
    <w:tmpl w:val="A4665F84"/>
    <w:lvl w:ilvl="0" w:tplc="2A5457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C307AA"/>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22" w15:restartNumberingAfterBreak="0">
    <w:nsid w:val="5C4E66C4"/>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CBD7FBE"/>
    <w:multiLevelType w:val="hybridMultilevel"/>
    <w:tmpl w:val="03401B76"/>
    <w:lvl w:ilvl="0" w:tplc="293E94B2">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24" w15:restartNumberingAfterBreak="0">
    <w:nsid w:val="5DCC16F5"/>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15:restartNumberingAfterBreak="0">
    <w:nsid w:val="5E692072"/>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6" w15:restartNumberingAfterBreak="0">
    <w:nsid w:val="60CD5486"/>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7" w15:restartNumberingAfterBreak="0">
    <w:nsid w:val="63C70C81"/>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6A557D8D"/>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70194BA0"/>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0" w15:restartNumberingAfterBreak="0">
    <w:nsid w:val="721610EA"/>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7283602A"/>
    <w:multiLevelType w:val="hybridMultilevel"/>
    <w:tmpl w:val="EFD8F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6432C3C"/>
    <w:multiLevelType w:val="multilevel"/>
    <w:tmpl w:val="B88EA714"/>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eastAsia="Times New Roman" w:hint="default"/>
      </w:rPr>
    </w:lvl>
    <w:lvl w:ilvl="2">
      <w:start w:val="1"/>
      <w:numFmt w:val="decimal"/>
      <w:isLgl/>
      <w:lvlText w:val="%1.%2.%3."/>
      <w:lvlJc w:val="left"/>
      <w:pPr>
        <w:ind w:left="1430" w:hanging="720"/>
      </w:pPr>
      <w:rPr>
        <w:rFonts w:eastAsia="Times New Roman" w:hint="default"/>
      </w:rPr>
    </w:lvl>
    <w:lvl w:ilvl="3">
      <w:start w:val="1"/>
      <w:numFmt w:val="decimal"/>
      <w:isLgl/>
      <w:lvlText w:val="%1.%2.%3.%4."/>
      <w:lvlJc w:val="left"/>
      <w:pPr>
        <w:ind w:left="1430" w:hanging="720"/>
      </w:pPr>
      <w:rPr>
        <w:rFonts w:eastAsia="Times New Roman" w:hint="default"/>
      </w:rPr>
    </w:lvl>
    <w:lvl w:ilvl="4">
      <w:start w:val="1"/>
      <w:numFmt w:val="decimal"/>
      <w:isLgl/>
      <w:lvlText w:val="%1.%2.%3.%4.%5."/>
      <w:lvlJc w:val="left"/>
      <w:pPr>
        <w:ind w:left="1790" w:hanging="1080"/>
      </w:pPr>
      <w:rPr>
        <w:rFonts w:eastAsia="Times New Roman" w:hint="default"/>
      </w:rPr>
    </w:lvl>
    <w:lvl w:ilvl="5">
      <w:start w:val="1"/>
      <w:numFmt w:val="decimal"/>
      <w:isLgl/>
      <w:lvlText w:val="%1.%2.%3.%4.%5.%6."/>
      <w:lvlJc w:val="left"/>
      <w:pPr>
        <w:ind w:left="1790" w:hanging="1080"/>
      </w:pPr>
      <w:rPr>
        <w:rFonts w:eastAsia="Times New Roman" w:hint="default"/>
      </w:rPr>
    </w:lvl>
    <w:lvl w:ilvl="6">
      <w:start w:val="1"/>
      <w:numFmt w:val="decimal"/>
      <w:isLgl/>
      <w:lvlText w:val="%1.%2.%3.%4.%5.%6.%7."/>
      <w:lvlJc w:val="left"/>
      <w:pPr>
        <w:ind w:left="2150" w:hanging="1440"/>
      </w:pPr>
      <w:rPr>
        <w:rFonts w:eastAsia="Times New Roman" w:hint="default"/>
      </w:rPr>
    </w:lvl>
    <w:lvl w:ilvl="7">
      <w:start w:val="1"/>
      <w:numFmt w:val="decimal"/>
      <w:isLgl/>
      <w:lvlText w:val="%1.%2.%3.%4.%5.%6.%7.%8."/>
      <w:lvlJc w:val="left"/>
      <w:pPr>
        <w:ind w:left="2150" w:hanging="1440"/>
      </w:pPr>
      <w:rPr>
        <w:rFonts w:eastAsia="Times New Roman" w:hint="default"/>
      </w:rPr>
    </w:lvl>
    <w:lvl w:ilvl="8">
      <w:start w:val="1"/>
      <w:numFmt w:val="decimal"/>
      <w:isLgl/>
      <w:lvlText w:val="%1.%2.%3.%4.%5.%6.%7.%8.%9."/>
      <w:lvlJc w:val="left"/>
      <w:pPr>
        <w:ind w:left="2510" w:hanging="1800"/>
      </w:pPr>
      <w:rPr>
        <w:rFonts w:eastAsia="Times New Roman" w:hint="default"/>
      </w:rPr>
    </w:lvl>
  </w:abstractNum>
  <w:abstractNum w:abstractNumId="33" w15:restartNumberingAfterBreak="0">
    <w:nsid w:val="790640CE"/>
    <w:multiLevelType w:val="hybridMultilevel"/>
    <w:tmpl w:val="5814606A"/>
    <w:lvl w:ilvl="0" w:tplc="70B6614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4" w15:restartNumberingAfterBreak="0">
    <w:nsid w:val="7DFB60B3"/>
    <w:multiLevelType w:val="multilevel"/>
    <w:tmpl w:val="C16604A2"/>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070" w:hanging="360"/>
      </w:pPr>
      <w:rPr>
        <w:rFonts w:hint="default"/>
        <w:strike w:val="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3"/>
  </w:num>
  <w:num w:numId="5">
    <w:abstractNumId w:val="20"/>
  </w:num>
  <w:num w:numId="6">
    <w:abstractNumId w:val="19"/>
  </w:num>
  <w:num w:numId="7">
    <w:abstractNumId w:val="21"/>
  </w:num>
  <w:num w:numId="8">
    <w:abstractNumId w:val="1"/>
  </w:num>
  <w:num w:numId="9">
    <w:abstractNumId w:val="32"/>
  </w:num>
  <w:num w:numId="10">
    <w:abstractNumId w:val="8"/>
  </w:num>
  <w:num w:numId="11">
    <w:abstractNumId w:val="12"/>
  </w:num>
  <w:num w:numId="12">
    <w:abstractNumId w:val="15"/>
  </w:num>
  <w:num w:numId="13">
    <w:abstractNumId w:val="6"/>
  </w:num>
  <w:num w:numId="14">
    <w:abstractNumId w:val="13"/>
  </w:num>
  <w:num w:numId="15">
    <w:abstractNumId w:val="26"/>
  </w:num>
  <w:num w:numId="16">
    <w:abstractNumId w:val="5"/>
  </w:num>
  <w:num w:numId="17">
    <w:abstractNumId w:val="25"/>
  </w:num>
  <w:num w:numId="18">
    <w:abstractNumId w:val="17"/>
  </w:num>
  <w:num w:numId="19">
    <w:abstractNumId w:val="27"/>
  </w:num>
  <w:num w:numId="20">
    <w:abstractNumId w:val="28"/>
  </w:num>
  <w:num w:numId="21">
    <w:abstractNumId w:val="4"/>
  </w:num>
  <w:num w:numId="22">
    <w:abstractNumId w:val="7"/>
  </w:num>
  <w:num w:numId="23">
    <w:abstractNumId w:val="11"/>
  </w:num>
  <w:num w:numId="24">
    <w:abstractNumId w:val="0"/>
  </w:num>
  <w:num w:numId="25">
    <w:abstractNumId w:val="24"/>
  </w:num>
  <w:num w:numId="26">
    <w:abstractNumId w:val="30"/>
  </w:num>
  <w:num w:numId="27">
    <w:abstractNumId w:val="2"/>
  </w:num>
  <w:num w:numId="28">
    <w:abstractNumId w:val="14"/>
  </w:num>
  <w:num w:numId="29">
    <w:abstractNumId w:val="10"/>
  </w:num>
  <w:num w:numId="30">
    <w:abstractNumId w:val="22"/>
  </w:num>
  <w:num w:numId="31">
    <w:abstractNumId w:val="3"/>
  </w:num>
  <w:num w:numId="32">
    <w:abstractNumId w:val="16"/>
  </w:num>
  <w:num w:numId="33">
    <w:abstractNumId w:val="29"/>
  </w:num>
  <w:num w:numId="34">
    <w:abstractNumId w:val="3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38"/>
    <w:rsid w:val="00001AE6"/>
    <w:rsid w:val="0000203C"/>
    <w:rsid w:val="000020BC"/>
    <w:rsid w:val="00003A36"/>
    <w:rsid w:val="00006E6B"/>
    <w:rsid w:val="00010D09"/>
    <w:rsid w:val="00013178"/>
    <w:rsid w:val="0001488B"/>
    <w:rsid w:val="00015DC3"/>
    <w:rsid w:val="00021075"/>
    <w:rsid w:val="000229B2"/>
    <w:rsid w:val="00022E2C"/>
    <w:rsid w:val="0002466B"/>
    <w:rsid w:val="00027928"/>
    <w:rsid w:val="00027FD6"/>
    <w:rsid w:val="00031F55"/>
    <w:rsid w:val="0003750E"/>
    <w:rsid w:val="0003779A"/>
    <w:rsid w:val="00037EFF"/>
    <w:rsid w:val="0004023F"/>
    <w:rsid w:val="000417DF"/>
    <w:rsid w:val="00042658"/>
    <w:rsid w:val="00044756"/>
    <w:rsid w:val="00044C61"/>
    <w:rsid w:val="00046D69"/>
    <w:rsid w:val="00050EB8"/>
    <w:rsid w:val="00053192"/>
    <w:rsid w:val="00053DEC"/>
    <w:rsid w:val="00053F3E"/>
    <w:rsid w:val="000569D4"/>
    <w:rsid w:val="00056E85"/>
    <w:rsid w:val="00061A7A"/>
    <w:rsid w:val="00062E44"/>
    <w:rsid w:val="00063711"/>
    <w:rsid w:val="00063DBE"/>
    <w:rsid w:val="000705F4"/>
    <w:rsid w:val="00070ECC"/>
    <w:rsid w:val="00082764"/>
    <w:rsid w:val="000833E5"/>
    <w:rsid w:val="000925BB"/>
    <w:rsid w:val="00092A72"/>
    <w:rsid w:val="000937B7"/>
    <w:rsid w:val="00095E98"/>
    <w:rsid w:val="00096D66"/>
    <w:rsid w:val="00096F79"/>
    <w:rsid w:val="0009727D"/>
    <w:rsid w:val="000A2878"/>
    <w:rsid w:val="000A3AB2"/>
    <w:rsid w:val="000A57B9"/>
    <w:rsid w:val="000B0BFE"/>
    <w:rsid w:val="000B2780"/>
    <w:rsid w:val="000B33A2"/>
    <w:rsid w:val="000C0170"/>
    <w:rsid w:val="000C1251"/>
    <w:rsid w:val="000C33CE"/>
    <w:rsid w:val="000C3A0A"/>
    <w:rsid w:val="000C44BD"/>
    <w:rsid w:val="000C4649"/>
    <w:rsid w:val="000C635E"/>
    <w:rsid w:val="000C7483"/>
    <w:rsid w:val="000C78FB"/>
    <w:rsid w:val="000D39A0"/>
    <w:rsid w:val="000D3B14"/>
    <w:rsid w:val="000D5F74"/>
    <w:rsid w:val="000D6E30"/>
    <w:rsid w:val="000D7AF2"/>
    <w:rsid w:val="000E0D42"/>
    <w:rsid w:val="000E18EA"/>
    <w:rsid w:val="000E244A"/>
    <w:rsid w:val="000E2A50"/>
    <w:rsid w:val="00101A17"/>
    <w:rsid w:val="001027DF"/>
    <w:rsid w:val="001103E7"/>
    <w:rsid w:val="00112D6B"/>
    <w:rsid w:val="0011434B"/>
    <w:rsid w:val="00116330"/>
    <w:rsid w:val="00116AD9"/>
    <w:rsid w:val="001175B2"/>
    <w:rsid w:val="00117C6C"/>
    <w:rsid w:val="001207E4"/>
    <w:rsid w:val="00124475"/>
    <w:rsid w:val="0012796A"/>
    <w:rsid w:val="00130AF9"/>
    <w:rsid w:val="001326E6"/>
    <w:rsid w:val="0013391E"/>
    <w:rsid w:val="00134386"/>
    <w:rsid w:val="00135F83"/>
    <w:rsid w:val="0014137A"/>
    <w:rsid w:val="00142853"/>
    <w:rsid w:val="001471C3"/>
    <w:rsid w:val="00154108"/>
    <w:rsid w:val="0015444F"/>
    <w:rsid w:val="001564A4"/>
    <w:rsid w:val="0016077E"/>
    <w:rsid w:val="00171865"/>
    <w:rsid w:val="0017391D"/>
    <w:rsid w:val="001816DD"/>
    <w:rsid w:val="0019216B"/>
    <w:rsid w:val="00192223"/>
    <w:rsid w:val="00196500"/>
    <w:rsid w:val="001A2957"/>
    <w:rsid w:val="001A4223"/>
    <w:rsid w:val="001A63DB"/>
    <w:rsid w:val="001A762F"/>
    <w:rsid w:val="001B3632"/>
    <w:rsid w:val="001C1EB9"/>
    <w:rsid w:val="001C67C8"/>
    <w:rsid w:val="001C6F1F"/>
    <w:rsid w:val="001D301F"/>
    <w:rsid w:val="001D407F"/>
    <w:rsid w:val="001D63B3"/>
    <w:rsid w:val="001E27C0"/>
    <w:rsid w:val="001E5B96"/>
    <w:rsid w:val="001F690B"/>
    <w:rsid w:val="00201C3C"/>
    <w:rsid w:val="00206DD8"/>
    <w:rsid w:val="00210BF6"/>
    <w:rsid w:val="002115A6"/>
    <w:rsid w:val="00215B53"/>
    <w:rsid w:val="00220767"/>
    <w:rsid w:val="00220926"/>
    <w:rsid w:val="00222A3B"/>
    <w:rsid w:val="00222C64"/>
    <w:rsid w:val="00222F77"/>
    <w:rsid w:val="0022327F"/>
    <w:rsid w:val="00226596"/>
    <w:rsid w:val="00227BEA"/>
    <w:rsid w:val="00230238"/>
    <w:rsid w:val="00230DED"/>
    <w:rsid w:val="00233370"/>
    <w:rsid w:val="00235F25"/>
    <w:rsid w:val="0023660B"/>
    <w:rsid w:val="00242690"/>
    <w:rsid w:val="00244457"/>
    <w:rsid w:val="00246B6C"/>
    <w:rsid w:val="00246C30"/>
    <w:rsid w:val="002523D2"/>
    <w:rsid w:val="002536A1"/>
    <w:rsid w:val="00253792"/>
    <w:rsid w:val="0025417F"/>
    <w:rsid w:val="002543DE"/>
    <w:rsid w:val="00256E95"/>
    <w:rsid w:val="00257A29"/>
    <w:rsid w:val="00260878"/>
    <w:rsid w:val="002612A5"/>
    <w:rsid w:val="00261517"/>
    <w:rsid w:val="00261DFC"/>
    <w:rsid w:val="00262862"/>
    <w:rsid w:val="0027108D"/>
    <w:rsid w:val="0027293C"/>
    <w:rsid w:val="002751C6"/>
    <w:rsid w:val="002765FF"/>
    <w:rsid w:val="0028135C"/>
    <w:rsid w:val="00281FFD"/>
    <w:rsid w:val="0028538B"/>
    <w:rsid w:val="00290523"/>
    <w:rsid w:val="002932E2"/>
    <w:rsid w:val="00294DB4"/>
    <w:rsid w:val="002971FF"/>
    <w:rsid w:val="00297B24"/>
    <w:rsid w:val="002A3D57"/>
    <w:rsid w:val="002A5507"/>
    <w:rsid w:val="002A5DA6"/>
    <w:rsid w:val="002A7924"/>
    <w:rsid w:val="002A7952"/>
    <w:rsid w:val="002A7DAF"/>
    <w:rsid w:val="002B09EF"/>
    <w:rsid w:val="002B1F52"/>
    <w:rsid w:val="002B2915"/>
    <w:rsid w:val="002B3A14"/>
    <w:rsid w:val="002B3F32"/>
    <w:rsid w:val="002B4A09"/>
    <w:rsid w:val="002C1BE9"/>
    <w:rsid w:val="002C42CC"/>
    <w:rsid w:val="002C7098"/>
    <w:rsid w:val="002C756D"/>
    <w:rsid w:val="002C7737"/>
    <w:rsid w:val="002C7844"/>
    <w:rsid w:val="002D11D9"/>
    <w:rsid w:val="002E22A6"/>
    <w:rsid w:val="002E724A"/>
    <w:rsid w:val="002F02A7"/>
    <w:rsid w:val="002F0DE8"/>
    <w:rsid w:val="002F4DE5"/>
    <w:rsid w:val="002F54B4"/>
    <w:rsid w:val="00302842"/>
    <w:rsid w:val="003037E3"/>
    <w:rsid w:val="0030527A"/>
    <w:rsid w:val="0030717F"/>
    <w:rsid w:val="00307FC7"/>
    <w:rsid w:val="003126BD"/>
    <w:rsid w:val="00313C70"/>
    <w:rsid w:val="00316544"/>
    <w:rsid w:val="003237B7"/>
    <w:rsid w:val="00323E04"/>
    <w:rsid w:val="00325212"/>
    <w:rsid w:val="003253DE"/>
    <w:rsid w:val="00325822"/>
    <w:rsid w:val="0033063A"/>
    <w:rsid w:val="00331FC1"/>
    <w:rsid w:val="003341A0"/>
    <w:rsid w:val="00337043"/>
    <w:rsid w:val="00337BAB"/>
    <w:rsid w:val="00341C21"/>
    <w:rsid w:val="00345955"/>
    <w:rsid w:val="00345C06"/>
    <w:rsid w:val="003503A4"/>
    <w:rsid w:val="003547D6"/>
    <w:rsid w:val="00354F6C"/>
    <w:rsid w:val="003551E5"/>
    <w:rsid w:val="00357C5F"/>
    <w:rsid w:val="0036196C"/>
    <w:rsid w:val="00362CEF"/>
    <w:rsid w:val="00363373"/>
    <w:rsid w:val="00363E34"/>
    <w:rsid w:val="003654B4"/>
    <w:rsid w:val="00367740"/>
    <w:rsid w:val="00367A0E"/>
    <w:rsid w:val="003703B0"/>
    <w:rsid w:val="00371BC0"/>
    <w:rsid w:val="00373768"/>
    <w:rsid w:val="0037484D"/>
    <w:rsid w:val="00377653"/>
    <w:rsid w:val="00380FF2"/>
    <w:rsid w:val="00381461"/>
    <w:rsid w:val="00384D4E"/>
    <w:rsid w:val="00386970"/>
    <w:rsid w:val="00386F61"/>
    <w:rsid w:val="00390626"/>
    <w:rsid w:val="00394F53"/>
    <w:rsid w:val="00394F68"/>
    <w:rsid w:val="00395694"/>
    <w:rsid w:val="00397A8E"/>
    <w:rsid w:val="003A3CA4"/>
    <w:rsid w:val="003A4702"/>
    <w:rsid w:val="003B0832"/>
    <w:rsid w:val="003B0D89"/>
    <w:rsid w:val="003B1016"/>
    <w:rsid w:val="003B26D6"/>
    <w:rsid w:val="003B4B84"/>
    <w:rsid w:val="003C05F4"/>
    <w:rsid w:val="003C3D37"/>
    <w:rsid w:val="003C4762"/>
    <w:rsid w:val="003D1A0C"/>
    <w:rsid w:val="003D2A71"/>
    <w:rsid w:val="003D6EFF"/>
    <w:rsid w:val="003D7207"/>
    <w:rsid w:val="003D721C"/>
    <w:rsid w:val="003D72D7"/>
    <w:rsid w:val="003E047E"/>
    <w:rsid w:val="003E0523"/>
    <w:rsid w:val="003E1158"/>
    <w:rsid w:val="003E3953"/>
    <w:rsid w:val="003E3C20"/>
    <w:rsid w:val="003E6502"/>
    <w:rsid w:val="003E72DC"/>
    <w:rsid w:val="003E7647"/>
    <w:rsid w:val="003F2D20"/>
    <w:rsid w:val="003F313F"/>
    <w:rsid w:val="003F4BF4"/>
    <w:rsid w:val="003F5743"/>
    <w:rsid w:val="003F78E5"/>
    <w:rsid w:val="004010D8"/>
    <w:rsid w:val="004017CA"/>
    <w:rsid w:val="00402624"/>
    <w:rsid w:val="004071AE"/>
    <w:rsid w:val="00410AB7"/>
    <w:rsid w:val="00412FD9"/>
    <w:rsid w:val="0041483D"/>
    <w:rsid w:val="00414F35"/>
    <w:rsid w:val="00415814"/>
    <w:rsid w:val="00417FC7"/>
    <w:rsid w:val="004266AD"/>
    <w:rsid w:val="0042768B"/>
    <w:rsid w:val="0043044A"/>
    <w:rsid w:val="00430BB7"/>
    <w:rsid w:val="00431F40"/>
    <w:rsid w:val="0043563D"/>
    <w:rsid w:val="00442E66"/>
    <w:rsid w:val="00447142"/>
    <w:rsid w:val="004478AC"/>
    <w:rsid w:val="00447F28"/>
    <w:rsid w:val="00453B57"/>
    <w:rsid w:val="00454C37"/>
    <w:rsid w:val="004553BC"/>
    <w:rsid w:val="00455609"/>
    <w:rsid w:val="00455C6D"/>
    <w:rsid w:val="004569D0"/>
    <w:rsid w:val="004606B0"/>
    <w:rsid w:val="0046110A"/>
    <w:rsid w:val="00461C07"/>
    <w:rsid w:val="00463E82"/>
    <w:rsid w:val="00464FDA"/>
    <w:rsid w:val="0046671A"/>
    <w:rsid w:val="00466CE9"/>
    <w:rsid w:val="00472FFF"/>
    <w:rsid w:val="00473340"/>
    <w:rsid w:val="0047420F"/>
    <w:rsid w:val="00474643"/>
    <w:rsid w:val="004765D9"/>
    <w:rsid w:val="004809E7"/>
    <w:rsid w:val="00482481"/>
    <w:rsid w:val="004864BD"/>
    <w:rsid w:val="004879C3"/>
    <w:rsid w:val="004907D4"/>
    <w:rsid w:val="00491636"/>
    <w:rsid w:val="004975F1"/>
    <w:rsid w:val="004A1CA7"/>
    <w:rsid w:val="004A331A"/>
    <w:rsid w:val="004A3D2E"/>
    <w:rsid w:val="004A401D"/>
    <w:rsid w:val="004B3DE2"/>
    <w:rsid w:val="004B6BF7"/>
    <w:rsid w:val="004C203A"/>
    <w:rsid w:val="004C26D5"/>
    <w:rsid w:val="004C2C37"/>
    <w:rsid w:val="004C2FDE"/>
    <w:rsid w:val="004C366B"/>
    <w:rsid w:val="004C4437"/>
    <w:rsid w:val="004C4636"/>
    <w:rsid w:val="004C71D8"/>
    <w:rsid w:val="004D0A88"/>
    <w:rsid w:val="004D6008"/>
    <w:rsid w:val="004D631A"/>
    <w:rsid w:val="004E5D0F"/>
    <w:rsid w:val="004E6478"/>
    <w:rsid w:val="004E668D"/>
    <w:rsid w:val="004E6BF1"/>
    <w:rsid w:val="004F04D9"/>
    <w:rsid w:val="004F14C8"/>
    <w:rsid w:val="004F36D0"/>
    <w:rsid w:val="004F4193"/>
    <w:rsid w:val="004F5EF2"/>
    <w:rsid w:val="004F6E81"/>
    <w:rsid w:val="00503FDB"/>
    <w:rsid w:val="00504288"/>
    <w:rsid w:val="005108F0"/>
    <w:rsid w:val="0051396A"/>
    <w:rsid w:val="005164BF"/>
    <w:rsid w:val="0052153F"/>
    <w:rsid w:val="0052529C"/>
    <w:rsid w:val="0052713F"/>
    <w:rsid w:val="00530B95"/>
    <w:rsid w:val="00530F3A"/>
    <w:rsid w:val="00530FED"/>
    <w:rsid w:val="00532748"/>
    <w:rsid w:val="0053366E"/>
    <w:rsid w:val="00535FAA"/>
    <w:rsid w:val="00536D5A"/>
    <w:rsid w:val="00537CF0"/>
    <w:rsid w:val="00543E79"/>
    <w:rsid w:val="005448E4"/>
    <w:rsid w:val="00544DAE"/>
    <w:rsid w:val="00552482"/>
    <w:rsid w:val="0055482D"/>
    <w:rsid w:val="00555E9E"/>
    <w:rsid w:val="0055794F"/>
    <w:rsid w:val="00564678"/>
    <w:rsid w:val="0056685C"/>
    <w:rsid w:val="00567B7D"/>
    <w:rsid w:val="00570789"/>
    <w:rsid w:val="005735DD"/>
    <w:rsid w:val="005738F9"/>
    <w:rsid w:val="00574690"/>
    <w:rsid w:val="005823E8"/>
    <w:rsid w:val="00585DCC"/>
    <w:rsid w:val="0059001D"/>
    <w:rsid w:val="00591744"/>
    <w:rsid w:val="005930AC"/>
    <w:rsid w:val="005935D1"/>
    <w:rsid w:val="00594147"/>
    <w:rsid w:val="00596260"/>
    <w:rsid w:val="005A14BE"/>
    <w:rsid w:val="005A203A"/>
    <w:rsid w:val="005A20A5"/>
    <w:rsid w:val="005A369E"/>
    <w:rsid w:val="005A36C5"/>
    <w:rsid w:val="005A407B"/>
    <w:rsid w:val="005A45EC"/>
    <w:rsid w:val="005A7CC8"/>
    <w:rsid w:val="005B4E5F"/>
    <w:rsid w:val="005B562B"/>
    <w:rsid w:val="005C2D2A"/>
    <w:rsid w:val="005C362D"/>
    <w:rsid w:val="005C5C6B"/>
    <w:rsid w:val="005C6C1D"/>
    <w:rsid w:val="005D239E"/>
    <w:rsid w:val="005D2E3A"/>
    <w:rsid w:val="005D3201"/>
    <w:rsid w:val="005D40B4"/>
    <w:rsid w:val="005D4828"/>
    <w:rsid w:val="005D48BF"/>
    <w:rsid w:val="005E5911"/>
    <w:rsid w:val="005E72E9"/>
    <w:rsid w:val="005F189C"/>
    <w:rsid w:val="005F198F"/>
    <w:rsid w:val="005F484A"/>
    <w:rsid w:val="005F6146"/>
    <w:rsid w:val="005F654D"/>
    <w:rsid w:val="006050AD"/>
    <w:rsid w:val="00612D04"/>
    <w:rsid w:val="00614BF1"/>
    <w:rsid w:val="006164DC"/>
    <w:rsid w:val="006174CF"/>
    <w:rsid w:val="00622CC8"/>
    <w:rsid w:val="00622D48"/>
    <w:rsid w:val="00625347"/>
    <w:rsid w:val="0063229B"/>
    <w:rsid w:val="00636AAB"/>
    <w:rsid w:val="0064114E"/>
    <w:rsid w:val="00643211"/>
    <w:rsid w:val="00650771"/>
    <w:rsid w:val="00650F8E"/>
    <w:rsid w:val="00650FB9"/>
    <w:rsid w:val="006517A4"/>
    <w:rsid w:val="0066287C"/>
    <w:rsid w:val="00662C30"/>
    <w:rsid w:val="006631A2"/>
    <w:rsid w:val="00663F2D"/>
    <w:rsid w:val="006644F2"/>
    <w:rsid w:val="006648D4"/>
    <w:rsid w:val="00665865"/>
    <w:rsid w:val="0067296E"/>
    <w:rsid w:val="00673D45"/>
    <w:rsid w:val="0067555F"/>
    <w:rsid w:val="006837BC"/>
    <w:rsid w:val="006869DA"/>
    <w:rsid w:val="00686F9E"/>
    <w:rsid w:val="00690AB9"/>
    <w:rsid w:val="00694293"/>
    <w:rsid w:val="0069456C"/>
    <w:rsid w:val="006B0E18"/>
    <w:rsid w:val="006B1C0B"/>
    <w:rsid w:val="006B2609"/>
    <w:rsid w:val="006B36FE"/>
    <w:rsid w:val="006B39DD"/>
    <w:rsid w:val="006C7525"/>
    <w:rsid w:val="006C7B8C"/>
    <w:rsid w:val="006D2EB8"/>
    <w:rsid w:val="006D4BDE"/>
    <w:rsid w:val="006D7F89"/>
    <w:rsid w:val="006E2578"/>
    <w:rsid w:val="006E3667"/>
    <w:rsid w:val="006E36AD"/>
    <w:rsid w:val="006E51AD"/>
    <w:rsid w:val="006E5404"/>
    <w:rsid w:val="006E6122"/>
    <w:rsid w:val="006E7496"/>
    <w:rsid w:val="006F34B3"/>
    <w:rsid w:val="006F3872"/>
    <w:rsid w:val="006F4491"/>
    <w:rsid w:val="006F62B6"/>
    <w:rsid w:val="006F79EC"/>
    <w:rsid w:val="006F7A18"/>
    <w:rsid w:val="006F7FB8"/>
    <w:rsid w:val="00700C3F"/>
    <w:rsid w:val="00702059"/>
    <w:rsid w:val="0070281F"/>
    <w:rsid w:val="0070401B"/>
    <w:rsid w:val="00711C2C"/>
    <w:rsid w:val="00713727"/>
    <w:rsid w:val="0071462D"/>
    <w:rsid w:val="00715BED"/>
    <w:rsid w:val="00717A24"/>
    <w:rsid w:val="00721A31"/>
    <w:rsid w:val="00722EA3"/>
    <w:rsid w:val="00724945"/>
    <w:rsid w:val="007301A5"/>
    <w:rsid w:val="00732621"/>
    <w:rsid w:val="0073378B"/>
    <w:rsid w:val="00733E65"/>
    <w:rsid w:val="0073777F"/>
    <w:rsid w:val="00745212"/>
    <w:rsid w:val="007530AC"/>
    <w:rsid w:val="007542D0"/>
    <w:rsid w:val="00755851"/>
    <w:rsid w:val="00762123"/>
    <w:rsid w:val="0076342D"/>
    <w:rsid w:val="00764FDD"/>
    <w:rsid w:val="007668E2"/>
    <w:rsid w:val="00767BD0"/>
    <w:rsid w:val="00770CC0"/>
    <w:rsid w:val="0077129D"/>
    <w:rsid w:val="00772614"/>
    <w:rsid w:val="007804C3"/>
    <w:rsid w:val="00783A8A"/>
    <w:rsid w:val="00785338"/>
    <w:rsid w:val="00785B80"/>
    <w:rsid w:val="00787136"/>
    <w:rsid w:val="00791E76"/>
    <w:rsid w:val="00794F74"/>
    <w:rsid w:val="007950A5"/>
    <w:rsid w:val="0079543B"/>
    <w:rsid w:val="00795AF6"/>
    <w:rsid w:val="007969BB"/>
    <w:rsid w:val="007A08CC"/>
    <w:rsid w:val="007A1E94"/>
    <w:rsid w:val="007A30CA"/>
    <w:rsid w:val="007A6D81"/>
    <w:rsid w:val="007B094A"/>
    <w:rsid w:val="007B1E00"/>
    <w:rsid w:val="007B430D"/>
    <w:rsid w:val="007B5E45"/>
    <w:rsid w:val="007B730D"/>
    <w:rsid w:val="007B7611"/>
    <w:rsid w:val="007C3209"/>
    <w:rsid w:val="007C34BA"/>
    <w:rsid w:val="007C3DE7"/>
    <w:rsid w:val="007C472C"/>
    <w:rsid w:val="007D1270"/>
    <w:rsid w:val="007D40A2"/>
    <w:rsid w:val="007D78C0"/>
    <w:rsid w:val="007E01B8"/>
    <w:rsid w:val="007E16E7"/>
    <w:rsid w:val="007E6D79"/>
    <w:rsid w:val="007F149C"/>
    <w:rsid w:val="007F1CBD"/>
    <w:rsid w:val="007F5B59"/>
    <w:rsid w:val="007F64CC"/>
    <w:rsid w:val="007F64EB"/>
    <w:rsid w:val="00801FA1"/>
    <w:rsid w:val="00813013"/>
    <w:rsid w:val="0081325D"/>
    <w:rsid w:val="00820ED9"/>
    <w:rsid w:val="00821086"/>
    <w:rsid w:val="00827CEE"/>
    <w:rsid w:val="00830AC6"/>
    <w:rsid w:val="008378A1"/>
    <w:rsid w:val="00841CFA"/>
    <w:rsid w:val="00842F43"/>
    <w:rsid w:val="008443BD"/>
    <w:rsid w:val="00845229"/>
    <w:rsid w:val="00852AE0"/>
    <w:rsid w:val="00855584"/>
    <w:rsid w:val="00863834"/>
    <w:rsid w:val="00865FB9"/>
    <w:rsid w:val="00870AC7"/>
    <w:rsid w:val="008738B6"/>
    <w:rsid w:val="00874874"/>
    <w:rsid w:val="008757E6"/>
    <w:rsid w:val="00877C26"/>
    <w:rsid w:val="00884F23"/>
    <w:rsid w:val="00886F38"/>
    <w:rsid w:val="008872E3"/>
    <w:rsid w:val="008903CA"/>
    <w:rsid w:val="00890719"/>
    <w:rsid w:val="00893A34"/>
    <w:rsid w:val="008A1192"/>
    <w:rsid w:val="008A1256"/>
    <w:rsid w:val="008A1CEE"/>
    <w:rsid w:val="008A5BA6"/>
    <w:rsid w:val="008A7693"/>
    <w:rsid w:val="008B2216"/>
    <w:rsid w:val="008B25B5"/>
    <w:rsid w:val="008B2CAE"/>
    <w:rsid w:val="008B5604"/>
    <w:rsid w:val="008B5B3E"/>
    <w:rsid w:val="008B64E9"/>
    <w:rsid w:val="008B6FA1"/>
    <w:rsid w:val="008C026C"/>
    <w:rsid w:val="008C36C6"/>
    <w:rsid w:val="008C42D5"/>
    <w:rsid w:val="008C42ED"/>
    <w:rsid w:val="008C5347"/>
    <w:rsid w:val="008D121C"/>
    <w:rsid w:val="008D2864"/>
    <w:rsid w:val="008E03E4"/>
    <w:rsid w:val="008E5FF2"/>
    <w:rsid w:val="008E651B"/>
    <w:rsid w:val="008F01F8"/>
    <w:rsid w:val="008F231B"/>
    <w:rsid w:val="008F3055"/>
    <w:rsid w:val="008F3DB1"/>
    <w:rsid w:val="009020E9"/>
    <w:rsid w:val="009045B1"/>
    <w:rsid w:val="009077D9"/>
    <w:rsid w:val="00912FAC"/>
    <w:rsid w:val="0091392B"/>
    <w:rsid w:val="00914E30"/>
    <w:rsid w:val="00914F9E"/>
    <w:rsid w:val="009164B9"/>
    <w:rsid w:val="00917E4A"/>
    <w:rsid w:val="009245F7"/>
    <w:rsid w:val="00925254"/>
    <w:rsid w:val="00925865"/>
    <w:rsid w:val="00927284"/>
    <w:rsid w:val="00927EF7"/>
    <w:rsid w:val="0093012B"/>
    <w:rsid w:val="00932E94"/>
    <w:rsid w:val="0093358F"/>
    <w:rsid w:val="0093394F"/>
    <w:rsid w:val="009354D2"/>
    <w:rsid w:val="009428F6"/>
    <w:rsid w:val="00944577"/>
    <w:rsid w:val="00947BD7"/>
    <w:rsid w:val="00952848"/>
    <w:rsid w:val="00957242"/>
    <w:rsid w:val="009603DD"/>
    <w:rsid w:val="00967234"/>
    <w:rsid w:val="0096742E"/>
    <w:rsid w:val="00971534"/>
    <w:rsid w:val="00971A90"/>
    <w:rsid w:val="009736FB"/>
    <w:rsid w:val="00974278"/>
    <w:rsid w:val="00980E01"/>
    <w:rsid w:val="00982688"/>
    <w:rsid w:val="009839DE"/>
    <w:rsid w:val="00984114"/>
    <w:rsid w:val="009861C8"/>
    <w:rsid w:val="009875A2"/>
    <w:rsid w:val="00991C6B"/>
    <w:rsid w:val="009937DD"/>
    <w:rsid w:val="0099777C"/>
    <w:rsid w:val="009A1FC6"/>
    <w:rsid w:val="009A29AB"/>
    <w:rsid w:val="009A2A54"/>
    <w:rsid w:val="009A337D"/>
    <w:rsid w:val="009A5619"/>
    <w:rsid w:val="009A7F75"/>
    <w:rsid w:val="009B0FB1"/>
    <w:rsid w:val="009B2723"/>
    <w:rsid w:val="009B407F"/>
    <w:rsid w:val="009B5883"/>
    <w:rsid w:val="009B717C"/>
    <w:rsid w:val="009B72CE"/>
    <w:rsid w:val="009B7B47"/>
    <w:rsid w:val="009C1FF8"/>
    <w:rsid w:val="009C28A7"/>
    <w:rsid w:val="009C4FC1"/>
    <w:rsid w:val="009C5E24"/>
    <w:rsid w:val="009C7C95"/>
    <w:rsid w:val="009D1BD4"/>
    <w:rsid w:val="009D4DC6"/>
    <w:rsid w:val="009D5978"/>
    <w:rsid w:val="009D6A34"/>
    <w:rsid w:val="009E288E"/>
    <w:rsid w:val="009E2FF8"/>
    <w:rsid w:val="009E430B"/>
    <w:rsid w:val="009E6A9F"/>
    <w:rsid w:val="009E6ACB"/>
    <w:rsid w:val="009F0047"/>
    <w:rsid w:val="009F3233"/>
    <w:rsid w:val="009F3B59"/>
    <w:rsid w:val="009F51DC"/>
    <w:rsid w:val="009F5854"/>
    <w:rsid w:val="009F6454"/>
    <w:rsid w:val="009F798B"/>
    <w:rsid w:val="00A0174D"/>
    <w:rsid w:val="00A10FD0"/>
    <w:rsid w:val="00A2061C"/>
    <w:rsid w:val="00A21E99"/>
    <w:rsid w:val="00A23848"/>
    <w:rsid w:val="00A25EA2"/>
    <w:rsid w:val="00A27771"/>
    <w:rsid w:val="00A310A4"/>
    <w:rsid w:val="00A32A17"/>
    <w:rsid w:val="00A36101"/>
    <w:rsid w:val="00A41936"/>
    <w:rsid w:val="00A41DAB"/>
    <w:rsid w:val="00A42090"/>
    <w:rsid w:val="00A446BB"/>
    <w:rsid w:val="00A46100"/>
    <w:rsid w:val="00A468DB"/>
    <w:rsid w:val="00A5289D"/>
    <w:rsid w:val="00A53B40"/>
    <w:rsid w:val="00A602E2"/>
    <w:rsid w:val="00A613AC"/>
    <w:rsid w:val="00A7028F"/>
    <w:rsid w:val="00A70B5A"/>
    <w:rsid w:val="00A71385"/>
    <w:rsid w:val="00A719A1"/>
    <w:rsid w:val="00A745EE"/>
    <w:rsid w:val="00A75AD5"/>
    <w:rsid w:val="00A767BE"/>
    <w:rsid w:val="00A76A83"/>
    <w:rsid w:val="00A77670"/>
    <w:rsid w:val="00A82090"/>
    <w:rsid w:val="00A83B7A"/>
    <w:rsid w:val="00A84A00"/>
    <w:rsid w:val="00A8623D"/>
    <w:rsid w:val="00A9119B"/>
    <w:rsid w:val="00A9691C"/>
    <w:rsid w:val="00A96E4A"/>
    <w:rsid w:val="00AA125A"/>
    <w:rsid w:val="00AA6676"/>
    <w:rsid w:val="00AB2E61"/>
    <w:rsid w:val="00AB7F91"/>
    <w:rsid w:val="00AC0125"/>
    <w:rsid w:val="00AC1F16"/>
    <w:rsid w:val="00AC21F7"/>
    <w:rsid w:val="00AC3A0E"/>
    <w:rsid w:val="00AD33A3"/>
    <w:rsid w:val="00AD5FB5"/>
    <w:rsid w:val="00AD7B4C"/>
    <w:rsid w:val="00AE2E28"/>
    <w:rsid w:val="00AE6F4A"/>
    <w:rsid w:val="00AF01A2"/>
    <w:rsid w:val="00AF03A1"/>
    <w:rsid w:val="00AF180D"/>
    <w:rsid w:val="00AF308D"/>
    <w:rsid w:val="00B018F5"/>
    <w:rsid w:val="00B01A02"/>
    <w:rsid w:val="00B0662C"/>
    <w:rsid w:val="00B100B5"/>
    <w:rsid w:val="00B156BB"/>
    <w:rsid w:val="00B17347"/>
    <w:rsid w:val="00B207DA"/>
    <w:rsid w:val="00B2312E"/>
    <w:rsid w:val="00B30D21"/>
    <w:rsid w:val="00B30FDF"/>
    <w:rsid w:val="00B36828"/>
    <w:rsid w:val="00B50E4A"/>
    <w:rsid w:val="00B50F0F"/>
    <w:rsid w:val="00B51E9B"/>
    <w:rsid w:val="00B51FB9"/>
    <w:rsid w:val="00B5217D"/>
    <w:rsid w:val="00B53857"/>
    <w:rsid w:val="00B542B6"/>
    <w:rsid w:val="00B67F31"/>
    <w:rsid w:val="00B70C39"/>
    <w:rsid w:val="00B7159E"/>
    <w:rsid w:val="00B71D6F"/>
    <w:rsid w:val="00B72C04"/>
    <w:rsid w:val="00B763EF"/>
    <w:rsid w:val="00B76BB5"/>
    <w:rsid w:val="00B82AF5"/>
    <w:rsid w:val="00B830C9"/>
    <w:rsid w:val="00B900DE"/>
    <w:rsid w:val="00B94B6A"/>
    <w:rsid w:val="00B95AA7"/>
    <w:rsid w:val="00B97111"/>
    <w:rsid w:val="00BA3D8D"/>
    <w:rsid w:val="00BA790B"/>
    <w:rsid w:val="00BB0545"/>
    <w:rsid w:val="00BB24B5"/>
    <w:rsid w:val="00BB2C25"/>
    <w:rsid w:val="00BB7A5B"/>
    <w:rsid w:val="00BC251A"/>
    <w:rsid w:val="00BC2CDA"/>
    <w:rsid w:val="00BC31BD"/>
    <w:rsid w:val="00BC4B90"/>
    <w:rsid w:val="00BC6C11"/>
    <w:rsid w:val="00BD17C4"/>
    <w:rsid w:val="00BD21C2"/>
    <w:rsid w:val="00BD2F07"/>
    <w:rsid w:val="00BD3E53"/>
    <w:rsid w:val="00BD5F4D"/>
    <w:rsid w:val="00BE20BC"/>
    <w:rsid w:val="00BE4A31"/>
    <w:rsid w:val="00BE69DB"/>
    <w:rsid w:val="00BE7CE6"/>
    <w:rsid w:val="00BF5413"/>
    <w:rsid w:val="00BF5C11"/>
    <w:rsid w:val="00BF6832"/>
    <w:rsid w:val="00C02072"/>
    <w:rsid w:val="00C03C43"/>
    <w:rsid w:val="00C05C8C"/>
    <w:rsid w:val="00C07070"/>
    <w:rsid w:val="00C10194"/>
    <w:rsid w:val="00C12F9A"/>
    <w:rsid w:val="00C14718"/>
    <w:rsid w:val="00C1531D"/>
    <w:rsid w:val="00C27D0E"/>
    <w:rsid w:val="00C30C7C"/>
    <w:rsid w:val="00C30D30"/>
    <w:rsid w:val="00C33F5B"/>
    <w:rsid w:val="00C40270"/>
    <w:rsid w:val="00C40336"/>
    <w:rsid w:val="00C435B5"/>
    <w:rsid w:val="00C446E4"/>
    <w:rsid w:val="00C52117"/>
    <w:rsid w:val="00C55167"/>
    <w:rsid w:val="00C606F1"/>
    <w:rsid w:val="00C63B80"/>
    <w:rsid w:val="00C64F8D"/>
    <w:rsid w:val="00C702E2"/>
    <w:rsid w:val="00C71642"/>
    <w:rsid w:val="00C805CD"/>
    <w:rsid w:val="00C8178A"/>
    <w:rsid w:val="00C85414"/>
    <w:rsid w:val="00C90469"/>
    <w:rsid w:val="00C90811"/>
    <w:rsid w:val="00C9296C"/>
    <w:rsid w:val="00C94D78"/>
    <w:rsid w:val="00C95777"/>
    <w:rsid w:val="00C976E8"/>
    <w:rsid w:val="00CA3549"/>
    <w:rsid w:val="00CA42E0"/>
    <w:rsid w:val="00CA43A8"/>
    <w:rsid w:val="00CA48AE"/>
    <w:rsid w:val="00CA4E21"/>
    <w:rsid w:val="00CA68D5"/>
    <w:rsid w:val="00CA6B8A"/>
    <w:rsid w:val="00CB3871"/>
    <w:rsid w:val="00CB39D3"/>
    <w:rsid w:val="00CB59C8"/>
    <w:rsid w:val="00CC2BEE"/>
    <w:rsid w:val="00CC446D"/>
    <w:rsid w:val="00CC5972"/>
    <w:rsid w:val="00CC6820"/>
    <w:rsid w:val="00CC7398"/>
    <w:rsid w:val="00CD3D0C"/>
    <w:rsid w:val="00CD4D72"/>
    <w:rsid w:val="00CD5098"/>
    <w:rsid w:val="00CD692D"/>
    <w:rsid w:val="00CD72E0"/>
    <w:rsid w:val="00CE1A03"/>
    <w:rsid w:val="00CE4F2A"/>
    <w:rsid w:val="00CE6E2E"/>
    <w:rsid w:val="00CE761F"/>
    <w:rsid w:val="00CF3CED"/>
    <w:rsid w:val="00CF4065"/>
    <w:rsid w:val="00CF59F0"/>
    <w:rsid w:val="00CF5B6D"/>
    <w:rsid w:val="00D01FA3"/>
    <w:rsid w:val="00D06596"/>
    <w:rsid w:val="00D06ABB"/>
    <w:rsid w:val="00D07974"/>
    <w:rsid w:val="00D07BDB"/>
    <w:rsid w:val="00D14F16"/>
    <w:rsid w:val="00D1747A"/>
    <w:rsid w:val="00D203AC"/>
    <w:rsid w:val="00D208F1"/>
    <w:rsid w:val="00D2664D"/>
    <w:rsid w:val="00D268CC"/>
    <w:rsid w:val="00D30B9C"/>
    <w:rsid w:val="00D3330B"/>
    <w:rsid w:val="00D412BC"/>
    <w:rsid w:val="00D4138C"/>
    <w:rsid w:val="00D44A98"/>
    <w:rsid w:val="00D46720"/>
    <w:rsid w:val="00D47BB9"/>
    <w:rsid w:val="00D529A8"/>
    <w:rsid w:val="00D54119"/>
    <w:rsid w:val="00D54E7C"/>
    <w:rsid w:val="00D54F81"/>
    <w:rsid w:val="00D551FD"/>
    <w:rsid w:val="00D56CA5"/>
    <w:rsid w:val="00D608CA"/>
    <w:rsid w:val="00D60C7D"/>
    <w:rsid w:val="00D639E1"/>
    <w:rsid w:val="00D641B5"/>
    <w:rsid w:val="00D72D7C"/>
    <w:rsid w:val="00D75504"/>
    <w:rsid w:val="00D75832"/>
    <w:rsid w:val="00D80307"/>
    <w:rsid w:val="00D807EA"/>
    <w:rsid w:val="00D8319D"/>
    <w:rsid w:val="00D83CF7"/>
    <w:rsid w:val="00D84844"/>
    <w:rsid w:val="00D916DC"/>
    <w:rsid w:val="00D947A6"/>
    <w:rsid w:val="00D97B44"/>
    <w:rsid w:val="00D97CEA"/>
    <w:rsid w:val="00D97EA3"/>
    <w:rsid w:val="00DA0AC6"/>
    <w:rsid w:val="00DA3234"/>
    <w:rsid w:val="00DA3D21"/>
    <w:rsid w:val="00DA5182"/>
    <w:rsid w:val="00DA51E5"/>
    <w:rsid w:val="00DA5BD5"/>
    <w:rsid w:val="00DA744A"/>
    <w:rsid w:val="00DB00E7"/>
    <w:rsid w:val="00DB48AD"/>
    <w:rsid w:val="00DB490E"/>
    <w:rsid w:val="00DB5C15"/>
    <w:rsid w:val="00DB697B"/>
    <w:rsid w:val="00DB729E"/>
    <w:rsid w:val="00DC2C14"/>
    <w:rsid w:val="00DC3604"/>
    <w:rsid w:val="00DC459F"/>
    <w:rsid w:val="00DC511E"/>
    <w:rsid w:val="00DC5250"/>
    <w:rsid w:val="00DC75B9"/>
    <w:rsid w:val="00DD216E"/>
    <w:rsid w:val="00DD3952"/>
    <w:rsid w:val="00DD4DAF"/>
    <w:rsid w:val="00DD5B94"/>
    <w:rsid w:val="00DD6DE9"/>
    <w:rsid w:val="00DE053C"/>
    <w:rsid w:val="00DE1105"/>
    <w:rsid w:val="00DE1C4F"/>
    <w:rsid w:val="00DE40C5"/>
    <w:rsid w:val="00DE4145"/>
    <w:rsid w:val="00DE65E4"/>
    <w:rsid w:val="00DE7E8A"/>
    <w:rsid w:val="00DF17B7"/>
    <w:rsid w:val="00DF2522"/>
    <w:rsid w:val="00DF2C99"/>
    <w:rsid w:val="00DF41BD"/>
    <w:rsid w:val="00DF4693"/>
    <w:rsid w:val="00DF5455"/>
    <w:rsid w:val="00DF5AAB"/>
    <w:rsid w:val="00DF7C93"/>
    <w:rsid w:val="00E00C2D"/>
    <w:rsid w:val="00E035C1"/>
    <w:rsid w:val="00E03C90"/>
    <w:rsid w:val="00E0496A"/>
    <w:rsid w:val="00E163F4"/>
    <w:rsid w:val="00E17686"/>
    <w:rsid w:val="00E211C6"/>
    <w:rsid w:val="00E22B1B"/>
    <w:rsid w:val="00E22F14"/>
    <w:rsid w:val="00E2394C"/>
    <w:rsid w:val="00E24A61"/>
    <w:rsid w:val="00E26A9A"/>
    <w:rsid w:val="00E279AD"/>
    <w:rsid w:val="00E300C6"/>
    <w:rsid w:val="00E33618"/>
    <w:rsid w:val="00E4164C"/>
    <w:rsid w:val="00E43514"/>
    <w:rsid w:val="00E4440F"/>
    <w:rsid w:val="00E462BC"/>
    <w:rsid w:val="00E51B72"/>
    <w:rsid w:val="00E52DAB"/>
    <w:rsid w:val="00E56B06"/>
    <w:rsid w:val="00E57C15"/>
    <w:rsid w:val="00E61447"/>
    <w:rsid w:val="00E64103"/>
    <w:rsid w:val="00E64537"/>
    <w:rsid w:val="00E649BB"/>
    <w:rsid w:val="00E64A38"/>
    <w:rsid w:val="00E6597B"/>
    <w:rsid w:val="00E71174"/>
    <w:rsid w:val="00E718AB"/>
    <w:rsid w:val="00E7281F"/>
    <w:rsid w:val="00E72E7C"/>
    <w:rsid w:val="00E73061"/>
    <w:rsid w:val="00E77D81"/>
    <w:rsid w:val="00E8039B"/>
    <w:rsid w:val="00E83957"/>
    <w:rsid w:val="00E83CF8"/>
    <w:rsid w:val="00E848B1"/>
    <w:rsid w:val="00E8683E"/>
    <w:rsid w:val="00E921F6"/>
    <w:rsid w:val="00E940A4"/>
    <w:rsid w:val="00E942AD"/>
    <w:rsid w:val="00E97586"/>
    <w:rsid w:val="00E97DA4"/>
    <w:rsid w:val="00EA0289"/>
    <w:rsid w:val="00EA2F9B"/>
    <w:rsid w:val="00EA4573"/>
    <w:rsid w:val="00EB065B"/>
    <w:rsid w:val="00EB3CDC"/>
    <w:rsid w:val="00EB68EE"/>
    <w:rsid w:val="00EC45B6"/>
    <w:rsid w:val="00EC4B76"/>
    <w:rsid w:val="00ED4806"/>
    <w:rsid w:val="00ED4BA9"/>
    <w:rsid w:val="00EE66B9"/>
    <w:rsid w:val="00EE77FC"/>
    <w:rsid w:val="00EF0C89"/>
    <w:rsid w:val="00EF18BF"/>
    <w:rsid w:val="00EF1F7E"/>
    <w:rsid w:val="00EF28F6"/>
    <w:rsid w:val="00EF3E78"/>
    <w:rsid w:val="00EF45AA"/>
    <w:rsid w:val="00EF4A31"/>
    <w:rsid w:val="00EF5184"/>
    <w:rsid w:val="00EF539A"/>
    <w:rsid w:val="00EF5592"/>
    <w:rsid w:val="00EF655F"/>
    <w:rsid w:val="00EF73E2"/>
    <w:rsid w:val="00F026E4"/>
    <w:rsid w:val="00F03C94"/>
    <w:rsid w:val="00F04CAC"/>
    <w:rsid w:val="00F06696"/>
    <w:rsid w:val="00F0721E"/>
    <w:rsid w:val="00F10657"/>
    <w:rsid w:val="00F11399"/>
    <w:rsid w:val="00F113B8"/>
    <w:rsid w:val="00F12AE8"/>
    <w:rsid w:val="00F1628C"/>
    <w:rsid w:val="00F168CF"/>
    <w:rsid w:val="00F174D0"/>
    <w:rsid w:val="00F22130"/>
    <w:rsid w:val="00F22684"/>
    <w:rsid w:val="00F24060"/>
    <w:rsid w:val="00F246FB"/>
    <w:rsid w:val="00F2508D"/>
    <w:rsid w:val="00F258C3"/>
    <w:rsid w:val="00F27C04"/>
    <w:rsid w:val="00F302D9"/>
    <w:rsid w:val="00F33CD6"/>
    <w:rsid w:val="00F36BC2"/>
    <w:rsid w:val="00F370F8"/>
    <w:rsid w:val="00F37F0E"/>
    <w:rsid w:val="00F42AE9"/>
    <w:rsid w:val="00F50F7B"/>
    <w:rsid w:val="00F53E8A"/>
    <w:rsid w:val="00F5527D"/>
    <w:rsid w:val="00F56171"/>
    <w:rsid w:val="00F61E15"/>
    <w:rsid w:val="00F626AE"/>
    <w:rsid w:val="00F6406A"/>
    <w:rsid w:val="00F645DF"/>
    <w:rsid w:val="00F668A5"/>
    <w:rsid w:val="00F6731C"/>
    <w:rsid w:val="00F72518"/>
    <w:rsid w:val="00F73AA2"/>
    <w:rsid w:val="00F74121"/>
    <w:rsid w:val="00F76509"/>
    <w:rsid w:val="00F81CCF"/>
    <w:rsid w:val="00F824CA"/>
    <w:rsid w:val="00F82783"/>
    <w:rsid w:val="00F831B9"/>
    <w:rsid w:val="00F853CE"/>
    <w:rsid w:val="00F86A7B"/>
    <w:rsid w:val="00F87548"/>
    <w:rsid w:val="00F95B7D"/>
    <w:rsid w:val="00F95D13"/>
    <w:rsid w:val="00F97C85"/>
    <w:rsid w:val="00FA0F69"/>
    <w:rsid w:val="00FB249B"/>
    <w:rsid w:val="00FB2FB1"/>
    <w:rsid w:val="00FB3485"/>
    <w:rsid w:val="00FB4511"/>
    <w:rsid w:val="00FB5039"/>
    <w:rsid w:val="00FB7315"/>
    <w:rsid w:val="00FC0709"/>
    <w:rsid w:val="00FC0B7F"/>
    <w:rsid w:val="00FC2C56"/>
    <w:rsid w:val="00FD7F51"/>
    <w:rsid w:val="00FE189D"/>
    <w:rsid w:val="00FE1C19"/>
    <w:rsid w:val="00FE4E3B"/>
    <w:rsid w:val="00FF6781"/>
    <w:rsid w:val="00FF7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2EFB3"/>
  <w15:chartTrackingRefBased/>
  <w15:docId w15:val="{5BDFB204-C0A1-4D0F-9F13-2BA6AA86A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4A38"/>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64A38"/>
    <w:pPr>
      <w:widowControl w:val="0"/>
      <w:suppressAutoHyphens/>
      <w:spacing w:after="120"/>
    </w:pPr>
    <w:rPr>
      <w:rFonts w:eastAsia="Lucida Sans Unicode"/>
      <w:lang w:val="x-none"/>
    </w:rPr>
  </w:style>
  <w:style w:type="character" w:customStyle="1" w:styleId="PagrindinistekstasDiagrama">
    <w:name w:val="Pagrindinis tekstas Diagrama"/>
    <w:basedOn w:val="Numatytasispastraiposriftas"/>
    <w:link w:val="Pagrindinistekstas"/>
    <w:rsid w:val="00E64A38"/>
    <w:rPr>
      <w:rFonts w:ascii="Times New Roman" w:eastAsia="Lucida Sans Unicode" w:hAnsi="Times New Roman" w:cs="Times New Roman"/>
      <w:sz w:val="24"/>
      <w:szCs w:val="24"/>
      <w:lang w:val="x-none"/>
    </w:rPr>
  </w:style>
  <w:style w:type="character" w:styleId="Emfaz">
    <w:name w:val="Emphasis"/>
    <w:qFormat/>
    <w:rsid w:val="00E64A38"/>
    <w:rPr>
      <w:i/>
      <w:iCs/>
    </w:rPr>
  </w:style>
  <w:style w:type="paragraph" w:customStyle="1" w:styleId="Adresas">
    <w:name w:val="Adresas"/>
    <w:basedOn w:val="prastasis"/>
    <w:qFormat/>
    <w:rsid w:val="00E64A38"/>
    <w:pPr>
      <w:suppressAutoHyphens/>
      <w:ind w:right="318"/>
    </w:pPr>
    <w:rPr>
      <w:lang w:eastAsia="ar-SA"/>
    </w:rPr>
  </w:style>
  <w:style w:type="paragraph" w:styleId="Betarp">
    <w:name w:val="No Spacing"/>
    <w:uiPriority w:val="1"/>
    <w:qFormat/>
    <w:rsid w:val="00B72C04"/>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link w:val="SraopastraipaDiagrama"/>
    <w:uiPriority w:val="34"/>
    <w:qFormat/>
    <w:rsid w:val="00DE1105"/>
    <w:pPr>
      <w:ind w:left="720"/>
      <w:contextualSpacing/>
    </w:pPr>
  </w:style>
  <w:style w:type="paragraph" w:styleId="Paprastasistekstas">
    <w:name w:val="Plain Text"/>
    <w:basedOn w:val="prastasis"/>
    <w:link w:val="PaprastasistekstasDiagrama"/>
    <w:uiPriority w:val="99"/>
    <w:unhideWhenUsed/>
    <w:rsid w:val="00027FD6"/>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027FD6"/>
    <w:rPr>
      <w:rFonts w:ascii="Calibri" w:hAnsi="Calibri" w:cs="Calibri"/>
    </w:rPr>
  </w:style>
  <w:style w:type="character" w:styleId="Hipersaitas">
    <w:name w:val="Hyperlink"/>
    <w:semiHidden/>
    <w:unhideWhenUsed/>
    <w:rsid w:val="00261517"/>
    <w:rPr>
      <w:color w:val="0000FF"/>
      <w:u w:val="single"/>
    </w:rPr>
  </w:style>
  <w:style w:type="paragraph" w:styleId="Puslapioinaostekstas">
    <w:name w:val="footnote text"/>
    <w:basedOn w:val="prastasis"/>
    <w:link w:val="PuslapioinaostekstasDiagrama"/>
    <w:uiPriority w:val="99"/>
    <w:semiHidden/>
    <w:unhideWhenUsed/>
    <w:rsid w:val="00261517"/>
    <w:pPr>
      <w:jc w:val="both"/>
    </w:pPr>
    <w:rPr>
      <w:b/>
      <w:color w:val="FF0000"/>
      <w:sz w:val="20"/>
      <w:szCs w:val="20"/>
    </w:rPr>
  </w:style>
  <w:style w:type="character" w:customStyle="1" w:styleId="PuslapioinaostekstasDiagrama">
    <w:name w:val="Puslapio išnašos tekstas Diagrama"/>
    <w:basedOn w:val="Numatytasispastraiposriftas"/>
    <w:link w:val="Puslapioinaostekstas"/>
    <w:uiPriority w:val="99"/>
    <w:semiHidden/>
    <w:rsid w:val="00261517"/>
    <w:rPr>
      <w:rFonts w:ascii="Times New Roman" w:eastAsia="Times New Roman" w:hAnsi="Times New Roman" w:cs="Times New Roman"/>
      <w:b/>
      <w:color w:val="FF0000"/>
      <w:sz w:val="20"/>
      <w:szCs w:val="20"/>
    </w:rPr>
  </w:style>
  <w:style w:type="paragraph" w:customStyle="1" w:styleId="BodyText1">
    <w:name w:val="Body Text1"/>
    <w:rsid w:val="00261517"/>
    <w:pPr>
      <w:snapToGrid w:val="0"/>
      <w:spacing w:after="0" w:line="240" w:lineRule="auto"/>
      <w:ind w:firstLine="312"/>
      <w:jc w:val="both"/>
    </w:pPr>
    <w:rPr>
      <w:rFonts w:ascii="TimesLT" w:eastAsia="Times New Roman" w:hAnsi="TimesLT" w:cs="Times New Roman"/>
      <w:sz w:val="20"/>
      <w:szCs w:val="20"/>
    </w:rPr>
  </w:style>
  <w:style w:type="character" w:styleId="Puslapioinaosnuoroda">
    <w:name w:val="footnote reference"/>
    <w:basedOn w:val="Numatytasispastraiposriftas"/>
    <w:uiPriority w:val="99"/>
    <w:semiHidden/>
    <w:unhideWhenUsed/>
    <w:rsid w:val="00261517"/>
    <w:rPr>
      <w:vertAlign w:val="superscript"/>
    </w:rPr>
  </w:style>
  <w:style w:type="paragraph" w:styleId="Debesliotekstas">
    <w:name w:val="Balloon Text"/>
    <w:basedOn w:val="prastasis"/>
    <w:link w:val="DebesliotekstasDiagrama"/>
    <w:uiPriority w:val="99"/>
    <w:semiHidden/>
    <w:unhideWhenUsed/>
    <w:rsid w:val="00AF18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180D"/>
    <w:rPr>
      <w:rFonts w:ascii="Segoe UI" w:eastAsia="Times New Roman" w:hAnsi="Segoe UI" w:cs="Segoe UI"/>
      <w:sz w:val="18"/>
      <w:szCs w:val="18"/>
    </w:rPr>
  </w:style>
  <w:style w:type="character" w:styleId="Komentaronuoroda">
    <w:name w:val="annotation reference"/>
    <w:basedOn w:val="Numatytasispastraiposriftas"/>
    <w:semiHidden/>
    <w:unhideWhenUsed/>
    <w:rsid w:val="007A08CC"/>
    <w:rPr>
      <w:sz w:val="16"/>
      <w:szCs w:val="16"/>
    </w:rPr>
  </w:style>
  <w:style w:type="paragraph" w:styleId="Komentarotekstas">
    <w:name w:val="annotation text"/>
    <w:basedOn w:val="prastasis"/>
    <w:link w:val="KomentarotekstasDiagrama"/>
    <w:unhideWhenUsed/>
    <w:rsid w:val="007A08CC"/>
    <w:rPr>
      <w:sz w:val="20"/>
      <w:szCs w:val="20"/>
    </w:rPr>
  </w:style>
  <w:style w:type="character" w:customStyle="1" w:styleId="KomentarotekstasDiagrama">
    <w:name w:val="Komentaro tekstas Diagrama"/>
    <w:basedOn w:val="Numatytasispastraiposriftas"/>
    <w:link w:val="Komentarotekstas"/>
    <w:rsid w:val="007A08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08CC"/>
    <w:rPr>
      <w:b/>
      <w:bCs/>
    </w:rPr>
  </w:style>
  <w:style w:type="character" w:customStyle="1" w:styleId="KomentarotemaDiagrama">
    <w:name w:val="Komentaro tema Diagrama"/>
    <w:basedOn w:val="KomentarotekstasDiagrama"/>
    <w:link w:val="Komentarotema"/>
    <w:uiPriority w:val="99"/>
    <w:semiHidden/>
    <w:rsid w:val="007A08CC"/>
    <w:rPr>
      <w:rFonts w:ascii="Times New Roman" w:eastAsia="Times New Roman" w:hAnsi="Times New Roman" w:cs="Times New Roman"/>
      <w:b/>
      <w:bCs/>
      <w:sz w:val="20"/>
      <w:szCs w:val="20"/>
    </w:rPr>
  </w:style>
  <w:style w:type="paragraph" w:customStyle="1" w:styleId="Default">
    <w:name w:val="Default"/>
    <w:rsid w:val="00261DFC"/>
    <w:pPr>
      <w:autoSpaceDE w:val="0"/>
      <w:autoSpaceDN w:val="0"/>
      <w:adjustRightInd w:val="0"/>
      <w:spacing w:after="0" w:line="240" w:lineRule="auto"/>
    </w:pPr>
    <w:rPr>
      <w:rFonts w:ascii="Arial" w:hAnsi="Arial" w:cs="Arial"/>
      <w:color w:val="000000"/>
      <w:sz w:val="24"/>
      <w:szCs w:val="24"/>
      <w:lang w:val="lt-LT"/>
    </w:rPr>
  </w:style>
  <w:style w:type="paragraph" w:styleId="Antrats">
    <w:name w:val="header"/>
    <w:aliases w:val="Hyperlink"/>
    <w:basedOn w:val="prastasis"/>
    <w:link w:val="AntratsDiagrama"/>
    <w:uiPriority w:val="99"/>
    <w:unhideWhenUsed/>
    <w:rsid w:val="007A30CA"/>
    <w:pPr>
      <w:tabs>
        <w:tab w:val="center" w:pos="4819"/>
        <w:tab w:val="right" w:pos="9638"/>
      </w:tabs>
    </w:pPr>
  </w:style>
  <w:style w:type="character" w:customStyle="1" w:styleId="AntratsDiagrama">
    <w:name w:val="Antraštės Diagrama"/>
    <w:aliases w:val="Hyperlink Diagrama"/>
    <w:basedOn w:val="Numatytasispastraiposriftas"/>
    <w:link w:val="Antrats"/>
    <w:uiPriority w:val="99"/>
    <w:rsid w:val="007A30C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A30CA"/>
    <w:pPr>
      <w:tabs>
        <w:tab w:val="center" w:pos="4819"/>
        <w:tab w:val="right" w:pos="9638"/>
      </w:tabs>
    </w:pPr>
  </w:style>
  <w:style w:type="character" w:customStyle="1" w:styleId="PoratDiagrama">
    <w:name w:val="Poraštė Diagrama"/>
    <w:basedOn w:val="Numatytasispastraiposriftas"/>
    <w:link w:val="Porat"/>
    <w:uiPriority w:val="99"/>
    <w:rsid w:val="007A30CA"/>
    <w:rPr>
      <w:rFonts w:ascii="Times New Roman" w:eastAsia="Times New Roman" w:hAnsi="Times New Roman" w:cs="Times New Roman"/>
      <w:sz w:val="24"/>
      <w:szCs w:val="24"/>
    </w:rPr>
  </w:style>
  <w:style w:type="paragraph" w:customStyle="1" w:styleId="Preformatted">
    <w:name w:val="Preformatted"/>
    <w:basedOn w:val="prastasis"/>
    <w:rsid w:val="00A8209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SraopastraipaDiagrama">
    <w:name w:val="Sąrašo pastraipa Diagrama"/>
    <w:basedOn w:val="Numatytasispastraiposriftas"/>
    <w:link w:val="Sraopastraipa"/>
    <w:rsid w:val="00F36BC2"/>
    <w:rPr>
      <w:rFonts w:ascii="Times New Roman" w:eastAsia="Times New Roman" w:hAnsi="Times New Roman" w:cs="Times New Roman"/>
      <w:sz w:val="24"/>
      <w:szCs w:val="24"/>
    </w:rPr>
  </w:style>
  <w:style w:type="paragraph" w:customStyle="1" w:styleId="MAZAS">
    <w:name w:val="MAZAS"/>
    <w:basedOn w:val="prastasis"/>
    <w:rsid w:val="00DA3D21"/>
    <w:pPr>
      <w:suppressAutoHyphens/>
      <w:autoSpaceDE w:val="0"/>
      <w:autoSpaceDN w:val="0"/>
      <w:adjustRightInd w:val="0"/>
      <w:spacing w:line="297" w:lineRule="auto"/>
      <w:ind w:firstLine="312"/>
      <w:jc w:val="both"/>
    </w:pPr>
    <w:rPr>
      <w:rFonts w:ascii="Arial" w:hAnsi="Arial" w:cs="Arial"/>
      <w:color w:val="000000"/>
      <w:sz w:val="8"/>
      <w:szCs w:val="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1247">
      <w:bodyDiv w:val="1"/>
      <w:marLeft w:val="0"/>
      <w:marRight w:val="0"/>
      <w:marTop w:val="0"/>
      <w:marBottom w:val="0"/>
      <w:divBdr>
        <w:top w:val="none" w:sz="0" w:space="0" w:color="auto"/>
        <w:left w:val="none" w:sz="0" w:space="0" w:color="auto"/>
        <w:bottom w:val="none" w:sz="0" w:space="0" w:color="auto"/>
        <w:right w:val="none" w:sz="0" w:space="0" w:color="auto"/>
      </w:divBdr>
    </w:div>
    <w:div w:id="44109393">
      <w:bodyDiv w:val="1"/>
      <w:marLeft w:val="0"/>
      <w:marRight w:val="0"/>
      <w:marTop w:val="0"/>
      <w:marBottom w:val="0"/>
      <w:divBdr>
        <w:top w:val="none" w:sz="0" w:space="0" w:color="auto"/>
        <w:left w:val="none" w:sz="0" w:space="0" w:color="auto"/>
        <w:bottom w:val="none" w:sz="0" w:space="0" w:color="auto"/>
        <w:right w:val="none" w:sz="0" w:space="0" w:color="auto"/>
      </w:divBdr>
    </w:div>
    <w:div w:id="52386501">
      <w:bodyDiv w:val="1"/>
      <w:marLeft w:val="0"/>
      <w:marRight w:val="0"/>
      <w:marTop w:val="0"/>
      <w:marBottom w:val="0"/>
      <w:divBdr>
        <w:top w:val="none" w:sz="0" w:space="0" w:color="auto"/>
        <w:left w:val="none" w:sz="0" w:space="0" w:color="auto"/>
        <w:bottom w:val="none" w:sz="0" w:space="0" w:color="auto"/>
        <w:right w:val="none" w:sz="0" w:space="0" w:color="auto"/>
      </w:divBdr>
    </w:div>
    <w:div w:id="77481386">
      <w:bodyDiv w:val="1"/>
      <w:marLeft w:val="0"/>
      <w:marRight w:val="0"/>
      <w:marTop w:val="0"/>
      <w:marBottom w:val="0"/>
      <w:divBdr>
        <w:top w:val="none" w:sz="0" w:space="0" w:color="auto"/>
        <w:left w:val="none" w:sz="0" w:space="0" w:color="auto"/>
        <w:bottom w:val="none" w:sz="0" w:space="0" w:color="auto"/>
        <w:right w:val="none" w:sz="0" w:space="0" w:color="auto"/>
      </w:divBdr>
    </w:div>
    <w:div w:id="114522969">
      <w:bodyDiv w:val="1"/>
      <w:marLeft w:val="0"/>
      <w:marRight w:val="0"/>
      <w:marTop w:val="0"/>
      <w:marBottom w:val="0"/>
      <w:divBdr>
        <w:top w:val="none" w:sz="0" w:space="0" w:color="auto"/>
        <w:left w:val="none" w:sz="0" w:space="0" w:color="auto"/>
        <w:bottom w:val="none" w:sz="0" w:space="0" w:color="auto"/>
        <w:right w:val="none" w:sz="0" w:space="0" w:color="auto"/>
      </w:divBdr>
    </w:div>
    <w:div w:id="127821236">
      <w:bodyDiv w:val="1"/>
      <w:marLeft w:val="0"/>
      <w:marRight w:val="0"/>
      <w:marTop w:val="0"/>
      <w:marBottom w:val="0"/>
      <w:divBdr>
        <w:top w:val="none" w:sz="0" w:space="0" w:color="auto"/>
        <w:left w:val="none" w:sz="0" w:space="0" w:color="auto"/>
        <w:bottom w:val="none" w:sz="0" w:space="0" w:color="auto"/>
        <w:right w:val="none" w:sz="0" w:space="0" w:color="auto"/>
      </w:divBdr>
    </w:div>
    <w:div w:id="250244318">
      <w:bodyDiv w:val="1"/>
      <w:marLeft w:val="0"/>
      <w:marRight w:val="0"/>
      <w:marTop w:val="0"/>
      <w:marBottom w:val="0"/>
      <w:divBdr>
        <w:top w:val="none" w:sz="0" w:space="0" w:color="auto"/>
        <w:left w:val="none" w:sz="0" w:space="0" w:color="auto"/>
        <w:bottom w:val="none" w:sz="0" w:space="0" w:color="auto"/>
        <w:right w:val="none" w:sz="0" w:space="0" w:color="auto"/>
      </w:divBdr>
    </w:div>
    <w:div w:id="262687444">
      <w:bodyDiv w:val="1"/>
      <w:marLeft w:val="0"/>
      <w:marRight w:val="0"/>
      <w:marTop w:val="0"/>
      <w:marBottom w:val="0"/>
      <w:divBdr>
        <w:top w:val="none" w:sz="0" w:space="0" w:color="auto"/>
        <w:left w:val="none" w:sz="0" w:space="0" w:color="auto"/>
        <w:bottom w:val="none" w:sz="0" w:space="0" w:color="auto"/>
        <w:right w:val="none" w:sz="0" w:space="0" w:color="auto"/>
      </w:divBdr>
    </w:div>
    <w:div w:id="285283164">
      <w:bodyDiv w:val="1"/>
      <w:marLeft w:val="0"/>
      <w:marRight w:val="0"/>
      <w:marTop w:val="0"/>
      <w:marBottom w:val="0"/>
      <w:divBdr>
        <w:top w:val="none" w:sz="0" w:space="0" w:color="auto"/>
        <w:left w:val="none" w:sz="0" w:space="0" w:color="auto"/>
        <w:bottom w:val="none" w:sz="0" w:space="0" w:color="auto"/>
        <w:right w:val="none" w:sz="0" w:space="0" w:color="auto"/>
      </w:divBdr>
    </w:div>
    <w:div w:id="430471807">
      <w:bodyDiv w:val="1"/>
      <w:marLeft w:val="0"/>
      <w:marRight w:val="0"/>
      <w:marTop w:val="0"/>
      <w:marBottom w:val="0"/>
      <w:divBdr>
        <w:top w:val="none" w:sz="0" w:space="0" w:color="auto"/>
        <w:left w:val="none" w:sz="0" w:space="0" w:color="auto"/>
        <w:bottom w:val="none" w:sz="0" w:space="0" w:color="auto"/>
        <w:right w:val="none" w:sz="0" w:space="0" w:color="auto"/>
      </w:divBdr>
    </w:div>
    <w:div w:id="440416082">
      <w:bodyDiv w:val="1"/>
      <w:marLeft w:val="0"/>
      <w:marRight w:val="0"/>
      <w:marTop w:val="0"/>
      <w:marBottom w:val="0"/>
      <w:divBdr>
        <w:top w:val="none" w:sz="0" w:space="0" w:color="auto"/>
        <w:left w:val="none" w:sz="0" w:space="0" w:color="auto"/>
        <w:bottom w:val="none" w:sz="0" w:space="0" w:color="auto"/>
        <w:right w:val="none" w:sz="0" w:space="0" w:color="auto"/>
      </w:divBdr>
    </w:div>
    <w:div w:id="450903422">
      <w:bodyDiv w:val="1"/>
      <w:marLeft w:val="0"/>
      <w:marRight w:val="0"/>
      <w:marTop w:val="0"/>
      <w:marBottom w:val="0"/>
      <w:divBdr>
        <w:top w:val="none" w:sz="0" w:space="0" w:color="auto"/>
        <w:left w:val="none" w:sz="0" w:space="0" w:color="auto"/>
        <w:bottom w:val="none" w:sz="0" w:space="0" w:color="auto"/>
        <w:right w:val="none" w:sz="0" w:space="0" w:color="auto"/>
      </w:divBdr>
    </w:div>
    <w:div w:id="463885148">
      <w:bodyDiv w:val="1"/>
      <w:marLeft w:val="0"/>
      <w:marRight w:val="0"/>
      <w:marTop w:val="0"/>
      <w:marBottom w:val="0"/>
      <w:divBdr>
        <w:top w:val="none" w:sz="0" w:space="0" w:color="auto"/>
        <w:left w:val="none" w:sz="0" w:space="0" w:color="auto"/>
        <w:bottom w:val="none" w:sz="0" w:space="0" w:color="auto"/>
        <w:right w:val="none" w:sz="0" w:space="0" w:color="auto"/>
      </w:divBdr>
    </w:div>
    <w:div w:id="509180704">
      <w:bodyDiv w:val="1"/>
      <w:marLeft w:val="0"/>
      <w:marRight w:val="0"/>
      <w:marTop w:val="0"/>
      <w:marBottom w:val="0"/>
      <w:divBdr>
        <w:top w:val="none" w:sz="0" w:space="0" w:color="auto"/>
        <w:left w:val="none" w:sz="0" w:space="0" w:color="auto"/>
        <w:bottom w:val="none" w:sz="0" w:space="0" w:color="auto"/>
        <w:right w:val="none" w:sz="0" w:space="0" w:color="auto"/>
      </w:divBdr>
    </w:div>
    <w:div w:id="581985655">
      <w:bodyDiv w:val="1"/>
      <w:marLeft w:val="0"/>
      <w:marRight w:val="0"/>
      <w:marTop w:val="0"/>
      <w:marBottom w:val="0"/>
      <w:divBdr>
        <w:top w:val="none" w:sz="0" w:space="0" w:color="auto"/>
        <w:left w:val="none" w:sz="0" w:space="0" w:color="auto"/>
        <w:bottom w:val="none" w:sz="0" w:space="0" w:color="auto"/>
        <w:right w:val="none" w:sz="0" w:space="0" w:color="auto"/>
      </w:divBdr>
    </w:div>
    <w:div w:id="817460169">
      <w:bodyDiv w:val="1"/>
      <w:marLeft w:val="0"/>
      <w:marRight w:val="0"/>
      <w:marTop w:val="0"/>
      <w:marBottom w:val="0"/>
      <w:divBdr>
        <w:top w:val="none" w:sz="0" w:space="0" w:color="auto"/>
        <w:left w:val="none" w:sz="0" w:space="0" w:color="auto"/>
        <w:bottom w:val="none" w:sz="0" w:space="0" w:color="auto"/>
        <w:right w:val="none" w:sz="0" w:space="0" w:color="auto"/>
      </w:divBdr>
    </w:div>
    <w:div w:id="917326437">
      <w:bodyDiv w:val="1"/>
      <w:marLeft w:val="0"/>
      <w:marRight w:val="0"/>
      <w:marTop w:val="0"/>
      <w:marBottom w:val="0"/>
      <w:divBdr>
        <w:top w:val="none" w:sz="0" w:space="0" w:color="auto"/>
        <w:left w:val="none" w:sz="0" w:space="0" w:color="auto"/>
        <w:bottom w:val="none" w:sz="0" w:space="0" w:color="auto"/>
        <w:right w:val="none" w:sz="0" w:space="0" w:color="auto"/>
      </w:divBdr>
    </w:div>
    <w:div w:id="1025521862">
      <w:bodyDiv w:val="1"/>
      <w:marLeft w:val="0"/>
      <w:marRight w:val="0"/>
      <w:marTop w:val="0"/>
      <w:marBottom w:val="0"/>
      <w:divBdr>
        <w:top w:val="none" w:sz="0" w:space="0" w:color="auto"/>
        <w:left w:val="none" w:sz="0" w:space="0" w:color="auto"/>
        <w:bottom w:val="none" w:sz="0" w:space="0" w:color="auto"/>
        <w:right w:val="none" w:sz="0" w:space="0" w:color="auto"/>
      </w:divBdr>
    </w:div>
    <w:div w:id="1037896016">
      <w:bodyDiv w:val="1"/>
      <w:marLeft w:val="0"/>
      <w:marRight w:val="0"/>
      <w:marTop w:val="0"/>
      <w:marBottom w:val="0"/>
      <w:divBdr>
        <w:top w:val="none" w:sz="0" w:space="0" w:color="auto"/>
        <w:left w:val="none" w:sz="0" w:space="0" w:color="auto"/>
        <w:bottom w:val="none" w:sz="0" w:space="0" w:color="auto"/>
        <w:right w:val="none" w:sz="0" w:space="0" w:color="auto"/>
      </w:divBdr>
    </w:div>
    <w:div w:id="1103108258">
      <w:bodyDiv w:val="1"/>
      <w:marLeft w:val="0"/>
      <w:marRight w:val="0"/>
      <w:marTop w:val="0"/>
      <w:marBottom w:val="0"/>
      <w:divBdr>
        <w:top w:val="none" w:sz="0" w:space="0" w:color="auto"/>
        <w:left w:val="none" w:sz="0" w:space="0" w:color="auto"/>
        <w:bottom w:val="none" w:sz="0" w:space="0" w:color="auto"/>
        <w:right w:val="none" w:sz="0" w:space="0" w:color="auto"/>
      </w:divBdr>
    </w:div>
    <w:div w:id="1107231816">
      <w:bodyDiv w:val="1"/>
      <w:marLeft w:val="0"/>
      <w:marRight w:val="0"/>
      <w:marTop w:val="0"/>
      <w:marBottom w:val="0"/>
      <w:divBdr>
        <w:top w:val="none" w:sz="0" w:space="0" w:color="auto"/>
        <w:left w:val="none" w:sz="0" w:space="0" w:color="auto"/>
        <w:bottom w:val="none" w:sz="0" w:space="0" w:color="auto"/>
        <w:right w:val="none" w:sz="0" w:space="0" w:color="auto"/>
      </w:divBdr>
    </w:div>
    <w:div w:id="1110472235">
      <w:bodyDiv w:val="1"/>
      <w:marLeft w:val="0"/>
      <w:marRight w:val="0"/>
      <w:marTop w:val="0"/>
      <w:marBottom w:val="0"/>
      <w:divBdr>
        <w:top w:val="none" w:sz="0" w:space="0" w:color="auto"/>
        <w:left w:val="none" w:sz="0" w:space="0" w:color="auto"/>
        <w:bottom w:val="none" w:sz="0" w:space="0" w:color="auto"/>
        <w:right w:val="none" w:sz="0" w:space="0" w:color="auto"/>
      </w:divBdr>
    </w:div>
    <w:div w:id="1196309931">
      <w:bodyDiv w:val="1"/>
      <w:marLeft w:val="0"/>
      <w:marRight w:val="0"/>
      <w:marTop w:val="0"/>
      <w:marBottom w:val="0"/>
      <w:divBdr>
        <w:top w:val="none" w:sz="0" w:space="0" w:color="auto"/>
        <w:left w:val="none" w:sz="0" w:space="0" w:color="auto"/>
        <w:bottom w:val="none" w:sz="0" w:space="0" w:color="auto"/>
        <w:right w:val="none" w:sz="0" w:space="0" w:color="auto"/>
      </w:divBdr>
    </w:div>
    <w:div w:id="1201866186">
      <w:bodyDiv w:val="1"/>
      <w:marLeft w:val="0"/>
      <w:marRight w:val="0"/>
      <w:marTop w:val="0"/>
      <w:marBottom w:val="0"/>
      <w:divBdr>
        <w:top w:val="none" w:sz="0" w:space="0" w:color="auto"/>
        <w:left w:val="none" w:sz="0" w:space="0" w:color="auto"/>
        <w:bottom w:val="none" w:sz="0" w:space="0" w:color="auto"/>
        <w:right w:val="none" w:sz="0" w:space="0" w:color="auto"/>
      </w:divBdr>
    </w:div>
    <w:div w:id="1217161324">
      <w:bodyDiv w:val="1"/>
      <w:marLeft w:val="390"/>
      <w:marRight w:val="390"/>
      <w:marTop w:val="0"/>
      <w:marBottom w:val="0"/>
      <w:divBdr>
        <w:top w:val="none" w:sz="0" w:space="0" w:color="auto"/>
        <w:left w:val="none" w:sz="0" w:space="0" w:color="auto"/>
        <w:bottom w:val="none" w:sz="0" w:space="0" w:color="auto"/>
        <w:right w:val="none" w:sz="0" w:space="0" w:color="auto"/>
      </w:divBdr>
      <w:divsChild>
        <w:div w:id="1959337578">
          <w:marLeft w:val="0"/>
          <w:marRight w:val="0"/>
          <w:marTop w:val="0"/>
          <w:marBottom w:val="0"/>
          <w:divBdr>
            <w:top w:val="none" w:sz="0" w:space="0" w:color="auto"/>
            <w:left w:val="none" w:sz="0" w:space="0" w:color="auto"/>
            <w:bottom w:val="none" w:sz="0" w:space="0" w:color="auto"/>
            <w:right w:val="none" w:sz="0" w:space="0" w:color="auto"/>
          </w:divBdr>
          <w:divsChild>
            <w:div w:id="15023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3365">
      <w:bodyDiv w:val="1"/>
      <w:marLeft w:val="0"/>
      <w:marRight w:val="0"/>
      <w:marTop w:val="0"/>
      <w:marBottom w:val="0"/>
      <w:divBdr>
        <w:top w:val="none" w:sz="0" w:space="0" w:color="auto"/>
        <w:left w:val="none" w:sz="0" w:space="0" w:color="auto"/>
        <w:bottom w:val="none" w:sz="0" w:space="0" w:color="auto"/>
        <w:right w:val="none" w:sz="0" w:space="0" w:color="auto"/>
      </w:divBdr>
    </w:div>
    <w:div w:id="1301690240">
      <w:bodyDiv w:val="1"/>
      <w:marLeft w:val="0"/>
      <w:marRight w:val="0"/>
      <w:marTop w:val="0"/>
      <w:marBottom w:val="0"/>
      <w:divBdr>
        <w:top w:val="none" w:sz="0" w:space="0" w:color="auto"/>
        <w:left w:val="none" w:sz="0" w:space="0" w:color="auto"/>
        <w:bottom w:val="none" w:sz="0" w:space="0" w:color="auto"/>
        <w:right w:val="none" w:sz="0" w:space="0" w:color="auto"/>
      </w:divBdr>
    </w:div>
    <w:div w:id="1320693007">
      <w:bodyDiv w:val="1"/>
      <w:marLeft w:val="0"/>
      <w:marRight w:val="0"/>
      <w:marTop w:val="0"/>
      <w:marBottom w:val="0"/>
      <w:divBdr>
        <w:top w:val="none" w:sz="0" w:space="0" w:color="auto"/>
        <w:left w:val="none" w:sz="0" w:space="0" w:color="auto"/>
        <w:bottom w:val="none" w:sz="0" w:space="0" w:color="auto"/>
        <w:right w:val="none" w:sz="0" w:space="0" w:color="auto"/>
      </w:divBdr>
    </w:div>
    <w:div w:id="1340618347">
      <w:bodyDiv w:val="1"/>
      <w:marLeft w:val="0"/>
      <w:marRight w:val="0"/>
      <w:marTop w:val="0"/>
      <w:marBottom w:val="0"/>
      <w:divBdr>
        <w:top w:val="none" w:sz="0" w:space="0" w:color="auto"/>
        <w:left w:val="none" w:sz="0" w:space="0" w:color="auto"/>
        <w:bottom w:val="none" w:sz="0" w:space="0" w:color="auto"/>
        <w:right w:val="none" w:sz="0" w:space="0" w:color="auto"/>
      </w:divBdr>
    </w:div>
    <w:div w:id="1350453175">
      <w:bodyDiv w:val="1"/>
      <w:marLeft w:val="0"/>
      <w:marRight w:val="0"/>
      <w:marTop w:val="0"/>
      <w:marBottom w:val="0"/>
      <w:divBdr>
        <w:top w:val="none" w:sz="0" w:space="0" w:color="auto"/>
        <w:left w:val="none" w:sz="0" w:space="0" w:color="auto"/>
        <w:bottom w:val="none" w:sz="0" w:space="0" w:color="auto"/>
        <w:right w:val="none" w:sz="0" w:space="0" w:color="auto"/>
      </w:divBdr>
    </w:div>
    <w:div w:id="1377465053">
      <w:bodyDiv w:val="1"/>
      <w:marLeft w:val="0"/>
      <w:marRight w:val="0"/>
      <w:marTop w:val="0"/>
      <w:marBottom w:val="0"/>
      <w:divBdr>
        <w:top w:val="none" w:sz="0" w:space="0" w:color="auto"/>
        <w:left w:val="none" w:sz="0" w:space="0" w:color="auto"/>
        <w:bottom w:val="none" w:sz="0" w:space="0" w:color="auto"/>
        <w:right w:val="none" w:sz="0" w:space="0" w:color="auto"/>
      </w:divBdr>
    </w:div>
    <w:div w:id="1387602164">
      <w:bodyDiv w:val="1"/>
      <w:marLeft w:val="0"/>
      <w:marRight w:val="0"/>
      <w:marTop w:val="0"/>
      <w:marBottom w:val="0"/>
      <w:divBdr>
        <w:top w:val="none" w:sz="0" w:space="0" w:color="auto"/>
        <w:left w:val="none" w:sz="0" w:space="0" w:color="auto"/>
        <w:bottom w:val="none" w:sz="0" w:space="0" w:color="auto"/>
        <w:right w:val="none" w:sz="0" w:space="0" w:color="auto"/>
      </w:divBdr>
    </w:div>
    <w:div w:id="1456371629">
      <w:bodyDiv w:val="1"/>
      <w:marLeft w:val="0"/>
      <w:marRight w:val="0"/>
      <w:marTop w:val="0"/>
      <w:marBottom w:val="0"/>
      <w:divBdr>
        <w:top w:val="none" w:sz="0" w:space="0" w:color="auto"/>
        <w:left w:val="none" w:sz="0" w:space="0" w:color="auto"/>
        <w:bottom w:val="none" w:sz="0" w:space="0" w:color="auto"/>
        <w:right w:val="none" w:sz="0" w:space="0" w:color="auto"/>
      </w:divBdr>
    </w:div>
    <w:div w:id="1542395689">
      <w:bodyDiv w:val="1"/>
      <w:marLeft w:val="0"/>
      <w:marRight w:val="0"/>
      <w:marTop w:val="0"/>
      <w:marBottom w:val="0"/>
      <w:divBdr>
        <w:top w:val="none" w:sz="0" w:space="0" w:color="auto"/>
        <w:left w:val="none" w:sz="0" w:space="0" w:color="auto"/>
        <w:bottom w:val="none" w:sz="0" w:space="0" w:color="auto"/>
        <w:right w:val="none" w:sz="0" w:space="0" w:color="auto"/>
      </w:divBdr>
    </w:div>
    <w:div w:id="1560895178">
      <w:bodyDiv w:val="1"/>
      <w:marLeft w:val="0"/>
      <w:marRight w:val="0"/>
      <w:marTop w:val="0"/>
      <w:marBottom w:val="0"/>
      <w:divBdr>
        <w:top w:val="none" w:sz="0" w:space="0" w:color="auto"/>
        <w:left w:val="none" w:sz="0" w:space="0" w:color="auto"/>
        <w:bottom w:val="none" w:sz="0" w:space="0" w:color="auto"/>
        <w:right w:val="none" w:sz="0" w:space="0" w:color="auto"/>
      </w:divBdr>
    </w:div>
    <w:div w:id="1632514595">
      <w:bodyDiv w:val="1"/>
      <w:marLeft w:val="0"/>
      <w:marRight w:val="0"/>
      <w:marTop w:val="0"/>
      <w:marBottom w:val="0"/>
      <w:divBdr>
        <w:top w:val="none" w:sz="0" w:space="0" w:color="auto"/>
        <w:left w:val="none" w:sz="0" w:space="0" w:color="auto"/>
        <w:bottom w:val="none" w:sz="0" w:space="0" w:color="auto"/>
        <w:right w:val="none" w:sz="0" w:space="0" w:color="auto"/>
      </w:divBdr>
    </w:div>
    <w:div w:id="1686327139">
      <w:bodyDiv w:val="1"/>
      <w:marLeft w:val="0"/>
      <w:marRight w:val="0"/>
      <w:marTop w:val="0"/>
      <w:marBottom w:val="0"/>
      <w:divBdr>
        <w:top w:val="none" w:sz="0" w:space="0" w:color="auto"/>
        <w:left w:val="none" w:sz="0" w:space="0" w:color="auto"/>
        <w:bottom w:val="none" w:sz="0" w:space="0" w:color="auto"/>
        <w:right w:val="none" w:sz="0" w:space="0" w:color="auto"/>
      </w:divBdr>
    </w:div>
    <w:div w:id="1699349448">
      <w:bodyDiv w:val="1"/>
      <w:marLeft w:val="0"/>
      <w:marRight w:val="0"/>
      <w:marTop w:val="0"/>
      <w:marBottom w:val="0"/>
      <w:divBdr>
        <w:top w:val="none" w:sz="0" w:space="0" w:color="auto"/>
        <w:left w:val="none" w:sz="0" w:space="0" w:color="auto"/>
        <w:bottom w:val="none" w:sz="0" w:space="0" w:color="auto"/>
        <w:right w:val="none" w:sz="0" w:space="0" w:color="auto"/>
      </w:divBdr>
    </w:div>
    <w:div w:id="1762414534">
      <w:bodyDiv w:val="1"/>
      <w:marLeft w:val="0"/>
      <w:marRight w:val="0"/>
      <w:marTop w:val="0"/>
      <w:marBottom w:val="0"/>
      <w:divBdr>
        <w:top w:val="none" w:sz="0" w:space="0" w:color="auto"/>
        <w:left w:val="none" w:sz="0" w:space="0" w:color="auto"/>
        <w:bottom w:val="none" w:sz="0" w:space="0" w:color="auto"/>
        <w:right w:val="none" w:sz="0" w:space="0" w:color="auto"/>
      </w:divBdr>
    </w:div>
    <w:div w:id="1889145179">
      <w:bodyDiv w:val="1"/>
      <w:marLeft w:val="0"/>
      <w:marRight w:val="0"/>
      <w:marTop w:val="0"/>
      <w:marBottom w:val="0"/>
      <w:divBdr>
        <w:top w:val="none" w:sz="0" w:space="0" w:color="auto"/>
        <w:left w:val="none" w:sz="0" w:space="0" w:color="auto"/>
        <w:bottom w:val="none" w:sz="0" w:space="0" w:color="auto"/>
        <w:right w:val="none" w:sz="0" w:space="0" w:color="auto"/>
      </w:divBdr>
    </w:div>
    <w:div w:id="1967079504">
      <w:bodyDiv w:val="1"/>
      <w:marLeft w:val="0"/>
      <w:marRight w:val="0"/>
      <w:marTop w:val="0"/>
      <w:marBottom w:val="0"/>
      <w:divBdr>
        <w:top w:val="none" w:sz="0" w:space="0" w:color="auto"/>
        <w:left w:val="none" w:sz="0" w:space="0" w:color="auto"/>
        <w:bottom w:val="none" w:sz="0" w:space="0" w:color="auto"/>
        <w:right w:val="none" w:sz="0" w:space="0" w:color="auto"/>
      </w:divBdr>
    </w:div>
    <w:div w:id="1989087753">
      <w:bodyDiv w:val="1"/>
      <w:marLeft w:val="0"/>
      <w:marRight w:val="0"/>
      <w:marTop w:val="0"/>
      <w:marBottom w:val="0"/>
      <w:divBdr>
        <w:top w:val="none" w:sz="0" w:space="0" w:color="auto"/>
        <w:left w:val="none" w:sz="0" w:space="0" w:color="auto"/>
        <w:bottom w:val="none" w:sz="0" w:space="0" w:color="auto"/>
        <w:right w:val="none" w:sz="0" w:space="0" w:color="auto"/>
      </w:divBdr>
    </w:div>
    <w:div w:id="1990086836">
      <w:bodyDiv w:val="1"/>
      <w:marLeft w:val="0"/>
      <w:marRight w:val="0"/>
      <w:marTop w:val="0"/>
      <w:marBottom w:val="0"/>
      <w:divBdr>
        <w:top w:val="none" w:sz="0" w:space="0" w:color="auto"/>
        <w:left w:val="none" w:sz="0" w:space="0" w:color="auto"/>
        <w:bottom w:val="none" w:sz="0" w:space="0" w:color="auto"/>
        <w:right w:val="none" w:sz="0" w:space="0" w:color="auto"/>
      </w:divBdr>
    </w:div>
    <w:div w:id="2071922112">
      <w:bodyDiv w:val="1"/>
      <w:marLeft w:val="0"/>
      <w:marRight w:val="0"/>
      <w:marTop w:val="0"/>
      <w:marBottom w:val="0"/>
      <w:divBdr>
        <w:top w:val="none" w:sz="0" w:space="0" w:color="auto"/>
        <w:left w:val="none" w:sz="0" w:space="0" w:color="auto"/>
        <w:bottom w:val="none" w:sz="0" w:space="0" w:color="auto"/>
        <w:right w:val="none" w:sz="0" w:space="0" w:color="auto"/>
      </w:divBdr>
    </w:div>
    <w:div w:id="2087531032">
      <w:bodyDiv w:val="1"/>
      <w:marLeft w:val="0"/>
      <w:marRight w:val="0"/>
      <w:marTop w:val="0"/>
      <w:marBottom w:val="0"/>
      <w:divBdr>
        <w:top w:val="none" w:sz="0" w:space="0" w:color="auto"/>
        <w:left w:val="none" w:sz="0" w:space="0" w:color="auto"/>
        <w:bottom w:val="none" w:sz="0" w:space="0" w:color="auto"/>
        <w:right w:val="none" w:sz="0" w:space="0" w:color="auto"/>
      </w:divBdr>
    </w:div>
    <w:div w:id="2094890117">
      <w:bodyDiv w:val="1"/>
      <w:marLeft w:val="0"/>
      <w:marRight w:val="0"/>
      <w:marTop w:val="0"/>
      <w:marBottom w:val="0"/>
      <w:divBdr>
        <w:top w:val="none" w:sz="0" w:space="0" w:color="auto"/>
        <w:left w:val="none" w:sz="0" w:space="0" w:color="auto"/>
        <w:bottom w:val="none" w:sz="0" w:space="0" w:color="auto"/>
        <w:right w:val="none" w:sz="0" w:space="0" w:color="auto"/>
      </w:divBdr>
    </w:div>
    <w:div w:id="21384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7298</Words>
  <Characters>4160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2019-11-29T11:47:00Z</dcterms:created>
  <dc:creator>Inga Čypienė</dc:creator>
  <cp:lastModifiedBy>Inga Čypienė</cp:lastModifiedBy>
  <cp:lastPrinted>2019-03-20T05:46:00Z</cp:lastPrinted>
  <dcterms:modified xsi:type="dcterms:W3CDTF">2019-11-29T11:47:00Z</dcterms:modified>
  <cp:revision>2</cp:revision>
</cp:coreProperties>
</file>