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652EC" w14:textId="26F51DA6" w:rsidR="001F2F06" w:rsidRPr="00AC55EC" w:rsidRDefault="001F2F06" w:rsidP="523BE388">
      <w:pPr>
        <w:jc w:val="center"/>
        <w:rPr>
          <w:b/>
          <w:bCs/>
          <w:caps/>
          <w:lang w:val="en-US"/>
        </w:rPr>
      </w:pPr>
      <w:r w:rsidRPr="523BE388">
        <w:rPr>
          <w:b/>
          <w:bCs/>
          <w:caps/>
        </w:rPr>
        <w:t xml:space="preserve">Lietuvos Respublikos Vyriausybės nutarimo „Dėl Lietuvos Respublikos Vyriausybės 2011 m. spalio </w:t>
      </w:r>
      <w:r w:rsidR="24633F11">
        <w:br/>
      </w:r>
      <w:r w:rsidRPr="523BE388">
        <w:rPr>
          <w:b/>
          <w:bCs/>
          <w:caps/>
        </w:rPr>
        <w:t xml:space="preserve">19 d. nutarimo Nr. 1217 „Dėl įgaliojimų suteikimo įgyvendinant Lietuvos Respublikos atsinaujinančių išteklių energetikos įstatymą“ projekto (TAIS – </w:t>
      </w:r>
      <w:r w:rsidRPr="523BE388">
        <w:rPr>
          <w:b/>
          <w:bCs/>
          <w:caps/>
          <w:lang w:val="en-US"/>
        </w:rPr>
        <w:t>20-6504</w:t>
      </w:r>
      <w:r w:rsidR="00466DC7" w:rsidRPr="523BE388">
        <w:rPr>
          <w:b/>
          <w:bCs/>
          <w:caps/>
          <w:lang w:val="en-US"/>
        </w:rPr>
        <w:t>(2)</w:t>
      </w:r>
      <w:r w:rsidR="00A53BA4">
        <w:rPr>
          <w:b/>
          <w:bCs/>
          <w:caps/>
          <w:lang w:val="en-US"/>
        </w:rPr>
        <w:t>)</w:t>
      </w:r>
    </w:p>
    <w:p w14:paraId="7137E699" w14:textId="77777777" w:rsidR="001F2F06" w:rsidRPr="00942994" w:rsidRDefault="001F2F06" w:rsidP="001F2F06">
      <w:pPr>
        <w:jc w:val="center"/>
        <w:rPr>
          <w:b/>
          <w:szCs w:val="24"/>
        </w:rPr>
      </w:pPr>
      <w:r w:rsidRPr="00942994">
        <w:rPr>
          <w:b/>
          <w:szCs w:val="24"/>
        </w:rPr>
        <w:t>DERINIMO PAŽYMA</w:t>
      </w:r>
    </w:p>
    <w:p w14:paraId="089664A3" w14:textId="77777777" w:rsidR="001F2F06" w:rsidRPr="00942994" w:rsidRDefault="001F2F06" w:rsidP="001F2F06">
      <w:pPr>
        <w:jc w:val="both"/>
        <w:rPr>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19"/>
        <w:gridCol w:w="7243"/>
        <w:gridCol w:w="5344"/>
      </w:tblGrid>
      <w:tr w:rsidR="001F2F06" w:rsidRPr="00BC5F50" w14:paraId="290516BC" w14:textId="77777777" w:rsidTr="37130427">
        <w:tc>
          <w:tcPr>
            <w:tcW w:w="570" w:type="dxa"/>
            <w:shd w:val="clear" w:color="auto" w:fill="auto"/>
          </w:tcPr>
          <w:p w14:paraId="0C9F67CE" w14:textId="77777777" w:rsidR="001F2F06" w:rsidRPr="00BC5F50" w:rsidRDefault="001F2F06" w:rsidP="005B63E7">
            <w:pPr>
              <w:jc w:val="center"/>
              <w:rPr>
                <w:b/>
                <w:sz w:val="22"/>
              </w:rPr>
            </w:pPr>
            <w:r w:rsidRPr="00BC5F50">
              <w:rPr>
                <w:b/>
                <w:sz w:val="22"/>
              </w:rPr>
              <w:t>Eil. Nr.</w:t>
            </w:r>
          </w:p>
        </w:tc>
        <w:tc>
          <w:tcPr>
            <w:tcW w:w="2119" w:type="dxa"/>
            <w:shd w:val="clear" w:color="auto" w:fill="auto"/>
          </w:tcPr>
          <w:p w14:paraId="5A5E1237" w14:textId="77777777" w:rsidR="001F2F06" w:rsidRPr="00BC5F50" w:rsidRDefault="001F2F06" w:rsidP="005B63E7">
            <w:pPr>
              <w:jc w:val="center"/>
              <w:rPr>
                <w:sz w:val="22"/>
              </w:rPr>
            </w:pPr>
            <w:r w:rsidRPr="00BC5F50">
              <w:rPr>
                <w:b/>
                <w:bCs/>
                <w:sz w:val="22"/>
              </w:rPr>
              <w:t>Institucijos pavadinimas, rašto data ir numeris</w:t>
            </w:r>
          </w:p>
        </w:tc>
        <w:tc>
          <w:tcPr>
            <w:tcW w:w="7243" w:type="dxa"/>
            <w:shd w:val="clear" w:color="auto" w:fill="auto"/>
          </w:tcPr>
          <w:p w14:paraId="65EDB3A7" w14:textId="77777777" w:rsidR="001F2F06" w:rsidRPr="00BC5F50" w:rsidRDefault="001F2F06" w:rsidP="005B63E7">
            <w:pPr>
              <w:jc w:val="center"/>
              <w:rPr>
                <w:sz w:val="22"/>
              </w:rPr>
            </w:pPr>
            <w:r w:rsidRPr="00BC5F50">
              <w:rPr>
                <w:b/>
                <w:sz w:val="22"/>
              </w:rPr>
              <w:t>Pastabos ir pasiūlymai</w:t>
            </w:r>
          </w:p>
        </w:tc>
        <w:tc>
          <w:tcPr>
            <w:tcW w:w="5344" w:type="dxa"/>
            <w:shd w:val="clear" w:color="auto" w:fill="auto"/>
          </w:tcPr>
          <w:p w14:paraId="6B11E82E" w14:textId="77777777" w:rsidR="001F2F06" w:rsidRPr="00BC5F50" w:rsidRDefault="001F2F06" w:rsidP="005B63E7">
            <w:pPr>
              <w:jc w:val="center"/>
              <w:rPr>
                <w:sz w:val="22"/>
              </w:rPr>
            </w:pPr>
            <w:r w:rsidRPr="00BC5F50">
              <w:rPr>
                <w:b/>
                <w:sz w:val="22"/>
              </w:rPr>
              <w:t>Žyma apie nepriimtas arba iš dalies priimtas (nurodyti motyvus) pastabas ir pasiūlymus</w:t>
            </w:r>
          </w:p>
        </w:tc>
      </w:tr>
      <w:tr w:rsidR="00466DC7" w:rsidRPr="00BC5F50" w14:paraId="394FB85A" w14:textId="77777777" w:rsidTr="37130427">
        <w:tc>
          <w:tcPr>
            <w:tcW w:w="570" w:type="dxa"/>
            <w:shd w:val="clear" w:color="auto" w:fill="auto"/>
          </w:tcPr>
          <w:p w14:paraId="61A09719" w14:textId="1011BE56" w:rsidR="00466DC7" w:rsidRPr="00BC5F50" w:rsidRDefault="00D351D1" w:rsidP="005B63E7">
            <w:pPr>
              <w:pStyle w:val="ListParagraph"/>
              <w:tabs>
                <w:tab w:val="left" w:pos="240"/>
              </w:tabs>
              <w:ind w:left="0"/>
              <w:jc w:val="both"/>
              <w:rPr>
                <w:sz w:val="22"/>
                <w:lang w:val="en-GB"/>
              </w:rPr>
            </w:pPr>
            <w:r>
              <w:rPr>
                <w:sz w:val="22"/>
                <w:lang w:val="en-GB"/>
              </w:rPr>
              <w:t>1</w:t>
            </w:r>
            <w:bookmarkStart w:id="0" w:name="_GoBack"/>
            <w:bookmarkEnd w:id="0"/>
          </w:p>
        </w:tc>
        <w:tc>
          <w:tcPr>
            <w:tcW w:w="2119" w:type="dxa"/>
            <w:shd w:val="clear" w:color="auto" w:fill="auto"/>
          </w:tcPr>
          <w:p w14:paraId="347D2CEF" w14:textId="77777777" w:rsidR="00A53BA4" w:rsidRPr="001A4916" w:rsidRDefault="00A53BA4" w:rsidP="00A53BA4">
            <w:pPr>
              <w:rPr>
                <w:rFonts w:eastAsia="Times New Roman"/>
                <w:b/>
                <w:bCs/>
                <w:color w:val="000000"/>
                <w:sz w:val="20"/>
                <w:szCs w:val="20"/>
                <w:lang w:eastAsia="lt-LT"/>
              </w:rPr>
            </w:pPr>
            <w:r w:rsidRPr="001A4916">
              <w:rPr>
                <w:rFonts w:eastAsia="Times New Roman"/>
                <w:b/>
                <w:bCs/>
                <w:color w:val="000000"/>
                <w:sz w:val="20"/>
                <w:szCs w:val="20"/>
                <w:lang w:eastAsia="lt-LT"/>
              </w:rPr>
              <w:t xml:space="preserve">Lietuvos Respublikos Vyriausybės kanceliarijos Teisės grupės 2020-06-10 išvada Nr. </w:t>
            </w:r>
            <w:r w:rsidRPr="001A4916">
              <w:rPr>
                <w:b/>
                <w:bCs/>
                <w:color w:val="000000"/>
                <w:sz w:val="20"/>
                <w:szCs w:val="20"/>
                <w:lang w:eastAsia="lt-LT"/>
              </w:rPr>
              <w:t>NV</w:t>
            </w:r>
            <w:r w:rsidRPr="001A4916">
              <w:rPr>
                <w:b/>
                <w:bCs/>
                <w:color w:val="000000"/>
                <w:sz w:val="20"/>
                <w:szCs w:val="20"/>
                <w:shd w:val="clear" w:color="auto" w:fill="FFFFFF"/>
              </w:rPr>
              <w:t>-1617</w:t>
            </w:r>
          </w:p>
          <w:p w14:paraId="68D17D36" w14:textId="77777777" w:rsidR="00466DC7" w:rsidRPr="00BC5F50" w:rsidRDefault="00466DC7" w:rsidP="005B63E7">
            <w:pPr>
              <w:jc w:val="both"/>
              <w:rPr>
                <w:b/>
                <w:sz w:val="22"/>
              </w:rPr>
            </w:pPr>
          </w:p>
        </w:tc>
        <w:tc>
          <w:tcPr>
            <w:tcW w:w="7243" w:type="dxa"/>
            <w:shd w:val="clear" w:color="auto" w:fill="auto"/>
          </w:tcPr>
          <w:p w14:paraId="47BD665F" w14:textId="2AAC2CE9" w:rsidR="00466DC7" w:rsidRPr="00466DC7" w:rsidRDefault="003923A0" w:rsidP="0091131B">
            <w:pPr>
              <w:ind w:firstLine="851"/>
              <w:jc w:val="both"/>
              <w:rPr>
                <w:rFonts w:eastAsia="Times New Roman"/>
                <w:color w:val="000000"/>
                <w:szCs w:val="24"/>
                <w:lang w:eastAsia="lt-LT"/>
              </w:rPr>
            </w:pPr>
            <w:r>
              <w:rPr>
                <w:color w:val="000000"/>
              </w:rPr>
              <w:t>2. Projekto 1.2 papunktyje dėstomo nutarimo 1.2 papunktį siūloma papildyti įgaliojimu nustatyti „kilmės garantijų naudojimo priežiūros ir kontrolės tvarką“ motyvuojant Įstatymo 29 straipsnio 2 dalimi. Siekiant teisės akto tikslumo ir pagrįstumo, siūlome įvertinti, ar Įstatymo 29 straipsnio 2 dalies nuostata yra pakankamas pagrindas suteikti įgaliojimus Energetikos ministerijos nustatyti „kilmės garantijų naudojimo priežiūros ir kontrolės tvarką“, nes minėta nuostata yra susijusi su atsakingo subjekto paskyrimu.</w:t>
            </w:r>
          </w:p>
        </w:tc>
        <w:tc>
          <w:tcPr>
            <w:tcW w:w="5344" w:type="dxa"/>
            <w:shd w:val="clear" w:color="auto" w:fill="auto"/>
          </w:tcPr>
          <w:p w14:paraId="64317C90" w14:textId="59849918" w:rsidR="00A53BA4" w:rsidRDefault="4CEA7B3F" w:rsidP="37130427">
            <w:pPr>
              <w:jc w:val="both"/>
              <w:rPr>
                <w:rFonts w:eastAsia="Times New Roman"/>
                <w:b/>
                <w:bCs/>
                <w:lang w:val="en-US"/>
              </w:rPr>
            </w:pPr>
            <w:r w:rsidRPr="37130427">
              <w:rPr>
                <w:rFonts w:eastAsia="Times New Roman"/>
                <w:b/>
                <w:bCs/>
                <w:lang w:val="en-US"/>
              </w:rPr>
              <w:t>Neatsižvelgta</w:t>
            </w:r>
            <w:r w:rsidR="15778F1F" w:rsidRPr="37130427">
              <w:rPr>
                <w:rFonts w:eastAsia="Times New Roman"/>
                <w:b/>
                <w:bCs/>
                <w:lang w:val="en-US"/>
              </w:rPr>
              <w:t xml:space="preserve"> </w:t>
            </w:r>
          </w:p>
          <w:p w14:paraId="3DF1BB31" w14:textId="53A7B758" w:rsidR="00466DC7" w:rsidRPr="00B059A5" w:rsidRDefault="00612B21" w:rsidP="37130427">
            <w:pPr>
              <w:jc w:val="both"/>
              <w:rPr>
                <w:rFonts w:eastAsia="Times New Roman"/>
                <w:color w:val="000000" w:themeColor="text1"/>
                <w:szCs w:val="24"/>
                <w:lang w:val="en-US"/>
              </w:rPr>
            </w:pPr>
            <w:r w:rsidRPr="37130427">
              <w:rPr>
                <w:rFonts w:eastAsia="Times New Roman"/>
                <w:lang w:val="en-US"/>
              </w:rPr>
              <w:t>Vadovau</w:t>
            </w:r>
            <w:r>
              <w:rPr>
                <w:rFonts w:eastAsia="Times New Roman"/>
                <w:lang w:val="en-US"/>
              </w:rPr>
              <w:t>damasi</w:t>
            </w:r>
            <w:r w:rsidRPr="37130427">
              <w:rPr>
                <w:rFonts w:eastAsia="Times New Roman"/>
                <w:b/>
                <w:bCs/>
                <w:lang w:val="en-US"/>
              </w:rPr>
              <w:t xml:space="preserve"> </w:t>
            </w:r>
            <w:r w:rsidR="15778F1F" w:rsidRPr="37130427">
              <w:rPr>
                <w:rFonts w:eastAsia="Times New Roman"/>
                <w:lang w:val="en-US"/>
              </w:rPr>
              <w:t xml:space="preserve">Įstatymo </w:t>
            </w:r>
            <w:r w:rsidR="15778F1F" w:rsidRPr="37130427">
              <w:rPr>
                <w:rFonts w:eastAsia="Times New Roman"/>
                <w:color w:val="000000" w:themeColor="text1"/>
                <w:lang w:val="en-US"/>
              </w:rPr>
              <w:t>29 straipsnio 2 dal</w:t>
            </w:r>
            <w:r w:rsidR="09CE36C5" w:rsidRPr="37130427">
              <w:rPr>
                <w:rFonts w:eastAsia="Times New Roman"/>
                <w:color w:val="000000" w:themeColor="text1"/>
                <w:lang w:val="en-US"/>
              </w:rPr>
              <w:t>imi</w:t>
            </w:r>
            <w:r w:rsidR="24122E72" w:rsidRPr="37130427">
              <w:rPr>
                <w:rFonts w:eastAsia="Times New Roman"/>
                <w:color w:val="000000" w:themeColor="text1"/>
                <w:lang w:val="lt"/>
              </w:rPr>
              <w:t xml:space="preserve"> Vyriausybė ar jos įgaliota institucija paskiria subjektą (ar subjektus) atsakingą (atsakingus) už kilmės garantijų išdavimą, perdavimą ir jų galiojimo panaikinimą bei kilmės garantijų naudojimo priežiūrą ir kontrolę. &lt;...&gt;“. </w:t>
            </w:r>
            <w:r w:rsidR="09DDBB12" w:rsidRPr="37130427">
              <w:rPr>
                <w:rFonts w:eastAsia="Times New Roman"/>
                <w:color w:val="000000" w:themeColor="text1"/>
                <w:lang w:val="lt"/>
              </w:rPr>
              <w:t xml:space="preserve">Atitinkamai </w:t>
            </w:r>
            <w:r w:rsidR="576E8F73" w:rsidRPr="37130427">
              <w:rPr>
                <w:rFonts w:eastAsia="Times New Roman"/>
                <w:color w:val="000000" w:themeColor="text1"/>
                <w:lang w:val="lt"/>
              </w:rPr>
              <w:t>Lietuvos Respublikos energetikos ministr</w:t>
            </w:r>
            <w:r w:rsidR="534430D4" w:rsidRPr="37130427">
              <w:rPr>
                <w:rFonts w:eastAsia="Times New Roman"/>
                <w:color w:val="000000" w:themeColor="text1"/>
                <w:lang w:val="lt"/>
              </w:rPr>
              <w:t>as</w:t>
            </w:r>
            <w:r w:rsidR="576E8F73" w:rsidRPr="37130427">
              <w:rPr>
                <w:rFonts w:eastAsia="Times New Roman"/>
                <w:color w:val="000000" w:themeColor="text1"/>
                <w:lang w:val="lt"/>
              </w:rPr>
              <w:t xml:space="preserve"> </w:t>
            </w:r>
            <w:r w:rsidR="0691E008" w:rsidRPr="37130427">
              <w:rPr>
                <w:rFonts w:eastAsia="Times New Roman"/>
                <w:color w:val="000000" w:themeColor="text1"/>
                <w:szCs w:val="24"/>
                <w:lang w:val="lt"/>
              </w:rPr>
              <w:t>2016 m. lapkričio 14 d.</w:t>
            </w:r>
            <w:r w:rsidR="4F01B909" w:rsidRPr="37130427">
              <w:rPr>
                <w:rFonts w:eastAsia="Times New Roman"/>
                <w:color w:val="000000" w:themeColor="text1"/>
                <w:szCs w:val="24"/>
                <w:lang w:val="lt"/>
              </w:rPr>
              <w:t xml:space="preserve"> įsakymu Nr. 1-298 </w:t>
            </w:r>
            <w:r w:rsidR="4CB19BCB" w:rsidRPr="37130427">
              <w:rPr>
                <w:rFonts w:eastAsia="Times New Roman"/>
                <w:color w:val="000000" w:themeColor="text1"/>
                <w:szCs w:val="24"/>
                <w:lang w:val="lt"/>
              </w:rPr>
              <w:t xml:space="preserve">patvirtino </w:t>
            </w:r>
            <w:r>
              <w:rPr>
                <w:rFonts w:eastAsia="Times New Roman"/>
                <w:color w:val="000000" w:themeColor="text1"/>
                <w:szCs w:val="24"/>
                <w:lang w:val="lt"/>
              </w:rPr>
              <w:t>„</w:t>
            </w:r>
            <w:r w:rsidR="4F01B909" w:rsidRPr="37130427">
              <w:rPr>
                <w:rFonts w:eastAsia="Times New Roman"/>
                <w:color w:val="000000" w:themeColor="text1"/>
                <w:szCs w:val="24"/>
                <w:lang w:val="lt"/>
              </w:rPr>
              <w:t>Elektros energijos, pagamintos iš atsinaujinančių energijos išteklių, kilmės garantijų išdavimo, perdavimo ir jų galiojimo panaikinimo bei kilmės garantijų naudojimo priežiūros ir kontrolės, taip pat kitų valstybių narių išduotų kilmės garantijų pripažinimo Lietuvos Respublikoje taisykles</w:t>
            </w:r>
            <w:r>
              <w:rPr>
                <w:rFonts w:eastAsia="Times New Roman"/>
                <w:color w:val="000000" w:themeColor="text1"/>
                <w:szCs w:val="24"/>
                <w:lang w:val="lt"/>
              </w:rPr>
              <w:t>“</w:t>
            </w:r>
            <w:r w:rsidR="34BAAE70" w:rsidRPr="37130427">
              <w:rPr>
                <w:rFonts w:eastAsia="Times New Roman"/>
                <w:color w:val="000000" w:themeColor="text1"/>
                <w:szCs w:val="24"/>
                <w:lang w:val="lt"/>
              </w:rPr>
              <w:t xml:space="preserve"> ir 201</w:t>
            </w:r>
            <w:r w:rsidR="34BAAE70" w:rsidRPr="37130427">
              <w:rPr>
                <w:rFonts w:eastAsia="Times New Roman"/>
                <w:color w:val="000000" w:themeColor="text1"/>
                <w:szCs w:val="24"/>
                <w:lang w:val="en-US"/>
              </w:rPr>
              <w:t>9</w:t>
            </w:r>
            <w:r w:rsidR="34BAAE70" w:rsidRPr="37130427">
              <w:rPr>
                <w:rFonts w:eastAsia="Times New Roman"/>
                <w:color w:val="000000" w:themeColor="text1"/>
                <w:szCs w:val="24"/>
                <w:lang w:val="lt"/>
              </w:rPr>
              <w:t xml:space="preserve"> m. gegužės 21 d. įsakym</w:t>
            </w:r>
            <w:r w:rsidR="4DF128F5" w:rsidRPr="37130427">
              <w:rPr>
                <w:rFonts w:eastAsia="Times New Roman"/>
                <w:color w:val="000000" w:themeColor="text1"/>
                <w:szCs w:val="24"/>
                <w:lang w:val="lt"/>
              </w:rPr>
              <w:t xml:space="preserve">u </w:t>
            </w:r>
            <w:r w:rsidR="34BAAE70" w:rsidRPr="37130427">
              <w:rPr>
                <w:rFonts w:eastAsia="Times New Roman"/>
                <w:color w:val="000000" w:themeColor="text1"/>
                <w:szCs w:val="24"/>
                <w:lang w:val="lt"/>
              </w:rPr>
              <w:t>Nr. 1-</w:t>
            </w:r>
            <w:r w:rsidR="34BAAE70" w:rsidRPr="37130427">
              <w:rPr>
                <w:rFonts w:eastAsia="Times New Roman"/>
                <w:color w:val="000000" w:themeColor="text1"/>
                <w:szCs w:val="24"/>
                <w:lang w:val="en-US"/>
              </w:rPr>
              <w:t>158</w:t>
            </w:r>
            <w:r w:rsidR="3D9D2469" w:rsidRPr="37130427">
              <w:rPr>
                <w:rFonts w:eastAsia="Times New Roman"/>
                <w:color w:val="000000" w:themeColor="text1"/>
                <w:szCs w:val="24"/>
                <w:lang w:val="en-US"/>
              </w:rPr>
              <w:t xml:space="preserve"> </w:t>
            </w:r>
            <w:r>
              <w:rPr>
                <w:rFonts w:eastAsia="Times New Roman"/>
                <w:color w:val="000000" w:themeColor="text1"/>
                <w:szCs w:val="24"/>
                <w:lang w:val="en-US"/>
              </w:rPr>
              <w:t>„</w:t>
            </w:r>
            <w:r w:rsidR="3D9D2469" w:rsidRPr="37130427">
              <w:rPr>
                <w:rFonts w:eastAsia="Times New Roman"/>
                <w:color w:val="000000" w:themeColor="text1"/>
                <w:szCs w:val="24"/>
                <w:lang w:val="en-US"/>
              </w:rPr>
              <w:t>Dujų, pagamintų iš atsinaujinančių energijos išteklių, kilmės garantijų išdavimo, perdavimo ir jų galiojimo panaikinimo bei kilmės garantijų naudojimo priežiūros ir kontrolės</w:t>
            </w:r>
            <w:r w:rsidR="3D9D2469" w:rsidRPr="37130427">
              <w:rPr>
                <w:rFonts w:eastAsia="Times New Roman"/>
                <w:szCs w:val="24"/>
                <w:lang w:val="en-US"/>
              </w:rPr>
              <w:t xml:space="preserve">, taip pat kitų valstybių narių </w:t>
            </w:r>
            <w:r w:rsidR="3D9D2469" w:rsidRPr="37130427">
              <w:rPr>
                <w:rFonts w:eastAsia="Times New Roman"/>
                <w:color w:val="000000" w:themeColor="text1"/>
                <w:szCs w:val="24"/>
                <w:lang w:val="en-US"/>
              </w:rPr>
              <w:t>išduotų kilmės garantijų pripažinimo Lietuvos Respublikoje taisykles</w:t>
            </w:r>
            <w:r>
              <w:rPr>
                <w:rFonts w:eastAsia="Times New Roman"/>
                <w:color w:val="000000" w:themeColor="text1"/>
                <w:szCs w:val="24"/>
                <w:lang w:val="en-US"/>
              </w:rPr>
              <w:t>“</w:t>
            </w:r>
            <w:r w:rsidR="3D9D2469" w:rsidRPr="37130427">
              <w:rPr>
                <w:rFonts w:eastAsia="Times New Roman"/>
                <w:color w:val="000000" w:themeColor="text1"/>
                <w:szCs w:val="24"/>
                <w:lang w:val="en-US"/>
              </w:rPr>
              <w:t>.</w:t>
            </w:r>
          </w:p>
          <w:p w14:paraId="480D179D" w14:textId="476E45F5" w:rsidR="00466DC7" w:rsidRPr="00B059A5" w:rsidRDefault="00612B21" w:rsidP="37130427">
            <w:pPr>
              <w:jc w:val="both"/>
              <w:rPr>
                <w:rFonts w:eastAsia="Times New Roman"/>
                <w:color w:val="000000" w:themeColor="text1"/>
                <w:lang w:val="lt"/>
              </w:rPr>
            </w:pPr>
            <w:r w:rsidRPr="37130427">
              <w:rPr>
                <w:rFonts w:eastAsia="Times New Roman"/>
                <w:color w:val="000000" w:themeColor="text1"/>
                <w:lang w:val="lt"/>
              </w:rPr>
              <w:t>Siek</w:t>
            </w:r>
            <w:r>
              <w:rPr>
                <w:rFonts w:eastAsia="Times New Roman"/>
                <w:color w:val="000000" w:themeColor="text1"/>
                <w:lang w:val="lt"/>
              </w:rPr>
              <w:t>dami</w:t>
            </w:r>
            <w:r w:rsidRPr="37130427">
              <w:rPr>
                <w:rFonts w:eastAsia="Times New Roman"/>
                <w:color w:val="000000" w:themeColor="text1"/>
                <w:lang w:val="lt"/>
              </w:rPr>
              <w:t xml:space="preserve"> </w:t>
            </w:r>
            <w:r w:rsidR="7C7A9A0E" w:rsidRPr="37130427">
              <w:rPr>
                <w:rFonts w:eastAsia="Times New Roman"/>
                <w:color w:val="000000" w:themeColor="text1"/>
                <w:lang w:val="lt"/>
              </w:rPr>
              <w:t>teisinio aiškumo ir teisės aktų tęstinumo</w:t>
            </w:r>
            <w:r>
              <w:rPr>
                <w:rFonts w:eastAsia="Times New Roman"/>
                <w:color w:val="000000" w:themeColor="text1"/>
                <w:lang w:val="lt"/>
              </w:rPr>
              <w:t>,</w:t>
            </w:r>
            <w:r w:rsidR="7C7A9A0E" w:rsidRPr="37130427">
              <w:rPr>
                <w:rFonts w:eastAsia="Times New Roman"/>
                <w:color w:val="000000" w:themeColor="text1"/>
                <w:lang w:val="lt"/>
              </w:rPr>
              <w:t xml:space="preserve"> siūlome Projekto 1.2 papunktyje taip pat palikti žodžius „kilmės garantijų naudojimo priežiūros ir kontrolės tvarką“.</w:t>
            </w:r>
          </w:p>
        </w:tc>
      </w:tr>
    </w:tbl>
    <w:p w14:paraId="3A6E3977" w14:textId="63DAF647" w:rsidR="00463A7F" w:rsidRPr="00BC5F50" w:rsidRDefault="001F2F06" w:rsidP="008C12AD">
      <w:pPr>
        <w:jc w:val="center"/>
        <w:rPr>
          <w:sz w:val="22"/>
        </w:rPr>
      </w:pPr>
      <w:r w:rsidRPr="00BC5F50">
        <w:rPr>
          <w:sz w:val="22"/>
        </w:rPr>
        <w:t>__________________</w:t>
      </w:r>
    </w:p>
    <w:sectPr w:rsidR="00463A7F" w:rsidRPr="00BC5F50" w:rsidSect="005B63E7">
      <w:headerReference w:type="default" r:id="rId10"/>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CE6B9" w14:textId="77777777" w:rsidR="00DC0A92" w:rsidRDefault="00DC0A92" w:rsidP="001F2F06">
      <w:r>
        <w:separator/>
      </w:r>
    </w:p>
  </w:endnote>
  <w:endnote w:type="continuationSeparator" w:id="0">
    <w:p w14:paraId="634ED756" w14:textId="77777777" w:rsidR="00DC0A92" w:rsidRDefault="00DC0A92" w:rsidP="001F2F06">
      <w:r>
        <w:continuationSeparator/>
      </w:r>
    </w:p>
  </w:endnote>
  <w:endnote w:type="continuationNotice" w:id="1">
    <w:p w14:paraId="6129D4F9" w14:textId="77777777" w:rsidR="00DC0A92" w:rsidRDefault="00DC0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4999D" w14:textId="77777777" w:rsidR="00DC0A92" w:rsidRDefault="00DC0A92" w:rsidP="001F2F06">
      <w:r>
        <w:separator/>
      </w:r>
    </w:p>
  </w:footnote>
  <w:footnote w:type="continuationSeparator" w:id="0">
    <w:p w14:paraId="709DA47C" w14:textId="77777777" w:rsidR="00DC0A92" w:rsidRDefault="00DC0A92" w:rsidP="001F2F06">
      <w:r>
        <w:continuationSeparator/>
      </w:r>
    </w:p>
  </w:footnote>
  <w:footnote w:type="continuationNotice" w:id="1">
    <w:p w14:paraId="4D092AB5" w14:textId="77777777" w:rsidR="00DC0A92" w:rsidRDefault="00DC0A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941070"/>
      <w:docPartObj>
        <w:docPartGallery w:val="Page Numbers (Top of Page)"/>
        <w:docPartUnique/>
      </w:docPartObj>
    </w:sdtPr>
    <w:sdtEndPr/>
    <w:sdtContent>
      <w:p w14:paraId="6C3BFEE0" w14:textId="77777777" w:rsidR="005B63E7" w:rsidRDefault="001F2F06">
        <w:pPr>
          <w:pStyle w:val="Header"/>
          <w:jc w:val="center"/>
        </w:pPr>
        <w:r>
          <w:fldChar w:fldCharType="begin"/>
        </w:r>
        <w:r>
          <w:instrText>PAGE   \* MERGEFORMAT</w:instrText>
        </w:r>
        <w:r>
          <w:fldChar w:fldCharType="separate"/>
        </w:r>
        <w:r>
          <w:rPr>
            <w:lang w:val="lt-LT"/>
          </w:rPr>
          <w:t>2</w:t>
        </w:r>
        <w:r>
          <w:fldChar w:fldCharType="end"/>
        </w:r>
      </w:p>
    </w:sdtContent>
  </w:sdt>
  <w:p w14:paraId="54ADCBE3" w14:textId="77777777" w:rsidR="005B63E7" w:rsidRDefault="005B6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74919"/>
    <w:multiLevelType w:val="hybridMultilevel"/>
    <w:tmpl w:val="4AF4FFB8"/>
    <w:lvl w:ilvl="0" w:tplc="B45247F8">
      <w:start w:val="1"/>
      <w:numFmt w:val="decimal"/>
      <w:suff w:val="space"/>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06"/>
    <w:rsid w:val="00037C29"/>
    <w:rsid w:val="000402B3"/>
    <w:rsid w:val="000C1CDF"/>
    <w:rsid w:val="000F4A51"/>
    <w:rsid w:val="001A4916"/>
    <w:rsid w:val="001F2F06"/>
    <w:rsid w:val="00257F62"/>
    <w:rsid w:val="002F0C9B"/>
    <w:rsid w:val="00306738"/>
    <w:rsid w:val="003511A0"/>
    <w:rsid w:val="00371E02"/>
    <w:rsid w:val="003737A7"/>
    <w:rsid w:val="003923A0"/>
    <w:rsid w:val="00454E60"/>
    <w:rsid w:val="00463A7F"/>
    <w:rsid w:val="00466DC7"/>
    <w:rsid w:val="004A6310"/>
    <w:rsid w:val="0050217E"/>
    <w:rsid w:val="00502722"/>
    <w:rsid w:val="0052681E"/>
    <w:rsid w:val="0058123A"/>
    <w:rsid w:val="005B63E7"/>
    <w:rsid w:val="005D3F95"/>
    <w:rsid w:val="00607A2F"/>
    <w:rsid w:val="00612B21"/>
    <w:rsid w:val="00623744"/>
    <w:rsid w:val="00643AC9"/>
    <w:rsid w:val="006C5363"/>
    <w:rsid w:val="00700E01"/>
    <w:rsid w:val="00710F62"/>
    <w:rsid w:val="00785898"/>
    <w:rsid w:val="00790B22"/>
    <w:rsid w:val="007D06FA"/>
    <w:rsid w:val="00897441"/>
    <w:rsid w:val="008A352E"/>
    <w:rsid w:val="008C12AD"/>
    <w:rsid w:val="008F218C"/>
    <w:rsid w:val="0091131B"/>
    <w:rsid w:val="009B04B5"/>
    <w:rsid w:val="009D1D79"/>
    <w:rsid w:val="00A164D3"/>
    <w:rsid w:val="00A44269"/>
    <w:rsid w:val="00A53BA4"/>
    <w:rsid w:val="00A94D49"/>
    <w:rsid w:val="00B059A5"/>
    <w:rsid w:val="00B22E62"/>
    <w:rsid w:val="00B41FCE"/>
    <w:rsid w:val="00B55AC7"/>
    <w:rsid w:val="00B847C0"/>
    <w:rsid w:val="00BC386C"/>
    <w:rsid w:val="00BC5F50"/>
    <w:rsid w:val="00BD2B40"/>
    <w:rsid w:val="00C15335"/>
    <w:rsid w:val="00C1584F"/>
    <w:rsid w:val="00C33796"/>
    <w:rsid w:val="00C36486"/>
    <w:rsid w:val="00C37FBA"/>
    <w:rsid w:val="00CA63F7"/>
    <w:rsid w:val="00D021A5"/>
    <w:rsid w:val="00D3519D"/>
    <w:rsid w:val="00D351D1"/>
    <w:rsid w:val="00D45E8C"/>
    <w:rsid w:val="00DA6777"/>
    <w:rsid w:val="00DC0A92"/>
    <w:rsid w:val="00E31816"/>
    <w:rsid w:val="00E50DC2"/>
    <w:rsid w:val="00E66B1B"/>
    <w:rsid w:val="00EA0A3F"/>
    <w:rsid w:val="00ED1EEB"/>
    <w:rsid w:val="00F550B4"/>
    <w:rsid w:val="00F72E11"/>
    <w:rsid w:val="00F83AD5"/>
    <w:rsid w:val="00FE13A2"/>
    <w:rsid w:val="00FE767C"/>
    <w:rsid w:val="020F88EB"/>
    <w:rsid w:val="032CA842"/>
    <w:rsid w:val="0691E008"/>
    <w:rsid w:val="09CE36C5"/>
    <w:rsid w:val="09DDBB12"/>
    <w:rsid w:val="0D08073F"/>
    <w:rsid w:val="105569C5"/>
    <w:rsid w:val="124EC274"/>
    <w:rsid w:val="15778F1F"/>
    <w:rsid w:val="1A122703"/>
    <w:rsid w:val="1DE88167"/>
    <w:rsid w:val="1E227012"/>
    <w:rsid w:val="1E7FCE31"/>
    <w:rsid w:val="226DA635"/>
    <w:rsid w:val="24122E72"/>
    <w:rsid w:val="24633F11"/>
    <w:rsid w:val="26481436"/>
    <w:rsid w:val="26A0942C"/>
    <w:rsid w:val="2715AD6D"/>
    <w:rsid w:val="286E4C68"/>
    <w:rsid w:val="29B99EEC"/>
    <w:rsid w:val="305C972D"/>
    <w:rsid w:val="329FB036"/>
    <w:rsid w:val="33F71AD9"/>
    <w:rsid w:val="34A28246"/>
    <w:rsid w:val="34BAAE70"/>
    <w:rsid w:val="37130427"/>
    <w:rsid w:val="37299805"/>
    <w:rsid w:val="374C837A"/>
    <w:rsid w:val="377D9E6D"/>
    <w:rsid w:val="38E876FC"/>
    <w:rsid w:val="3C0E6AAB"/>
    <w:rsid w:val="3CB33B5F"/>
    <w:rsid w:val="3D9D2469"/>
    <w:rsid w:val="41486FCC"/>
    <w:rsid w:val="4659EFEC"/>
    <w:rsid w:val="46F3D425"/>
    <w:rsid w:val="4CB19BCB"/>
    <w:rsid w:val="4CEA7B3F"/>
    <w:rsid w:val="4D517B68"/>
    <w:rsid w:val="4D748162"/>
    <w:rsid w:val="4DA029AA"/>
    <w:rsid w:val="4DE2AF48"/>
    <w:rsid w:val="4DF128F5"/>
    <w:rsid w:val="4F01B909"/>
    <w:rsid w:val="4F01C9AB"/>
    <w:rsid w:val="4F3E1824"/>
    <w:rsid w:val="50973B0A"/>
    <w:rsid w:val="523BE388"/>
    <w:rsid w:val="5263886B"/>
    <w:rsid w:val="534430D4"/>
    <w:rsid w:val="544B9296"/>
    <w:rsid w:val="55C67672"/>
    <w:rsid w:val="567CDC25"/>
    <w:rsid w:val="576E8F73"/>
    <w:rsid w:val="58C2E503"/>
    <w:rsid w:val="5A38F34C"/>
    <w:rsid w:val="5CED7E6F"/>
    <w:rsid w:val="62E965A4"/>
    <w:rsid w:val="639B2902"/>
    <w:rsid w:val="675935C6"/>
    <w:rsid w:val="677014AF"/>
    <w:rsid w:val="6A72DED5"/>
    <w:rsid w:val="6B15B86B"/>
    <w:rsid w:val="6B5CC07D"/>
    <w:rsid w:val="6D1392F4"/>
    <w:rsid w:val="712A336A"/>
    <w:rsid w:val="7433D119"/>
    <w:rsid w:val="74CA96F9"/>
    <w:rsid w:val="74E44453"/>
    <w:rsid w:val="7684DAF0"/>
    <w:rsid w:val="776BAB69"/>
    <w:rsid w:val="78643DDB"/>
    <w:rsid w:val="7939805B"/>
    <w:rsid w:val="79FED8D7"/>
    <w:rsid w:val="7C7A9A0E"/>
    <w:rsid w:val="7CB9017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9B6F"/>
  <w15:chartTrackingRefBased/>
  <w15:docId w15:val="{D3B91BD3-659F-4AA6-9238-AAF0ED2B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2F06"/>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not in Table"/>
    <w:basedOn w:val="Normal"/>
    <w:link w:val="ListParagraphChar"/>
    <w:uiPriority w:val="34"/>
    <w:qFormat/>
    <w:rsid w:val="001F2F06"/>
    <w:pPr>
      <w:ind w:left="720"/>
      <w:contextualSpacing/>
    </w:pPr>
    <w:rPr>
      <w:lang w:val="x-none"/>
    </w:rPr>
  </w:style>
  <w:style w:type="character" w:customStyle="1" w:styleId="ListParagraphChar">
    <w:name w:val="List Paragraph Char"/>
    <w:aliases w:val="List not in Table Char"/>
    <w:link w:val="ListParagraph"/>
    <w:uiPriority w:val="34"/>
    <w:locked/>
    <w:rsid w:val="001F2F06"/>
    <w:rPr>
      <w:rFonts w:ascii="Times New Roman" w:eastAsia="Calibri" w:hAnsi="Times New Roman" w:cs="Times New Roman"/>
      <w:sz w:val="24"/>
      <w:lang w:val="x-none"/>
    </w:rPr>
  </w:style>
  <w:style w:type="paragraph" w:styleId="Header">
    <w:name w:val="header"/>
    <w:basedOn w:val="Normal"/>
    <w:link w:val="HeaderChar"/>
    <w:uiPriority w:val="99"/>
    <w:rsid w:val="001F2F06"/>
    <w:pPr>
      <w:tabs>
        <w:tab w:val="center" w:pos="4153"/>
        <w:tab w:val="right" w:pos="8306"/>
      </w:tabs>
    </w:pPr>
    <w:rPr>
      <w:rFonts w:eastAsia="Times New Roman"/>
      <w:szCs w:val="24"/>
      <w:lang w:val="en-GB"/>
    </w:rPr>
  </w:style>
  <w:style w:type="character" w:customStyle="1" w:styleId="HeaderChar">
    <w:name w:val="Header Char"/>
    <w:basedOn w:val="DefaultParagraphFont"/>
    <w:link w:val="Header"/>
    <w:uiPriority w:val="99"/>
    <w:rsid w:val="001F2F06"/>
    <w:rPr>
      <w:rFonts w:ascii="Times New Roman" w:eastAsia="Times New Roman" w:hAnsi="Times New Roman" w:cs="Times New Roman"/>
      <w:sz w:val="24"/>
      <w:szCs w:val="24"/>
      <w:lang w:val="en-GB"/>
    </w:rPr>
  </w:style>
  <w:style w:type="paragraph" w:customStyle="1" w:styleId="Default">
    <w:name w:val="Default"/>
    <w:rsid w:val="001F2F0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FootnoteText">
    <w:name w:val="footnote text"/>
    <w:basedOn w:val="Normal"/>
    <w:link w:val="FootnoteTextChar"/>
    <w:semiHidden/>
    <w:unhideWhenUsed/>
    <w:rsid w:val="001F2F06"/>
    <w:rPr>
      <w:rFonts w:eastAsia="Times New Roman"/>
      <w:sz w:val="20"/>
      <w:szCs w:val="20"/>
      <w:lang w:val="en-GB"/>
    </w:rPr>
  </w:style>
  <w:style w:type="character" w:customStyle="1" w:styleId="FootnoteTextChar">
    <w:name w:val="Footnote Text Char"/>
    <w:basedOn w:val="DefaultParagraphFont"/>
    <w:link w:val="FootnoteText"/>
    <w:semiHidden/>
    <w:rsid w:val="001F2F06"/>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1F2F06"/>
    <w:rPr>
      <w:vertAlign w:val="superscript"/>
    </w:rPr>
  </w:style>
  <w:style w:type="paragraph" w:styleId="BalloonText">
    <w:name w:val="Balloon Text"/>
    <w:basedOn w:val="Normal"/>
    <w:link w:val="BalloonTextChar"/>
    <w:uiPriority w:val="99"/>
    <w:semiHidden/>
    <w:unhideWhenUsed/>
    <w:rsid w:val="00FE1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3A2"/>
    <w:rPr>
      <w:rFonts w:ascii="Segoe UI" w:eastAsia="Calibri" w:hAnsi="Segoe UI" w:cs="Segoe UI"/>
      <w:sz w:val="18"/>
      <w:szCs w:val="18"/>
    </w:rPr>
  </w:style>
  <w:style w:type="character" w:customStyle="1" w:styleId="dlxnowrap">
    <w:name w:val="dlxnowrap"/>
    <w:basedOn w:val="DefaultParagraphFont"/>
    <w:rsid w:val="008C12AD"/>
  </w:style>
  <w:style w:type="paragraph" w:styleId="Footer">
    <w:name w:val="footer"/>
    <w:basedOn w:val="Normal"/>
    <w:link w:val="FooterChar"/>
    <w:uiPriority w:val="99"/>
    <w:semiHidden/>
    <w:unhideWhenUsed/>
    <w:rsid w:val="008A352E"/>
    <w:pPr>
      <w:tabs>
        <w:tab w:val="center" w:pos="4513"/>
        <w:tab w:val="right" w:pos="9026"/>
      </w:tabs>
    </w:pPr>
  </w:style>
  <w:style w:type="character" w:customStyle="1" w:styleId="FooterChar">
    <w:name w:val="Footer Char"/>
    <w:basedOn w:val="DefaultParagraphFont"/>
    <w:link w:val="Footer"/>
    <w:uiPriority w:val="99"/>
    <w:semiHidden/>
    <w:rsid w:val="008A352E"/>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C36486"/>
    <w:rPr>
      <w:sz w:val="16"/>
      <w:szCs w:val="16"/>
    </w:rPr>
  </w:style>
  <w:style w:type="paragraph" w:styleId="CommentText">
    <w:name w:val="annotation text"/>
    <w:basedOn w:val="Normal"/>
    <w:link w:val="CommentTextChar"/>
    <w:uiPriority w:val="99"/>
    <w:semiHidden/>
    <w:unhideWhenUsed/>
    <w:rsid w:val="00C36486"/>
    <w:rPr>
      <w:sz w:val="20"/>
      <w:szCs w:val="20"/>
    </w:rPr>
  </w:style>
  <w:style w:type="character" w:customStyle="1" w:styleId="CommentTextChar">
    <w:name w:val="Comment Text Char"/>
    <w:basedOn w:val="DefaultParagraphFont"/>
    <w:link w:val="CommentText"/>
    <w:uiPriority w:val="99"/>
    <w:semiHidden/>
    <w:rsid w:val="00C3648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6486"/>
    <w:rPr>
      <w:b/>
      <w:bCs/>
    </w:rPr>
  </w:style>
  <w:style w:type="character" w:customStyle="1" w:styleId="CommentSubjectChar">
    <w:name w:val="Comment Subject Char"/>
    <w:basedOn w:val="CommentTextChar"/>
    <w:link w:val="CommentSubject"/>
    <w:uiPriority w:val="99"/>
    <w:semiHidden/>
    <w:rsid w:val="00C36486"/>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0511">
      <w:bodyDiv w:val="1"/>
      <w:marLeft w:val="0"/>
      <w:marRight w:val="0"/>
      <w:marTop w:val="0"/>
      <w:marBottom w:val="0"/>
      <w:divBdr>
        <w:top w:val="none" w:sz="0" w:space="0" w:color="auto"/>
        <w:left w:val="none" w:sz="0" w:space="0" w:color="auto"/>
        <w:bottom w:val="none" w:sz="0" w:space="0" w:color="auto"/>
        <w:right w:val="none" w:sz="0" w:space="0" w:color="auto"/>
      </w:divBdr>
    </w:div>
    <w:div w:id="772554405">
      <w:bodyDiv w:val="1"/>
      <w:marLeft w:val="0"/>
      <w:marRight w:val="0"/>
      <w:marTop w:val="0"/>
      <w:marBottom w:val="0"/>
      <w:divBdr>
        <w:top w:val="none" w:sz="0" w:space="0" w:color="auto"/>
        <w:left w:val="none" w:sz="0" w:space="0" w:color="auto"/>
        <w:bottom w:val="none" w:sz="0" w:space="0" w:color="auto"/>
        <w:right w:val="none" w:sz="0" w:space="0" w:color="auto"/>
      </w:divBdr>
    </w:div>
    <w:div w:id="187072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467A9190050DF4191C68C583E21F276" ma:contentTypeVersion="12" ma:contentTypeDescription="Kurkite naują dokumentą." ma:contentTypeScope="" ma:versionID="c45c4fb009696c6633f6ee4fd6a441dd">
  <xsd:schema xmlns:xsd="http://www.w3.org/2001/XMLSchema" xmlns:xs="http://www.w3.org/2001/XMLSchema" xmlns:p="http://schemas.microsoft.com/office/2006/metadata/properties" xmlns:ns3="31492ff9-4284-499b-9668-c586202cc9ad" xmlns:ns4="b0bdcb2b-fccd-48c8-9ccb-cef31e25f877" targetNamespace="http://schemas.microsoft.com/office/2006/metadata/properties" ma:root="true" ma:fieldsID="705db3628cef9324eaf4fab88e90d96e" ns3:_="" ns4:_="">
    <xsd:import namespace="31492ff9-4284-499b-9668-c586202cc9ad"/>
    <xsd:import namespace="b0bdcb2b-fccd-48c8-9ccb-cef31e25f8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2ff9-4284-499b-9668-c586202cc9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dcb2b-fccd-48c8-9ccb-cef31e25f87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C51D0-EC28-4B7D-A275-BF2F4B1393FB}">
  <ds:schemaRefs>
    <ds:schemaRef ds:uri="http://schemas.microsoft.com/sharepoint/v3/contenttype/forms"/>
  </ds:schemaRefs>
</ds:datastoreItem>
</file>

<file path=customXml/itemProps2.xml><?xml version="1.0" encoding="utf-8"?>
<ds:datastoreItem xmlns:ds="http://schemas.openxmlformats.org/officeDocument/2006/customXml" ds:itemID="{7225C994-ADB5-4C14-B8A7-66BD7EC057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18C091-6B69-4F9D-B3E7-9182EB40B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92ff9-4284-499b-9668-c586202cc9ad"/>
    <ds:schemaRef ds:uri="b0bdcb2b-fccd-48c8-9ccb-cef31e25f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1432</Words>
  <Characters>817</Characters>
  <Application>Microsoft Office Word</Application>
  <DocSecurity>0</DocSecurity>
  <Lines>6</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2020-06-17T05:13:00Z</dcterms:created>
  <dc:creator>Vilija Tomke</dc:creator>
  <cp:lastModifiedBy>Jevgenija Jankevič</cp:lastModifiedBy>
  <dcterms:modified xsi:type="dcterms:W3CDTF">2020-06-17T06:33:00Z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0x0101007467A9190050DF4191C68C583E21F276</vt:lpwstr>
  </property>
</Properties>
</file>