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3425" w:rsidRDefault="00CE4E61" w:rsidP="00891F25">
      <w:pPr>
        <w:pStyle w:val="Pagrindiniotekstotrauka2"/>
        <w:tabs>
          <w:tab w:val="left" w:pos="0"/>
        </w:tabs>
        <w:spacing w:after="0" w:line="240" w:lineRule="auto"/>
        <w:ind w:left="0"/>
        <w:jc w:val="center"/>
        <w:outlineLvl w:val="0"/>
        <w:rPr>
          <w:b/>
          <w:bCs/>
          <w:szCs w:val="24"/>
        </w:rPr>
      </w:pPr>
      <w:r w:rsidRPr="00CE4E61">
        <w:rPr>
          <w:b/>
          <w:bCs/>
          <w:szCs w:val="24"/>
        </w:rPr>
        <w:t xml:space="preserve">2015 M. BIRŽELIO 25 D. KOMISIJOS ĮGYVENDINIMO REGLAMENTO (ES) 2015/1013, KURIUO IŠDĖSTOMOS SU EUROPOS PARLAMENTO IR TARYBOS </w:t>
      </w:r>
      <w:r w:rsidRPr="00B231EB">
        <w:rPr>
          <w:b/>
          <w:bCs/>
          <w:szCs w:val="24"/>
        </w:rPr>
        <w:t>REGLAMENTU (EB) N</w:t>
      </w:r>
      <w:r w:rsidR="00707C95" w:rsidRPr="00B231EB">
        <w:rPr>
          <w:b/>
          <w:bCs/>
          <w:szCs w:val="24"/>
        </w:rPr>
        <w:t>R</w:t>
      </w:r>
      <w:r w:rsidRPr="00CE4E61">
        <w:rPr>
          <w:b/>
          <w:bCs/>
          <w:szCs w:val="24"/>
        </w:rPr>
        <w:t>. 273/2004 DĖL NARKOTINIŲ MEDŽIAGŲ PIRMTAKŲ (PREKURSORIŲ) IR TARYBOS REGLAMENT</w:t>
      </w:r>
      <w:r w:rsidR="00B231EB">
        <w:rPr>
          <w:b/>
          <w:bCs/>
          <w:szCs w:val="24"/>
        </w:rPr>
        <w:t>U</w:t>
      </w:r>
      <w:r w:rsidRPr="00CE4E61">
        <w:rPr>
          <w:b/>
          <w:bCs/>
          <w:szCs w:val="24"/>
        </w:rPr>
        <w:t xml:space="preserve"> (EB) Nr. 111/2005, NUSTATANČI</w:t>
      </w:r>
      <w:r w:rsidR="00B231EB">
        <w:rPr>
          <w:b/>
          <w:bCs/>
          <w:szCs w:val="24"/>
        </w:rPr>
        <w:t>U</w:t>
      </w:r>
      <w:r w:rsidRPr="00CE4E61">
        <w:rPr>
          <w:b/>
          <w:bCs/>
          <w:szCs w:val="24"/>
        </w:rPr>
        <w:t xml:space="preserve"> PREKYBOS NARKOTINIŲ IR PSICHOTROPINIŲ MEDŽIAGŲ PIRMTAKAIS (PREKURSORIAIS) TARP SĄJUNGOS IR TREČIŲJŲ ŠALIŲ STEBĖSENOS TAISYKLES, SUSIJUSIOS TAISYKL</w:t>
      </w:r>
      <w:r>
        <w:rPr>
          <w:b/>
          <w:bCs/>
          <w:szCs w:val="24"/>
        </w:rPr>
        <w:t>Ė</w:t>
      </w:r>
      <w:r w:rsidRPr="00CE4E61">
        <w:rPr>
          <w:b/>
          <w:bCs/>
          <w:szCs w:val="24"/>
        </w:rPr>
        <w:t xml:space="preserve">S </w:t>
      </w:r>
    </w:p>
    <w:p w:rsidR="00D13425" w:rsidRDefault="00891F25" w:rsidP="00891F25">
      <w:pPr>
        <w:pStyle w:val="Pagrindiniotekstotrauka2"/>
        <w:tabs>
          <w:tab w:val="left" w:pos="0"/>
        </w:tabs>
        <w:spacing w:after="0" w:line="240" w:lineRule="auto"/>
        <w:ind w:left="0"/>
        <w:jc w:val="center"/>
        <w:outlineLvl w:val="0"/>
        <w:rPr>
          <w:b/>
          <w:bCs/>
        </w:rPr>
      </w:pPr>
      <w:r w:rsidRPr="00CE4E61">
        <w:rPr>
          <w:b/>
          <w:bCs/>
        </w:rPr>
        <w:t xml:space="preserve">IR </w:t>
      </w:r>
    </w:p>
    <w:p w:rsidR="00D13425" w:rsidRDefault="00891F25" w:rsidP="00891F25">
      <w:pPr>
        <w:pStyle w:val="Pagrindiniotekstotrauka2"/>
        <w:tabs>
          <w:tab w:val="left" w:pos="0"/>
        </w:tabs>
        <w:spacing w:after="0" w:line="240" w:lineRule="auto"/>
        <w:ind w:left="0"/>
        <w:jc w:val="center"/>
        <w:outlineLvl w:val="0"/>
        <w:rPr>
          <w:b/>
          <w:bCs/>
          <w:szCs w:val="24"/>
        </w:rPr>
      </w:pPr>
      <w:r w:rsidRPr="00CE4E61">
        <w:rPr>
          <w:b/>
          <w:bCs/>
          <w:szCs w:val="24"/>
        </w:rPr>
        <w:t xml:space="preserve">LIETUVOS RESPUBLIKOS NARKOTINIŲ IR PSICHOTROPINIŲ MEDŽIAGŲ PIRMTAKŲ (PREKURSORIŲ) KONTROLĖS ĮSTATYMO NR. VIII-1207 PAKEITIMO ĮSTATYMO PROJEKTO </w:t>
      </w:r>
    </w:p>
    <w:p w:rsidR="00737148" w:rsidRPr="00CE4E61" w:rsidRDefault="00891F25" w:rsidP="00891F25">
      <w:pPr>
        <w:pStyle w:val="Pagrindiniotekstotrauka2"/>
        <w:tabs>
          <w:tab w:val="left" w:pos="0"/>
        </w:tabs>
        <w:spacing w:after="0" w:line="240" w:lineRule="auto"/>
        <w:ind w:left="0"/>
        <w:jc w:val="center"/>
        <w:outlineLvl w:val="0"/>
        <w:rPr>
          <w:b/>
          <w:bCs/>
          <w:caps/>
        </w:rPr>
      </w:pPr>
      <w:r w:rsidRPr="00CE4E61">
        <w:rPr>
          <w:b/>
          <w:bCs/>
        </w:rPr>
        <w:t>ATITIKTIES LENTELĖ</w:t>
      </w:r>
    </w:p>
    <w:p w:rsidR="00737148" w:rsidRDefault="00737148" w:rsidP="00737148"/>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5920"/>
        <w:gridCol w:w="6237"/>
        <w:gridCol w:w="1843"/>
        <w:gridCol w:w="1276"/>
      </w:tblGrid>
      <w:tr w:rsidR="00EE74AD" w:rsidRPr="001453CC" w:rsidTr="00B231EB">
        <w:tblPrEx>
          <w:tblCellMar>
            <w:top w:w="0" w:type="dxa"/>
            <w:bottom w:w="0" w:type="dxa"/>
          </w:tblCellMar>
        </w:tblPrEx>
        <w:tc>
          <w:tcPr>
            <w:tcW w:w="5920" w:type="dxa"/>
          </w:tcPr>
          <w:p w:rsidR="00B231EB" w:rsidRDefault="00CE4E61" w:rsidP="00B231EB">
            <w:pPr>
              <w:pStyle w:val="Pagrindiniotekstotrauka2"/>
              <w:tabs>
                <w:tab w:val="left" w:pos="0"/>
              </w:tabs>
              <w:spacing w:after="0" w:line="240" w:lineRule="auto"/>
              <w:ind w:left="0"/>
              <w:jc w:val="both"/>
              <w:outlineLvl w:val="0"/>
              <w:rPr>
                <w:b/>
                <w:bCs/>
                <w:szCs w:val="24"/>
              </w:rPr>
            </w:pPr>
            <w:r w:rsidRPr="00CE4E61">
              <w:rPr>
                <w:b/>
                <w:bCs/>
                <w:szCs w:val="24"/>
              </w:rPr>
              <w:t>2015 m. birželio 25 d. Komisijos įgyvendinimo reglament</w:t>
            </w:r>
            <w:r>
              <w:rPr>
                <w:b/>
                <w:bCs/>
                <w:szCs w:val="24"/>
              </w:rPr>
              <w:t>as</w:t>
            </w:r>
            <w:r w:rsidRPr="00CE4E61">
              <w:rPr>
                <w:b/>
                <w:bCs/>
                <w:szCs w:val="24"/>
              </w:rPr>
              <w:t xml:space="preserve"> (ES) 2015/1013, kuriuo išdėstomos su Europos Parlamento ir Tarybos reglamentu (EB) </w:t>
            </w:r>
            <w:r w:rsidR="001927B8">
              <w:rPr>
                <w:b/>
                <w:bCs/>
                <w:szCs w:val="24"/>
              </w:rPr>
              <w:t xml:space="preserve">     </w:t>
            </w:r>
            <w:r w:rsidRPr="00CE4E61">
              <w:rPr>
                <w:b/>
                <w:bCs/>
                <w:szCs w:val="24"/>
              </w:rPr>
              <w:t xml:space="preserve">Nr. 273/2004 dėl narkotinių medžiagų pirmtakų (prekursorių) ir Tarybos reglamentu (EB) </w:t>
            </w:r>
            <w:r w:rsidR="001927B8">
              <w:rPr>
                <w:b/>
                <w:bCs/>
                <w:szCs w:val="24"/>
              </w:rPr>
              <w:t xml:space="preserve">                 </w:t>
            </w:r>
            <w:r w:rsidRPr="00CE4E61">
              <w:rPr>
                <w:b/>
                <w:bCs/>
                <w:szCs w:val="24"/>
              </w:rPr>
              <w:t>Nr. 111/2005, nustatančiu prekybos narkotinių ir psichotropinių medžiagų pirmtakais (prekursoriais) tarp Sąjungos ir trečiųjų šalių stebėsenos taisykl</w:t>
            </w:r>
            <w:r>
              <w:rPr>
                <w:b/>
                <w:bCs/>
                <w:szCs w:val="24"/>
              </w:rPr>
              <w:t>e</w:t>
            </w:r>
            <w:r w:rsidRPr="00CE4E61">
              <w:rPr>
                <w:b/>
                <w:bCs/>
                <w:szCs w:val="24"/>
              </w:rPr>
              <w:t>s, susijusios taisyklės</w:t>
            </w:r>
          </w:p>
          <w:p w:rsidR="00EE74AD" w:rsidRPr="00CE4E61" w:rsidRDefault="00EE74AD" w:rsidP="00B231EB">
            <w:pPr>
              <w:pStyle w:val="Pagrindiniotekstotrauka2"/>
              <w:tabs>
                <w:tab w:val="left" w:pos="0"/>
              </w:tabs>
              <w:spacing w:after="0" w:line="240" w:lineRule="auto"/>
              <w:ind w:left="0"/>
              <w:jc w:val="center"/>
              <w:outlineLvl w:val="0"/>
              <w:rPr>
                <w:b/>
                <w:bCs/>
                <w:szCs w:val="24"/>
              </w:rPr>
            </w:pPr>
          </w:p>
        </w:tc>
        <w:tc>
          <w:tcPr>
            <w:tcW w:w="6237" w:type="dxa"/>
          </w:tcPr>
          <w:p w:rsidR="00EE74AD" w:rsidRPr="005162DF" w:rsidRDefault="00891F25" w:rsidP="00891F25">
            <w:pPr>
              <w:jc w:val="both"/>
              <w:rPr>
                <w:b/>
                <w:szCs w:val="24"/>
              </w:rPr>
            </w:pPr>
            <w:r w:rsidRPr="005162DF">
              <w:rPr>
                <w:b/>
              </w:rPr>
              <w:t>L</w:t>
            </w:r>
            <w:r w:rsidRPr="005162DF">
              <w:rPr>
                <w:b/>
                <w:szCs w:val="24"/>
              </w:rPr>
              <w:t xml:space="preserve">ietuvos Respublikos narkotinių ir psichotropinių medžiagų pirmtakų (prekursorių) kontrolės įstatymo </w:t>
            </w:r>
            <w:r w:rsidR="001927B8">
              <w:rPr>
                <w:b/>
                <w:szCs w:val="24"/>
              </w:rPr>
              <w:t xml:space="preserve">     </w:t>
            </w:r>
            <w:r w:rsidRPr="005162DF">
              <w:rPr>
                <w:b/>
                <w:szCs w:val="24"/>
              </w:rPr>
              <w:t>Nr. VIII-1207 pakeitimo įstatymo projektas</w:t>
            </w:r>
            <w:r w:rsidR="00D13425" w:rsidRPr="005162DF">
              <w:rPr>
                <w:b/>
                <w:szCs w:val="24"/>
              </w:rPr>
              <w:t xml:space="preserve"> (toliau – Projektas)</w:t>
            </w:r>
          </w:p>
          <w:p w:rsidR="00C04867" w:rsidRPr="005162DF" w:rsidRDefault="00C04867" w:rsidP="00C04867">
            <w:pPr>
              <w:rPr>
                <w:b/>
                <w:i/>
                <w:szCs w:val="24"/>
                <w:shd w:val="clear" w:color="auto" w:fill="FFFFFF"/>
              </w:rPr>
            </w:pPr>
          </w:p>
          <w:p w:rsidR="00C04867" w:rsidRPr="005162DF" w:rsidRDefault="00C04867" w:rsidP="006C62BE">
            <w:pPr>
              <w:rPr>
                <w:b/>
                <w:color w:val="000000"/>
                <w:szCs w:val="24"/>
              </w:rPr>
            </w:pPr>
          </w:p>
        </w:tc>
        <w:tc>
          <w:tcPr>
            <w:tcW w:w="1843" w:type="dxa"/>
          </w:tcPr>
          <w:p w:rsidR="00B231EB" w:rsidRDefault="00EE74AD" w:rsidP="00D56885">
            <w:pPr>
              <w:jc w:val="center"/>
              <w:rPr>
                <w:b/>
                <w:szCs w:val="24"/>
              </w:rPr>
            </w:pPr>
            <w:r w:rsidRPr="001453CC">
              <w:rPr>
                <w:b/>
                <w:szCs w:val="24"/>
              </w:rPr>
              <w:t xml:space="preserve">Perkėlimo </w:t>
            </w:r>
          </w:p>
          <w:p w:rsidR="00EE74AD" w:rsidRPr="001453CC" w:rsidRDefault="00EE74AD" w:rsidP="00D56885">
            <w:pPr>
              <w:jc w:val="center"/>
              <w:rPr>
                <w:b/>
                <w:szCs w:val="24"/>
              </w:rPr>
            </w:pPr>
            <w:r w:rsidRPr="001453CC">
              <w:rPr>
                <w:b/>
                <w:szCs w:val="24"/>
              </w:rPr>
              <w:t>ir (ar) įgyvendinimo lygis</w:t>
            </w:r>
          </w:p>
        </w:tc>
        <w:tc>
          <w:tcPr>
            <w:tcW w:w="1276" w:type="dxa"/>
          </w:tcPr>
          <w:p w:rsidR="00EE74AD" w:rsidRPr="001453CC" w:rsidRDefault="00EE74AD" w:rsidP="00D56885">
            <w:pPr>
              <w:jc w:val="center"/>
              <w:rPr>
                <w:b/>
                <w:szCs w:val="24"/>
              </w:rPr>
            </w:pPr>
            <w:r>
              <w:rPr>
                <w:b/>
                <w:szCs w:val="24"/>
              </w:rPr>
              <w:t>Pastabos</w:t>
            </w:r>
          </w:p>
        </w:tc>
      </w:tr>
      <w:tr w:rsidR="00EE74AD" w:rsidRPr="00E60758" w:rsidTr="00B231EB">
        <w:tblPrEx>
          <w:tblCellMar>
            <w:top w:w="0" w:type="dxa"/>
            <w:bottom w:w="0" w:type="dxa"/>
          </w:tblCellMar>
        </w:tblPrEx>
        <w:tc>
          <w:tcPr>
            <w:tcW w:w="5920" w:type="dxa"/>
          </w:tcPr>
          <w:p w:rsidR="00D4327C" w:rsidRDefault="00FA6C89" w:rsidP="006063E4">
            <w:pPr>
              <w:pStyle w:val="CM4"/>
              <w:jc w:val="both"/>
              <w:rPr>
                <w:rFonts w:ascii="Times New Roman" w:hAnsi="Times New Roman"/>
                <w:b/>
                <w:iCs/>
                <w:color w:val="000000"/>
              </w:rPr>
            </w:pPr>
            <w:r>
              <w:rPr>
                <w:rFonts w:ascii="Times New Roman" w:hAnsi="Times New Roman"/>
                <w:b/>
                <w:iCs/>
                <w:color w:val="000000"/>
              </w:rPr>
              <w:t>3 straipsni</w:t>
            </w:r>
            <w:r w:rsidR="00BF3100">
              <w:rPr>
                <w:rFonts w:ascii="Times New Roman" w:hAnsi="Times New Roman"/>
                <w:b/>
                <w:iCs/>
                <w:color w:val="000000"/>
              </w:rPr>
              <w:t>s</w:t>
            </w:r>
          </w:p>
          <w:p w:rsidR="00BF3100" w:rsidRDefault="00BF3100" w:rsidP="00BF3100">
            <w:pPr>
              <w:rPr>
                <w:b/>
                <w:bCs/>
                <w:color w:val="000000"/>
                <w:szCs w:val="24"/>
              </w:rPr>
            </w:pPr>
            <w:r w:rsidRPr="00BF3100">
              <w:rPr>
                <w:b/>
                <w:bCs/>
                <w:color w:val="000000"/>
                <w:szCs w:val="24"/>
              </w:rPr>
              <w:t>Licencijų išdavimo procedūra</w:t>
            </w:r>
          </w:p>
          <w:p w:rsidR="00BF3100" w:rsidRPr="002F1730" w:rsidRDefault="00BF3100" w:rsidP="00BF3100">
            <w:pPr>
              <w:rPr>
                <w:szCs w:val="24"/>
                <w:lang w:eastAsia="lt-LT"/>
              </w:rPr>
            </w:pPr>
            <w:r w:rsidRPr="002F1730">
              <w:rPr>
                <w:color w:val="000000"/>
                <w:szCs w:val="24"/>
              </w:rPr>
              <w:t>&lt;...&gt;</w:t>
            </w:r>
          </w:p>
          <w:p w:rsidR="00737221" w:rsidRPr="00B231EB" w:rsidRDefault="00BF3100" w:rsidP="00B231EB">
            <w:pPr>
              <w:pStyle w:val="CM4"/>
              <w:jc w:val="both"/>
              <w:rPr>
                <w:rFonts w:ascii="Times New Roman" w:hAnsi="Times New Roman"/>
                <w:b/>
                <w:iCs/>
                <w:color w:val="000000"/>
              </w:rPr>
            </w:pPr>
            <w:r>
              <w:rPr>
                <w:rFonts w:ascii="Times New Roman" w:hAnsi="Times New Roman"/>
                <w:color w:val="000000"/>
              </w:rPr>
              <w:t xml:space="preserve">4. </w:t>
            </w:r>
            <w:r w:rsidR="00FA6C89" w:rsidRPr="008B5C03">
              <w:rPr>
                <w:rFonts w:ascii="Times New Roman" w:hAnsi="Times New Roman"/>
                <w:color w:val="000000"/>
              </w:rPr>
              <w:t>Kompetentinga institucija sprendimą išduoti naują licenciją ar jos neišduoti priima per 60 darbo dienų nuo išsamios naujos licencijos paraiškos gavimo dienos, o sprendimą dėl licencijos atnaujinimo priima per 30 darbo dienų.</w:t>
            </w:r>
          </w:p>
        </w:tc>
        <w:tc>
          <w:tcPr>
            <w:tcW w:w="6237" w:type="dxa"/>
          </w:tcPr>
          <w:p w:rsidR="00D13425" w:rsidRPr="005162DF" w:rsidRDefault="00D13425" w:rsidP="008B5C03">
            <w:pPr>
              <w:jc w:val="both"/>
              <w:rPr>
                <w:b/>
                <w:szCs w:val="24"/>
                <w:lang w:eastAsia="lt-LT"/>
              </w:rPr>
            </w:pPr>
            <w:bookmarkStart w:id="0" w:name="estr1"/>
            <w:bookmarkStart w:id="1" w:name="2str"/>
            <w:bookmarkEnd w:id="0"/>
            <w:bookmarkEnd w:id="1"/>
            <w:r w:rsidRPr="005162DF">
              <w:rPr>
                <w:b/>
                <w:szCs w:val="24"/>
                <w:lang w:eastAsia="lt-LT"/>
              </w:rPr>
              <w:t>Proejektas</w:t>
            </w:r>
          </w:p>
          <w:p w:rsidR="00777D67" w:rsidRPr="005162DF" w:rsidRDefault="00B92C92" w:rsidP="008B5C03">
            <w:pPr>
              <w:jc w:val="both"/>
              <w:rPr>
                <w:b/>
                <w:szCs w:val="24"/>
                <w:lang w:eastAsia="lt-LT"/>
              </w:rPr>
            </w:pPr>
            <w:r>
              <w:rPr>
                <w:b/>
                <w:szCs w:val="24"/>
                <w:lang w:eastAsia="lt-LT"/>
              </w:rPr>
              <w:t>5</w:t>
            </w:r>
            <w:r w:rsidR="00777D67" w:rsidRPr="005162DF">
              <w:rPr>
                <w:b/>
                <w:szCs w:val="24"/>
                <w:lang w:eastAsia="lt-LT"/>
              </w:rPr>
              <w:t xml:space="preserve"> straipsnis. Licencijos ar specialiosios licencijos išdavimas</w:t>
            </w:r>
            <w:r w:rsidR="00707C95" w:rsidRPr="005162DF">
              <w:rPr>
                <w:b/>
                <w:szCs w:val="24"/>
                <w:lang w:eastAsia="lt-LT"/>
              </w:rPr>
              <w:t>,</w:t>
            </w:r>
            <w:r w:rsidR="00777D67" w:rsidRPr="005162DF">
              <w:rPr>
                <w:b/>
                <w:szCs w:val="24"/>
                <w:lang w:eastAsia="lt-LT"/>
              </w:rPr>
              <w:t xml:space="preserve"> patikslinimas</w:t>
            </w:r>
          </w:p>
          <w:p w:rsidR="00BF3100" w:rsidRPr="00B92C92" w:rsidRDefault="00BF3100" w:rsidP="008B5C03">
            <w:pPr>
              <w:jc w:val="both"/>
              <w:rPr>
                <w:b/>
                <w:szCs w:val="24"/>
                <w:lang w:eastAsia="lt-LT"/>
              </w:rPr>
            </w:pPr>
            <w:r w:rsidRPr="00B92C92">
              <w:rPr>
                <w:b/>
                <w:szCs w:val="24"/>
                <w:lang w:eastAsia="lt-LT"/>
              </w:rPr>
              <w:t>&lt;...&gt;</w:t>
            </w:r>
          </w:p>
          <w:p w:rsidR="00B92C92" w:rsidRPr="00B92C92" w:rsidRDefault="00B92C92" w:rsidP="00B92C92">
            <w:pPr>
              <w:jc w:val="both"/>
              <w:rPr>
                <w:b/>
                <w:szCs w:val="24"/>
                <w:lang w:eastAsia="lt-LT"/>
              </w:rPr>
            </w:pPr>
            <w:r w:rsidRPr="00B92C92">
              <w:rPr>
                <w:b/>
                <w:szCs w:val="24"/>
                <w:lang w:eastAsia="lt-LT"/>
              </w:rPr>
              <w:t>7. Sprendimas dėl licencijos, specialiosios licencijos išdavimo, atsisakymo jas išduoti priimamas per Reglamento (ES) 2015/1013 3 straipsnio 4 dalyje nustatytą terminą nuo visų tinkamai įformintų dokumentų, kurių reikia licencijai, specialiajai licencijai gauti, gavimo dienos. Jeigu per šį terminą licencija, specialioji licencija neišduodama ir nepateikiamas subjektui motyvuotas rašytinis atsisakymas licenciją, specialiąją licenciją išduoti, laikoma, kad licencija, specialioji licencija yra išduotos.</w:t>
            </w:r>
          </w:p>
          <w:p w:rsidR="00FE1BAA" w:rsidRPr="005162DF" w:rsidRDefault="00FE1BAA" w:rsidP="00B231EB">
            <w:pPr>
              <w:jc w:val="both"/>
              <w:rPr>
                <w:b/>
                <w:szCs w:val="24"/>
                <w:lang w:eastAsia="lt-LT"/>
              </w:rPr>
            </w:pPr>
            <w:r w:rsidRPr="00B92C92">
              <w:rPr>
                <w:b/>
                <w:szCs w:val="24"/>
                <w:lang w:eastAsia="lt-LT"/>
              </w:rPr>
              <w:t>&lt;...&gt;</w:t>
            </w:r>
          </w:p>
        </w:tc>
        <w:tc>
          <w:tcPr>
            <w:tcW w:w="1843" w:type="dxa"/>
          </w:tcPr>
          <w:p w:rsidR="00EE74AD" w:rsidRDefault="00EE74AD" w:rsidP="007B2F72">
            <w:pPr>
              <w:pStyle w:val="Fait"/>
              <w:spacing w:before="0"/>
              <w:jc w:val="left"/>
              <w:rPr>
                <w:szCs w:val="24"/>
                <w:lang w:val="lt-LT"/>
              </w:rPr>
            </w:pPr>
            <w:r w:rsidRPr="00EE74AD">
              <w:rPr>
                <w:szCs w:val="24"/>
                <w:lang w:val="lt-LT"/>
              </w:rPr>
              <w:t>Visiškas</w:t>
            </w:r>
          </w:p>
          <w:p w:rsidR="00C115B5" w:rsidRDefault="00C115B5" w:rsidP="00C115B5"/>
          <w:p w:rsidR="00C115B5" w:rsidRDefault="00C115B5" w:rsidP="00C115B5"/>
          <w:p w:rsidR="00C115B5" w:rsidRDefault="00C115B5" w:rsidP="00C115B5"/>
          <w:p w:rsidR="00C115B5" w:rsidRDefault="00C115B5" w:rsidP="00C115B5"/>
          <w:p w:rsidR="00C115B5" w:rsidRDefault="00C115B5" w:rsidP="00C115B5"/>
          <w:p w:rsidR="00227607" w:rsidRDefault="00227607" w:rsidP="00C115B5"/>
          <w:p w:rsidR="00F11536" w:rsidRPr="00C115B5" w:rsidRDefault="00F11536" w:rsidP="00C115B5"/>
        </w:tc>
        <w:tc>
          <w:tcPr>
            <w:tcW w:w="1276" w:type="dxa"/>
          </w:tcPr>
          <w:p w:rsidR="00EE74AD" w:rsidRPr="00556485" w:rsidRDefault="00EE74AD" w:rsidP="001453CC">
            <w:pPr>
              <w:pStyle w:val="Fait"/>
              <w:spacing w:before="0"/>
              <w:rPr>
                <w:szCs w:val="24"/>
                <w:highlight w:val="yellow"/>
                <w:lang w:val="lt-LT"/>
              </w:rPr>
            </w:pPr>
          </w:p>
        </w:tc>
      </w:tr>
      <w:tr w:rsidR="00BF3100" w:rsidRPr="00E60758" w:rsidTr="00B231EB">
        <w:tblPrEx>
          <w:tblCellMar>
            <w:top w:w="0" w:type="dxa"/>
            <w:bottom w:w="0" w:type="dxa"/>
          </w:tblCellMar>
        </w:tblPrEx>
        <w:tc>
          <w:tcPr>
            <w:tcW w:w="5920" w:type="dxa"/>
          </w:tcPr>
          <w:p w:rsidR="00076E53" w:rsidRDefault="00076E53" w:rsidP="00076E53">
            <w:pPr>
              <w:pStyle w:val="CM4"/>
              <w:jc w:val="both"/>
              <w:rPr>
                <w:rFonts w:ascii="Times New Roman" w:hAnsi="Times New Roman"/>
                <w:b/>
                <w:iCs/>
                <w:color w:val="000000"/>
              </w:rPr>
            </w:pPr>
            <w:r>
              <w:rPr>
                <w:rFonts w:ascii="Times New Roman" w:hAnsi="Times New Roman"/>
                <w:b/>
                <w:iCs/>
                <w:color w:val="000000"/>
              </w:rPr>
              <w:t>3 straipsnis</w:t>
            </w:r>
          </w:p>
          <w:p w:rsidR="00076E53" w:rsidRDefault="00076E53" w:rsidP="00076E53">
            <w:pPr>
              <w:rPr>
                <w:b/>
                <w:bCs/>
                <w:color w:val="000000"/>
                <w:szCs w:val="24"/>
              </w:rPr>
            </w:pPr>
            <w:r w:rsidRPr="00BF3100">
              <w:rPr>
                <w:b/>
                <w:bCs/>
                <w:color w:val="000000"/>
                <w:szCs w:val="24"/>
              </w:rPr>
              <w:t>Licencijų išdavimo procedūra</w:t>
            </w:r>
          </w:p>
          <w:p w:rsidR="00076E53" w:rsidRPr="002F1730" w:rsidRDefault="00076E53" w:rsidP="00076E53">
            <w:pPr>
              <w:rPr>
                <w:szCs w:val="24"/>
                <w:lang w:eastAsia="lt-LT"/>
              </w:rPr>
            </w:pPr>
            <w:r w:rsidRPr="002F1730">
              <w:rPr>
                <w:color w:val="000000"/>
                <w:szCs w:val="24"/>
              </w:rPr>
              <w:t>&lt;...&gt;</w:t>
            </w:r>
          </w:p>
          <w:p w:rsidR="00076E53" w:rsidRPr="008B5C03" w:rsidRDefault="00076E53" w:rsidP="00076E53">
            <w:pPr>
              <w:pStyle w:val="CM4"/>
              <w:jc w:val="both"/>
              <w:rPr>
                <w:rFonts w:ascii="Times New Roman" w:hAnsi="Times New Roman"/>
                <w:b/>
                <w:iCs/>
                <w:color w:val="000000"/>
              </w:rPr>
            </w:pPr>
            <w:r>
              <w:rPr>
                <w:rFonts w:ascii="Times New Roman" w:hAnsi="Times New Roman"/>
                <w:color w:val="000000"/>
              </w:rPr>
              <w:lastRenderedPageBreak/>
              <w:t xml:space="preserve">4. </w:t>
            </w:r>
            <w:r w:rsidRPr="008B5C03">
              <w:rPr>
                <w:rFonts w:ascii="Times New Roman" w:hAnsi="Times New Roman"/>
                <w:color w:val="000000"/>
              </w:rPr>
              <w:t>Kompetentinga institucija sprendimą išduoti naują licenciją ar jos neišduoti priima per 60 darbo dienų nuo išsamios naujos licencijos paraiškos gavimo dienos, o sprendimą dėl licencijos atnaujinimo priima per 30 darbo dienų.</w:t>
            </w:r>
          </w:p>
          <w:p w:rsidR="00BF3100" w:rsidRDefault="00BF3100" w:rsidP="006063E4">
            <w:pPr>
              <w:pStyle w:val="CM4"/>
              <w:jc w:val="both"/>
              <w:rPr>
                <w:rFonts w:ascii="Times New Roman" w:hAnsi="Times New Roman"/>
                <w:b/>
                <w:iCs/>
                <w:color w:val="000000"/>
              </w:rPr>
            </w:pPr>
          </w:p>
        </w:tc>
        <w:tc>
          <w:tcPr>
            <w:tcW w:w="6237" w:type="dxa"/>
          </w:tcPr>
          <w:p w:rsidR="00D13425" w:rsidRPr="005162DF" w:rsidRDefault="00D13425" w:rsidP="00076E53">
            <w:pPr>
              <w:jc w:val="both"/>
              <w:rPr>
                <w:b/>
                <w:szCs w:val="24"/>
                <w:lang w:eastAsia="lt-LT"/>
              </w:rPr>
            </w:pPr>
            <w:r w:rsidRPr="005162DF">
              <w:rPr>
                <w:b/>
                <w:szCs w:val="24"/>
                <w:lang w:eastAsia="lt-LT"/>
              </w:rPr>
              <w:lastRenderedPageBreak/>
              <w:t>Projektas</w:t>
            </w:r>
          </w:p>
          <w:p w:rsidR="000D1D02" w:rsidRPr="00D33FD7" w:rsidRDefault="000D1D02" w:rsidP="000D1D02">
            <w:pPr>
              <w:jc w:val="both"/>
              <w:rPr>
                <w:szCs w:val="24"/>
                <w:lang w:eastAsia="lt-LT"/>
              </w:rPr>
            </w:pPr>
            <w:r>
              <w:rPr>
                <w:b/>
                <w:szCs w:val="24"/>
                <w:lang w:eastAsia="lt-LT"/>
              </w:rPr>
              <w:t>9</w:t>
            </w:r>
            <w:r w:rsidRPr="00D33FD7">
              <w:rPr>
                <w:b/>
                <w:szCs w:val="24"/>
                <w:lang w:eastAsia="lt-LT"/>
              </w:rPr>
              <w:t xml:space="preserve"> straipsnis. Veiklos vietos registracijos pažymėjimo ir veiklos vietos specialiojo registracijos pažymėjimo </w:t>
            </w:r>
            <w:r w:rsidRPr="00D33FD7">
              <w:rPr>
                <w:b/>
                <w:szCs w:val="24"/>
                <w:lang w:eastAsia="lt-LT"/>
              </w:rPr>
              <w:lastRenderedPageBreak/>
              <w:t>išdavimas, patikslinimas</w:t>
            </w:r>
          </w:p>
          <w:p w:rsidR="00076E53" w:rsidRPr="000D1D02" w:rsidRDefault="00076E53" w:rsidP="00076E53">
            <w:pPr>
              <w:jc w:val="both"/>
              <w:rPr>
                <w:b/>
                <w:szCs w:val="24"/>
                <w:lang w:eastAsia="lt-LT"/>
              </w:rPr>
            </w:pPr>
            <w:r w:rsidRPr="000D1D02">
              <w:rPr>
                <w:b/>
                <w:szCs w:val="24"/>
                <w:lang w:eastAsia="lt-LT"/>
              </w:rPr>
              <w:t>&lt;...&gt;</w:t>
            </w:r>
          </w:p>
          <w:p w:rsidR="000D1D02" w:rsidRPr="000D1D02" w:rsidRDefault="000D1D02" w:rsidP="000D1D02">
            <w:pPr>
              <w:jc w:val="both"/>
              <w:rPr>
                <w:b/>
                <w:szCs w:val="24"/>
              </w:rPr>
            </w:pPr>
            <w:r w:rsidRPr="000D1D02">
              <w:rPr>
                <w:b/>
                <w:szCs w:val="24"/>
              </w:rPr>
              <w:t xml:space="preserve">3. Sprendimas dėl veiklos vietos registracijos pažymėjimo ar </w:t>
            </w:r>
            <w:r w:rsidRPr="000D1D02">
              <w:rPr>
                <w:b/>
                <w:szCs w:val="24"/>
                <w:lang w:eastAsia="lt-LT"/>
              </w:rPr>
              <w:t xml:space="preserve">veiklos vietos specialiojo registracijos pažymėjimo </w:t>
            </w:r>
            <w:r w:rsidRPr="000D1D02">
              <w:rPr>
                <w:b/>
                <w:szCs w:val="24"/>
              </w:rPr>
              <w:t xml:space="preserve">išdavimo, patikslinimo, atsisakymo jį išduoti ar patikslinti priimamas per Reglamento </w:t>
            </w:r>
            <w:r w:rsidRPr="000D1D02">
              <w:rPr>
                <w:b/>
                <w:szCs w:val="24"/>
                <w:lang w:eastAsia="lt-LT"/>
              </w:rPr>
              <w:t xml:space="preserve">(ES) 2015/1013 3 straipsnio 4 dalyje nustatytą terminą </w:t>
            </w:r>
            <w:r w:rsidRPr="000D1D02">
              <w:rPr>
                <w:b/>
                <w:szCs w:val="24"/>
              </w:rPr>
              <w:t xml:space="preserve">nuo visų tinkamai įformintų dokumentų, kurių reikia veiklos vietos registracijos pažymėjimui ar </w:t>
            </w:r>
            <w:r w:rsidRPr="000D1D02">
              <w:rPr>
                <w:b/>
                <w:szCs w:val="24"/>
                <w:lang w:eastAsia="lt-LT"/>
              </w:rPr>
              <w:t xml:space="preserve">veiklos vietos specialiajam registracijos pažymėjimui gauti, gavimo dienos. Jeigu per šį terminą </w:t>
            </w:r>
            <w:r w:rsidRPr="000D1D02">
              <w:rPr>
                <w:b/>
                <w:szCs w:val="24"/>
              </w:rPr>
              <w:t xml:space="preserve">veiklos vietos registracijos pažymėjimas ar </w:t>
            </w:r>
            <w:r w:rsidRPr="000D1D02">
              <w:rPr>
                <w:b/>
                <w:szCs w:val="24"/>
                <w:lang w:eastAsia="lt-LT"/>
              </w:rPr>
              <w:t xml:space="preserve">veiklos vietos specialusis registracijos pažymėjimas neišduodami ir nepateikiamas subjektui motyvuotas rašytinis atsisakymas </w:t>
            </w:r>
            <w:r w:rsidRPr="000D1D02">
              <w:rPr>
                <w:b/>
                <w:szCs w:val="24"/>
              </w:rPr>
              <w:t xml:space="preserve">veiklos vietos registracijos pažymėjimą ar </w:t>
            </w:r>
            <w:r w:rsidRPr="000D1D02">
              <w:rPr>
                <w:b/>
                <w:szCs w:val="24"/>
                <w:lang w:eastAsia="lt-LT"/>
              </w:rPr>
              <w:t xml:space="preserve">veiklos vietos specialųjį registracijos pažymėjimą išduoti, laikoma, kad </w:t>
            </w:r>
            <w:r w:rsidRPr="000D1D02">
              <w:rPr>
                <w:b/>
                <w:szCs w:val="24"/>
              </w:rPr>
              <w:t xml:space="preserve">veiklos vietos registracijos pažymėjimas ar </w:t>
            </w:r>
            <w:r w:rsidRPr="000D1D02">
              <w:rPr>
                <w:b/>
                <w:szCs w:val="24"/>
                <w:lang w:eastAsia="lt-LT"/>
              </w:rPr>
              <w:t>veiklos vietos specialusis registracijos pažymėjimas yra išduoti.</w:t>
            </w:r>
          </w:p>
          <w:p w:rsidR="00FE1BAA" w:rsidRPr="005162DF" w:rsidRDefault="00FE1BAA" w:rsidP="008B5C03">
            <w:pPr>
              <w:jc w:val="both"/>
              <w:rPr>
                <w:b/>
                <w:szCs w:val="24"/>
                <w:lang w:eastAsia="lt-LT"/>
              </w:rPr>
            </w:pPr>
            <w:r w:rsidRPr="000D1D02">
              <w:rPr>
                <w:b/>
                <w:szCs w:val="24"/>
                <w:lang w:eastAsia="lt-LT"/>
              </w:rPr>
              <w:t>&lt;...&gt;</w:t>
            </w:r>
          </w:p>
        </w:tc>
        <w:tc>
          <w:tcPr>
            <w:tcW w:w="1843" w:type="dxa"/>
          </w:tcPr>
          <w:p w:rsidR="002F1730" w:rsidRDefault="002F1730" w:rsidP="002F1730">
            <w:pPr>
              <w:pStyle w:val="Fait"/>
              <w:spacing w:before="0"/>
              <w:jc w:val="left"/>
              <w:rPr>
                <w:szCs w:val="24"/>
                <w:lang w:val="lt-LT"/>
              </w:rPr>
            </w:pPr>
            <w:r w:rsidRPr="002F1730">
              <w:rPr>
                <w:szCs w:val="24"/>
                <w:lang w:val="lt-LT"/>
              </w:rPr>
              <w:lastRenderedPageBreak/>
              <w:t>Visiškas</w:t>
            </w:r>
          </w:p>
          <w:p w:rsidR="00BF3100" w:rsidRDefault="00BF3100" w:rsidP="007B2F72">
            <w:pPr>
              <w:pStyle w:val="Fait"/>
              <w:spacing w:before="0"/>
              <w:jc w:val="left"/>
              <w:rPr>
                <w:szCs w:val="24"/>
                <w:lang w:val="lt-LT"/>
              </w:rPr>
            </w:pPr>
          </w:p>
        </w:tc>
        <w:tc>
          <w:tcPr>
            <w:tcW w:w="1276" w:type="dxa"/>
          </w:tcPr>
          <w:p w:rsidR="00BF3100" w:rsidRPr="00556485" w:rsidRDefault="00BF3100" w:rsidP="001453CC">
            <w:pPr>
              <w:pStyle w:val="Fait"/>
              <w:spacing w:before="0"/>
              <w:rPr>
                <w:szCs w:val="24"/>
                <w:highlight w:val="yellow"/>
                <w:lang w:val="lt-LT"/>
              </w:rPr>
            </w:pPr>
          </w:p>
        </w:tc>
      </w:tr>
      <w:tr w:rsidR="00B90B91" w:rsidRPr="00E60758" w:rsidTr="00B231EB">
        <w:tblPrEx>
          <w:tblCellMar>
            <w:top w:w="0" w:type="dxa"/>
            <w:bottom w:w="0" w:type="dxa"/>
          </w:tblCellMar>
        </w:tblPrEx>
        <w:tc>
          <w:tcPr>
            <w:tcW w:w="5920" w:type="dxa"/>
          </w:tcPr>
          <w:p w:rsidR="00076E53" w:rsidRDefault="00B90B91" w:rsidP="00B90B91">
            <w:pPr>
              <w:pStyle w:val="CM4"/>
              <w:jc w:val="both"/>
              <w:rPr>
                <w:rFonts w:ascii="Times New Roman" w:hAnsi="Times New Roman"/>
                <w:b/>
                <w:iCs/>
                <w:color w:val="000000"/>
              </w:rPr>
            </w:pPr>
            <w:r>
              <w:rPr>
                <w:rFonts w:ascii="Times New Roman" w:hAnsi="Times New Roman"/>
                <w:b/>
                <w:iCs/>
                <w:color w:val="000000"/>
              </w:rPr>
              <w:t>9 straipsni</w:t>
            </w:r>
            <w:r w:rsidR="00076E53">
              <w:rPr>
                <w:rFonts w:ascii="Times New Roman" w:hAnsi="Times New Roman"/>
                <w:b/>
                <w:iCs/>
                <w:color w:val="000000"/>
              </w:rPr>
              <w:t>s</w:t>
            </w:r>
          </w:p>
          <w:p w:rsidR="00076E53" w:rsidRPr="00076E53" w:rsidRDefault="00076E53" w:rsidP="00076E53">
            <w:pPr>
              <w:rPr>
                <w:b/>
                <w:bCs/>
                <w:szCs w:val="24"/>
                <w:lang w:eastAsia="lt-LT"/>
              </w:rPr>
            </w:pPr>
            <w:r w:rsidRPr="00076E53">
              <w:rPr>
                <w:b/>
                <w:bCs/>
                <w:color w:val="000000"/>
                <w:szCs w:val="24"/>
              </w:rPr>
              <w:t>Registracijos procedūra</w:t>
            </w:r>
          </w:p>
          <w:p w:rsidR="00076E53" w:rsidRDefault="00076E53" w:rsidP="00B90B91">
            <w:pPr>
              <w:pStyle w:val="CM4"/>
              <w:jc w:val="both"/>
              <w:rPr>
                <w:rFonts w:ascii="Times New Roman" w:hAnsi="Times New Roman"/>
                <w:bCs/>
                <w:iCs/>
                <w:color w:val="000000"/>
              </w:rPr>
            </w:pPr>
            <w:r>
              <w:rPr>
                <w:rFonts w:ascii="Times New Roman" w:hAnsi="Times New Roman"/>
                <w:bCs/>
                <w:iCs/>
                <w:color w:val="000000"/>
              </w:rPr>
              <w:t xml:space="preserve">&lt;...&gt; </w:t>
            </w:r>
          </w:p>
          <w:p w:rsidR="00B90B91" w:rsidRDefault="00076E53" w:rsidP="00B90B91">
            <w:pPr>
              <w:pStyle w:val="CM4"/>
              <w:jc w:val="both"/>
              <w:rPr>
                <w:rFonts w:ascii="Times New Roman" w:hAnsi="Times New Roman"/>
                <w:b/>
                <w:iCs/>
                <w:color w:val="000000"/>
              </w:rPr>
            </w:pPr>
            <w:r w:rsidRPr="00076E53">
              <w:rPr>
                <w:rFonts w:ascii="Times New Roman" w:hAnsi="Times New Roman"/>
                <w:bCs/>
                <w:iCs/>
                <w:color w:val="000000"/>
              </w:rPr>
              <w:t xml:space="preserve">2. </w:t>
            </w:r>
            <w:r w:rsidR="00B90B91" w:rsidRPr="00076E53">
              <w:rPr>
                <w:rFonts w:ascii="Times New Roman" w:hAnsi="Times New Roman"/>
                <w:bCs/>
                <w:color w:val="000000"/>
              </w:rPr>
              <w:t>Registracijos</w:t>
            </w:r>
            <w:r w:rsidR="00B90B91" w:rsidRPr="00652F80">
              <w:rPr>
                <w:rFonts w:ascii="Times New Roman" w:hAnsi="Times New Roman"/>
                <w:color w:val="000000"/>
              </w:rPr>
              <w:t xml:space="preserve"> pažymėjimas pagal Reglamento (EB) </w:t>
            </w:r>
            <w:r w:rsidR="001927B8">
              <w:rPr>
                <w:rFonts w:ascii="Times New Roman" w:hAnsi="Times New Roman"/>
                <w:color w:val="000000"/>
              </w:rPr>
              <w:t xml:space="preserve">    </w:t>
            </w:r>
            <w:r w:rsidR="00B90B91" w:rsidRPr="00652F80">
              <w:rPr>
                <w:rFonts w:ascii="Times New Roman" w:hAnsi="Times New Roman"/>
                <w:color w:val="000000"/>
              </w:rPr>
              <w:t>Nr.</w:t>
            </w:r>
            <w:r w:rsidR="00B90B91">
              <w:rPr>
                <w:rFonts w:ascii="Times New Roman" w:hAnsi="Times New Roman"/>
                <w:color w:val="000000"/>
              </w:rPr>
              <w:t xml:space="preserve"> </w:t>
            </w:r>
            <w:r w:rsidR="00B90B91" w:rsidRPr="00652F80">
              <w:rPr>
                <w:rFonts w:ascii="Times New Roman" w:hAnsi="Times New Roman"/>
                <w:color w:val="000000"/>
              </w:rPr>
              <w:t>273/2004 3</w:t>
            </w:r>
            <w:r w:rsidR="00B90B91">
              <w:rPr>
                <w:rFonts w:ascii="Times New Roman" w:hAnsi="Times New Roman"/>
                <w:color w:val="000000"/>
              </w:rPr>
              <w:t xml:space="preserve"> </w:t>
            </w:r>
            <w:r w:rsidR="00B90B91" w:rsidRPr="00652F80">
              <w:rPr>
                <w:rFonts w:ascii="Times New Roman" w:hAnsi="Times New Roman"/>
                <w:color w:val="000000"/>
              </w:rPr>
              <w:t>straipsnio 6</w:t>
            </w:r>
            <w:r w:rsidR="00B90B91">
              <w:rPr>
                <w:rFonts w:ascii="Times New Roman" w:hAnsi="Times New Roman"/>
                <w:color w:val="000000"/>
              </w:rPr>
              <w:t xml:space="preserve"> </w:t>
            </w:r>
            <w:r w:rsidR="00B90B91" w:rsidRPr="00652F80">
              <w:rPr>
                <w:rFonts w:ascii="Times New Roman" w:hAnsi="Times New Roman"/>
                <w:color w:val="000000"/>
              </w:rPr>
              <w:t xml:space="preserve">dalį arba Reglamento (EB) </w:t>
            </w:r>
            <w:r w:rsidR="001927B8">
              <w:rPr>
                <w:rFonts w:ascii="Times New Roman" w:hAnsi="Times New Roman"/>
                <w:color w:val="000000"/>
              </w:rPr>
              <w:t xml:space="preserve"> </w:t>
            </w:r>
            <w:r w:rsidR="00B90B91" w:rsidRPr="00652F80">
              <w:rPr>
                <w:rFonts w:ascii="Times New Roman" w:hAnsi="Times New Roman"/>
                <w:color w:val="000000"/>
              </w:rPr>
              <w:t>Nr.</w:t>
            </w:r>
            <w:r w:rsidR="00B90B91">
              <w:rPr>
                <w:rFonts w:ascii="Times New Roman" w:hAnsi="Times New Roman"/>
                <w:color w:val="000000"/>
              </w:rPr>
              <w:t xml:space="preserve"> </w:t>
            </w:r>
            <w:r w:rsidR="00B90B91" w:rsidRPr="00652F80">
              <w:rPr>
                <w:rFonts w:ascii="Times New Roman" w:hAnsi="Times New Roman"/>
                <w:color w:val="000000"/>
              </w:rPr>
              <w:t>111/2005 7</w:t>
            </w:r>
            <w:r w:rsidR="00B90B91">
              <w:rPr>
                <w:rFonts w:ascii="Times New Roman" w:hAnsi="Times New Roman"/>
                <w:color w:val="000000"/>
              </w:rPr>
              <w:t xml:space="preserve"> </w:t>
            </w:r>
            <w:r w:rsidR="00B90B91" w:rsidRPr="00652F80">
              <w:rPr>
                <w:rFonts w:ascii="Times New Roman" w:hAnsi="Times New Roman"/>
                <w:color w:val="000000"/>
              </w:rPr>
              <w:t>straipsnio 1</w:t>
            </w:r>
            <w:r w:rsidR="00B90B91">
              <w:rPr>
                <w:rFonts w:ascii="Times New Roman" w:hAnsi="Times New Roman"/>
                <w:color w:val="000000"/>
              </w:rPr>
              <w:t xml:space="preserve"> </w:t>
            </w:r>
            <w:r w:rsidR="00B90B91" w:rsidRPr="00652F80">
              <w:rPr>
                <w:rFonts w:ascii="Times New Roman" w:hAnsi="Times New Roman"/>
                <w:color w:val="000000"/>
              </w:rPr>
              <w:t>dalį išduodamas II priede nurodytos formos.</w:t>
            </w:r>
          </w:p>
          <w:p w:rsidR="00B90B91" w:rsidRPr="00652F80" w:rsidRDefault="00076E53" w:rsidP="00B90B91">
            <w:pPr>
              <w:pStyle w:val="CM4"/>
              <w:jc w:val="both"/>
              <w:rPr>
                <w:rFonts w:ascii="Times New Roman" w:hAnsi="Times New Roman"/>
                <w:bCs/>
                <w:iCs/>
                <w:color w:val="000000"/>
              </w:rPr>
            </w:pPr>
            <w:r w:rsidRPr="00076E53">
              <w:rPr>
                <w:rFonts w:ascii="Times New Roman" w:hAnsi="Times New Roman"/>
                <w:bCs/>
                <w:iCs/>
                <w:color w:val="000000"/>
              </w:rPr>
              <w:t>3.</w:t>
            </w:r>
            <w:r>
              <w:rPr>
                <w:rFonts w:ascii="Times New Roman" w:hAnsi="Times New Roman"/>
                <w:b/>
                <w:iCs/>
                <w:color w:val="000000"/>
              </w:rPr>
              <w:t xml:space="preserve"> </w:t>
            </w:r>
            <w:r w:rsidR="00B90B91" w:rsidRPr="00652F80">
              <w:rPr>
                <w:rFonts w:ascii="Times New Roman" w:hAnsi="Times New Roman"/>
                <w:bCs/>
                <w:color w:val="000000"/>
              </w:rPr>
              <w:t>Nukrypdama nuo 2 dalies, kompetentinga institucija gali išduoti registracijos pažymėjimus ant formos, išspausdintos iki šio reglamento įsigaliojimo dienos ir atitinkančius nacionalines taisykles, taikomas prieš įsigaliojant šiam reglamentui, kol baigsis jų atsargos.</w:t>
            </w:r>
          </w:p>
          <w:p w:rsidR="00B90B91" w:rsidRDefault="00B90B91" w:rsidP="006063E4">
            <w:pPr>
              <w:pStyle w:val="CM4"/>
              <w:jc w:val="both"/>
              <w:rPr>
                <w:rFonts w:ascii="Times New Roman" w:hAnsi="Times New Roman"/>
                <w:b/>
                <w:iCs/>
                <w:color w:val="000000"/>
              </w:rPr>
            </w:pPr>
          </w:p>
        </w:tc>
        <w:tc>
          <w:tcPr>
            <w:tcW w:w="6237" w:type="dxa"/>
          </w:tcPr>
          <w:p w:rsidR="00D13425" w:rsidRPr="005162DF" w:rsidRDefault="00D13425" w:rsidP="00B90B91">
            <w:pPr>
              <w:jc w:val="both"/>
              <w:rPr>
                <w:b/>
                <w:szCs w:val="24"/>
                <w:lang w:eastAsia="lt-LT"/>
              </w:rPr>
            </w:pPr>
            <w:r w:rsidRPr="005162DF">
              <w:rPr>
                <w:b/>
                <w:szCs w:val="24"/>
                <w:lang w:eastAsia="lt-LT"/>
              </w:rPr>
              <w:t>Projektas</w:t>
            </w:r>
          </w:p>
          <w:p w:rsidR="00E70C2E" w:rsidRPr="00D33FD7" w:rsidRDefault="00E70C2E" w:rsidP="00E70C2E">
            <w:pPr>
              <w:jc w:val="both"/>
              <w:rPr>
                <w:szCs w:val="24"/>
                <w:lang w:eastAsia="lt-LT"/>
              </w:rPr>
            </w:pPr>
            <w:r>
              <w:rPr>
                <w:b/>
                <w:szCs w:val="24"/>
                <w:lang w:eastAsia="lt-LT"/>
              </w:rPr>
              <w:t>9</w:t>
            </w:r>
            <w:r w:rsidRPr="00D33FD7">
              <w:rPr>
                <w:b/>
                <w:szCs w:val="24"/>
                <w:lang w:eastAsia="lt-LT"/>
              </w:rPr>
              <w:t xml:space="preserve"> straipsnis. Veiklos vietos registracijos pažymėjimo ir veiklos vietos specialiojo registracijos pažymėjimo išdavimas, patikslinimas</w:t>
            </w:r>
          </w:p>
          <w:p w:rsidR="00E70C2E" w:rsidRPr="005162DF" w:rsidRDefault="00E70C2E" w:rsidP="005162DF">
            <w:pPr>
              <w:jc w:val="both"/>
              <w:rPr>
                <w:b/>
                <w:szCs w:val="24"/>
                <w:lang w:eastAsia="lt-LT"/>
              </w:rPr>
            </w:pPr>
            <w:r w:rsidRPr="00D33FD7">
              <w:rPr>
                <w:szCs w:val="24"/>
              </w:rPr>
              <w:t xml:space="preserve">1. </w:t>
            </w:r>
            <w:r w:rsidRPr="00D33FD7">
              <w:rPr>
                <w:szCs w:val="24"/>
                <w:lang w:eastAsia="lt-LT"/>
              </w:rPr>
              <w:t>Veiklos vietos registracijos pažymėjimas išduodamas Reglamento (ES) 2015/1013 II priede nustatytos formos, atsižvelgiant į šio reglamento 9 straipsnio 3 dalį. Veiklos vietos specialiojo registracijos pažymėjimo formą įsakymu tvirtina Narkotikų, tabako ir alkoholio kontrolės departamento direktorius. Jeigu subjektas vykdo veiklą keliose veiklos vietose, registruotose skirtingais adresais, išduodamas vienas veiklos vietos registracijos pažymėjimas arba vienas veiklos vietos specialusis registracijos pažymėjimas, kuriame nurodomi visi veiklos vietų adresai.</w:t>
            </w:r>
          </w:p>
          <w:p w:rsidR="00FE1BAA" w:rsidRPr="005162DF" w:rsidRDefault="00FE1BAA" w:rsidP="008B5C03">
            <w:pPr>
              <w:jc w:val="both"/>
              <w:rPr>
                <w:b/>
                <w:szCs w:val="24"/>
                <w:lang w:eastAsia="lt-LT"/>
              </w:rPr>
            </w:pPr>
            <w:r w:rsidRPr="005162DF">
              <w:rPr>
                <w:b/>
                <w:szCs w:val="24"/>
                <w:lang w:eastAsia="lt-LT"/>
              </w:rPr>
              <w:t>&lt;...&gt;</w:t>
            </w:r>
          </w:p>
        </w:tc>
        <w:tc>
          <w:tcPr>
            <w:tcW w:w="1843" w:type="dxa"/>
          </w:tcPr>
          <w:p w:rsidR="00B90B91" w:rsidRDefault="00B90B91" w:rsidP="00B90B91">
            <w:r>
              <w:t>Visiškas</w:t>
            </w:r>
          </w:p>
          <w:p w:rsidR="00B90B91" w:rsidRDefault="00B90B91" w:rsidP="007B2F72">
            <w:pPr>
              <w:pStyle w:val="Fait"/>
              <w:spacing w:before="0"/>
              <w:jc w:val="left"/>
              <w:rPr>
                <w:szCs w:val="24"/>
                <w:lang w:val="lt-LT"/>
              </w:rPr>
            </w:pPr>
          </w:p>
        </w:tc>
        <w:tc>
          <w:tcPr>
            <w:tcW w:w="1276" w:type="dxa"/>
          </w:tcPr>
          <w:p w:rsidR="00B90B91" w:rsidRPr="00556485" w:rsidRDefault="00B90B91" w:rsidP="001453CC">
            <w:pPr>
              <w:pStyle w:val="Fait"/>
              <w:spacing w:before="0"/>
              <w:rPr>
                <w:szCs w:val="24"/>
                <w:highlight w:val="yellow"/>
                <w:lang w:val="lt-LT"/>
              </w:rPr>
            </w:pPr>
          </w:p>
        </w:tc>
      </w:tr>
    </w:tbl>
    <w:p w:rsidR="008A4C36" w:rsidRDefault="00C04867" w:rsidP="00C04867">
      <w:pPr>
        <w:jc w:val="center"/>
      </w:pPr>
      <w:r>
        <w:t>__________________________________________</w:t>
      </w:r>
    </w:p>
    <w:sectPr w:rsidR="008A4C36" w:rsidSect="00C76D2E">
      <w:headerReference w:type="default" r:id="rId7"/>
      <w:pgSz w:w="16838" w:h="11906" w:orient="landscape" w:code="9"/>
      <w:pgMar w:top="851" w:right="1387" w:bottom="851" w:left="851" w:header="720" w:footer="12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4293" w:rsidRDefault="00EF4293">
      <w:r>
        <w:separator/>
      </w:r>
    </w:p>
  </w:endnote>
  <w:endnote w:type="continuationSeparator" w:id="0">
    <w:p w:rsidR="00EF4293" w:rsidRDefault="00EF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 NEW ROMAN LT">
    <w:altName w:val="Times New Roman"/>
    <w:charset w:val="BA"/>
    <w:family w:val="roman"/>
    <w:pitch w:val="variable"/>
    <w:sig w:usb0="00007A87" w:usb1="80000000" w:usb2="00000008" w:usb3="00000000" w:csb0="000000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4293" w:rsidRDefault="00EF4293">
      <w:r>
        <w:separator/>
      </w:r>
    </w:p>
  </w:footnote>
  <w:footnote w:type="continuationSeparator" w:id="0">
    <w:p w:rsidR="00EF4293" w:rsidRDefault="00EF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7E93" w:rsidRDefault="00E97E93">
    <w:pPr>
      <w:pStyle w:val="Antrats"/>
      <w:jc w:val="center"/>
    </w:pPr>
    <w:r>
      <w:fldChar w:fldCharType="begin"/>
    </w:r>
    <w:r>
      <w:instrText>PAGE   \* MERGEFORMAT</w:instrText>
    </w:r>
    <w:r>
      <w:fldChar w:fldCharType="separate"/>
    </w:r>
    <w:r w:rsidR="00A36494">
      <w:rPr>
        <w:noProof/>
      </w:rPr>
      <w:t>2</w:t>
    </w:r>
    <w:r>
      <w:fldChar w:fldCharType="end"/>
    </w:r>
  </w:p>
  <w:p w:rsidR="00E97E93" w:rsidRDefault="00E97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17CEA"/>
    <w:multiLevelType w:val="hybridMultilevel"/>
    <w:tmpl w:val="25FA5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311637"/>
    <w:multiLevelType w:val="hybridMultilevel"/>
    <w:tmpl w:val="25C0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EB52F0"/>
    <w:multiLevelType w:val="hybridMultilevel"/>
    <w:tmpl w:val="4BFC7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148"/>
    <w:rsid w:val="00004683"/>
    <w:rsid w:val="00033D87"/>
    <w:rsid w:val="000374CB"/>
    <w:rsid w:val="000374E9"/>
    <w:rsid w:val="000403B2"/>
    <w:rsid w:val="0004222E"/>
    <w:rsid w:val="000451B7"/>
    <w:rsid w:val="00051F57"/>
    <w:rsid w:val="00063BAC"/>
    <w:rsid w:val="000652E3"/>
    <w:rsid w:val="00074FEF"/>
    <w:rsid w:val="00076E4E"/>
    <w:rsid w:val="00076E53"/>
    <w:rsid w:val="000849EA"/>
    <w:rsid w:val="00097E62"/>
    <w:rsid w:val="000A4391"/>
    <w:rsid w:val="000B327F"/>
    <w:rsid w:val="000C14D6"/>
    <w:rsid w:val="000C3256"/>
    <w:rsid w:val="000C3280"/>
    <w:rsid w:val="000D05D9"/>
    <w:rsid w:val="000D1D02"/>
    <w:rsid w:val="000F2C1F"/>
    <w:rsid w:val="00102815"/>
    <w:rsid w:val="00113663"/>
    <w:rsid w:val="001162C4"/>
    <w:rsid w:val="00131698"/>
    <w:rsid w:val="00133EA1"/>
    <w:rsid w:val="001366CC"/>
    <w:rsid w:val="001453CC"/>
    <w:rsid w:val="0014674C"/>
    <w:rsid w:val="00150DB0"/>
    <w:rsid w:val="00157CC4"/>
    <w:rsid w:val="00160632"/>
    <w:rsid w:val="001607EB"/>
    <w:rsid w:val="00160A50"/>
    <w:rsid w:val="001611B2"/>
    <w:rsid w:val="00163165"/>
    <w:rsid w:val="00166A7D"/>
    <w:rsid w:val="00171DAE"/>
    <w:rsid w:val="001858CD"/>
    <w:rsid w:val="00186690"/>
    <w:rsid w:val="00186824"/>
    <w:rsid w:val="001922D6"/>
    <w:rsid w:val="001927B8"/>
    <w:rsid w:val="001B004E"/>
    <w:rsid w:val="001B2821"/>
    <w:rsid w:val="001B572A"/>
    <w:rsid w:val="001C6B47"/>
    <w:rsid w:val="001D5B18"/>
    <w:rsid w:val="001D6375"/>
    <w:rsid w:val="001D698E"/>
    <w:rsid w:val="001E224C"/>
    <w:rsid w:val="001E34D5"/>
    <w:rsid w:val="001E4D4C"/>
    <w:rsid w:val="001E5011"/>
    <w:rsid w:val="001F06C0"/>
    <w:rsid w:val="001F182C"/>
    <w:rsid w:val="001F4559"/>
    <w:rsid w:val="001F5832"/>
    <w:rsid w:val="002022AF"/>
    <w:rsid w:val="00210C8F"/>
    <w:rsid w:val="00210D42"/>
    <w:rsid w:val="00211406"/>
    <w:rsid w:val="002120EA"/>
    <w:rsid w:val="00213E3C"/>
    <w:rsid w:val="00214F52"/>
    <w:rsid w:val="00216BE0"/>
    <w:rsid w:val="00217024"/>
    <w:rsid w:val="0022242E"/>
    <w:rsid w:val="0022294C"/>
    <w:rsid w:val="0022581D"/>
    <w:rsid w:val="00225F60"/>
    <w:rsid w:val="0022650D"/>
    <w:rsid w:val="00226CED"/>
    <w:rsid w:val="00227607"/>
    <w:rsid w:val="00230413"/>
    <w:rsid w:val="00232918"/>
    <w:rsid w:val="00233C97"/>
    <w:rsid w:val="00235332"/>
    <w:rsid w:val="00245956"/>
    <w:rsid w:val="002504B1"/>
    <w:rsid w:val="00254647"/>
    <w:rsid w:val="00263702"/>
    <w:rsid w:val="0027376B"/>
    <w:rsid w:val="002777A6"/>
    <w:rsid w:val="002803EE"/>
    <w:rsid w:val="002819B8"/>
    <w:rsid w:val="002829F9"/>
    <w:rsid w:val="0028419E"/>
    <w:rsid w:val="002974E1"/>
    <w:rsid w:val="002A02BF"/>
    <w:rsid w:val="002A1F24"/>
    <w:rsid w:val="002A70E1"/>
    <w:rsid w:val="002B67D6"/>
    <w:rsid w:val="002B7737"/>
    <w:rsid w:val="002C08EE"/>
    <w:rsid w:val="002C143B"/>
    <w:rsid w:val="002C1880"/>
    <w:rsid w:val="002C189B"/>
    <w:rsid w:val="002C629C"/>
    <w:rsid w:val="002D0F1E"/>
    <w:rsid w:val="002D1F23"/>
    <w:rsid w:val="002D62A3"/>
    <w:rsid w:val="002D7B3B"/>
    <w:rsid w:val="002E43A4"/>
    <w:rsid w:val="002E6AFE"/>
    <w:rsid w:val="002E702D"/>
    <w:rsid w:val="002E732B"/>
    <w:rsid w:val="002F03B1"/>
    <w:rsid w:val="002F1730"/>
    <w:rsid w:val="002F4E06"/>
    <w:rsid w:val="00310346"/>
    <w:rsid w:val="00311F5E"/>
    <w:rsid w:val="003123F1"/>
    <w:rsid w:val="00316BFB"/>
    <w:rsid w:val="00323E5C"/>
    <w:rsid w:val="0032432C"/>
    <w:rsid w:val="00331A6D"/>
    <w:rsid w:val="00337E7C"/>
    <w:rsid w:val="003467E0"/>
    <w:rsid w:val="0035090C"/>
    <w:rsid w:val="00353C91"/>
    <w:rsid w:val="00362A90"/>
    <w:rsid w:val="00366ACB"/>
    <w:rsid w:val="003672AB"/>
    <w:rsid w:val="00370CE5"/>
    <w:rsid w:val="00372FF3"/>
    <w:rsid w:val="00375107"/>
    <w:rsid w:val="00382D35"/>
    <w:rsid w:val="00384DB2"/>
    <w:rsid w:val="003916A3"/>
    <w:rsid w:val="003933F9"/>
    <w:rsid w:val="003A18E6"/>
    <w:rsid w:val="003A1E13"/>
    <w:rsid w:val="003A4FB7"/>
    <w:rsid w:val="003B1746"/>
    <w:rsid w:val="003B2DCA"/>
    <w:rsid w:val="003B62C3"/>
    <w:rsid w:val="003C17DA"/>
    <w:rsid w:val="003C4849"/>
    <w:rsid w:val="003E2825"/>
    <w:rsid w:val="003F3C00"/>
    <w:rsid w:val="003F700B"/>
    <w:rsid w:val="00400C76"/>
    <w:rsid w:val="00401170"/>
    <w:rsid w:val="00412233"/>
    <w:rsid w:val="00414B5D"/>
    <w:rsid w:val="00417114"/>
    <w:rsid w:val="00420953"/>
    <w:rsid w:val="00424ACD"/>
    <w:rsid w:val="00430A98"/>
    <w:rsid w:val="0043794E"/>
    <w:rsid w:val="0045426B"/>
    <w:rsid w:val="0045535A"/>
    <w:rsid w:val="00457063"/>
    <w:rsid w:val="00466B71"/>
    <w:rsid w:val="00477F8F"/>
    <w:rsid w:val="00481E72"/>
    <w:rsid w:val="00486D2A"/>
    <w:rsid w:val="0049098D"/>
    <w:rsid w:val="00492DBA"/>
    <w:rsid w:val="004C2C46"/>
    <w:rsid w:val="004C31B0"/>
    <w:rsid w:val="004D1E99"/>
    <w:rsid w:val="004D2A07"/>
    <w:rsid w:val="004E1679"/>
    <w:rsid w:val="004E22F5"/>
    <w:rsid w:val="004E4D29"/>
    <w:rsid w:val="004E541B"/>
    <w:rsid w:val="004F0D69"/>
    <w:rsid w:val="004F22CA"/>
    <w:rsid w:val="004F31E3"/>
    <w:rsid w:val="004F41DE"/>
    <w:rsid w:val="00500C75"/>
    <w:rsid w:val="00506231"/>
    <w:rsid w:val="0050741E"/>
    <w:rsid w:val="00512B84"/>
    <w:rsid w:val="005162DF"/>
    <w:rsid w:val="005219BE"/>
    <w:rsid w:val="005340DB"/>
    <w:rsid w:val="005367B6"/>
    <w:rsid w:val="00537DB4"/>
    <w:rsid w:val="005432F2"/>
    <w:rsid w:val="00550BDE"/>
    <w:rsid w:val="00556485"/>
    <w:rsid w:val="005621E5"/>
    <w:rsid w:val="005661ED"/>
    <w:rsid w:val="00567943"/>
    <w:rsid w:val="00567F4F"/>
    <w:rsid w:val="00570EF6"/>
    <w:rsid w:val="00571F9C"/>
    <w:rsid w:val="005833EC"/>
    <w:rsid w:val="005940DD"/>
    <w:rsid w:val="00595425"/>
    <w:rsid w:val="005A349F"/>
    <w:rsid w:val="005B3665"/>
    <w:rsid w:val="005C0591"/>
    <w:rsid w:val="005C2D6E"/>
    <w:rsid w:val="005D0CC5"/>
    <w:rsid w:val="005D4D45"/>
    <w:rsid w:val="005D52AB"/>
    <w:rsid w:val="006063E4"/>
    <w:rsid w:val="00613295"/>
    <w:rsid w:val="006144E1"/>
    <w:rsid w:val="006169EF"/>
    <w:rsid w:val="00620E68"/>
    <w:rsid w:val="006212CB"/>
    <w:rsid w:val="00622277"/>
    <w:rsid w:val="00626416"/>
    <w:rsid w:val="006267CB"/>
    <w:rsid w:val="00631F70"/>
    <w:rsid w:val="0063321E"/>
    <w:rsid w:val="00641835"/>
    <w:rsid w:val="00647C6E"/>
    <w:rsid w:val="0065033D"/>
    <w:rsid w:val="00652F80"/>
    <w:rsid w:val="00653104"/>
    <w:rsid w:val="0066516D"/>
    <w:rsid w:val="00667BF0"/>
    <w:rsid w:val="006920BB"/>
    <w:rsid w:val="00697E44"/>
    <w:rsid w:val="006A0213"/>
    <w:rsid w:val="006A142C"/>
    <w:rsid w:val="006A3E36"/>
    <w:rsid w:val="006B067D"/>
    <w:rsid w:val="006B230E"/>
    <w:rsid w:val="006B3090"/>
    <w:rsid w:val="006B6E2D"/>
    <w:rsid w:val="006C55D7"/>
    <w:rsid w:val="006C62BE"/>
    <w:rsid w:val="006D2E45"/>
    <w:rsid w:val="006D5338"/>
    <w:rsid w:val="006D560D"/>
    <w:rsid w:val="006D59DA"/>
    <w:rsid w:val="006E20B6"/>
    <w:rsid w:val="006F2CF9"/>
    <w:rsid w:val="006F410A"/>
    <w:rsid w:val="006F6FBE"/>
    <w:rsid w:val="006F74FA"/>
    <w:rsid w:val="00702686"/>
    <w:rsid w:val="00707C95"/>
    <w:rsid w:val="0071177C"/>
    <w:rsid w:val="007133F0"/>
    <w:rsid w:val="00714E31"/>
    <w:rsid w:val="007224C6"/>
    <w:rsid w:val="00732024"/>
    <w:rsid w:val="00732D7E"/>
    <w:rsid w:val="0073431E"/>
    <w:rsid w:val="00735A1F"/>
    <w:rsid w:val="00736456"/>
    <w:rsid w:val="00737148"/>
    <w:rsid w:val="00737221"/>
    <w:rsid w:val="00740E3A"/>
    <w:rsid w:val="00741561"/>
    <w:rsid w:val="00743082"/>
    <w:rsid w:val="00747780"/>
    <w:rsid w:val="00753662"/>
    <w:rsid w:val="007550B9"/>
    <w:rsid w:val="007717B6"/>
    <w:rsid w:val="00773789"/>
    <w:rsid w:val="00777D67"/>
    <w:rsid w:val="007914AC"/>
    <w:rsid w:val="00791C83"/>
    <w:rsid w:val="0079209A"/>
    <w:rsid w:val="00793968"/>
    <w:rsid w:val="00794C82"/>
    <w:rsid w:val="00796409"/>
    <w:rsid w:val="007A0A40"/>
    <w:rsid w:val="007A4F8F"/>
    <w:rsid w:val="007A5129"/>
    <w:rsid w:val="007A7072"/>
    <w:rsid w:val="007A7636"/>
    <w:rsid w:val="007B0423"/>
    <w:rsid w:val="007B2F72"/>
    <w:rsid w:val="007B603A"/>
    <w:rsid w:val="007C083F"/>
    <w:rsid w:val="007C2146"/>
    <w:rsid w:val="007C5080"/>
    <w:rsid w:val="007C6AD9"/>
    <w:rsid w:val="007C6E97"/>
    <w:rsid w:val="007C7703"/>
    <w:rsid w:val="007C7899"/>
    <w:rsid w:val="007D7500"/>
    <w:rsid w:val="007E4813"/>
    <w:rsid w:val="007E6AB1"/>
    <w:rsid w:val="007F2DA1"/>
    <w:rsid w:val="007F69BB"/>
    <w:rsid w:val="0080059E"/>
    <w:rsid w:val="00805C20"/>
    <w:rsid w:val="00811463"/>
    <w:rsid w:val="008144E8"/>
    <w:rsid w:val="0081674D"/>
    <w:rsid w:val="00820E4B"/>
    <w:rsid w:val="00830E55"/>
    <w:rsid w:val="00834D81"/>
    <w:rsid w:val="0083599C"/>
    <w:rsid w:val="00837D24"/>
    <w:rsid w:val="00844BA0"/>
    <w:rsid w:val="008450BE"/>
    <w:rsid w:val="00850FAF"/>
    <w:rsid w:val="0085768C"/>
    <w:rsid w:val="00863574"/>
    <w:rsid w:val="00863713"/>
    <w:rsid w:val="00865C10"/>
    <w:rsid w:val="008710D4"/>
    <w:rsid w:val="008744E5"/>
    <w:rsid w:val="0088315B"/>
    <w:rsid w:val="00891E16"/>
    <w:rsid w:val="00891F25"/>
    <w:rsid w:val="00897353"/>
    <w:rsid w:val="008A1551"/>
    <w:rsid w:val="008A37D8"/>
    <w:rsid w:val="008A4C36"/>
    <w:rsid w:val="008A7037"/>
    <w:rsid w:val="008B4200"/>
    <w:rsid w:val="008B5C03"/>
    <w:rsid w:val="008B7ABE"/>
    <w:rsid w:val="008C0A24"/>
    <w:rsid w:val="008C2D32"/>
    <w:rsid w:val="008D0E7C"/>
    <w:rsid w:val="008E486C"/>
    <w:rsid w:val="008F16F0"/>
    <w:rsid w:val="008F4FA4"/>
    <w:rsid w:val="008F540C"/>
    <w:rsid w:val="008F7305"/>
    <w:rsid w:val="00904B81"/>
    <w:rsid w:val="00906B51"/>
    <w:rsid w:val="00916EB3"/>
    <w:rsid w:val="00935E17"/>
    <w:rsid w:val="009425A1"/>
    <w:rsid w:val="00952CD9"/>
    <w:rsid w:val="009579C4"/>
    <w:rsid w:val="00960E14"/>
    <w:rsid w:val="009634BA"/>
    <w:rsid w:val="009666BF"/>
    <w:rsid w:val="00972D44"/>
    <w:rsid w:val="00974BF0"/>
    <w:rsid w:val="009825F7"/>
    <w:rsid w:val="009870FC"/>
    <w:rsid w:val="009923B5"/>
    <w:rsid w:val="00996060"/>
    <w:rsid w:val="009A68EE"/>
    <w:rsid w:val="009A777B"/>
    <w:rsid w:val="009B0B35"/>
    <w:rsid w:val="009C0C20"/>
    <w:rsid w:val="009D3463"/>
    <w:rsid w:val="009D7608"/>
    <w:rsid w:val="009E0B7C"/>
    <w:rsid w:val="009E2B30"/>
    <w:rsid w:val="009E2B7B"/>
    <w:rsid w:val="009F317D"/>
    <w:rsid w:val="009F4C59"/>
    <w:rsid w:val="009F608A"/>
    <w:rsid w:val="00A006EC"/>
    <w:rsid w:val="00A0089C"/>
    <w:rsid w:val="00A0123F"/>
    <w:rsid w:val="00A04075"/>
    <w:rsid w:val="00A06016"/>
    <w:rsid w:val="00A10D87"/>
    <w:rsid w:val="00A12254"/>
    <w:rsid w:val="00A15090"/>
    <w:rsid w:val="00A26652"/>
    <w:rsid w:val="00A3059E"/>
    <w:rsid w:val="00A36494"/>
    <w:rsid w:val="00A36AB4"/>
    <w:rsid w:val="00A40C47"/>
    <w:rsid w:val="00A419C0"/>
    <w:rsid w:val="00A53347"/>
    <w:rsid w:val="00A539D4"/>
    <w:rsid w:val="00A625B7"/>
    <w:rsid w:val="00A66473"/>
    <w:rsid w:val="00A7458E"/>
    <w:rsid w:val="00A75BDA"/>
    <w:rsid w:val="00A76F18"/>
    <w:rsid w:val="00A80147"/>
    <w:rsid w:val="00A82451"/>
    <w:rsid w:val="00A828C2"/>
    <w:rsid w:val="00A87DEF"/>
    <w:rsid w:val="00A904D0"/>
    <w:rsid w:val="00A944A4"/>
    <w:rsid w:val="00A96A96"/>
    <w:rsid w:val="00A977D0"/>
    <w:rsid w:val="00AA1DBE"/>
    <w:rsid w:val="00AA2C61"/>
    <w:rsid w:val="00AB379C"/>
    <w:rsid w:val="00AC28AC"/>
    <w:rsid w:val="00AC2FFC"/>
    <w:rsid w:val="00AC383E"/>
    <w:rsid w:val="00AC5DC1"/>
    <w:rsid w:val="00AC63F8"/>
    <w:rsid w:val="00AD1603"/>
    <w:rsid w:val="00AD17D4"/>
    <w:rsid w:val="00AD4A55"/>
    <w:rsid w:val="00AE5381"/>
    <w:rsid w:val="00AF446D"/>
    <w:rsid w:val="00B0144F"/>
    <w:rsid w:val="00B056D3"/>
    <w:rsid w:val="00B1414C"/>
    <w:rsid w:val="00B20600"/>
    <w:rsid w:val="00B23125"/>
    <w:rsid w:val="00B231EB"/>
    <w:rsid w:val="00B24810"/>
    <w:rsid w:val="00B26380"/>
    <w:rsid w:val="00B2714F"/>
    <w:rsid w:val="00B418C7"/>
    <w:rsid w:val="00B52585"/>
    <w:rsid w:val="00B53093"/>
    <w:rsid w:val="00B54164"/>
    <w:rsid w:val="00B54D66"/>
    <w:rsid w:val="00B61A7E"/>
    <w:rsid w:val="00B674AD"/>
    <w:rsid w:val="00B6758B"/>
    <w:rsid w:val="00B715CB"/>
    <w:rsid w:val="00B7231F"/>
    <w:rsid w:val="00B72808"/>
    <w:rsid w:val="00B728E3"/>
    <w:rsid w:val="00B76E9C"/>
    <w:rsid w:val="00B80AD1"/>
    <w:rsid w:val="00B813DD"/>
    <w:rsid w:val="00B87C30"/>
    <w:rsid w:val="00B90B91"/>
    <w:rsid w:val="00B92C92"/>
    <w:rsid w:val="00B94671"/>
    <w:rsid w:val="00BA0DD9"/>
    <w:rsid w:val="00BA204B"/>
    <w:rsid w:val="00BA70FE"/>
    <w:rsid w:val="00BB0BD9"/>
    <w:rsid w:val="00BB4A53"/>
    <w:rsid w:val="00BB7523"/>
    <w:rsid w:val="00BD45B8"/>
    <w:rsid w:val="00BD497F"/>
    <w:rsid w:val="00BD4CBD"/>
    <w:rsid w:val="00BE2C92"/>
    <w:rsid w:val="00BE3BEB"/>
    <w:rsid w:val="00BE6165"/>
    <w:rsid w:val="00BF11C2"/>
    <w:rsid w:val="00BF3100"/>
    <w:rsid w:val="00C04867"/>
    <w:rsid w:val="00C115B5"/>
    <w:rsid w:val="00C12232"/>
    <w:rsid w:val="00C26A3F"/>
    <w:rsid w:val="00C26F72"/>
    <w:rsid w:val="00C31020"/>
    <w:rsid w:val="00C35653"/>
    <w:rsid w:val="00C43A75"/>
    <w:rsid w:val="00C471DA"/>
    <w:rsid w:val="00C475DC"/>
    <w:rsid w:val="00C5454E"/>
    <w:rsid w:val="00C54FF5"/>
    <w:rsid w:val="00C625EF"/>
    <w:rsid w:val="00C6494A"/>
    <w:rsid w:val="00C75DE3"/>
    <w:rsid w:val="00C76D2E"/>
    <w:rsid w:val="00C76FA5"/>
    <w:rsid w:val="00C77226"/>
    <w:rsid w:val="00C77C15"/>
    <w:rsid w:val="00C8067D"/>
    <w:rsid w:val="00C82CE6"/>
    <w:rsid w:val="00C83B67"/>
    <w:rsid w:val="00C850BF"/>
    <w:rsid w:val="00C85285"/>
    <w:rsid w:val="00C87784"/>
    <w:rsid w:val="00C90E56"/>
    <w:rsid w:val="00CA264D"/>
    <w:rsid w:val="00CA35D7"/>
    <w:rsid w:val="00CB5FDB"/>
    <w:rsid w:val="00CB750C"/>
    <w:rsid w:val="00CC4054"/>
    <w:rsid w:val="00CD41D4"/>
    <w:rsid w:val="00CE33B6"/>
    <w:rsid w:val="00CE4E61"/>
    <w:rsid w:val="00CE56B9"/>
    <w:rsid w:val="00CE6C7E"/>
    <w:rsid w:val="00CF0DBE"/>
    <w:rsid w:val="00CF34AD"/>
    <w:rsid w:val="00CF683E"/>
    <w:rsid w:val="00D00B23"/>
    <w:rsid w:val="00D05123"/>
    <w:rsid w:val="00D05C55"/>
    <w:rsid w:val="00D06EE8"/>
    <w:rsid w:val="00D13425"/>
    <w:rsid w:val="00D13E55"/>
    <w:rsid w:val="00D15A04"/>
    <w:rsid w:val="00D17890"/>
    <w:rsid w:val="00D17E07"/>
    <w:rsid w:val="00D21266"/>
    <w:rsid w:val="00D32504"/>
    <w:rsid w:val="00D36BD7"/>
    <w:rsid w:val="00D4110F"/>
    <w:rsid w:val="00D41F8E"/>
    <w:rsid w:val="00D431EB"/>
    <w:rsid w:val="00D4327C"/>
    <w:rsid w:val="00D46B8B"/>
    <w:rsid w:val="00D50F9B"/>
    <w:rsid w:val="00D51CF7"/>
    <w:rsid w:val="00D56885"/>
    <w:rsid w:val="00D63F10"/>
    <w:rsid w:val="00D76487"/>
    <w:rsid w:val="00D87A7A"/>
    <w:rsid w:val="00D93E94"/>
    <w:rsid w:val="00D9616C"/>
    <w:rsid w:val="00D97601"/>
    <w:rsid w:val="00DA5B1E"/>
    <w:rsid w:val="00DA6742"/>
    <w:rsid w:val="00DA7893"/>
    <w:rsid w:val="00DA7D0C"/>
    <w:rsid w:val="00DB6FA6"/>
    <w:rsid w:val="00DC0AC7"/>
    <w:rsid w:val="00DC4E9C"/>
    <w:rsid w:val="00DC783D"/>
    <w:rsid w:val="00DE1713"/>
    <w:rsid w:val="00DE1D02"/>
    <w:rsid w:val="00DE69D4"/>
    <w:rsid w:val="00DE73D6"/>
    <w:rsid w:val="00DE7D19"/>
    <w:rsid w:val="00DF2F60"/>
    <w:rsid w:val="00E01014"/>
    <w:rsid w:val="00E03109"/>
    <w:rsid w:val="00E07802"/>
    <w:rsid w:val="00E07D63"/>
    <w:rsid w:val="00E14EDB"/>
    <w:rsid w:val="00E26BB0"/>
    <w:rsid w:val="00E32A8D"/>
    <w:rsid w:val="00E3567A"/>
    <w:rsid w:val="00E46034"/>
    <w:rsid w:val="00E47DD0"/>
    <w:rsid w:val="00E5037B"/>
    <w:rsid w:val="00E54566"/>
    <w:rsid w:val="00E561D9"/>
    <w:rsid w:val="00E56675"/>
    <w:rsid w:val="00E5685B"/>
    <w:rsid w:val="00E60758"/>
    <w:rsid w:val="00E628E4"/>
    <w:rsid w:val="00E64954"/>
    <w:rsid w:val="00E70C2E"/>
    <w:rsid w:val="00E72346"/>
    <w:rsid w:val="00E72FB8"/>
    <w:rsid w:val="00E744E4"/>
    <w:rsid w:val="00E765E8"/>
    <w:rsid w:val="00E82ED7"/>
    <w:rsid w:val="00E8406D"/>
    <w:rsid w:val="00E841C1"/>
    <w:rsid w:val="00E90DCC"/>
    <w:rsid w:val="00E91262"/>
    <w:rsid w:val="00E971C5"/>
    <w:rsid w:val="00E97E93"/>
    <w:rsid w:val="00EA70FE"/>
    <w:rsid w:val="00EB0DA9"/>
    <w:rsid w:val="00EB0FB7"/>
    <w:rsid w:val="00EB104F"/>
    <w:rsid w:val="00EB7AB0"/>
    <w:rsid w:val="00EC0036"/>
    <w:rsid w:val="00EC1677"/>
    <w:rsid w:val="00EC5B15"/>
    <w:rsid w:val="00ED3629"/>
    <w:rsid w:val="00ED44EE"/>
    <w:rsid w:val="00EE3D92"/>
    <w:rsid w:val="00EE5F0C"/>
    <w:rsid w:val="00EE74AD"/>
    <w:rsid w:val="00EF4293"/>
    <w:rsid w:val="00F01CC9"/>
    <w:rsid w:val="00F02B83"/>
    <w:rsid w:val="00F04599"/>
    <w:rsid w:val="00F04BFA"/>
    <w:rsid w:val="00F11536"/>
    <w:rsid w:val="00F20778"/>
    <w:rsid w:val="00F2480E"/>
    <w:rsid w:val="00F357E0"/>
    <w:rsid w:val="00F43B70"/>
    <w:rsid w:val="00F45326"/>
    <w:rsid w:val="00F51869"/>
    <w:rsid w:val="00F545C4"/>
    <w:rsid w:val="00F61EFC"/>
    <w:rsid w:val="00F6264E"/>
    <w:rsid w:val="00F63431"/>
    <w:rsid w:val="00F65063"/>
    <w:rsid w:val="00F918D4"/>
    <w:rsid w:val="00F91E0E"/>
    <w:rsid w:val="00FA1C3C"/>
    <w:rsid w:val="00FA29E8"/>
    <w:rsid w:val="00FA4319"/>
    <w:rsid w:val="00FA5B44"/>
    <w:rsid w:val="00FA6C89"/>
    <w:rsid w:val="00FB01F3"/>
    <w:rsid w:val="00FB1403"/>
    <w:rsid w:val="00FB1C32"/>
    <w:rsid w:val="00FB2642"/>
    <w:rsid w:val="00FB5C65"/>
    <w:rsid w:val="00FC032D"/>
    <w:rsid w:val="00FC0798"/>
    <w:rsid w:val="00FC220E"/>
    <w:rsid w:val="00FC2328"/>
    <w:rsid w:val="00FD6FF9"/>
    <w:rsid w:val="00FE1902"/>
    <w:rsid w:val="00FE1BAA"/>
    <w:rsid w:val="00FE3797"/>
    <w:rsid w:val="00FE425C"/>
    <w:rsid w:val="00FF0280"/>
    <w:rsid w:val="00FF1F1B"/>
    <w:rsid w:val="00FF4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16A767-9AED-4F18-9BE3-0AF49AC3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148"/>
    <w:rPr>
      <w:sz w:val="24"/>
      <w:lang w:eastAsia="en-US"/>
    </w:rPr>
  </w:style>
  <w:style w:type="paragraph" w:styleId="Antrat6">
    <w:name w:val="heading 6"/>
    <w:basedOn w:val="prastasis"/>
    <w:link w:val="Antrat6Diagrama"/>
    <w:uiPriority w:val="9"/>
    <w:qFormat/>
    <w:rsid w:val="00891F25"/>
    <w:pPr>
      <w:spacing w:before="100" w:beforeAutospacing="1" w:after="100" w:afterAutospacing="1"/>
      <w:outlineLvl w:val="5"/>
    </w:pPr>
    <w:rPr>
      <w:b/>
      <w:bCs/>
      <w:sz w:val="15"/>
      <w:szCs w:val="15"/>
      <w:lang w:val="x-none"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atedadoption">
    <w:name w:val="Date d'adoption"/>
    <w:basedOn w:val="prastasis"/>
    <w:next w:val="prastasis"/>
    <w:rsid w:val="00737148"/>
    <w:pPr>
      <w:spacing w:before="360"/>
      <w:jc w:val="center"/>
    </w:pPr>
    <w:rPr>
      <w:b/>
      <w:lang w:val="en-GB"/>
    </w:rPr>
  </w:style>
  <w:style w:type="paragraph" w:customStyle="1" w:styleId="Emission">
    <w:name w:val="Emission"/>
    <w:basedOn w:val="prastasis"/>
    <w:next w:val="prastasis"/>
    <w:rsid w:val="00737148"/>
    <w:pPr>
      <w:ind w:left="5103"/>
    </w:pPr>
    <w:rPr>
      <w:lang w:val="en-GB"/>
    </w:rPr>
  </w:style>
  <w:style w:type="paragraph" w:customStyle="1" w:styleId="Fait">
    <w:name w:val="Fait ?"/>
    <w:basedOn w:val="prastasis"/>
    <w:next w:val="prastasis"/>
    <w:rsid w:val="00737148"/>
    <w:pPr>
      <w:spacing w:before="120"/>
      <w:jc w:val="both"/>
    </w:pPr>
    <w:rPr>
      <w:lang w:val="en-GB"/>
    </w:rPr>
  </w:style>
  <w:style w:type="paragraph" w:styleId="Pagrindinistekstas">
    <w:name w:val="Body Text"/>
    <w:basedOn w:val="prastasis"/>
    <w:rsid w:val="00737148"/>
    <w:pPr>
      <w:jc w:val="center"/>
    </w:pPr>
    <w:rPr>
      <w:b/>
    </w:rPr>
  </w:style>
  <w:style w:type="paragraph" w:customStyle="1" w:styleId="NormalText">
    <w:name w:val="Normal Text"/>
    <w:basedOn w:val="prastasis"/>
    <w:rsid w:val="00737148"/>
    <w:pPr>
      <w:ind w:firstLine="567"/>
      <w:jc w:val="both"/>
    </w:pPr>
    <w:rPr>
      <w:rFonts w:ascii="TIMES NEW ROMAN LT" w:hAnsi="TIMES NEW ROMAN LT"/>
      <w:sz w:val="20"/>
    </w:rPr>
  </w:style>
  <w:style w:type="paragraph" w:styleId="prastasiniatinklio">
    <w:name w:val="Normal (Web)"/>
    <w:basedOn w:val="prastasis"/>
    <w:rsid w:val="00737148"/>
    <w:pPr>
      <w:spacing w:before="176" w:after="176"/>
      <w:ind w:left="790" w:right="615"/>
    </w:pPr>
    <w:rPr>
      <w:sz w:val="19"/>
      <w:szCs w:val="19"/>
      <w:lang w:val="en-US"/>
    </w:rPr>
  </w:style>
  <w:style w:type="paragraph" w:customStyle="1" w:styleId="bodytext">
    <w:name w:val="bodytext"/>
    <w:basedOn w:val="prastasis"/>
    <w:rsid w:val="0083599C"/>
    <w:pPr>
      <w:spacing w:before="100" w:beforeAutospacing="1" w:after="100" w:afterAutospacing="1"/>
    </w:pPr>
    <w:rPr>
      <w:szCs w:val="24"/>
      <w:lang w:val="en-US"/>
    </w:rPr>
  </w:style>
  <w:style w:type="paragraph" w:customStyle="1" w:styleId="CentrBold">
    <w:name w:val="CentrBold"/>
    <w:rsid w:val="0045535A"/>
    <w:pPr>
      <w:jc w:val="center"/>
    </w:pPr>
    <w:rPr>
      <w:rFonts w:ascii="TimesLT" w:hAnsi="TimesLT"/>
      <w:b/>
      <w:caps/>
      <w:snapToGrid w:val="0"/>
      <w:lang w:val="en-US" w:eastAsia="en-US"/>
    </w:rPr>
  </w:style>
  <w:style w:type="paragraph" w:customStyle="1" w:styleId="Patvirtinta">
    <w:name w:val="Patvirtinta"/>
    <w:rsid w:val="0045535A"/>
    <w:pPr>
      <w:tabs>
        <w:tab w:val="left" w:pos="1304"/>
        <w:tab w:val="left" w:pos="1457"/>
        <w:tab w:val="left" w:pos="1604"/>
        <w:tab w:val="left" w:pos="1757"/>
      </w:tabs>
      <w:ind w:left="5953"/>
    </w:pPr>
    <w:rPr>
      <w:rFonts w:ascii="TimesLT" w:hAnsi="TimesLT"/>
      <w:snapToGrid w:val="0"/>
      <w:lang w:val="en-US" w:eastAsia="en-US"/>
    </w:rPr>
  </w:style>
  <w:style w:type="paragraph" w:customStyle="1" w:styleId="Bodytext0">
    <w:name w:val="Body text"/>
    <w:rsid w:val="0045535A"/>
    <w:pPr>
      <w:ind w:firstLine="312"/>
      <w:jc w:val="both"/>
    </w:pPr>
    <w:rPr>
      <w:rFonts w:ascii="TimesLT" w:hAnsi="TimesLT"/>
      <w:snapToGrid w:val="0"/>
      <w:lang w:val="en-US" w:eastAsia="en-US"/>
    </w:rPr>
  </w:style>
  <w:style w:type="paragraph" w:customStyle="1" w:styleId="ISTATYMAS">
    <w:name w:val="ISTATYMAS"/>
    <w:rsid w:val="003F3C00"/>
    <w:pPr>
      <w:autoSpaceDE w:val="0"/>
      <w:autoSpaceDN w:val="0"/>
      <w:adjustRightInd w:val="0"/>
      <w:jc w:val="center"/>
    </w:pPr>
    <w:rPr>
      <w:rFonts w:ascii="TimesLT" w:hAnsi="TimesLT"/>
      <w:lang w:val="en-US" w:eastAsia="en-US"/>
    </w:rPr>
  </w:style>
  <w:style w:type="paragraph" w:styleId="Debesliotekstas">
    <w:name w:val="Balloon Text"/>
    <w:basedOn w:val="prastasis"/>
    <w:semiHidden/>
    <w:rsid w:val="00C6494A"/>
    <w:rPr>
      <w:rFonts w:ascii="Tahoma" w:hAnsi="Tahoma" w:cs="Tahoma"/>
      <w:sz w:val="16"/>
      <w:szCs w:val="16"/>
    </w:rPr>
  </w:style>
  <w:style w:type="paragraph" w:styleId="Pagrindiniotekstotrauka2">
    <w:name w:val="Body Text Indent 2"/>
    <w:basedOn w:val="prastasis"/>
    <w:link w:val="Pagrindiniotekstotrauka2Diagrama"/>
    <w:uiPriority w:val="99"/>
    <w:unhideWhenUsed/>
    <w:rsid w:val="00891F25"/>
    <w:pPr>
      <w:spacing w:after="120" w:line="480" w:lineRule="auto"/>
      <w:ind w:left="283"/>
    </w:pPr>
  </w:style>
  <w:style w:type="character" w:customStyle="1" w:styleId="Pagrindiniotekstotrauka2Diagrama">
    <w:name w:val="Pagrindinio teksto įtrauka 2 Diagrama"/>
    <w:link w:val="Pagrindiniotekstotrauka2"/>
    <w:uiPriority w:val="99"/>
    <w:rsid w:val="00891F25"/>
    <w:rPr>
      <w:sz w:val="24"/>
      <w:lang w:eastAsia="en-US"/>
    </w:rPr>
  </w:style>
  <w:style w:type="character" w:customStyle="1" w:styleId="Antrat6Diagrama">
    <w:name w:val="Antraštė 6 Diagrama"/>
    <w:link w:val="Antrat6"/>
    <w:uiPriority w:val="9"/>
    <w:rsid w:val="00891F25"/>
    <w:rPr>
      <w:b/>
      <w:bCs/>
      <w:sz w:val="15"/>
      <w:szCs w:val="15"/>
      <w:lang w:val="x-none"/>
    </w:rPr>
  </w:style>
  <w:style w:type="paragraph" w:customStyle="1" w:styleId="CM1">
    <w:name w:val="CM1"/>
    <w:basedOn w:val="prastasis"/>
    <w:next w:val="prastasis"/>
    <w:uiPriority w:val="99"/>
    <w:rsid w:val="005432F2"/>
    <w:pPr>
      <w:autoSpaceDE w:val="0"/>
      <w:autoSpaceDN w:val="0"/>
      <w:adjustRightInd w:val="0"/>
    </w:pPr>
    <w:rPr>
      <w:rFonts w:ascii="EUAlbertina" w:hAnsi="EUAlbertina"/>
      <w:szCs w:val="24"/>
      <w:lang w:eastAsia="lt-LT"/>
    </w:rPr>
  </w:style>
  <w:style w:type="paragraph" w:customStyle="1" w:styleId="CM3">
    <w:name w:val="CM3"/>
    <w:basedOn w:val="prastasis"/>
    <w:next w:val="prastasis"/>
    <w:uiPriority w:val="99"/>
    <w:rsid w:val="005432F2"/>
    <w:pPr>
      <w:autoSpaceDE w:val="0"/>
      <w:autoSpaceDN w:val="0"/>
      <w:adjustRightInd w:val="0"/>
    </w:pPr>
    <w:rPr>
      <w:rFonts w:ascii="EUAlbertina" w:hAnsi="EUAlbertina"/>
      <w:szCs w:val="24"/>
      <w:lang w:eastAsia="lt-LT"/>
    </w:rPr>
  </w:style>
  <w:style w:type="paragraph" w:customStyle="1" w:styleId="CM4">
    <w:name w:val="CM4"/>
    <w:basedOn w:val="prastasis"/>
    <w:next w:val="prastasis"/>
    <w:uiPriority w:val="99"/>
    <w:rsid w:val="00DF2F60"/>
    <w:pPr>
      <w:autoSpaceDE w:val="0"/>
      <w:autoSpaceDN w:val="0"/>
      <w:adjustRightInd w:val="0"/>
    </w:pPr>
    <w:rPr>
      <w:rFonts w:ascii="EUAlbertina" w:hAnsi="EUAlbertina"/>
      <w:szCs w:val="24"/>
      <w:lang w:eastAsia="lt-LT"/>
    </w:rPr>
  </w:style>
  <w:style w:type="paragraph" w:styleId="HTMLiankstoformatuotas">
    <w:name w:val="HTML Preformatted"/>
    <w:basedOn w:val="prastasis"/>
    <w:link w:val="HTMLiankstoformatuotasDiagrama"/>
    <w:uiPriority w:val="99"/>
    <w:unhideWhenUsed/>
    <w:rsid w:val="008B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link w:val="HTMLiankstoformatuotas"/>
    <w:uiPriority w:val="99"/>
    <w:rsid w:val="008B4200"/>
    <w:rPr>
      <w:rFonts w:ascii="Courier New" w:hAnsi="Courier New"/>
      <w:lang w:val="x-none"/>
    </w:rPr>
  </w:style>
  <w:style w:type="paragraph" w:styleId="Pataisymai">
    <w:name w:val="Revision"/>
    <w:hidden/>
    <w:uiPriority w:val="99"/>
    <w:semiHidden/>
    <w:rsid w:val="00737221"/>
    <w:rPr>
      <w:sz w:val="24"/>
      <w:lang w:eastAsia="en-US"/>
    </w:rPr>
  </w:style>
  <w:style w:type="character" w:styleId="Komentaronuoroda">
    <w:name w:val="annotation reference"/>
    <w:semiHidden/>
    <w:unhideWhenUsed/>
    <w:rsid w:val="00FE425C"/>
    <w:rPr>
      <w:sz w:val="16"/>
      <w:szCs w:val="16"/>
    </w:rPr>
  </w:style>
  <w:style w:type="paragraph" w:styleId="Komentarotekstas">
    <w:name w:val="annotation text"/>
    <w:basedOn w:val="prastasis"/>
    <w:link w:val="KomentarotekstasDiagrama"/>
    <w:semiHidden/>
    <w:unhideWhenUsed/>
    <w:rsid w:val="00FE425C"/>
    <w:rPr>
      <w:sz w:val="20"/>
    </w:rPr>
  </w:style>
  <w:style w:type="character" w:customStyle="1" w:styleId="KomentarotekstasDiagrama">
    <w:name w:val="Komentaro tekstas Diagrama"/>
    <w:link w:val="Komentarotekstas"/>
    <w:semiHidden/>
    <w:rsid w:val="00FE425C"/>
    <w:rPr>
      <w:lang w:eastAsia="en-US"/>
    </w:rPr>
  </w:style>
  <w:style w:type="paragraph" w:customStyle="1" w:styleId="normal">
    <w:name w:val="normal"/>
    <w:basedOn w:val="prastasis"/>
    <w:rsid w:val="00AD17D4"/>
    <w:pPr>
      <w:spacing w:before="120"/>
      <w:jc w:val="both"/>
    </w:pPr>
    <w:rPr>
      <w:szCs w:val="24"/>
      <w:lang w:eastAsia="lt-LT"/>
    </w:rPr>
  </w:style>
  <w:style w:type="paragraph" w:customStyle="1" w:styleId="sti-art">
    <w:name w:val="sti-art"/>
    <w:basedOn w:val="prastasis"/>
    <w:rsid w:val="00AD17D4"/>
    <w:pPr>
      <w:spacing w:before="60" w:after="120"/>
      <w:jc w:val="center"/>
    </w:pPr>
    <w:rPr>
      <w:b/>
      <w:bCs/>
      <w:szCs w:val="24"/>
      <w:lang w:eastAsia="lt-LT"/>
    </w:rPr>
  </w:style>
  <w:style w:type="paragraph" w:styleId="Komentarotema">
    <w:name w:val="annotation subject"/>
    <w:basedOn w:val="Komentarotekstas"/>
    <w:next w:val="Komentarotekstas"/>
    <w:link w:val="KomentarotemaDiagrama"/>
    <w:uiPriority w:val="99"/>
    <w:semiHidden/>
    <w:unhideWhenUsed/>
    <w:rsid w:val="00707C95"/>
    <w:rPr>
      <w:b/>
      <w:bCs/>
    </w:rPr>
  </w:style>
  <w:style w:type="character" w:customStyle="1" w:styleId="KomentarotemaDiagrama">
    <w:name w:val="Komentaro tema Diagrama"/>
    <w:link w:val="Komentarotema"/>
    <w:uiPriority w:val="99"/>
    <w:semiHidden/>
    <w:rsid w:val="00707C95"/>
    <w:rPr>
      <w:b/>
      <w:bCs/>
      <w:lang w:eastAsia="en-US"/>
    </w:rPr>
  </w:style>
  <w:style w:type="paragraph" w:styleId="Antrats">
    <w:name w:val="header"/>
    <w:basedOn w:val="prastasis"/>
    <w:link w:val="AntratsDiagrama"/>
    <w:uiPriority w:val="99"/>
    <w:unhideWhenUsed/>
    <w:rsid w:val="00B231EB"/>
    <w:pPr>
      <w:tabs>
        <w:tab w:val="center" w:pos="4819"/>
        <w:tab w:val="right" w:pos="9638"/>
      </w:tabs>
    </w:pPr>
  </w:style>
  <w:style w:type="character" w:customStyle="1" w:styleId="AntratsDiagrama">
    <w:name w:val="Antraštės Diagrama"/>
    <w:link w:val="Antrats"/>
    <w:uiPriority w:val="99"/>
    <w:rsid w:val="00B231EB"/>
    <w:rPr>
      <w:sz w:val="24"/>
      <w:lang w:eastAsia="en-US"/>
    </w:rPr>
  </w:style>
  <w:style w:type="paragraph" w:styleId="Porat">
    <w:name w:val="footer"/>
    <w:basedOn w:val="prastasis"/>
    <w:link w:val="PoratDiagrama"/>
    <w:uiPriority w:val="99"/>
    <w:unhideWhenUsed/>
    <w:rsid w:val="00B231EB"/>
    <w:pPr>
      <w:tabs>
        <w:tab w:val="center" w:pos="4819"/>
        <w:tab w:val="right" w:pos="9638"/>
      </w:tabs>
    </w:pPr>
  </w:style>
  <w:style w:type="character" w:customStyle="1" w:styleId="PoratDiagrama">
    <w:name w:val="Poraštė Diagrama"/>
    <w:link w:val="Porat"/>
    <w:uiPriority w:val="99"/>
    <w:rsid w:val="00B231E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0485">
      <w:bodyDiv w:val="1"/>
      <w:marLeft w:val="0"/>
      <w:marRight w:val="0"/>
      <w:marTop w:val="0"/>
      <w:marBottom w:val="0"/>
      <w:divBdr>
        <w:top w:val="none" w:sz="0" w:space="0" w:color="auto"/>
        <w:left w:val="none" w:sz="0" w:space="0" w:color="auto"/>
        <w:bottom w:val="none" w:sz="0" w:space="0" w:color="auto"/>
        <w:right w:val="none" w:sz="0" w:space="0" w:color="auto"/>
      </w:divBdr>
      <w:divsChild>
        <w:div w:id="201452812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8264531">
      <w:bodyDiv w:val="1"/>
      <w:marLeft w:val="0"/>
      <w:marRight w:val="0"/>
      <w:marTop w:val="0"/>
      <w:marBottom w:val="0"/>
      <w:divBdr>
        <w:top w:val="none" w:sz="0" w:space="0" w:color="auto"/>
        <w:left w:val="none" w:sz="0" w:space="0" w:color="auto"/>
        <w:bottom w:val="none" w:sz="0" w:space="0" w:color="auto"/>
        <w:right w:val="none" w:sz="0" w:space="0" w:color="auto"/>
      </w:divBdr>
      <w:divsChild>
        <w:div w:id="1202136073">
          <w:marLeft w:val="0"/>
          <w:marRight w:val="0"/>
          <w:marTop w:val="0"/>
          <w:marBottom w:val="0"/>
          <w:divBdr>
            <w:top w:val="none" w:sz="0" w:space="0" w:color="auto"/>
            <w:left w:val="none" w:sz="0" w:space="0" w:color="auto"/>
            <w:bottom w:val="none" w:sz="0" w:space="0" w:color="auto"/>
            <w:right w:val="none" w:sz="0" w:space="0" w:color="auto"/>
          </w:divBdr>
        </w:div>
      </w:divsChild>
    </w:div>
    <w:div w:id="32195921">
      <w:bodyDiv w:val="1"/>
      <w:marLeft w:val="0"/>
      <w:marRight w:val="0"/>
      <w:marTop w:val="0"/>
      <w:marBottom w:val="0"/>
      <w:divBdr>
        <w:top w:val="none" w:sz="0" w:space="0" w:color="auto"/>
        <w:left w:val="none" w:sz="0" w:space="0" w:color="auto"/>
        <w:bottom w:val="none" w:sz="0" w:space="0" w:color="auto"/>
        <w:right w:val="none" w:sz="0" w:space="0" w:color="auto"/>
      </w:divBdr>
      <w:divsChild>
        <w:div w:id="148886111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448160931">
      <w:bodyDiv w:val="1"/>
      <w:marLeft w:val="0"/>
      <w:marRight w:val="0"/>
      <w:marTop w:val="0"/>
      <w:marBottom w:val="0"/>
      <w:divBdr>
        <w:top w:val="none" w:sz="0" w:space="0" w:color="auto"/>
        <w:left w:val="none" w:sz="0" w:space="0" w:color="auto"/>
        <w:bottom w:val="none" w:sz="0" w:space="0" w:color="auto"/>
        <w:right w:val="none" w:sz="0" w:space="0" w:color="auto"/>
      </w:divBdr>
      <w:divsChild>
        <w:div w:id="122271406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969868013">
      <w:bodyDiv w:val="1"/>
      <w:marLeft w:val="390"/>
      <w:marRight w:val="390"/>
      <w:marTop w:val="0"/>
      <w:marBottom w:val="0"/>
      <w:divBdr>
        <w:top w:val="none" w:sz="0" w:space="0" w:color="auto"/>
        <w:left w:val="none" w:sz="0" w:space="0" w:color="auto"/>
        <w:bottom w:val="none" w:sz="0" w:space="0" w:color="auto"/>
        <w:right w:val="none" w:sz="0" w:space="0" w:color="auto"/>
      </w:divBdr>
      <w:divsChild>
        <w:div w:id="1105348574">
          <w:marLeft w:val="0"/>
          <w:marRight w:val="0"/>
          <w:marTop w:val="0"/>
          <w:marBottom w:val="0"/>
          <w:divBdr>
            <w:top w:val="none" w:sz="0" w:space="0" w:color="auto"/>
            <w:left w:val="none" w:sz="0" w:space="0" w:color="auto"/>
            <w:bottom w:val="none" w:sz="0" w:space="0" w:color="auto"/>
            <w:right w:val="none" w:sz="0" w:space="0" w:color="auto"/>
          </w:divBdr>
          <w:divsChild>
            <w:div w:id="309292962">
              <w:marLeft w:val="0"/>
              <w:marRight w:val="0"/>
              <w:marTop w:val="0"/>
              <w:marBottom w:val="0"/>
              <w:divBdr>
                <w:top w:val="none" w:sz="0" w:space="0" w:color="auto"/>
                <w:left w:val="none" w:sz="0" w:space="0" w:color="auto"/>
                <w:bottom w:val="none" w:sz="0" w:space="0" w:color="auto"/>
                <w:right w:val="none" w:sz="0" w:space="0" w:color="auto"/>
              </w:divBdr>
              <w:divsChild>
                <w:div w:id="780035750">
                  <w:marLeft w:val="-150"/>
                  <w:marRight w:val="-150"/>
                  <w:marTop w:val="0"/>
                  <w:marBottom w:val="0"/>
                  <w:divBdr>
                    <w:top w:val="none" w:sz="0" w:space="0" w:color="auto"/>
                    <w:left w:val="none" w:sz="0" w:space="0" w:color="auto"/>
                    <w:bottom w:val="none" w:sz="0" w:space="0" w:color="auto"/>
                    <w:right w:val="none" w:sz="0" w:space="0" w:color="auto"/>
                  </w:divBdr>
                  <w:divsChild>
                    <w:div w:id="209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10279">
      <w:bodyDiv w:val="1"/>
      <w:marLeft w:val="0"/>
      <w:marRight w:val="0"/>
      <w:marTop w:val="0"/>
      <w:marBottom w:val="0"/>
      <w:divBdr>
        <w:top w:val="none" w:sz="0" w:space="0" w:color="auto"/>
        <w:left w:val="none" w:sz="0" w:space="0" w:color="auto"/>
        <w:bottom w:val="none" w:sz="0" w:space="0" w:color="auto"/>
        <w:right w:val="none" w:sz="0" w:space="0" w:color="auto"/>
      </w:divBdr>
      <w:divsChild>
        <w:div w:id="135496413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24927852">
      <w:bodyDiv w:val="1"/>
      <w:marLeft w:val="0"/>
      <w:marRight w:val="0"/>
      <w:marTop w:val="0"/>
      <w:marBottom w:val="0"/>
      <w:divBdr>
        <w:top w:val="none" w:sz="0" w:space="0" w:color="auto"/>
        <w:left w:val="none" w:sz="0" w:space="0" w:color="auto"/>
        <w:bottom w:val="none" w:sz="0" w:space="0" w:color="auto"/>
        <w:right w:val="none" w:sz="0" w:space="0" w:color="auto"/>
      </w:divBdr>
      <w:divsChild>
        <w:div w:id="106903747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58570676">
      <w:bodyDiv w:val="1"/>
      <w:marLeft w:val="0"/>
      <w:marRight w:val="0"/>
      <w:marTop w:val="0"/>
      <w:marBottom w:val="0"/>
      <w:divBdr>
        <w:top w:val="none" w:sz="0" w:space="0" w:color="auto"/>
        <w:left w:val="none" w:sz="0" w:space="0" w:color="auto"/>
        <w:bottom w:val="none" w:sz="0" w:space="0" w:color="auto"/>
        <w:right w:val="none" w:sz="0" w:space="0" w:color="auto"/>
      </w:divBdr>
      <w:divsChild>
        <w:div w:id="2121802836">
          <w:marLeft w:val="3"/>
          <w:marRight w:val="3"/>
          <w:marTop w:val="0"/>
          <w:marBottom w:val="0"/>
          <w:divBdr>
            <w:top w:val="single" w:sz="6" w:space="0" w:color="112449"/>
            <w:left w:val="single" w:sz="6" w:space="0" w:color="112449"/>
            <w:bottom w:val="single" w:sz="6" w:space="0" w:color="112449"/>
            <w:right w:val="single" w:sz="6" w:space="0" w:color="112449"/>
          </w:divBdr>
          <w:divsChild>
            <w:div w:id="1931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8687">
      <w:bodyDiv w:val="1"/>
      <w:marLeft w:val="0"/>
      <w:marRight w:val="0"/>
      <w:marTop w:val="0"/>
      <w:marBottom w:val="0"/>
      <w:divBdr>
        <w:top w:val="none" w:sz="0" w:space="0" w:color="auto"/>
        <w:left w:val="none" w:sz="0" w:space="0" w:color="auto"/>
        <w:bottom w:val="none" w:sz="0" w:space="0" w:color="auto"/>
        <w:right w:val="none" w:sz="0" w:space="0" w:color="auto"/>
      </w:divBdr>
      <w:divsChild>
        <w:div w:id="208691397">
          <w:marLeft w:val="0"/>
          <w:marRight w:val="0"/>
          <w:marTop w:val="0"/>
          <w:marBottom w:val="0"/>
          <w:divBdr>
            <w:top w:val="none" w:sz="0" w:space="0" w:color="auto"/>
            <w:left w:val="none" w:sz="0" w:space="0" w:color="auto"/>
            <w:bottom w:val="none" w:sz="0" w:space="0" w:color="auto"/>
            <w:right w:val="none" w:sz="0" w:space="0" w:color="auto"/>
          </w:divBdr>
        </w:div>
        <w:div w:id="215047163">
          <w:marLeft w:val="0"/>
          <w:marRight w:val="0"/>
          <w:marTop w:val="0"/>
          <w:marBottom w:val="0"/>
          <w:divBdr>
            <w:top w:val="none" w:sz="0" w:space="0" w:color="auto"/>
            <w:left w:val="none" w:sz="0" w:space="0" w:color="auto"/>
            <w:bottom w:val="none" w:sz="0" w:space="0" w:color="auto"/>
            <w:right w:val="none" w:sz="0" w:space="0" w:color="auto"/>
          </w:divBdr>
        </w:div>
        <w:div w:id="292752396">
          <w:marLeft w:val="0"/>
          <w:marRight w:val="0"/>
          <w:marTop w:val="0"/>
          <w:marBottom w:val="0"/>
          <w:divBdr>
            <w:top w:val="none" w:sz="0" w:space="0" w:color="auto"/>
            <w:left w:val="none" w:sz="0" w:space="0" w:color="auto"/>
            <w:bottom w:val="none" w:sz="0" w:space="0" w:color="auto"/>
            <w:right w:val="none" w:sz="0" w:space="0" w:color="auto"/>
          </w:divBdr>
        </w:div>
        <w:div w:id="763652899">
          <w:marLeft w:val="0"/>
          <w:marRight w:val="0"/>
          <w:marTop w:val="0"/>
          <w:marBottom w:val="0"/>
          <w:divBdr>
            <w:top w:val="none" w:sz="0" w:space="0" w:color="auto"/>
            <w:left w:val="none" w:sz="0" w:space="0" w:color="auto"/>
            <w:bottom w:val="none" w:sz="0" w:space="0" w:color="auto"/>
            <w:right w:val="none" w:sz="0" w:space="0" w:color="auto"/>
          </w:divBdr>
        </w:div>
        <w:div w:id="917635429">
          <w:marLeft w:val="0"/>
          <w:marRight w:val="0"/>
          <w:marTop w:val="0"/>
          <w:marBottom w:val="0"/>
          <w:divBdr>
            <w:top w:val="none" w:sz="0" w:space="0" w:color="auto"/>
            <w:left w:val="none" w:sz="0" w:space="0" w:color="auto"/>
            <w:bottom w:val="none" w:sz="0" w:space="0" w:color="auto"/>
            <w:right w:val="none" w:sz="0" w:space="0" w:color="auto"/>
          </w:divBdr>
        </w:div>
        <w:div w:id="1298684995">
          <w:marLeft w:val="0"/>
          <w:marRight w:val="0"/>
          <w:marTop w:val="0"/>
          <w:marBottom w:val="0"/>
          <w:divBdr>
            <w:top w:val="none" w:sz="0" w:space="0" w:color="auto"/>
            <w:left w:val="none" w:sz="0" w:space="0" w:color="auto"/>
            <w:bottom w:val="none" w:sz="0" w:space="0" w:color="auto"/>
            <w:right w:val="none" w:sz="0" w:space="0" w:color="auto"/>
          </w:divBdr>
        </w:div>
        <w:div w:id="1572544270">
          <w:marLeft w:val="0"/>
          <w:marRight w:val="0"/>
          <w:marTop w:val="0"/>
          <w:marBottom w:val="0"/>
          <w:divBdr>
            <w:top w:val="none" w:sz="0" w:space="0" w:color="auto"/>
            <w:left w:val="none" w:sz="0" w:space="0" w:color="auto"/>
            <w:bottom w:val="none" w:sz="0" w:space="0" w:color="auto"/>
            <w:right w:val="none" w:sz="0" w:space="0" w:color="auto"/>
          </w:divBdr>
        </w:div>
        <w:div w:id="1602881447">
          <w:marLeft w:val="0"/>
          <w:marRight w:val="0"/>
          <w:marTop w:val="0"/>
          <w:marBottom w:val="0"/>
          <w:divBdr>
            <w:top w:val="none" w:sz="0" w:space="0" w:color="auto"/>
            <w:left w:val="none" w:sz="0" w:space="0" w:color="auto"/>
            <w:bottom w:val="none" w:sz="0" w:space="0" w:color="auto"/>
            <w:right w:val="none" w:sz="0" w:space="0" w:color="auto"/>
          </w:divBdr>
        </w:div>
        <w:div w:id="1736931439">
          <w:marLeft w:val="0"/>
          <w:marRight w:val="0"/>
          <w:marTop w:val="0"/>
          <w:marBottom w:val="0"/>
          <w:divBdr>
            <w:top w:val="none" w:sz="0" w:space="0" w:color="auto"/>
            <w:left w:val="none" w:sz="0" w:space="0" w:color="auto"/>
            <w:bottom w:val="none" w:sz="0" w:space="0" w:color="auto"/>
            <w:right w:val="none" w:sz="0" w:space="0" w:color="auto"/>
          </w:divBdr>
        </w:div>
        <w:div w:id="1958950564">
          <w:marLeft w:val="0"/>
          <w:marRight w:val="0"/>
          <w:marTop w:val="0"/>
          <w:marBottom w:val="0"/>
          <w:divBdr>
            <w:top w:val="none" w:sz="0" w:space="0" w:color="auto"/>
            <w:left w:val="none" w:sz="0" w:space="0" w:color="auto"/>
            <w:bottom w:val="none" w:sz="0" w:space="0" w:color="auto"/>
            <w:right w:val="none" w:sz="0" w:space="0" w:color="auto"/>
          </w:divBdr>
        </w:div>
        <w:div w:id="2046129283">
          <w:marLeft w:val="0"/>
          <w:marRight w:val="0"/>
          <w:marTop w:val="0"/>
          <w:marBottom w:val="0"/>
          <w:divBdr>
            <w:top w:val="none" w:sz="0" w:space="0" w:color="auto"/>
            <w:left w:val="none" w:sz="0" w:space="0" w:color="auto"/>
            <w:bottom w:val="none" w:sz="0" w:space="0" w:color="auto"/>
            <w:right w:val="none" w:sz="0" w:space="0" w:color="auto"/>
          </w:divBdr>
        </w:div>
      </w:divsChild>
    </w:div>
    <w:div w:id="2110465848">
      <w:bodyDiv w:val="1"/>
      <w:marLeft w:val="0"/>
      <w:marRight w:val="0"/>
      <w:marTop w:val="0"/>
      <w:marBottom w:val="0"/>
      <w:divBdr>
        <w:top w:val="none" w:sz="0" w:space="0" w:color="auto"/>
        <w:left w:val="none" w:sz="0" w:space="0" w:color="auto"/>
        <w:bottom w:val="none" w:sz="0" w:space="0" w:color="auto"/>
        <w:right w:val="none" w:sz="0" w:space="0" w:color="auto"/>
      </w:divBdr>
      <w:divsChild>
        <w:div w:id="182393480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2975</Words>
  <Characters>1696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DIREKTYVOS 2006/82/EB</vt:lpstr>
      <vt:lpstr>KOMISIJOS DIREKTYVOS 2006/82/EB</vt:lpstr>
    </vt:vector>
  </TitlesOfParts>
  <Company>RMC</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DIREKTYVOS 2006/82/EB</dc:title>
  <dc:subject/>
  <dc:creator>Ramune</dc:creator>
  <cp:keywords/>
  <cp:lastModifiedBy>Jelena Talackiene</cp:lastModifiedBy>
  <cp:revision>2</cp:revision>
  <cp:lastPrinted>2019-07-30T12:07:00Z</cp:lastPrinted>
  <dcterms:created xsi:type="dcterms:W3CDTF">2020-06-04T07:13:00Z</dcterms:created>
  <dcterms:modified xsi:type="dcterms:W3CDTF">2020-06-04T07:13:00Z</dcterms:modified>
</cp:coreProperties>
</file>