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6403" w:rsidRPr="00D65621" w:rsidRDefault="00B86403" w:rsidP="00D65621">
      <w:pPr>
        <w:jc w:val="both"/>
        <w:rPr>
          <w:rFonts w:asciiTheme="minorHAnsi" w:hAnsiTheme="minorHAnsi"/>
          <w:szCs w:val="24"/>
        </w:rPr>
      </w:pPr>
      <w:bookmarkStart w:id="0" w:name="_Toc473644121"/>
      <w:r w:rsidRPr="00D65621">
        <w:rPr>
          <w:rFonts w:asciiTheme="minorHAnsi" w:eastAsia="Calibri" w:hAnsiTheme="minorHAnsi"/>
          <w:b/>
          <w:noProof/>
          <w:color w:val="0070C0"/>
          <w:szCs w:val="24"/>
          <w:lang w:eastAsia="lt-LT"/>
        </w:rPr>
        <w:drawing>
          <wp:inline distT="0" distB="0" distL="0" distR="0" wp14:anchorId="0DE9946D" wp14:editId="54EFD730">
            <wp:extent cx="2914650" cy="1149350"/>
            <wp:effectExtent l="0" t="0" r="0" b="0"/>
            <wp:docPr id="387" name="Paveikslėlis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14650" cy="1149350"/>
                    </a:xfrm>
                    <a:prstGeom prst="rect">
                      <a:avLst/>
                    </a:prstGeom>
                    <a:noFill/>
                    <a:ln>
                      <a:noFill/>
                    </a:ln>
                  </pic:spPr>
                </pic:pic>
              </a:graphicData>
            </a:graphic>
          </wp:inline>
        </w:drawing>
      </w:r>
    </w:p>
    <w:p w:rsidR="00B86403" w:rsidRPr="00D65621" w:rsidRDefault="00B86403"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p>
    <w:p w:rsidR="00C42339" w:rsidRPr="00D65621" w:rsidRDefault="00C42339" w:rsidP="00D65621">
      <w:pPr>
        <w:jc w:val="both"/>
        <w:rPr>
          <w:rFonts w:asciiTheme="minorHAnsi" w:hAnsiTheme="minorHAnsi"/>
          <w:szCs w:val="24"/>
        </w:rPr>
      </w:pPr>
    </w:p>
    <w:p w:rsidR="00B86403" w:rsidRPr="00D65621" w:rsidRDefault="00B86403" w:rsidP="00D65621">
      <w:pPr>
        <w:jc w:val="both"/>
        <w:rPr>
          <w:rFonts w:asciiTheme="minorHAnsi" w:hAnsiTheme="minorHAnsi"/>
          <w:szCs w:val="24"/>
        </w:rPr>
      </w:pPr>
      <w:r w:rsidRPr="00D65621">
        <w:rPr>
          <w:rFonts w:asciiTheme="minorHAnsi" w:hAnsiTheme="minorHAnsi"/>
          <w:noProof/>
          <w:szCs w:val="24"/>
          <w:lang w:eastAsia="lt-LT"/>
        </w:rPr>
        <mc:AlternateContent>
          <mc:Choice Requires="wps">
            <w:drawing>
              <wp:anchor distT="0" distB="0" distL="114300" distR="114300" simplePos="0" relativeHeight="251662336" behindDoc="0" locked="0" layoutInCell="1" allowOverlap="1" wp14:anchorId="101F321E" wp14:editId="17D26F09">
                <wp:simplePos x="0" y="0"/>
                <wp:positionH relativeFrom="column">
                  <wp:posOffset>73925</wp:posOffset>
                </wp:positionH>
                <wp:positionV relativeFrom="paragraph">
                  <wp:posOffset>374214</wp:posOffset>
                </wp:positionV>
                <wp:extent cx="6209665" cy="2169994"/>
                <wp:effectExtent l="0" t="0" r="0" b="0"/>
                <wp:wrapNone/>
                <wp:docPr id="388" name="Teksto laukas 3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665" cy="2169994"/>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17B0" w:rsidRPr="00BD3E54" w:rsidRDefault="001717B0"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w:t>
                            </w:r>
                            <w:proofErr w:type="gramStart"/>
                            <w:r w:rsidRPr="00BD3E54">
                              <w:rPr>
                                <w:rFonts w:ascii="Calibri" w:hAnsi="Calibri"/>
                                <w:b/>
                                <w:color w:val="D9D9D9"/>
                                <w:sz w:val="48"/>
                                <w:szCs w:val="48"/>
                              </w:rPr>
                              <w:t>EUROPOS SĄJUNGOS</w:t>
                            </w:r>
                            <w:proofErr w:type="gramEnd"/>
                            <w:r w:rsidRPr="00BD3E54">
                              <w:rPr>
                                <w:rFonts w:ascii="Calibri" w:hAnsi="Calibri"/>
                                <w:b/>
                                <w:color w:val="D9D9D9"/>
                                <w:sz w:val="48"/>
                                <w:szCs w:val="48"/>
                              </w:rPr>
                              <w:t xml:space="preserve"> FONDŲ INVESTICIJŲ VEIKSMŲ PROGRAMOS ĮGYVENDINIMO KETVIRTINĖ ATASKAITA</w:t>
                            </w:r>
                          </w:p>
                          <w:p w:rsidR="001717B0" w:rsidRDefault="001717B0" w:rsidP="00B86403">
                            <w:pPr>
                              <w:rPr>
                                <w:rFonts w:ascii="Calibri" w:hAnsi="Calibri"/>
                                <w:b/>
                                <w:color w:val="D9D9D9"/>
                                <w:sz w:val="48"/>
                                <w:szCs w:val="48"/>
                              </w:rPr>
                            </w:pPr>
                          </w:p>
                          <w:p w:rsidR="001717B0" w:rsidRPr="00BD3E54" w:rsidRDefault="001717B0" w:rsidP="00B86403">
                            <w:pPr>
                              <w:rPr>
                                <w:rFonts w:ascii="Calibri" w:hAnsi="Calibri"/>
                                <w:b/>
                                <w:color w:val="D9D9D9"/>
                                <w:sz w:val="48"/>
                                <w:szCs w:val="48"/>
                              </w:rPr>
                            </w:pPr>
                          </w:p>
                          <w:p w:rsidR="001717B0" w:rsidRPr="00A40881" w:rsidRDefault="001717B0" w:rsidP="00D65621">
                            <w:pPr>
                              <w:jc w:val="center"/>
                              <w:rPr>
                                <w:sz w:val="28"/>
                                <w:szCs w:val="28"/>
                              </w:rPr>
                            </w:pPr>
                            <w:r>
                              <w:rPr>
                                <w:rFonts w:ascii="Calibri" w:hAnsi="Calibri"/>
                                <w:b/>
                                <w:color w:val="D9D9D9"/>
                                <w:sz w:val="28"/>
                                <w:szCs w:val="28"/>
                              </w:rPr>
                              <w:t xml:space="preserve">2018 metų III </w:t>
                            </w:r>
                            <w:proofErr w:type="spellStart"/>
                            <w:r>
                              <w:rPr>
                                <w:rFonts w:ascii="Calibri" w:hAnsi="Calibri"/>
                                <w:b/>
                                <w:color w:val="D9D9D9"/>
                                <w:sz w:val="28"/>
                                <w:szCs w:val="28"/>
                              </w:rPr>
                              <w:t>ketv</w:t>
                            </w:r>
                            <w:proofErr w:type="spellEnd"/>
                            <w:r>
                              <w:rPr>
                                <w:rFonts w:ascii="Calibri" w:hAnsi="Calibri"/>
                                <w:b/>
                                <w:color w:val="D9D9D9"/>
                                <w:sz w:val="28"/>
                                <w:szCs w:val="2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388" o:spid="_x0000_s1026" type="#_x0000_t202" style="position:absolute;left:0;text-align:left;margin-left:5.8pt;margin-top:29.45pt;width:488.95pt;height:17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" stroked="f">
                <v:fill opacity="0"/>
                <v:textbox>
                  <w:txbxContent>
                    <w:p w:rsidR="001717B0" w:rsidRPr="00BD3E54" w:rsidRDefault="001717B0" w:rsidP="00D65621">
                      <w:pPr>
                        <w:ind w:left="-142"/>
                        <w:jc w:val="center"/>
                        <w:rPr>
                          <w:rFonts w:ascii="Calibri" w:hAnsi="Calibri"/>
                          <w:b/>
                          <w:color w:val="D9D9D9"/>
                          <w:sz w:val="48"/>
                          <w:szCs w:val="48"/>
                        </w:rPr>
                      </w:pPr>
                      <w:r w:rsidRPr="00BD3E54">
                        <w:rPr>
                          <w:rFonts w:ascii="Calibri" w:hAnsi="Calibri"/>
                          <w:b/>
                          <w:color w:val="D9D9D9"/>
                          <w:sz w:val="48"/>
                          <w:szCs w:val="48"/>
                        </w:rPr>
                        <w:t xml:space="preserve">2014–2020 M. </w:t>
                      </w:r>
                      <w:proofErr w:type="gramStart"/>
                      <w:r w:rsidRPr="00BD3E54">
                        <w:rPr>
                          <w:rFonts w:ascii="Calibri" w:hAnsi="Calibri"/>
                          <w:b/>
                          <w:color w:val="D9D9D9"/>
                          <w:sz w:val="48"/>
                          <w:szCs w:val="48"/>
                        </w:rPr>
                        <w:t>EUROPOS SĄJUNGOS</w:t>
                      </w:r>
                      <w:proofErr w:type="gramEnd"/>
                      <w:r w:rsidRPr="00BD3E54">
                        <w:rPr>
                          <w:rFonts w:ascii="Calibri" w:hAnsi="Calibri"/>
                          <w:b/>
                          <w:color w:val="D9D9D9"/>
                          <w:sz w:val="48"/>
                          <w:szCs w:val="48"/>
                        </w:rPr>
                        <w:t xml:space="preserve"> FONDŲ INVESTICIJŲ VEIKSMŲ PROGRAMOS ĮGYVENDINIMO KETVIRTINĖ ATASKAITA</w:t>
                      </w:r>
                    </w:p>
                    <w:p w:rsidR="001717B0" w:rsidRDefault="001717B0" w:rsidP="00B86403">
                      <w:pPr>
                        <w:rPr>
                          <w:rFonts w:ascii="Calibri" w:hAnsi="Calibri"/>
                          <w:b/>
                          <w:color w:val="D9D9D9"/>
                          <w:sz w:val="48"/>
                          <w:szCs w:val="48"/>
                        </w:rPr>
                      </w:pPr>
                    </w:p>
                    <w:p w:rsidR="001717B0" w:rsidRPr="00BD3E54" w:rsidRDefault="001717B0" w:rsidP="00B86403">
                      <w:pPr>
                        <w:rPr>
                          <w:rFonts w:ascii="Calibri" w:hAnsi="Calibri"/>
                          <w:b/>
                          <w:color w:val="D9D9D9"/>
                          <w:sz w:val="48"/>
                          <w:szCs w:val="48"/>
                        </w:rPr>
                      </w:pPr>
                    </w:p>
                    <w:p w:rsidR="001717B0" w:rsidRPr="00A40881" w:rsidRDefault="001717B0" w:rsidP="00D65621">
                      <w:pPr>
                        <w:jc w:val="center"/>
                        <w:rPr>
                          <w:sz w:val="28"/>
                          <w:szCs w:val="28"/>
                        </w:rPr>
                      </w:pPr>
                      <w:r>
                        <w:rPr>
                          <w:rFonts w:ascii="Calibri" w:hAnsi="Calibri"/>
                          <w:b/>
                          <w:color w:val="D9D9D9"/>
                          <w:sz w:val="28"/>
                          <w:szCs w:val="28"/>
                        </w:rPr>
                        <w:t xml:space="preserve">2018 metų III </w:t>
                      </w:r>
                      <w:proofErr w:type="spellStart"/>
                      <w:r>
                        <w:rPr>
                          <w:rFonts w:ascii="Calibri" w:hAnsi="Calibri"/>
                          <w:b/>
                          <w:color w:val="D9D9D9"/>
                          <w:sz w:val="28"/>
                          <w:szCs w:val="28"/>
                        </w:rPr>
                        <w:t>ketv</w:t>
                      </w:r>
                      <w:proofErr w:type="spellEnd"/>
                      <w:r>
                        <w:rPr>
                          <w:rFonts w:ascii="Calibri" w:hAnsi="Calibri"/>
                          <w:b/>
                          <w:color w:val="D9D9D9"/>
                          <w:sz w:val="28"/>
                          <w:szCs w:val="28"/>
                        </w:rPr>
                        <w:t>.</w:t>
                      </w:r>
                    </w:p>
                  </w:txbxContent>
                </v:textbox>
              </v:shape>
            </w:pict>
          </mc:Fallback>
        </mc:AlternateContent>
      </w:r>
    </w:p>
    <w:p w:rsidR="00B86403" w:rsidRPr="00D65621" w:rsidRDefault="00B86403" w:rsidP="00D65621">
      <w:pPr>
        <w:jc w:val="both"/>
        <w:rPr>
          <w:rFonts w:asciiTheme="minorHAnsi" w:hAnsiTheme="minorHAnsi"/>
          <w:szCs w:val="24"/>
        </w:rPr>
      </w:pPr>
      <w:r w:rsidRPr="00D65621">
        <w:rPr>
          <w:rFonts w:asciiTheme="minorHAnsi" w:hAnsiTheme="minorHAnsi"/>
          <w:noProof/>
          <w:szCs w:val="24"/>
          <w:lang w:eastAsia="lt-LT"/>
        </w:rPr>
        <mc:AlternateContent>
          <mc:Choice Requires="wps">
            <w:drawing>
              <wp:anchor distT="0" distB="0" distL="114300" distR="114300" simplePos="0" relativeHeight="251661312" behindDoc="1" locked="0" layoutInCell="1" allowOverlap="1" wp14:anchorId="7EFA6057" wp14:editId="664EF306">
                <wp:simplePos x="0" y="0"/>
                <wp:positionH relativeFrom="column">
                  <wp:posOffset>76835</wp:posOffset>
                </wp:positionH>
                <wp:positionV relativeFrom="paragraph">
                  <wp:posOffset>143510</wp:posOffset>
                </wp:positionV>
                <wp:extent cx="6510655" cy="3155315"/>
                <wp:effectExtent l="635" t="4445" r="3810" b="2540"/>
                <wp:wrapSquare wrapText="bothSides"/>
                <wp:docPr id="390" name="Teksto laukas 3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0655" cy="31553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17B0" w:rsidRDefault="001717B0" w:rsidP="00670A6A">
                            <w:pPr>
                              <w:ind w:left="-567"/>
                              <w:jc w:val="center"/>
                            </w:pPr>
                            <w:r>
                              <w:rPr>
                                <w:noProof/>
                                <w:lang w:eastAsia="lt-LT"/>
                              </w:rPr>
                              <w:drawing>
                                <wp:inline distT="0" distB="0" distL="0" distR="0" wp14:anchorId="35422314" wp14:editId="45489187">
                                  <wp:extent cx="6564517" cy="2790967"/>
                                  <wp:effectExtent l="0" t="0" r="825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ksto laukas 390" o:spid="_x0000_s1027" type="#_x0000_t202" style="position:absolute;left:0;text-align:left;margin-left:6.05pt;margin-top:11.3pt;width:512.65pt;height:248.4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" filled="f" stroked="f">
                <v:textbox style="mso-fit-shape-to-text:t">
                  <w:txbxContent>
                    <w:p w:rsidR="001717B0" w:rsidRDefault="001717B0" w:rsidP="00670A6A">
                      <w:pPr>
                        <w:ind w:left="-567"/>
                        <w:jc w:val="center"/>
                      </w:pPr>
                      <w:r>
                        <w:rPr>
                          <w:noProof/>
                          <w:lang w:eastAsia="lt-LT"/>
                        </w:rPr>
                        <w:drawing>
                          <wp:inline distT="0" distB="0" distL="0" distR="0" wp14:anchorId="35422314" wp14:editId="45489187">
                            <wp:extent cx="6564517" cy="2790967"/>
                            <wp:effectExtent l="0" t="0" r="8255"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71219" cy="2793816"/>
                                    </a:xfrm>
                                    <a:prstGeom prst="rect">
                                      <a:avLst/>
                                    </a:prstGeom>
                                    <a:noFill/>
                                    <a:ln>
                                      <a:noFill/>
                                    </a:ln>
                                  </pic:spPr>
                                </pic:pic>
                              </a:graphicData>
                            </a:graphic>
                          </wp:inline>
                        </w:drawing>
                      </w:r>
                    </w:p>
                  </w:txbxContent>
                </v:textbox>
                <w10:wrap type="square"/>
              </v:shape>
            </w:pict>
          </mc:Fallback>
        </mc:AlternateContent>
      </w:r>
    </w:p>
    <w:p w:rsidR="00A40881" w:rsidRPr="00283223" w:rsidRDefault="000C4C16" w:rsidP="00D65621">
      <w:pPr>
        <w:rPr>
          <w:rFonts w:asciiTheme="minorHAnsi" w:eastAsia="Calibri" w:hAnsiTheme="minorHAnsi"/>
          <w:b/>
          <w:color w:val="0070C0"/>
          <w:szCs w:val="24"/>
          <w:lang w:eastAsia="lt-LT"/>
        </w:rPr>
      </w:pPr>
      <w:r w:rsidRPr="00D65621">
        <w:rPr>
          <w:rFonts w:asciiTheme="minorHAnsi" w:eastAsia="Calibri" w:hAnsiTheme="minorHAnsi"/>
          <w:b/>
          <w:color w:val="0070C0"/>
          <w:szCs w:val="24"/>
          <w:lang w:eastAsia="lt-LT"/>
        </w:rPr>
        <w:br w:type="page"/>
      </w:r>
    </w:p>
    <w:sdt>
      <w:sdtPr>
        <w:rPr>
          <w:rFonts w:asciiTheme="minorHAnsi" w:eastAsia="Calibri" w:hAnsiTheme="minorHAnsi"/>
          <w:b/>
          <w:bCs/>
          <w:color w:val="666666"/>
          <w:szCs w:val="24"/>
        </w:rPr>
        <w:id w:val="-865983546"/>
        <w:docPartObj>
          <w:docPartGallery w:val="Table of Contents"/>
          <w:docPartUnique/>
        </w:docPartObj>
      </w:sdtPr>
      <w:sdtEndPr>
        <w:rPr>
          <w:b w:val="0"/>
          <w:bCs w:val="0"/>
        </w:rPr>
      </w:sdtEndPr>
      <w:sdtContent>
        <w:p w:rsidR="00B86403" w:rsidRPr="00D65621" w:rsidRDefault="00B86403" w:rsidP="00D65621">
          <w:pPr>
            <w:rPr>
              <w:rFonts w:asciiTheme="minorHAnsi" w:hAnsiTheme="minorHAnsi"/>
              <w:color w:val="666666"/>
              <w:szCs w:val="24"/>
              <w:lang w:eastAsia="lt-LT"/>
            </w:rPr>
          </w:pPr>
          <w:r w:rsidRPr="00D65621">
            <w:rPr>
              <w:rFonts w:asciiTheme="minorHAnsi" w:hAnsiTheme="minorHAnsi"/>
              <w:color w:val="666666"/>
              <w:szCs w:val="24"/>
              <w:lang w:eastAsia="lt-LT"/>
            </w:rPr>
            <w:t>Turinys</w:t>
          </w:r>
        </w:p>
        <w:p w:rsidR="00695FF0" w:rsidRDefault="00B86403">
          <w:pPr>
            <w:pStyle w:val="Turinys1"/>
            <w:tabs>
              <w:tab w:val="left" w:pos="440"/>
              <w:tab w:val="right" w:leader="dot" w:pos="9628"/>
            </w:tabs>
            <w:rPr>
              <w:rFonts w:asciiTheme="minorHAnsi" w:eastAsiaTheme="minorEastAsia" w:hAnsiTheme="minorHAnsi" w:cstheme="minorBidi"/>
              <w:noProof/>
              <w:sz w:val="22"/>
              <w:szCs w:val="22"/>
              <w:lang w:eastAsia="lt-LT"/>
            </w:rPr>
          </w:pPr>
          <w:r w:rsidRPr="00D65621">
            <w:rPr>
              <w:rFonts w:asciiTheme="minorHAnsi" w:hAnsiTheme="minorHAnsi"/>
              <w:color w:val="666666"/>
              <w:szCs w:val="24"/>
              <w:lang w:eastAsia="lt-LT"/>
            </w:rPr>
            <w:fldChar w:fldCharType="begin"/>
          </w:r>
          <w:r w:rsidRPr="00D65621">
            <w:rPr>
              <w:rFonts w:asciiTheme="minorHAnsi" w:hAnsiTheme="minorHAnsi"/>
              <w:color w:val="666666"/>
              <w:szCs w:val="24"/>
              <w:lang w:eastAsia="lt-LT"/>
            </w:rPr>
            <w:instrText xml:space="preserve"> TOC \o "1-3" \h \z \u </w:instrText>
          </w:r>
          <w:r w:rsidRPr="00D65621">
            <w:rPr>
              <w:rFonts w:asciiTheme="minorHAnsi" w:hAnsiTheme="minorHAnsi"/>
              <w:color w:val="666666"/>
              <w:szCs w:val="24"/>
              <w:lang w:eastAsia="lt-LT"/>
            </w:rPr>
            <w:fldChar w:fldCharType="separate"/>
          </w:r>
          <w:hyperlink w:anchor="_Toc528660890" w:history="1">
            <w:r w:rsidR="00695FF0" w:rsidRPr="009A5BB1">
              <w:rPr>
                <w:rStyle w:val="Hipersaitas"/>
                <w:noProof/>
              </w:rPr>
              <w:t>I.</w:t>
            </w:r>
            <w:r w:rsidR="00695FF0">
              <w:rPr>
                <w:rFonts w:asciiTheme="minorHAnsi" w:eastAsiaTheme="minorEastAsia" w:hAnsiTheme="minorHAnsi" w:cstheme="minorBidi"/>
                <w:noProof/>
                <w:sz w:val="22"/>
                <w:szCs w:val="22"/>
                <w:lang w:eastAsia="lt-LT"/>
              </w:rPr>
              <w:tab/>
            </w:r>
            <w:r w:rsidR="00695FF0" w:rsidRPr="009A5BB1">
              <w:rPr>
                <w:rStyle w:val="Hipersaitas"/>
                <w:noProof/>
              </w:rPr>
              <w:t>Bendra VP įgyvendinimo apžvalga</w:t>
            </w:r>
            <w:r w:rsidR="00695FF0">
              <w:rPr>
                <w:noProof/>
                <w:webHidden/>
              </w:rPr>
              <w:tab/>
            </w:r>
            <w:r w:rsidR="00695FF0">
              <w:rPr>
                <w:noProof/>
                <w:webHidden/>
              </w:rPr>
              <w:fldChar w:fldCharType="begin"/>
            </w:r>
            <w:r w:rsidR="00695FF0">
              <w:rPr>
                <w:noProof/>
                <w:webHidden/>
              </w:rPr>
              <w:instrText xml:space="preserve"> PAGEREF _Toc528660890 \h </w:instrText>
            </w:r>
            <w:r w:rsidR="00695FF0">
              <w:rPr>
                <w:noProof/>
                <w:webHidden/>
              </w:rPr>
            </w:r>
            <w:r w:rsidR="00695FF0">
              <w:rPr>
                <w:noProof/>
                <w:webHidden/>
              </w:rPr>
              <w:fldChar w:fldCharType="separate"/>
            </w:r>
            <w:r w:rsidR="00695FF0">
              <w:rPr>
                <w:noProof/>
                <w:webHidden/>
              </w:rPr>
              <w:t>5</w:t>
            </w:r>
            <w:r w:rsidR="00695FF0">
              <w:rPr>
                <w:noProof/>
                <w:webHidden/>
              </w:rPr>
              <w:fldChar w:fldCharType="end"/>
            </w:r>
          </w:hyperlink>
        </w:p>
        <w:p w:rsidR="00695FF0" w:rsidRDefault="001717B0">
          <w:pPr>
            <w:pStyle w:val="Turinys1"/>
            <w:tabs>
              <w:tab w:val="left" w:pos="660"/>
              <w:tab w:val="right" w:leader="dot" w:pos="9628"/>
            </w:tabs>
            <w:rPr>
              <w:rFonts w:asciiTheme="minorHAnsi" w:eastAsiaTheme="minorEastAsia" w:hAnsiTheme="minorHAnsi" w:cstheme="minorBidi"/>
              <w:noProof/>
              <w:sz w:val="22"/>
              <w:szCs w:val="22"/>
              <w:lang w:eastAsia="lt-LT"/>
            </w:rPr>
          </w:pPr>
          <w:hyperlink w:anchor="_Toc528660891" w:history="1">
            <w:r w:rsidR="00695FF0" w:rsidRPr="009A5BB1">
              <w:rPr>
                <w:rStyle w:val="Hipersaitas"/>
                <w:noProof/>
              </w:rPr>
              <w:t>II.</w:t>
            </w:r>
            <w:r w:rsidR="00695FF0">
              <w:rPr>
                <w:rFonts w:asciiTheme="minorHAnsi" w:eastAsiaTheme="minorEastAsia" w:hAnsiTheme="minorHAnsi" w:cstheme="minorBidi"/>
                <w:noProof/>
                <w:sz w:val="22"/>
                <w:szCs w:val="22"/>
                <w:lang w:eastAsia="lt-LT"/>
              </w:rPr>
              <w:tab/>
            </w:r>
            <w:r w:rsidR="00695FF0" w:rsidRPr="009A5BB1">
              <w:rPr>
                <w:rStyle w:val="Hipersaitas"/>
                <w:noProof/>
              </w:rPr>
              <w:t>Veiksmų programos įgyvendinimo rizikos</w:t>
            </w:r>
            <w:r w:rsidR="00695FF0">
              <w:rPr>
                <w:noProof/>
                <w:webHidden/>
              </w:rPr>
              <w:tab/>
            </w:r>
            <w:r w:rsidR="00695FF0">
              <w:rPr>
                <w:noProof/>
                <w:webHidden/>
              </w:rPr>
              <w:fldChar w:fldCharType="begin"/>
            </w:r>
            <w:r w:rsidR="00695FF0">
              <w:rPr>
                <w:noProof/>
                <w:webHidden/>
              </w:rPr>
              <w:instrText xml:space="preserve"> PAGEREF _Toc528660891 \h </w:instrText>
            </w:r>
            <w:r w:rsidR="00695FF0">
              <w:rPr>
                <w:noProof/>
                <w:webHidden/>
              </w:rPr>
            </w:r>
            <w:r w:rsidR="00695FF0">
              <w:rPr>
                <w:noProof/>
                <w:webHidden/>
              </w:rPr>
              <w:fldChar w:fldCharType="separate"/>
            </w:r>
            <w:r w:rsidR="00695FF0">
              <w:rPr>
                <w:noProof/>
                <w:webHidden/>
              </w:rPr>
              <w:t>8</w:t>
            </w:r>
            <w:r w:rsidR="00695FF0">
              <w:rPr>
                <w:noProof/>
                <w:webHidden/>
              </w:rPr>
              <w:fldChar w:fldCharType="end"/>
            </w:r>
          </w:hyperlink>
        </w:p>
        <w:p w:rsidR="00695FF0" w:rsidRDefault="001717B0">
          <w:pPr>
            <w:pStyle w:val="Turinys1"/>
            <w:tabs>
              <w:tab w:val="left" w:pos="660"/>
              <w:tab w:val="right" w:leader="dot" w:pos="9628"/>
            </w:tabs>
            <w:rPr>
              <w:rFonts w:asciiTheme="minorHAnsi" w:eastAsiaTheme="minorEastAsia" w:hAnsiTheme="minorHAnsi" w:cstheme="minorBidi"/>
              <w:noProof/>
              <w:sz w:val="22"/>
              <w:szCs w:val="22"/>
              <w:lang w:eastAsia="lt-LT"/>
            </w:rPr>
          </w:pPr>
          <w:hyperlink w:anchor="_Toc528660892" w:history="1">
            <w:r w:rsidR="00695FF0" w:rsidRPr="009A5BB1">
              <w:rPr>
                <w:rStyle w:val="Hipersaitas"/>
                <w:noProof/>
              </w:rPr>
              <w:t>III.</w:t>
            </w:r>
            <w:r w:rsidR="00695FF0">
              <w:rPr>
                <w:rFonts w:asciiTheme="minorHAnsi" w:eastAsiaTheme="minorEastAsia" w:hAnsiTheme="minorHAnsi" w:cstheme="minorBidi"/>
                <w:noProof/>
                <w:sz w:val="22"/>
                <w:szCs w:val="22"/>
                <w:lang w:eastAsia="lt-LT"/>
              </w:rPr>
              <w:tab/>
            </w:r>
            <w:r w:rsidR="00695FF0" w:rsidRPr="009A5BB1">
              <w:rPr>
                <w:rStyle w:val="Hipersaitas"/>
                <w:noProof/>
              </w:rPr>
              <w:t>Situacijos sektoriuose analizė ir rekomendacijos</w:t>
            </w:r>
            <w:r w:rsidR="00695FF0">
              <w:rPr>
                <w:noProof/>
                <w:webHidden/>
              </w:rPr>
              <w:tab/>
            </w:r>
            <w:r w:rsidR="00695FF0">
              <w:rPr>
                <w:noProof/>
                <w:webHidden/>
              </w:rPr>
              <w:fldChar w:fldCharType="begin"/>
            </w:r>
            <w:r w:rsidR="00695FF0">
              <w:rPr>
                <w:noProof/>
                <w:webHidden/>
              </w:rPr>
              <w:instrText xml:space="preserve"> PAGEREF _Toc528660892 \h </w:instrText>
            </w:r>
            <w:r w:rsidR="00695FF0">
              <w:rPr>
                <w:noProof/>
                <w:webHidden/>
              </w:rPr>
            </w:r>
            <w:r w:rsidR="00695FF0">
              <w:rPr>
                <w:noProof/>
                <w:webHidden/>
              </w:rPr>
              <w:fldChar w:fldCharType="separate"/>
            </w:r>
            <w:r w:rsidR="00695FF0">
              <w:rPr>
                <w:noProof/>
                <w:webHidden/>
              </w:rPr>
              <w:t>11</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893" w:history="1">
            <w:r w:rsidR="00695FF0" w:rsidRPr="009A5BB1">
              <w:rPr>
                <w:rStyle w:val="Hipersaitas"/>
                <w:noProof/>
              </w:rPr>
              <w:t>1 prioritetas. Mokslinių tyrimų, eksperimentinės plėtros ir inovacijų skatinimas</w:t>
            </w:r>
            <w:r w:rsidR="00695FF0">
              <w:rPr>
                <w:noProof/>
                <w:webHidden/>
              </w:rPr>
              <w:tab/>
            </w:r>
            <w:r w:rsidR="00695FF0">
              <w:rPr>
                <w:noProof/>
                <w:webHidden/>
              </w:rPr>
              <w:fldChar w:fldCharType="begin"/>
            </w:r>
            <w:r w:rsidR="00695FF0">
              <w:rPr>
                <w:noProof/>
                <w:webHidden/>
              </w:rPr>
              <w:instrText xml:space="preserve"> PAGEREF _Toc528660893 \h </w:instrText>
            </w:r>
            <w:r w:rsidR="00695FF0">
              <w:rPr>
                <w:noProof/>
                <w:webHidden/>
              </w:rPr>
            </w:r>
            <w:r w:rsidR="00695FF0">
              <w:rPr>
                <w:noProof/>
                <w:webHidden/>
              </w:rPr>
              <w:fldChar w:fldCharType="separate"/>
            </w:r>
            <w:r w:rsidR="00695FF0">
              <w:rPr>
                <w:noProof/>
                <w:webHidden/>
              </w:rPr>
              <w:t>11</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894" w:history="1">
            <w:r w:rsidR="00695FF0" w:rsidRPr="009A5BB1">
              <w:rPr>
                <w:rStyle w:val="Hipersaitas"/>
                <w:noProof/>
              </w:rPr>
              <w:t>2 prioritetas. Informacinės visuomenės skatinimas</w:t>
            </w:r>
            <w:r w:rsidR="00695FF0">
              <w:rPr>
                <w:noProof/>
                <w:webHidden/>
              </w:rPr>
              <w:tab/>
            </w:r>
            <w:r w:rsidR="00695FF0">
              <w:rPr>
                <w:noProof/>
                <w:webHidden/>
              </w:rPr>
              <w:fldChar w:fldCharType="begin"/>
            </w:r>
            <w:r w:rsidR="00695FF0">
              <w:rPr>
                <w:noProof/>
                <w:webHidden/>
              </w:rPr>
              <w:instrText xml:space="preserve"> PAGEREF _Toc528660894 \h </w:instrText>
            </w:r>
            <w:r w:rsidR="00695FF0">
              <w:rPr>
                <w:noProof/>
                <w:webHidden/>
              </w:rPr>
            </w:r>
            <w:r w:rsidR="00695FF0">
              <w:rPr>
                <w:noProof/>
                <w:webHidden/>
              </w:rPr>
              <w:fldChar w:fldCharType="separate"/>
            </w:r>
            <w:r w:rsidR="00695FF0">
              <w:rPr>
                <w:noProof/>
                <w:webHidden/>
              </w:rPr>
              <w:t>12</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895" w:history="1">
            <w:r w:rsidR="00695FF0" w:rsidRPr="009A5BB1">
              <w:rPr>
                <w:rStyle w:val="Hipersaitas"/>
                <w:noProof/>
              </w:rPr>
              <w:t>4 prioritetas. Energijos efektyvumo ir atsinaujinančių išteklių energijos gamybos ir naudojimo skatinimas</w:t>
            </w:r>
            <w:r w:rsidR="00695FF0">
              <w:rPr>
                <w:noProof/>
                <w:webHidden/>
              </w:rPr>
              <w:tab/>
            </w:r>
            <w:r w:rsidR="00695FF0">
              <w:rPr>
                <w:noProof/>
                <w:webHidden/>
              </w:rPr>
              <w:fldChar w:fldCharType="begin"/>
            </w:r>
            <w:r w:rsidR="00695FF0">
              <w:rPr>
                <w:noProof/>
                <w:webHidden/>
              </w:rPr>
              <w:instrText xml:space="preserve"> PAGEREF _Toc528660895 \h </w:instrText>
            </w:r>
            <w:r w:rsidR="00695FF0">
              <w:rPr>
                <w:noProof/>
                <w:webHidden/>
              </w:rPr>
            </w:r>
            <w:r w:rsidR="00695FF0">
              <w:rPr>
                <w:noProof/>
                <w:webHidden/>
              </w:rPr>
              <w:fldChar w:fldCharType="separate"/>
            </w:r>
            <w:r w:rsidR="00695FF0">
              <w:rPr>
                <w:noProof/>
                <w:webHidden/>
              </w:rPr>
              <w:t>13</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896" w:history="1">
            <w:r w:rsidR="00695FF0" w:rsidRPr="009A5BB1">
              <w:rPr>
                <w:rStyle w:val="Hipersaitas"/>
                <w:noProof/>
              </w:rPr>
              <w:t>5 prioritetas. Aplinkosauga, gamtos išteklių darnus naudojimas ir prisitaikymas prie klimato kaitos</w:t>
            </w:r>
            <w:r w:rsidR="00695FF0">
              <w:rPr>
                <w:noProof/>
                <w:webHidden/>
              </w:rPr>
              <w:tab/>
            </w:r>
            <w:r w:rsidR="00695FF0">
              <w:rPr>
                <w:noProof/>
                <w:webHidden/>
              </w:rPr>
              <w:fldChar w:fldCharType="begin"/>
            </w:r>
            <w:r w:rsidR="00695FF0">
              <w:rPr>
                <w:noProof/>
                <w:webHidden/>
              </w:rPr>
              <w:instrText xml:space="preserve"> PAGEREF _Toc528660896 \h </w:instrText>
            </w:r>
            <w:r w:rsidR="00695FF0">
              <w:rPr>
                <w:noProof/>
                <w:webHidden/>
              </w:rPr>
            </w:r>
            <w:r w:rsidR="00695FF0">
              <w:rPr>
                <w:noProof/>
                <w:webHidden/>
              </w:rPr>
              <w:fldChar w:fldCharType="separate"/>
            </w:r>
            <w:r w:rsidR="00695FF0">
              <w:rPr>
                <w:noProof/>
                <w:webHidden/>
              </w:rPr>
              <w:t>14</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897" w:history="1">
            <w:r w:rsidR="00695FF0" w:rsidRPr="009A5BB1">
              <w:rPr>
                <w:rStyle w:val="Hipersaitas"/>
                <w:noProof/>
              </w:rPr>
              <w:t>7 prioritetas. Kokybiško užimtumo ir dalyvavimo darbo rinkoje skatinimas</w:t>
            </w:r>
            <w:r w:rsidR="00695FF0">
              <w:rPr>
                <w:noProof/>
                <w:webHidden/>
              </w:rPr>
              <w:tab/>
            </w:r>
            <w:r w:rsidR="00695FF0">
              <w:rPr>
                <w:noProof/>
                <w:webHidden/>
              </w:rPr>
              <w:fldChar w:fldCharType="begin"/>
            </w:r>
            <w:r w:rsidR="00695FF0">
              <w:rPr>
                <w:noProof/>
                <w:webHidden/>
              </w:rPr>
              <w:instrText xml:space="preserve"> PAGEREF _Toc528660897 \h </w:instrText>
            </w:r>
            <w:r w:rsidR="00695FF0">
              <w:rPr>
                <w:noProof/>
                <w:webHidden/>
              </w:rPr>
            </w:r>
            <w:r w:rsidR="00695FF0">
              <w:rPr>
                <w:noProof/>
                <w:webHidden/>
              </w:rPr>
              <w:fldChar w:fldCharType="separate"/>
            </w:r>
            <w:r w:rsidR="00695FF0">
              <w:rPr>
                <w:noProof/>
                <w:webHidden/>
              </w:rPr>
              <w:t>16</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898" w:history="1">
            <w:r w:rsidR="00695FF0" w:rsidRPr="009A5BB1">
              <w:rPr>
                <w:rStyle w:val="Hipersaitas"/>
                <w:rFonts w:cstheme="minorHAnsi"/>
                <w:noProof/>
              </w:rPr>
              <w:t>8 prioritetas. Socialinės įtraukties didinimas ir kova su skurdu</w:t>
            </w:r>
            <w:r w:rsidR="00695FF0">
              <w:rPr>
                <w:noProof/>
                <w:webHidden/>
              </w:rPr>
              <w:tab/>
            </w:r>
            <w:r w:rsidR="00695FF0">
              <w:rPr>
                <w:noProof/>
                <w:webHidden/>
              </w:rPr>
              <w:fldChar w:fldCharType="begin"/>
            </w:r>
            <w:r w:rsidR="00695FF0">
              <w:rPr>
                <w:noProof/>
                <w:webHidden/>
              </w:rPr>
              <w:instrText xml:space="preserve"> PAGEREF _Toc528660898 \h </w:instrText>
            </w:r>
            <w:r w:rsidR="00695FF0">
              <w:rPr>
                <w:noProof/>
                <w:webHidden/>
              </w:rPr>
            </w:r>
            <w:r w:rsidR="00695FF0">
              <w:rPr>
                <w:noProof/>
                <w:webHidden/>
              </w:rPr>
              <w:fldChar w:fldCharType="separate"/>
            </w:r>
            <w:r w:rsidR="00695FF0">
              <w:rPr>
                <w:noProof/>
                <w:webHidden/>
              </w:rPr>
              <w:t>17</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899" w:history="1">
            <w:r w:rsidR="00695FF0" w:rsidRPr="009A5BB1">
              <w:rPr>
                <w:rStyle w:val="Hipersaitas"/>
                <w:noProof/>
              </w:rPr>
              <w:t>9 prioritetas. Visuomenės švietimas ir žmogiškųjų išteklių potencialo didinimas</w:t>
            </w:r>
            <w:r w:rsidR="00695FF0">
              <w:rPr>
                <w:noProof/>
                <w:webHidden/>
              </w:rPr>
              <w:tab/>
            </w:r>
            <w:r w:rsidR="00695FF0">
              <w:rPr>
                <w:noProof/>
                <w:webHidden/>
              </w:rPr>
              <w:fldChar w:fldCharType="begin"/>
            </w:r>
            <w:r w:rsidR="00695FF0">
              <w:rPr>
                <w:noProof/>
                <w:webHidden/>
              </w:rPr>
              <w:instrText xml:space="preserve"> PAGEREF _Toc528660899 \h </w:instrText>
            </w:r>
            <w:r w:rsidR="00695FF0">
              <w:rPr>
                <w:noProof/>
                <w:webHidden/>
              </w:rPr>
            </w:r>
            <w:r w:rsidR="00695FF0">
              <w:rPr>
                <w:noProof/>
                <w:webHidden/>
              </w:rPr>
              <w:fldChar w:fldCharType="separate"/>
            </w:r>
            <w:r w:rsidR="00695FF0">
              <w:rPr>
                <w:noProof/>
                <w:webHidden/>
              </w:rPr>
              <w:t>19</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900" w:history="1">
            <w:r w:rsidR="00695FF0" w:rsidRPr="009A5BB1">
              <w:rPr>
                <w:rStyle w:val="Hipersaitas"/>
                <w:noProof/>
              </w:rPr>
              <w:t>10 prioritetas. Visuomenės poreikius atitinkantis ir pažangus viešasis valdymas</w:t>
            </w:r>
            <w:r w:rsidR="00695FF0">
              <w:rPr>
                <w:noProof/>
                <w:webHidden/>
              </w:rPr>
              <w:tab/>
            </w:r>
            <w:r w:rsidR="00695FF0">
              <w:rPr>
                <w:noProof/>
                <w:webHidden/>
              </w:rPr>
              <w:fldChar w:fldCharType="begin"/>
            </w:r>
            <w:r w:rsidR="00695FF0">
              <w:rPr>
                <w:noProof/>
                <w:webHidden/>
              </w:rPr>
              <w:instrText xml:space="preserve"> PAGEREF _Toc528660900 \h </w:instrText>
            </w:r>
            <w:r w:rsidR="00695FF0">
              <w:rPr>
                <w:noProof/>
                <w:webHidden/>
              </w:rPr>
            </w:r>
            <w:r w:rsidR="00695FF0">
              <w:rPr>
                <w:noProof/>
                <w:webHidden/>
              </w:rPr>
              <w:fldChar w:fldCharType="separate"/>
            </w:r>
            <w:r w:rsidR="00695FF0">
              <w:rPr>
                <w:noProof/>
                <w:webHidden/>
              </w:rPr>
              <w:t>20</w:t>
            </w:r>
            <w:r w:rsidR="00695FF0">
              <w:rPr>
                <w:noProof/>
                <w:webHidden/>
              </w:rPr>
              <w:fldChar w:fldCharType="end"/>
            </w:r>
          </w:hyperlink>
        </w:p>
        <w:p w:rsidR="00695FF0" w:rsidRDefault="001717B0">
          <w:pPr>
            <w:pStyle w:val="Turinys1"/>
            <w:tabs>
              <w:tab w:val="left" w:pos="660"/>
              <w:tab w:val="right" w:leader="dot" w:pos="9628"/>
            </w:tabs>
            <w:rPr>
              <w:rFonts w:asciiTheme="minorHAnsi" w:eastAsiaTheme="minorEastAsia" w:hAnsiTheme="minorHAnsi" w:cstheme="minorBidi"/>
              <w:noProof/>
              <w:sz w:val="22"/>
              <w:szCs w:val="22"/>
              <w:lang w:eastAsia="lt-LT"/>
            </w:rPr>
          </w:pPr>
          <w:hyperlink w:anchor="_Toc528660901" w:history="1">
            <w:r w:rsidR="00695FF0" w:rsidRPr="009A5BB1">
              <w:rPr>
                <w:rStyle w:val="Hipersaitas"/>
                <w:noProof/>
              </w:rPr>
              <w:t>IV.</w:t>
            </w:r>
            <w:r w:rsidR="00695FF0">
              <w:rPr>
                <w:rFonts w:asciiTheme="minorHAnsi" w:eastAsiaTheme="minorEastAsia" w:hAnsiTheme="minorHAnsi" w:cstheme="minorBidi"/>
                <w:noProof/>
                <w:sz w:val="22"/>
                <w:szCs w:val="22"/>
                <w:lang w:eastAsia="lt-LT"/>
              </w:rPr>
              <w:tab/>
            </w:r>
            <w:r w:rsidR="00695FF0" w:rsidRPr="009A5BB1">
              <w:rPr>
                <w:rStyle w:val="Hipersaitas"/>
                <w:noProof/>
              </w:rPr>
              <w:t>Investicinis požiūris</w:t>
            </w:r>
            <w:r w:rsidR="00695FF0">
              <w:rPr>
                <w:noProof/>
                <w:webHidden/>
              </w:rPr>
              <w:tab/>
            </w:r>
            <w:r w:rsidR="00695FF0">
              <w:rPr>
                <w:noProof/>
                <w:webHidden/>
              </w:rPr>
              <w:fldChar w:fldCharType="begin"/>
            </w:r>
            <w:r w:rsidR="00695FF0">
              <w:rPr>
                <w:noProof/>
                <w:webHidden/>
              </w:rPr>
              <w:instrText xml:space="preserve"> PAGEREF _Toc528660901 \h </w:instrText>
            </w:r>
            <w:r w:rsidR="00695FF0">
              <w:rPr>
                <w:noProof/>
                <w:webHidden/>
              </w:rPr>
            </w:r>
            <w:r w:rsidR="00695FF0">
              <w:rPr>
                <w:noProof/>
                <w:webHidden/>
              </w:rPr>
              <w:fldChar w:fldCharType="separate"/>
            </w:r>
            <w:r w:rsidR="00695FF0">
              <w:rPr>
                <w:noProof/>
                <w:webHidden/>
              </w:rPr>
              <w:t>20</w:t>
            </w:r>
            <w:r w:rsidR="00695FF0">
              <w:rPr>
                <w:noProof/>
                <w:webHidden/>
              </w:rPr>
              <w:fldChar w:fldCharType="end"/>
            </w:r>
          </w:hyperlink>
        </w:p>
        <w:p w:rsidR="00695FF0" w:rsidRDefault="001717B0">
          <w:pPr>
            <w:pStyle w:val="Turinys1"/>
            <w:tabs>
              <w:tab w:val="right" w:leader="dot" w:pos="9628"/>
            </w:tabs>
            <w:rPr>
              <w:rFonts w:asciiTheme="minorHAnsi" w:eastAsiaTheme="minorEastAsia" w:hAnsiTheme="minorHAnsi" w:cstheme="minorBidi"/>
              <w:noProof/>
              <w:sz w:val="22"/>
              <w:szCs w:val="22"/>
              <w:lang w:eastAsia="lt-LT"/>
            </w:rPr>
          </w:pPr>
          <w:hyperlink w:anchor="_Toc528660902" w:history="1">
            <w:r w:rsidR="00695FF0" w:rsidRPr="009A5BB1">
              <w:rPr>
                <w:rStyle w:val="Hipersaitas"/>
                <w:noProof/>
              </w:rPr>
              <w:t>Tuberkuliozės prevencija</w:t>
            </w:r>
            <w:r w:rsidR="00695FF0">
              <w:rPr>
                <w:noProof/>
                <w:webHidden/>
              </w:rPr>
              <w:tab/>
            </w:r>
            <w:r w:rsidR="00695FF0">
              <w:rPr>
                <w:noProof/>
                <w:webHidden/>
              </w:rPr>
              <w:fldChar w:fldCharType="begin"/>
            </w:r>
            <w:r w:rsidR="00695FF0">
              <w:rPr>
                <w:noProof/>
                <w:webHidden/>
              </w:rPr>
              <w:instrText xml:space="preserve"> PAGEREF _Toc528660902 \h </w:instrText>
            </w:r>
            <w:r w:rsidR="00695FF0">
              <w:rPr>
                <w:noProof/>
                <w:webHidden/>
              </w:rPr>
            </w:r>
            <w:r w:rsidR="00695FF0">
              <w:rPr>
                <w:noProof/>
                <w:webHidden/>
              </w:rPr>
              <w:fldChar w:fldCharType="separate"/>
            </w:r>
            <w:r w:rsidR="00695FF0">
              <w:rPr>
                <w:noProof/>
                <w:webHidden/>
              </w:rPr>
              <w:t>21</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903" w:history="1">
            <w:r w:rsidR="00695FF0" w:rsidRPr="009A5BB1">
              <w:rPr>
                <w:rStyle w:val="Hipersaitas"/>
                <w:noProof/>
              </w:rPr>
              <w:t>Kaštai</w:t>
            </w:r>
            <w:r w:rsidR="00695FF0">
              <w:rPr>
                <w:noProof/>
                <w:webHidden/>
              </w:rPr>
              <w:tab/>
            </w:r>
            <w:r w:rsidR="00695FF0">
              <w:rPr>
                <w:noProof/>
                <w:webHidden/>
              </w:rPr>
              <w:fldChar w:fldCharType="begin"/>
            </w:r>
            <w:r w:rsidR="00695FF0">
              <w:rPr>
                <w:noProof/>
                <w:webHidden/>
              </w:rPr>
              <w:instrText xml:space="preserve"> PAGEREF _Toc528660903 \h </w:instrText>
            </w:r>
            <w:r w:rsidR="00695FF0">
              <w:rPr>
                <w:noProof/>
                <w:webHidden/>
              </w:rPr>
            </w:r>
            <w:r w:rsidR="00695FF0">
              <w:rPr>
                <w:noProof/>
                <w:webHidden/>
              </w:rPr>
              <w:fldChar w:fldCharType="separate"/>
            </w:r>
            <w:r w:rsidR="00695FF0">
              <w:rPr>
                <w:noProof/>
                <w:webHidden/>
              </w:rPr>
              <w:t>22</w:t>
            </w:r>
            <w:r w:rsidR="00695FF0">
              <w:rPr>
                <w:noProof/>
                <w:webHidden/>
              </w:rPr>
              <w:fldChar w:fldCharType="end"/>
            </w:r>
          </w:hyperlink>
        </w:p>
        <w:p w:rsidR="00695FF0" w:rsidRDefault="001717B0">
          <w:pPr>
            <w:pStyle w:val="Turinys1"/>
            <w:tabs>
              <w:tab w:val="right" w:leader="dot" w:pos="9628"/>
            </w:tabs>
            <w:rPr>
              <w:rFonts w:asciiTheme="minorHAnsi" w:eastAsiaTheme="minorEastAsia" w:hAnsiTheme="minorHAnsi" w:cstheme="minorBidi"/>
              <w:noProof/>
              <w:sz w:val="22"/>
              <w:szCs w:val="22"/>
              <w:lang w:eastAsia="lt-LT"/>
            </w:rPr>
          </w:pPr>
          <w:hyperlink w:anchor="_Toc528660904" w:history="1">
            <w:r w:rsidR="00695FF0" w:rsidRPr="009A5BB1">
              <w:rPr>
                <w:rStyle w:val="Hipersaitas"/>
                <w:noProof/>
              </w:rPr>
              <w:t>Multidimensinė šeimos terapijos programos adaptavimas Lietuvoje</w:t>
            </w:r>
            <w:r w:rsidR="00695FF0">
              <w:rPr>
                <w:noProof/>
                <w:webHidden/>
              </w:rPr>
              <w:tab/>
            </w:r>
            <w:r w:rsidR="00695FF0">
              <w:rPr>
                <w:noProof/>
                <w:webHidden/>
              </w:rPr>
              <w:fldChar w:fldCharType="begin"/>
            </w:r>
            <w:r w:rsidR="00695FF0">
              <w:rPr>
                <w:noProof/>
                <w:webHidden/>
              </w:rPr>
              <w:instrText xml:space="preserve"> PAGEREF _Toc528660904 \h </w:instrText>
            </w:r>
            <w:r w:rsidR="00695FF0">
              <w:rPr>
                <w:noProof/>
                <w:webHidden/>
              </w:rPr>
            </w:r>
            <w:r w:rsidR="00695FF0">
              <w:rPr>
                <w:noProof/>
                <w:webHidden/>
              </w:rPr>
              <w:fldChar w:fldCharType="separate"/>
            </w:r>
            <w:r w:rsidR="00695FF0">
              <w:rPr>
                <w:noProof/>
                <w:webHidden/>
              </w:rPr>
              <w:t>23</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905" w:history="1">
            <w:r w:rsidR="00695FF0" w:rsidRPr="009A5BB1">
              <w:rPr>
                <w:rStyle w:val="Hipersaitas"/>
                <w:noProof/>
              </w:rPr>
              <w:t>Nauda</w:t>
            </w:r>
            <w:r w:rsidR="00695FF0">
              <w:rPr>
                <w:noProof/>
                <w:webHidden/>
              </w:rPr>
              <w:tab/>
            </w:r>
            <w:r w:rsidR="00695FF0">
              <w:rPr>
                <w:noProof/>
                <w:webHidden/>
              </w:rPr>
              <w:fldChar w:fldCharType="begin"/>
            </w:r>
            <w:r w:rsidR="00695FF0">
              <w:rPr>
                <w:noProof/>
                <w:webHidden/>
              </w:rPr>
              <w:instrText xml:space="preserve"> PAGEREF _Toc528660905 \h </w:instrText>
            </w:r>
            <w:r w:rsidR="00695FF0">
              <w:rPr>
                <w:noProof/>
                <w:webHidden/>
              </w:rPr>
            </w:r>
            <w:r w:rsidR="00695FF0">
              <w:rPr>
                <w:noProof/>
                <w:webHidden/>
              </w:rPr>
              <w:fldChar w:fldCharType="separate"/>
            </w:r>
            <w:r w:rsidR="00695FF0">
              <w:rPr>
                <w:noProof/>
                <w:webHidden/>
              </w:rPr>
              <w:t>24</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906" w:history="1">
            <w:r w:rsidR="00695FF0" w:rsidRPr="009A5BB1">
              <w:rPr>
                <w:rStyle w:val="Hipersaitas"/>
                <w:noProof/>
              </w:rPr>
              <w:t>Kaštai</w:t>
            </w:r>
            <w:r w:rsidR="00695FF0">
              <w:rPr>
                <w:noProof/>
                <w:webHidden/>
              </w:rPr>
              <w:tab/>
            </w:r>
            <w:r w:rsidR="00695FF0">
              <w:rPr>
                <w:noProof/>
                <w:webHidden/>
              </w:rPr>
              <w:fldChar w:fldCharType="begin"/>
            </w:r>
            <w:r w:rsidR="00695FF0">
              <w:rPr>
                <w:noProof/>
                <w:webHidden/>
              </w:rPr>
              <w:instrText xml:space="preserve"> PAGEREF _Toc528660906 \h </w:instrText>
            </w:r>
            <w:r w:rsidR="00695FF0">
              <w:rPr>
                <w:noProof/>
                <w:webHidden/>
              </w:rPr>
            </w:r>
            <w:r w:rsidR="00695FF0">
              <w:rPr>
                <w:noProof/>
                <w:webHidden/>
              </w:rPr>
              <w:fldChar w:fldCharType="separate"/>
            </w:r>
            <w:r w:rsidR="00695FF0">
              <w:rPr>
                <w:noProof/>
                <w:webHidden/>
              </w:rPr>
              <w:t>24</w:t>
            </w:r>
            <w:r w:rsidR="00695FF0">
              <w:rPr>
                <w:noProof/>
                <w:webHidden/>
              </w:rPr>
              <w:fldChar w:fldCharType="end"/>
            </w:r>
          </w:hyperlink>
        </w:p>
        <w:p w:rsidR="00695FF0" w:rsidRDefault="001717B0">
          <w:pPr>
            <w:pStyle w:val="Turinys1"/>
            <w:tabs>
              <w:tab w:val="right" w:leader="dot" w:pos="9628"/>
            </w:tabs>
            <w:rPr>
              <w:rFonts w:asciiTheme="minorHAnsi" w:eastAsiaTheme="minorEastAsia" w:hAnsiTheme="minorHAnsi" w:cstheme="minorBidi"/>
              <w:noProof/>
              <w:sz w:val="22"/>
              <w:szCs w:val="22"/>
              <w:lang w:eastAsia="lt-LT"/>
            </w:rPr>
          </w:pPr>
          <w:hyperlink w:anchor="_Toc528660907" w:history="1">
            <w:r w:rsidR="00695FF0" w:rsidRPr="009A5BB1">
              <w:rPr>
                <w:rStyle w:val="Hipersaitas"/>
                <w:noProof/>
              </w:rPr>
              <w:t>Kognityvinės elgesio terapijos programa</w:t>
            </w:r>
            <w:r w:rsidR="00695FF0">
              <w:rPr>
                <w:noProof/>
                <w:webHidden/>
              </w:rPr>
              <w:tab/>
            </w:r>
            <w:r w:rsidR="00695FF0">
              <w:rPr>
                <w:noProof/>
                <w:webHidden/>
              </w:rPr>
              <w:fldChar w:fldCharType="begin"/>
            </w:r>
            <w:r w:rsidR="00695FF0">
              <w:rPr>
                <w:noProof/>
                <w:webHidden/>
              </w:rPr>
              <w:instrText xml:space="preserve"> PAGEREF _Toc528660907 \h </w:instrText>
            </w:r>
            <w:r w:rsidR="00695FF0">
              <w:rPr>
                <w:noProof/>
                <w:webHidden/>
              </w:rPr>
            </w:r>
            <w:r w:rsidR="00695FF0">
              <w:rPr>
                <w:noProof/>
                <w:webHidden/>
              </w:rPr>
              <w:fldChar w:fldCharType="separate"/>
            </w:r>
            <w:r w:rsidR="00695FF0">
              <w:rPr>
                <w:noProof/>
                <w:webHidden/>
              </w:rPr>
              <w:t>25</w:t>
            </w:r>
            <w:r w:rsidR="00695FF0">
              <w:rPr>
                <w:noProof/>
                <w:webHidden/>
              </w:rPr>
              <w:fldChar w:fldCharType="end"/>
            </w:r>
          </w:hyperlink>
        </w:p>
        <w:p w:rsidR="00695FF0" w:rsidRDefault="001717B0">
          <w:pPr>
            <w:pStyle w:val="Turinys2"/>
            <w:tabs>
              <w:tab w:val="right" w:leader="dot" w:pos="9628"/>
            </w:tabs>
            <w:rPr>
              <w:rFonts w:asciiTheme="minorHAnsi" w:eastAsiaTheme="minorEastAsia" w:hAnsiTheme="minorHAnsi" w:cstheme="minorBidi"/>
              <w:noProof/>
              <w:sz w:val="22"/>
              <w:szCs w:val="22"/>
              <w:lang w:eastAsia="lt-LT"/>
            </w:rPr>
          </w:pPr>
          <w:hyperlink w:anchor="_Toc528660908" w:history="1">
            <w:r w:rsidR="00695FF0" w:rsidRPr="009A5BB1">
              <w:rPr>
                <w:rStyle w:val="Hipersaitas"/>
                <w:noProof/>
              </w:rPr>
              <w:t>Kaštai</w:t>
            </w:r>
            <w:r w:rsidR="00695FF0">
              <w:rPr>
                <w:noProof/>
                <w:webHidden/>
              </w:rPr>
              <w:tab/>
            </w:r>
            <w:r w:rsidR="00695FF0">
              <w:rPr>
                <w:noProof/>
                <w:webHidden/>
              </w:rPr>
              <w:fldChar w:fldCharType="begin"/>
            </w:r>
            <w:r w:rsidR="00695FF0">
              <w:rPr>
                <w:noProof/>
                <w:webHidden/>
              </w:rPr>
              <w:instrText xml:space="preserve"> PAGEREF _Toc528660908 \h </w:instrText>
            </w:r>
            <w:r w:rsidR="00695FF0">
              <w:rPr>
                <w:noProof/>
                <w:webHidden/>
              </w:rPr>
            </w:r>
            <w:r w:rsidR="00695FF0">
              <w:rPr>
                <w:noProof/>
                <w:webHidden/>
              </w:rPr>
              <w:fldChar w:fldCharType="separate"/>
            </w:r>
            <w:r w:rsidR="00695FF0">
              <w:rPr>
                <w:noProof/>
                <w:webHidden/>
              </w:rPr>
              <w:t>26</w:t>
            </w:r>
            <w:r w:rsidR="00695FF0">
              <w:rPr>
                <w:noProof/>
                <w:webHidden/>
              </w:rPr>
              <w:fldChar w:fldCharType="end"/>
            </w:r>
          </w:hyperlink>
        </w:p>
        <w:p w:rsidR="00B86403" w:rsidRPr="00D65621" w:rsidRDefault="00B86403" w:rsidP="00D65621">
          <w:pPr>
            <w:pStyle w:val="Turinys2"/>
            <w:tabs>
              <w:tab w:val="right" w:leader="dot" w:pos="9628"/>
            </w:tabs>
            <w:spacing w:after="0"/>
            <w:ind w:left="0"/>
            <w:rPr>
              <w:rFonts w:asciiTheme="minorHAnsi" w:eastAsia="Calibri" w:hAnsiTheme="minorHAnsi"/>
              <w:color w:val="666666"/>
              <w:szCs w:val="24"/>
              <w:lang w:eastAsia="lt-LT"/>
            </w:rPr>
          </w:pPr>
          <w:r w:rsidRPr="00D65621">
            <w:rPr>
              <w:rFonts w:asciiTheme="minorHAnsi" w:hAnsiTheme="minorHAnsi"/>
              <w:color w:val="666666"/>
              <w:szCs w:val="24"/>
              <w:lang w:eastAsia="lt-LT"/>
            </w:rPr>
            <w:fldChar w:fldCharType="end"/>
          </w:r>
        </w:p>
      </w:sdtContent>
    </w:sdt>
    <w:p w:rsidR="00C42339" w:rsidRPr="00D65621" w:rsidRDefault="00C42339" w:rsidP="00D65621">
      <w:pPr>
        <w:rPr>
          <w:rFonts w:asciiTheme="minorHAnsi" w:eastAsiaTheme="majorEastAsia" w:hAnsiTheme="minorHAnsi" w:cstheme="majorBidi"/>
          <w:b/>
          <w:bCs/>
          <w:color w:val="666666"/>
          <w:szCs w:val="24"/>
          <w:lang w:eastAsia="lt-LT"/>
        </w:rPr>
      </w:pPr>
      <w:r w:rsidRPr="00D65621">
        <w:rPr>
          <w:rFonts w:asciiTheme="minorHAnsi" w:hAnsiTheme="minorHAnsi"/>
          <w:color w:val="666666"/>
          <w:szCs w:val="24"/>
          <w:lang w:eastAsia="lt-LT"/>
        </w:rPr>
        <w:br w:type="page"/>
      </w:r>
    </w:p>
    <w:p w:rsidR="00901533" w:rsidRPr="005A4426" w:rsidRDefault="00D86482" w:rsidP="00FC6139">
      <w:pPr>
        <w:pStyle w:val="Pavadinimas"/>
      </w:pPr>
      <w:r w:rsidRPr="005A4426">
        <w:lastRenderedPageBreak/>
        <w:t>TRUMPINIAI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67"/>
        <w:gridCol w:w="7052"/>
      </w:tblGrid>
      <w:tr w:rsidR="00CA2B8C" w:rsidRPr="000C7298" w:rsidTr="008B3725">
        <w:tc>
          <w:tcPr>
            <w:tcW w:w="2235" w:type="dxa"/>
          </w:tcPr>
          <w:p w:rsidR="00CA2B8C" w:rsidRPr="00252FF3" w:rsidRDefault="00CA2B8C" w:rsidP="007D34BF">
            <w:pPr>
              <w:pStyle w:val="tekstas"/>
              <w:spacing w:line="360" w:lineRule="auto"/>
              <w:ind w:firstLine="0"/>
              <w:rPr>
                <w:color w:val="7F7F7F" w:themeColor="text1" w:themeTint="80"/>
              </w:rPr>
            </w:pPr>
            <w:r w:rsidRPr="00252FF3">
              <w:rPr>
                <w:color w:val="7F7F7F" w:themeColor="text1" w:themeTint="80"/>
              </w:rPr>
              <w:t>EK</w:t>
            </w:r>
          </w:p>
        </w:tc>
        <w:tc>
          <w:tcPr>
            <w:tcW w:w="7619" w:type="dxa"/>
            <w:gridSpan w:val="2"/>
          </w:tcPr>
          <w:p w:rsidR="00CA2B8C" w:rsidRPr="00252FF3" w:rsidRDefault="00CA2B8C" w:rsidP="00CA2B8C">
            <w:pPr>
              <w:pStyle w:val="tekstas"/>
              <w:spacing w:line="360" w:lineRule="auto"/>
              <w:ind w:firstLine="0"/>
              <w:rPr>
                <w:color w:val="7F7F7F" w:themeColor="text1" w:themeTint="80"/>
              </w:rPr>
            </w:pPr>
            <w:r w:rsidRPr="00252FF3">
              <w:rPr>
                <w:color w:val="7F7F7F" w:themeColor="text1" w:themeTint="80"/>
              </w:rPr>
              <w:t>– Europos Komisija</w:t>
            </w:r>
          </w:p>
        </w:tc>
      </w:tr>
      <w:tr w:rsidR="005A4426" w:rsidRPr="000C7298" w:rsidTr="008B3725">
        <w:tc>
          <w:tcPr>
            <w:tcW w:w="2235" w:type="dxa"/>
          </w:tcPr>
          <w:p w:rsidR="007D34BF" w:rsidRPr="00252FF3" w:rsidRDefault="00E060F7" w:rsidP="007D34BF">
            <w:pPr>
              <w:pStyle w:val="tekstas"/>
              <w:spacing w:line="360" w:lineRule="auto"/>
              <w:ind w:firstLine="0"/>
              <w:rPr>
                <w:color w:val="7F7F7F" w:themeColor="text1" w:themeTint="80"/>
              </w:rPr>
            </w:pPr>
            <w:r w:rsidRPr="00252FF3">
              <w:rPr>
                <w:color w:val="7F7F7F" w:themeColor="text1" w:themeTint="80"/>
              </w:rPr>
              <w:t xml:space="preserve">ES </w:t>
            </w:r>
          </w:p>
        </w:tc>
        <w:tc>
          <w:tcPr>
            <w:tcW w:w="7619" w:type="dxa"/>
            <w:gridSpan w:val="2"/>
          </w:tcPr>
          <w:p w:rsidR="007D34BF" w:rsidRPr="00252FF3" w:rsidRDefault="007D34BF" w:rsidP="007D34BF">
            <w:pPr>
              <w:pStyle w:val="tekstas"/>
              <w:spacing w:line="360" w:lineRule="auto"/>
              <w:ind w:firstLine="0"/>
              <w:rPr>
                <w:color w:val="7F7F7F" w:themeColor="text1" w:themeTint="80"/>
              </w:rPr>
            </w:pPr>
            <w:r w:rsidRPr="00252FF3">
              <w:rPr>
                <w:color w:val="7F7F7F" w:themeColor="text1" w:themeTint="80"/>
              </w:rPr>
              <w:t>– Europos Sąjunga</w:t>
            </w:r>
          </w:p>
        </w:tc>
      </w:tr>
      <w:tr w:rsidR="005A4426" w:rsidRPr="000C7298" w:rsidTr="008B3725">
        <w:tc>
          <w:tcPr>
            <w:tcW w:w="2235" w:type="dxa"/>
          </w:tcPr>
          <w:p w:rsidR="007D34BF" w:rsidRPr="00252FF3" w:rsidRDefault="00ED7123" w:rsidP="007D34BF">
            <w:pPr>
              <w:pStyle w:val="tekstas"/>
              <w:spacing w:line="360" w:lineRule="auto"/>
              <w:ind w:firstLine="0"/>
              <w:rPr>
                <w:color w:val="7F7F7F" w:themeColor="text1" w:themeTint="80"/>
              </w:rPr>
            </w:pPr>
            <w:r w:rsidRPr="00252FF3">
              <w:rPr>
                <w:color w:val="7F7F7F" w:themeColor="text1" w:themeTint="80"/>
              </w:rPr>
              <w:t>ES fondai</w:t>
            </w:r>
            <w:r w:rsidR="007D34BF" w:rsidRPr="00252FF3">
              <w:rPr>
                <w:color w:val="7F7F7F" w:themeColor="text1" w:themeTint="80"/>
              </w:rPr>
              <w:t xml:space="preserve"> </w:t>
            </w:r>
          </w:p>
        </w:tc>
        <w:tc>
          <w:tcPr>
            <w:tcW w:w="7619" w:type="dxa"/>
            <w:gridSpan w:val="2"/>
          </w:tcPr>
          <w:p w:rsidR="007D34BF" w:rsidRPr="00252FF3" w:rsidRDefault="007D34BF" w:rsidP="00ED7123">
            <w:pPr>
              <w:pStyle w:val="tekstas"/>
              <w:spacing w:line="360" w:lineRule="auto"/>
              <w:ind w:firstLine="0"/>
              <w:rPr>
                <w:color w:val="7F7F7F" w:themeColor="text1" w:themeTint="80"/>
              </w:rPr>
            </w:pPr>
            <w:r w:rsidRPr="00252FF3">
              <w:rPr>
                <w:color w:val="7F7F7F" w:themeColor="text1" w:themeTint="80"/>
              </w:rPr>
              <w:t>– Europos Sąjungos struktūriniai fondai (Europos socialinis fondas</w:t>
            </w:r>
            <w:r w:rsidR="00ED7123" w:rsidRPr="00252FF3">
              <w:rPr>
                <w:color w:val="7F7F7F" w:themeColor="text1" w:themeTint="80"/>
              </w:rPr>
              <w:t>, įskaitant „Jaunimo užimtumo iniciatyvą“</w:t>
            </w:r>
            <w:r w:rsidRPr="00252FF3">
              <w:rPr>
                <w:color w:val="7F7F7F" w:themeColor="text1" w:themeTint="80"/>
              </w:rPr>
              <w:t>, Europos regioninės pl</w:t>
            </w:r>
            <w:r w:rsidR="00ED7123" w:rsidRPr="00252FF3">
              <w:rPr>
                <w:color w:val="7F7F7F" w:themeColor="text1" w:themeTint="80"/>
              </w:rPr>
              <w:t>ėtros fondas, Sanglaudos fondas</w:t>
            </w:r>
            <w:r w:rsidRPr="00252FF3">
              <w:rPr>
                <w:color w:val="7F7F7F" w:themeColor="text1" w:themeTint="80"/>
              </w:rPr>
              <w:t>)</w:t>
            </w:r>
          </w:p>
        </w:tc>
      </w:tr>
      <w:tr w:rsidR="00867A63" w:rsidRPr="000C7298" w:rsidTr="008B3725">
        <w:tc>
          <w:tcPr>
            <w:tcW w:w="2235" w:type="dxa"/>
          </w:tcPr>
          <w:p w:rsidR="00867A63" w:rsidRPr="00252FF3" w:rsidRDefault="00867A63" w:rsidP="007D34BF">
            <w:pPr>
              <w:pStyle w:val="tekstas"/>
              <w:spacing w:line="360" w:lineRule="auto"/>
              <w:ind w:firstLine="0"/>
              <w:rPr>
                <w:color w:val="7F7F7F" w:themeColor="text1" w:themeTint="80"/>
              </w:rPr>
            </w:pPr>
            <w:r w:rsidRPr="00252FF3">
              <w:rPr>
                <w:color w:val="7F7F7F" w:themeColor="text1" w:themeTint="80"/>
              </w:rPr>
              <w:t>ERPF</w:t>
            </w:r>
          </w:p>
        </w:tc>
        <w:tc>
          <w:tcPr>
            <w:tcW w:w="7619" w:type="dxa"/>
            <w:gridSpan w:val="2"/>
          </w:tcPr>
          <w:p w:rsidR="00867A63" w:rsidRPr="00252FF3" w:rsidRDefault="00867A63" w:rsidP="00ED7123">
            <w:pPr>
              <w:pStyle w:val="tekstas"/>
              <w:spacing w:line="360" w:lineRule="auto"/>
              <w:ind w:firstLine="0"/>
              <w:rPr>
                <w:color w:val="7F7F7F" w:themeColor="text1" w:themeTint="80"/>
              </w:rPr>
            </w:pPr>
            <w:r w:rsidRPr="00252FF3">
              <w:rPr>
                <w:color w:val="7F7F7F" w:themeColor="text1" w:themeTint="80"/>
              </w:rPr>
              <w:t>– Europos regioninės plėtros fondas</w:t>
            </w:r>
          </w:p>
        </w:tc>
      </w:tr>
      <w:tr w:rsidR="00867A63" w:rsidRPr="000C7298" w:rsidTr="008B3725">
        <w:tc>
          <w:tcPr>
            <w:tcW w:w="2235" w:type="dxa"/>
          </w:tcPr>
          <w:p w:rsidR="00867A63" w:rsidRPr="00252FF3" w:rsidRDefault="00867A63" w:rsidP="007D34BF">
            <w:pPr>
              <w:pStyle w:val="tekstas"/>
              <w:spacing w:line="360" w:lineRule="auto"/>
              <w:ind w:firstLine="0"/>
              <w:rPr>
                <w:color w:val="7F7F7F" w:themeColor="text1" w:themeTint="80"/>
              </w:rPr>
            </w:pPr>
            <w:r w:rsidRPr="00252FF3">
              <w:rPr>
                <w:color w:val="7F7F7F" w:themeColor="text1" w:themeTint="80"/>
              </w:rPr>
              <w:t>ESF</w:t>
            </w:r>
          </w:p>
        </w:tc>
        <w:tc>
          <w:tcPr>
            <w:tcW w:w="7619" w:type="dxa"/>
            <w:gridSpan w:val="2"/>
          </w:tcPr>
          <w:p w:rsidR="00867A63" w:rsidRPr="00252FF3" w:rsidRDefault="00867A63" w:rsidP="00ED7123">
            <w:pPr>
              <w:pStyle w:val="tekstas"/>
              <w:spacing w:line="360" w:lineRule="auto"/>
              <w:ind w:firstLine="0"/>
              <w:rPr>
                <w:color w:val="7F7F7F" w:themeColor="text1" w:themeTint="80"/>
              </w:rPr>
            </w:pPr>
            <w:r w:rsidRPr="00252FF3">
              <w:rPr>
                <w:color w:val="7F7F7F" w:themeColor="text1" w:themeTint="80"/>
              </w:rPr>
              <w:t>– Europos socialinis fondas</w:t>
            </w:r>
          </w:p>
        </w:tc>
      </w:tr>
      <w:tr w:rsidR="00156DD9" w:rsidRPr="000C7298" w:rsidTr="008B3725">
        <w:tc>
          <w:tcPr>
            <w:tcW w:w="2235" w:type="dxa"/>
          </w:tcPr>
          <w:p w:rsidR="00156DD9" w:rsidRPr="00252FF3" w:rsidRDefault="00156DD9" w:rsidP="007D34BF">
            <w:pPr>
              <w:pStyle w:val="tekstas"/>
              <w:spacing w:line="360" w:lineRule="auto"/>
              <w:ind w:firstLine="0"/>
              <w:rPr>
                <w:color w:val="7F7F7F" w:themeColor="text1" w:themeTint="80"/>
              </w:rPr>
            </w:pPr>
            <w:r w:rsidRPr="00252FF3">
              <w:rPr>
                <w:color w:val="7F7F7F" w:themeColor="text1" w:themeTint="80"/>
              </w:rPr>
              <w:t>NPĮ</w:t>
            </w:r>
          </w:p>
        </w:tc>
        <w:tc>
          <w:tcPr>
            <w:tcW w:w="7619" w:type="dxa"/>
            <w:gridSpan w:val="2"/>
          </w:tcPr>
          <w:p w:rsidR="00156DD9" w:rsidRPr="00252FF3" w:rsidRDefault="00156DD9" w:rsidP="00ED7123">
            <w:pPr>
              <w:pStyle w:val="tekstas"/>
              <w:spacing w:line="360" w:lineRule="auto"/>
              <w:ind w:firstLine="0"/>
              <w:rPr>
                <w:color w:val="7F7F7F" w:themeColor="text1" w:themeTint="80"/>
              </w:rPr>
            </w:pPr>
            <w:r w:rsidRPr="00252FF3">
              <w:rPr>
                <w:color w:val="7F7F7F" w:themeColor="text1" w:themeTint="80"/>
              </w:rPr>
              <w:t>– Nacionalinės plėtros įstaigos</w:t>
            </w:r>
          </w:p>
        </w:tc>
      </w:tr>
      <w:tr w:rsidR="00B5752E" w:rsidRPr="000C7298" w:rsidTr="008B3725">
        <w:tc>
          <w:tcPr>
            <w:tcW w:w="2235" w:type="dxa"/>
          </w:tcPr>
          <w:p w:rsidR="00B5752E" w:rsidRPr="00252FF3" w:rsidRDefault="00B5752E" w:rsidP="007D34BF">
            <w:pPr>
              <w:pStyle w:val="tekstas"/>
              <w:spacing w:line="360" w:lineRule="auto"/>
              <w:ind w:firstLine="0"/>
              <w:rPr>
                <w:color w:val="7F7F7F" w:themeColor="text1" w:themeTint="80"/>
              </w:rPr>
            </w:pPr>
            <w:r w:rsidRPr="00252FF3">
              <w:rPr>
                <w:color w:val="7F7F7F" w:themeColor="text1" w:themeTint="80"/>
              </w:rPr>
              <w:t>JUI</w:t>
            </w:r>
          </w:p>
        </w:tc>
        <w:tc>
          <w:tcPr>
            <w:tcW w:w="7619" w:type="dxa"/>
            <w:gridSpan w:val="2"/>
          </w:tcPr>
          <w:p w:rsidR="00B5752E" w:rsidRPr="00252FF3" w:rsidRDefault="00B5752E" w:rsidP="00ED7123">
            <w:pPr>
              <w:pStyle w:val="tekstas"/>
              <w:spacing w:line="360" w:lineRule="auto"/>
              <w:ind w:firstLine="0"/>
              <w:rPr>
                <w:color w:val="7F7F7F" w:themeColor="text1" w:themeTint="80"/>
              </w:rPr>
            </w:pPr>
            <w:r w:rsidRPr="00252FF3">
              <w:rPr>
                <w:color w:val="7F7F7F" w:themeColor="text1" w:themeTint="80"/>
              </w:rPr>
              <w:softHyphen/>
              <w:t>– Jaunimo užimtumo iniciatyva</w:t>
            </w:r>
          </w:p>
        </w:tc>
      </w:tr>
      <w:tr w:rsidR="005A4426" w:rsidRPr="000C7298" w:rsidTr="008B3725">
        <w:tc>
          <w:tcPr>
            <w:tcW w:w="2235" w:type="dxa"/>
          </w:tcPr>
          <w:p w:rsidR="007D34BF" w:rsidRPr="00252FF3" w:rsidRDefault="007D34BF" w:rsidP="007D34BF">
            <w:pPr>
              <w:pStyle w:val="tekstas"/>
              <w:spacing w:line="360" w:lineRule="auto"/>
              <w:ind w:firstLine="0"/>
              <w:rPr>
                <w:color w:val="7F7F7F" w:themeColor="text1" w:themeTint="80"/>
              </w:rPr>
            </w:pPr>
            <w:r w:rsidRPr="00252FF3">
              <w:rPr>
                <w:color w:val="7F7F7F" w:themeColor="text1" w:themeTint="80"/>
              </w:rPr>
              <w:t xml:space="preserve">MTEP </w:t>
            </w:r>
          </w:p>
        </w:tc>
        <w:tc>
          <w:tcPr>
            <w:tcW w:w="7619" w:type="dxa"/>
            <w:gridSpan w:val="2"/>
          </w:tcPr>
          <w:p w:rsidR="003322C3" w:rsidRPr="00252FF3" w:rsidRDefault="007D34BF" w:rsidP="00D361B1">
            <w:pPr>
              <w:pStyle w:val="tekstas"/>
              <w:spacing w:line="360" w:lineRule="auto"/>
              <w:ind w:firstLine="0"/>
              <w:rPr>
                <w:color w:val="7F7F7F" w:themeColor="text1" w:themeTint="80"/>
              </w:rPr>
            </w:pPr>
            <w:r w:rsidRPr="00252FF3">
              <w:rPr>
                <w:color w:val="7F7F7F" w:themeColor="text1" w:themeTint="80"/>
              </w:rPr>
              <w:t>– Moksl</w:t>
            </w:r>
            <w:r w:rsidR="00C35FD1" w:rsidRPr="00252FF3">
              <w:rPr>
                <w:color w:val="7F7F7F" w:themeColor="text1" w:themeTint="80"/>
              </w:rPr>
              <w:t>iniai tyrimai ir eksperimentinė</w:t>
            </w:r>
            <w:r w:rsidRPr="00252FF3">
              <w:rPr>
                <w:color w:val="7F7F7F" w:themeColor="text1" w:themeTint="80"/>
              </w:rPr>
              <w:t xml:space="preserve"> plėtra</w:t>
            </w:r>
          </w:p>
        </w:tc>
      </w:tr>
      <w:tr w:rsidR="00867A63" w:rsidRPr="000C7298" w:rsidTr="008B3725">
        <w:tc>
          <w:tcPr>
            <w:tcW w:w="2235" w:type="dxa"/>
          </w:tcPr>
          <w:p w:rsidR="00867A63" w:rsidRPr="00252FF3" w:rsidRDefault="00867A63" w:rsidP="007D34BF">
            <w:pPr>
              <w:pStyle w:val="tekstas"/>
              <w:spacing w:line="360" w:lineRule="auto"/>
              <w:ind w:firstLine="0"/>
              <w:rPr>
                <w:color w:val="7F7F7F" w:themeColor="text1" w:themeTint="80"/>
              </w:rPr>
            </w:pPr>
            <w:proofErr w:type="spellStart"/>
            <w:r w:rsidRPr="00252FF3">
              <w:rPr>
                <w:color w:val="7F7F7F" w:themeColor="text1" w:themeTint="80"/>
              </w:rPr>
              <w:t>SaF</w:t>
            </w:r>
            <w:proofErr w:type="spellEnd"/>
          </w:p>
        </w:tc>
        <w:tc>
          <w:tcPr>
            <w:tcW w:w="7619" w:type="dxa"/>
            <w:gridSpan w:val="2"/>
          </w:tcPr>
          <w:p w:rsidR="00867A63" w:rsidRPr="00252FF3" w:rsidRDefault="00867A63" w:rsidP="00D361B1">
            <w:pPr>
              <w:pStyle w:val="tekstas"/>
              <w:spacing w:line="360" w:lineRule="auto"/>
              <w:ind w:firstLine="0"/>
              <w:rPr>
                <w:color w:val="7F7F7F" w:themeColor="text1" w:themeTint="80"/>
              </w:rPr>
            </w:pPr>
            <w:r w:rsidRPr="00252FF3">
              <w:rPr>
                <w:color w:val="7F7F7F" w:themeColor="text1" w:themeTint="80"/>
              </w:rPr>
              <w:t>– Sanglaudos fondas</w:t>
            </w:r>
          </w:p>
        </w:tc>
      </w:tr>
      <w:tr w:rsidR="008B3725" w:rsidRPr="000C7298" w:rsidTr="008B3725">
        <w:tc>
          <w:tcPr>
            <w:tcW w:w="2235" w:type="dxa"/>
          </w:tcPr>
          <w:p w:rsidR="008B3725" w:rsidRPr="00252FF3" w:rsidRDefault="008B3725" w:rsidP="007D34BF">
            <w:pPr>
              <w:pStyle w:val="tekstas"/>
              <w:spacing w:line="360" w:lineRule="auto"/>
              <w:ind w:firstLine="0"/>
              <w:rPr>
                <w:color w:val="7F7F7F" w:themeColor="text1" w:themeTint="80"/>
              </w:rPr>
            </w:pPr>
            <w:r w:rsidRPr="00252FF3">
              <w:rPr>
                <w:color w:val="7F7F7F" w:themeColor="text1" w:themeTint="80"/>
              </w:rPr>
              <w:t>Veiksmų programa</w:t>
            </w:r>
          </w:p>
        </w:tc>
        <w:tc>
          <w:tcPr>
            <w:tcW w:w="7619" w:type="dxa"/>
            <w:gridSpan w:val="2"/>
          </w:tcPr>
          <w:p w:rsidR="008B3725" w:rsidRPr="00252FF3" w:rsidRDefault="008B3725" w:rsidP="00D361B1">
            <w:pPr>
              <w:pStyle w:val="tekstas"/>
              <w:spacing w:line="360" w:lineRule="auto"/>
              <w:ind w:firstLine="0"/>
              <w:rPr>
                <w:color w:val="7F7F7F" w:themeColor="text1" w:themeTint="80"/>
              </w:rPr>
            </w:pPr>
            <w:r w:rsidRPr="00252FF3">
              <w:rPr>
                <w:color w:val="7F7F7F" w:themeColor="text1" w:themeTint="80"/>
              </w:rPr>
              <w:t>– 2014–2020 m. ES fondų investicijų veiksmų programa</w:t>
            </w:r>
          </w:p>
        </w:tc>
      </w:tr>
      <w:tr w:rsidR="00E810D4" w:rsidRPr="005A4426" w:rsidTr="008B3725">
        <w:tc>
          <w:tcPr>
            <w:tcW w:w="2235" w:type="dxa"/>
          </w:tcPr>
          <w:p w:rsidR="00E810D4" w:rsidRPr="000C7298" w:rsidRDefault="00E810D4" w:rsidP="007D34BF">
            <w:pPr>
              <w:pStyle w:val="tekstas"/>
              <w:spacing w:line="360" w:lineRule="auto"/>
              <w:ind w:firstLine="0"/>
              <w:rPr>
                <w:color w:val="7F7F7F" w:themeColor="text1" w:themeTint="80"/>
                <w:highlight w:val="yellow"/>
              </w:rPr>
            </w:pPr>
          </w:p>
        </w:tc>
        <w:tc>
          <w:tcPr>
            <w:tcW w:w="7619" w:type="dxa"/>
            <w:gridSpan w:val="2"/>
          </w:tcPr>
          <w:p w:rsidR="00E810D4" w:rsidRPr="000C7298" w:rsidRDefault="00E810D4" w:rsidP="00E810D4">
            <w:pPr>
              <w:pStyle w:val="tekstas"/>
              <w:spacing w:line="360" w:lineRule="auto"/>
              <w:ind w:firstLine="0"/>
              <w:rPr>
                <w:color w:val="7F7F7F" w:themeColor="text1" w:themeTint="80"/>
                <w:highlight w:val="yellow"/>
              </w:rPr>
            </w:pPr>
          </w:p>
        </w:tc>
      </w:tr>
      <w:tr w:rsidR="003322C3" w:rsidRPr="007D34BF" w:rsidTr="008B3725">
        <w:tc>
          <w:tcPr>
            <w:tcW w:w="2802" w:type="dxa"/>
            <w:gridSpan w:val="2"/>
          </w:tcPr>
          <w:p w:rsidR="003322C3" w:rsidRPr="0009043F" w:rsidRDefault="003322C3" w:rsidP="007D34BF">
            <w:pPr>
              <w:pStyle w:val="tekstas"/>
              <w:spacing w:line="360" w:lineRule="auto"/>
              <w:ind w:firstLine="0"/>
              <w:rPr>
                <w:color w:val="FF0000"/>
              </w:rPr>
            </w:pPr>
          </w:p>
        </w:tc>
        <w:tc>
          <w:tcPr>
            <w:tcW w:w="7052" w:type="dxa"/>
          </w:tcPr>
          <w:p w:rsidR="003322C3" w:rsidRPr="0009043F" w:rsidRDefault="003322C3" w:rsidP="003322C3">
            <w:pPr>
              <w:pStyle w:val="tekstas"/>
              <w:spacing w:line="360" w:lineRule="auto"/>
              <w:ind w:firstLine="0"/>
              <w:rPr>
                <w:color w:val="FF0000"/>
              </w:rPr>
            </w:pPr>
          </w:p>
        </w:tc>
      </w:tr>
      <w:tr w:rsidR="007D34BF" w:rsidRPr="007D34BF" w:rsidTr="008B3725">
        <w:tc>
          <w:tcPr>
            <w:tcW w:w="2802" w:type="dxa"/>
            <w:gridSpan w:val="2"/>
          </w:tcPr>
          <w:p w:rsidR="007D34BF" w:rsidRPr="0009043F" w:rsidRDefault="007D34BF" w:rsidP="007D34BF">
            <w:pPr>
              <w:pStyle w:val="tekstas"/>
              <w:spacing w:line="360" w:lineRule="auto"/>
              <w:ind w:firstLine="0"/>
              <w:rPr>
                <w:color w:val="FF0000"/>
              </w:rPr>
            </w:pPr>
          </w:p>
        </w:tc>
        <w:tc>
          <w:tcPr>
            <w:tcW w:w="7052" w:type="dxa"/>
          </w:tcPr>
          <w:p w:rsidR="007D34BF" w:rsidRPr="0009043F" w:rsidRDefault="007D34BF" w:rsidP="00D361B1">
            <w:pPr>
              <w:pStyle w:val="tekstas"/>
              <w:spacing w:line="360" w:lineRule="auto"/>
              <w:ind w:firstLine="0"/>
              <w:rPr>
                <w:color w:val="FF0000"/>
              </w:rPr>
            </w:pPr>
          </w:p>
        </w:tc>
      </w:tr>
    </w:tbl>
    <w:p w:rsidR="003206B5" w:rsidRDefault="003206B5" w:rsidP="000C62AE">
      <w:pPr>
        <w:spacing w:after="200" w:line="276" w:lineRule="auto"/>
      </w:pPr>
    </w:p>
    <w:p w:rsidR="003206B5" w:rsidRDefault="003206B5">
      <w:pPr>
        <w:spacing w:after="200" w:line="276" w:lineRule="auto"/>
      </w:pPr>
      <w:r>
        <w:br w:type="page"/>
      </w:r>
    </w:p>
    <w:p w:rsidR="005A4426" w:rsidRDefault="003206B5" w:rsidP="003206B5">
      <w:pPr>
        <w:pStyle w:val="Pavadinimas"/>
      </w:pPr>
      <w:r>
        <w:lastRenderedPageBreak/>
        <w:t>SANTRAUKA</w:t>
      </w:r>
    </w:p>
    <w:p w:rsidR="00684A52" w:rsidRPr="00140EB5" w:rsidRDefault="00684A52" w:rsidP="00B91995">
      <w:pPr>
        <w:pStyle w:val="tekstas"/>
        <w:rPr>
          <w:lang w:eastAsia="lt-LT"/>
        </w:rPr>
      </w:pPr>
      <w:r w:rsidRPr="00140EB5">
        <w:rPr>
          <w:lang w:eastAsia="lt-LT"/>
        </w:rPr>
        <w:t>Iki 2018 m. rugsėjo 30 d. projektams paskirstyta 3,9 mlrd. eurų (58</w:t>
      </w:r>
      <w:r>
        <w:rPr>
          <w:lang w:eastAsia="lt-LT"/>
        </w:rPr>
        <w:t xml:space="preserve"> </w:t>
      </w:r>
      <w:r w:rsidRPr="00140EB5">
        <w:rPr>
          <w:lang w:eastAsia="lt-LT"/>
        </w:rPr>
        <w:t xml:space="preserve">proc.) ES fondų lėšų. Per </w:t>
      </w:r>
      <w:r>
        <w:rPr>
          <w:lang w:eastAsia="lt-LT"/>
        </w:rPr>
        <w:t>trečiąjį</w:t>
      </w:r>
      <w:r w:rsidRPr="00140EB5">
        <w:rPr>
          <w:lang w:eastAsia="lt-LT"/>
        </w:rPr>
        <w:t xml:space="preserve"> šių metų ketvirtį sudarytų sutarčių suma (ES f</w:t>
      </w:r>
      <w:r w:rsidR="00B91995">
        <w:rPr>
          <w:lang w:eastAsia="lt-LT"/>
        </w:rPr>
        <w:t xml:space="preserve">ondų lėšos) padidėjo 3,1 proc. </w:t>
      </w:r>
      <w:r w:rsidRPr="00140EB5">
        <w:rPr>
          <w:lang w:eastAsia="lt-LT"/>
        </w:rPr>
        <w:t>Padidėjo ir paskelbtų kvietimų bei sudarytų projektų sąrašų suma, iki 2018 m. rugsėjo 30 d. minėta suma sudar</w:t>
      </w:r>
      <w:r>
        <w:rPr>
          <w:lang w:eastAsia="lt-LT"/>
        </w:rPr>
        <w:t>ė</w:t>
      </w:r>
      <w:r w:rsidRPr="00140EB5">
        <w:rPr>
          <w:lang w:eastAsia="lt-LT"/>
        </w:rPr>
        <w:t xml:space="preserve"> 5,2 mlrd. </w:t>
      </w:r>
      <w:r w:rsidR="00B91995">
        <w:rPr>
          <w:lang w:eastAsia="lt-LT"/>
        </w:rPr>
        <w:t xml:space="preserve">eurų (78 proc.) ES fondų lėšų. </w:t>
      </w:r>
      <w:r w:rsidRPr="00140EB5">
        <w:rPr>
          <w:lang w:eastAsia="lt-LT"/>
        </w:rPr>
        <w:t xml:space="preserve">Per liepos </w:t>
      </w:r>
      <w:r>
        <w:rPr>
          <w:lang w:eastAsia="lt-LT"/>
        </w:rPr>
        <w:t>–</w:t>
      </w:r>
      <w:r w:rsidRPr="00140EB5">
        <w:rPr>
          <w:lang w:eastAsia="lt-LT"/>
        </w:rPr>
        <w:t xml:space="preserve"> rugsėjo</w:t>
      </w:r>
      <w:r>
        <w:rPr>
          <w:lang w:eastAsia="lt-LT"/>
        </w:rPr>
        <w:t xml:space="preserve"> </w:t>
      </w:r>
      <w:r w:rsidRPr="00140EB5">
        <w:rPr>
          <w:lang w:eastAsia="lt-LT"/>
        </w:rPr>
        <w:t xml:space="preserve">mėn. išmokėtų lėšų suma padidėjo 2,3 proc., ir 2018 m. rugsėjo 30 d. sudarė beveik 1,7 mlrd. eurų (25 proc.). Trečio šių metų ketvirčio pabaigoje EK deklaruota 1,5 mlrd. eurų (22 proc.) ES fondų lėšų. </w:t>
      </w:r>
    </w:p>
    <w:p w:rsidR="002A1B6A" w:rsidRDefault="00684A52" w:rsidP="002A1B6A">
      <w:pPr>
        <w:pStyle w:val="tekstas"/>
        <w:rPr>
          <w:lang w:eastAsia="lt-LT"/>
        </w:rPr>
      </w:pPr>
      <w:r w:rsidRPr="00140EB5">
        <w:rPr>
          <w:lang w:eastAsia="lt-LT"/>
        </w:rPr>
        <w:t xml:space="preserve">2018 m. valstybės biudžete numatyta apie 1 mlrd. eurų ES fondų lėšų. Iki 2018 m. III </w:t>
      </w:r>
      <w:proofErr w:type="spellStart"/>
      <w:r w:rsidRPr="00140EB5">
        <w:rPr>
          <w:lang w:eastAsia="lt-LT"/>
        </w:rPr>
        <w:t>ketv</w:t>
      </w:r>
      <w:proofErr w:type="spellEnd"/>
      <w:r w:rsidRPr="00140EB5">
        <w:rPr>
          <w:lang w:eastAsia="lt-LT"/>
        </w:rPr>
        <w:t>. pabaigos išmokėta 392 mln. eurų ES fondų lėšų, tai sudaro 39 proc. 2018 m. asignavimų plano</w:t>
      </w:r>
      <w:r w:rsidR="00B91995">
        <w:rPr>
          <w:lang w:eastAsia="lt-LT"/>
        </w:rPr>
        <w:t>.</w:t>
      </w:r>
    </w:p>
    <w:p w:rsidR="002465E2" w:rsidRPr="00B91995" w:rsidRDefault="00684A52" w:rsidP="00B91995">
      <w:pPr>
        <w:pStyle w:val="tekstas"/>
        <w:rPr>
          <w:lang w:eastAsia="lt-LT"/>
        </w:rPr>
      </w:pPr>
      <w:r w:rsidRPr="00286FAB">
        <w:rPr>
          <w:lang w:eastAsia="lt-LT"/>
        </w:rPr>
        <w:t>2019 m. EK atliks Veiksmų programos įgyvendinimo peržiūrą, siekdama įsitikinti, ar pasiektos Veiksmų programoje nustatytų finansinių ir fizinių rodikl</w:t>
      </w:r>
      <w:r w:rsidR="00B91995">
        <w:rPr>
          <w:lang w:eastAsia="lt-LT"/>
        </w:rPr>
        <w:t xml:space="preserve">ių 2018 m. siektinos reikšmės. </w:t>
      </w:r>
      <w:r w:rsidRPr="00CD3B7E">
        <w:t xml:space="preserve">2018 m. rugsėjo 24 d. EK savo sprendimu patvirtino Veiksmų programos keitimą, kuriuo buvo sumažintos finansinių rodiklių 2018 m. reikšmės. Nepaisant to, įvertinus esamus ir prognozuojamus lėšų išmokėjimus, didžiausia rizika iki 2018 m. pab. nepasiekti finansinių rodiklių išlieka 2, 5 (ERPF), 7 (ERPF), 8 (ERPF), 9 </w:t>
      </w:r>
      <w:r>
        <w:t>ir 10 prioritetuose.</w:t>
      </w:r>
    </w:p>
    <w:p w:rsidR="00B91995" w:rsidRDefault="00380B8D" w:rsidP="00B91995">
      <w:pPr>
        <w:pStyle w:val="tekstas"/>
        <w:rPr>
          <w:lang w:eastAsia="lt-LT"/>
        </w:rPr>
      </w:pPr>
      <w:r>
        <w:rPr>
          <w:lang w:eastAsia="lt-LT"/>
        </w:rPr>
        <w:t>Taip pat a</w:t>
      </w:r>
      <w:r w:rsidR="00B91995">
        <w:rPr>
          <w:lang w:eastAsia="lt-LT"/>
        </w:rPr>
        <w:t>taskaitoje nurodomi</w:t>
      </w:r>
      <w:r w:rsidR="00B91995" w:rsidRPr="00C86895">
        <w:rPr>
          <w:lang w:eastAsia="lt-LT"/>
        </w:rPr>
        <w:t xml:space="preserve"> svarbiausi </w:t>
      </w:r>
      <w:r w:rsidR="00B91995">
        <w:rPr>
          <w:lang w:eastAsia="lt-LT"/>
        </w:rPr>
        <w:t xml:space="preserve">Finansų ministerijos </w:t>
      </w:r>
      <w:r w:rsidR="00B91995" w:rsidRPr="00C86895">
        <w:rPr>
          <w:lang w:eastAsia="lt-LT"/>
        </w:rPr>
        <w:t xml:space="preserve">siūlymai, kurie </w:t>
      </w:r>
      <w:r w:rsidR="00B91995">
        <w:rPr>
          <w:lang w:eastAsia="lt-LT"/>
        </w:rPr>
        <w:t xml:space="preserve">buvo teikti praeitose ataskaitose ir </w:t>
      </w:r>
      <w:r w:rsidR="00B91995" w:rsidRPr="00C86895">
        <w:rPr>
          <w:lang w:eastAsia="lt-LT"/>
        </w:rPr>
        <w:t>dar nėra įgyvendinti, tačiau yra būtini, siekiant efektyvesnių ir spartesnių investicijų</w:t>
      </w:r>
      <w:r w:rsidR="00B91995">
        <w:rPr>
          <w:lang w:eastAsia="lt-LT"/>
        </w:rPr>
        <w:t>. T</w:t>
      </w:r>
      <w:r w:rsidR="00B91995" w:rsidRPr="00C86895">
        <w:rPr>
          <w:lang w:eastAsia="lt-LT"/>
        </w:rPr>
        <w:t xml:space="preserve">aip pat </w:t>
      </w:r>
      <w:r w:rsidR="00B91995">
        <w:rPr>
          <w:lang w:eastAsia="lt-LT"/>
        </w:rPr>
        <w:t xml:space="preserve">nurodomi </w:t>
      </w:r>
      <w:r w:rsidR="00B91995" w:rsidRPr="00C86895">
        <w:rPr>
          <w:lang w:eastAsia="lt-LT"/>
        </w:rPr>
        <w:t xml:space="preserve">nauji iššūkiai ir </w:t>
      </w:r>
      <w:r w:rsidR="00B91995">
        <w:rPr>
          <w:lang w:eastAsia="lt-LT"/>
        </w:rPr>
        <w:t xml:space="preserve">teikiamos </w:t>
      </w:r>
      <w:r w:rsidR="00B91995" w:rsidRPr="00C86895">
        <w:rPr>
          <w:lang w:eastAsia="lt-LT"/>
        </w:rPr>
        <w:t>su jais susijusios rekomendacijos.</w:t>
      </w:r>
      <w:r w:rsidR="00B91995">
        <w:rPr>
          <w:lang w:eastAsia="lt-LT"/>
        </w:rPr>
        <w:t xml:space="preserve"> </w:t>
      </w:r>
    </w:p>
    <w:p w:rsidR="00B91995" w:rsidRDefault="00380B8D" w:rsidP="00B91995">
      <w:pPr>
        <w:pStyle w:val="tekstas"/>
        <w:rPr>
          <w:lang w:eastAsia="lt-LT"/>
        </w:rPr>
      </w:pPr>
      <w:r>
        <w:t>Investicinis požiūris ir jo pritaikomumas, matuojant investicijų atsiperkamumą – tai dar viena tema, kuri nagrinėjama šioje ataskaitoje. Pristatoma</w:t>
      </w:r>
      <w:r w:rsidR="00B91995">
        <w:t xml:space="preserve"> tuberkuliozės prevencijos projekto </w:t>
      </w:r>
      <w:r>
        <w:t>atvejo analizė, kurią atliko išorės ekspertai</w:t>
      </w:r>
      <w:r w:rsidR="00B91995">
        <w:t>.</w:t>
      </w:r>
      <w:r>
        <w:t xml:space="preserve"> Taip pat </w:t>
      </w:r>
      <w:r w:rsidR="004B5B35">
        <w:t>aprašomi</w:t>
      </w:r>
      <w:r w:rsidR="00B91995">
        <w:t xml:space="preserve"> dar du atvejai, kuriuose analizę atliko Socialinės apsaugos ir darbo bei Sveikatos apsaugos ministerijos, norėdamos pagrįsti investicijų atsiperkamumą planuojant iš </w:t>
      </w:r>
      <w:r w:rsidR="00B91995" w:rsidRPr="00200CF0">
        <w:t>EEE ir Norveg</w:t>
      </w:r>
      <w:r w:rsidR="00B91995">
        <w:t xml:space="preserve">ijos finansinių mechanizmų lėšų finansuojamas intervencijas. </w:t>
      </w:r>
    </w:p>
    <w:p w:rsidR="00D86482" w:rsidRDefault="00D86482" w:rsidP="005A4426">
      <w:pPr>
        <w:pStyle w:val="tekstas"/>
        <w:spacing w:line="276" w:lineRule="auto"/>
      </w:pPr>
      <w:r>
        <w:br w:type="page"/>
      </w:r>
    </w:p>
    <w:p w:rsidR="007E43F1" w:rsidRPr="001E27E2" w:rsidRDefault="00F45979" w:rsidP="00E24665">
      <w:pPr>
        <w:pStyle w:val="Antrat1"/>
      </w:pPr>
      <w:bookmarkStart w:id="1" w:name="_Toc508103860"/>
      <w:bookmarkStart w:id="2" w:name="_Toc508106019"/>
      <w:bookmarkStart w:id="3" w:name="_Toc508103861"/>
      <w:bookmarkStart w:id="4" w:name="_Toc508106020"/>
      <w:bookmarkStart w:id="5" w:name="_Toc528660890"/>
      <w:bookmarkEnd w:id="1"/>
      <w:bookmarkEnd w:id="2"/>
      <w:bookmarkEnd w:id="3"/>
      <w:bookmarkEnd w:id="4"/>
      <w:r w:rsidRPr="001E27E2">
        <w:lastRenderedPageBreak/>
        <w:t xml:space="preserve">Bendra </w:t>
      </w:r>
      <w:r w:rsidR="0009043F" w:rsidRPr="001E27E2">
        <w:t>VP įgyvendinimo apžvalga</w:t>
      </w:r>
      <w:bookmarkEnd w:id="5"/>
    </w:p>
    <w:p w:rsidR="00A65AE0" w:rsidRPr="00134D2C" w:rsidRDefault="00E15489" w:rsidP="00867A63">
      <w:pPr>
        <w:pStyle w:val="tekstas"/>
        <w:rPr>
          <w:lang w:eastAsia="lt-LT"/>
        </w:rPr>
      </w:pPr>
      <w:bookmarkStart w:id="6" w:name="_Toc480280394"/>
      <w:bookmarkStart w:id="7" w:name="_Toc481668445"/>
      <w:r w:rsidRPr="00140EB5">
        <w:rPr>
          <w:lang w:eastAsia="lt-LT"/>
        </w:rPr>
        <w:t>Lietuva pagal ES išmokėtas Lietuvai lėšas (</w:t>
      </w:r>
      <w:r w:rsidR="006C52D6" w:rsidRPr="00140EB5">
        <w:rPr>
          <w:lang w:eastAsia="lt-LT"/>
        </w:rPr>
        <w:t>2</w:t>
      </w:r>
      <w:r w:rsidR="00CD11BD" w:rsidRPr="00140EB5">
        <w:rPr>
          <w:lang w:eastAsia="lt-LT"/>
        </w:rPr>
        <w:t>4</w:t>
      </w:r>
      <w:r w:rsidR="006C52D6" w:rsidRPr="00140EB5">
        <w:rPr>
          <w:lang w:eastAsia="lt-LT"/>
        </w:rPr>
        <w:t xml:space="preserve"> </w:t>
      </w:r>
      <w:r w:rsidR="0074254F" w:rsidRPr="00140EB5">
        <w:rPr>
          <w:lang w:eastAsia="lt-LT"/>
        </w:rPr>
        <w:t>proc. nuo 2014–</w:t>
      </w:r>
      <w:r w:rsidRPr="00140EB5">
        <w:rPr>
          <w:lang w:eastAsia="lt-LT"/>
        </w:rPr>
        <w:t>2020 m. Lietuvai skirto finansavim</w:t>
      </w:r>
      <w:r w:rsidR="006C52D6" w:rsidRPr="00140EB5">
        <w:rPr>
          <w:lang w:eastAsia="lt-LT"/>
        </w:rPr>
        <w:t>o)</w:t>
      </w:r>
      <w:r w:rsidR="0074254F" w:rsidRPr="00140EB5">
        <w:rPr>
          <w:lang w:eastAsia="lt-LT"/>
        </w:rPr>
        <w:t xml:space="preserve"> </w:t>
      </w:r>
      <w:r w:rsidR="006C52D6" w:rsidRPr="00140EB5">
        <w:rPr>
          <w:lang w:eastAsia="lt-LT"/>
        </w:rPr>
        <w:t xml:space="preserve">užima </w:t>
      </w:r>
      <w:r w:rsidR="00CD11BD" w:rsidRPr="00140EB5">
        <w:rPr>
          <w:lang w:eastAsia="lt-LT"/>
        </w:rPr>
        <w:t>8</w:t>
      </w:r>
      <w:r w:rsidR="006C52D6" w:rsidRPr="00140EB5">
        <w:rPr>
          <w:lang w:eastAsia="lt-LT"/>
        </w:rPr>
        <w:t xml:space="preserve">-ąją vietą </w:t>
      </w:r>
      <w:r w:rsidR="00140EB5">
        <w:rPr>
          <w:lang w:eastAsia="lt-LT"/>
        </w:rPr>
        <w:t>tarp visų šalių narių</w:t>
      </w:r>
      <w:r w:rsidR="0016561A" w:rsidRPr="00140EB5">
        <w:rPr>
          <w:lang w:eastAsia="lt-LT"/>
        </w:rPr>
        <w:t xml:space="preserve"> ir </w:t>
      </w:r>
      <w:r w:rsidRPr="00140EB5">
        <w:rPr>
          <w:lang w:eastAsia="lt-LT"/>
        </w:rPr>
        <w:t xml:space="preserve">viršija ES vidurkį, kuris yra </w:t>
      </w:r>
      <w:r w:rsidR="006C52D6" w:rsidRPr="00140EB5">
        <w:rPr>
          <w:lang w:eastAsia="lt-LT"/>
        </w:rPr>
        <w:t>1</w:t>
      </w:r>
      <w:r w:rsidR="00CD11BD" w:rsidRPr="00140EB5">
        <w:rPr>
          <w:lang w:eastAsia="lt-LT"/>
        </w:rPr>
        <w:t>9</w:t>
      </w:r>
      <w:r w:rsidR="006C52D6" w:rsidRPr="00140EB5">
        <w:rPr>
          <w:lang w:eastAsia="lt-LT"/>
        </w:rPr>
        <w:t xml:space="preserve"> </w:t>
      </w:r>
      <w:r w:rsidR="0016561A" w:rsidRPr="00140EB5">
        <w:rPr>
          <w:lang w:eastAsia="lt-LT"/>
        </w:rPr>
        <w:t xml:space="preserve">proc. </w:t>
      </w:r>
      <w:r w:rsidR="00A65AE0" w:rsidRPr="00140EB5">
        <w:rPr>
          <w:lang w:eastAsia="lt-LT"/>
        </w:rPr>
        <w:t>(</w:t>
      </w:r>
      <w:r w:rsidR="006002BC" w:rsidRPr="00140EB5">
        <w:rPr>
          <w:lang w:eastAsia="lt-LT"/>
        </w:rPr>
        <w:t>1</w:t>
      </w:r>
      <w:r w:rsidR="00A65AE0" w:rsidRPr="00140EB5">
        <w:rPr>
          <w:lang w:eastAsia="lt-LT"/>
        </w:rPr>
        <w:t xml:space="preserve"> grafikas).</w:t>
      </w:r>
      <w:r w:rsidR="00A65AE0" w:rsidRPr="00A76DAB">
        <w:rPr>
          <w:lang w:eastAsia="lt-LT"/>
        </w:rPr>
        <w:t xml:space="preserve"> </w:t>
      </w:r>
    </w:p>
    <w:p w:rsidR="009C5A2E" w:rsidRPr="00134D2C" w:rsidRDefault="009C5A2E" w:rsidP="00A65AE0">
      <w:pPr>
        <w:ind w:firstLine="284"/>
        <w:jc w:val="both"/>
        <w:rPr>
          <w:rFonts w:asciiTheme="minorHAnsi" w:hAnsiTheme="minorHAnsi"/>
          <w:color w:val="FF0000"/>
          <w:sz w:val="14"/>
          <w:szCs w:val="24"/>
          <w:lang w:eastAsia="lt-LT"/>
        </w:rPr>
      </w:pPr>
    </w:p>
    <w:p w:rsidR="00D00926" w:rsidRDefault="006002BC" w:rsidP="001E27E2">
      <w:pPr>
        <w:pStyle w:val="Antrat"/>
        <w:keepNext/>
        <w:spacing w:after="0"/>
        <w:jc w:val="center"/>
        <w:rPr>
          <w:noProof/>
          <w:color w:val="365F91" w:themeColor="accent1" w:themeShade="BF"/>
          <w:sz w:val="22"/>
          <w:szCs w:val="22"/>
        </w:rPr>
      </w:pPr>
      <w:r>
        <w:rPr>
          <w:noProof/>
          <w:color w:val="365F91" w:themeColor="accent1" w:themeShade="BF"/>
          <w:sz w:val="22"/>
          <w:szCs w:val="22"/>
        </w:rPr>
        <w:t>1</w:t>
      </w:r>
      <w:r w:rsidR="00A65AE0">
        <w:rPr>
          <w:noProof/>
          <w:color w:val="365F91" w:themeColor="accent1" w:themeShade="BF"/>
          <w:sz w:val="22"/>
          <w:szCs w:val="22"/>
        </w:rPr>
        <w:t xml:space="preserve"> g</w:t>
      </w:r>
      <w:r w:rsidR="00A65AE0" w:rsidRPr="000628F2">
        <w:rPr>
          <w:noProof/>
          <w:color w:val="365F91" w:themeColor="accent1" w:themeShade="BF"/>
          <w:sz w:val="22"/>
          <w:szCs w:val="22"/>
        </w:rPr>
        <w:t xml:space="preserve">rafikas. </w:t>
      </w:r>
      <w:r w:rsidR="001E27E2">
        <w:rPr>
          <w:noProof/>
          <w:color w:val="365F91" w:themeColor="accent1" w:themeShade="BF"/>
          <w:sz w:val="22"/>
          <w:szCs w:val="22"/>
        </w:rPr>
        <w:t>ES išmokėjimai valstybėms narėms</w:t>
      </w:r>
      <w:r w:rsidR="002F0E62">
        <w:rPr>
          <w:rStyle w:val="Puslapioinaosnuoroda"/>
          <w:noProof/>
          <w:color w:val="365F91" w:themeColor="accent1" w:themeShade="BF"/>
          <w:sz w:val="22"/>
          <w:szCs w:val="22"/>
        </w:rPr>
        <w:footnoteReference w:id="1"/>
      </w:r>
      <w:r w:rsidR="00A65AE0">
        <w:rPr>
          <w:noProof/>
          <w:color w:val="365F91" w:themeColor="accent1" w:themeShade="BF"/>
          <w:sz w:val="22"/>
          <w:szCs w:val="22"/>
        </w:rPr>
        <w:t xml:space="preserve"> </w:t>
      </w:r>
      <w:r w:rsidR="00D00926">
        <w:rPr>
          <w:noProof/>
          <w:color w:val="365F91" w:themeColor="accent1" w:themeShade="BF"/>
          <w:sz w:val="22"/>
          <w:szCs w:val="22"/>
        </w:rPr>
        <w:t xml:space="preserve">iki 2018 m. </w:t>
      </w:r>
      <w:r w:rsidR="00CD11BD">
        <w:rPr>
          <w:noProof/>
          <w:color w:val="365F91" w:themeColor="accent1" w:themeShade="BF"/>
          <w:sz w:val="22"/>
          <w:szCs w:val="22"/>
        </w:rPr>
        <w:t xml:space="preserve">rugsėjo </w:t>
      </w:r>
      <w:r w:rsidR="00B7526D">
        <w:rPr>
          <w:noProof/>
          <w:color w:val="365F91" w:themeColor="accent1" w:themeShade="BF"/>
          <w:sz w:val="22"/>
          <w:szCs w:val="22"/>
        </w:rPr>
        <w:t xml:space="preserve">30 </w:t>
      </w:r>
      <w:r w:rsidR="00D00926">
        <w:rPr>
          <w:noProof/>
          <w:color w:val="365F91" w:themeColor="accent1" w:themeShade="BF"/>
          <w:sz w:val="22"/>
          <w:szCs w:val="22"/>
        </w:rPr>
        <w:t xml:space="preserve">d. </w:t>
      </w:r>
    </w:p>
    <w:p w:rsidR="00A65AE0" w:rsidRDefault="001E27E2" w:rsidP="001E27E2">
      <w:pPr>
        <w:pStyle w:val="Antrat"/>
        <w:keepNext/>
        <w:spacing w:after="0"/>
        <w:jc w:val="center"/>
        <w:rPr>
          <w:noProof/>
          <w:color w:val="365F91" w:themeColor="accent1" w:themeShade="BF"/>
          <w:sz w:val="22"/>
          <w:szCs w:val="22"/>
        </w:rPr>
      </w:pPr>
      <w:r>
        <w:rPr>
          <w:noProof/>
          <w:color w:val="365F91" w:themeColor="accent1" w:themeShade="BF"/>
          <w:sz w:val="22"/>
          <w:szCs w:val="22"/>
        </w:rPr>
        <w:t>(</w:t>
      </w:r>
      <w:r w:rsidR="00A65AE0">
        <w:rPr>
          <w:noProof/>
          <w:color w:val="365F91" w:themeColor="accent1" w:themeShade="BF"/>
          <w:sz w:val="22"/>
          <w:szCs w:val="22"/>
        </w:rPr>
        <w:t xml:space="preserve">proc. nuo valstybei narei skirtų </w:t>
      </w:r>
      <w:r w:rsidR="009540AE">
        <w:rPr>
          <w:noProof/>
          <w:color w:val="365F91" w:themeColor="accent1" w:themeShade="BF"/>
          <w:sz w:val="22"/>
          <w:szCs w:val="22"/>
        </w:rPr>
        <w:t>lėšų</w:t>
      </w:r>
      <w:r w:rsidR="002B3830">
        <w:rPr>
          <w:noProof/>
          <w:color w:val="365F91" w:themeColor="accent1" w:themeShade="BF"/>
          <w:sz w:val="22"/>
          <w:szCs w:val="22"/>
        </w:rPr>
        <w:t>)</w:t>
      </w:r>
      <w:r w:rsidR="00A65AE0">
        <w:rPr>
          <w:noProof/>
          <w:color w:val="365F91" w:themeColor="accent1" w:themeShade="BF"/>
          <w:sz w:val="22"/>
          <w:szCs w:val="22"/>
        </w:rPr>
        <w:t>.</w:t>
      </w:r>
    </w:p>
    <w:p w:rsidR="00A65AE0" w:rsidRDefault="00CD11BD" w:rsidP="004B5047">
      <w:pPr>
        <w:jc w:val="center"/>
        <w:rPr>
          <w:rFonts w:asciiTheme="minorHAnsi" w:hAnsiTheme="minorHAnsi"/>
          <w:color w:val="666666"/>
          <w:szCs w:val="24"/>
          <w:lang w:eastAsia="lt-LT"/>
        </w:rPr>
      </w:pPr>
      <w:r>
        <w:rPr>
          <w:noProof/>
          <w:lang w:eastAsia="lt-LT"/>
        </w:rPr>
        <w:drawing>
          <wp:inline distT="0" distB="0" distL="0" distR="0" wp14:anchorId="7DCE0BF6" wp14:editId="64ADD3F3">
            <wp:extent cx="6120130" cy="4415184"/>
            <wp:effectExtent l="0" t="0" r="13970" b="23495"/>
            <wp:docPr id="1" name="Diagrama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4D2C" w:rsidRPr="00134D2C" w:rsidRDefault="00134D2C" w:rsidP="00A65AE0">
      <w:pPr>
        <w:ind w:firstLine="567"/>
        <w:jc w:val="both"/>
        <w:rPr>
          <w:sz w:val="8"/>
          <w:lang w:eastAsia="lt-LT"/>
        </w:rPr>
      </w:pPr>
    </w:p>
    <w:p w:rsidR="00A65AE0" w:rsidRPr="008D71FB" w:rsidRDefault="00A65AE0" w:rsidP="00A65AE0">
      <w:pPr>
        <w:ind w:firstLine="567"/>
        <w:jc w:val="both"/>
        <w:rPr>
          <w:sz w:val="20"/>
          <w:lang w:eastAsia="lt-LT"/>
        </w:rPr>
      </w:pPr>
      <w:r w:rsidRPr="008D71FB">
        <w:rPr>
          <w:sz w:val="20"/>
          <w:lang w:eastAsia="lt-LT"/>
        </w:rPr>
        <w:t xml:space="preserve">Šaltinis: </w:t>
      </w:r>
      <w:proofErr w:type="spellStart"/>
      <w:r w:rsidRPr="008D71FB">
        <w:rPr>
          <w:sz w:val="20"/>
          <w:lang w:eastAsia="lt-LT"/>
        </w:rPr>
        <w:t>Info</w:t>
      </w:r>
      <w:proofErr w:type="spellEnd"/>
      <w:r w:rsidRPr="008D71FB">
        <w:rPr>
          <w:sz w:val="20"/>
          <w:lang w:eastAsia="lt-LT"/>
        </w:rPr>
        <w:t xml:space="preserve"> </w:t>
      </w:r>
      <w:proofErr w:type="spellStart"/>
      <w:r w:rsidRPr="008D71FB">
        <w:rPr>
          <w:sz w:val="20"/>
          <w:lang w:eastAsia="lt-LT"/>
        </w:rPr>
        <w:t>Regio</w:t>
      </w:r>
      <w:proofErr w:type="spellEnd"/>
      <w:r w:rsidR="001E27E2">
        <w:rPr>
          <w:sz w:val="20"/>
          <w:lang w:eastAsia="lt-LT"/>
        </w:rPr>
        <w:t xml:space="preserve">, </w:t>
      </w:r>
      <w:proofErr w:type="spellStart"/>
      <w:r w:rsidR="001E27E2">
        <w:rPr>
          <w:sz w:val="20"/>
          <w:lang w:eastAsia="lt-LT"/>
        </w:rPr>
        <w:t>Open</w:t>
      </w:r>
      <w:proofErr w:type="spellEnd"/>
      <w:r w:rsidR="001E27E2">
        <w:rPr>
          <w:sz w:val="20"/>
          <w:lang w:eastAsia="lt-LT"/>
        </w:rPr>
        <w:t xml:space="preserve"> Data</w:t>
      </w:r>
      <w:r w:rsidR="00A530A4">
        <w:rPr>
          <w:sz w:val="20"/>
          <w:lang w:eastAsia="lt-LT"/>
        </w:rPr>
        <w:t xml:space="preserve"> platforma</w:t>
      </w:r>
      <w:r w:rsidRPr="008D71FB">
        <w:rPr>
          <w:sz w:val="20"/>
          <w:lang w:eastAsia="lt-LT"/>
        </w:rPr>
        <w:t>.</w:t>
      </w:r>
    </w:p>
    <w:bookmarkEnd w:id="6"/>
    <w:bookmarkEnd w:id="7"/>
    <w:p w:rsidR="00AD7ED1" w:rsidRPr="00134D2C" w:rsidRDefault="00AD7ED1" w:rsidP="000D40CB">
      <w:pPr>
        <w:ind w:firstLine="567"/>
        <w:jc w:val="both"/>
        <w:rPr>
          <w:rFonts w:asciiTheme="minorHAnsi" w:hAnsiTheme="minorHAnsi"/>
          <w:color w:val="666666"/>
          <w:szCs w:val="24"/>
          <w:lang w:eastAsia="lt-LT"/>
        </w:rPr>
      </w:pPr>
    </w:p>
    <w:p w:rsidR="00BB5E94" w:rsidRPr="00140EB5" w:rsidRDefault="00BB5E94" w:rsidP="00BB5E94">
      <w:pPr>
        <w:pStyle w:val="tekstas"/>
        <w:rPr>
          <w:lang w:eastAsia="lt-LT"/>
        </w:rPr>
      </w:pPr>
      <w:r w:rsidRPr="00140EB5">
        <w:rPr>
          <w:lang w:eastAsia="lt-LT"/>
        </w:rPr>
        <w:t xml:space="preserve">Iki 2018 m. </w:t>
      </w:r>
      <w:r w:rsidR="00CD11BD" w:rsidRPr="00140EB5">
        <w:rPr>
          <w:lang w:eastAsia="lt-LT"/>
        </w:rPr>
        <w:t xml:space="preserve">rugsėjo </w:t>
      </w:r>
      <w:r w:rsidR="00CC11A6" w:rsidRPr="00140EB5">
        <w:rPr>
          <w:lang w:eastAsia="lt-LT"/>
        </w:rPr>
        <w:t xml:space="preserve">30 </w:t>
      </w:r>
      <w:r w:rsidRPr="00140EB5">
        <w:rPr>
          <w:lang w:eastAsia="lt-LT"/>
        </w:rPr>
        <w:t xml:space="preserve">d. projektams paskirstyta </w:t>
      </w:r>
      <w:r w:rsidR="00CD11BD" w:rsidRPr="00140EB5">
        <w:rPr>
          <w:lang w:eastAsia="lt-LT"/>
        </w:rPr>
        <w:t>3,9</w:t>
      </w:r>
      <w:r w:rsidRPr="00140EB5">
        <w:rPr>
          <w:lang w:eastAsia="lt-LT"/>
        </w:rPr>
        <w:t xml:space="preserve"> mlrd. eurų (</w:t>
      </w:r>
      <w:r w:rsidR="00CD11BD" w:rsidRPr="00140EB5">
        <w:rPr>
          <w:lang w:eastAsia="lt-LT"/>
        </w:rPr>
        <w:t>58</w:t>
      </w:r>
      <w:r w:rsidR="00C56702">
        <w:rPr>
          <w:lang w:eastAsia="lt-LT"/>
        </w:rPr>
        <w:t xml:space="preserve"> </w:t>
      </w:r>
      <w:r w:rsidRPr="00140EB5">
        <w:rPr>
          <w:lang w:eastAsia="lt-LT"/>
        </w:rPr>
        <w:t xml:space="preserve">proc.) ES fondų lėšų. Per </w:t>
      </w:r>
      <w:r w:rsidR="00C56702">
        <w:rPr>
          <w:lang w:eastAsia="lt-LT"/>
        </w:rPr>
        <w:t>trečiąjį</w:t>
      </w:r>
      <w:r w:rsidR="00DE20DD" w:rsidRPr="00140EB5">
        <w:rPr>
          <w:lang w:eastAsia="lt-LT"/>
        </w:rPr>
        <w:t xml:space="preserve"> šių metų ketvirtį</w:t>
      </w:r>
      <w:r w:rsidRPr="00140EB5">
        <w:rPr>
          <w:lang w:eastAsia="lt-LT"/>
        </w:rPr>
        <w:t xml:space="preserve"> (2018 m.</w:t>
      </w:r>
      <w:r w:rsidR="00EA2360">
        <w:rPr>
          <w:lang w:eastAsia="lt-LT"/>
        </w:rPr>
        <w:t xml:space="preserve"> </w:t>
      </w:r>
      <w:r w:rsidR="00CD11BD" w:rsidRPr="00140EB5">
        <w:rPr>
          <w:lang w:eastAsia="lt-LT"/>
        </w:rPr>
        <w:t>liepą, rugpjūtį ir rugsėjį</w:t>
      </w:r>
      <w:r w:rsidRPr="00140EB5">
        <w:rPr>
          <w:lang w:eastAsia="lt-LT"/>
        </w:rPr>
        <w:t xml:space="preserve">) </w:t>
      </w:r>
      <w:r w:rsidR="00CD11BD" w:rsidRPr="00140EB5">
        <w:rPr>
          <w:lang w:eastAsia="lt-LT"/>
        </w:rPr>
        <w:t>sudarytų sutarčių suma (ES fondų lėšos) padidėjo</w:t>
      </w:r>
      <w:r w:rsidRPr="00140EB5">
        <w:rPr>
          <w:lang w:eastAsia="lt-LT"/>
        </w:rPr>
        <w:t xml:space="preserve"> </w:t>
      </w:r>
      <w:r w:rsidR="00CD11BD" w:rsidRPr="00140EB5">
        <w:rPr>
          <w:lang w:eastAsia="lt-LT"/>
        </w:rPr>
        <w:t>3,1</w:t>
      </w:r>
      <w:r w:rsidR="00B26B24" w:rsidRPr="00140EB5">
        <w:rPr>
          <w:lang w:eastAsia="lt-LT"/>
        </w:rPr>
        <w:t xml:space="preserve"> </w:t>
      </w:r>
      <w:r w:rsidRPr="00140EB5">
        <w:rPr>
          <w:lang w:eastAsia="lt-LT"/>
        </w:rPr>
        <w:t xml:space="preserve">proc. </w:t>
      </w:r>
    </w:p>
    <w:p w:rsidR="00BB5E94" w:rsidRPr="00140EB5" w:rsidRDefault="00DE20DD" w:rsidP="00BB5E94">
      <w:pPr>
        <w:pStyle w:val="tekstas"/>
        <w:rPr>
          <w:lang w:eastAsia="lt-LT"/>
        </w:rPr>
      </w:pPr>
      <w:r w:rsidRPr="00140EB5">
        <w:rPr>
          <w:lang w:eastAsia="lt-LT"/>
        </w:rPr>
        <w:t xml:space="preserve">Padidėjo </w:t>
      </w:r>
      <w:r w:rsidR="00156342" w:rsidRPr="00140EB5">
        <w:rPr>
          <w:lang w:eastAsia="lt-LT"/>
        </w:rPr>
        <w:t xml:space="preserve">ir </w:t>
      </w:r>
      <w:r w:rsidR="001448F5" w:rsidRPr="00140EB5">
        <w:rPr>
          <w:lang w:eastAsia="lt-LT"/>
        </w:rPr>
        <w:t>paskelbtų kvietimų bei</w:t>
      </w:r>
      <w:r w:rsidR="00BB5E94" w:rsidRPr="00140EB5">
        <w:rPr>
          <w:lang w:eastAsia="lt-LT"/>
        </w:rPr>
        <w:t xml:space="preserve"> sudarytų projektų sąrašų suma, </w:t>
      </w:r>
      <w:r w:rsidR="00CA159B" w:rsidRPr="00140EB5">
        <w:rPr>
          <w:lang w:eastAsia="lt-LT"/>
        </w:rPr>
        <w:t xml:space="preserve">iki 2018 m. </w:t>
      </w:r>
      <w:r w:rsidR="001D5FD3" w:rsidRPr="00140EB5">
        <w:rPr>
          <w:lang w:eastAsia="lt-LT"/>
        </w:rPr>
        <w:t xml:space="preserve">rugsėjo </w:t>
      </w:r>
      <w:r w:rsidRPr="00140EB5">
        <w:rPr>
          <w:lang w:eastAsia="lt-LT"/>
        </w:rPr>
        <w:t xml:space="preserve">30 </w:t>
      </w:r>
      <w:r w:rsidR="00CA159B" w:rsidRPr="00140EB5">
        <w:rPr>
          <w:lang w:eastAsia="lt-LT"/>
        </w:rPr>
        <w:t>d. minėta</w:t>
      </w:r>
      <w:r w:rsidR="00BB5E94" w:rsidRPr="00140EB5">
        <w:rPr>
          <w:lang w:eastAsia="lt-LT"/>
        </w:rPr>
        <w:t xml:space="preserve"> suma </w:t>
      </w:r>
      <w:r w:rsidRPr="00140EB5">
        <w:rPr>
          <w:lang w:eastAsia="lt-LT"/>
        </w:rPr>
        <w:t>sudar</w:t>
      </w:r>
      <w:r w:rsidR="00C56702">
        <w:rPr>
          <w:lang w:eastAsia="lt-LT"/>
        </w:rPr>
        <w:t>ė</w:t>
      </w:r>
      <w:r w:rsidR="00BB5E94" w:rsidRPr="00140EB5">
        <w:rPr>
          <w:lang w:eastAsia="lt-LT"/>
        </w:rPr>
        <w:t xml:space="preserve"> </w:t>
      </w:r>
      <w:r w:rsidR="001D5FD3" w:rsidRPr="00140EB5">
        <w:rPr>
          <w:lang w:eastAsia="lt-LT"/>
        </w:rPr>
        <w:t>5,2</w:t>
      </w:r>
      <w:r w:rsidRPr="00140EB5">
        <w:rPr>
          <w:lang w:eastAsia="lt-LT"/>
        </w:rPr>
        <w:t xml:space="preserve"> </w:t>
      </w:r>
      <w:r w:rsidR="00BB5E94" w:rsidRPr="00140EB5">
        <w:rPr>
          <w:lang w:eastAsia="lt-LT"/>
        </w:rPr>
        <w:t>mlrd. eurų (</w:t>
      </w:r>
      <w:r w:rsidRPr="00140EB5">
        <w:rPr>
          <w:lang w:eastAsia="lt-LT"/>
        </w:rPr>
        <w:t>7</w:t>
      </w:r>
      <w:r w:rsidR="001D5FD3" w:rsidRPr="00140EB5">
        <w:rPr>
          <w:lang w:eastAsia="lt-LT"/>
        </w:rPr>
        <w:t>8</w:t>
      </w:r>
      <w:r w:rsidRPr="00140EB5">
        <w:rPr>
          <w:lang w:eastAsia="lt-LT"/>
        </w:rPr>
        <w:t xml:space="preserve"> </w:t>
      </w:r>
      <w:r w:rsidR="00BB5E94" w:rsidRPr="00140EB5">
        <w:rPr>
          <w:lang w:eastAsia="lt-LT"/>
        </w:rPr>
        <w:t xml:space="preserve">proc.) ES fondų lėšų. </w:t>
      </w:r>
    </w:p>
    <w:p w:rsidR="00BB5E94" w:rsidRPr="00140EB5" w:rsidRDefault="006002BC" w:rsidP="00BB5E94">
      <w:pPr>
        <w:pStyle w:val="tekstas"/>
        <w:rPr>
          <w:lang w:eastAsia="lt-LT"/>
        </w:rPr>
      </w:pPr>
      <w:r w:rsidRPr="00140EB5">
        <w:rPr>
          <w:lang w:eastAsia="lt-LT"/>
        </w:rPr>
        <w:t xml:space="preserve">Per </w:t>
      </w:r>
      <w:r w:rsidR="001D5FD3" w:rsidRPr="00140EB5">
        <w:rPr>
          <w:lang w:eastAsia="lt-LT"/>
        </w:rPr>
        <w:t xml:space="preserve">liepos </w:t>
      </w:r>
      <w:r w:rsidR="00A304CC">
        <w:rPr>
          <w:lang w:eastAsia="lt-LT"/>
        </w:rPr>
        <w:t>–</w:t>
      </w:r>
      <w:r w:rsidR="001D5FD3" w:rsidRPr="00140EB5">
        <w:rPr>
          <w:lang w:eastAsia="lt-LT"/>
        </w:rPr>
        <w:t xml:space="preserve"> rugsėjo</w:t>
      </w:r>
      <w:r w:rsidR="00A304CC">
        <w:rPr>
          <w:lang w:eastAsia="lt-LT"/>
        </w:rPr>
        <w:t xml:space="preserve"> </w:t>
      </w:r>
      <w:r w:rsidRPr="00140EB5">
        <w:rPr>
          <w:lang w:eastAsia="lt-LT"/>
        </w:rPr>
        <w:t xml:space="preserve">mėn. išmokėtų lėšų </w:t>
      </w:r>
      <w:r w:rsidR="008719FB" w:rsidRPr="00140EB5">
        <w:rPr>
          <w:lang w:eastAsia="lt-LT"/>
        </w:rPr>
        <w:t xml:space="preserve">suma </w:t>
      </w:r>
      <w:r w:rsidR="00DE20DD" w:rsidRPr="00140EB5">
        <w:rPr>
          <w:lang w:eastAsia="lt-LT"/>
        </w:rPr>
        <w:t>padidėjo 2,3 proc.</w:t>
      </w:r>
      <w:r w:rsidRPr="00140EB5">
        <w:rPr>
          <w:lang w:eastAsia="lt-LT"/>
        </w:rPr>
        <w:t xml:space="preserve">, </w:t>
      </w:r>
      <w:r w:rsidR="008719FB" w:rsidRPr="00140EB5">
        <w:rPr>
          <w:lang w:eastAsia="lt-LT"/>
        </w:rPr>
        <w:t>ir</w:t>
      </w:r>
      <w:r w:rsidR="00BB5E94" w:rsidRPr="00140EB5">
        <w:rPr>
          <w:lang w:eastAsia="lt-LT"/>
        </w:rPr>
        <w:t xml:space="preserve"> 2018 m. </w:t>
      </w:r>
      <w:r w:rsidR="001D5FD3" w:rsidRPr="00140EB5">
        <w:rPr>
          <w:lang w:eastAsia="lt-LT"/>
        </w:rPr>
        <w:t xml:space="preserve">rugsėjo </w:t>
      </w:r>
      <w:r w:rsidR="008719FB" w:rsidRPr="00140EB5">
        <w:rPr>
          <w:lang w:eastAsia="lt-LT"/>
        </w:rPr>
        <w:t xml:space="preserve">30 </w:t>
      </w:r>
      <w:r w:rsidR="00BB5E94" w:rsidRPr="00140EB5">
        <w:rPr>
          <w:lang w:eastAsia="lt-LT"/>
        </w:rPr>
        <w:t xml:space="preserve">d. </w:t>
      </w:r>
      <w:r w:rsidR="008719FB" w:rsidRPr="00140EB5">
        <w:rPr>
          <w:lang w:eastAsia="lt-LT"/>
        </w:rPr>
        <w:t xml:space="preserve">sudarė </w:t>
      </w:r>
      <w:r w:rsidR="001D5FD3" w:rsidRPr="00140EB5">
        <w:rPr>
          <w:lang w:eastAsia="lt-LT"/>
        </w:rPr>
        <w:t>beveik</w:t>
      </w:r>
      <w:r w:rsidR="008719FB" w:rsidRPr="00140EB5">
        <w:rPr>
          <w:lang w:eastAsia="lt-LT"/>
        </w:rPr>
        <w:t xml:space="preserve"> </w:t>
      </w:r>
      <w:r w:rsidR="00CA159B" w:rsidRPr="00140EB5">
        <w:rPr>
          <w:lang w:eastAsia="lt-LT"/>
        </w:rPr>
        <w:t>1,</w:t>
      </w:r>
      <w:r w:rsidR="001D5FD3" w:rsidRPr="00140EB5">
        <w:rPr>
          <w:lang w:eastAsia="lt-LT"/>
        </w:rPr>
        <w:t>7</w:t>
      </w:r>
      <w:r w:rsidR="00CA159B" w:rsidRPr="00140EB5">
        <w:rPr>
          <w:lang w:eastAsia="lt-LT"/>
        </w:rPr>
        <w:t xml:space="preserve"> mlrd. </w:t>
      </w:r>
      <w:r w:rsidR="001D5FD3" w:rsidRPr="00140EB5">
        <w:rPr>
          <w:lang w:eastAsia="lt-LT"/>
        </w:rPr>
        <w:t>e</w:t>
      </w:r>
      <w:r w:rsidR="00CA159B" w:rsidRPr="00140EB5">
        <w:rPr>
          <w:lang w:eastAsia="lt-LT"/>
        </w:rPr>
        <w:t>urų</w:t>
      </w:r>
      <w:r w:rsidR="001D5FD3" w:rsidRPr="00140EB5">
        <w:rPr>
          <w:lang w:eastAsia="lt-LT"/>
        </w:rPr>
        <w:t xml:space="preserve"> (25 proc.)</w:t>
      </w:r>
      <w:r w:rsidR="00BB5E94" w:rsidRPr="00140EB5">
        <w:rPr>
          <w:lang w:eastAsia="lt-LT"/>
        </w:rPr>
        <w:t xml:space="preserve">. </w:t>
      </w:r>
      <w:r w:rsidR="001D5FD3" w:rsidRPr="00140EB5">
        <w:rPr>
          <w:lang w:eastAsia="lt-LT"/>
        </w:rPr>
        <w:t xml:space="preserve">Trečio </w:t>
      </w:r>
      <w:r w:rsidR="008719FB" w:rsidRPr="00140EB5">
        <w:rPr>
          <w:lang w:eastAsia="lt-LT"/>
        </w:rPr>
        <w:t xml:space="preserve">šių metų ketvirčio pabaigoje </w:t>
      </w:r>
      <w:r w:rsidR="00BB5E94" w:rsidRPr="00140EB5">
        <w:rPr>
          <w:lang w:eastAsia="lt-LT"/>
        </w:rPr>
        <w:t xml:space="preserve">EK </w:t>
      </w:r>
      <w:r w:rsidR="008719FB" w:rsidRPr="00140EB5">
        <w:rPr>
          <w:lang w:eastAsia="lt-LT"/>
        </w:rPr>
        <w:t>deklaruota 1,</w:t>
      </w:r>
      <w:r w:rsidR="001D5FD3" w:rsidRPr="00140EB5">
        <w:rPr>
          <w:lang w:eastAsia="lt-LT"/>
        </w:rPr>
        <w:t>5</w:t>
      </w:r>
      <w:r w:rsidR="008719FB" w:rsidRPr="00140EB5">
        <w:rPr>
          <w:lang w:eastAsia="lt-LT"/>
        </w:rPr>
        <w:t xml:space="preserve"> </w:t>
      </w:r>
      <w:r w:rsidR="00BB5E94" w:rsidRPr="00140EB5">
        <w:rPr>
          <w:lang w:eastAsia="lt-LT"/>
        </w:rPr>
        <w:t>mlrd.</w:t>
      </w:r>
      <w:r w:rsidR="006B4126" w:rsidRPr="00140EB5">
        <w:rPr>
          <w:lang w:eastAsia="lt-LT"/>
        </w:rPr>
        <w:t xml:space="preserve"> </w:t>
      </w:r>
      <w:r w:rsidR="00BB5E94" w:rsidRPr="00140EB5">
        <w:rPr>
          <w:lang w:eastAsia="lt-LT"/>
        </w:rPr>
        <w:t>eurų (</w:t>
      </w:r>
      <w:r w:rsidR="001D5FD3" w:rsidRPr="00140EB5">
        <w:rPr>
          <w:lang w:eastAsia="lt-LT"/>
        </w:rPr>
        <w:t xml:space="preserve">22 </w:t>
      </w:r>
      <w:r w:rsidR="00BB5E94" w:rsidRPr="00140EB5">
        <w:rPr>
          <w:lang w:eastAsia="lt-LT"/>
        </w:rPr>
        <w:t xml:space="preserve">proc.) ES fondų lėšų. </w:t>
      </w:r>
    </w:p>
    <w:p w:rsidR="00BB5E94" w:rsidRPr="00140EB5" w:rsidRDefault="00BB5E94" w:rsidP="00BB5E94">
      <w:pPr>
        <w:ind w:firstLine="567"/>
        <w:jc w:val="both"/>
        <w:rPr>
          <w:rFonts w:asciiTheme="minorHAnsi" w:hAnsiTheme="minorHAnsi"/>
          <w:color w:val="FF0000"/>
          <w:sz w:val="2"/>
          <w:szCs w:val="24"/>
          <w:lang w:eastAsia="lt-LT"/>
        </w:rPr>
      </w:pPr>
    </w:p>
    <w:p w:rsidR="00BB5E94" w:rsidRPr="00140EB5" w:rsidRDefault="00BB5E94" w:rsidP="00BB5E94">
      <w:pPr>
        <w:pStyle w:val="tekstas"/>
        <w:rPr>
          <w:lang w:eastAsia="lt-LT"/>
        </w:rPr>
      </w:pPr>
      <w:r w:rsidRPr="00140EB5">
        <w:rPr>
          <w:lang w:eastAsia="lt-LT"/>
        </w:rPr>
        <w:t xml:space="preserve">Informacija apie finansinę pažangą ataskaitiniu laikotarpiu pateikiama </w:t>
      </w:r>
      <w:r w:rsidR="006002BC" w:rsidRPr="00140EB5">
        <w:rPr>
          <w:lang w:eastAsia="lt-LT"/>
        </w:rPr>
        <w:t>2</w:t>
      </w:r>
      <w:r w:rsidRPr="00140EB5">
        <w:rPr>
          <w:lang w:eastAsia="lt-LT"/>
        </w:rPr>
        <w:t xml:space="preserve"> grafike. </w:t>
      </w:r>
    </w:p>
    <w:p w:rsidR="00427C59" w:rsidRPr="00140EB5" w:rsidRDefault="00427C59" w:rsidP="00427C59">
      <w:pPr>
        <w:pStyle w:val="tekstas"/>
        <w:rPr>
          <w:color w:val="FF0000"/>
          <w:lang w:eastAsia="lt-LT"/>
        </w:rPr>
      </w:pPr>
    </w:p>
    <w:p w:rsidR="00BB5E94" w:rsidRPr="00140EB5" w:rsidRDefault="00BB5E94" w:rsidP="00BB5E94">
      <w:pPr>
        <w:pStyle w:val="tekstas"/>
        <w:rPr>
          <w:sz w:val="2"/>
          <w:lang w:eastAsia="lt-LT"/>
        </w:rPr>
      </w:pPr>
    </w:p>
    <w:p w:rsidR="00BB5E94" w:rsidRPr="00140EB5" w:rsidRDefault="00BB5E94" w:rsidP="00BB5E94">
      <w:pPr>
        <w:pStyle w:val="tekstas"/>
        <w:rPr>
          <w:sz w:val="2"/>
          <w:lang w:eastAsia="lt-LT"/>
        </w:rPr>
      </w:pPr>
    </w:p>
    <w:p w:rsidR="00BB5E94" w:rsidRPr="00140EB5" w:rsidRDefault="006002BC" w:rsidP="00BB5E94">
      <w:pPr>
        <w:pStyle w:val="Antrat"/>
        <w:keepNext/>
        <w:spacing w:after="0"/>
        <w:jc w:val="center"/>
        <w:rPr>
          <w:color w:val="365F91" w:themeColor="accent1" w:themeShade="BF"/>
          <w:sz w:val="22"/>
          <w:szCs w:val="22"/>
        </w:rPr>
      </w:pPr>
      <w:r w:rsidRPr="00140EB5">
        <w:rPr>
          <w:color w:val="365F91" w:themeColor="accent1" w:themeShade="BF"/>
          <w:sz w:val="22"/>
          <w:szCs w:val="22"/>
        </w:rPr>
        <w:lastRenderedPageBreak/>
        <w:t>2</w:t>
      </w:r>
      <w:r w:rsidR="00BB5E94" w:rsidRPr="00140EB5">
        <w:rPr>
          <w:color w:val="365F91" w:themeColor="accent1" w:themeShade="BF"/>
          <w:sz w:val="22"/>
          <w:szCs w:val="22"/>
        </w:rPr>
        <w:t xml:space="preserve"> grafikas. Veiksmų programos įgyvendinimas pagal etapus (mln. eurų ir % nuo ES fondų lėšų).</w:t>
      </w:r>
    </w:p>
    <w:p w:rsidR="00BB5E94" w:rsidRPr="00140EB5" w:rsidRDefault="00BB5E94" w:rsidP="00BB5E94">
      <w:pPr>
        <w:rPr>
          <w:sz w:val="6"/>
        </w:rPr>
      </w:pPr>
    </w:p>
    <w:p w:rsidR="00BB5E94" w:rsidRPr="00140EB5" w:rsidRDefault="001D5FD3" w:rsidP="00BB5E94">
      <w:r w:rsidRPr="00140EB5">
        <w:rPr>
          <w:noProof/>
          <w:lang w:eastAsia="lt-LT"/>
        </w:rPr>
        <w:drawing>
          <wp:inline distT="0" distB="0" distL="0" distR="0" wp14:anchorId="7BA90D94" wp14:editId="1F7AF415">
            <wp:extent cx="6120130" cy="2867967"/>
            <wp:effectExtent l="0" t="0" r="13970" b="27940"/>
            <wp:docPr id="2" name="Diagrama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B5E94" w:rsidRPr="00140EB5" w:rsidRDefault="00BB5E94" w:rsidP="00BB5E94">
      <w:pPr>
        <w:rPr>
          <w:sz w:val="2"/>
        </w:rPr>
      </w:pPr>
    </w:p>
    <w:p w:rsidR="00BB5E94" w:rsidRPr="00140EB5" w:rsidRDefault="00BB5E94" w:rsidP="00BB5E94">
      <w:pPr>
        <w:rPr>
          <w:sz w:val="2"/>
        </w:rPr>
      </w:pPr>
    </w:p>
    <w:p w:rsidR="00BB5E94" w:rsidRPr="00140EB5" w:rsidRDefault="00BB5E94" w:rsidP="00BB5E94">
      <w:pPr>
        <w:jc w:val="both"/>
        <w:rPr>
          <w:rFonts w:asciiTheme="minorHAnsi" w:hAnsiTheme="minorHAnsi"/>
          <w:color w:val="666666"/>
          <w:sz w:val="6"/>
          <w:szCs w:val="24"/>
          <w:lang w:eastAsia="lt-LT"/>
        </w:rPr>
      </w:pPr>
    </w:p>
    <w:p w:rsidR="00BB5E94" w:rsidRPr="00140EB5" w:rsidRDefault="00BB5E94" w:rsidP="00BB5E94">
      <w:pPr>
        <w:ind w:firstLine="567"/>
        <w:jc w:val="both"/>
        <w:rPr>
          <w:rFonts w:asciiTheme="minorHAnsi" w:hAnsiTheme="minorHAnsi"/>
          <w:color w:val="666666"/>
          <w:sz w:val="2"/>
          <w:szCs w:val="24"/>
          <w:lang w:eastAsia="lt-LT"/>
        </w:rPr>
      </w:pPr>
    </w:p>
    <w:p w:rsidR="00BB5E94" w:rsidRPr="00140EB5" w:rsidRDefault="00BB5E94" w:rsidP="00BB5E94">
      <w:pPr>
        <w:ind w:firstLine="567"/>
        <w:jc w:val="both"/>
        <w:rPr>
          <w:sz w:val="20"/>
          <w:lang w:eastAsia="lt-LT"/>
        </w:rPr>
      </w:pPr>
      <w:r w:rsidRPr="00140EB5">
        <w:rPr>
          <w:sz w:val="20"/>
          <w:lang w:eastAsia="lt-LT"/>
        </w:rPr>
        <w:t>Šaltinis: 2014–2020 metų Europos Sąjungos struktūrinių fondų posistemis (SFMIS2014).</w:t>
      </w:r>
    </w:p>
    <w:p w:rsidR="00BB5E94" w:rsidRPr="00140EB5" w:rsidRDefault="00BB5E94" w:rsidP="00BB5E94">
      <w:pPr>
        <w:ind w:firstLine="567"/>
        <w:jc w:val="both"/>
        <w:rPr>
          <w:rFonts w:asciiTheme="minorHAnsi" w:hAnsiTheme="minorHAnsi"/>
          <w:color w:val="666666"/>
          <w:sz w:val="2"/>
          <w:szCs w:val="24"/>
          <w:lang w:eastAsia="lt-LT"/>
        </w:rPr>
      </w:pPr>
    </w:p>
    <w:p w:rsidR="00BB5E94" w:rsidRPr="00140EB5" w:rsidRDefault="00BB5E94" w:rsidP="00BB5E94">
      <w:pPr>
        <w:ind w:firstLine="567"/>
        <w:jc w:val="both"/>
        <w:rPr>
          <w:rFonts w:asciiTheme="minorHAnsi" w:hAnsiTheme="minorHAnsi"/>
          <w:color w:val="FF0000"/>
          <w:sz w:val="10"/>
          <w:szCs w:val="24"/>
          <w:lang w:eastAsia="lt-LT"/>
        </w:rPr>
      </w:pPr>
    </w:p>
    <w:p w:rsidR="00BB5E94" w:rsidRPr="00140EB5" w:rsidRDefault="00427C59" w:rsidP="00BB5E94">
      <w:pPr>
        <w:pStyle w:val="Antrat"/>
        <w:keepNext/>
        <w:spacing w:after="0"/>
        <w:jc w:val="center"/>
        <w:rPr>
          <w:noProof/>
          <w:color w:val="365F91" w:themeColor="accent1" w:themeShade="BF"/>
          <w:sz w:val="22"/>
          <w:szCs w:val="22"/>
        </w:rPr>
      </w:pPr>
      <w:r w:rsidRPr="00140EB5">
        <w:rPr>
          <w:noProof/>
          <w:color w:val="365F91" w:themeColor="accent1" w:themeShade="BF"/>
          <w:sz w:val="22"/>
          <w:szCs w:val="22"/>
        </w:rPr>
        <w:t>3</w:t>
      </w:r>
      <w:r w:rsidR="00BB5E94" w:rsidRPr="00140EB5">
        <w:rPr>
          <w:noProof/>
          <w:color w:val="365F91" w:themeColor="accent1" w:themeShade="BF"/>
          <w:sz w:val="22"/>
          <w:szCs w:val="22"/>
        </w:rPr>
        <w:t xml:space="preserve"> grafikas. Veiksmų programos įgyvendinimas pagal etapus ir pagal ministerijas </w:t>
      </w:r>
      <w:r w:rsidR="00FD3B27" w:rsidRPr="00140EB5">
        <w:rPr>
          <w:noProof/>
          <w:color w:val="365F91" w:themeColor="accent1" w:themeShade="BF"/>
          <w:sz w:val="22"/>
          <w:szCs w:val="22"/>
        </w:rPr>
        <w:t xml:space="preserve">iki 2018 m. </w:t>
      </w:r>
      <w:r w:rsidR="005E427A" w:rsidRPr="00140EB5">
        <w:rPr>
          <w:noProof/>
          <w:color w:val="365F91" w:themeColor="accent1" w:themeShade="BF"/>
          <w:sz w:val="22"/>
          <w:szCs w:val="22"/>
        </w:rPr>
        <w:t xml:space="preserve">rugsėjo </w:t>
      </w:r>
      <w:r w:rsidR="00FD3B27" w:rsidRPr="00140EB5">
        <w:rPr>
          <w:noProof/>
          <w:color w:val="365F91" w:themeColor="accent1" w:themeShade="BF"/>
          <w:sz w:val="22"/>
          <w:szCs w:val="22"/>
        </w:rPr>
        <w:t>3</w:t>
      </w:r>
      <w:r w:rsidR="00B05639" w:rsidRPr="00140EB5">
        <w:rPr>
          <w:noProof/>
          <w:color w:val="365F91" w:themeColor="accent1" w:themeShade="BF"/>
          <w:sz w:val="22"/>
          <w:szCs w:val="22"/>
        </w:rPr>
        <w:t>0</w:t>
      </w:r>
      <w:r w:rsidR="00BB5E94" w:rsidRPr="00140EB5">
        <w:rPr>
          <w:noProof/>
          <w:color w:val="365F91" w:themeColor="accent1" w:themeShade="BF"/>
          <w:sz w:val="22"/>
          <w:szCs w:val="22"/>
        </w:rPr>
        <w:t xml:space="preserve"> d.</w:t>
      </w:r>
    </w:p>
    <w:p w:rsidR="00BB5E94" w:rsidRPr="00140EB5" w:rsidRDefault="00BB5E94" w:rsidP="00BB5E94">
      <w:pPr>
        <w:pStyle w:val="Antrat"/>
        <w:keepNext/>
        <w:spacing w:after="0"/>
        <w:jc w:val="center"/>
        <w:rPr>
          <w:noProof/>
          <w:color w:val="365F91" w:themeColor="accent1" w:themeShade="BF"/>
          <w:sz w:val="22"/>
          <w:szCs w:val="22"/>
        </w:rPr>
      </w:pPr>
      <w:r w:rsidRPr="00140EB5">
        <w:rPr>
          <w:noProof/>
          <w:color w:val="365F91" w:themeColor="accent1" w:themeShade="BF"/>
          <w:sz w:val="22"/>
          <w:szCs w:val="22"/>
        </w:rPr>
        <w:t>(% nuo administruojamų ES fondų lėšų)</w:t>
      </w:r>
      <w:r w:rsidRPr="00140EB5" w:rsidDel="00C26E7A">
        <w:rPr>
          <w:noProof/>
          <w:color w:val="365F91" w:themeColor="accent1" w:themeShade="BF"/>
          <w:sz w:val="22"/>
          <w:szCs w:val="22"/>
        </w:rPr>
        <w:t xml:space="preserve"> </w:t>
      </w:r>
    </w:p>
    <w:p w:rsidR="00BB5E94" w:rsidRPr="00140EB5" w:rsidRDefault="00BB5E94" w:rsidP="00BB5E94">
      <w:pPr>
        <w:rPr>
          <w:sz w:val="10"/>
        </w:rPr>
      </w:pPr>
    </w:p>
    <w:p w:rsidR="00BB5E94" w:rsidRPr="00140EB5" w:rsidRDefault="001D5FD3" w:rsidP="00BB5E94">
      <w:r w:rsidRPr="00140EB5">
        <w:rPr>
          <w:noProof/>
          <w:lang w:eastAsia="lt-LT"/>
        </w:rPr>
        <w:drawing>
          <wp:inline distT="0" distB="0" distL="0" distR="0" wp14:anchorId="4AF29322" wp14:editId="57036075">
            <wp:extent cx="6120130" cy="2515071"/>
            <wp:effectExtent l="0" t="0" r="13970" b="19050"/>
            <wp:docPr id="5" name="Diagrama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BB5E94" w:rsidRPr="00140EB5" w:rsidRDefault="00BB5E94" w:rsidP="00BB5E94">
      <w:pPr>
        <w:rPr>
          <w:sz w:val="6"/>
        </w:rPr>
      </w:pPr>
    </w:p>
    <w:p w:rsidR="00BB5E94" w:rsidRPr="00140EB5" w:rsidRDefault="00BB5E94" w:rsidP="00BB5E94">
      <w:pPr>
        <w:pStyle w:val="Antrat"/>
        <w:keepNext/>
        <w:spacing w:after="0"/>
        <w:jc w:val="center"/>
        <w:rPr>
          <w:sz w:val="2"/>
        </w:rPr>
      </w:pPr>
    </w:p>
    <w:p w:rsidR="00BB5E94" w:rsidRPr="00140EB5" w:rsidRDefault="00BB5E94" w:rsidP="00BB5E94">
      <w:pPr>
        <w:rPr>
          <w:sz w:val="2"/>
        </w:rPr>
      </w:pPr>
    </w:p>
    <w:p w:rsidR="00BB5E94" w:rsidRPr="00140EB5" w:rsidRDefault="00BB5E94" w:rsidP="00BB5E94">
      <w:pPr>
        <w:ind w:firstLine="567"/>
        <w:jc w:val="both"/>
        <w:rPr>
          <w:rFonts w:asciiTheme="minorHAnsi" w:hAnsiTheme="minorHAnsi"/>
          <w:color w:val="666666"/>
          <w:sz w:val="2"/>
          <w:szCs w:val="24"/>
          <w:lang w:eastAsia="lt-LT"/>
        </w:rPr>
      </w:pPr>
    </w:p>
    <w:p w:rsidR="00BB5E94" w:rsidRPr="00140EB5" w:rsidRDefault="00BB5E94" w:rsidP="00BB5E94">
      <w:pPr>
        <w:ind w:firstLine="567"/>
        <w:jc w:val="both"/>
        <w:rPr>
          <w:sz w:val="20"/>
          <w:lang w:eastAsia="lt-LT"/>
        </w:rPr>
      </w:pPr>
      <w:r w:rsidRPr="00140EB5">
        <w:rPr>
          <w:sz w:val="20"/>
          <w:lang w:eastAsia="lt-LT"/>
        </w:rPr>
        <w:t>Šaltinis: 2014–2020 metų Europos Sąjungos struktūrinių fondų posistemis (SFMIS2014).</w:t>
      </w:r>
    </w:p>
    <w:p w:rsidR="00BB5E94" w:rsidRPr="00140EB5" w:rsidRDefault="00BB5E94" w:rsidP="00BB5E94">
      <w:pPr>
        <w:ind w:firstLine="284"/>
        <w:jc w:val="both"/>
        <w:rPr>
          <w:rFonts w:asciiTheme="minorHAnsi" w:hAnsiTheme="minorHAnsi"/>
          <w:color w:val="666666"/>
          <w:sz w:val="6"/>
          <w:szCs w:val="24"/>
          <w:lang w:eastAsia="lt-LT"/>
        </w:rPr>
      </w:pPr>
    </w:p>
    <w:p w:rsidR="00BB5E94" w:rsidRPr="00140EB5" w:rsidRDefault="00BB5E94" w:rsidP="00BB5E94">
      <w:pPr>
        <w:pStyle w:val="Antrat"/>
        <w:keepNext/>
        <w:spacing w:after="0"/>
        <w:jc w:val="center"/>
        <w:rPr>
          <w:noProof/>
          <w:color w:val="365F91" w:themeColor="accent1" w:themeShade="BF"/>
          <w:sz w:val="20"/>
          <w:szCs w:val="20"/>
        </w:rPr>
      </w:pPr>
    </w:p>
    <w:p w:rsidR="004E1AA3" w:rsidRPr="00140EB5" w:rsidRDefault="00CA70E6" w:rsidP="00BB5E94">
      <w:pPr>
        <w:pStyle w:val="tekstas"/>
        <w:rPr>
          <w:lang w:eastAsia="lt-LT"/>
        </w:rPr>
      </w:pPr>
      <w:r w:rsidRPr="00140EB5">
        <w:rPr>
          <w:lang w:eastAsia="lt-LT"/>
        </w:rPr>
        <w:t xml:space="preserve">Iki 2018 m. </w:t>
      </w:r>
      <w:r w:rsidR="00562800" w:rsidRPr="00140EB5">
        <w:rPr>
          <w:lang w:eastAsia="lt-LT"/>
        </w:rPr>
        <w:t xml:space="preserve">rugsėjo </w:t>
      </w:r>
      <w:r w:rsidR="00B05639" w:rsidRPr="00140EB5">
        <w:rPr>
          <w:lang w:eastAsia="lt-LT"/>
        </w:rPr>
        <w:t xml:space="preserve">30 </w:t>
      </w:r>
      <w:r w:rsidRPr="00140EB5">
        <w:rPr>
          <w:lang w:eastAsia="lt-LT"/>
        </w:rPr>
        <w:t>d. daugiausiai lėšų investavo Socialinės aps</w:t>
      </w:r>
      <w:r w:rsidR="00AF0A33" w:rsidRPr="00140EB5">
        <w:rPr>
          <w:lang w:eastAsia="lt-LT"/>
        </w:rPr>
        <w:t>augos ir darbo bei Aplinkos ministerijos</w:t>
      </w:r>
      <w:r w:rsidR="00E96A0C" w:rsidRPr="00140EB5">
        <w:rPr>
          <w:lang w:eastAsia="lt-LT"/>
        </w:rPr>
        <w:t xml:space="preserve">. Nepaisant </w:t>
      </w:r>
      <w:r w:rsidR="009D0B60" w:rsidRPr="00140EB5">
        <w:rPr>
          <w:lang w:eastAsia="lt-LT"/>
        </w:rPr>
        <w:t>daugiausiai investuotų lėšų, Socialinės apsaugos ir darbo ministerija kartu su Sveikatos apsaugos, Energetikos bei Švietimo ir mokslo ministerijomis turi daugiausiai, apie trečdalį, nesuplanuotų ES fondų lėšų</w:t>
      </w:r>
      <w:r w:rsidR="007526E9">
        <w:rPr>
          <w:lang w:eastAsia="lt-LT"/>
        </w:rPr>
        <w:t>,</w:t>
      </w:r>
      <w:r w:rsidR="009D0B60" w:rsidRPr="00140EB5">
        <w:rPr>
          <w:lang w:eastAsia="lt-LT"/>
        </w:rPr>
        <w:t xml:space="preserve"> t. y. </w:t>
      </w:r>
      <w:r w:rsidR="00933B23">
        <w:rPr>
          <w:lang w:eastAsia="lt-LT"/>
        </w:rPr>
        <w:t xml:space="preserve">šiai daliai </w:t>
      </w:r>
      <w:r w:rsidR="009D0B60" w:rsidRPr="00140EB5">
        <w:rPr>
          <w:lang w:eastAsia="lt-LT"/>
        </w:rPr>
        <w:t>nesudaryta sąrašų ir nepaskelbta kvietimų (žr. 3 grafiką).</w:t>
      </w:r>
    </w:p>
    <w:p w:rsidR="00BB5E94" w:rsidRPr="00140EB5" w:rsidRDefault="00BB5E94" w:rsidP="00BB5E94">
      <w:pPr>
        <w:pStyle w:val="tekstas"/>
        <w:rPr>
          <w:sz w:val="18"/>
          <w:lang w:eastAsia="lt-LT"/>
        </w:rPr>
      </w:pPr>
    </w:p>
    <w:p w:rsidR="00BB5E94" w:rsidRPr="00140EB5" w:rsidRDefault="00BB5E94" w:rsidP="00BB5E94">
      <w:pPr>
        <w:pStyle w:val="Antrat"/>
        <w:keepNext/>
        <w:spacing w:after="0"/>
        <w:jc w:val="center"/>
        <w:rPr>
          <w:noProof/>
          <w:color w:val="365F91" w:themeColor="accent1" w:themeShade="BF"/>
          <w:sz w:val="2"/>
          <w:szCs w:val="22"/>
        </w:rPr>
      </w:pPr>
    </w:p>
    <w:p w:rsidR="00EA2360" w:rsidRDefault="00EA2360">
      <w:pPr>
        <w:spacing w:after="200" w:line="276" w:lineRule="auto"/>
        <w:rPr>
          <w:rFonts w:ascii="Calibri" w:eastAsia="Calibri" w:hAnsi="Calibri"/>
          <w:b/>
          <w:bCs/>
          <w:noProof/>
          <w:color w:val="365F91" w:themeColor="accent1" w:themeShade="BF"/>
          <w:sz w:val="22"/>
          <w:szCs w:val="22"/>
        </w:rPr>
      </w:pPr>
      <w:r>
        <w:rPr>
          <w:noProof/>
          <w:color w:val="365F91" w:themeColor="accent1" w:themeShade="BF"/>
          <w:sz w:val="22"/>
          <w:szCs w:val="22"/>
        </w:rPr>
        <w:br w:type="page"/>
      </w:r>
    </w:p>
    <w:p w:rsidR="00BB5E94" w:rsidRPr="00140EB5" w:rsidRDefault="00427C59" w:rsidP="00BB5E94">
      <w:pPr>
        <w:pStyle w:val="Antrat"/>
        <w:keepNext/>
        <w:spacing w:after="0"/>
        <w:jc w:val="center"/>
        <w:rPr>
          <w:noProof/>
          <w:color w:val="365F91" w:themeColor="accent1" w:themeShade="BF"/>
          <w:sz w:val="22"/>
          <w:szCs w:val="22"/>
        </w:rPr>
      </w:pPr>
      <w:r w:rsidRPr="00140EB5">
        <w:rPr>
          <w:noProof/>
          <w:color w:val="365F91" w:themeColor="accent1" w:themeShade="BF"/>
          <w:sz w:val="22"/>
          <w:szCs w:val="22"/>
        </w:rPr>
        <w:lastRenderedPageBreak/>
        <w:t>4</w:t>
      </w:r>
      <w:r w:rsidR="00BB5E94" w:rsidRPr="00140EB5">
        <w:rPr>
          <w:noProof/>
          <w:color w:val="365F91" w:themeColor="accent1" w:themeShade="BF"/>
          <w:sz w:val="22"/>
          <w:szCs w:val="22"/>
        </w:rPr>
        <w:t xml:space="preserve"> grafikas. 201</w:t>
      </w:r>
      <w:r w:rsidR="00697942" w:rsidRPr="00140EB5">
        <w:rPr>
          <w:noProof/>
          <w:color w:val="365F91" w:themeColor="accent1" w:themeShade="BF"/>
          <w:sz w:val="22"/>
          <w:szCs w:val="22"/>
        </w:rPr>
        <w:t>8</w:t>
      </w:r>
      <w:r w:rsidR="00BB5E94" w:rsidRPr="00140EB5">
        <w:rPr>
          <w:noProof/>
          <w:color w:val="365F91" w:themeColor="accent1" w:themeShade="BF"/>
          <w:sz w:val="22"/>
          <w:szCs w:val="22"/>
        </w:rPr>
        <w:t xml:space="preserve"> m. asignavimų </w:t>
      </w:r>
      <w:r w:rsidR="00A92AFF" w:rsidRPr="00140EB5">
        <w:rPr>
          <w:noProof/>
          <w:color w:val="365F91" w:themeColor="accent1" w:themeShade="BF"/>
          <w:sz w:val="22"/>
          <w:szCs w:val="22"/>
        </w:rPr>
        <w:t>plano vykdymas iki 201</w:t>
      </w:r>
      <w:r w:rsidR="00697942" w:rsidRPr="00140EB5">
        <w:rPr>
          <w:noProof/>
          <w:color w:val="365F91" w:themeColor="accent1" w:themeShade="BF"/>
          <w:sz w:val="22"/>
          <w:szCs w:val="22"/>
        </w:rPr>
        <w:t>8</w:t>
      </w:r>
      <w:r w:rsidR="00BB5E94" w:rsidRPr="00140EB5">
        <w:rPr>
          <w:noProof/>
          <w:color w:val="365F91" w:themeColor="accent1" w:themeShade="BF"/>
          <w:sz w:val="22"/>
          <w:szCs w:val="22"/>
        </w:rPr>
        <w:t xml:space="preserve"> m. </w:t>
      </w:r>
      <w:r w:rsidR="009D0B60" w:rsidRPr="00140EB5">
        <w:rPr>
          <w:noProof/>
          <w:color w:val="365F91" w:themeColor="accent1" w:themeShade="BF"/>
          <w:sz w:val="22"/>
          <w:szCs w:val="22"/>
        </w:rPr>
        <w:t xml:space="preserve">rugsėjo </w:t>
      </w:r>
      <w:r w:rsidR="00381044" w:rsidRPr="00140EB5">
        <w:rPr>
          <w:noProof/>
          <w:color w:val="365F91" w:themeColor="accent1" w:themeShade="BF"/>
          <w:sz w:val="22"/>
          <w:szCs w:val="22"/>
        </w:rPr>
        <w:t xml:space="preserve">30 </w:t>
      </w:r>
      <w:r w:rsidR="00BB5E94" w:rsidRPr="00140EB5">
        <w:rPr>
          <w:noProof/>
          <w:color w:val="365F91" w:themeColor="accent1" w:themeShade="BF"/>
          <w:sz w:val="22"/>
          <w:szCs w:val="22"/>
        </w:rPr>
        <w:t>d.</w:t>
      </w:r>
    </w:p>
    <w:p w:rsidR="00BB5E94" w:rsidRPr="00140EB5" w:rsidRDefault="00BB5E94" w:rsidP="00BB5E94">
      <w:pPr>
        <w:pStyle w:val="Antrat"/>
        <w:keepNext/>
        <w:spacing w:after="0"/>
        <w:jc w:val="center"/>
        <w:rPr>
          <w:noProof/>
          <w:color w:val="365F91" w:themeColor="accent1" w:themeShade="BF"/>
          <w:sz w:val="22"/>
          <w:szCs w:val="22"/>
        </w:rPr>
      </w:pPr>
      <w:r w:rsidRPr="00140EB5">
        <w:rPr>
          <w:noProof/>
          <w:color w:val="365F91" w:themeColor="accent1" w:themeShade="BF"/>
          <w:sz w:val="22"/>
          <w:szCs w:val="22"/>
        </w:rPr>
        <w:t>(</w:t>
      </w:r>
      <w:r w:rsidR="00E15489" w:rsidRPr="00140EB5">
        <w:rPr>
          <w:noProof/>
          <w:color w:val="365F91" w:themeColor="accent1" w:themeShade="BF"/>
          <w:sz w:val="22"/>
          <w:szCs w:val="22"/>
        </w:rPr>
        <w:t xml:space="preserve">% ir </w:t>
      </w:r>
      <w:r w:rsidRPr="00140EB5">
        <w:rPr>
          <w:noProof/>
          <w:color w:val="365F91" w:themeColor="accent1" w:themeShade="BF"/>
          <w:sz w:val="22"/>
          <w:szCs w:val="22"/>
        </w:rPr>
        <w:t>mln. eurų )</w:t>
      </w:r>
    </w:p>
    <w:p w:rsidR="00BB5E94" w:rsidRPr="00140EB5" w:rsidRDefault="00BB5E94" w:rsidP="00BB5E94">
      <w:pPr>
        <w:rPr>
          <w:sz w:val="12"/>
        </w:rPr>
      </w:pPr>
    </w:p>
    <w:p w:rsidR="00BB5E94" w:rsidRPr="00140EB5" w:rsidRDefault="00BB5E94" w:rsidP="00BB5E94">
      <w:pPr>
        <w:rPr>
          <w:sz w:val="2"/>
        </w:rPr>
      </w:pPr>
    </w:p>
    <w:p w:rsidR="00BB5E94" w:rsidRPr="00140EB5" w:rsidRDefault="00BB5E94" w:rsidP="00BB5E94">
      <w:pPr>
        <w:rPr>
          <w:sz w:val="2"/>
        </w:rPr>
      </w:pPr>
    </w:p>
    <w:p w:rsidR="00A92AFF" w:rsidRPr="00140EB5" w:rsidRDefault="00562800" w:rsidP="00A92AFF">
      <w:pPr>
        <w:spacing w:after="200" w:line="276" w:lineRule="auto"/>
        <w:jc w:val="center"/>
        <w:rPr>
          <w:noProof/>
          <w:color w:val="365F91" w:themeColor="accent1" w:themeShade="BF"/>
          <w:sz w:val="22"/>
          <w:szCs w:val="22"/>
        </w:rPr>
      </w:pPr>
      <w:r w:rsidRPr="00140EB5">
        <w:rPr>
          <w:noProof/>
          <w:lang w:eastAsia="lt-LT"/>
        </w:rPr>
        <w:drawing>
          <wp:inline distT="0" distB="0" distL="0" distR="0" wp14:anchorId="379851EE" wp14:editId="698BE0BD">
            <wp:extent cx="6105525" cy="3590925"/>
            <wp:effectExtent l="0" t="0" r="9525" b="9525"/>
            <wp:docPr id="6" name="Diagrama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BB5E94" w:rsidRPr="00A76DAB" w:rsidRDefault="00AE0FD7" w:rsidP="00AA06DF">
      <w:pPr>
        <w:pStyle w:val="tekstas"/>
        <w:rPr>
          <w:lang w:eastAsia="lt-LT"/>
        </w:rPr>
      </w:pPr>
      <w:r w:rsidRPr="00140EB5">
        <w:rPr>
          <w:lang w:eastAsia="lt-LT"/>
        </w:rPr>
        <w:t xml:space="preserve">2018 m. valstybės biudžete numatyta apie 1 mlrd. eurų ES fondų lėšų. </w:t>
      </w:r>
      <w:r w:rsidR="009D0B60" w:rsidRPr="00140EB5">
        <w:rPr>
          <w:lang w:eastAsia="lt-LT"/>
        </w:rPr>
        <w:t xml:space="preserve">Iki </w:t>
      </w:r>
      <w:r w:rsidR="00314522" w:rsidRPr="00140EB5">
        <w:rPr>
          <w:lang w:eastAsia="lt-LT"/>
        </w:rPr>
        <w:t xml:space="preserve">2018 m. </w:t>
      </w:r>
      <w:r w:rsidR="009D0B60" w:rsidRPr="00140EB5">
        <w:rPr>
          <w:lang w:eastAsia="lt-LT"/>
        </w:rPr>
        <w:t xml:space="preserve">III </w:t>
      </w:r>
      <w:proofErr w:type="spellStart"/>
      <w:r w:rsidR="009D0B60" w:rsidRPr="00140EB5">
        <w:rPr>
          <w:lang w:eastAsia="lt-LT"/>
        </w:rPr>
        <w:t>ketv</w:t>
      </w:r>
      <w:proofErr w:type="spellEnd"/>
      <w:r w:rsidR="009D0B60" w:rsidRPr="00140EB5">
        <w:rPr>
          <w:lang w:eastAsia="lt-LT"/>
        </w:rPr>
        <w:t>. pabaigos</w:t>
      </w:r>
      <w:r w:rsidR="00412A12" w:rsidRPr="00140EB5">
        <w:rPr>
          <w:lang w:eastAsia="lt-LT"/>
        </w:rPr>
        <w:t xml:space="preserve"> išmokėt</w:t>
      </w:r>
      <w:r w:rsidR="009D0B60" w:rsidRPr="00140EB5">
        <w:rPr>
          <w:lang w:eastAsia="lt-LT"/>
        </w:rPr>
        <w:t>a</w:t>
      </w:r>
      <w:r w:rsidR="00412A12" w:rsidRPr="00140EB5">
        <w:rPr>
          <w:lang w:eastAsia="lt-LT"/>
        </w:rPr>
        <w:t xml:space="preserve"> </w:t>
      </w:r>
      <w:r w:rsidR="009D0B60" w:rsidRPr="00140EB5">
        <w:rPr>
          <w:lang w:eastAsia="lt-LT"/>
        </w:rPr>
        <w:t>392</w:t>
      </w:r>
      <w:r w:rsidR="00BF48A5" w:rsidRPr="00140EB5">
        <w:rPr>
          <w:lang w:eastAsia="lt-LT"/>
        </w:rPr>
        <w:t xml:space="preserve"> </w:t>
      </w:r>
      <w:r w:rsidR="00314522" w:rsidRPr="00140EB5">
        <w:rPr>
          <w:lang w:eastAsia="lt-LT"/>
        </w:rPr>
        <w:t xml:space="preserve">mln. eurų ES fondų lėšų, tai sudaro </w:t>
      </w:r>
      <w:r w:rsidR="005E427A" w:rsidRPr="00140EB5">
        <w:rPr>
          <w:lang w:eastAsia="lt-LT"/>
        </w:rPr>
        <w:t xml:space="preserve">39 </w:t>
      </w:r>
      <w:r w:rsidR="00314522" w:rsidRPr="00140EB5">
        <w:rPr>
          <w:lang w:eastAsia="lt-LT"/>
        </w:rPr>
        <w:t>proc. 2018 m. asignavimų plano</w:t>
      </w:r>
      <w:r w:rsidR="00427C59" w:rsidRPr="00140EB5">
        <w:rPr>
          <w:lang w:eastAsia="lt-LT"/>
        </w:rPr>
        <w:t xml:space="preserve"> (žr. 4</w:t>
      </w:r>
      <w:r w:rsidR="00566A39" w:rsidRPr="00140EB5">
        <w:rPr>
          <w:lang w:eastAsia="lt-LT"/>
        </w:rPr>
        <w:t xml:space="preserve"> grafiką)</w:t>
      </w:r>
      <w:r w:rsidR="00314522" w:rsidRPr="00140EB5">
        <w:rPr>
          <w:lang w:eastAsia="lt-LT"/>
        </w:rPr>
        <w:t>.</w:t>
      </w:r>
      <w:r w:rsidR="00314522" w:rsidRPr="00A76DAB">
        <w:rPr>
          <w:lang w:eastAsia="lt-LT"/>
        </w:rPr>
        <w:t xml:space="preserve"> </w:t>
      </w:r>
    </w:p>
    <w:p w:rsidR="00384285" w:rsidRPr="00A76DAB" w:rsidRDefault="00F6099D" w:rsidP="00D93EF4">
      <w:pPr>
        <w:pStyle w:val="tekstas"/>
        <w:rPr>
          <w:lang w:eastAsia="lt-LT"/>
        </w:rPr>
      </w:pPr>
      <w:r>
        <w:rPr>
          <w:lang w:eastAsia="lt-LT"/>
        </w:rPr>
        <w:t xml:space="preserve">Per 2018 m. III </w:t>
      </w:r>
      <w:proofErr w:type="spellStart"/>
      <w:r>
        <w:rPr>
          <w:lang w:eastAsia="lt-LT"/>
        </w:rPr>
        <w:t>ketv</w:t>
      </w:r>
      <w:proofErr w:type="spellEnd"/>
      <w:r>
        <w:rPr>
          <w:lang w:eastAsia="lt-LT"/>
        </w:rPr>
        <w:t>.</w:t>
      </w:r>
      <w:r w:rsidR="00AE0FD7" w:rsidRPr="00A76DAB">
        <w:rPr>
          <w:lang w:eastAsia="lt-LT"/>
        </w:rPr>
        <w:t xml:space="preserve"> pažymėtini šie pasiekimai</w:t>
      </w:r>
      <w:r w:rsidR="00384285" w:rsidRPr="00A76DAB">
        <w:rPr>
          <w:lang w:eastAsia="lt-LT"/>
        </w:rPr>
        <w:t>:</w:t>
      </w:r>
    </w:p>
    <w:p w:rsidR="003E520E" w:rsidRDefault="003E520E" w:rsidP="003E520E">
      <w:pPr>
        <w:pStyle w:val="tekstas"/>
        <w:numPr>
          <w:ilvl w:val="0"/>
          <w:numId w:val="55"/>
        </w:numPr>
      </w:pPr>
      <w:r w:rsidRPr="003E520E">
        <w:t>2018 m. liepos 13 d. patvirtinta Kultūros paso koncepcija. Suteikus mokiniams galimybę nemokamai dalyvauti kultūros ir meno renginiuose, siekiama ugdyti mokinių kultūros suvokimą, meninį skonį, išbandyti kitokius mokymosi būdus bei padaryti ugdymo procesą įdomesnį ir įvairesnį.</w:t>
      </w:r>
    </w:p>
    <w:p w:rsidR="003E520E" w:rsidRPr="006F52E0" w:rsidRDefault="003E520E" w:rsidP="003E520E">
      <w:pPr>
        <w:pStyle w:val="tekstas"/>
        <w:numPr>
          <w:ilvl w:val="0"/>
          <w:numId w:val="55"/>
        </w:numPr>
      </w:pPr>
      <w:r w:rsidRPr="002B4D00">
        <w:t xml:space="preserve">2018 m. rugpjūčio 10 d. pasirašyta IVPK projekto „Valstybės </w:t>
      </w:r>
      <w:proofErr w:type="spellStart"/>
      <w:r w:rsidRPr="002B4D00">
        <w:t>debesijos</w:t>
      </w:r>
      <w:proofErr w:type="spellEnd"/>
      <w:r w:rsidRPr="002B4D00">
        <w:t xml:space="preserve"> paslaugų teikimo infrastruktūros sukūrimas“ (projektas skirtas valstybės IT infrastruktūros konsolidavimo reformai įgyvendinti) sutartis (projekto vertė – 35,7 mln. </w:t>
      </w:r>
      <w:r w:rsidR="000B7F6C">
        <w:t>eurų</w:t>
      </w:r>
      <w:r w:rsidRPr="002B4D00">
        <w:t>).</w:t>
      </w:r>
      <w:r>
        <w:t xml:space="preserve"> </w:t>
      </w:r>
      <w:r w:rsidRPr="002B4D00">
        <w:t xml:space="preserve">2018 m. spalio 12 d. baigta valstybės pagalbos </w:t>
      </w:r>
      <w:proofErr w:type="spellStart"/>
      <w:r w:rsidRPr="002B4D00">
        <w:t>notifikavimo</w:t>
      </w:r>
      <w:proofErr w:type="spellEnd"/>
      <w:r w:rsidRPr="002B4D00">
        <w:t xml:space="preserve"> procedūra (gautas Europos Komisijos sprendimas) dėl priemonės „Naujos kartos prieigos plėtra“ (RAIN3 projektas).</w:t>
      </w:r>
    </w:p>
    <w:p w:rsidR="003E520E" w:rsidRDefault="00D35678" w:rsidP="003E520E">
      <w:pPr>
        <w:pStyle w:val="tekstas"/>
        <w:numPr>
          <w:ilvl w:val="0"/>
          <w:numId w:val="55"/>
        </w:numPr>
      </w:pPr>
      <w:r>
        <w:t xml:space="preserve">Spalio mėn. Vyriausybė suteikė Nacionalinės plėtros institucijos (NPĮ) </w:t>
      </w:r>
      <w:r w:rsidR="00470B37">
        <w:t xml:space="preserve">statusą </w:t>
      </w:r>
      <w:r>
        <w:t xml:space="preserve">trims finansų įstaigoms: </w:t>
      </w:r>
      <w:proofErr w:type="spellStart"/>
      <w:r>
        <w:t>Invega</w:t>
      </w:r>
      <w:proofErr w:type="spellEnd"/>
      <w:r>
        <w:t>, VIPA ir Žemės ūkio paskolų garantijų fondui</w:t>
      </w:r>
      <w:r w:rsidR="003E520E">
        <w:t>.</w:t>
      </w:r>
    </w:p>
    <w:p w:rsidR="009D4F4A" w:rsidRDefault="00D00C47" w:rsidP="002B4D00">
      <w:pPr>
        <w:pStyle w:val="tekstas"/>
        <w:numPr>
          <w:ilvl w:val="0"/>
          <w:numId w:val="55"/>
        </w:numPr>
      </w:pPr>
      <w:r w:rsidRPr="006F52E0">
        <w:t xml:space="preserve">Seimas 2018 m. rugsėjo 20 </w:t>
      </w:r>
      <w:r w:rsidR="003E520E">
        <w:t xml:space="preserve">d. </w:t>
      </w:r>
      <w:r w:rsidRPr="006F52E0">
        <w:t xml:space="preserve">nutarimu patvirtino Demografijos, migracijos ir integracijos politikos 2018–2030 m. strategiją. </w:t>
      </w:r>
      <w:r w:rsidRPr="002B4D00">
        <w:t xml:space="preserve">Vyriausybei pasiūlyta iki 2018 m. gruodžio 1 d. patvirtinti šios strategijos įgyvendinimo </w:t>
      </w:r>
      <w:proofErr w:type="spellStart"/>
      <w:r w:rsidRPr="002B4D00">
        <w:t>tarpinstitucinį</w:t>
      </w:r>
      <w:proofErr w:type="spellEnd"/>
      <w:r w:rsidRPr="002B4D00">
        <w:t xml:space="preserve"> veiklos planą, priimti teisės aktus, reikalingus šiai strategijai įgyvendinti.</w:t>
      </w:r>
      <w:r w:rsidRPr="006F52E0">
        <w:t xml:space="preserve"> Remiantis šia strategija ir jos priemonių planu bus planuojamos intervencijos, </w:t>
      </w:r>
      <w:r w:rsidR="006B705E" w:rsidRPr="006F52E0">
        <w:t xml:space="preserve">kai kurios iš jų bus </w:t>
      </w:r>
      <w:r w:rsidRPr="006F52E0">
        <w:t>finansuojamos ES fondų lėšomis (</w:t>
      </w:r>
      <w:r w:rsidR="006B705E" w:rsidRPr="006F52E0">
        <w:t>tuo tikslu Socialinės apsaugos ir darbo ministerijai š.m. balandį papildomai skirta</w:t>
      </w:r>
      <w:r w:rsidRPr="006F52E0">
        <w:t xml:space="preserve"> 22 mln. eurų ES lėšų).</w:t>
      </w:r>
    </w:p>
    <w:p w:rsidR="0092385C" w:rsidRPr="006F52E0" w:rsidRDefault="0092385C" w:rsidP="0092385C">
      <w:pPr>
        <w:pStyle w:val="tekstas"/>
        <w:numPr>
          <w:ilvl w:val="0"/>
          <w:numId w:val="55"/>
        </w:numPr>
      </w:pPr>
      <w:r>
        <w:t xml:space="preserve">Skirta papildoma </w:t>
      </w:r>
      <w:r w:rsidRPr="0092385C">
        <w:t xml:space="preserve">100 mln. </w:t>
      </w:r>
      <w:r w:rsidR="000B7F6C">
        <w:t>eurų</w:t>
      </w:r>
      <w:r w:rsidRPr="0092385C">
        <w:t xml:space="preserve"> investicija daugiab</w:t>
      </w:r>
      <w:r>
        <w:t>učių namų atnaujinimo projektams finansuoti</w:t>
      </w:r>
      <w:r w:rsidRPr="0092385C">
        <w:t xml:space="preserve">. Už šias lėšas VIPA valdomas Daugiabučių </w:t>
      </w:r>
      <w:r>
        <w:t>namų modernizavimo fondas</w:t>
      </w:r>
      <w:r w:rsidRPr="0092385C">
        <w:t xml:space="preserve"> planuoja atnaujinti kelis šimtus daugiabučių namų.</w:t>
      </w:r>
    </w:p>
    <w:p w:rsidR="00174A8C" w:rsidRPr="009E053D" w:rsidRDefault="00174A8C" w:rsidP="00174A8C">
      <w:pPr>
        <w:pStyle w:val="tekstas"/>
        <w:numPr>
          <w:ilvl w:val="0"/>
          <w:numId w:val="55"/>
        </w:numPr>
      </w:pPr>
      <w:r>
        <w:lastRenderedPageBreak/>
        <w:t xml:space="preserve">Baigtas Kultūros paveldo fondo finansinės priemonės „Paskolos kultūros paveldui aktualizuoti, finansuojamos iš Europos regioninės plėtros fondo“ </w:t>
      </w:r>
      <w:r w:rsidR="001A2317">
        <w:t>finansų</w:t>
      </w:r>
      <w:r w:rsidR="00624ED5">
        <w:t xml:space="preserve"> tarpininko atranka</w:t>
      </w:r>
      <w:r>
        <w:t>. Laimėtoju pripažintas AB Šiaulių bankas.</w:t>
      </w:r>
      <w:r w:rsidR="00624ED5">
        <w:t xml:space="preserve"> </w:t>
      </w:r>
      <w:r w:rsidR="00624ED5" w:rsidRPr="009E053D">
        <w:t>P</w:t>
      </w:r>
      <w:r w:rsidR="009E053D" w:rsidRPr="009E053D">
        <w:t xml:space="preserve">irmas paskolas planuojama pradėti teikti 2019 m. III </w:t>
      </w:r>
      <w:proofErr w:type="spellStart"/>
      <w:r w:rsidR="009E053D" w:rsidRPr="009E053D">
        <w:t>ketv</w:t>
      </w:r>
      <w:proofErr w:type="spellEnd"/>
      <w:r w:rsidR="009E053D" w:rsidRPr="009E053D">
        <w:t>.</w:t>
      </w:r>
    </w:p>
    <w:p w:rsidR="00174A8C" w:rsidRDefault="00174A8C" w:rsidP="00174A8C">
      <w:pPr>
        <w:pStyle w:val="tekstas"/>
        <w:numPr>
          <w:ilvl w:val="0"/>
          <w:numId w:val="55"/>
        </w:numPr>
      </w:pPr>
      <w:r w:rsidRPr="00174A8C">
        <w:t>Švietimo ir mokslo ministerija patvirtino 10,9 mln. eurų finansavimą 48 proj</w:t>
      </w:r>
      <w:r>
        <w:t>ektams įgyvendinantiems priemonę, skirtą n</w:t>
      </w:r>
      <w:r w:rsidRPr="00174A8C">
        <w:t>evalstybinių neformaliojo vaikų švietimo erdvių, valstybinių ir neval</w:t>
      </w:r>
      <w:r>
        <w:t>stybinių mokyklų modernizavimui</w:t>
      </w:r>
      <w:r w:rsidRPr="00174A8C">
        <w:t>.</w:t>
      </w:r>
    </w:p>
    <w:p w:rsidR="005D5E4E" w:rsidRPr="006F52E0" w:rsidRDefault="005D5E4E" w:rsidP="005D5E4E">
      <w:pPr>
        <w:pStyle w:val="tekstas"/>
        <w:numPr>
          <w:ilvl w:val="0"/>
          <w:numId w:val="55"/>
        </w:numPr>
      </w:pPr>
      <w:r w:rsidRPr="006F52E0">
        <w:t xml:space="preserve">Transporto srityje </w:t>
      </w:r>
      <w:r w:rsidR="00AA0042" w:rsidRPr="006F52E0">
        <w:t xml:space="preserve">pasirašyta sutartis už 13,0 mln. eurų inžinerinių eismo saugumo priemonių diegimui krašto ir rajoniniuose keliuose.  </w:t>
      </w:r>
    </w:p>
    <w:p w:rsidR="00264F29" w:rsidRPr="002B4D00" w:rsidRDefault="00264F29" w:rsidP="00264F29">
      <w:pPr>
        <w:pStyle w:val="tekstas"/>
        <w:numPr>
          <w:ilvl w:val="0"/>
          <w:numId w:val="55"/>
        </w:numPr>
      </w:pPr>
      <w:r>
        <w:t>Pasirašyta 13,1 mln. eurų sutartis projektui, skirtam e</w:t>
      </w:r>
      <w:r w:rsidRPr="007302F5">
        <w:t xml:space="preserve">lektros skirstomųjų </w:t>
      </w:r>
      <w:r>
        <w:t>tinklų modernizavimui</w:t>
      </w:r>
      <w:r w:rsidRPr="007302F5">
        <w:t xml:space="preserve"> ir plėtra</w:t>
      </w:r>
      <w:r>
        <w:t>i.</w:t>
      </w:r>
    </w:p>
    <w:p w:rsidR="007E21B7" w:rsidRPr="002B4D00" w:rsidRDefault="007E21B7" w:rsidP="007E21B7">
      <w:pPr>
        <w:pStyle w:val="tekstas"/>
        <w:numPr>
          <w:ilvl w:val="0"/>
          <w:numId w:val="55"/>
        </w:numPr>
      </w:pPr>
      <w:r>
        <w:t>P</w:t>
      </w:r>
      <w:r w:rsidRPr="007E21B7">
        <w:t>askelbtas kvietimas už 10 mln. eurų teikti paraiškas viešųjų valstybės valdomų pastatų modernizavimo projektams, finansuojant juos paskola iš Energijos efektyvumo fondo kartu su gražinamąja subsidija.</w:t>
      </w:r>
    </w:p>
    <w:p w:rsidR="007302F5" w:rsidRPr="002B4D00" w:rsidRDefault="007302F5" w:rsidP="007302F5">
      <w:pPr>
        <w:pStyle w:val="tekstas"/>
        <w:numPr>
          <w:ilvl w:val="0"/>
          <w:numId w:val="55"/>
        </w:numPr>
      </w:pPr>
      <w:r>
        <w:t>P</w:t>
      </w:r>
      <w:r w:rsidRPr="007302F5">
        <w:t>askelbtas kvietimas už 6,8 mln. eurų teikti paraiškas pagal biokurą naudojančių šilumos gamybos įrenginių keitimo priemonę.</w:t>
      </w:r>
    </w:p>
    <w:p w:rsidR="00BB346C" w:rsidRPr="002B4D00" w:rsidRDefault="00912F30" w:rsidP="002B4D00">
      <w:pPr>
        <w:pStyle w:val="tekstas"/>
        <w:numPr>
          <w:ilvl w:val="0"/>
          <w:numId w:val="55"/>
        </w:numPr>
      </w:pPr>
      <w:r w:rsidRPr="002B4D00">
        <w:t>Siekiant energijos efektyvumo didinimo</w:t>
      </w:r>
      <w:r w:rsidRPr="002B4D00" w:rsidDel="00912F30">
        <w:t xml:space="preserve"> </w:t>
      </w:r>
      <w:r w:rsidR="00BB346C" w:rsidRPr="002B4D00">
        <w:t>sudarytas renovuojamų daugiabučių namų atnaujinimo (modernizavimo) projektų sąrašas už 48,8 mln. eurų, pagal kurį bus finansuojamos renovuojamų daugiabučių techninės dokumentacijos parengimo bei renovacijos išlaidos.</w:t>
      </w:r>
    </w:p>
    <w:p w:rsidR="00BB346C" w:rsidRDefault="00264F29" w:rsidP="002B4D00">
      <w:pPr>
        <w:pStyle w:val="tekstas"/>
        <w:numPr>
          <w:ilvl w:val="0"/>
          <w:numId w:val="55"/>
        </w:numPr>
      </w:pPr>
      <w:r>
        <w:t xml:space="preserve">Aplinkosaugos srityje </w:t>
      </w:r>
      <w:r w:rsidR="00BB346C" w:rsidRPr="00AC0B25">
        <w:t>patvirtintas potvynių rizikos valdymo priemonių p</w:t>
      </w:r>
      <w:r w:rsidR="002B4D00">
        <w:t>rojektų sąrašas už 10,5 mln. eurų</w:t>
      </w:r>
      <w:r>
        <w:t xml:space="preserve">. Projektus įgyvendinusios </w:t>
      </w:r>
      <w:r w:rsidR="00BB346C" w:rsidRPr="00BB346C">
        <w:t>savivaldybės</w:t>
      </w:r>
      <w:r w:rsidR="00BB346C">
        <w:t xml:space="preserve"> sumažins</w:t>
      </w:r>
      <w:r w:rsidR="00BB346C" w:rsidRPr="00BB346C">
        <w:t xml:space="preserve"> n</w:t>
      </w:r>
      <w:r w:rsidR="00BB346C" w:rsidRPr="006F52E0">
        <w:t>eigiamus potvynių padarinius ekonominei veiklai.</w:t>
      </w:r>
    </w:p>
    <w:p w:rsidR="001F3196" w:rsidRDefault="00264F29" w:rsidP="001F3196">
      <w:pPr>
        <w:pStyle w:val="tekstas"/>
        <w:numPr>
          <w:ilvl w:val="0"/>
          <w:numId w:val="55"/>
        </w:numPr>
      </w:pPr>
      <w:r>
        <w:t xml:space="preserve">Sveikatos apsaugos srityje į </w:t>
      </w:r>
      <w:r w:rsidR="001F3196">
        <w:t xml:space="preserve">valstybės projektų sąrašus </w:t>
      </w:r>
      <w:r w:rsidR="001F3196" w:rsidRPr="001F3196">
        <w:t xml:space="preserve">įtraukti projektai skirti Respublikinio priklausomybės ligų centro infrastruktūrai modernizuoti (4,5 mln. eurų ES lėšų), </w:t>
      </w:r>
      <w:proofErr w:type="spellStart"/>
      <w:r w:rsidR="001F3196" w:rsidRPr="001F3196">
        <w:t>inovatyvios</w:t>
      </w:r>
      <w:proofErr w:type="spellEnd"/>
      <w:r w:rsidR="001F3196" w:rsidRPr="001F3196">
        <w:t xml:space="preserve"> onkologinių ligų medicinos įrangos įsigijimui VUL Santaros klinikose (3,4 mln. eurų ES lėšų) ir onkologinių ligų prevencijos, ankstyvos diagnostikos ir gydymo paslaugų infrastruktūros atnaujinimui </w:t>
      </w:r>
      <w:proofErr w:type="gramStart"/>
      <w:r w:rsidR="001F3196" w:rsidRPr="001F3196">
        <w:t>(</w:t>
      </w:r>
      <w:proofErr w:type="gramEnd"/>
      <w:r w:rsidR="001F3196" w:rsidRPr="001F3196">
        <w:t>2 mln. eurų ES lėšų)</w:t>
      </w:r>
      <w:r w:rsidR="001F3196">
        <w:t xml:space="preserve">. </w:t>
      </w:r>
      <w:r w:rsidR="001F3196" w:rsidRPr="001F3196">
        <w:t>Taip pat, pirminės asmens sveikatos priežiūros srityje sudaryta regionų projektų sąrašų už 23,4 mln.</w:t>
      </w:r>
      <w:r>
        <w:t xml:space="preserve"> eurų. </w:t>
      </w:r>
    </w:p>
    <w:p w:rsidR="00B6566A" w:rsidRDefault="00B6566A" w:rsidP="00B6566A">
      <w:pPr>
        <w:pStyle w:val="tekstas"/>
        <w:numPr>
          <w:ilvl w:val="0"/>
          <w:numId w:val="55"/>
        </w:numPr>
      </w:pPr>
      <w:r w:rsidRPr="00B6566A">
        <w:t xml:space="preserve">Liepos mėn. startavo viešinimo kampanija „Aš tavo kaimynas – nerūšiuok manęs“, skirta tolerancijos skatinimui visuomenėje socialinio būsto gyventojams. Ši kampanija inicijuota, siekiant šviesti savivaldybių gyventojus bei keisti jų neigiamas nuostatas apie socialinio būsto gyventojus, parodant, kad šie žmonės yra labai įvairūs, o ne vien tik socialinės rizikos asmenys, turintys įvairių priklausomybių ir pan. Ši kampanija papildo ES lėšomis finansuojamą priemonę „Socialinio būsto fondo plėtra“, pagal kurią savivaldybėms finansuojamas naujų socialinių būstų įsigijimas (pirkimas, statyba arba pritaikymas). Kampaniją įgyvendina </w:t>
      </w:r>
      <w:proofErr w:type="spellStart"/>
      <w:r w:rsidRPr="00B6566A">
        <w:t>VšĮ</w:t>
      </w:r>
      <w:proofErr w:type="spellEnd"/>
      <w:r w:rsidRPr="00B6566A">
        <w:t xml:space="preserve"> Centrinė projektų valdymo agentūra, bendradarbiaudama su Socialinės apsaugos ir darbo ministerija.</w:t>
      </w:r>
    </w:p>
    <w:p w:rsidR="001F3594" w:rsidRPr="00D65621" w:rsidRDefault="001F3594" w:rsidP="001F3594">
      <w:pPr>
        <w:pStyle w:val="Antrat1"/>
      </w:pPr>
      <w:bookmarkStart w:id="8" w:name="_Toc512504075"/>
      <w:bookmarkStart w:id="9" w:name="_Toc473644123"/>
      <w:bookmarkStart w:id="10" w:name="_Toc512504074"/>
      <w:bookmarkStart w:id="11" w:name="_Toc528660891"/>
      <w:bookmarkEnd w:id="0"/>
      <w:bookmarkEnd w:id="8"/>
      <w:r w:rsidRPr="00D65621">
        <w:t>Veiksmų programos įgyvendinimo rizikos</w:t>
      </w:r>
      <w:bookmarkEnd w:id="9"/>
      <w:bookmarkEnd w:id="10"/>
      <w:bookmarkEnd w:id="11"/>
    </w:p>
    <w:p w:rsidR="00786DBD" w:rsidRPr="00286FAB" w:rsidRDefault="001F3594" w:rsidP="001F3594">
      <w:pPr>
        <w:ind w:firstLine="567"/>
        <w:jc w:val="both"/>
        <w:rPr>
          <w:rFonts w:asciiTheme="minorHAnsi" w:hAnsiTheme="minorHAnsi"/>
          <w:color w:val="666666"/>
          <w:szCs w:val="24"/>
          <w:lang w:eastAsia="lt-LT"/>
        </w:rPr>
      </w:pPr>
      <w:r w:rsidRPr="00286FAB">
        <w:rPr>
          <w:rFonts w:asciiTheme="minorHAnsi" w:hAnsiTheme="minorHAnsi"/>
          <w:color w:val="666666"/>
          <w:szCs w:val="24"/>
          <w:lang w:eastAsia="lt-LT"/>
        </w:rPr>
        <w:t xml:space="preserve">2019 m. EK atliks Veiksmų programos įgyvendinimo </w:t>
      </w:r>
      <w:r w:rsidR="00132EE5" w:rsidRPr="00286FAB">
        <w:rPr>
          <w:rFonts w:asciiTheme="minorHAnsi" w:hAnsiTheme="minorHAnsi"/>
          <w:color w:val="666666"/>
          <w:szCs w:val="24"/>
          <w:lang w:eastAsia="lt-LT"/>
        </w:rPr>
        <w:t xml:space="preserve">peržiūrą, siekdama įsitikinti, ar </w:t>
      </w:r>
      <w:r w:rsidRPr="00286FAB">
        <w:rPr>
          <w:rFonts w:asciiTheme="minorHAnsi" w:hAnsiTheme="minorHAnsi"/>
          <w:color w:val="666666"/>
          <w:szCs w:val="24"/>
          <w:lang w:eastAsia="lt-LT"/>
        </w:rPr>
        <w:t>pasiektos Veiksmų programoje nustatytų finansinių ir fizinių rodiklių 2018 m. siektinos reikšmės</w:t>
      </w:r>
      <w:r w:rsidR="00286FAB" w:rsidRPr="00286FAB">
        <w:rPr>
          <w:rFonts w:asciiTheme="minorHAnsi" w:hAnsiTheme="minorHAnsi"/>
          <w:color w:val="666666"/>
          <w:szCs w:val="24"/>
          <w:lang w:eastAsia="lt-LT"/>
        </w:rPr>
        <w:t>.</w:t>
      </w:r>
      <w:r w:rsidRPr="00286FAB">
        <w:rPr>
          <w:rFonts w:asciiTheme="minorHAnsi" w:hAnsiTheme="minorHAnsi"/>
          <w:color w:val="666666"/>
          <w:szCs w:val="24"/>
          <w:lang w:eastAsia="lt-LT"/>
        </w:rPr>
        <w:t xml:space="preserve"> </w:t>
      </w:r>
    </w:p>
    <w:p w:rsidR="00933B23" w:rsidRDefault="00933B23" w:rsidP="00933B23">
      <w:pPr>
        <w:pStyle w:val="tekstas"/>
      </w:pPr>
      <w:r>
        <w:t xml:space="preserve">Primename, kad </w:t>
      </w:r>
      <w:r w:rsidRPr="00AF4A35">
        <w:t xml:space="preserve">rodiklių (finansinių ir fizinių) 2018 m. siektinos reikšmės laikomos pasiektomis, kai 2018 m. </w:t>
      </w:r>
      <w:r>
        <w:t>pabaigoje jie pasiekia bent 85 proc.</w:t>
      </w:r>
      <w:r w:rsidRPr="00AF4A35">
        <w:t xml:space="preserve"> nustatytos tarpinės reikšmės. Nukrypstant nuo šios nuostatos, kai į veiklos rezultatų planą įtraukti trys ar daugiau rodiklių, siektinos reikšmės gali būti laikomos pasiektomis, jeigu visi rodikliai, išskyrus vieną, 2018 m. </w:t>
      </w:r>
      <w:r>
        <w:lastRenderedPageBreak/>
        <w:t>pabaigoje atitinka 85 proc.</w:t>
      </w:r>
      <w:r w:rsidRPr="00AF4A35">
        <w:t xml:space="preserve"> nu</w:t>
      </w:r>
      <w:r>
        <w:t>statytos tarpinės reikšmės. 85 proc.</w:t>
      </w:r>
      <w:r w:rsidRPr="00AF4A35">
        <w:t xml:space="preserve"> tarpinės reikšmės neatitinkantis rodiklis t</w:t>
      </w:r>
      <w:r>
        <w:t>uri atitikti ne mažiau kaip 75 proc.</w:t>
      </w:r>
      <w:r w:rsidRPr="00AF4A35">
        <w:t xml:space="preserve"> nustatytos tarpinės reikšmės. Jei šie rodikliai nebus pasiekti, Veiksmų programos prioritetas praranda 6 proc. prioriteto lėšų (veiklos peržiūros rezervą), kurie galės būti perskirstyti rodiklius pasiekusiems prioritetams.</w:t>
      </w:r>
    </w:p>
    <w:p w:rsidR="00933B23" w:rsidRDefault="00933B23" w:rsidP="00933B23">
      <w:pPr>
        <w:pStyle w:val="tekstas"/>
      </w:pPr>
      <w:r>
        <w:t xml:space="preserve">Taip pat primename, kad </w:t>
      </w:r>
      <w:r w:rsidRPr="005C1FD7">
        <w:t>finansinis rodiklis</w:t>
      </w:r>
      <w:r w:rsidRPr="00AF4A35">
        <w:t xml:space="preserve"> numato tam tikrą bendrų tinkamų finansuoti lėšų sumą, kuri turi būti </w:t>
      </w:r>
      <w:r w:rsidRPr="00AF4A35">
        <w:rPr>
          <w:b/>
        </w:rPr>
        <w:t>deklaruota EK</w:t>
      </w:r>
      <w:r>
        <w:t xml:space="preserve"> </w:t>
      </w:r>
      <w:r w:rsidRPr="00AF4A35">
        <w:t xml:space="preserve">iki 2018 m. pab. Atsižvelgiant į tai, </w:t>
      </w:r>
      <w:r>
        <w:t xml:space="preserve">kad deklaravimo procedūros yra sudėtingos ir reikalauja laiko, </w:t>
      </w:r>
      <w:r w:rsidRPr="00AF4A35">
        <w:t xml:space="preserve">veiklos peržiūros plano rodiklyje nurodyta lėšų suma turi būti </w:t>
      </w:r>
      <w:r>
        <w:t xml:space="preserve">išmokėta projektų vykdytojams ir </w:t>
      </w:r>
      <w:r w:rsidRPr="00AF4A35">
        <w:t>pr</w:t>
      </w:r>
      <w:r>
        <w:t>ip</w:t>
      </w:r>
      <w:r w:rsidRPr="00AF4A35">
        <w:t xml:space="preserve">ažinta deklaruotina </w:t>
      </w:r>
      <w:r w:rsidRPr="00AF4A35">
        <w:rPr>
          <w:b/>
        </w:rPr>
        <w:t>iki 2018 m. lapkričio 30 d.</w:t>
      </w:r>
    </w:p>
    <w:p w:rsidR="00786DBD" w:rsidRDefault="00286FAB" w:rsidP="00B1439D">
      <w:pPr>
        <w:pStyle w:val="tekstas"/>
        <w:rPr>
          <w:lang w:eastAsia="lt-LT"/>
        </w:rPr>
      </w:pPr>
      <w:r w:rsidRPr="00286FAB">
        <w:rPr>
          <w:lang w:eastAsia="lt-LT"/>
        </w:rPr>
        <w:t>1 lentelėje</w:t>
      </w:r>
      <w:r w:rsidR="001F3594" w:rsidRPr="00286FAB">
        <w:rPr>
          <w:lang w:eastAsia="lt-LT"/>
        </w:rPr>
        <w:t xml:space="preserve"> pateikiama informacija apie tai, koks yra planuojamas </w:t>
      </w:r>
      <w:r w:rsidR="001F3594" w:rsidRPr="005C1FD7">
        <w:rPr>
          <w:i/>
          <w:lang w:eastAsia="lt-LT"/>
        </w:rPr>
        <w:t>finansinių rodiklių</w:t>
      </w:r>
      <w:r w:rsidR="001F3594" w:rsidRPr="00286FAB">
        <w:rPr>
          <w:lang w:eastAsia="lt-LT"/>
        </w:rPr>
        <w:t xml:space="preserve"> pasiekimas bei nurodoma rizika.</w:t>
      </w:r>
      <w:r w:rsidR="00C86E61">
        <w:rPr>
          <w:lang w:eastAsia="lt-LT"/>
        </w:rPr>
        <w:t xml:space="preserve"> </w:t>
      </w:r>
    </w:p>
    <w:p w:rsidR="00843801" w:rsidRDefault="00843801" w:rsidP="00B1439D">
      <w:pPr>
        <w:pStyle w:val="tekstas"/>
        <w:rPr>
          <w:lang w:eastAsia="lt-LT"/>
        </w:rPr>
      </w:pPr>
    </w:p>
    <w:p w:rsidR="0037767E" w:rsidRDefault="0037767E" w:rsidP="001F3594">
      <w:pPr>
        <w:pStyle w:val="Antrat"/>
        <w:keepNext/>
        <w:jc w:val="center"/>
        <w:rPr>
          <w:noProof/>
          <w:color w:val="365F91" w:themeColor="accent1" w:themeShade="BF"/>
          <w:sz w:val="22"/>
          <w:szCs w:val="22"/>
        </w:rPr>
        <w:sectPr w:rsidR="0037767E" w:rsidSect="00D43DE4">
          <w:headerReference w:type="default" r:id="rId15"/>
          <w:footerReference w:type="default" r:id="rId16"/>
          <w:type w:val="continuous"/>
          <w:pgSz w:w="11906" w:h="16838"/>
          <w:pgMar w:top="1100" w:right="567" w:bottom="1134" w:left="1701" w:header="567" w:footer="567" w:gutter="0"/>
          <w:cols w:space="1296"/>
          <w:titlePg/>
          <w:docGrid w:linePitch="360"/>
        </w:sectPr>
      </w:pPr>
    </w:p>
    <w:p w:rsidR="001F3594" w:rsidRPr="00E21D7F" w:rsidRDefault="001F3594" w:rsidP="001F3594">
      <w:pPr>
        <w:pStyle w:val="Antrat"/>
        <w:keepNext/>
        <w:jc w:val="center"/>
        <w:rPr>
          <w:noProof/>
          <w:color w:val="365F91" w:themeColor="accent1" w:themeShade="BF"/>
          <w:sz w:val="22"/>
          <w:szCs w:val="22"/>
        </w:rPr>
      </w:pPr>
      <w:r w:rsidRPr="00E21D7F">
        <w:rPr>
          <w:noProof/>
          <w:color w:val="365F91" w:themeColor="accent1" w:themeShade="BF"/>
          <w:sz w:val="22"/>
          <w:szCs w:val="22"/>
        </w:rPr>
        <w:lastRenderedPageBreak/>
        <w:t xml:space="preserve">1 lentelė. </w:t>
      </w:r>
      <w:r w:rsidR="000E5DB0">
        <w:rPr>
          <w:noProof/>
          <w:color w:val="365F91" w:themeColor="accent1" w:themeShade="BF"/>
          <w:sz w:val="22"/>
          <w:szCs w:val="22"/>
        </w:rPr>
        <w:t>Rizikingi V</w:t>
      </w:r>
      <w:r w:rsidRPr="00E21D7F">
        <w:rPr>
          <w:noProof/>
          <w:color w:val="365F91" w:themeColor="accent1" w:themeShade="BF"/>
          <w:sz w:val="22"/>
          <w:szCs w:val="22"/>
        </w:rPr>
        <w:t xml:space="preserve">eiksmų programos veiklos peržiūros </w:t>
      </w:r>
      <w:r w:rsidR="007A7626">
        <w:rPr>
          <w:noProof/>
          <w:color w:val="365F91" w:themeColor="accent1" w:themeShade="BF"/>
          <w:sz w:val="22"/>
          <w:szCs w:val="22"/>
        </w:rPr>
        <w:t xml:space="preserve">plano </w:t>
      </w:r>
      <w:r w:rsidR="000E5DB0">
        <w:rPr>
          <w:noProof/>
          <w:color w:val="365F91" w:themeColor="accent1" w:themeShade="BF"/>
          <w:sz w:val="22"/>
          <w:szCs w:val="22"/>
        </w:rPr>
        <w:t>finansiniai</w:t>
      </w:r>
      <w:r w:rsidR="000E5DB0" w:rsidRPr="00E21D7F">
        <w:rPr>
          <w:noProof/>
          <w:color w:val="365F91" w:themeColor="accent1" w:themeShade="BF"/>
          <w:sz w:val="22"/>
          <w:szCs w:val="22"/>
        </w:rPr>
        <w:t xml:space="preserve"> </w:t>
      </w:r>
      <w:r w:rsidR="000E5DB0">
        <w:rPr>
          <w:noProof/>
          <w:color w:val="365F91" w:themeColor="accent1" w:themeShade="BF"/>
          <w:sz w:val="22"/>
          <w:szCs w:val="22"/>
        </w:rPr>
        <w:t>rodikliai</w:t>
      </w:r>
    </w:p>
    <w:tbl>
      <w:tblPr>
        <w:tblW w:w="14474" w:type="dxa"/>
        <w:tblInd w:w="93" w:type="dxa"/>
        <w:tblLayout w:type="fixed"/>
        <w:tblLook w:val="04A0" w:firstRow="1" w:lastRow="0" w:firstColumn="1" w:lastColumn="0" w:noHBand="0" w:noVBand="1"/>
      </w:tblPr>
      <w:tblGrid>
        <w:gridCol w:w="461"/>
        <w:gridCol w:w="688"/>
        <w:gridCol w:w="709"/>
        <w:gridCol w:w="1276"/>
        <w:gridCol w:w="1148"/>
        <w:gridCol w:w="1262"/>
        <w:gridCol w:w="1417"/>
        <w:gridCol w:w="992"/>
        <w:gridCol w:w="1134"/>
        <w:gridCol w:w="567"/>
        <w:gridCol w:w="1276"/>
        <w:gridCol w:w="1276"/>
        <w:gridCol w:w="2268"/>
      </w:tblGrid>
      <w:tr w:rsidR="0037767E" w:rsidRPr="00653DEC" w:rsidTr="000E5DB0">
        <w:trPr>
          <w:trHeight w:val="1636"/>
          <w:tblHeader/>
        </w:trPr>
        <w:tc>
          <w:tcPr>
            <w:tcW w:w="461" w:type="dxa"/>
            <w:vMerge w:val="restart"/>
            <w:tcBorders>
              <w:top w:val="single" w:sz="8" w:space="0" w:color="auto"/>
              <w:left w:val="single" w:sz="8" w:space="0" w:color="auto"/>
              <w:bottom w:val="nil"/>
              <w:right w:val="nil"/>
            </w:tcBorders>
            <w:shd w:val="clear" w:color="auto" w:fill="DBE5F1" w:themeFill="accent1" w:themeFillTint="33"/>
            <w:textDirection w:val="btLr"/>
            <w:vAlign w:val="center"/>
            <w:hideMark/>
          </w:tcPr>
          <w:p w:rsidR="0037767E" w:rsidRPr="00653DEC" w:rsidRDefault="0037767E" w:rsidP="0037767E">
            <w:pPr>
              <w:ind w:left="113" w:right="113"/>
              <w:jc w:val="center"/>
              <w:rPr>
                <w:rFonts w:ascii="Calibri" w:hAnsi="Calibri" w:cs="Calibri"/>
                <w:bCs/>
                <w:color w:val="000000"/>
                <w:sz w:val="14"/>
                <w:szCs w:val="14"/>
                <w:lang w:eastAsia="lt-LT"/>
              </w:rPr>
            </w:pPr>
            <w:bookmarkStart w:id="12" w:name="RANGE!A1:L37"/>
            <w:r w:rsidRPr="00653DEC">
              <w:rPr>
                <w:rFonts w:ascii="Calibri" w:hAnsi="Calibri" w:cs="Calibri"/>
                <w:bCs/>
                <w:color w:val="000000"/>
                <w:sz w:val="14"/>
                <w:szCs w:val="14"/>
                <w:lang w:eastAsia="lt-LT"/>
              </w:rPr>
              <w:t xml:space="preserve">Prioriteto Nr. </w:t>
            </w:r>
            <w:bookmarkEnd w:id="12"/>
          </w:p>
        </w:tc>
        <w:tc>
          <w:tcPr>
            <w:tcW w:w="688" w:type="dxa"/>
            <w:vMerge w:val="restart"/>
            <w:tcBorders>
              <w:top w:val="single" w:sz="8" w:space="0" w:color="auto"/>
              <w:left w:val="single" w:sz="8" w:space="0" w:color="auto"/>
              <w:bottom w:val="single" w:sz="8" w:space="0" w:color="000000"/>
              <w:right w:val="single" w:sz="4" w:space="0" w:color="auto"/>
            </w:tcBorders>
            <w:shd w:val="clear" w:color="auto" w:fill="DBE5F1" w:themeFill="accent1" w:themeFillTint="33"/>
            <w:noWrap/>
            <w:textDirection w:val="btLr"/>
            <w:vAlign w:val="center"/>
            <w:hideMark/>
          </w:tcPr>
          <w:p w:rsidR="0037767E" w:rsidRPr="00653DEC" w:rsidRDefault="0037767E" w:rsidP="0037767E">
            <w:pPr>
              <w:ind w:left="113" w:right="113"/>
              <w:jc w:val="center"/>
              <w:rPr>
                <w:rFonts w:ascii="Calibri" w:hAnsi="Calibri" w:cs="Calibri"/>
                <w:bCs/>
                <w:color w:val="000000"/>
                <w:sz w:val="14"/>
                <w:szCs w:val="14"/>
                <w:lang w:eastAsia="lt-LT"/>
              </w:rPr>
            </w:pPr>
            <w:r w:rsidRPr="00653DEC">
              <w:rPr>
                <w:rFonts w:ascii="Calibri" w:hAnsi="Calibri" w:cs="Calibri"/>
                <w:bCs/>
                <w:color w:val="000000"/>
                <w:sz w:val="14"/>
                <w:szCs w:val="14"/>
                <w:lang w:eastAsia="lt-LT"/>
              </w:rPr>
              <w:t>Ministerija</w:t>
            </w:r>
          </w:p>
        </w:tc>
        <w:tc>
          <w:tcPr>
            <w:tcW w:w="709" w:type="dxa"/>
            <w:vMerge w:val="restart"/>
            <w:tcBorders>
              <w:top w:val="single" w:sz="8" w:space="0" w:color="auto"/>
              <w:left w:val="single" w:sz="4" w:space="0" w:color="auto"/>
              <w:bottom w:val="single" w:sz="8" w:space="0" w:color="000000"/>
              <w:right w:val="single" w:sz="4" w:space="0" w:color="auto"/>
            </w:tcBorders>
            <w:shd w:val="clear" w:color="auto" w:fill="DBE5F1" w:themeFill="accent1" w:themeFillTint="33"/>
            <w:noWrap/>
            <w:textDirection w:val="btLr"/>
            <w:vAlign w:val="center"/>
            <w:hideMark/>
          </w:tcPr>
          <w:p w:rsidR="0037767E" w:rsidRPr="00653DEC" w:rsidRDefault="0037767E" w:rsidP="0037767E">
            <w:pPr>
              <w:ind w:left="113" w:right="113"/>
              <w:jc w:val="center"/>
              <w:rPr>
                <w:rFonts w:ascii="Calibri" w:hAnsi="Calibri" w:cs="Calibri"/>
                <w:bCs/>
                <w:color w:val="000000"/>
                <w:sz w:val="14"/>
                <w:szCs w:val="14"/>
                <w:lang w:eastAsia="lt-LT"/>
              </w:rPr>
            </w:pPr>
            <w:r w:rsidRPr="00653DEC">
              <w:rPr>
                <w:rFonts w:ascii="Calibri" w:hAnsi="Calibri" w:cs="Calibri"/>
                <w:bCs/>
                <w:color w:val="000000"/>
                <w:sz w:val="14"/>
                <w:szCs w:val="14"/>
                <w:lang w:eastAsia="lt-LT"/>
              </w:rPr>
              <w:t>ES fondas</w:t>
            </w:r>
          </w:p>
        </w:tc>
        <w:tc>
          <w:tcPr>
            <w:tcW w:w="1276" w:type="dxa"/>
            <w:vMerge w:val="restart"/>
            <w:tcBorders>
              <w:top w:val="single" w:sz="8" w:space="0" w:color="auto"/>
              <w:left w:val="single" w:sz="4" w:space="0" w:color="auto"/>
              <w:bottom w:val="single" w:sz="8" w:space="0" w:color="000000"/>
              <w:right w:val="single" w:sz="4" w:space="0" w:color="auto"/>
            </w:tcBorders>
            <w:shd w:val="clear" w:color="auto" w:fill="DBE5F1" w:themeFill="accent1" w:themeFillTint="33"/>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 xml:space="preserve">Veiklos peržiūros rodiklis </w:t>
            </w:r>
            <w:r w:rsidRPr="00653DEC">
              <w:rPr>
                <w:rFonts w:ascii="Calibri" w:hAnsi="Calibri" w:cs="Calibri"/>
                <w:b/>
                <w:bCs/>
                <w:color w:val="000000"/>
                <w:sz w:val="14"/>
                <w:szCs w:val="14"/>
                <w:lang w:eastAsia="lt-LT"/>
              </w:rPr>
              <w:t>fondo lygiu</w:t>
            </w:r>
            <w:r w:rsidRPr="00653DEC">
              <w:rPr>
                <w:rFonts w:ascii="Calibri" w:hAnsi="Calibri" w:cs="Calibri"/>
                <w:color w:val="000000"/>
                <w:sz w:val="14"/>
                <w:szCs w:val="14"/>
                <w:lang w:eastAsia="lt-LT"/>
              </w:rPr>
              <w:t>, visos tink</w:t>
            </w:r>
            <w:r w:rsidR="00653DEC">
              <w:rPr>
                <w:rFonts w:ascii="Calibri" w:hAnsi="Calibri" w:cs="Calibri"/>
                <w:color w:val="000000"/>
                <w:sz w:val="14"/>
                <w:szCs w:val="14"/>
                <w:lang w:eastAsia="lt-LT"/>
              </w:rPr>
              <w:t>am</w:t>
            </w:r>
            <w:r w:rsidRPr="00653DEC">
              <w:rPr>
                <w:rFonts w:ascii="Calibri" w:hAnsi="Calibri" w:cs="Calibri"/>
                <w:color w:val="000000"/>
                <w:sz w:val="14"/>
                <w:szCs w:val="14"/>
                <w:lang w:eastAsia="lt-LT"/>
              </w:rPr>
              <w:t>os išlaidos</w:t>
            </w:r>
          </w:p>
        </w:tc>
        <w:tc>
          <w:tcPr>
            <w:tcW w:w="1148" w:type="dxa"/>
            <w:vMerge w:val="restart"/>
            <w:tcBorders>
              <w:top w:val="single" w:sz="8" w:space="0" w:color="auto"/>
              <w:left w:val="single" w:sz="4" w:space="0" w:color="auto"/>
              <w:bottom w:val="single" w:sz="8" w:space="0" w:color="000000"/>
              <w:right w:val="single" w:sz="4" w:space="0" w:color="auto"/>
            </w:tcBorders>
            <w:shd w:val="clear" w:color="auto" w:fill="DBE5F1" w:themeFill="accent1" w:themeFillTint="33"/>
            <w:vAlign w:val="center"/>
            <w:hideMark/>
          </w:tcPr>
          <w:p w:rsidR="0037767E" w:rsidRPr="00653DEC" w:rsidRDefault="0037767E" w:rsidP="0037767E">
            <w:pPr>
              <w:jc w:val="center"/>
              <w:rPr>
                <w:rFonts w:ascii="Calibri" w:hAnsi="Calibri" w:cs="Calibri"/>
                <w:b/>
                <w:bCs/>
                <w:color w:val="000000"/>
                <w:sz w:val="14"/>
                <w:szCs w:val="14"/>
                <w:lang w:eastAsia="lt-LT"/>
              </w:rPr>
            </w:pPr>
            <w:r w:rsidRPr="00653DEC">
              <w:rPr>
                <w:rFonts w:ascii="Calibri" w:hAnsi="Calibri" w:cs="Calibri"/>
                <w:bCs/>
                <w:color w:val="000000"/>
                <w:sz w:val="14"/>
                <w:szCs w:val="14"/>
                <w:lang w:eastAsia="lt-LT"/>
              </w:rPr>
              <w:t>Veiklos peržiūros rodiklis</w:t>
            </w:r>
            <w:r w:rsidRPr="00653DEC">
              <w:rPr>
                <w:rFonts w:ascii="Calibri" w:hAnsi="Calibri" w:cs="Calibri"/>
                <w:b/>
                <w:bCs/>
                <w:color w:val="000000"/>
                <w:sz w:val="14"/>
                <w:szCs w:val="14"/>
                <w:lang w:eastAsia="lt-LT"/>
              </w:rPr>
              <w:t xml:space="preserve"> ministerijos lygmeniu,</w:t>
            </w:r>
          </w:p>
          <w:p w:rsidR="0037767E" w:rsidRPr="00653DEC" w:rsidRDefault="0037767E" w:rsidP="0037767E">
            <w:pPr>
              <w:jc w:val="center"/>
              <w:rPr>
                <w:rFonts w:ascii="Calibri" w:hAnsi="Calibri" w:cs="Calibri"/>
                <w:bCs/>
                <w:color w:val="000000"/>
                <w:sz w:val="14"/>
                <w:szCs w:val="14"/>
                <w:lang w:eastAsia="lt-LT"/>
              </w:rPr>
            </w:pPr>
            <w:r w:rsidRPr="00653DEC">
              <w:rPr>
                <w:rFonts w:ascii="Calibri" w:hAnsi="Calibri" w:cs="Calibri"/>
                <w:bCs/>
                <w:color w:val="000000"/>
                <w:sz w:val="14"/>
                <w:szCs w:val="14"/>
                <w:lang w:eastAsia="lt-LT"/>
              </w:rPr>
              <w:t>visos tinkamos išlaidos</w:t>
            </w:r>
          </w:p>
        </w:tc>
        <w:tc>
          <w:tcPr>
            <w:tcW w:w="2679" w:type="dxa"/>
            <w:gridSpan w:val="2"/>
            <w:tcBorders>
              <w:top w:val="single" w:sz="8" w:space="0" w:color="auto"/>
              <w:left w:val="nil"/>
              <w:bottom w:val="single" w:sz="4" w:space="0" w:color="auto"/>
              <w:right w:val="single" w:sz="4" w:space="0" w:color="000000"/>
            </w:tcBorders>
            <w:shd w:val="clear" w:color="auto" w:fill="DBE5F1" w:themeFill="accent1" w:themeFillTint="33"/>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Faktas (pripažinta deklaruotinomis iki</w:t>
            </w:r>
            <w:r w:rsidRPr="00653DEC">
              <w:rPr>
                <w:rFonts w:ascii="Calibri" w:hAnsi="Calibri" w:cs="Calibri"/>
                <w:b/>
                <w:bCs/>
                <w:sz w:val="14"/>
                <w:szCs w:val="14"/>
                <w:lang w:eastAsia="lt-LT"/>
              </w:rPr>
              <w:t xml:space="preserve"> 2018-10-12</w:t>
            </w:r>
            <w:r w:rsidRPr="00653DEC">
              <w:rPr>
                <w:rFonts w:ascii="Calibri" w:hAnsi="Calibri" w:cs="Calibri"/>
                <w:sz w:val="14"/>
                <w:szCs w:val="14"/>
                <w:lang w:eastAsia="lt-LT"/>
              </w:rPr>
              <w:t xml:space="preserve">), visos tinkamos išlaidos </w:t>
            </w:r>
          </w:p>
        </w:tc>
        <w:tc>
          <w:tcPr>
            <w:tcW w:w="992" w:type="dxa"/>
            <w:tcBorders>
              <w:top w:val="single" w:sz="8" w:space="0" w:color="auto"/>
              <w:left w:val="nil"/>
              <w:bottom w:val="single" w:sz="4" w:space="0" w:color="auto"/>
              <w:right w:val="nil"/>
            </w:tcBorders>
            <w:shd w:val="clear" w:color="auto" w:fill="DBE5F1" w:themeFill="accent1" w:themeFillTint="33"/>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 xml:space="preserve">Veiklos peržiūros rodiklio </w:t>
            </w:r>
            <w:r w:rsidRPr="00653DEC">
              <w:rPr>
                <w:rFonts w:ascii="Calibri" w:hAnsi="Calibri" w:cs="Calibri"/>
                <w:b/>
                <w:bCs/>
                <w:sz w:val="14"/>
                <w:szCs w:val="14"/>
                <w:lang w:eastAsia="lt-LT"/>
              </w:rPr>
              <w:t xml:space="preserve">fondo lygiu </w:t>
            </w:r>
            <w:r w:rsidRPr="00653DEC">
              <w:rPr>
                <w:rFonts w:ascii="Calibri" w:hAnsi="Calibri" w:cs="Calibri"/>
                <w:sz w:val="14"/>
                <w:szCs w:val="14"/>
                <w:lang w:eastAsia="lt-LT"/>
              </w:rPr>
              <w:t>faktinis pasiekimas iki 2018-10-12</w:t>
            </w:r>
          </w:p>
        </w:tc>
        <w:tc>
          <w:tcPr>
            <w:tcW w:w="1134" w:type="dxa"/>
            <w:tcBorders>
              <w:top w:val="single" w:sz="8" w:space="0" w:color="auto"/>
              <w:left w:val="single" w:sz="4" w:space="0" w:color="auto"/>
              <w:bottom w:val="single" w:sz="4" w:space="0" w:color="auto"/>
              <w:right w:val="nil"/>
            </w:tcBorders>
            <w:shd w:val="clear" w:color="auto" w:fill="DBE5F1" w:themeFill="accent1" w:themeFillTint="33"/>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Rezervas, ES dalis</w:t>
            </w:r>
          </w:p>
        </w:tc>
        <w:tc>
          <w:tcPr>
            <w:tcW w:w="567" w:type="dxa"/>
            <w:vMerge w:val="restart"/>
            <w:tcBorders>
              <w:top w:val="single" w:sz="8" w:space="0" w:color="auto"/>
              <w:left w:val="single" w:sz="4" w:space="0" w:color="auto"/>
              <w:bottom w:val="single" w:sz="8" w:space="0" w:color="000000"/>
              <w:right w:val="single" w:sz="8" w:space="0" w:color="auto"/>
            </w:tcBorders>
            <w:shd w:val="clear" w:color="auto" w:fill="DBE5F1" w:themeFill="accent1" w:themeFillTint="33"/>
            <w:textDirection w:val="btLr"/>
            <w:vAlign w:val="center"/>
            <w:hideMark/>
          </w:tcPr>
          <w:p w:rsidR="0037767E" w:rsidRPr="00653DEC" w:rsidRDefault="0037767E" w:rsidP="0037767E">
            <w:pPr>
              <w:ind w:left="113" w:right="113"/>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Kiek rodiklių įtrauktą į veiklos peržiūros planą?</w:t>
            </w:r>
          </w:p>
        </w:tc>
        <w:tc>
          <w:tcPr>
            <w:tcW w:w="1276" w:type="dxa"/>
            <w:vMerge w:val="restart"/>
            <w:tcBorders>
              <w:top w:val="single" w:sz="8" w:space="0" w:color="auto"/>
              <w:left w:val="single" w:sz="8" w:space="0" w:color="auto"/>
              <w:bottom w:val="single" w:sz="4" w:space="0" w:color="auto"/>
              <w:right w:val="single" w:sz="4" w:space="0" w:color="auto"/>
            </w:tcBorders>
            <w:shd w:val="clear" w:color="auto" w:fill="DBE5F1" w:themeFill="accent1" w:themeFillTint="33"/>
            <w:vAlign w:val="center"/>
            <w:hideMark/>
          </w:tcPr>
          <w:p w:rsidR="0037767E" w:rsidRPr="00653DEC" w:rsidRDefault="0037767E" w:rsidP="0037767E">
            <w:pPr>
              <w:jc w:val="center"/>
              <w:rPr>
                <w:rFonts w:ascii="Calibri" w:hAnsi="Calibri" w:cs="Calibri"/>
                <w:bCs/>
                <w:sz w:val="14"/>
                <w:szCs w:val="14"/>
                <w:lang w:eastAsia="lt-LT"/>
              </w:rPr>
            </w:pPr>
            <w:r w:rsidRPr="00653DEC">
              <w:rPr>
                <w:rFonts w:ascii="Calibri" w:hAnsi="Calibri" w:cs="Calibri"/>
                <w:bCs/>
                <w:sz w:val="14"/>
                <w:szCs w:val="14"/>
                <w:lang w:eastAsia="lt-LT"/>
              </w:rPr>
              <w:t>Pripažintų deklaruotinomis prognozės iki 2018</w:t>
            </w:r>
            <w:proofErr w:type="gramStart"/>
            <w:r w:rsidRPr="00653DEC">
              <w:rPr>
                <w:rFonts w:ascii="Calibri" w:hAnsi="Calibri" w:cs="Calibri"/>
                <w:bCs/>
                <w:sz w:val="14"/>
                <w:szCs w:val="14"/>
                <w:lang w:eastAsia="lt-LT"/>
              </w:rPr>
              <w:t>-</w:t>
            </w:r>
            <w:proofErr w:type="gramEnd"/>
            <w:r w:rsidRPr="00653DEC">
              <w:rPr>
                <w:rFonts w:ascii="Calibri" w:hAnsi="Calibri" w:cs="Calibri"/>
                <w:bCs/>
                <w:sz w:val="14"/>
                <w:szCs w:val="14"/>
                <w:lang w:eastAsia="lt-LT"/>
              </w:rPr>
              <w:t>11-30</w:t>
            </w:r>
            <w:r w:rsidR="002B4B4D">
              <w:rPr>
                <w:rStyle w:val="Puslapioinaosnuoroda"/>
                <w:rFonts w:ascii="Calibri" w:hAnsi="Calibri" w:cs="Calibri"/>
                <w:bCs/>
                <w:sz w:val="14"/>
                <w:szCs w:val="14"/>
                <w:lang w:eastAsia="lt-LT"/>
              </w:rPr>
              <w:footnoteReference w:id="2"/>
            </w:r>
            <w:r w:rsidRPr="00653DEC">
              <w:rPr>
                <w:rFonts w:ascii="Calibri" w:hAnsi="Calibri" w:cs="Calibri"/>
                <w:bCs/>
                <w:sz w:val="14"/>
                <w:szCs w:val="14"/>
                <w:lang w:eastAsia="lt-LT"/>
              </w:rPr>
              <w:t xml:space="preserve"> (visos tinkamos išlaidos)</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DBE5F1" w:themeFill="accent1" w:themeFillTint="33"/>
            <w:vAlign w:val="center"/>
            <w:hideMark/>
          </w:tcPr>
          <w:p w:rsidR="0037767E" w:rsidRPr="00653DEC" w:rsidRDefault="0037767E" w:rsidP="0037767E">
            <w:pPr>
              <w:jc w:val="center"/>
              <w:rPr>
                <w:rFonts w:ascii="Calibri" w:hAnsi="Calibri" w:cs="Calibri"/>
                <w:bCs/>
                <w:sz w:val="14"/>
                <w:szCs w:val="14"/>
                <w:lang w:eastAsia="lt-LT"/>
              </w:rPr>
            </w:pPr>
            <w:r w:rsidRPr="00653DEC">
              <w:rPr>
                <w:rFonts w:ascii="Calibri" w:hAnsi="Calibri" w:cs="Calibri"/>
                <w:bCs/>
                <w:sz w:val="14"/>
                <w:szCs w:val="14"/>
                <w:lang w:eastAsia="lt-LT"/>
              </w:rPr>
              <w:t>Veiklos peržiūros rodi</w:t>
            </w:r>
            <w:r w:rsidR="00653DEC">
              <w:rPr>
                <w:rFonts w:ascii="Calibri" w:hAnsi="Calibri" w:cs="Calibri"/>
                <w:bCs/>
                <w:sz w:val="14"/>
                <w:szCs w:val="14"/>
                <w:lang w:eastAsia="lt-LT"/>
              </w:rPr>
              <w:t xml:space="preserve">klio prognozuojamas pasiekimas </w:t>
            </w:r>
            <w:r w:rsidRPr="00653DEC">
              <w:rPr>
                <w:rFonts w:ascii="Calibri" w:hAnsi="Calibri" w:cs="Calibri"/>
                <w:bCs/>
                <w:sz w:val="14"/>
                <w:szCs w:val="14"/>
                <w:lang w:eastAsia="lt-LT"/>
              </w:rPr>
              <w:t>fondo lygiu iki 2018-11-30</w:t>
            </w:r>
          </w:p>
        </w:tc>
        <w:tc>
          <w:tcPr>
            <w:tcW w:w="2268" w:type="dxa"/>
            <w:vMerge w:val="restart"/>
            <w:tcBorders>
              <w:top w:val="single" w:sz="8" w:space="0" w:color="auto"/>
              <w:left w:val="single" w:sz="4" w:space="0" w:color="auto"/>
              <w:bottom w:val="single" w:sz="4" w:space="0" w:color="auto"/>
              <w:right w:val="single" w:sz="8" w:space="0" w:color="auto"/>
            </w:tcBorders>
            <w:shd w:val="clear" w:color="auto" w:fill="DBE5F1" w:themeFill="accent1" w:themeFillTint="33"/>
            <w:vAlign w:val="center"/>
            <w:hideMark/>
          </w:tcPr>
          <w:p w:rsidR="0037767E" w:rsidRPr="00653DEC" w:rsidRDefault="0037767E" w:rsidP="0037767E">
            <w:pPr>
              <w:jc w:val="center"/>
              <w:rPr>
                <w:rFonts w:ascii="Calibri" w:hAnsi="Calibri" w:cs="Calibri"/>
                <w:bCs/>
                <w:sz w:val="14"/>
                <w:szCs w:val="14"/>
                <w:lang w:eastAsia="lt-LT"/>
              </w:rPr>
            </w:pPr>
            <w:r w:rsidRPr="00653DEC">
              <w:rPr>
                <w:rFonts w:ascii="Calibri" w:hAnsi="Calibri" w:cs="Calibri"/>
                <w:bCs/>
                <w:sz w:val="14"/>
                <w:szCs w:val="14"/>
                <w:lang w:eastAsia="lt-LT"/>
              </w:rPr>
              <w:t>Trūkumas (arba perviršis) iki veiklos peržiūros plano rodiklio pasiekimo pagal prognozes iki 2018-11-30, eurais</w:t>
            </w:r>
          </w:p>
        </w:tc>
      </w:tr>
      <w:tr w:rsidR="0037767E" w:rsidRPr="00653DEC" w:rsidTr="000E5DB0">
        <w:trPr>
          <w:trHeight w:val="450"/>
          <w:tblHeader/>
        </w:trPr>
        <w:tc>
          <w:tcPr>
            <w:tcW w:w="461" w:type="dxa"/>
            <w:vMerge/>
            <w:tcBorders>
              <w:top w:val="single" w:sz="8" w:space="0" w:color="auto"/>
              <w:left w:val="single" w:sz="8" w:space="0" w:color="auto"/>
              <w:bottom w:val="nil"/>
              <w:right w:val="nil"/>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688" w:type="dxa"/>
            <w:vMerge/>
            <w:tcBorders>
              <w:top w:val="single" w:sz="8" w:space="0" w:color="auto"/>
              <w:left w:val="single" w:sz="8" w:space="0" w:color="auto"/>
              <w:bottom w:val="single" w:sz="8" w:space="0" w:color="000000"/>
              <w:right w:val="single" w:sz="4"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37767E" w:rsidRPr="00653DEC" w:rsidRDefault="0037767E" w:rsidP="0037767E">
            <w:pPr>
              <w:rPr>
                <w:rFonts w:ascii="Calibri" w:hAnsi="Calibri" w:cs="Calibri"/>
                <w:color w:val="000000"/>
                <w:sz w:val="14"/>
                <w:szCs w:val="14"/>
                <w:lang w:eastAsia="lt-LT"/>
              </w:rPr>
            </w:pPr>
          </w:p>
        </w:tc>
        <w:tc>
          <w:tcPr>
            <w:tcW w:w="1148" w:type="dxa"/>
            <w:vMerge/>
            <w:tcBorders>
              <w:top w:val="single" w:sz="8" w:space="0" w:color="auto"/>
              <w:left w:val="single" w:sz="4" w:space="0" w:color="auto"/>
              <w:bottom w:val="single" w:sz="8" w:space="0" w:color="000000"/>
              <w:right w:val="single" w:sz="4"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1262" w:type="dxa"/>
            <w:vMerge w:val="restart"/>
            <w:tcBorders>
              <w:top w:val="nil"/>
              <w:left w:val="single" w:sz="4" w:space="0" w:color="auto"/>
              <w:bottom w:val="single" w:sz="8" w:space="0" w:color="000000"/>
              <w:right w:val="single" w:sz="4" w:space="0" w:color="auto"/>
            </w:tcBorders>
            <w:shd w:val="clear" w:color="auto" w:fill="DBE5F1" w:themeFill="accent1" w:themeFillTint="33"/>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Eurais</w:t>
            </w:r>
          </w:p>
        </w:tc>
        <w:tc>
          <w:tcPr>
            <w:tcW w:w="1417" w:type="dxa"/>
            <w:vMerge w:val="restart"/>
            <w:tcBorders>
              <w:top w:val="nil"/>
              <w:left w:val="single" w:sz="4" w:space="0" w:color="auto"/>
              <w:bottom w:val="single" w:sz="8" w:space="0" w:color="000000"/>
              <w:right w:val="single" w:sz="4" w:space="0" w:color="auto"/>
            </w:tcBorders>
            <w:shd w:val="clear" w:color="auto" w:fill="DBE5F1" w:themeFill="accent1" w:themeFillTint="33"/>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 nuo veiklos peržiūros rodiklio</w:t>
            </w:r>
          </w:p>
        </w:tc>
        <w:tc>
          <w:tcPr>
            <w:tcW w:w="992" w:type="dxa"/>
            <w:vMerge w:val="restart"/>
            <w:tcBorders>
              <w:top w:val="nil"/>
              <w:left w:val="single" w:sz="4" w:space="0" w:color="auto"/>
              <w:bottom w:val="single" w:sz="8" w:space="0" w:color="000000"/>
              <w:right w:val="single" w:sz="4" w:space="0" w:color="auto"/>
            </w:tcBorders>
            <w:shd w:val="clear" w:color="auto" w:fill="DBE5F1" w:themeFill="accent1" w:themeFillTint="33"/>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w:t>
            </w:r>
          </w:p>
        </w:tc>
        <w:tc>
          <w:tcPr>
            <w:tcW w:w="1134" w:type="dxa"/>
            <w:vMerge w:val="restart"/>
            <w:tcBorders>
              <w:top w:val="nil"/>
              <w:left w:val="single" w:sz="4" w:space="0" w:color="auto"/>
              <w:bottom w:val="single" w:sz="8" w:space="0" w:color="000000"/>
              <w:right w:val="nil"/>
            </w:tcBorders>
            <w:shd w:val="clear" w:color="auto" w:fill="DBE5F1" w:themeFill="accent1" w:themeFillTint="33"/>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 xml:space="preserve">Eurais </w:t>
            </w:r>
          </w:p>
        </w:tc>
        <w:tc>
          <w:tcPr>
            <w:tcW w:w="567" w:type="dxa"/>
            <w:vMerge/>
            <w:tcBorders>
              <w:top w:val="single" w:sz="8" w:space="0" w:color="auto"/>
              <w:left w:val="single" w:sz="4" w:space="0" w:color="auto"/>
              <w:bottom w:val="single" w:sz="8" w:space="0" w:color="000000"/>
              <w:right w:val="single" w:sz="8" w:space="0" w:color="auto"/>
            </w:tcBorders>
            <w:vAlign w:val="center"/>
            <w:hideMark/>
          </w:tcPr>
          <w:p w:rsidR="0037767E" w:rsidRPr="00653DEC" w:rsidRDefault="0037767E" w:rsidP="0037767E">
            <w:pPr>
              <w:rPr>
                <w:rFonts w:ascii="Calibri" w:hAnsi="Calibri" w:cs="Calibri"/>
                <w:color w:val="000000"/>
                <w:sz w:val="14"/>
                <w:szCs w:val="14"/>
                <w:lang w:eastAsia="lt-LT"/>
              </w:rPr>
            </w:pPr>
          </w:p>
        </w:tc>
        <w:tc>
          <w:tcPr>
            <w:tcW w:w="1276" w:type="dxa"/>
            <w:vMerge/>
            <w:tcBorders>
              <w:top w:val="single" w:sz="8" w:space="0" w:color="auto"/>
              <w:left w:val="single" w:sz="8" w:space="0" w:color="auto"/>
              <w:bottom w:val="single" w:sz="4" w:space="0" w:color="auto"/>
              <w:right w:val="single" w:sz="4"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1276" w:type="dxa"/>
            <w:vMerge/>
            <w:tcBorders>
              <w:top w:val="single" w:sz="8" w:space="0" w:color="auto"/>
              <w:left w:val="single" w:sz="4" w:space="0" w:color="auto"/>
              <w:bottom w:val="single" w:sz="4" w:space="0" w:color="000000"/>
              <w:right w:val="single" w:sz="4"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2268" w:type="dxa"/>
            <w:vMerge/>
            <w:tcBorders>
              <w:top w:val="single" w:sz="8" w:space="0" w:color="auto"/>
              <w:left w:val="single" w:sz="4" w:space="0" w:color="auto"/>
              <w:bottom w:val="single" w:sz="4" w:space="0" w:color="auto"/>
              <w:right w:val="single" w:sz="8"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r>
      <w:tr w:rsidR="0037767E" w:rsidRPr="00653DEC" w:rsidTr="000E5DB0">
        <w:trPr>
          <w:trHeight w:val="171"/>
          <w:tblHeader/>
        </w:trPr>
        <w:tc>
          <w:tcPr>
            <w:tcW w:w="461" w:type="dxa"/>
            <w:vMerge/>
            <w:tcBorders>
              <w:top w:val="single" w:sz="8" w:space="0" w:color="auto"/>
              <w:left w:val="single" w:sz="8" w:space="0" w:color="auto"/>
              <w:bottom w:val="single" w:sz="4" w:space="0" w:color="auto"/>
              <w:right w:val="nil"/>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688" w:type="dxa"/>
            <w:vMerge/>
            <w:tcBorders>
              <w:top w:val="single" w:sz="8" w:space="0" w:color="auto"/>
              <w:left w:val="single" w:sz="8" w:space="0" w:color="auto"/>
              <w:bottom w:val="single" w:sz="8" w:space="0" w:color="000000"/>
              <w:right w:val="single" w:sz="4"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709" w:type="dxa"/>
            <w:vMerge/>
            <w:tcBorders>
              <w:top w:val="single" w:sz="8" w:space="0" w:color="auto"/>
              <w:left w:val="single" w:sz="4" w:space="0" w:color="auto"/>
              <w:bottom w:val="single" w:sz="8" w:space="0" w:color="000000"/>
              <w:right w:val="single" w:sz="4"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1276" w:type="dxa"/>
            <w:vMerge/>
            <w:tcBorders>
              <w:top w:val="single" w:sz="8" w:space="0" w:color="auto"/>
              <w:left w:val="single" w:sz="4" w:space="0" w:color="auto"/>
              <w:bottom w:val="single" w:sz="8" w:space="0" w:color="000000"/>
              <w:right w:val="single" w:sz="4" w:space="0" w:color="auto"/>
            </w:tcBorders>
            <w:vAlign w:val="center"/>
            <w:hideMark/>
          </w:tcPr>
          <w:p w:rsidR="0037767E" w:rsidRPr="00653DEC" w:rsidRDefault="0037767E" w:rsidP="0037767E">
            <w:pPr>
              <w:rPr>
                <w:rFonts w:ascii="Calibri" w:hAnsi="Calibri" w:cs="Calibri"/>
                <w:color w:val="000000"/>
                <w:sz w:val="14"/>
                <w:szCs w:val="14"/>
                <w:lang w:eastAsia="lt-LT"/>
              </w:rPr>
            </w:pPr>
          </w:p>
        </w:tc>
        <w:tc>
          <w:tcPr>
            <w:tcW w:w="1148" w:type="dxa"/>
            <w:vMerge/>
            <w:tcBorders>
              <w:top w:val="single" w:sz="8" w:space="0" w:color="auto"/>
              <w:left w:val="single" w:sz="4" w:space="0" w:color="auto"/>
              <w:bottom w:val="single" w:sz="8" w:space="0" w:color="000000"/>
              <w:right w:val="single" w:sz="4"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1262" w:type="dxa"/>
            <w:vMerge/>
            <w:tcBorders>
              <w:top w:val="nil"/>
              <w:left w:val="single" w:sz="4" w:space="0" w:color="auto"/>
              <w:bottom w:val="single" w:sz="8" w:space="0" w:color="000000"/>
              <w:right w:val="single" w:sz="4" w:space="0" w:color="auto"/>
            </w:tcBorders>
            <w:shd w:val="clear" w:color="auto" w:fill="DBE5F1" w:themeFill="accent1" w:themeFillTint="33"/>
            <w:vAlign w:val="center"/>
            <w:hideMark/>
          </w:tcPr>
          <w:p w:rsidR="0037767E" w:rsidRPr="00653DEC" w:rsidRDefault="0037767E" w:rsidP="0037767E">
            <w:pPr>
              <w:rPr>
                <w:rFonts w:ascii="Calibri" w:hAnsi="Calibri" w:cs="Calibri"/>
                <w:b/>
                <w:bCs/>
                <w:sz w:val="14"/>
                <w:szCs w:val="14"/>
                <w:lang w:eastAsia="lt-LT"/>
              </w:rPr>
            </w:pPr>
          </w:p>
        </w:tc>
        <w:tc>
          <w:tcPr>
            <w:tcW w:w="1417" w:type="dxa"/>
            <w:vMerge/>
            <w:tcBorders>
              <w:top w:val="nil"/>
              <w:left w:val="single" w:sz="4" w:space="0" w:color="auto"/>
              <w:bottom w:val="single" w:sz="8" w:space="0" w:color="000000"/>
              <w:right w:val="single" w:sz="4" w:space="0" w:color="auto"/>
            </w:tcBorders>
            <w:shd w:val="clear" w:color="auto" w:fill="DBE5F1" w:themeFill="accent1" w:themeFillTint="33"/>
            <w:vAlign w:val="center"/>
            <w:hideMark/>
          </w:tcPr>
          <w:p w:rsidR="0037767E" w:rsidRPr="00653DEC" w:rsidRDefault="0037767E" w:rsidP="0037767E">
            <w:pPr>
              <w:rPr>
                <w:rFonts w:ascii="Calibri" w:hAnsi="Calibri" w:cs="Calibri"/>
                <w:b/>
                <w:bCs/>
                <w:sz w:val="14"/>
                <w:szCs w:val="14"/>
                <w:lang w:eastAsia="lt-LT"/>
              </w:rPr>
            </w:pPr>
          </w:p>
        </w:tc>
        <w:tc>
          <w:tcPr>
            <w:tcW w:w="992" w:type="dxa"/>
            <w:vMerge/>
            <w:tcBorders>
              <w:top w:val="nil"/>
              <w:left w:val="single" w:sz="4" w:space="0" w:color="auto"/>
              <w:bottom w:val="single" w:sz="8" w:space="0" w:color="000000"/>
              <w:right w:val="single" w:sz="4" w:space="0" w:color="auto"/>
            </w:tcBorders>
            <w:shd w:val="clear" w:color="auto" w:fill="DBE5F1" w:themeFill="accent1" w:themeFillTint="33"/>
            <w:vAlign w:val="center"/>
            <w:hideMark/>
          </w:tcPr>
          <w:p w:rsidR="0037767E" w:rsidRPr="00653DEC" w:rsidRDefault="0037767E" w:rsidP="0037767E">
            <w:pPr>
              <w:rPr>
                <w:rFonts w:ascii="Calibri" w:hAnsi="Calibri" w:cs="Calibri"/>
                <w:b/>
                <w:bCs/>
                <w:sz w:val="14"/>
                <w:szCs w:val="14"/>
                <w:lang w:eastAsia="lt-LT"/>
              </w:rPr>
            </w:pPr>
          </w:p>
        </w:tc>
        <w:tc>
          <w:tcPr>
            <w:tcW w:w="1134" w:type="dxa"/>
            <w:vMerge/>
            <w:tcBorders>
              <w:top w:val="nil"/>
              <w:left w:val="single" w:sz="4" w:space="0" w:color="auto"/>
              <w:bottom w:val="single" w:sz="8" w:space="0" w:color="000000"/>
              <w:right w:val="nil"/>
            </w:tcBorders>
            <w:shd w:val="clear" w:color="auto" w:fill="DBE5F1" w:themeFill="accent1" w:themeFillTint="33"/>
            <w:vAlign w:val="center"/>
            <w:hideMark/>
          </w:tcPr>
          <w:p w:rsidR="0037767E" w:rsidRPr="00653DEC" w:rsidRDefault="0037767E" w:rsidP="0037767E">
            <w:pPr>
              <w:rPr>
                <w:rFonts w:ascii="Calibri" w:hAnsi="Calibri" w:cs="Calibri"/>
                <w:b/>
                <w:bCs/>
                <w:sz w:val="14"/>
                <w:szCs w:val="14"/>
                <w:lang w:eastAsia="lt-LT"/>
              </w:rPr>
            </w:pPr>
          </w:p>
        </w:tc>
        <w:tc>
          <w:tcPr>
            <w:tcW w:w="567" w:type="dxa"/>
            <w:vMerge/>
            <w:tcBorders>
              <w:top w:val="single" w:sz="8" w:space="0" w:color="auto"/>
              <w:left w:val="single" w:sz="4" w:space="0" w:color="auto"/>
              <w:bottom w:val="single" w:sz="8" w:space="0" w:color="000000"/>
              <w:right w:val="single" w:sz="8" w:space="0" w:color="auto"/>
            </w:tcBorders>
            <w:vAlign w:val="center"/>
            <w:hideMark/>
          </w:tcPr>
          <w:p w:rsidR="0037767E" w:rsidRPr="00653DEC" w:rsidRDefault="0037767E" w:rsidP="0037767E">
            <w:pPr>
              <w:rPr>
                <w:rFonts w:ascii="Calibri" w:hAnsi="Calibri" w:cs="Calibri"/>
                <w:color w:val="000000"/>
                <w:sz w:val="14"/>
                <w:szCs w:val="14"/>
                <w:lang w:eastAsia="lt-LT"/>
              </w:rPr>
            </w:pPr>
          </w:p>
        </w:tc>
        <w:tc>
          <w:tcPr>
            <w:tcW w:w="1276" w:type="dxa"/>
            <w:vMerge/>
            <w:tcBorders>
              <w:top w:val="single" w:sz="8" w:space="0" w:color="auto"/>
              <w:left w:val="single" w:sz="8" w:space="0" w:color="auto"/>
              <w:bottom w:val="single" w:sz="4" w:space="0" w:color="auto"/>
              <w:right w:val="single" w:sz="4"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1276" w:type="dxa"/>
            <w:vMerge/>
            <w:tcBorders>
              <w:top w:val="single" w:sz="8" w:space="0" w:color="auto"/>
              <w:left w:val="single" w:sz="4" w:space="0" w:color="auto"/>
              <w:bottom w:val="single" w:sz="4" w:space="0" w:color="000000"/>
              <w:right w:val="single" w:sz="4"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c>
          <w:tcPr>
            <w:tcW w:w="2268" w:type="dxa"/>
            <w:vMerge/>
            <w:tcBorders>
              <w:top w:val="single" w:sz="8" w:space="0" w:color="auto"/>
              <w:left w:val="single" w:sz="4" w:space="0" w:color="auto"/>
              <w:bottom w:val="single" w:sz="4" w:space="0" w:color="auto"/>
              <w:right w:val="single" w:sz="8" w:space="0" w:color="auto"/>
            </w:tcBorders>
            <w:vAlign w:val="center"/>
            <w:hideMark/>
          </w:tcPr>
          <w:p w:rsidR="0037767E" w:rsidRPr="00653DEC" w:rsidRDefault="0037767E" w:rsidP="0037767E">
            <w:pPr>
              <w:rPr>
                <w:rFonts w:ascii="Calibri" w:hAnsi="Calibri" w:cs="Calibri"/>
                <w:b/>
                <w:bCs/>
                <w:color w:val="000000"/>
                <w:sz w:val="14"/>
                <w:szCs w:val="14"/>
                <w:lang w:eastAsia="lt-LT"/>
              </w:rPr>
            </w:pPr>
          </w:p>
        </w:tc>
      </w:tr>
      <w:tr w:rsidR="0037767E" w:rsidRPr="00653DEC" w:rsidTr="000E5DB0">
        <w:trPr>
          <w:trHeight w:val="374"/>
        </w:trPr>
        <w:tc>
          <w:tcPr>
            <w:tcW w:w="461" w:type="dxa"/>
            <w:tcBorders>
              <w:top w:val="single" w:sz="4" w:space="0" w:color="auto"/>
              <w:left w:val="single" w:sz="8" w:space="0" w:color="auto"/>
              <w:bottom w:val="single" w:sz="8"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P2</w:t>
            </w:r>
          </w:p>
        </w:tc>
        <w:tc>
          <w:tcPr>
            <w:tcW w:w="688" w:type="dxa"/>
            <w:tcBorders>
              <w:top w:val="nil"/>
              <w:left w:val="nil"/>
              <w:bottom w:val="single" w:sz="8"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SM</w:t>
            </w:r>
          </w:p>
        </w:tc>
        <w:tc>
          <w:tcPr>
            <w:tcW w:w="709" w:type="dxa"/>
            <w:tcBorders>
              <w:top w:val="nil"/>
              <w:left w:val="nil"/>
              <w:bottom w:val="single" w:sz="8"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tcBorders>
              <w:top w:val="nil"/>
              <w:left w:val="single" w:sz="4" w:space="0" w:color="auto"/>
              <w:bottom w:val="single" w:sz="8" w:space="0" w:color="auto"/>
              <w:right w:val="nil"/>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20,817,568</w:t>
            </w:r>
          </w:p>
        </w:tc>
        <w:tc>
          <w:tcPr>
            <w:tcW w:w="1148" w:type="dxa"/>
            <w:tcBorders>
              <w:top w:val="nil"/>
              <w:left w:val="single" w:sz="4" w:space="0" w:color="auto"/>
              <w:bottom w:val="single" w:sz="8" w:space="0" w:color="auto"/>
              <w:right w:val="nil"/>
            </w:tcBorders>
            <w:shd w:val="clear" w:color="auto" w:fill="F2F2F2" w:themeFill="background1" w:themeFillShade="F2"/>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20,817,568</w:t>
            </w:r>
          </w:p>
        </w:tc>
        <w:tc>
          <w:tcPr>
            <w:tcW w:w="1262" w:type="dxa"/>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8,804,275</w:t>
            </w:r>
          </w:p>
        </w:tc>
        <w:tc>
          <w:tcPr>
            <w:tcW w:w="1417" w:type="dxa"/>
            <w:tcBorders>
              <w:top w:val="nil"/>
              <w:left w:val="nil"/>
              <w:bottom w:val="single" w:sz="8"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42%</w:t>
            </w:r>
            <w:proofErr w:type="gramEnd"/>
          </w:p>
        </w:tc>
        <w:tc>
          <w:tcPr>
            <w:tcW w:w="992" w:type="dxa"/>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FF0000"/>
                <w:sz w:val="14"/>
                <w:szCs w:val="14"/>
                <w:lang w:eastAsia="lt-LT"/>
              </w:rPr>
            </w:pPr>
            <w:proofErr w:type="gramStart"/>
            <w:r w:rsidRPr="00653DEC">
              <w:rPr>
                <w:rFonts w:ascii="Calibri" w:hAnsi="Calibri" w:cs="Calibri"/>
                <w:b/>
                <w:bCs/>
                <w:color w:val="FF0000"/>
                <w:sz w:val="14"/>
                <w:szCs w:val="14"/>
                <w:lang w:eastAsia="lt-LT"/>
              </w:rPr>
              <w:t>42%</w:t>
            </w:r>
            <w:proofErr w:type="gramEnd"/>
          </w:p>
        </w:tc>
        <w:tc>
          <w:tcPr>
            <w:tcW w:w="1134" w:type="dxa"/>
            <w:tcBorders>
              <w:top w:val="nil"/>
              <w:left w:val="nil"/>
              <w:bottom w:val="single" w:sz="8"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11,342,237</w:t>
            </w:r>
          </w:p>
        </w:tc>
        <w:tc>
          <w:tcPr>
            <w:tcW w:w="567" w:type="dxa"/>
            <w:tcBorders>
              <w:top w:val="nil"/>
              <w:left w:val="single" w:sz="4" w:space="0" w:color="auto"/>
              <w:bottom w:val="single" w:sz="8" w:space="0" w:color="auto"/>
              <w:right w:val="single" w:sz="8"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20,348,756</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00B050"/>
                <w:sz w:val="14"/>
                <w:szCs w:val="14"/>
                <w:lang w:eastAsia="lt-LT"/>
              </w:rPr>
            </w:pPr>
            <w:proofErr w:type="gramStart"/>
            <w:r w:rsidRPr="00653DEC">
              <w:rPr>
                <w:rFonts w:ascii="Calibri" w:hAnsi="Calibri" w:cs="Calibri"/>
                <w:b/>
                <w:bCs/>
                <w:color w:val="00B050"/>
                <w:sz w:val="14"/>
                <w:szCs w:val="14"/>
                <w:lang w:eastAsia="lt-LT"/>
              </w:rPr>
              <w:t>98%</w:t>
            </w:r>
            <w:proofErr w:type="gramEnd"/>
          </w:p>
        </w:tc>
        <w:tc>
          <w:tcPr>
            <w:tcW w:w="2268" w:type="dxa"/>
            <w:tcBorders>
              <w:top w:val="single" w:sz="4" w:space="0" w:color="auto"/>
              <w:left w:val="nil"/>
              <w:bottom w:val="single" w:sz="4" w:space="0" w:color="auto"/>
              <w:right w:val="single" w:sz="8" w:space="0" w:color="auto"/>
            </w:tcBorders>
            <w:shd w:val="clear" w:color="auto" w:fill="F2F2F2" w:themeFill="background1" w:themeFillShade="F2"/>
            <w:noWrap/>
            <w:vAlign w:val="center"/>
            <w:hideMark/>
          </w:tcPr>
          <w:p w:rsidR="0037767E" w:rsidRPr="00653DEC" w:rsidRDefault="0037767E" w:rsidP="00E96291">
            <w:pPr>
              <w:jc w:val="center"/>
              <w:rPr>
                <w:rFonts w:ascii="Calibri" w:hAnsi="Calibri" w:cs="Calibri"/>
                <w:sz w:val="14"/>
                <w:szCs w:val="14"/>
                <w:lang w:eastAsia="lt-LT"/>
              </w:rPr>
            </w:pPr>
            <w:r w:rsidRPr="00653DEC">
              <w:rPr>
                <w:rFonts w:ascii="Calibri" w:hAnsi="Calibri" w:cs="Calibri"/>
                <w:sz w:val="14"/>
                <w:szCs w:val="14"/>
                <w:lang w:eastAsia="lt-LT"/>
              </w:rPr>
              <w:t>4,735,580</w:t>
            </w:r>
          </w:p>
        </w:tc>
      </w:tr>
      <w:tr w:rsidR="0037767E" w:rsidRPr="00653DEC" w:rsidTr="000E5DB0">
        <w:trPr>
          <w:trHeight w:val="341"/>
        </w:trPr>
        <w:tc>
          <w:tcPr>
            <w:tcW w:w="461"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P5</w:t>
            </w:r>
          </w:p>
        </w:tc>
        <w:tc>
          <w:tcPr>
            <w:tcW w:w="688"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AM</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42,480,211</w:t>
            </w:r>
          </w:p>
        </w:tc>
        <w:tc>
          <w:tcPr>
            <w:tcW w:w="1148"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14,987,387</w:t>
            </w:r>
          </w:p>
        </w:tc>
        <w:tc>
          <w:tcPr>
            <w:tcW w:w="12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4,501,607</w:t>
            </w:r>
          </w:p>
        </w:tc>
        <w:tc>
          <w:tcPr>
            <w:tcW w:w="1417"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30%</w:t>
            </w:r>
            <w:proofErr w:type="gramEnd"/>
          </w:p>
        </w:tc>
        <w:tc>
          <w:tcPr>
            <w:tcW w:w="992"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FF0000"/>
                <w:sz w:val="14"/>
                <w:szCs w:val="14"/>
                <w:lang w:eastAsia="lt-LT"/>
              </w:rPr>
            </w:pPr>
            <w:proofErr w:type="gramStart"/>
            <w:r w:rsidRPr="00653DEC">
              <w:rPr>
                <w:rFonts w:ascii="Calibri" w:hAnsi="Calibri" w:cs="Calibri"/>
                <w:b/>
                <w:bCs/>
                <w:color w:val="FF0000"/>
                <w:sz w:val="14"/>
                <w:szCs w:val="14"/>
                <w:lang w:eastAsia="lt-LT"/>
              </w:rPr>
              <w:t>58%</w:t>
            </w:r>
            <w:proofErr w:type="gramEnd"/>
          </w:p>
        </w:tc>
        <w:tc>
          <w:tcPr>
            <w:tcW w:w="1134"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4,064,010</w:t>
            </w:r>
          </w:p>
        </w:tc>
        <w:tc>
          <w:tcPr>
            <w:tcW w:w="567" w:type="dxa"/>
            <w:vMerge w:val="restart"/>
            <w:tcBorders>
              <w:top w:val="nil"/>
              <w:left w:val="single" w:sz="4" w:space="0" w:color="auto"/>
              <w:bottom w:val="single" w:sz="4" w:space="0" w:color="000000"/>
              <w:right w:val="single" w:sz="8"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11,493,333</w:t>
            </w:r>
          </w:p>
        </w:tc>
        <w:tc>
          <w:tcPr>
            <w:tcW w:w="1276"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FFC000"/>
                <w:sz w:val="14"/>
                <w:szCs w:val="14"/>
                <w:lang w:eastAsia="lt-LT"/>
              </w:rPr>
            </w:pPr>
            <w:proofErr w:type="gramStart"/>
            <w:r w:rsidRPr="00653DEC">
              <w:rPr>
                <w:rFonts w:ascii="Calibri" w:hAnsi="Calibri" w:cs="Calibri"/>
                <w:b/>
                <w:bCs/>
                <w:color w:val="FFC000"/>
                <w:sz w:val="14"/>
                <w:szCs w:val="14"/>
                <w:lang w:eastAsia="lt-LT"/>
              </w:rPr>
              <w:t>85%</w:t>
            </w:r>
            <w:proofErr w:type="gramEnd"/>
          </w:p>
        </w:tc>
        <w:tc>
          <w:tcPr>
            <w:tcW w:w="2268" w:type="dxa"/>
            <w:vMerge w:val="restart"/>
            <w:tcBorders>
              <w:top w:val="single" w:sz="4" w:space="0" w:color="auto"/>
              <w:left w:val="single" w:sz="4" w:space="0" w:color="auto"/>
              <w:bottom w:val="single" w:sz="4" w:space="0" w:color="000000"/>
              <w:right w:val="single" w:sz="8" w:space="0" w:color="auto"/>
            </w:tcBorders>
            <w:shd w:val="clear" w:color="auto" w:fill="F2F2F2" w:themeFill="background1" w:themeFillShade="F2"/>
            <w:noWrap/>
            <w:vAlign w:val="center"/>
            <w:hideMark/>
          </w:tcPr>
          <w:p w:rsidR="0037767E" w:rsidRPr="00653DEC" w:rsidRDefault="00E82E88" w:rsidP="00E82E88">
            <w:pPr>
              <w:jc w:val="center"/>
              <w:rPr>
                <w:rFonts w:ascii="Calibri" w:hAnsi="Calibri" w:cs="Calibri"/>
                <w:sz w:val="14"/>
                <w:szCs w:val="14"/>
                <w:lang w:eastAsia="lt-LT"/>
              </w:rPr>
            </w:pPr>
            <w:r>
              <w:rPr>
                <w:rFonts w:ascii="Calibri" w:hAnsi="Calibri" w:cs="Calibri"/>
                <w:sz w:val="14"/>
                <w:szCs w:val="14"/>
                <w:lang w:eastAsia="lt-LT"/>
              </w:rPr>
              <w:t xml:space="preserve">– </w:t>
            </w:r>
            <w:r w:rsidR="0037767E" w:rsidRPr="00653DEC">
              <w:rPr>
                <w:rFonts w:ascii="Calibri" w:hAnsi="Calibri" w:cs="Calibri"/>
                <w:sz w:val="14"/>
                <w:szCs w:val="14"/>
                <w:lang w:eastAsia="lt-LT"/>
              </w:rPr>
              <w:t xml:space="preserve">45,550 </w:t>
            </w:r>
          </w:p>
        </w:tc>
      </w:tr>
      <w:tr w:rsidR="0037767E" w:rsidRPr="00653DEC" w:rsidTr="000E5DB0">
        <w:trPr>
          <w:trHeight w:val="300"/>
        </w:trPr>
        <w:tc>
          <w:tcPr>
            <w:tcW w:w="461"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P5</w:t>
            </w:r>
          </w:p>
        </w:tc>
        <w:tc>
          <w:tcPr>
            <w:tcW w:w="688" w:type="dxa"/>
            <w:tcBorders>
              <w:top w:val="nil"/>
              <w:left w:val="nil"/>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VRM</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148"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899,243</w:t>
            </w:r>
          </w:p>
        </w:tc>
        <w:tc>
          <w:tcPr>
            <w:tcW w:w="12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2,814,627</w:t>
            </w:r>
          </w:p>
        </w:tc>
        <w:tc>
          <w:tcPr>
            <w:tcW w:w="1417"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313%</w:t>
            </w:r>
            <w:proofErr w:type="gramEnd"/>
          </w:p>
        </w:tc>
        <w:tc>
          <w:tcPr>
            <w:tcW w:w="99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0000"/>
                <w:sz w:val="14"/>
                <w:szCs w:val="14"/>
                <w:lang w:eastAsia="lt-LT"/>
              </w:rPr>
            </w:pPr>
          </w:p>
        </w:tc>
        <w:tc>
          <w:tcPr>
            <w:tcW w:w="1134"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243,841</w:t>
            </w:r>
          </w:p>
        </w:tc>
        <w:tc>
          <w:tcPr>
            <w:tcW w:w="567" w:type="dxa"/>
            <w:vMerge/>
            <w:tcBorders>
              <w:top w:val="nil"/>
              <w:left w:val="single" w:sz="4" w:space="0" w:color="auto"/>
              <w:bottom w:val="single" w:sz="4" w:space="0" w:color="000000"/>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2,814,627</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C000"/>
                <w:sz w:val="14"/>
                <w:szCs w:val="14"/>
                <w:lang w:eastAsia="lt-LT"/>
              </w:rPr>
            </w:pPr>
          </w:p>
        </w:tc>
        <w:tc>
          <w:tcPr>
            <w:tcW w:w="2268" w:type="dxa"/>
            <w:vMerge/>
            <w:tcBorders>
              <w:top w:val="single" w:sz="4" w:space="0" w:color="auto"/>
              <w:left w:val="single" w:sz="4" w:space="0" w:color="auto"/>
              <w:bottom w:val="single" w:sz="4" w:space="0" w:color="000000"/>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r>
      <w:tr w:rsidR="0037767E" w:rsidRPr="00653DEC" w:rsidTr="000E5DB0">
        <w:trPr>
          <w:trHeight w:val="300"/>
        </w:trPr>
        <w:tc>
          <w:tcPr>
            <w:tcW w:w="461"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P5</w:t>
            </w:r>
          </w:p>
        </w:tc>
        <w:tc>
          <w:tcPr>
            <w:tcW w:w="688" w:type="dxa"/>
            <w:tcBorders>
              <w:top w:val="nil"/>
              <w:left w:val="nil"/>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ŪM</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148" w:type="dxa"/>
            <w:tcBorders>
              <w:top w:val="nil"/>
              <w:left w:val="nil"/>
              <w:bottom w:val="single" w:sz="4" w:space="0" w:color="auto"/>
              <w:right w:val="nil"/>
            </w:tcBorders>
            <w:shd w:val="clear" w:color="auto" w:fill="F2F2F2" w:themeFill="background1" w:themeFillShade="F2"/>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5,163,538</w:t>
            </w:r>
          </w:p>
        </w:tc>
        <w:tc>
          <w:tcPr>
            <w:tcW w:w="12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6,623,625</w:t>
            </w:r>
          </w:p>
        </w:tc>
        <w:tc>
          <w:tcPr>
            <w:tcW w:w="1417"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128%</w:t>
            </w:r>
            <w:proofErr w:type="gramEnd"/>
          </w:p>
        </w:tc>
        <w:tc>
          <w:tcPr>
            <w:tcW w:w="99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0000"/>
                <w:sz w:val="14"/>
                <w:szCs w:val="14"/>
                <w:lang w:eastAsia="lt-LT"/>
              </w:rPr>
            </w:pPr>
          </w:p>
        </w:tc>
        <w:tc>
          <w:tcPr>
            <w:tcW w:w="1134"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1,381,800</w:t>
            </w:r>
          </w:p>
        </w:tc>
        <w:tc>
          <w:tcPr>
            <w:tcW w:w="567" w:type="dxa"/>
            <w:vMerge/>
            <w:tcBorders>
              <w:top w:val="nil"/>
              <w:left w:val="single" w:sz="4" w:space="0" w:color="auto"/>
              <w:bottom w:val="single" w:sz="4" w:space="0" w:color="000000"/>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7,152,503</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C000"/>
                <w:sz w:val="14"/>
                <w:szCs w:val="14"/>
                <w:lang w:eastAsia="lt-LT"/>
              </w:rPr>
            </w:pPr>
          </w:p>
        </w:tc>
        <w:tc>
          <w:tcPr>
            <w:tcW w:w="2268" w:type="dxa"/>
            <w:vMerge/>
            <w:tcBorders>
              <w:top w:val="single" w:sz="4" w:space="0" w:color="auto"/>
              <w:left w:val="single" w:sz="4" w:space="0" w:color="auto"/>
              <w:bottom w:val="single" w:sz="4" w:space="0" w:color="000000"/>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r>
      <w:tr w:rsidR="0037767E" w:rsidRPr="00653DEC" w:rsidTr="000E5DB0">
        <w:trPr>
          <w:trHeight w:val="337"/>
        </w:trPr>
        <w:tc>
          <w:tcPr>
            <w:tcW w:w="461"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P5</w:t>
            </w:r>
          </w:p>
        </w:tc>
        <w:tc>
          <w:tcPr>
            <w:tcW w:w="688" w:type="dxa"/>
            <w:tcBorders>
              <w:top w:val="nil"/>
              <w:left w:val="nil"/>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KM</w:t>
            </w:r>
          </w:p>
        </w:tc>
        <w:tc>
          <w:tcPr>
            <w:tcW w:w="709" w:type="dxa"/>
            <w:tcBorders>
              <w:top w:val="nil"/>
              <w:left w:val="nil"/>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148" w:type="dxa"/>
            <w:tcBorders>
              <w:top w:val="nil"/>
              <w:left w:val="nil"/>
              <w:bottom w:val="single" w:sz="4" w:space="0" w:color="auto"/>
              <w:right w:val="nil"/>
            </w:tcBorders>
            <w:shd w:val="clear" w:color="auto" w:fill="F2F2F2" w:themeFill="background1" w:themeFillShade="F2"/>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21,430,043</w:t>
            </w:r>
          </w:p>
        </w:tc>
        <w:tc>
          <w:tcPr>
            <w:tcW w:w="12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10,641,384</w:t>
            </w:r>
          </w:p>
        </w:tc>
        <w:tc>
          <w:tcPr>
            <w:tcW w:w="1417"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50%</w:t>
            </w:r>
            <w:proofErr w:type="gramEnd"/>
          </w:p>
        </w:tc>
        <w:tc>
          <w:tcPr>
            <w:tcW w:w="99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0000"/>
                <w:sz w:val="14"/>
                <w:szCs w:val="14"/>
                <w:lang w:eastAsia="lt-LT"/>
              </w:rPr>
            </w:pPr>
          </w:p>
        </w:tc>
        <w:tc>
          <w:tcPr>
            <w:tcW w:w="1134"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5,811,011</w:t>
            </w:r>
          </w:p>
        </w:tc>
        <w:tc>
          <w:tcPr>
            <w:tcW w:w="567" w:type="dxa"/>
            <w:vMerge/>
            <w:tcBorders>
              <w:top w:val="nil"/>
              <w:left w:val="single" w:sz="4" w:space="0" w:color="auto"/>
              <w:bottom w:val="single" w:sz="4" w:space="0" w:color="000000"/>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14,602,166</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C000"/>
                <w:sz w:val="14"/>
                <w:szCs w:val="14"/>
                <w:lang w:eastAsia="lt-LT"/>
              </w:rPr>
            </w:pPr>
          </w:p>
        </w:tc>
        <w:tc>
          <w:tcPr>
            <w:tcW w:w="2268" w:type="dxa"/>
            <w:vMerge/>
            <w:tcBorders>
              <w:top w:val="single" w:sz="4" w:space="0" w:color="auto"/>
              <w:left w:val="single" w:sz="4" w:space="0" w:color="auto"/>
              <w:bottom w:val="single" w:sz="4" w:space="0" w:color="000000"/>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r>
      <w:tr w:rsidR="0037767E" w:rsidRPr="00653DEC" w:rsidTr="000E5DB0">
        <w:trPr>
          <w:trHeight w:val="278"/>
        </w:trPr>
        <w:tc>
          <w:tcPr>
            <w:tcW w:w="461" w:type="dxa"/>
            <w:tcBorders>
              <w:top w:val="single" w:sz="4" w:space="0" w:color="auto"/>
              <w:left w:val="single" w:sz="8" w:space="0" w:color="auto"/>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P7</w:t>
            </w:r>
          </w:p>
        </w:tc>
        <w:tc>
          <w:tcPr>
            <w:tcW w:w="688"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SADM</w:t>
            </w:r>
          </w:p>
        </w:tc>
        <w:tc>
          <w:tcPr>
            <w:tcW w:w="70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vMerge w:val="restart"/>
            <w:tcBorders>
              <w:top w:val="nil"/>
              <w:left w:val="single" w:sz="4" w:space="0" w:color="auto"/>
              <w:bottom w:val="single" w:sz="8" w:space="0" w:color="000000"/>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113,785,765</w:t>
            </w:r>
          </w:p>
        </w:tc>
        <w:tc>
          <w:tcPr>
            <w:tcW w:w="1148" w:type="dxa"/>
            <w:tcBorders>
              <w:top w:val="single" w:sz="4" w:space="0" w:color="auto"/>
              <w:left w:val="nil"/>
              <w:bottom w:val="single" w:sz="4" w:space="0" w:color="auto"/>
              <w:right w:val="nil"/>
            </w:tcBorders>
            <w:shd w:val="clear" w:color="auto" w:fill="F2F2F2" w:themeFill="background1" w:themeFillShade="F2"/>
            <w:noWrap/>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1,036,951</w:t>
            </w:r>
          </w:p>
        </w:tc>
        <w:tc>
          <w:tcPr>
            <w:tcW w:w="126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 </w:t>
            </w:r>
          </w:p>
        </w:tc>
        <w:tc>
          <w:tcPr>
            <w:tcW w:w="1417"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0%</w:t>
            </w:r>
            <w:proofErr w:type="gramEnd"/>
          </w:p>
        </w:tc>
        <w:tc>
          <w:tcPr>
            <w:tcW w:w="992" w:type="dxa"/>
            <w:vMerge w:val="restart"/>
            <w:tcBorders>
              <w:top w:val="nil"/>
              <w:left w:val="single" w:sz="4" w:space="0" w:color="auto"/>
              <w:bottom w:val="single" w:sz="8" w:space="0" w:color="000000"/>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FF0000"/>
                <w:sz w:val="14"/>
                <w:szCs w:val="14"/>
                <w:lang w:eastAsia="lt-LT"/>
              </w:rPr>
            </w:pPr>
            <w:proofErr w:type="gramStart"/>
            <w:r w:rsidRPr="00653DEC">
              <w:rPr>
                <w:rFonts w:ascii="Calibri" w:hAnsi="Calibri" w:cs="Calibri"/>
                <w:b/>
                <w:bCs/>
                <w:color w:val="FF0000"/>
                <w:sz w:val="14"/>
                <w:szCs w:val="14"/>
                <w:lang w:eastAsia="lt-LT"/>
              </w:rPr>
              <w:t>60%</w:t>
            </w:r>
            <w:proofErr w:type="gramEnd"/>
          </w:p>
        </w:tc>
        <w:tc>
          <w:tcPr>
            <w:tcW w:w="1134" w:type="dxa"/>
            <w:tcBorders>
              <w:top w:val="single" w:sz="4" w:space="0" w:color="auto"/>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230,363</w:t>
            </w:r>
          </w:p>
        </w:tc>
        <w:tc>
          <w:tcPr>
            <w:tcW w:w="567" w:type="dxa"/>
            <w:vMerge w:val="restart"/>
            <w:tcBorders>
              <w:top w:val="nil"/>
              <w:left w:val="single" w:sz="4" w:space="0" w:color="auto"/>
              <w:bottom w:val="single" w:sz="8" w:space="0" w:color="000000"/>
              <w:right w:val="single" w:sz="8"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653DEC"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0</w:t>
            </w:r>
          </w:p>
        </w:tc>
        <w:tc>
          <w:tcPr>
            <w:tcW w:w="1276"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FF0000"/>
                <w:sz w:val="14"/>
                <w:szCs w:val="14"/>
                <w:lang w:eastAsia="lt-LT"/>
              </w:rPr>
            </w:pPr>
            <w:proofErr w:type="gramStart"/>
            <w:r w:rsidRPr="00653DEC">
              <w:rPr>
                <w:rFonts w:ascii="Calibri" w:hAnsi="Calibri" w:cs="Calibri"/>
                <w:b/>
                <w:bCs/>
                <w:color w:val="FF0000"/>
                <w:sz w:val="14"/>
                <w:szCs w:val="14"/>
                <w:lang w:eastAsia="lt-LT"/>
              </w:rPr>
              <w:t>75%</w:t>
            </w:r>
            <w:proofErr w:type="gramEnd"/>
          </w:p>
        </w:tc>
        <w:tc>
          <w:tcPr>
            <w:tcW w:w="2268" w:type="dxa"/>
            <w:vMerge w:val="restart"/>
            <w:tcBorders>
              <w:top w:val="single" w:sz="4" w:space="0" w:color="auto"/>
              <w:left w:val="single" w:sz="4" w:space="0" w:color="auto"/>
              <w:bottom w:val="nil"/>
              <w:right w:val="single" w:sz="8" w:space="0" w:color="auto"/>
            </w:tcBorders>
            <w:shd w:val="clear" w:color="auto" w:fill="F2F2F2" w:themeFill="background1" w:themeFillShade="F2"/>
            <w:noWrap/>
            <w:vAlign w:val="center"/>
            <w:hideMark/>
          </w:tcPr>
          <w:p w:rsidR="0037767E" w:rsidRPr="00653DEC" w:rsidRDefault="00E82E88" w:rsidP="00E82E88">
            <w:pPr>
              <w:jc w:val="center"/>
              <w:rPr>
                <w:rFonts w:ascii="Calibri" w:hAnsi="Calibri" w:cs="Calibri"/>
                <w:sz w:val="14"/>
                <w:szCs w:val="14"/>
                <w:lang w:eastAsia="lt-LT"/>
              </w:rPr>
            </w:pPr>
            <w:r>
              <w:rPr>
                <w:rFonts w:ascii="Calibri" w:hAnsi="Calibri" w:cs="Calibri"/>
                <w:sz w:val="14"/>
                <w:szCs w:val="14"/>
                <w:lang w:eastAsia="lt-LT"/>
              </w:rPr>
              <w:t>–</w:t>
            </w:r>
            <w:r w:rsidR="0037767E" w:rsidRPr="00653DEC">
              <w:rPr>
                <w:rFonts w:ascii="Calibri" w:hAnsi="Calibri" w:cs="Calibri"/>
                <w:sz w:val="14"/>
                <w:szCs w:val="14"/>
                <w:lang w:eastAsia="lt-LT"/>
              </w:rPr>
              <w:t xml:space="preserve"> 11,357,578 </w:t>
            </w:r>
          </w:p>
        </w:tc>
      </w:tr>
      <w:tr w:rsidR="0037767E" w:rsidRPr="00653DEC" w:rsidTr="000E5DB0">
        <w:trPr>
          <w:trHeight w:val="333"/>
        </w:trPr>
        <w:tc>
          <w:tcPr>
            <w:tcW w:w="461" w:type="dxa"/>
            <w:tcBorders>
              <w:top w:val="nil"/>
              <w:left w:val="single" w:sz="8"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P7</w:t>
            </w:r>
          </w:p>
        </w:tc>
        <w:tc>
          <w:tcPr>
            <w:tcW w:w="688" w:type="dxa"/>
            <w:tcBorders>
              <w:top w:val="nil"/>
              <w:left w:val="nil"/>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VRM</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vMerge/>
            <w:tcBorders>
              <w:top w:val="nil"/>
              <w:left w:val="single" w:sz="4" w:space="0" w:color="auto"/>
              <w:bottom w:val="single" w:sz="8"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148"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85,235,647</w:t>
            </w:r>
          </w:p>
        </w:tc>
        <w:tc>
          <w:tcPr>
            <w:tcW w:w="12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51,439,365</w:t>
            </w:r>
          </w:p>
        </w:tc>
        <w:tc>
          <w:tcPr>
            <w:tcW w:w="1417"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60%</w:t>
            </w:r>
            <w:proofErr w:type="gramEnd"/>
          </w:p>
        </w:tc>
        <w:tc>
          <w:tcPr>
            <w:tcW w:w="992" w:type="dxa"/>
            <w:vMerge/>
            <w:tcBorders>
              <w:top w:val="nil"/>
              <w:left w:val="single" w:sz="4" w:space="0" w:color="auto"/>
              <w:bottom w:val="single" w:sz="8"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0000"/>
                <w:sz w:val="14"/>
                <w:szCs w:val="14"/>
                <w:lang w:eastAsia="lt-LT"/>
              </w:rPr>
            </w:pPr>
          </w:p>
        </w:tc>
        <w:tc>
          <w:tcPr>
            <w:tcW w:w="1134"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18,935,429</w:t>
            </w:r>
          </w:p>
        </w:tc>
        <w:tc>
          <w:tcPr>
            <w:tcW w:w="567" w:type="dxa"/>
            <w:vMerge/>
            <w:tcBorders>
              <w:top w:val="nil"/>
              <w:left w:val="single" w:sz="4" w:space="0" w:color="auto"/>
              <w:bottom w:val="single" w:sz="8" w:space="0" w:color="000000"/>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62,373,626</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0000"/>
                <w:sz w:val="14"/>
                <w:szCs w:val="14"/>
                <w:lang w:eastAsia="lt-LT"/>
              </w:rPr>
            </w:pPr>
          </w:p>
        </w:tc>
        <w:tc>
          <w:tcPr>
            <w:tcW w:w="2268" w:type="dxa"/>
            <w:vMerge/>
            <w:tcBorders>
              <w:top w:val="single" w:sz="4" w:space="0" w:color="auto"/>
              <w:left w:val="single" w:sz="4" w:space="0" w:color="auto"/>
              <w:bottom w:val="nil"/>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r>
      <w:tr w:rsidR="0037767E" w:rsidRPr="00653DEC" w:rsidTr="000E5DB0">
        <w:trPr>
          <w:trHeight w:val="322"/>
        </w:trPr>
        <w:tc>
          <w:tcPr>
            <w:tcW w:w="461" w:type="dxa"/>
            <w:tcBorders>
              <w:top w:val="nil"/>
              <w:left w:val="single" w:sz="8" w:space="0" w:color="auto"/>
              <w:bottom w:val="single" w:sz="8"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P7</w:t>
            </w:r>
          </w:p>
        </w:tc>
        <w:tc>
          <w:tcPr>
            <w:tcW w:w="688" w:type="dxa"/>
            <w:tcBorders>
              <w:top w:val="nil"/>
              <w:left w:val="nil"/>
              <w:bottom w:val="single" w:sz="8"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KM</w:t>
            </w:r>
          </w:p>
        </w:tc>
        <w:tc>
          <w:tcPr>
            <w:tcW w:w="709" w:type="dxa"/>
            <w:tcBorders>
              <w:top w:val="nil"/>
              <w:left w:val="nil"/>
              <w:bottom w:val="single" w:sz="8"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vMerge/>
            <w:tcBorders>
              <w:top w:val="nil"/>
              <w:left w:val="single" w:sz="4" w:space="0" w:color="auto"/>
              <w:bottom w:val="single" w:sz="8"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148" w:type="dxa"/>
            <w:tcBorders>
              <w:top w:val="nil"/>
              <w:left w:val="nil"/>
              <w:bottom w:val="single" w:sz="8" w:space="0" w:color="auto"/>
              <w:right w:val="nil"/>
            </w:tcBorders>
            <w:shd w:val="clear" w:color="auto" w:fill="F2F2F2" w:themeFill="background1" w:themeFillShade="F2"/>
            <w:noWrap/>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27,513,166</w:t>
            </w:r>
          </w:p>
        </w:tc>
        <w:tc>
          <w:tcPr>
            <w:tcW w:w="1262" w:type="dxa"/>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16,277,026</w:t>
            </w:r>
          </w:p>
        </w:tc>
        <w:tc>
          <w:tcPr>
            <w:tcW w:w="1417" w:type="dxa"/>
            <w:tcBorders>
              <w:top w:val="nil"/>
              <w:left w:val="nil"/>
              <w:bottom w:val="single" w:sz="8"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59%</w:t>
            </w:r>
            <w:proofErr w:type="gramEnd"/>
          </w:p>
        </w:tc>
        <w:tc>
          <w:tcPr>
            <w:tcW w:w="992" w:type="dxa"/>
            <w:vMerge/>
            <w:tcBorders>
              <w:top w:val="nil"/>
              <w:left w:val="single" w:sz="4" w:space="0" w:color="auto"/>
              <w:bottom w:val="single" w:sz="8"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0000"/>
                <w:sz w:val="14"/>
                <w:szCs w:val="14"/>
                <w:lang w:eastAsia="lt-LT"/>
              </w:rPr>
            </w:pPr>
          </w:p>
        </w:tc>
        <w:tc>
          <w:tcPr>
            <w:tcW w:w="1134" w:type="dxa"/>
            <w:tcBorders>
              <w:top w:val="nil"/>
              <w:left w:val="nil"/>
              <w:bottom w:val="single" w:sz="8"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6,112,156</w:t>
            </w:r>
          </w:p>
        </w:tc>
        <w:tc>
          <w:tcPr>
            <w:tcW w:w="567" w:type="dxa"/>
            <w:vMerge/>
            <w:tcBorders>
              <w:top w:val="nil"/>
              <w:left w:val="single" w:sz="4" w:space="0" w:color="auto"/>
              <w:bottom w:val="single" w:sz="8" w:space="0" w:color="000000"/>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22,986,696</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0000"/>
                <w:sz w:val="14"/>
                <w:szCs w:val="14"/>
                <w:lang w:eastAsia="lt-LT"/>
              </w:rPr>
            </w:pPr>
          </w:p>
        </w:tc>
        <w:tc>
          <w:tcPr>
            <w:tcW w:w="2268" w:type="dxa"/>
            <w:vMerge/>
            <w:tcBorders>
              <w:top w:val="single" w:sz="4" w:space="0" w:color="auto"/>
              <w:left w:val="single" w:sz="4" w:space="0" w:color="auto"/>
              <w:bottom w:val="single" w:sz="4" w:space="0" w:color="auto"/>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r>
      <w:tr w:rsidR="0037767E" w:rsidRPr="00653DEC" w:rsidTr="000E5DB0">
        <w:trPr>
          <w:trHeight w:val="357"/>
        </w:trPr>
        <w:tc>
          <w:tcPr>
            <w:tcW w:w="461"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P8</w:t>
            </w:r>
          </w:p>
        </w:tc>
        <w:tc>
          <w:tcPr>
            <w:tcW w:w="688" w:type="dxa"/>
            <w:tcBorders>
              <w:top w:val="nil"/>
              <w:left w:val="nil"/>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VRM</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85,707,382</w:t>
            </w:r>
          </w:p>
        </w:tc>
        <w:tc>
          <w:tcPr>
            <w:tcW w:w="1148"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12,980,043</w:t>
            </w:r>
          </w:p>
        </w:tc>
        <w:tc>
          <w:tcPr>
            <w:tcW w:w="12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4,821,672</w:t>
            </w:r>
          </w:p>
        </w:tc>
        <w:tc>
          <w:tcPr>
            <w:tcW w:w="1417"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37%</w:t>
            </w:r>
            <w:proofErr w:type="gramEnd"/>
          </w:p>
        </w:tc>
        <w:tc>
          <w:tcPr>
            <w:tcW w:w="992"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FF0000"/>
                <w:sz w:val="14"/>
                <w:szCs w:val="14"/>
                <w:lang w:eastAsia="lt-LT"/>
              </w:rPr>
            </w:pPr>
            <w:proofErr w:type="gramStart"/>
            <w:r w:rsidRPr="00653DEC">
              <w:rPr>
                <w:rFonts w:ascii="Calibri" w:hAnsi="Calibri" w:cs="Calibri"/>
                <w:b/>
                <w:bCs/>
                <w:color w:val="FF0000"/>
                <w:sz w:val="14"/>
                <w:szCs w:val="14"/>
                <w:lang w:eastAsia="lt-LT"/>
              </w:rPr>
              <w:t>61%</w:t>
            </w:r>
            <w:proofErr w:type="gramEnd"/>
          </w:p>
        </w:tc>
        <w:tc>
          <w:tcPr>
            <w:tcW w:w="1134"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2,867,238</w:t>
            </w:r>
          </w:p>
        </w:tc>
        <w:tc>
          <w:tcPr>
            <w:tcW w:w="567" w:type="dxa"/>
            <w:vMerge w:val="restart"/>
            <w:tcBorders>
              <w:top w:val="nil"/>
              <w:left w:val="single" w:sz="4" w:space="0" w:color="auto"/>
              <w:bottom w:val="single" w:sz="4" w:space="0" w:color="000000"/>
              <w:right w:val="single" w:sz="8"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9,303,753</w:t>
            </w:r>
          </w:p>
        </w:tc>
        <w:tc>
          <w:tcPr>
            <w:tcW w:w="1276" w:type="dxa"/>
            <w:vMerge w:val="restart"/>
            <w:tcBorders>
              <w:top w:val="nil"/>
              <w:left w:val="single" w:sz="4" w:space="0" w:color="auto"/>
              <w:bottom w:val="single" w:sz="4" w:space="0" w:color="000000"/>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00B050"/>
                <w:sz w:val="14"/>
                <w:szCs w:val="14"/>
                <w:lang w:eastAsia="lt-LT"/>
              </w:rPr>
            </w:pPr>
            <w:proofErr w:type="gramStart"/>
            <w:r w:rsidRPr="00653DEC">
              <w:rPr>
                <w:rFonts w:ascii="Calibri" w:hAnsi="Calibri" w:cs="Calibri"/>
                <w:b/>
                <w:bCs/>
                <w:color w:val="00B050"/>
                <w:sz w:val="14"/>
                <w:szCs w:val="14"/>
                <w:lang w:eastAsia="lt-LT"/>
              </w:rPr>
              <w:t>94%</w:t>
            </w:r>
            <w:proofErr w:type="gramEnd"/>
          </w:p>
        </w:tc>
        <w:tc>
          <w:tcPr>
            <w:tcW w:w="2268"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7,611,420</w:t>
            </w:r>
          </w:p>
        </w:tc>
      </w:tr>
      <w:tr w:rsidR="0037767E" w:rsidRPr="00653DEC" w:rsidTr="000E5DB0">
        <w:trPr>
          <w:trHeight w:val="415"/>
        </w:trPr>
        <w:tc>
          <w:tcPr>
            <w:tcW w:w="461"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P8</w:t>
            </w:r>
          </w:p>
        </w:tc>
        <w:tc>
          <w:tcPr>
            <w:tcW w:w="688" w:type="dxa"/>
            <w:tcBorders>
              <w:top w:val="nil"/>
              <w:left w:val="nil"/>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SADM</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148"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27,124,920</w:t>
            </w:r>
          </w:p>
        </w:tc>
        <w:tc>
          <w:tcPr>
            <w:tcW w:w="12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22,200,700</w:t>
            </w:r>
          </w:p>
        </w:tc>
        <w:tc>
          <w:tcPr>
            <w:tcW w:w="1417"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82%</w:t>
            </w:r>
            <w:proofErr w:type="gramEnd"/>
          </w:p>
        </w:tc>
        <w:tc>
          <w:tcPr>
            <w:tcW w:w="99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0000"/>
                <w:sz w:val="14"/>
                <w:szCs w:val="14"/>
                <w:lang w:eastAsia="lt-LT"/>
              </w:rPr>
            </w:pPr>
          </w:p>
        </w:tc>
        <w:tc>
          <w:tcPr>
            <w:tcW w:w="1134"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5,991,784</w:t>
            </w:r>
          </w:p>
        </w:tc>
        <w:tc>
          <w:tcPr>
            <w:tcW w:w="567" w:type="dxa"/>
            <w:vMerge/>
            <w:tcBorders>
              <w:top w:val="nil"/>
              <w:left w:val="single" w:sz="4" w:space="0" w:color="auto"/>
              <w:bottom w:val="single" w:sz="4" w:space="0" w:color="000000"/>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26,643,741</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00B050"/>
                <w:sz w:val="14"/>
                <w:szCs w:val="14"/>
                <w:lang w:eastAsia="lt-LT"/>
              </w:rPr>
            </w:pPr>
          </w:p>
        </w:tc>
        <w:tc>
          <w:tcPr>
            <w:tcW w:w="226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r>
      <w:tr w:rsidR="0037767E" w:rsidRPr="00653DEC" w:rsidTr="000E5DB0">
        <w:trPr>
          <w:trHeight w:val="351"/>
        </w:trPr>
        <w:tc>
          <w:tcPr>
            <w:tcW w:w="461"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P8</w:t>
            </w:r>
          </w:p>
        </w:tc>
        <w:tc>
          <w:tcPr>
            <w:tcW w:w="688"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SAM</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148"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45,602,419</w:t>
            </w:r>
          </w:p>
        </w:tc>
        <w:tc>
          <w:tcPr>
            <w:tcW w:w="12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25,448,021</w:t>
            </w:r>
          </w:p>
        </w:tc>
        <w:tc>
          <w:tcPr>
            <w:tcW w:w="1417"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56%</w:t>
            </w:r>
            <w:proofErr w:type="gramEnd"/>
          </w:p>
        </w:tc>
        <w:tc>
          <w:tcPr>
            <w:tcW w:w="992"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FF0000"/>
                <w:sz w:val="14"/>
                <w:szCs w:val="14"/>
                <w:lang w:eastAsia="lt-LT"/>
              </w:rPr>
            </w:pPr>
          </w:p>
        </w:tc>
        <w:tc>
          <w:tcPr>
            <w:tcW w:w="1134"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10,073,387</w:t>
            </w:r>
          </w:p>
        </w:tc>
        <w:tc>
          <w:tcPr>
            <w:tcW w:w="567" w:type="dxa"/>
            <w:vMerge/>
            <w:tcBorders>
              <w:top w:val="nil"/>
              <w:left w:val="single" w:sz="4" w:space="0" w:color="auto"/>
              <w:bottom w:val="single" w:sz="4" w:space="0" w:color="000000"/>
              <w:right w:val="single" w:sz="8"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44,515,201</w:t>
            </w:r>
          </w:p>
        </w:tc>
        <w:tc>
          <w:tcPr>
            <w:tcW w:w="1276" w:type="dxa"/>
            <w:vMerge/>
            <w:tcBorders>
              <w:top w:val="nil"/>
              <w:left w:val="single" w:sz="4" w:space="0" w:color="auto"/>
              <w:bottom w:val="single" w:sz="4" w:space="0" w:color="000000"/>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b/>
                <w:bCs/>
                <w:color w:val="00B050"/>
                <w:sz w:val="14"/>
                <w:szCs w:val="14"/>
                <w:lang w:eastAsia="lt-LT"/>
              </w:rPr>
            </w:pPr>
          </w:p>
        </w:tc>
        <w:tc>
          <w:tcPr>
            <w:tcW w:w="2268"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rPr>
                <w:rFonts w:ascii="Calibri" w:hAnsi="Calibri" w:cs="Calibri"/>
                <w:sz w:val="14"/>
                <w:szCs w:val="14"/>
                <w:lang w:eastAsia="lt-LT"/>
              </w:rPr>
            </w:pPr>
          </w:p>
        </w:tc>
      </w:tr>
      <w:tr w:rsidR="0037767E" w:rsidRPr="00653DEC" w:rsidTr="000E5DB0">
        <w:trPr>
          <w:trHeight w:val="380"/>
        </w:trPr>
        <w:tc>
          <w:tcPr>
            <w:tcW w:w="461" w:type="dxa"/>
            <w:tcBorders>
              <w:top w:val="nil"/>
              <w:left w:val="single" w:sz="8" w:space="0" w:color="auto"/>
              <w:bottom w:val="single" w:sz="4"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P9</w:t>
            </w:r>
          </w:p>
        </w:tc>
        <w:tc>
          <w:tcPr>
            <w:tcW w:w="688"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ŠMM</w:t>
            </w:r>
          </w:p>
        </w:tc>
        <w:tc>
          <w:tcPr>
            <w:tcW w:w="709"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ERPF</w:t>
            </w:r>
          </w:p>
        </w:tc>
        <w:tc>
          <w:tcPr>
            <w:tcW w:w="1276" w:type="dxa"/>
            <w:tcBorders>
              <w:top w:val="nil"/>
              <w:left w:val="single" w:sz="4" w:space="0" w:color="auto"/>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21,415,750</w:t>
            </w:r>
          </w:p>
        </w:tc>
        <w:tc>
          <w:tcPr>
            <w:tcW w:w="1148" w:type="dxa"/>
            <w:tcBorders>
              <w:top w:val="nil"/>
              <w:left w:val="single" w:sz="4" w:space="0" w:color="auto"/>
              <w:bottom w:val="single" w:sz="4" w:space="0" w:color="auto"/>
              <w:right w:val="nil"/>
            </w:tcBorders>
            <w:shd w:val="clear" w:color="auto" w:fill="F2F2F2" w:themeFill="background1" w:themeFillShade="F2"/>
            <w:noWrap/>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21,415,750</w:t>
            </w:r>
          </w:p>
        </w:tc>
        <w:tc>
          <w:tcPr>
            <w:tcW w:w="126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13,164,277</w:t>
            </w:r>
          </w:p>
        </w:tc>
        <w:tc>
          <w:tcPr>
            <w:tcW w:w="1417"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61%</w:t>
            </w:r>
            <w:proofErr w:type="gramEnd"/>
          </w:p>
        </w:tc>
        <w:tc>
          <w:tcPr>
            <w:tcW w:w="992"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FF0000"/>
                <w:sz w:val="14"/>
                <w:szCs w:val="14"/>
                <w:lang w:eastAsia="lt-LT"/>
              </w:rPr>
            </w:pPr>
            <w:proofErr w:type="gramStart"/>
            <w:r w:rsidRPr="00653DEC">
              <w:rPr>
                <w:rFonts w:ascii="Calibri" w:hAnsi="Calibri" w:cs="Calibri"/>
                <w:b/>
                <w:bCs/>
                <w:color w:val="FF0000"/>
                <w:sz w:val="14"/>
                <w:szCs w:val="14"/>
                <w:lang w:eastAsia="lt-LT"/>
              </w:rPr>
              <w:t>61%</w:t>
            </w:r>
            <w:proofErr w:type="gramEnd"/>
          </w:p>
        </w:tc>
        <w:tc>
          <w:tcPr>
            <w:tcW w:w="1134" w:type="dxa"/>
            <w:tcBorders>
              <w:top w:val="nil"/>
              <w:left w:val="nil"/>
              <w:bottom w:val="single" w:sz="4"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12,512,910</w:t>
            </w:r>
          </w:p>
        </w:tc>
        <w:tc>
          <w:tcPr>
            <w:tcW w:w="567" w:type="dxa"/>
            <w:tcBorders>
              <w:top w:val="nil"/>
              <w:left w:val="single" w:sz="4" w:space="0" w:color="auto"/>
              <w:bottom w:val="single" w:sz="4" w:space="0" w:color="auto"/>
              <w:right w:val="single" w:sz="8"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3</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25,262,085</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00B050"/>
                <w:sz w:val="14"/>
                <w:szCs w:val="14"/>
                <w:lang w:eastAsia="lt-LT"/>
              </w:rPr>
            </w:pPr>
            <w:proofErr w:type="gramStart"/>
            <w:r w:rsidRPr="00653DEC">
              <w:rPr>
                <w:rFonts w:ascii="Calibri" w:hAnsi="Calibri" w:cs="Calibri"/>
                <w:b/>
                <w:bCs/>
                <w:color w:val="00B050"/>
                <w:sz w:val="14"/>
                <w:szCs w:val="14"/>
                <w:lang w:eastAsia="lt-LT"/>
              </w:rPr>
              <w:t>118%</w:t>
            </w:r>
            <w:proofErr w:type="gramEnd"/>
          </w:p>
        </w:tc>
        <w:tc>
          <w:tcPr>
            <w:tcW w:w="2268" w:type="dxa"/>
            <w:tcBorders>
              <w:top w:val="single" w:sz="4" w:space="0" w:color="auto"/>
              <w:left w:val="nil"/>
              <w:bottom w:val="single" w:sz="4" w:space="0" w:color="auto"/>
              <w:right w:val="single" w:sz="8" w:space="0" w:color="auto"/>
            </w:tcBorders>
            <w:shd w:val="clear" w:color="auto" w:fill="F2F2F2" w:themeFill="background1" w:themeFillShade="F2"/>
            <w:noWrap/>
            <w:vAlign w:val="center"/>
            <w:hideMark/>
          </w:tcPr>
          <w:p w:rsidR="0037767E" w:rsidRPr="00653DEC" w:rsidRDefault="0037767E" w:rsidP="00E96291">
            <w:pPr>
              <w:jc w:val="center"/>
              <w:rPr>
                <w:rFonts w:ascii="Calibri" w:hAnsi="Calibri" w:cs="Calibri"/>
                <w:sz w:val="14"/>
                <w:szCs w:val="14"/>
                <w:lang w:eastAsia="lt-LT"/>
              </w:rPr>
            </w:pPr>
            <w:r w:rsidRPr="00653DEC">
              <w:rPr>
                <w:rFonts w:ascii="Calibri" w:hAnsi="Calibri" w:cs="Calibri"/>
                <w:sz w:val="14"/>
                <w:szCs w:val="14"/>
                <w:lang w:eastAsia="lt-LT"/>
              </w:rPr>
              <w:t>9,200,27</w:t>
            </w:r>
            <w:r w:rsidR="00F17397">
              <w:rPr>
                <w:rFonts w:ascii="Calibri" w:hAnsi="Calibri" w:cs="Calibri"/>
                <w:sz w:val="14"/>
                <w:szCs w:val="14"/>
                <w:lang w:eastAsia="lt-LT"/>
              </w:rPr>
              <w:t>3</w:t>
            </w:r>
          </w:p>
        </w:tc>
      </w:tr>
      <w:tr w:rsidR="00A101A9" w:rsidRPr="00653DEC" w:rsidTr="007E5145">
        <w:trPr>
          <w:trHeight w:val="397"/>
        </w:trPr>
        <w:tc>
          <w:tcPr>
            <w:tcW w:w="461" w:type="dxa"/>
            <w:tcBorders>
              <w:top w:val="nil"/>
              <w:left w:val="single" w:sz="8" w:space="0" w:color="auto"/>
              <w:bottom w:val="single" w:sz="8" w:space="0" w:color="auto"/>
              <w:right w:val="single" w:sz="4" w:space="0" w:color="auto"/>
            </w:tcBorders>
            <w:shd w:val="clear" w:color="auto" w:fill="F2F2F2" w:themeFill="background1" w:themeFillShade="F2"/>
            <w:vAlign w:val="center"/>
          </w:tcPr>
          <w:p w:rsidR="00A101A9" w:rsidRPr="00653DEC" w:rsidRDefault="00A101A9" w:rsidP="0037767E">
            <w:pPr>
              <w:jc w:val="center"/>
              <w:rPr>
                <w:rFonts w:ascii="Calibri" w:hAnsi="Calibri" w:cs="Calibri"/>
                <w:sz w:val="14"/>
                <w:szCs w:val="14"/>
                <w:lang w:eastAsia="lt-LT"/>
              </w:rPr>
            </w:pPr>
            <w:r>
              <w:rPr>
                <w:rFonts w:ascii="Calibri" w:hAnsi="Calibri" w:cs="Calibri"/>
                <w:sz w:val="14"/>
                <w:szCs w:val="14"/>
                <w:lang w:eastAsia="lt-LT"/>
              </w:rPr>
              <w:t>P9</w:t>
            </w:r>
          </w:p>
        </w:tc>
        <w:tc>
          <w:tcPr>
            <w:tcW w:w="688" w:type="dxa"/>
            <w:tcBorders>
              <w:top w:val="nil"/>
              <w:left w:val="nil"/>
              <w:bottom w:val="single" w:sz="8" w:space="0" w:color="auto"/>
              <w:right w:val="single" w:sz="4" w:space="0" w:color="auto"/>
            </w:tcBorders>
            <w:shd w:val="clear" w:color="auto" w:fill="F2F2F2" w:themeFill="background1" w:themeFillShade="F2"/>
            <w:vAlign w:val="center"/>
          </w:tcPr>
          <w:p w:rsidR="00A101A9" w:rsidRPr="00653DEC" w:rsidRDefault="00A101A9" w:rsidP="0037767E">
            <w:pPr>
              <w:jc w:val="center"/>
              <w:rPr>
                <w:rFonts w:ascii="Calibri" w:hAnsi="Calibri" w:cs="Calibri"/>
                <w:b/>
                <w:bCs/>
                <w:sz w:val="14"/>
                <w:szCs w:val="14"/>
                <w:lang w:eastAsia="lt-LT"/>
              </w:rPr>
            </w:pPr>
            <w:r>
              <w:rPr>
                <w:rFonts w:ascii="Calibri" w:hAnsi="Calibri" w:cs="Calibri"/>
                <w:b/>
                <w:bCs/>
                <w:sz w:val="14"/>
                <w:szCs w:val="14"/>
                <w:lang w:eastAsia="lt-LT"/>
              </w:rPr>
              <w:t>ŠMM</w:t>
            </w:r>
          </w:p>
        </w:tc>
        <w:tc>
          <w:tcPr>
            <w:tcW w:w="709" w:type="dxa"/>
            <w:tcBorders>
              <w:top w:val="nil"/>
              <w:left w:val="nil"/>
              <w:bottom w:val="single" w:sz="8" w:space="0" w:color="auto"/>
              <w:right w:val="single" w:sz="4" w:space="0" w:color="auto"/>
            </w:tcBorders>
            <w:shd w:val="clear" w:color="auto" w:fill="F2F2F2" w:themeFill="background1" w:themeFillShade="F2"/>
            <w:vAlign w:val="center"/>
          </w:tcPr>
          <w:p w:rsidR="00A101A9" w:rsidRPr="00653DEC" w:rsidRDefault="00A101A9" w:rsidP="0037767E">
            <w:pPr>
              <w:jc w:val="center"/>
              <w:rPr>
                <w:rFonts w:ascii="Calibri" w:hAnsi="Calibri" w:cs="Calibri"/>
                <w:sz w:val="14"/>
                <w:szCs w:val="14"/>
                <w:lang w:eastAsia="lt-LT"/>
              </w:rPr>
            </w:pPr>
            <w:r>
              <w:rPr>
                <w:rFonts w:ascii="Calibri" w:hAnsi="Calibri" w:cs="Calibri"/>
                <w:sz w:val="14"/>
                <w:szCs w:val="14"/>
                <w:lang w:eastAsia="lt-LT"/>
              </w:rPr>
              <w:t>ESF</w:t>
            </w:r>
          </w:p>
        </w:tc>
        <w:tc>
          <w:tcPr>
            <w:tcW w:w="1276" w:type="dxa"/>
            <w:vMerge w:val="restart"/>
            <w:tcBorders>
              <w:top w:val="nil"/>
              <w:left w:val="single" w:sz="4" w:space="0" w:color="auto"/>
              <w:right w:val="nil"/>
            </w:tcBorders>
            <w:shd w:val="clear" w:color="auto" w:fill="F2F2F2" w:themeFill="background1" w:themeFillShade="F2"/>
            <w:vAlign w:val="center"/>
          </w:tcPr>
          <w:p w:rsidR="00A101A9" w:rsidRPr="00653DEC" w:rsidRDefault="00A101A9" w:rsidP="0037767E">
            <w:pPr>
              <w:jc w:val="center"/>
              <w:rPr>
                <w:rFonts w:ascii="Calibri" w:hAnsi="Calibri" w:cs="Calibri"/>
                <w:sz w:val="14"/>
                <w:szCs w:val="14"/>
                <w:lang w:eastAsia="lt-LT"/>
              </w:rPr>
            </w:pPr>
            <w:r w:rsidRPr="00A101A9">
              <w:rPr>
                <w:rFonts w:ascii="Calibri" w:hAnsi="Calibri" w:cs="Calibri"/>
                <w:sz w:val="14"/>
                <w:szCs w:val="14"/>
                <w:lang w:eastAsia="lt-LT"/>
              </w:rPr>
              <w:t>98</w:t>
            </w:r>
            <w:r>
              <w:rPr>
                <w:rFonts w:ascii="Calibri" w:hAnsi="Calibri" w:cs="Calibri"/>
                <w:sz w:val="14"/>
                <w:szCs w:val="14"/>
                <w:lang w:eastAsia="lt-LT"/>
              </w:rPr>
              <w:t>,</w:t>
            </w:r>
            <w:r w:rsidRPr="00A101A9">
              <w:rPr>
                <w:rFonts w:ascii="Calibri" w:hAnsi="Calibri" w:cs="Calibri"/>
                <w:sz w:val="14"/>
                <w:szCs w:val="14"/>
                <w:lang w:eastAsia="lt-LT"/>
              </w:rPr>
              <w:t>998</w:t>
            </w:r>
            <w:r>
              <w:rPr>
                <w:rFonts w:ascii="Calibri" w:hAnsi="Calibri" w:cs="Calibri"/>
                <w:sz w:val="14"/>
                <w:szCs w:val="14"/>
                <w:lang w:eastAsia="lt-LT"/>
              </w:rPr>
              <w:t>,</w:t>
            </w:r>
            <w:r w:rsidRPr="00A101A9">
              <w:rPr>
                <w:rFonts w:ascii="Calibri" w:hAnsi="Calibri" w:cs="Calibri"/>
                <w:sz w:val="14"/>
                <w:szCs w:val="14"/>
                <w:lang w:eastAsia="lt-LT"/>
              </w:rPr>
              <w:t>708</w:t>
            </w:r>
          </w:p>
        </w:tc>
        <w:tc>
          <w:tcPr>
            <w:tcW w:w="1148" w:type="dxa"/>
            <w:tcBorders>
              <w:top w:val="nil"/>
              <w:left w:val="single" w:sz="4" w:space="0" w:color="auto"/>
              <w:bottom w:val="single" w:sz="8" w:space="0" w:color="auto"/>
              <w:right w:val="nil"/>
            </w:tcBorders>
            <w:shd w:val="clear" w:color="auto" w:fill="F2F2F2" w:themeFill="background1" w:themeFillShade="F2"/>
            <w:vAlign w:val="center"/>
          </w:tcPr>
          <w:p w:rsidR="00A101A9" w:rsidRPr="00653DEC" w:rsidRDefault="00A101A9" w:rsidP="00653DEC">
            <w:pPr>
              <w:jc w:val="center"/>
              <w:rPr>
                <w:rFonts w:ascii="Calibri" w:hAnsi="Calibri" w:cs="Calibri"/>
                <w:sz w:val="14"/>
                <w:szCs w:val="14"/>
                <w:lang w:eastAsia="lt-LT"/>
              </w:rPr>
            </w:pPr>
            <w:r w:rsidRPr="00A101A9">
              <w:rPr>
                <w:rFonts w:ascii="Calibri" w:hAnsi="Calibri" w:cs="Calibri"/>
                <w:sz w:val="14"/>
                <w:szCs w:val="14"/>
                <w:lang w:eastAsia="lt-LT"/>
              </w:rPr>
              <w:t>69,366,670</w:t>
            </w:r>
          </w:p>
        </w:tc>
        <w:tc>
          <w:tcPr>
            <w:tcW w:w="1262" w:type="dxa"/>
            <w:tcBorders>
              <w:top w:val="nil"/>
              <w:left w:val="single" w:sz="4" w:space="0" w:color="auto"/>
              <w:bottom w:val="single" w:sz="8" w:space="0" w:color="auto"/>
              <w:right w:val="single" w:sz="4" w:space="0" w:color="auto"/>
            </w:tcBorders>
            <w:shd w:val="clear" w:color="auto" w:fill="F2F2F2" w:themeFill="background1" w:themeFillShade="F2"/>
            <w:noWrap/>
            <w:vAlign w:val="center"/>
          </w:tcPr>
          <w:p w:rsidR="00A101A9" w:rsidRPr="00653DEC" w:rsidRDefault="00A101A9" w:rsidP="0037767E">
            <w:pPr>
              <w:jc w:val="center"/>
              <w:rPr>
                <w:rFonts w:ascii="Calibri" w:hAnsi="Calibri" w:cs="Calibri"/>
                <w:color w:val="000000"/>
                <w:sz w:val="14"/>
                <w:szCs w:val="14"/>
                <w:lang w:eastAsia="lt-LT"/>
              </w:rPr>
            </w:pPr>
            <w:r w:rsidRPr="00A101A9">
              <w:rPr>
                <w:rFonts w:ascii="Calibri" w:hAnsi="Calibri" w:cs="Calibri"/>
                <w:color w:val="000000"/>
                <w:sz w:val="14"/>
                <w:szCs w:val="14"/>
                <w:lang w:eastAsia="lt-LT"/>
              </w:rPr>
              <w:t>59,083,000</w:t>
            </w:r>
          </w:p>
        </w:tc>
        <w:tc>
          <w:tcPr>
            <w:tcW w:w="1417" w:type="dxa"/>
            <w:tcBorders>
              <w:top w:val="nil"/>
              <w:left w:val="nil"/>
              <w:bottom w:val="single" w:sz="8" w:space="0" w:color="auto"/>
              <w:right w:val="nil"/>
            </w:tcBorders>
            <w:shd w:val="clear" w:color="auto" w:fill="F2F2F2" w:themeFill="background1" w:themeFillShade="F2"/>
            <w:noWrap/>
            <w:vAlign w:val="center"/>
          </w:tcPr>
          <w:p w:rsidR="00A101A9" w:rsidRPr="00653DEC" w:rsidRDefault="00A101A9" w:rsidP="0037767E">
            <w:pPr>
              <w:jc w:val="center"/>
              <w:rPr>
                <w:rFonts w:ascii="Calibri" w:hAnsi="Calibri" w:cs="Calibri"/>
                <w:sz w:val="14"/>
                <w:szCs w:val="14"/>
                <w:lang w:eastAsia="lt-LT"/>
              </w:rPr>
            </w:pPr>
            <w:proofErr w:type="gramStart"/>
            <w:r>
              <w:rPr>
                <w:rFonts w:ascii="Calibri" w:hAnsi="Calibri" w:cs="Calibri"/>
                <w:sz w:val="14"/>
                <w:szCs w:val="14"/>
                <w:lang w:eastAsia="lt-LT"/>
              </w:rPr>
              <w:t>85</w:t>
            </w:r>
            <w:r w:rsidRPr="00653DEC">
              <w:rPr>
                <w:rFonts w:ascii="Calibri" w:hAnsi="Calibri" w:cs="Calibri"/>
                <w:sz w:val="14"/>
                <w:szCs w:val="14"/>
                <w:lang w:eastAsia="lt-LT"/>
              </w:rPr>
              <w:t>%</w:t>
            </w:r>
            <w:proofErr w:type="gramEnd"/>
          </w:p>
        </w:tc>
        <w:tc>
          <w:tcPr>
            <w:tcW w:w="992" w:type="dxa"/>
            <w:vMerge w:val="restart"/>
            <w:tcBorders>
              <w:top w:val="nil"/>
              <w:left w:val="single" w:sz="4" w:space="0" w:color="auto"/>
              <w:right w:val="single" w:sz="4" w:space="0" w:color="auto"/>
            </w:tcBorders>
            <w:shd w:val="clear" w:color="auto" w:fill="F2F2F2" w:themeFill="background1" w:themeFillShade="F2"/>
            <w:noWrap/>
            <w:vAlign w:val="center"/>
          </w:tcPr>
          <w:p w:rsidR="00A101A9" w:rsidRPr="00653DEC" w:rsidRDefault="00A101A9" w:rsidP="0037767E">
            <w:pPr>
              <w:jc w:val="center"/>
              <w:rPr>
                <w:rFonts w:ascii="Calibri" w:hAnsi="Calibri" w:cs="Calibri"/>
                <w:b/>
                <w:bCs/>
                <w:color w:val="FF0000"/>
                <w:sz w:val="14"/>
                <w:szCs w:val="14"/>
                <w:lang w:eastAsia="lt-LT"/>
              </w:rPr>
            </w:pPr>
            <w:proofErr w:type="gramStart"/>
            <w:r w:rsidRPr="00A101A9">
              <w:rPr>
                <w:rFonts w:ascii="Calibri" w:hAnsi="Calibri" w:cs="Calibri"/>
                <w:b/>
                <w:bCs/>
                <w:color w:val="FFC000"/>
                <w:sz w:val="14"/>
                <w:szCs w:val="14"/>
                <w:lang w:eastAsia="lt-LT"/>
              </w:rPr>
              <w:t>76</w:t>
            </w:r>
            <w:r w:rsidRPr="00A101A9">
              <w:rPr>
                <w:rFonts w:ascii="Calibri" w:hAnsi="Calibri" w:cs="Calibri"/>
                <w:color w:val="FFC000"/>
                <w:sz w:val="14"/>
                <w:szCs w:val="14"/>
                <w:lang w:eastAsia="lt-LT"/>
              </w:rPr>
              <w:t>%</w:t>
            </w:r>
            <w:proofErr w:type="gramEnd"/>
          </w:p>
        </w:tc>
        <w:tc>
          <w:tcPr>
            <w:tcW w:w="1134" w:type="dxa"/>
            <w:tcBorders>
              <w:top w:val="nil"/>
              <w:left w:val="nil"/>
              <w:bottom w:val="single" w:sz="8" w:space="0" w:color="auto"/>
              <w:right w:val="nil"/>
            </w:tcBorders>
            <w:shd w:val="clear" w:color="auto" w:fill="F2F2F2" w:themeFill="background1" w:themeFillShade="F2"/>
            <w:noWrap/>
            <w:vAlign w:val="center"/>
          </w:tcPr>
          <w:p w:rsidR="00A101A9" w:rsidRPr="00653DEC" w:rsidRDefault="00A101A9" w:rsidP="0037767E">
            <w:pPr>
              <w:jc w:val="center"/>
              <w:rPr>
                <w:rFonts w:ascii="Calibri" w:hAnsi="Calibri" w:cs="Calibri"/>
                <w:b/>
                <w:bCs/>
                <w:color w:val="7030A0"/>
                <w:sz w:val="14"/>
                <w:szCs w:val="14"/>
                <w:lang w:eastAsia="lt-LT"/>
              </w:rPr>
            </w:pPr>
            <w:r w:rsidRPr="00A101A9">
              <w:rPr>
                <w:rFonts w:ascii="Calibri" w:hAnsi="Calibri" w:cs="Calibri"/>
                <w:b/>
                <w:bCs/>
                <w:color w:val="7030A0"/>
                <w:sz w:val="14"/>
                <w:szCs w:val="14"/>
                <w:lang w:eastAsia="lt-LT"/>
              </w:rPr>
              <w:t>22,824,815</w:t>
            </w:r>
          </w:p>
        </w:tc>
        <w:tc>
          <w:tcPr>
            <w:tcW w:w="567" w:type="dxa"/>
            <w:vMerge w:val="restart"/>
            <w:tcBorders>
              <w:top w:val="nil"/>
              <w:left w:val="single" w:sz="4" w:space="0" w:color="auto"/>
              <w:right w:val="single" w:sz="8" w:space="0" w:color="auto"/>
            </w:tcBorders>
            <w:shd w:val="clear" w:color="auto" w:fill="F2F2F2" w:themeFill="background1" w:themeFillShade="F2"/>
            <w:vAlign w:val="center"/>
          </w:tcPr>
          <w:p w:rsidR="00A101A9" w:rsidRPr="00653DEC" w:rsidRDefault="00A101A9" w:rsidP="0037767E">
            <w:pPr>
              <w:jc w:val="center"/>
              <w:rPr>
                <w:rFonts w:ascii="Calibri" w:hAnsi="Calibri" w:cs="Calibri"/>
                <w:sz w:val="14"/>
                <w:szCs w:val="14"/>
                <w:lang w:eastAsia="lt-LT"/>
              </w:rPr>
            </w:pPr>
            <w:r>
              <w:rPr>
                <w:rFonts w:ascii="Calibri" w:hAnsi="Calibri" w:cs="Calibri"/>
                <w:sz w:val="14"/>
                <w:szCs w:val="14"/>
                <w:lang w:eastAsia="lt-LT"/>
              </w:rPr>
              <w:t>4</w:t>
            </w:r>
          </w:p>
        </w:tc>
        <w:tc>
          <w:tcPr>
            <w:tcW w:w="1276" w:type="dxa"/>
            <w:tcBorders>
              <w:top w:val="nil"/>
              <w:left w:val="nil"/>
              <w:bottom w:val="single" w:sz="8" w:space="0" w:color="auto"/>
              <w:right w:val="single" w:sz="4" w:space="0" w:color="auto"/>
            </w:tcBorders>
            <w:shd w:val="clear" w:color="auto" w:fill="F2F2F2" w:themeFill="background1" w:themeFillShade="F2"/>
            <w:noWrap/>
            <w:vAlign w:val="center"/>
          </w:tcPr>
          <w:p w:rsidR="00A101A9" w:rsidRPr="00653DEC" w:rsidRDefault="00A101A9" w:rsidP="00653DEC">
            <w:pPr>
              <w:jc w:val="center"/>
              <w:rPr>
                <w:rFonts w:ascii="Calibri" w:hAnsi="Calibri" w:cs="Calibri"/>
                <w:color w:val="000000"/>
                <w:sz w:val="14"/>
                <w:szCs w:val="14"/>
                <w:lang w:eastAsia="lt-LT"/>
              </w:rPr>
            </w:pPr>
            <w:r w:rsidRPr="00A101A9">
              <w:rPr>
                <w:rFonts w:ascii="Calibri" w:hAnsi="Calibri" w:cs="Calibri"/>
                <w:color w:val="000000"/>
                <w:sz w:val="14"/>
                <w:szCs w:val="14"/>
                <w:lang w:eastAsia="lt-LT"/>
              </w:rPr>
              <w:t>58,485,000</w:t>
            </w:r>
          </w:p>
        </w:tc>
        <w:tc>
          <w:tcPr>
            <w:tcW w:w="1276" w:type="dxa"/>
            <w:vMerge w:val="restart"/>
            <w:tcBorders>
              <w:top w:val="nil"/>
              <w:left w:val="nil"/>
              <w:right w:val="single" w:sz="4" w:space="0" w:color="auto"/>
            </w:tcBorders>
            <w:shd w:val="clear" w:color="auto" w:fill="F2F2F2" w:themeFill="background1" w:themeFillShade="F2"/>
            <w:noWrap/>
            <w:vAlign w:val="center"/>
          </w:tcPr>
          <w:p w:rsidR="00A101A9" w:rsidRPr="00612824" w:rsidRDefault="00A101A9" w:rsidP="0037767E">
            <w:pPr>
              <w:jc w:val="center"/>
              <w:rPr>
                <w:rFonts w:ascii="Calibri" w:hAnsi="Calibri" w:cs="Calibri"/>
                <w:b/>
                <w:bCs/>
                <w:color w:val="FFC000"/>
                <w:sz w:val="14"/>
                <w:szCs w:val="14"/>
                <w:lang w:eastAsia="lt-LT"/>
              </w:rPr>
            </w:pPr>
            <w:proofErr w:type="gramStart"/>
            <w:r w:rsidRPr="00933B23">
              <w:rPr>
                <w:rFonts w:ascii="Calibri" w:hAnsi="Calibri" w:cs="Calibri"/>
                <w:b/>
                <w:bCs/>
                <w:color w:val="FFC000"/>
                <w:sz w:val="14"/>
                <w:szCs w:val="14"/>
                <w:lang w:eastAsia="lt-LT"/>
              </w:rPr>
              <w:t>77</w:t>
            </w:r>
            <w:r w:rsidRPr="00933B23">
              <w:rPr>
                <w:rFonts w:ascii="Calibri" w:hAnsi="Calibri" w:cs="Calibri"/>
                <w:color w:val="FFC000"/>
                <w:sz w:val="14"/>
                <w:szCs w:val="14"/>
                <w:lang w:eastAsia="lt-LT"/>
              </w:rPr>
              <w:t>%</w:t>
            </w:r>
            <w:proofErr w:type="gramEnd"/>
          </w:p>
        </w:tc>
        <w:tc>
          <w:tcPr>
            <w:tcW w:w="2268" w:type="dxa"/>
            <w:vMerge w:val="restart"/>
            <w:tcBorders>
              <w:top w:val="nil"/>
              <w:left w:val="nil"/>
              <w:right w:val="single" w:sz="8" w:space="0" w:color="auto"/>
            </w:tcBorders>
            <w:shd w:val="clear" w:color="auto" w:fill="F2F2F2" w:themeFill="background1" w:themeFillShade="F2"/>
            <w:noWrap/>
            <w:vAlign w:val="center"/>
          </w:tcPr>
          <w:p w:rsidR="00A101A9" w:rsidRDefault="00A101A9" w:rsidP="00E82E88">
            <w:pPr>
              <w:jc w:val="center"/>
              <w:rPr>
                <w:rFonts w:ascii="Calibri" w:hAnsi="Calibri" w:cs="Calibri"/>
                <w:sz w:val="14"/>
                <w:szCs w:val="14"/>
                <w:lang w:eastAsia="lt-LT"/>
              </w:rPr>
            </w:pPr>
            <w:r>
              <w:rPr>
                <w:rFonts w:ascii="Calibri" w:hAnsi="Calibri" w:cs="Calibri"/>
                <w:sz w:val="14"/>
                <w:szCs w:val="14"/>
                <w:lang w:eastAsia="lt-LT"/>
              </w:rPr>
              <w:t>1,518,989</w:t>
            </w:r>
          </w:p>
        </w:tc>
      </w:tr>
      <w:tr w:rsidR="00A101A9" w:rsidRPr="00653DEC" w:rsidTr="007E5145">
        <w:trPr>
          <w:trHeight w:val="397"/>
        </w:trPr>
        <w:tc>
          <w:tcPr>
            <w:tcW w:w="461" w:type="dxa"/>
            <w:tcBorders>
              <w:top w:val="nil"/>
              <w:left w:val="single" w:sz="8" w:space="0" w:color="auto"/>
              <w:bottom w:val="single" w:sz="8" w:space="0" w:color="auto"/>
              <w:right w:val="single" w:sz="4" w:space="0" w:color="auto"/>
            </w:tcBorders>
            <w:shd w:val="clear" w:color="auto" w:fill="F2F2F2" w:themeFill="background1" w:themeFillShade="F2"/>
            <w:vAlign w:val="center"/>
          </w:tcPr>
          <w:p w:rsidR="00A101A9" w:rsidRPr="00653DEC" w:rsidRDefault="00A101A9" w:rsidP="0037767E">
            <w:pPr>
              <w:jc w:val="center"/>
              <w:rPr>
                <w:rFonts w:ascii="Calibri" w:hAnsi="Calibri" w:cs="Calibri"/>
                <w:sz w:val="14"/>
                <w:szCs w:val="14"/>
                <w:lang w:eastAsia="lt-LT"/>
              </w:rPr>
            </w:pPr>
            <w:r>
              <w:rPr>
                <w:rFonts w:ascii="Calibri" w:hAnsi="Calibri" w:cs="Calibri"/>
                <w:sz w:val="14"/>
                <w:szCs w:val="14"/>
                <w:lang w:eastAsia="lt-LT"/>
              </w:rPr>
              <w:t>P9</w:t>
            </w:r>
          </w:p>
        </w:tc>
        <w:tc>
          <w:tcPr>
            <w:tcW w:w="688" w:type="dxa"/>
            <w:tcBorders>
              <w:top w:val="nil"/>
              <w:left w:val="nil"/>
              <w:bottom w:val="single" w:sz="8" w:space="0" w:color="auto"/>
              <w:right w:val="single" w:sz="4" w:space="0" w:color="auto"/>
            </w:tcBorders>
            <w:shd w:val="clear" w:color="auto" w:fill="F2F2F2" w:themeFill="background1" w:themeFillShade="F2"/>
            <w:vAlign w:val="center"/>
          </w:tcPr>
          <w:p w:rsidR="00A101A9" w:rsidRPr="00653DEC" w:rsidRDefault="00A101A9" w:rsidP="0037767E">
            <w:pPr>
              <w:jc w:val="center"/>
              <w:rPr>
                <w:rFonts w:ascii="Calibri" w:hAnsi="Calibri" w:cs="Calibri"/>
                <w:b/>
                <w:bCs/>
                <w:sz w:val="14"/>
                <w:szCs w:val="14"/>
                <w:lang w:eastAsia="lt-LT"/>
              </w:rPr>
            </w:pPr>
            <w:r>
              <w:rPr>
                <w:rFonts w:ascii="Calibri" w:hAnsi="Calibri" w:cs="Calibri"/>
                <w:b/>
                <w:bCs/>
                <w:sz w:val="14"/>
                <w:szCs w:val="14"/>
                <w:lang w:eastAsia="lt-LT"/>
              </w:rPr>
              <w:t>ŪM</w:t>
            </w:r>
          </w:p>
        </w:tc>
        <w:tc>
          <w:tcPr>
            <w:tcW w:w="709" w:type="dxa"/>
            <w:tcBorders>
              <w:top w:val="nil"/>
              <w:left w:val="nil"/>
              <w:bottom w:val="single" w:sz="8" w:space="0" w:color="auto"/>
              <w:right w:val="single" w:sz="4" w:space="0" w:color="auto"/>
            </w:tcBorders>
            <w:shd w:val="clear" w:color="auto" w:fill="F2F2F2" w:themeFill="background1" w:themeFillShade="F2"/>
            <w:vAlign w:val="center"/>
          </w:tcPr>
          <w:p w:rsidR="00A101A9" w:rsidRPr="00653DEC" w:rsidRDefault="00A101A9" w:rsidP="0037767E">
            <w:pPr>
              <w:jc w:val="center"/>
              <w:rPr>
                <w:rFonts w:ascii="Calibri" w:hAnsi="Calibri" w:cs="Calibri"/>
                <w:sz w:val="14"/>
                <w:szCs w:val="14"/>
                <w:lang w:eastAsia="lt-LT"/>
              </w:rPr>
            </w:pPr>
            <w:r>
              <w:rPr>
                <w:rFonts w:ascii="Calibri" w:hAnsi="Calibri" w:cs="Calibri"/>
                <w:sz w:val="14"/>
                <w:szCs w:val="14"/>
                <w:lang w:eastAsia="lt-LT"/>
              </w:rPr>
              <w:t>ESF</w:t>
            </w:r>
          </w:p>
        </w:tc>
        <w:tc>
          <w:tcPr>
            <w:tcW w:w="1276" w:type="dxa"/>
            <w:vMerge/>
            <w:tcBorders>
              <w:left w:val="single" w:sz="4" w:space="0" w:color="auto"/>
              <w:bottom w:val="single" w:sz="8" w:space="0" w:color="auto"/>
              <w:right w:val="nil"/>
            </w:tcBorders>
            <w:shd w:val="clear" w:color="auto" w:fill="F2F2F2" w:themeFill="background1" w:themeFillShade="F2"/>
            <w:vAlign w:val="center"/>
          </w:tcPr>
          <w:p w:rsidR="00A101A9" w:rsidRPr="00653DEC" w:rsidRDefault="00A101A9" w:rsidP="0037767E">
            <w:pPr>
              <w:jc w:val="center"/>
              <w:rPr>
                <w:rFonts w:ascii="Calibri" w:hAnsi="Calibri" w:cs="Calibri"/>
                <w:sz w:val="14"/>
                <w:szCs w:val="14"/>
                <w:lang w:eastAsia="lt-LT"/>
              </w:rPr>
            </w:pPr>
          </w:p>
        </w:tc>
        <w:tc>
          <w:tcPr>
            <w:tcW w:w="1148" w:type="dxa"/>
            <w:tcBorders>
              <w:top w:val="nil"/>
              <w:left w:val="single" w:sz="4" w:space="0" w:color="auto"/>
              <w:bottom w:val="single" w:sz="8" w:space="0" w:color="auto"/>
              <w:right w:val="nil"/>
            </w:tcBorders>
            <w:shd w:val="clear" w:color="auto" w:fill="F2F2F2" w:themeFill="background1" w:themeFillShade="F2"/>
            <w:vAlign w:val="center"/>
          </w:tcPr>
          <w:p w:rsidR="00A101A9" w:rsidRPr="00653DEC" w:rsidRDefault="00A101A9" w:rsidP="00653DEC">
            <w:pPr>
              <w:jc w:val="center"/>
              <w:rPr>
                <w:rFonts w:ascii="Calibri" w:hAnsi="Calibri" w:cs="Calibri"/>
                <w:sz w:val="14"/>
                <w:szCs w:val="14"/>
                <w:lang w:eastAsia="lt-LT"/>
              </w:rPr>
            </w:pPr>
            <w:r w:rsidRPr="00A101A9">
              <w:rPr>
                <w:rFonts w:ascii="Calibri" w:hAnsi="Calibri" w:cs="Calibri"/>
                <w:sz w:val="14"/>
                <w:szCs w:val="14"/>
                <w:lang w:eastAsia="lt-LT"/>
              </w:rPr>
              <w:t>29,632,038</w:t>
            </w:r>
          </w:p>
        </w:tc>
        <w:tc>
          <w:tcPr>
            <w:tcW w:w="1262" w:type="dxa"/>
            <w:tcBorders>
              <w:top w:val="nil"/>
              <w:left w:val="single" w:sz="4" w:space="0" w:color="auto"/>
              <w:bottom w:val="single" w:sz="8" w:space="0" w:color="auto"/>
              <w:right w:val="single" w:sz="4" w:space="0" w:color="auto"/>
            </w:tcBorders>
            <w:shd w:val="clear" w:color="auto" w:fill="F2F2F2" w:themeFill="background1" w:themeFillShade="F2"/>
            <w:noWrap/>
            <w:vAlign w:val="center"/>
          </w:tcPr>
          <w:p w:rsidR="00A101A9" w:rsidRPr="00653DEC" w:rsidRDefault="00A101A9" w:rsidP="0037767E">
            <w:pPr>
              <w:jc w:val="center"/>
              <w:rPr>
                <w:rFonts w:ascii="Calibri" w:hAnsi="Calibri" w:cs="Calibri"/>
                <w:color w:val="000000"/>
                <w:sz w:val="14"/>
                <w:szCs w:val="14"/>
                <w:lang w:eastAsia="lt-LT"/>
              </w:rPr>
            </w:pPr>
            <w:r w:rsidRPr="00A101A9">
              <w:rPr>
                <w:rFonts w:ascii="Calibri" w:hAnsi="Calibri" w:cs="Calibri"/>
                <w:color w:val="000000"/>
                <w:sz w:val="14"/>
                <w:szCs w:val="14"/>
                <w:lang w:eastAsia="lt-LT"/>
              </w:rPr>
              <w:t>15,893,853</w:t>
            </w:r>
          </w:p>
        </w:tc>
        <w:tc>
          <w:tcPr>
            <w:tcW w:w="1417" w:type="dxa"/>
            <w:tcBorders>
              <w:top w:val="nil"/>
              <w:left w:val="nil"/>
              <w:bottom w:val="single" w:sz="8" w:space="0" w:color="auto"/>
              <w:right w:val="nil"/>
            </w:tcBorders>
            <w:shd w:val="clear" w:color="auto" w:fill="F2F2F2" w:themeFill="background1" w:themeFillShade="F2"/>
            <w:noWrap/>
            <w:vAlign w:val="center"/>
          </w:tcPr>
          <w:p w:rsidR="00A101A9" w:rsidRPr="00653DEC" w:rsidRDefault="00A101A9" w:rsidP="0037767E">
            <w:pPr>
              <w:jc w:val="center"/>
              <w:rPr>
                <w:rFonts w:ascii="Calibri" w:hAnsi="Calibri" w:cs="Calibri"/>
                <w:sz w:val="14"/>
                <w:szCs w:val="14"/>
                <w:lang w:eastAsia="lt-LT"/>
              </w:rPr>
            </w:pPr>
            <w:proofErr w:type="gramStart"/>
            <w:r>
              <w:rPr>
                <w:rFonts w:ascii="Calibri" w:hAnsi="Calibri" w:cs="Calibri"/>
                <w:sz w:val="14"/>
                <w:szCs w:val="14"/>
                <w:lang w:eastAsia="lt-LT"/>
              </w:rPr>
              <w:t>54</w:t>
            </w:r>
            <w:r w:rsidRPr="00653DEC">
              <w:rPr>
                <w:rFonts w:ascii="Calibri" w:hAnsi="Calibri" w:cs="Calibri"/>
                <w:sz w:val="14"/>
                <w:szCs w:val="14"/>
                <w:lang w:eastAsia="lt-LT"/>
              </w:rPr>
              <w:t>%</w:t>
            </w:r>
            <w:proofErr w:type="gramEnd"/>
          </w:p>
        </w:tc>
        <w:tc>
          <w:tcPr>
            <w:tcW w:w="992" w:type="dxa"/>
            <w:vMerge/>
            <w:tcBorders>
              <w:left w:val="single" w:sz="4" w:space="0" w:color="auto"/>
              <w:bottom w:val="single" w:sz="8" w:space="0" w:color="auto"/>
              <w:right w:val="single" w:sz="4" w:space="0" w:color="auto"/>
            </w:tcBorders>
            <w:shd w:val="clear" w:color="auto" w:fill="F2F2F2" w:themeFill="background1" w:themeFillShade="F2"/>
            <w:noWrap/>
            <w:vAlign w:val="center"/>
          </w:tcPr>
          <w:p w:rsidR="00A101A9" w:rsidRPr="00653DEC" w:rsidRDefault="00A101A9" w:rsidP="0037767E">
            <w:pPr>
              <w:jc w:val="center"/>
              <w:rPr>
                <w:rFonts w:ascii="Calibri" w:hAnsi="Calibri" w:cs="Calibri"/>
                <w:b/>
                <w:bCs/>
                <w:color w:val="FF0000"/>
                <w:sz w:val="14"/>
                <w:szCs w:val="14"/>
                <w:lang w:eastAsia="lt-LT"/>
              </w:rPr>
            </w:pPr>
          </w:p>
        </w:tc>
        <w:tc>
          <w:tcPr>
            <w:tcW w:w="1134" w:type="dxa"/>
            <w:tcBorders>
              <w:top w:val="nil"/>
              <w:left w:val="nil"/>
              <w:bottom w:val="single" w:sz="8" w:space="0" w:color="auto"/>
              <w:right w:val="nil"/>
            </w:tcBorders>
            <w:shd w:val="clear" w:color="auto" w:fill="F2F2F2" w:themeFill="background1" w:themeFillShade="F2"/>
            <w:noWrap/>
            <w:vAlign w:val="center"/>
          </w:tcPr>
          <w:p w:rsidR="00A101A9" w:rsidRPr="00653DEC" w:rsidRDefault="00A101A9" w:rsidP="0037767E">
            <w:pPr>
              <w:jc w:val="center"/>
              <w:rPr>
                <w:rFonts w:ascii="Calibri" w:hAnsi="Calibri" w:cs="Calibri"/>
                <w:b/>
                <w:bCs/>
                <w:color w:val="7030A0"/>
                <w:sz w:val="14"/>
                <w:szCs w:val="14"/>
                <w:lang w:eastAsia="lt-LT"/>
              </w:rPr>
            </w:pPr>
            <w:r w:rsidRPr="00A101A9">
              <w:rPr>
                <w:rFonts w:ascii="Calibri" w:hAnsi="Calibri" w:cs="Calibri"/>
                <w:b/>
                <w:bCs/>
                <w:color w:val="7030A0"/>
                <w:sz w:val="14"/>
                <w:szCs w:val="14"/>
                <w:lang w:eastAsia="lt-LT"/>
              </w:rPr>
              <w:t>5,153,238</w:t>
            </w:r>
          </w:p>
        </w:tc>
        <w:tc>
          <w:tcPr>
            <w:tcW w:w="567" w:type="dxa"/>
            <w:vMerge/>
            <w:tcBorders>
              <w:left w:val="single" w:sz="4" w:space="0" w:color="auto"/>
              <w:bottom w:val="single" w:sz="8" w:space="0" w:color="auto"/>
              <w:right w:val="single" w:sz="8" w:space="0" w:color="auto"/>
            </w:tcBorders>
            <w:shd w:val="clear" w:color="auto" w:fill="F2F2F2" w:themeFill="background1" w:themeFillShade="F2"/>
            <w:vAlign w:val="center"/>
          </w:tcPr>
          <w:p w:rsidR="00A101A9" w:rsidRPr="00653DEC" w:rsidRDefault="00A101A9" w:rsidP="0037767E">
            <w:pPr>
              <w:jc w:val="center"/>
              <w:rPr>
                <w:rFonts w:ascii="Calibri" w:hAnsi="Calibri" w:cs="Calibri"/>
                <w:sz w:val="14"/>
                <w:szCs w:val="14"/>
                <w:lang w:eastAsia="lt-LT"/>
              </w:rPr>
            </w:pPr>
          </w:p>
        </w:tc>
        <w:tc>
          <w:tcPr>
            <w:tcW w:w="1276" w:type="dxa"/>
            <w:tcBorders>
              <w:top w:val="nil"/>
              <w:left w:val="nil"/>
              <w:bottom w:val="single" w:sz="8" w:space="0" w:color="auto"/>
              <w:right w:val="single" w:sz="4" w:space="0" w:color="auto"/>
            </w:tcBorders>
            <w:shd w:val="clear" w:color="auto" w:fill="F2F2F2" w:themeFill="background1" w:themeFillShade="F2"/>
            <w:noWrap/>
            <w:vAlign w:val="center"/>
          </w:tcPr>
          <w:p w:rsidR="00A101A9" w:rsidRPr="00653DEC" w:rsidRDefault="00A101A9" w:rsidP="00653DEC">
            <w:pPr>
              <w:jc w:val="center"/>
              <w:rPr>
                <w:rFonts w:ascii="Calibri" w:hAnsi="Calibri" w:cs="Calibri"/>
                <w:color w:val="000000"/>
                <w:sz w:val="14"/>
                <w:szCs w:val="14"/>
                <w:lang w:eastAsia="lt-LT"/>
              </w:rPr>
            </w:pPr>
            <w:r w:rsidRPr="00A101A9">
              <w:rPr>
                <w:rFonts w:ascii="Calibri" w:hAnsi="Calibri" w:cs="Calibri"/>
                <w:color w:val="000000"/>
                <w:sz w:val="14"/>
                <w:szCs w:val="14"/>
                <w:lang w:eastAsia="lt-LT"/>
              </w:rPr>
              <w:t>17,283,020</w:t>
            </w:r>
          </w:p>
        </w:tc>
        <w:tc>
          <w:tcPr>
            <w:tcW w:w="1276" w:type="dxa"/>
            <w:vMerge/>
            <w:tcBorders>
              <w:left w:val="nil"/>
              <w:bottom w:val="single" w:sz="8" w:space="0" w:color="auto"/>
              <w:right w:val="single" w:sz="4" w:space="0" w:color="auto"/>
            </w:tcBorders>
            <w:shd w:val="clear" w:color="auto" w:fill="F2F2F2" w:themeFill="background1" w:themeFillShade="F2"/>
            <w:noWrap/>
            <w:vAlign w:val="center"/>
          </w:tcPr>
          <w:p w:rsidR="00A101A9" w:rsidRPr="00612824" w:rsidRDefault="00A101A9" w:rsidP="0037767E">
            <w:pPr>
              <w:jc w:val="center"/>
              <w:rPr>
                <w:rFonts w:ascii="Calibri" w:hAnsi="Calibri" w:cs="Calibri"/>
                <w:b/>
                <w:bCs/>
                <w:color w:val="FFC000"/>
                <w:sz w:val="14"/>
                <w:szCs w:val="14"/>
                <w:lang w:eastAsia="lt-LT"/>
              </w:rPr>
            </w:pPr>
          </w:p>
        </w:tc>
        <w:tc>
          <w:tcPr>
            <w:tcW w:w="2268" w:type="dxa"/>
            <w:vMerge/>
            <w:tcBorders>
              <w:left w:val="nil"/>
              <w:bottom w:val="single" w:sz="8" w:space="0" w:color="auto"/>
              <w:right w:val="single" w:sz="8" w:space="0" w:color="auto"/>
            </w:tcBorders>
            <w:shd w:val="clear" w:color="auto" w:fill="F2F2F2" w:themeFill="background1" w:themeFillShade="F2"/>
            <w:noWrap/>
            <w:vAlign w:val="center"/>
          </w:tcPr>
          <w:p w:rsidR="00A101A9" w:rsidRDefault="00A101A9" w:rsidP="00E82E88">
            <w:pPr>
              <w:jc w:val="center"/>
              <w:rPr>
                <w:rFonts w:ascii="Calibri" w:hAnsi="Calibri" w:cs="Calibri"/>
                <w:sz w:val="14"/>
                <w:szCs w:val="14"/>
                <w:lang w:eastAsia="lt-LT"/>
              </w:rPr>
            </w:pPr>
          </w:p>
        </w:tc>
      </w:tr>
      <w:tr w:rsidR="0037767E" w:rsidRPr="00653DEC" w:rsidTr="000E5DB0">
        <w:trPr>
          <w:trHeight w:val="397"/>
        </w:trPr>
        <w:tc>
          <w:tcPr>
            <w:tcW w:w="461" w:type="dxa"/>
            <w:tcBorders>
              <w:top w:val="nil"/>
              <w:left w:val="single" w:sz="8" w:space="0" w:color="auto"/>
              <w:bottom w:val="single" w:sz="8"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P10</w:t>
            </w:r>
          </w:p>
        </w:tc>
        <w:tc>
          <w:tcPr>
            <w:tcW w:w="688" w:type="dxa"/>
            <w:tcBorders>
              <w:top w:val="nil"/>
              <w:left w:val="nil"/>
              <w:bottom w:val="single" w:sz="8"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b/>
                <w:bCs/>
                <w:sz w:val="14"/>
                <w:szCs w:val="14"/>
                <w:lang w:eastAsia="lt-LT"/>
              </w:rPr>
            </w:pPr>
            <w:r w:rsidRPr="00653DEC">
              <w:rPr>
                <w:rFonts w:ascii="Calibri" w:hAnsi="Calibri" w:cs="Calibri"/>
                <w:b/>
                <w:bCs/>
                <w:sz w:val="14"/>
                <w:szCs w:val="14"/>
                <w:lang w:eastAsia="lt-LT"/>
              </w:rPr>
              <w:t>VRM</w:t>
            </w:r>
          </w:p>
        </w:tc>
        <w:tc>
          <w:tcPr>
            <w:tcW w:w="709" w:type="dxa"/>
            <w:tcBorders>
              <w:top w:val="nil"/>
              <w:left w:val="nil"/>
              <w:bottom w:val="single" w:sz="8" w:space="0" w:color="auto"/>
              <w:right w:val="single" w:sz="4"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ESF</w:t>
            </w:r>
          </w:p>
        </w:tc>
        <w:tc>
          <w:tcPr>
            <w:tcW w:w="1276" w:type="dxa"/>
            <w:tcBorders>
              <w:top w:val="nil"/>
              <w:left w:val="single" w:sz="4" w:space="0" w:color="auto"/>
              <w:bottom w:val="single" w:sz="8" w:space="0" w:color="auto"/>
              <w:right w:val="nil"/>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14,143,549</w:t>
            </w:r>
          </w:p>
        </w:tc>
        <w:tc>
          <w:tcPr>
            <w:tcW w:w="1148" w:type="dxa"/>
            <w:tcBorders>
              <w:top w:val="nil"/>
              <w:left w:val="single" w:sz="4" w:space="0" w:color="auto"/>
              <w:bottom w:val="single" w:sz="8" w:space="0" w:color="auto"/>
              <w:right w:val="nil"/>
            </w:tcBorders>
            <w:shd w:val="clear" w:color="auto" w:fill="F2F2F2" w:themeFill="background1" w:themeFillShade="F2"/>
            <w:vAlign w:val="center"/>
            <w:hideMark/>
          </w:tcPr>
          <w:p w:rsidR="0037767E" w:rsidRPr="00653DEC" w:rsidRDefault="0037767E" w:rsidP="00653DEC">
            <w:pPr>
              <w:jc w:val="center"/>
              <w:rPr>
                <w:rFonts w:ascii="Calibri" w:hAnsi="Calibri" w:cs="Calibri"/>
                <w:sz w:val="14"/>
                <w:szCs w:val="14"/>
                <w:lang w:eastAsia="lt-LT"/>
              </w:rPr>
            </w:pPr>
            <w:r w:rsidRPr="00653DEC">
              <w:rPr>
                <w:rFonts w:ascii="Calibri" w:hAnsi="Calibri" w:cs="Calibri"/>
                <w:sz w:val="14"/>
                <w:szCs w:val="14"/>
                <w:lang w:eastAsia="lt-LT"/>
              </w:rPr>
              <w:t>14,143,549</w:t>
            </w:r>
          </w:p>
        </w:tc>
        <w:tc>
          <w:tcPr>
            <w:tcW w:w="1262" w:type="dxa"/>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9,210,515</w:t>
            </w:r>
          </w:p>
        </w:tc>
        <w:tc>
          <w:tcPr>
            <w:tcW w:w="1417" w:type="dxa"/>
            <w:tcBorders>
              <w:top w:val="nil"/>
              <w:left w:val="nil"/>
              <w:bottom w:val="single" w:sz="8"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sz w:val="14"/>
                <w:szCs w:val="14"/>
                <w:lang w:eastAsia="lt-LT"/>
              </w:rPr>
            </w:pPr>
            <w:proofErr w:type="gramStart"/>
            <w:r w:rsidRPr="00653DEC">
              <w:rPr>
                <w:rFonts w:ascii="Calibri" w:hAnsi="Calibri" w:cs="Calibri"/>
                <w:sz w:val="14"/>
                <w:szCs w:val="14"/>
                <w:lang w:eastAsia="lt-LT"/>
              </w:rPr>
              <w:t>65%</w:t>
            </w:r>
            <w:proofErr w:type="gramEnd"/>
          </w:p>
        </w:tc>
        <w:tc>
          <w:tcPr>
            <w:tcW w:w="992" w:type="dxa"/>
            <w:tcBorders>
              <w:top w:val="nil"/>
              <w:left w:val="single" w:sz="4" w:space="0" w:color="auto"/>
              <w:bottom w:val="single" w:sz="8"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FF0000"/>
                <w:sz w:val="14"/>
                <w:szCs w:val="14"/>
                <w:lang w:eastAsia="lt-LT"/>
              </w:rPr>
            </w:pPr>
            <w:proofErr w:type="gramStart"/>
            <w:r w:rsidRPr="00653DEC">
              <w:rPr>
                <w:rFonts w:ascii="Calibri" w:hAnsi="Calibri" w:cs="Calibri"/>
                <w:b/>
                <w:bCs/>
                <w:color w:val="FF0000"/>
                <w:sz w:val="14"/>
                <w:szCs w:val="14"/>
                <w:lang w:eastAsia="lt-LT"/>
              </w:rPr>
              <w:t>65%</w:t>
            </w:r>
            <w:proofErr w:type="gramEnd"/>
          </w:p>
        </w:tc>
        <w:tc>
          <w:tcPr>
            <w:tcW w:w="1134" w:type="dxa"/>
            <w:tcBorders>
              <w:top w:val="nil"/>
              <w:left w:val="nil"/>
              <w:bottom w:val="single" w:sz="8" w:space="0" w:color="auto"/>
              <w:right w:val="nil"/>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7030A0"/>
                <w:sz w:val="14"/>
                <w:szCs w:val="14"/>
                <w:lang w:eastAsia="lt-LT"/>
              </w:rPr>
            </w:pPr>
            <w:r w:rsidRPr="00653DEC">
              <w:rPr>
                <w:rFonts w:ascii="Calibri" w:hAnsi="Calibri" w:cs="Calibri"/>
                <w:b/>
                <w:bCs/>
                <w:color w:val="7030A0"/>
                <w:sz w:val="14"/>
                <w:szCs w:val="14"/>
                <w:lang w:eastAsia="lt-LT"/>
              </w:rPr>
              <w:t>7,555,575</w:t>
            </w:r>
          </w:p>
        </w:tc>
        <w:tc>
          <w:tcPr>
            <w:tcW w:w="567" w:type="dxa"/>
            <w:tcBorders>
              <w:top w:val="nil"/>
              <w:left w:val="single" w:sz="4" w:space="0" w:color="auto"/>
              <w:bottom w:val="single" w:sz="8" w:space="0" w:color="auto"/>
              <w:right w:val="single" w:sz="8" w:space="0" w:color="auto"/>
            </w:tcBorders>
            <w:shd w:val="clear" w:color="auto" w:fill="F2F2F2" w:themeFill="background1" w:themeFillShade="F2"/>
            <w:vAlign w:val="center"/>
            <w:hideMark/>
          </w:tcPr>
          <w:p w:rsidR="0037767E" w:rsidRPr="00653DEC" w:rsidRDefault="0037767E" w:rsidP="0037767E">
            <w:pPr>
              <w:jc w:val="center"/>
              <w:rPr>
                <w:rFonts w:ascii="Calibri" w:hAnsi="Calibri" w:cs="Calibri"/>
                <w:sz w:val="14"/>
                <w:szCs w:val="14"/>
                <w:lang w:eastAsia="lt-LT"/>
              </w:rPr>
            </w:pPr>
            <w:r w:rsidRPr="00653DEC">
              <w:rPr>
                <w:rFonts w:ascii="Calibri" w:hAnsi="Calibri" w:cs="Calibri"/>
                <w:sz w:val="14"/>
                <w:szCs w:val="14"/>
                <w:lang w:eastAsia="lt-LT"/>
              </w:rPr>
              <w:t>3</w:t>
            </w:r>
          </w:p>
        </w:tc>
        <w:tc>
          <w:tcPr>
            <w:tcW w:w="1276" w:type="dxa"/>
            <w:tcBorders>
              <w:top w:val="nil"/>
              <w:left w:val="nil"/>
              <w:bottom w:val="single" w:sz="8" w:space="0" w:color="auto"/>
              <w:right w:val="single" w:sz="4" w:space="0" w:color="auto"/>
            </w:tcBorders>
            <w:shd w:val="clear" w:color="auto" w:fill="F2F2F2" w:themeFill="background1" w:themeFillShade="F2"/>
            <w:noWrap/>
            <w:vAlign w:val="center"/>
            <w:hideMark/>
          </w:tcPr>
          <w:p w:rsidR="0037767E" w:rsidRPr="00653DEC" w:rsidRDefault="0037767E" w:rsidP="00653DEC">
            <w:pPr>
              <w:jc w:val="center"/>
              <w:rPr>
                <w:rFonts w:ascii="Calibri" w:hAnsi="Calibri" w:cs="Calibri"/>
                <w:color w:val="000000"/>
                <w:sz w:val="14"/>
                <w:szCs w:val="14"/>
                <w:lang w:eastAsia="lt-LT"/>
              </w:rPr>
            </w:pPr>
            <w:r w:rsidRPr="00653DEC">
              <w:rPr>
                <w:rFonts w:ascii="Calibri" w:hAnsi="Calibri" w:cs="Calibri"/>
                <w:color w:val="000000"/>
                <w:sz w:val="14"/>
                <w:szCs w:val="14"/>
                <w:lang w:eastAsia="lt-LT"/>
              </w:rPr>
              <w:t>10,</w:t>
            </w:r>
            <w:r w:rsidR="00612824">
              <w:rPr>
                <w:rFonts w:ascii="Calibri" w:hAnsi="Calibri" w:cs="Calibri"/>
                <w:color w:val="000000"/>
                <w:sz w:val="14"/>
                <w:szCs w:val="14"/>
                <w:lang w:eastAsia="lt-LT"/>
              </w:rPr>
              <w:t>950,000</w:t>
            </w:r>
          </w:p>
        </w:tc>
        <w:tc>
          <w:tcPr>
            <w:tcW w:w="1276" w:type="dxa"/>
            <w:tcBorders>
              <w:top w:val="nil"/>
              <w:left w:val="nil"/>
              <w:bottom w:val="single" w:sz="8" w:space="0" w:color="auto"/>
              <w:right w:val="single" w:sz="4" w:space="0" w:color="auto"/>
            </w:tcBorders>
            <w:shd w:val="clear" w:color="auto" w:fill="F2F2F2" w:themeFill="background1" w:themeFillShade="F2"/>
            <w:noWrap/>
            <w:vAlign w:val="center"/>
            <w:hideMark/>
          </w:tcPr>
          <w:p w:rsidR="0037767E" w:rsidRPr="00653DEC" w:rsidRDefault="0037767E" w:rsidP="0037767E">
            <w:pPr>
              <w:jc w:val="center"/>
              <w:rPr>
                <w:rFonts w:ascii="Calibri" w:hAnsi="Calibri" w:cs="Calibri"/>
                <w:b/>
                <w:bCs/>
                <w:color w:val="FF0000"/>
                <w:sz w:val="14"/>
                <w:szCs w:val="14"/>
                <w:lang w:eastAsia="lt-LT"/>
              </w:rPr>
            </w:pPr>
            <w:proofErr w:type="gramStart"/>
            <w:r w:rsidRPr="00933B23">
              <w:rPr>
                <w:rFonts w:ascii="Calibri" w:hAnsi="Calibri" w:cs="Calibri"/>
                <w:b/>
                <w:bCs/>
                <w:color w:val="FFC000"/>
                <w:sz w:val="14"/>
                <w:szCs w:val="14"/>
                <w:lang w:eastAsia="lt-LT"/>
              </w:rPr>
              <w:t>7</w:t>
            </w:r>
            <w:r w:rsidR="00612824" w:rsidRPr="00933B23">
              <w:rPr>
                <w:rFonts w:ascii="Calibri" w:hAnsi="Calibri" w:cs="Calibri"/>
                <w:b/>
                <w:bCs/>
                <w:color w:val="FFC000"/>
                <w:sz w:val="14"/>
                <w:szCs w:val="14"/>
                <w:lang w:eastAsia="lt-LT"/>
              </w:rPr>
              <w:t>7</w:t>
            </w:r>
            <w:r w:rsidRPr="00D109C9">
              <w:rPr>
                <w:rFonts w:ascii="Calibri" w:hAnsi="Calibri" w:cs="Calibri"/>
                <w:b/>
                <w:bCs/>
                <w:color w:val="FFC000"/>
                <w:sz w:val="14"/>
                <w:szCs w:val="14"/>
                <w:lang w:eastAsia="lt-LT"/>
              </w:rPr>
              <w:t>%</w:t>
            </w:r>
            <w:proofErr w:type="gramEnd"/>
          </w:p>
        </w:tc>
        <w:tc>
          <w:tcPr>
            <w:tcW w:w="2268" w:type="dxa"/>
            <w:tcBorders>
              <w:top w:val="nil"/>
              <w:left w:val="nil"/>
              <w:bottom w:val="single" w:sz="8" w:space="0" w:color="auto"/>
              <w:right w:val="single" w:sz="8" w:space="0" w:color="auto"/>
            </w:tcBorders>
            <w:shd w:val="clear" w:color="auto" w:fill="F2F2F2" w:themeFill="background1" w:themeFillShade="F2"/>
            <w:noWrap/>
            <w:vAlign w:val="center"/>
            <w:hideMark/>
          </w:tcPr>
          <w:p w:rsidR="0037767E" w:rsidRPr="00653DEC" w:rsidRDefault="00612824" w:rsidP="00E82E88">
            <w:pPr>
              <w:jc w:val="center"/>
              <w:rPr>
                <w:rFonts w:ascii="Calibri" w:hAnsi="Calibri" w:cs="Calibri"/>
                <w:sz w:val="14"/>
                <w:szCs w:val="14"/>
                <w:lang w:eastAsia="lt-LT"/>
              </w:rPr>
            </w:pPr>
            <w:r>
              <w:rPr>
                <w:rFonts w:ascii="Calibri" w:hAnsi="Calibri" w:cs="Calibri"/>
                <w:sz w:val="14"/>
                <w:szCs w:val="14"/>
                <w:lang w:eastAsia="lt-LT"/>
              </w:rPr>
              <w:t>342,338</w:t>
            </w:r>
          </w:p>
        </w:tc>
      </w:tr>
    </w:tbl>
    <w:p w:rsidR="0037767E" w:rsidRPr="001F3594" w:rsidRDefault="0037767E" w:rsidP="001F3594">
      <w:pPr>
        <w:rPr>
          <w:highlight w:val="yellow"/>
        </w:rPr>
      </w:pPr>
    </w:p>
    <w:p w:rsidR="0037767E" w:rsidRDefault="0037767E" w:rsidP="0094255B">
      <w:pPr>
        <w:pStyle w:val="tekstas"/>
        <w:rPr>
          <w:highlight w:val="yellow"/>
        </w:rPr>
        <w:sectPr w:rsidR="0037767E" w:rsidSect="0037767E">
          <w:type w:val="continuous"/>
          <w:pgSz w:w="16838" w:h="11906" w:orient="landscape"/>
          <w:pgMar w:top="1701" w:right="1100" w:bottom="567" w:left="1134" w:header="567" w:footer="567" w:gutter="0"/>
          <w:cols w:space="1296"/>
          <w:titlePg/>
          <w:docGrid w:linePitch="360"/>
        </w:sectPr>
      </w:pPr>
    </w:p>
    <w:p w:rsidR="00590BC2" w:rsidRDefault="00CD3B7E" w:rsidP="0094255B">
      <w:pPr>
        <w:pStyle w:val="tekstas"/>
      </w:pPr>
      <w:r w:rsidRPr="00CD3B7E">
        <w:lastRenderedPageBreak/>
        <w:t>2018 m. rugsėjo 24 d. EK savo sprendimu patvirtino Veiksmų programos keitimą, kuriuo buvo sumažintos finansinių rodiklių 2018 m. reikšmės. Nepaisant to, įvertinus esamus ir prognozuojamus lėšų išmokėjimus, d</w:t>
      </w:r>
      <w:r w:rsidR="009D7938" w:rsidRPr="00CD3B7E">
        <w:t xml:space="preserve">idžiausia rizika </w:t>
      </w:r>
      <w:r w:rsidRPr="00CD3B7E">
        <w:t xml:space="preserve">iki 2018 m. pab. </w:t>
      </w:r>
      <w:r w:rsidR="009D7938" w:rsidRPr="00CD3B7E">
        <w:t>nepasiekti finansinių rodiklių išlieka</w:t>
      </w:r>
      <w:r w:rsidRPr="00CD3B7E">
        <w:t xml:space="preserve"> 2, 5 (ERPF), 7 (ERPF), 8 (ERPF), 9</w:t>
      </w:r>
      <w:r w:rsidR="0035348F" w:rsidRPr="00CD3B7E">
        <w:t xml:space="preserve"> </w:t>
      </w:r>
      <w:r w:rsidR="009708B1">
        <w:t>ir 10 prioritetuose:</w:t>
      </w:r>
      <w:r w:rsidR="0035348F" w:rsidRPr="00CD3B7E">
        <w:t xml:space="preserve"> </w:t>
      </w:r>
    </w:p>
    <w:p w:rsidR="009708B1" w:rsidRDefault="00AF4A35" w:rsidP="009708B1">
      <w:pPr>
        <w:pStyle w:val="tekstas"/>
        <w:numPr>
          <w:ilvl w:val="0"/>
          <w:numId w:val="67"/>
        </w:numPr>
      </w:pPr>
      <w:r>
        <w:t>2 prioritete</w:t>
      </w:r>
      <w:r w:rsidR="0012087B">
        <w:t xml:space="preserve"> rizika sumažėjo</w:t>
      </w:r>
      <w:r>
        <w:t>, kadangi spalio 12 d. EK pritarė RAIN3 projekto valstybės pagalbos schemai. Tai leidžia prognozuoti, kad iki metų pabaigos bus deklaruota rodiklio pasiekimui reik</w:t>
      </w:r>
      <w:r w:rsidR="00933B23">
        <w:t>alinga</w:t>
      </w:r>
      <w:r>
        <w:t xml:space="preserve"> lėšų suma. </w:t>
      </w:r>
    </w:p>
    <w:p w:rsidR="005C1FD7" w:rsidRDefault="00AF4A35" w:rsidP="009708B1">
      <w:pPr>
        <w:pStyle w:val="tekstas"/>
        <w:numPr>
          <w:ilvl w:val="0"/>
          <w:numId w:val="67"/>
        </w:numPr>
      </w:pPr>
      <w:r>
        <w:t xml:space="preserve">5 prioriteto ERPF dalyje pagal prognozes finansinio rodiklio pasiekimui trūksta apie 45 tūkst. eurų. </w:t>
      </w:r>
      <w:r w:rsidR="0012087B">
        <w:t>Nepasiekus rodiklio, bus prarastas v</w:t>
      </w:r>
      <w:r w:rsidR="00315F53">
        <w:t>eiklos lėšų rezervas</w:t>
      </w:r>
      <w:r w:rsidR="0012087B">
        <w:t>, kuris</w:t>
      </w:r>
      <w:r w:rsidR="00315F53">
        <w:t xml:space="preserve"> šiame prioritete sudaro 11,5 mln. eurų.</w:t>
      </w:r>
      <w:r w:rsidR="0012087B">
        <w:t xml:space="preserve"> </w:t>
      </w:r>
    </w:p>
    <w:p w:rsidR="00AF4A35" w:rsidRDefault="005C1FD7" w:rsidP="009708B1">
      <w:pPr>
        <w:pStyle w:val="tekstas"/>
        <w:numPr>
          <w:ilvl w:val="0"/>
          <w:numId w:val="67"/>
        </w:numPr>
      </w:pPr>
      <w:r>
        <w:t xml:space="preserve">Blogiausia situacija yra 7 prioriteto ERPF dalyje, kadangi nėra prognozuojama pasiekti finansinį rodiklį, o pasiekimui trūks net 11 mln. </w:t>
      </w:r>
      <w:r w:rsidR="000B7F6C">
        <w:t>eurų</w:t>
      </w:r>
      <w:r>
        <w:t xml:space="preserve">. </w:t>
      </w:r>
      <w:r w:rsidR="0012087B">
        <w:t>Nepasiekus rodiklio, bus prarastas v</w:t>
      </w:r>
      <w:r>
        <w:t xml:space="preserve">eiklos </w:t>
      </w:r>
      <w:r w:rsidR="0012087B">
        <w:t xml:space="preserve">lėšų </w:t>
      </w:r>
      <w:r>
        <w:t>rezervas</w:t>
      </w:r>
      <w:r w:rsidR="0012087B">
        <w:t>, kuris</w:t>
      </w:r>
      <w:r>
        <w:t xml:space="preserve"> šiame prioritete sudaro 25 mln. eurų. </w:t>
      </w:r>
    </w:p>
    <w:p w:rsidR="00D71307" w:rsidRDefault="009708B1" w:rsidP="00382D92">
      <w:pPr>
        <w:pStyle w:val="tekstas"/>
        <w:numPr>
          <w:ilvl w:val="0"/>
          <w:numId w:val="67"/>
        </w:numPr>
      </w:pPr>
      <w:r>
        <w:t xml:space="preserve">8 prioriteto ERPF dalyje </w:t>
      </w:r>
      <w:r w:rsidR="00E82E88">
        <w:t xml:space="preserve">bei 9 prioriteto ERPF dalyje </w:t>
      </w:r>
      <w:r>
        <w:t>faktinis</w:t>
      </w:r>
      <w:r w:rsidR="00E82E88">
        <w:t xml:space="preserve"> pasiekimas sudaro tik 61 proc., tačiau prognozuojama, kad rodiklis bus pasiektas.</w:t>
      </w:r>
    </w:p>
    <w:p w:rsidR="00E82E88" w:rsidRPr="00382D92" w:rsidRDefault="00D71307" w:rsidP="00382D92">
      <w:pPr>
        <w:pStyle w:val="tekstas"/>
        <w:numPr>
          <w:ilvl w:val="0"/>
          <w:numId w:val="67"/>
        </w:numPr>
      </w:pPr>
      <w:r>
        <w:t xml:space="preserve">9 prioriteto ESF dalyje jau yra pripažinta deklaruotinomis lėšų pakankamai, kad būtų pasiektas veiklos peržiūros rodiklis, tačiau 4,2 mln. </w:t>
      </w:r>
      <w:r w:rsidR="000B7F6C">
        <w:t>eurų</w:t>
      </w:r>
      <w:r>
        <w:t xml:space="preserve"> šiame prioritete kol kas negali būti deklaruojami dėl EK audito pastabų. Jei ši suma nebus deklaruota</w:t>
      </w:r>
      <w:r w:rsidR="0018406B">
        <w:t xml:space="preserve">, veiklos </w:t>
      </w:r>
      <w:r w:rsidR="00864154">
        <w:t>peržiūros</w:t>
      </w:r>
      <w:r w:rsidR="0018406B">
        <w:t xml:space="preserve"> rodiklis nebus pasiektas.</w:t>
      </w:r>
      <w:r w:rsidR="00E82E88">
        <w:t xml:space="preserve"> </w:t>
      </w:r>
    </w:p>
    <w:p w:rsidR="00E82E88" w:rsidRPr="00E82E88" w:rsidRDefault="00E82E88" w:rsidP="009708B1">
      <w:pPr>
        <w:pStyle w:val="tekstas"/>
        <w:numPr>
          <w:ilvl w:val="0"/>
          <w:numId w:val="67"/>
        </w:numPr>
      </w:pPr>
      <w:r w:rsidRPr="00E82E88">
        <w:t xml:space="preserve">10 prioritete </w:t>
      </w:r>
      <w:r>
        <w:t>pagal prognozes finansinis rodiklis bus pasiektas</w:t>
      </w:r>
      <w:r w:rsidR="00612824">
        <w:t xml:space="preserve"> su nedideliu</w:t>
      </w:r>
      <w:r w:rsidR="00864154">
        <w:t xml:space="preserve"> (</w:t>
      </w:r>
      <w:r w:rsidR="00612824">
        <w:t xml:space="preserve">342 tūkst. </w:t>
      </w:r>
      <w:r w:rsidR="000B7F6C">
        <w:t>eurų</w:t>
      </w:r>
      <w:r w:rsidR="00612824">
        <w:t>) perviršiu</w:t>
      </w:r>
      <w:r w:rsidR="00315F53">
        <w:t xml:space="preserve">. </w:t>
      </w:r>
    </w:p>
    <w:p w:rsidR="00590BC2" w:rsidRPr="00CD3B7E" w:rsidRDefault="0012087B" w:rsidP="00112979">
      <w:pPr>
        <w:pStyle w:val="tekstas"/>
      </w:pPr>
      <w:r>
        <w:rPr>
          <w:lang w:eastAsia="lt-LT"/>
        </w:rPr>
        <w:t>Taip pat i</w:t>
      </w:r>
      <w:r w:rsidR="008001A1">
        <w:rPr>
          <w:lang w:eastAsia="lt-LT"/>
        </w:rPr>
        <w:t>šlieka rizikingas 8 priori</w:t>
      </w:r>
      <w:r w:rsidR="00E82E88">
        <w:rPr>
          <w:lang w:eastAsia="lt-LT"/>
        </w:rPr>
        <w:t>t</w:t>
      </w:r>
      <w:r w:rsidR="008001A1">
        <w:rPr>
          <w:lang w:eastAsia="lt-LT"/>
        </w:rPr>
        <w:t>et</w:t>
      </w:r>
      <w:r w:rsidR="00E82E88">
        <w:rPr>
          <w:lang w:eastAsia="lt-LT"/>
        </w:rPr>
        <w:t xml:space="preserve">o į veiklos peržiūros planą įtrauktas </w:t>
      </w:r>
      <w:r w:rsidR="00E82E88" w:rsidRPr="008001A1">
        <w:rPr>
          <w:i/>
          <w:lang w:eastAsia="lt-LT"/>
        </w:rPr>
        <w:t>fizinis rodiklis</w:t>
      </w:r>
      <w:r w:rsidR="008001A1">
        <w:rPr>
          <w:lang w:eastAsia="lt-LT"/>
        </w:rPr>
        <w:t xml:space="preserve"> </w:t>
      </w:r>
      <w:r w:rsidR="00E82E88">
        <w:rPr>
          <w:lang w:eastAsia="lt-LT"/>
        </w:rPr>
        <w:t>„Tikslinių grupių asmenys, kurie dalyvavo informavimo, švietimo ir mokymo renginiuose bei sveikatos rašt</w:t>
      </w:r>
      <w:r w:rsidR="00382D92">
        <w:rPr>
          <w:lang w:eastAsia="lt-LT"/>
        </w:rPr>
        <w:t>ingumą didinančiose veiklose“</w:t>
      </w:r>
      <w:r w:rsidR="008001A1">
        <w:rPr>
          <w:lang w:eastAsia="lt-LT"/>
        </w:rPr>
        <w:t xml:space="preserve">. </w:t>
      </w:r>
      <w:r w:rsidR="00E82E88">
        <w:rPr>
          <w:lang w:eastAsia="lt-LT"/>
        </w:rPr>
        <w:t>Siektina reikšmė – 13 000 asmenų, f</w:t>
      </w:r>
      <w:r w:rsidR="008001A1">
        <w:rPr>
          <w:lang w:eastAsia="lt-LT"/>
        </w:rPr>
        <w:t>aktinis pasiekimas – 662 asmenų</w:t>
      </w:r>
      <w:r w:rsidR="00895F34" w:rsidRPr="00CD3B7E">
        <w:rPr>
          <w:lang w:eastAsia="lt-LT"/>
        </w:rPr>
        <w:t>.</w:t>
      </w:r>
      <w:r w:rsidR="00BD0CE2">
        <w:rPr>
          <w:lang w:eastAsia="lt-LT"/>
        </w:rPr>
        <w:t xml:space="preserve"> </w:t>
      </w:r>
      <w:r w:rsidR="00BD0CE2">
        <w:t>ESFA prognozuoja</w:t>
      </w:r>
      <w:r w:rsidR="00BD0CE2" w:rsidRPr="00915620">
        <w:t>, kad</w:t>
      </w:r>
      <w:r w:rsidR="00BD0CE2">
        <w:t xml:space="preserve"> iki </w:t>
      </w:r>
      <w:r w:rsidR="00BD0CE2" w:rsidRPr="00915620">
        <w:t xml:space="preserve">2018 m. </w:t>
      </w:r>
      <w:r w:rsidR="00BD0CE2">
        <w:t>pab. šis rodiklis bus</w:t>
      </w:r>
      <w:r w:rsidR="00BD0CE2" w:rsidRPr="00915620">
        <w:t xml:space="preserve"> pasiektas, kadangi visi projektai, kurie labiausiai siekia šio rodiklio, </w:t>
      </w:r>
      <w:r w:rsidR="00BD0CE2">
        <w:t xml:space="preserve">jau </w:t>
      </w:r>
      <w:r w:rsidR="00BD0CE2" w:rsidRPr="00915620">
        <w:t xml:space="preserve">pradėti įgyvendinti, aktyviai vykdomos sveikatos raštingumą didinančios veiklos. Nors rizika nepasiekti rodiklio išlieka, </w:t>
      </w:r>
      <w:r>
        <w:t xml:space="preserve">pagal įgyvendinančiosios institucijos prognozes </w:t>
      </w:r>
      <w:r w:rsidR="00BD0CE2" w:rsidRPr="00915620">
        <w:t xml:space="preserve">ji </w:t>
      </w:r>
      <w:r>
        <w:t>bus suvaldyta</w:t>
      </w:r>
      <w:r w:rsidR="00BD0CE2" w:rsidRPr="00915620">
        <w:t xml:space="preserve"> (įgyvendinančioji institucija </w:t>
      </w:r>
      <w:r w:rsidR="0061018D">
        <w:t xml:space="preserve">kartu su Sveikatos apsaugos ministerija </w:t>
      </w:r>
      <w:r w:rsidR="00BD0CE2" w:rsidRPr="00915620">
        <w:t xml:space="preserve">aktyviai bendradarbiauja su projektų vykdytojais </w:t>
      </w:r>
      <w:r w:rsidR="00BD0CE2">
        <w:t>skatindama pasiekti rodiklį</w:t>
      </w:r>
      <w:r w:rsidR="00112979">
        <w:t xml:space="preserve">). </w:t>
      </w:r>
    </w:p>
    <w:p w:rsidR="009C63C5" w:rsidRDefault="00C86895" w:rsidP="00C86895">
      <w:pPr>
        <w:pStyle w:val="Antrat1"/>
      </w:pPr>
      <w:bookmarkStart w:id="13" w:name="_Toc508106024"/>
      <w:bookmarkStart w:id="14" w:name="_Toc528660892"/>
      <w:r>
        <w:t>Situacijos sektoriuose analizė ir rekomendacijos</w:t>
      </w:r>
      <w:bookmarkEnd w:id="13"/>
      <w:bookmarkEnd w:id="14"/>
    </w:p>
    <w:p w:rsidR="00065231" w:rsidRDefault="00065231" w:rsidP="00F9794A">
      <w:pPr>
        <w:pStyle w:val="tekstas"/>
        <w:rPr>
          <w:lang w:eastAsia="lt-LT"/>
        </w:rPr>
      </w:pPr>
      <w:r w:rsidRPr="00C86895">
        <w:rPr>
          <w:lang w:eastAsia="lt-LT"/>
        </w:rPr>
        <w:t xml:space="preserve">Toliau išvardyti svarbiausi </w:t>
      </w:r>
      <w:r w:rsidR="00C86895">
        <w:rPr>
          <w:lang w:eastAsia="lt-LT"/>
        </w:rPr>
        <w:t xml:space="preserve">Finansų ministerijos </w:t>
      </w:r>
      <w:r w:rsidRPr="00C86895">
        <w:rPr>
          <w:lang w:eastAsia="lt-LT"/>
        </w:rPr>
        <w:t xml:space="preserve">siūlymai, kurie </w:t>
      </w:r>
      <w:r w:rsidR="00C86895">
        <w:rPr>
          <w:lang w:eastAsia="lt-LT"/>
        </w:rPr>
        <w:t xml:space="preserve">buvo teikti </w:t>
      </w:r>
      <w:r w:rsidR="00682D3B">
        <w:rPr>
          <w:lang w:eastAsia="lt-LT"/>
        </w:rPr>
        <w:t xml:space="preserve">praeitose ataskaitose ir </w:t>
      </w:r>
      <w:r w:rsidRPr="00C86895">
        <w:rPr>
          <w:lang w:eastAsia="lt-LT"/>
        </w:rPr>
        <w:t>dar nėra įgyvendinti, tačiau yra būtini, siekiant efektyvesnių ir spartesnių investicijų</w:t>
      </w:r>
      <w:r w:rsidR="00682D3B">
        <w:rPr>
          <w:lang w:eastAsia="lt-LT"/>
        </w:rPr>
        <w:t>. T</w:t>
      </w:r>
      <w:r w:rsidR="00532807" w:rsidRPr="00C86895">
        <w:rPr>
          <w:lang w:eastAsia="lt-LT"/>
        </w:rPr>
        <w:t xml:space="preserve">aip pat </w:t>
      </w:r>
      <w:r w:rsidR="00682D3B">
        <w:rPr>
          <w:lang w:eastAsia="lt-LT"/>
        </w:rPr>
        <w:t xml:space="preserve">nurodomi </w:t>
      </w:r>
      <w:r w:rsidR="00532807" w:rsidRPr="00C86895">
        <w:rPr>
          <w:lang w:eastAsia="lt-LT"/>
        </w:rPr>
        <w:t xml:space="preserve">nauji iššūkiai ir </w:t>
      </w:r>
      <w:r w:rsidR="00682D3B">
        <w:rPr>
          <w:lang w:eastAsia="lt-LT"/>
        </w:rPr>
        <w:t xml:space="preserve">teikiamos </w:t>
      </w:r>
      <w:r w:rsidR="00532807" w:rsidRPr="00C86895">
        <w:rPr>
          <w:lang w:eastAsia="lt-LT"/>
        </w:rPr>
        <w:t>su jais susijusios rekomendacijos</w:t>
      </w:r>
      <w:r w:rsidRPr="00C86895">
        <w:rPr>
          <w:lang w:eastAsia="lt-LT"/>
        </w:rPr>
        <w:t>.</w:t>
      </w:r>
      <w:r>
        <w:rPr>
          <w:lang w:eastAsia="lt-LT"/>
        </w:rPr>
        <w:t xml:space="preserve"> </w:t>
      </w:r>
    </w:p>
    <w:p w:rsidR="005612B3" w:rsidRDefault="005612B3" w:rsidP="005612B3">
      <w:pPr>
        <w:pStyle w:val="antrat3zz"/>
      </w:pPr>
      <w:bookmarkStart w:id="15" w:name="_Toc528660893"/>
      <w:r>
        <w:t xml:space="preserve">1 prioritetas. </w:t>
      </w:r>
      <w:r w:rsidRPr="001D3045">
        <w:t>Mokslinių tyrimų, eksperimentinės plėtros ir inovacijų skatinimas</w:t>
      </w:r>
      <w:bookmarkEnd w:id="15"/>
    </w:p>
    <w:p w:rsidR="00F6099D" w:rsidRDefault="00CC5011" w:rsidP="00382D92">
      <w:pPr>
        <w:pStyle w:val="tekstas"/>
      </w:pPr>
      <w:r w:rsidRPr="00CC5011">
        <w:t xml:space="preserve">1 </w:t>
      </w:r>
      <w:r>
        <w:t xml:space="preserve">prioriteto investicijas administruoja </w:t>
      </w:r>
      <w:r w:rsidR="008A0B3C">
        <w:t xml:space="preserve">Švietimo ir mokslo ministerija </w:t>
      </w:r>
      <w:r w:rsidR="001A1048">
        <w:t>bei</w:t>
      </w:r>
      <w:r w:rsidR="008A0B3C">
        <w:t xml:space="preserve"> Ūkio ministerija. </w:t>
      </w:r>
      <w:r w:rsidR="005639CD">
        <w:t>Prognozuojama, kad bendras šių ministerijų priemonių įgyvendinimo rezultatas sudarys sąlygas veiklos peržiūros rodiklių pasiekimui.</w:t>
      </w:r>
    </w:p>
    <w:p w:rsidR="005639CD" w:rsidRDefault="00A57205" w:rsidP="00382D92">
      <w:pPr>
        <w:pStyle w:val="tekstas"/>
      </w:pPr>
      <w:r>
        <w:t xml:space="preserve">Švietimo ministerija neįgyvendino jai LRV ataskaita pateiktos rekomendacijos </w:t>
      </w:r>
      <w:r w:rsidRPr="00A57205">
        <w:t>įtraukt</w:t>
      </w:r>
      <w:r>
        <w:t>i</w:t>
      </w:r>
      <w:r w:rsidRPr="00A57205">
        <w:t xml:space="preserve"> Mokslo salos lankym</w:t>
      </w:r>
      <w:r>
        <w:t>ą</w:t>
      </w:r>
      <w:r w:rsidRPr="00A57205">
        <w:t xml:space="preserve"> į ugdymo programas</w:t>
      </w:r>
      <w:r>
        <w:t xml:space="preserve"> ir pasirašyti </w:t>
      </w:r>
      <w:r w:rsidRPr="00A57205">
        <w:t>projekto finansavimo sutart</w:t>
      </w:r>
      <w:r>
        <w:t xml:space="preserve">į, kad </w:t>
      </w:r>
      <w:r w:rsidRPr="00A57205">
        <w:t xml:space="preserve">bent dalis projekto lėšų </w:t>
      </w:r>
      <w:r>
        <w:t xml:space="preserve">būtų </w:t>
      </w:r>
      <w:r w:rsidRPr="00A57205">
        <w:t>išmokėta iki 2018 m. pabaigos</w:t>
      </w:r>
      <w:r>
        <w:t>. Projekto finansavim</w:t>
      </w:r>
      <w:r w:rsidR="00770ED9">
        <w:t xml:space="preserve">ą stabdo iš </w:t>
      </w:r>
      <w:r>
        <w:t>EK ne</w:t>
      </w:r>
      <w:r w:rsidR="00770ED9">
        <w:t>gautas atsakymas į klausimą dėl pl</w:t>
      </w:r>
      <w:r>
        <w:t>anuojamo statyti objekto finansavimo sąlygų (valstybės pagalbos t</w:t>
      </w:r>
      <w:r w:rsidR="00770ED9">
        <w:t>aikymo daliai projekto ar jos netaikymo</w:t>
      </w:r>
      <w:r>
        <w:t>), į kur</w:t>
      </w:r>
      <w:r w:rsidR="00770ED9">
        <w:t xml:space="preserve">į EK neatsako nuo 2018 m. liepos vidurio. Klausimuose EK teigiama, kad ekonominė Mokslo salos veikla bus tik pagalbinė ir mažareikšmė, o objekto išlaikymui kasmet prireiks valstybės biudžeto lėšų. </w:t>
      </w:r>
    </w:p>
    <w:p w:rsidR="00682D3B" w:rsidRDefault="005639CD" w:rsidP="00382D92">
      <w:pPr>
        <w:pStyle w:val="tekstas"/>
      </w:pPr>
      <w:r>
        <w:t>EK pateikta</w:t>
      </w:r>
      <w:r w:rsidR="00770ED9">
        <w:t xml:space="preserve"> argumentacija gali padėti finansuoti Mokslo salos statybą didesniu intensyvumu, tačiau Finansų ministerijos vertinimu, nepriklausomai nuo iš EK gauto atsakymo, objekto veiklą </w:t>
      </w:r>
      <w:r w:rsidR="00770ED9">
        <w:lastRenderedPageBreak/>
        <w:t>būtina vertinti ilgalaikėje perspektyvoje, atsižvelgiant į valstybės biudžetui prognozuojamą finansinę naštą.</w:t>
      </w:r>
      <w:r>
        <w:t xml:space="preserve"> </w:t>
      </w:r>
      <w:r w:rsidR="00770ED9">
        <w:t xml:space="preserve"> </w:t>
      </w:r>
      <w:r>
        <w:t>B</w:t>
      </w:r>
      <w:r w:rsidR="00770ED9">
        <w:t xml:space="preserve">endra objekto </w:t>
      </w:r>
      <w:r w:rsidR="005E3C07">
        <w:t>vertė</w:t>
      </w:r>
      <w:r w:rsidR="00770ED9">
        <w:t xml:space="preserve"> </w:t>
      </w:r>
      <w:r>
        <w:t>siekia</w:t>
      </w:r>
      <w:r w:rsidR="00770ED9">
        <w:t xml:space="preserve"> 23 mln</w:t>
      </w:r>
      <w:r>
        <w:t>.</w:t>
      </w:r>
      <w:r w:rsidR="00770ED9">
        <w:t xml:space="preserve"> eurų, iš jų ES lėšos – </w:t>
      </w:r>
      <w:r w:rsidR="007E5145">
        <w:t>16</w:t>
      </w:r>
      <w:r w:rsidR="00770ED9">
        <w:t xml:space="preserve"> mln. eurų</w:t>
      </w:r>
      <w:r>
        <w:t xml:space="preserve">, o </w:t>
      </w:r>
      <w:r w:rsidR="00770ED9">
        <w:t xml:space="preserve">valstybės biudžeto </w:t>
      </w:r>
      <w:r>
        <w:t xml:space="preserve">lėšų infrastruktūrai išlaikyti ir ekspozicijoms atnaujinti reikės kasmet, todėl </w:t>
      </w:r>
      <w:r w:rsidR="00912F30">
        <w:t xml:space="preserve">būtina </w:t>
      </w:r>
      <w:r w:rsidR="00912F30" w:rsidRPr="00C119A5">
        <w:rPr>
          <w:bCs/>
          <w:i/>
        </w:rPr>
        <w:t>grįžti prie Mokslo salos investicijų tikslingumo analizės</w:t>
      </w:r>
      <w:r w:rsidR="00912F30" w:rsidRPr="00682D3B">
        <w:rPr>
          <w:bCs/>
        </w:rPr>
        <w:t>.</w:t>
      </w:r>
      <w:r w:rsidR="00A57205" w:rsidRPr="009D4F4A">
        <w:t xml:space="preserve"> </w:t>
      </w:r>
    </w:p>
    <w:p w:rsidR="00382D92" w:rsidRDefault="00382D92" w:rsidP="00382D92">
      <w:pPr>
        <w:pStyle w:val="tekstas"/>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682D3B" w:rsidTr="00D759BA">
        <w:tc>
          <w:tcPr>
            <w:tcW w:w="9638" w:type="dxa"/>
            <w:tcBorders>
              <w:top w:val="nil"/>
              <w:left w:val="nil"/>
              <w:bottom w:val="nil"/>
              <w:right w:val="nil"/>
            </w:tcBorders>
            <w:shd w:val="clear" w:color="auto" w:fill="D9D9D9" w:themeFill="background1" w:themeFillShade="D9"/>
          </w:tcPr>
          <w:p w:rsidR="00682D3B" w:rsidRDefault="00682D3B" w:rsidP="00D759BA">
            <w:pPr>
              <w:rPr>
                <w:b/>
                <w:color w:val="365F91" w:themeColor="accent1" w:themeShade="BF"/>
                <w:szCs w:val="24"/>
              </w:rPr>
            </w:pPr>
          </w:p>
          <w:p w:rsidR="00682D3B" w:rsidRPr="00E434E9" w:rsidRDefault="00682D3B" w:rsidP="00D759BA">
            <w:pPr>
              <w:rPr>
                <w:rFonts w:ascii="Calibri" w:hAnsi="Calibri"/>
                <w:b/>
                <w:color w:val="365F91" w:themeColor="accent1" w:themeShade="BF"/>
                <w:szCs w:val="24"/>
              </w:rPr>
            </w:pPr>
            <w:r>
              <w:rPr>
                <w:rFonts w:ascii="Calibri" w:hAnsi="Calibri"/>
                <w:b/>
                <w:color w:val="365F91" w:themeColor="accent1" w:themeShade="BF"/>
                <w:szCs w:val="24"/>
              </w:rPr>
              <w:t>Siūlymas Švietimo ir mokslo ministerijai</w:t>
            </w:r>
            <w:r w:rsidRPr="00E434E9">
              <w:rPr>
                <w:rFonts w:ascii="Calibri" w:hAnsi="Calibri"/>
                <w:b/>
                <w:color w:val="365F91" w:themeColor="accent1" w:themeShade="BF"/>
                <w:szCs w:val="24"/>
              </w:rPr>
              <w:t>:</w:t>
            </w:r>
          </w:p>
          <w:p w:rsidR="00682D3B" w:rsidRDefault="00260659" w:rsidP="003B769B">
            <w:pPr>
              <w:jc w:val="both"/>
              <w:rPr>
                <w:rFonts w:asciiTheme="minorHAnsi" w:hAnsiTheme="minorHAnsi"/>
                <w:b/>
                <w:color w:val="365F91" w:themeColor="accent1" w:themeShade="BF"/>
              </w:rPr>
            </w:pPr>
            <w:r>
              <w:rPr>
                <w:rFonts w:asciiTheme="minorHAnsi" w:hAnsiTheme="minorHAnsi"/>
                <w:b/>
                <w:color w:val="365F91" w:themeColor="accent1" w:themeShade="BF"/>
              </w:rPr>
              <w:t xml:space="preserve">- Iki 2018 m. gruodžio 31 d. </w:t>
            </w:r>
            <w:r w:rsidR="00DD4708">
              <w:rPr>
                <w:rFonts w:asciiTheme="minorHAnsi" w:hAnsiTheme="minorHAnsi"/>
                <w:b/>
                <w:color w:val="365F91" w:themeColor="accent1" w:themeShade="BF"/>
              </w:rPr>
              <w:t xml:space="preserve">siekiant finansuoti projektą </w:t>
            </w:r>
            <w:r w:rsidR="00682D3B" w:rsidRPr="00682D3B">
              <w:rPr>
                <w:rFonts w:asciiTheme="minorHAnsi" w:hAnsiTheme="minorHAnsi"/>
                <w:b/>
                <w:color w:val="365F91" w:themeColor="accent1" w:themeShade="BF"/>
              </w:rPr>
              <w:t>pateikti teigiamą</w:t>
            </w:r>
            <w:r w:rsidR="007E5145">
              <w:rPr>
                <w:rFonts w:asciiTheme="minorHAnsi" w:hAnsiTheme="minorHAnsi"/>
                <w:b/>
                <w:color w:val="365F91" w:themeColor="accent1" w:themeShade="BF"/>
              </w:rPr>
              <w:t xml:space="preserve"> Mokslo salos</w:t>
            </w:r>
            <w:r w:rsidR="00682D3B" w:rsidRPr="00682D3B">
              <w:rPr>
                <w:rFonts w:asciiTheme="minorHAnsi" w:hAnsiTheme="minorHAnsi"/>
                <w:b/>
                <w:color w:val="365F91" w:themeColor="accent1" w:themeShade="BF"/>
              </w:rPr>
              <w:t xml:space="preserve"> investicijų projektų metodinės pagalbos centro išvadą dėl projek</w:t>
            </w:r>
            <w:r w:rsidR="00682D3B">
              <w:rPr>
                <w:rFonts w:asciiTheme="minorHAnsi" w:hAnsiTheme="minorHAnsi"/>
                <w:b/>
                <w:color w:val="365F91" w:themeColor="accent1" w:themeShade="BF"/>
              </w:rPr>
              <w:t>to socialinės ekonominės naudos.</w:t>
            </w:r>
          </w:p>
          <w:p w:rsidR="003B769B" w:rsidRPr="000930DD" w:rsidRDefault="003B769B" w:rsidP="003B769B">
            <w:pPr>
              <w:jc w:val="both"/>
              <w:rPr>
                <w:rFonts w:asciiTheme="minorHAnsi" w:hAnsiTheme="minorHAnsi"/>
                <w:b/>
                <w:color w:val="365F91" w:themeColor="accent1" w:themeShade="BF"/>
              </w:rPr>
            </w:pPr>
          </w:p>
        </w:tc>
      </w:tr>
    </w:tbl>
    <w:p w:rsidR="00F6099D" w:rsidRPr="00C119A5" w:rsidRDefault="00F6099D" w:rsidP="00C119A5">
      <w:pPr>
        <w:pStyle w:val="antrat3zz"/>
      </w:pPr>
      <w:bookmarkStart w:id="16" w:name="_Toc512504078"/>
      <w:bookmarkStart w:id="17" w:name="_Toc528660894"/>
      <w:r w:rsidRPr="00C119A5">
        <w:t>2 prioritetas. Informacinės visuomenės skatinimas</w:t>
      </w:r>
      <w:bookmarkEnd w:id="16"/>
      <w:bookmarkEnd w:id="17"/>
    </w:p>
    <w:p w:rsidR="00B01A21" w:rsidRDefault="00A26202" w:rsidP="00C119A5">
      <w:pPr>
        <w:pStyle w:val="tekstas"/>
      </w:pPr>
      <w:r w:rsidRPr="00144C56">
        <w:t xml:space="preserve">Susisiekimo ministerija įgyvendino </w:t>
      </w:r>
      <w:r w:rsidR="007317DC" w:rsidRPr="00144C56">
        <w:t>beveik visas Finansų ministerijos rekomendacijas, kurioms pritarė Vyriausybė. Per metus (</w:t>
      </w:r>
      <w:r w:rsidRPr="00C119A5">
        <w:t>nuo 2017 m. spalio 1 d. iki 2018 m. rugsėjo 30 d.</w:t>
      </w:r>
      <w:r w:rsidR="007317DC" w:rsidRPr="00C119A5">
        <w:t>)</w:t>
      </w:r>
      <w:r w:rsidRPr="00C119A5">
        <w:t xml:space="preserve"> sudaryt</w:t>
      </w:r>
      <w:r w:rsidR="007317DC" w:rsidRPr="00C119A5">
        <w:t>a</w:t>
      </w:r>
      <w:r w:rsidRPr="00C119A5">
        <w:t xml:space="preserve"> valstybės</w:t>
      </w:r>
      <w:r w:rsidR="003B769B">
        <w:t xml:space="preserve"> projektų sąrašų už 108 mln. eurų</w:t>
      </w:r>
      <w:r w:rsidR="007317DC" w:rsidRPr="00C119A5">
        <w:t xml:space="preserve">, 2018 m. rugpjūčio 10 d. su Informacinės visuomenės plėtros komitetu (toliau – IVPK) sudaryta projekto „Valstybės </w:t>
      </w:r>
      <w:proofErr w:type="spellStart"/>
      <w:r w:rsidR="007317DC" w:rsidRPr="00C119A5">
        <w:t>debesijos</w:t>
      </w:r>
      <w:proofErr w:type="spellEnd"/>
      <w:r w:rsidR="007317DC" w:rsidRPr="00C119A5">
        <w:t xml:space="preserve"> paslaugų teikimo infrastruktūros sukūrimas“ sutartis </w:t>
      </w:r>
      <w:r w:rsidR="00144C56" w:rsidRPr="00C119A5">
        <w:t>dėl valstybės informacinių išteklių konsolidavimo</w:t>
      </w:r>
      <w:r w:rsidR="007317DC" w:rsidRPr="00C119A5">
        <w:t>.</w:t>
      </w:r>
      <w:r w:rsidR="00431CFE" w:rsidRPr="00C119A5">
        <w:rPr>
          <w:rFonts w:eastAsiaTheme="minorHAnsi"/>
        </w:rPr>
        <w:t xml:space="preserve"> Tačiau šio projekto įgyvendinimo metu kylančius klausimus svarbu spręsti operatyviai, įtraukiant visas suinteresuotas institucijas, o projekto veiklų įgyvendinimą svarbu derinti su kitu IVPK įgyvendinamu  projektu (finansuojamu iš 10 prioriteto) „Valstybės informacinių išteklių infrastruktūros konsolidavimas ir įgyvendinimas“, kuris skirtas sukurti tinkamą organizacinę, metodinę bei teisinę aplinką valstybės informacinių išteklių konsolidavimui. Todėl įgyvendinant šiuos abu projektus reikalinga nuolatinė valstybės informacinių išteklių plėtros politiką formuojančios institucijos priežiūra.</w:t>
      </w:r>
      <w:r w:rsidR="007317DC" w:rsidRPr="00C119A5">
        <w:t xml:space="preserve"> </w:t>
      </w:r>
      <w:r w:rsidR="00431CFE" w:rsidRPr="00C119A5">
        <w:rPr>
          <w:rFonts w:eastAsiaTheme="minorHAnsi"/>
        </w:rPr>
        <w:t xml:space="preserve"> </w:t>
      </w:r>
      <w:r w:rsidR="0026070E" w:rsidRPr="00C119A5">
        <w:t>Kol kas nesuplanuotas (vėluoja) Krašto apsaugos ministerijos projektas</w:t>
      </w:r>
      <w:r w:rsidR="00F11CAF" w:rsidRPr="00C119A5">
        <w:t>,</w:t>
      </w:r>
      <w:r w:rsidR="0026070E" w:rsidRPr="00C119A5">
        <w:t xml:space="preserve"> skirtas ypatingos svarbos valstybės IRT infrastruktūros priemonių diegimui, tačiau s</w:t>
      </w:r>
      <w:r w:rsidR="007317DC" w:rsidRPr="00C119A5">
        <w:t xml:space="preserve">u Konkurencijos taryba </w:t>
      </w:r>
      <w:r w:rsidR="0026070E" w:rsidRPr="00C119A5">
        <w:t xml:space="preserve">jau </w:t>
      </w:r>
      <w:r w:rsidR="007317DC" w:rsidRPr="00C119A5">
        <w:t>suderint</w:t>
      </w:r>
      <w:r w:rsidR="0026070E" w:rsidRPr="00C119A5">
        <w:t>o</w:t>
      </w:r>
      <w:r w:rsidR="007317DC" w:rsidRPr="00C119A5">
        <w:t xml:space="preserve">s </w:t>
      </w:r>
      <w:r w:rsidR="0026070E" w:rsidRPr="00C119A5">
        <w:t>šio p</w:t>
      </w:r>
      <w:r w:rsidR="0026070E">
        <w:t xml:space="preserve">rojekto finansavimo sąlygos (bus patvirtintos </w:t>
      </w:r>
      <w:r w:rsidR="007317DC" w:rsidRPr="00144C56">
        <w:t>spalio mėn.</w:t>
      </w:r>
      <w:r w:rsidR="0026070E">
        <w:t>), o</w:t>
      </w:r>
      <w:r w:rsidR="007317DC" w:rsidRPr="00144C56">
        <w:t xml:space="preserve"> </w:t>
      </w:r>
      <w:r w:rsidR="006A27C5" w:rsidRPr="00144C56">
        <w:t>Krašto apsaugos ministerija</w:t>
      </w:r>
      <w:r w:rsidRPr="00144C56">
        <w:t xml:space="preserve"> </w:t>
      </w:r>
      <w:r w:rsidR="0026070E">
        <w:t>iki 2019 m. sausio mėn. planuoja parengti</w:t>
      </w:r>
      <w:r w:rsidRPr="00144C56">
        <w:t xml:space="preserve"> ir </w:t>
      </w:r>
      <w:r w:rsidR="0026070E" w:rsidRPr="00144C56">
        <w:t xml:space="preserve">Susisiekimo ministerijai </w:t>
      </w:r>
      <w:r w:rsidR="0026070E">
        <w:t>pateikti</w:t>
      </w:r>
      <w:r w:rsidRPr="00144C56">
        <w:t xml:space="preserve"> investicijų projektą.</w:t>
      </w:r>
      <w:r w:rsidR="007317DC" w:rsidRPr="00144C56">
        <w:t xml:space="preserve"> </w:t>
      </w:r>
    </w:p>
    <w:p w:rsidR="00A26202" w:rsidRPr="00C119A5" w:rsidRDefault="007317DC" w:rsidP="00C119A5">
      <w:pPr>
        <w:pStyle w:val="tekstas"/>
      </w:pPr>
      <w:r w:rsidRPr="00144C56">
        <w:t xml:space="preserve">2018 m. spalio 12 d. baigta </w:t>
      </w:r>
      <w:r w:rsidRPr="00C119A5">
        <w:t xml:space="preserve">valstybės pagalbos </w:t>
      </w:r>
      <w:proofErr w:type="spellStart"/>
      <w:r w:rsidRPr="00C119A5">
        <w:t>notifikavimo</w:t>
      </w:r>
      <w:proofErr w:type="spellEnd"/>
      <w:r w:rsidRPr="00C119A5">
        <w:t xml:space="preserve"> procedūra (gauta</w:t>
      </w:r>
      <w:r w:rsidR="00C119A5">
        <w:t xml:space="preserve">s Europos Komisijos sprendimas) </w:t>
      </w:r>
      <w:r w:rsidRPr="00C119A5">
        <w:t>dėl priemonės „Naujos kartos prieigos plėtra“</w:t>
      </w:r>
      <w:r w:rsidR="0026070E" w:rsidRPr="00C119A5">
        <w:t xml:space="preserve"> </w:t>
      </w:r>
      <w:r w:rsidRPr="00C119A5">
        <w:t xml:space="preserve">ir iki 2018 m. spalio 31 d. planuojama sudaryti RAIN3 projekto sutartį su </w:t>
      </w:r>
      <w:proofErr w:type="spellStart"/>
      <w:r w:rsidRPr="00C119A5">
        <w:t>VšĮ</w:t>
      </w:r>
      <w:proofErr w:type="spellEnd"/>
      <w:r w:rsidRPr="00C119A5">
        <w:t xml:space="preserve"> „Plačiajuostis internetas“.</w:t>
      </w:r>
    </w:p>
    <w:p w:rsidR="00A26202" w:rsidRPr="00C119A5" w:rsidRDefault="00A26202" w:rsidP="00C119A5">
      <w:pPr>
        <w:pStyle w:val="tekstas"/>
        <w:rPr>
          <w:rFonts w:eastAsiaTheme="minorHAnsi"/>
        </w:rPr>
      </w:pPr>
      <w:r w:rsidRPr="00C119A5">
        <w:t xml:space="preserve">Nepaisant akivaizdaus proveržio 2 prioritete </w:t>
      </w:r>
      <w:r w:rsidRPr="00C119A5">
        <w:rPr>
          <w:rFonts w:eastAsiaTheme="minorHAnsi"/>
        </w:rPr>
        <w:t>(2018 m. rugsėjo 30</w:t>
      </w:r>
      <w:r w:rsidR="0026070E" w:rsidRPr="00C119A5">
        <w:rPr>
          <w:rFonts w:eastAsiaTheme="minorHAnsi"/>
        </w:rPr>
        <w:t xml:space="preserve"> d. suplanuota 85 % investicijų, </w:t>
      </w:r>
      <w:r w:rsidRPr="00C119A5">
        <w:rPr>
          <w:rFonts w:eastAsiaTheme="minorHAnsi"/>
        </w:rPr>
        <w:t xml:space="preserve">sudaryta </w:t>
      </w:r>
      <w:r w:rsidR="006A27C5" w:rsidRPr="00C119A5">
        <w:rPr>
          <w:rFonts w:eastAsiaTheme="minorHAnsi"/>
        </w:rPr>
        <w:t xml:space="preserve">projektų </w:t>
      </w:r>
      <w:r w:rsidRPr="00C119A5">
        <w:rPr>
          <w:rFonts w:eastAsiaTheme="minorHAnsi"/>
        </w:rPr>
        <w:t xml:space="preserve">sutarčių </w:t>
      </w:r>
      <w:r w:rsidR="00AD3B54" w:rsidRPr="00C119A5">
        <w:rPr>
          <w:rFonts w:eastAsiaTheme="minorHAnsi"/>
        </w:rPr>
        <w:t xml:space="preserve">už </w:t>
      </w:r>
      <w:r w:rsidR="00CE5120">
        <w:rPr>
          <w:rFonts w:eastAsiaTheme="minorHAnsi"/>
        </w:rPr>
        <w:t>61 proc.</w:t>
      </w:r>
      <w:r w:rsidRPr="00C119A5">
        <w:rPr>
          <w:rFonts w:eastAsiaTheme="minorHAnsi"/>
        </w:rPr>
        <w:t xml:space="preserve"> </w:t>
      </w:r>
      <w:r w:rsidR="00AD3B54" w:rsidRPr="00C119A5">
        <w:rPr>
          <w:rFonts w:eastAsiaTheme="minorHAnsi"/>
        </w:rPr>
        <w:t xml:space="preserve">skirtų lėšų </w:t>
      </w:r>
      <w:r w:rsidR="006A27C5" w:rsidRPr="00C119A5">
        <w:t>–</w:t>
      </w:r>
      <w:r w:rsidR="006A27C5" w:rsidRPr="00C119A5">
        <w:rPr>
          <w:rFonts w:eastAsiaTheme="minorHAnsi"/>
        </w:rPr>
        <w:t xml:space="preserve"> 2017 m. pabaigoje </w:t>
      </w:r>
      <w:r w:rsidR="007317DC" w:rsidRPr="00C119A5">
        <w:rPr>
          <w:rFonts w:eastAsiaTheme="minorHAnsi"/>
        </w:rPr>
        <w:t xml:space="preserve">atitinkamai </w:t>
      </w:r>
      <w:r w:rsidR="006A27C5" w:rsidRPr="00C119A5">
        <w:rPr>
          <w:rFonts w:eastAsiaTheme="minorHAnsi"/>
        </w:rPr>
        <w:t xml:space="preserve">buvo </w:t>
      </w:r>
      <w:r w:rsidR="00CE5120">
        <w:rPr>
          <w:rFonts w:eastAsiaTheme="minorHAnsi"/>
        </w:rPr>
        <w:t>27 proc.</w:t>
      </w:r>
      <w:r w:rsidR="007317DC" w:rsidRPr="00C119A5">
        <w:rPr>
          <w:rFonts w:eastAsiaTheme="minorHAnsi"/>
        </w:rPr>
        <w:t xml:space="preserve"> ir </w:t>
      </w:r>
      <w:r w:rsidR="00CE5120">
        <w:rPr>
          <w:rFonts w:eastAsiaTheme="minorHAnsi"/>
        </w:rPr>
        <w:t>7 proc.</w:t>
      </w:r>
      <w:r w:rsidRPr="00C119A5">
        <w:rPr>
          <w:rFonts w:eastAsiaTheme="minorHAnsi"/>
        </w:rPr>
        <w:t xml:space="preserve">), lėšų išmokėjimo tempas išlieka nepakankamas, todėl yra rizika </w:t>
      </w:r>
      <w:r w:rsidR="0026070E" w:rsidRPr="00C119A5">
        <w:rPr>
          <w:rFonts w:eastAsiaTheme="minorHAnsi"/>
        </w:rPr>
        <w:t xml:space="preserve">2018 m. pab. </w:t>
      </w:r>
      <w:r w:rsidRPr="00C119A5">
        <w:rPr>
          <w:rFonts w:eastAsiaTheme="minorHAnsi"/>
        </w:rPr>
        <w:t>nepasiekti finansinio veiklos peržiūros rodiklio</w:t>
      </w:r>
      <w:r w:rsidR="0026070E" w:rsidRPr="00C119A5">
        <w:rPr>
          <w:rFonts w:eastAsiaTheme="minorHAnsi"/>
        </w:rPr>
        <w:t>.</w:t>
      </w:r>
      <w:r w:rsidR="00AD3B54" w:rsidRPr="00C119A5">
        <w:rPr>
          <w:rFonts w:eastAsiaTheme="minorHAnsi"/>
        </w:rPr>
        <w:t xml:space="preserve"> </w:t>
      </w:r>
      <w:r w:rsidR="0026070E" w:rsidRPr="00C119A5">
        <w:rPr>
          <w:rFonts w:eastAsiaTheme="minorHAnsi"/>
        </w:rPr>
        <w:t>Šio rodiklio</w:t>
      </w:r>
      <w:r w:rsidRPr="00C119A5">
        <w:rPr>
          <w:rFonts w:eastAsiaTheme="minorHAnsi"/>
        </w:rPr>
        <w:t xml:space="preserve"> pasiekimas tiesiogiai priklauso nuo to, </w:t>
      </w:r>
      <w:r w:rsidR="001A1048">
        <w:rPr>
          <w:rFonts w:eastAsiaTheme="minorHAnsi"/>
        </w:rPr>
        <w:t xml:space="preserve">ar </w:t>
      </w:r>
      <w:r w:rsidR="007317DC" w:rsidRPr="00C119A5">
        <w:rPr>
          <w:rFonts w:eastAsiaTheme="minorHAnsi"/>
        </w:rPr>
        <w:t xml:space="preserve">iki 2018 m. pabaigos Europos Komisijai deklaruota ne mažiau kaip 6 mln. </w:t>
      </w:r>
      <w:r w:rsidR="00CE5120">
        <w:rPr>
          <w:rFonts w:eastAsiaTheme="minorHAnsi"/>
        </w:rPr>
        <w:t xml:space="preserve">eurų </w:t>
      </w:r>
      <w:r w:rsidR="001A1048">
        <w:rPr>
          <w:rFonts w:eastAsiaTheme="minorHAnsi"/>
        </w:rPr>
        <w:t xml:space="preserve">RAIN3 </w:t>
      </w:r>
      <w:r w:rsidR="007317DC" w:rsidRPr="00C119A5">
        <w:rPr>
          <w:rFonts w:eastAsiaTheme="minorHAnsi"/>
        </w:rPr>
        <w:t>projekto išlaidų, patirtų įvykdžius dalį projekto viešųjų pirkimų</w:t>
      </w:r>
      <w:r w:rsidRPr="00C119A5">
        <w:rPr>
          <w:rFonts w:eastAsiaTheme="minorHAnsi"/>
        </w:rPr>
        <w:t>.</w:t>
      </w:r>
      <w:r w:rsidR="00B37F4B" w:rsidRPr="00C119A5">
        <w:rPr>
          <w:rFonts w:eastAsiaTheme="minorHAnsi"/>
        </w:rPr>
        <w:t xml:space="preserve"> </w:t>
      </w:r>
    </w:p>
    <w:p w:rsidR="00EA2360" w:rsidRDefault="00EA2360">
      <w:pPr>
        <w:spacing w:after="200" w:line="276" w:lineRule="auto"/>
        <w:rPr>
          <w:rFonts w:eastAsiaTheme="minorHAnsi"/>
          <w:color w:val="000000"/>
          <w:szCs w:val="24"/>
        </w:rPr>
      </w:pPr>
      <w:r>
        <w:rPr>
          <w:rFonts w:eastAsiaTheme="minorHAnsi"/>
          <w:color w:val="000000"/>
          <w:szCs w:val="24"/>
        </w:rPr>
        <w:br w:type="page"/>
      </w:r>
    </w:p>
    <w:p w:rsidR="00A26202" w:rsidRPr="00144C56" w:rsidRDefault="00A26202" w:rsidP="00A2620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color w:val="000000"/>
          <w:szCs w:val="24"/>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A26202" w:rsidTr="00E35145">
        <w:tc>
          <w:tcPr>
            <w:tcW w:w="9638" w:type="dxa"/>
            <w:tcBorders>
              <w:top w:val="nil"/>
              <w:left w:val="nil"/>
              <w:bottom w:val="nil"/>
              <w:right w:val="nil"/>
            </w:tcBorders>
            <w:shd w:val="clear" w:color="auto" w:fill="D9D9D9" w:themeFill="background1" w:themeFillShade="D9"/>
          </w:tcPr>
          <w:p w:rsidR="00A26202" w:rsidRPr="003B769B" w:rsidRDefault="0026070E" w:rsidP="00A26202">
            <w:pPr>
              <w:jc w:val="both"/>
              <w:rPr>
                <w:rFonts w:asciiTheme="minorHAnsi" w:hAnsiTheme="minorHAnsi"/>
                <w:b/>
                <w:color w:val="365F91" w:themeColor="accent1" w:themeShade="BF"/>
              </w:rPr>
            </w:pPr>
            <w:r w:rsidRPr="003B769B">
              <w:rPr>
                <w:rFonts w:asciiTheme="minorHAnsi" w:hAnsiTheme="minorHAnsi"/>
                <w:b/>
                <w:color w:val="365F91" w:themeColor="accent1" w:themeShade="BF"/>
              </w:rPr>
              <w:t>Siūlymai</w:t>
            </w:r>
            <w:r w:rsidR="00A26202" w:rsidRPr="003B769B">
              <w:rPr>
                <w:rFonts w:asciiTheme="minorHAnsi" w:hAnsiTheme="minorHAnsi"/>
                <w:b/>
                <w:color w:val="365F91" w:themeColor="accent1" w:themeShade="BF"/>
              </w:rPr>
              <w:t xml:space="preserve"> Susisiekimo ministerijai:</w:t>
            </w:r>
          </w:p>
          <w:p w:rsidR="00A26202" w:rsidRPr="003B769B" w:rsidRDefault="003B769B" w:rsidP="003B769B">
            <w:pPr>
              <w:contextualSpacing/>
              <w:jc w:val="both"/>
              <w:rPr>
                <w:rFonts w:asciiTheme="minorHAnsi" w:hAnsiTheme="minorHAnsi"/>
                <w:b/>
                <w:color w:val="365F91" w:themeColor="accent1" w:themeShade="BF"/>
              </w:rPr>
            </w:pPr>
            <w:r>
              <w:rPr>
                <w:rFonts w:asciiTheme="minorHAnsi" w:hAnsiTheme="minorHAnsi"/>
                <w:b/>
                <w:color w:val="365F91" w:themeColor="accent1" w:themeShade="BF"/>
              </w:rPr>
              <w:t xml:space="preserve">- </w:t>
            </w:r>
            <w:r w:rsidR="00A26202" w:rsidRPr="003B769B">
              <w:rPr>
                <w:rFonts w:asciiTheme="minorHAnsi" w:hAnsiTheme="minorHAnsi"/>
                <w:b/>
                <w:color w:val="365F91" w:themeColor="accent1" w:themeShade="BF"/>
              </w:rPr>
              <w:t xml:space="preserve">Iki 2019 m. </w:t>
            </w:r>
            <w:r w:rsidR="00595DC2">
              <w:rPr>
                <w:rFonts w:asciiTheme="minorHAnsi" w:hAnsiTheme="minorHAnsi"/>
                <w:b/>
                <w:color w:val="365F91" w:themeColor="accent1" w:themeShade="BF"/>
              </w:rPr>
              <w:t>kovo 31</w:t>
            </w:r>
            <w:r w:rsidR="00A26202" w:rsidRPr="003B769B">
              <w:rPr>
                <w:rFonts w:asciiTheme="minorHAnsi" w:hAnsiTheme="minorHAnsi"/>
                <w:b/>
                <w:color w:val="365F91" w:themeColor="accent1" w:themeShade="BF"/>
              </w:rPr>
              <w:t xml:space="preserve"> d. </w:t>
            </w:r>
            <w:r w:rsidR="0026070E" w:rsidRPr="003B769B">
              <w:rPr>
                <w:rFonts w:asciiTheme="minorHAnsi" w:hAnsiTheme="minorHAnsi"/>
                <w:b/>
                <w:color w:val="365F91" w:themeColor="accent1" w:themeShade="BF"/>
              </w:rPr>
              <w:t>į</w:t>
            </w:r>
            <w:r w:rsidR="00A26202" w:rsidRPr="003B769B">
              <w:rPr>
                <w:rFonts w:asciiTheme="minorHAnsi" w:hAnsiTheme="minorHAnsi"/>
                <w:b/>
                <w:color w:val="365F91" w:themeColor="accent1" w:themeShade="BF"/>
              </w:rPr>
              <w:t xml:space="preserve"> valstybės projektų sąrašą </w:t>
            </w:r>
            <w:r w:rsidR="0026070E" w:rsidRPr="003B769B">
              <w:rPr>
                <w:rFonts w:asciiTheme="minorHAnsi" w:hAnsiTheme="minorHAnsi"/>
                <w:b/>
                <w:color w:val="365F91" w:themeColor="accent1" w:themeShade="BF"/>
              </w:rPr>
              <w:t>įtraukti</w:t>
            </w:r>
            <w:r w:rsidR="009B43CD" w:rsidRPr="003B769B">
              <w:rPr>
                <w:rFonts w:asciiTheme="minorHAnsi" w:hAnsiTheme="minorHAnsi"/>
                <w:b/>
                <w:color w:val="365F91" w:themeColor="accent1" w:themeShade="BF"/>
              </w:rPr>
              <w:t xml:space="preserve"> Krašto apsaugos ministerijos projektą </w:t>
            </w:r>
            <w:r w:rsidR="00A26202" w:rsidRPr="003B769B">
              <w:rPr>
                <w:rFonts w:asciiTheme="minorHAnsi" w:hAnsiTheme="minorHAnsi"/>
                <w:b/>
                <w:color w:val="365F91" w:themeColor="accent1" w:themeShade="BF"/>
              </w:rPr>
              <w:t xml:space="preserve">pagal priemonę „IRT Infrastruktūros optimizavimas ir sauga“. </w:t>
            </w:r>
          </w:p>
          <w:p w:rsidR="003B769B" w:rsidRDefault="003B769B" w:rsidP="00F164AE">
            <w:pPr>
              <w:jc w:val="both"/>
              <w:rPr>
                <w:rFonts w:asciiTheme="minorHAnsi" w:hAnsiTheme="minorHAnsi"/>
                <w:b/>
                <w:color w:val="365F91" w:themeColor="accent1" w:themeShade="BF"/>
              </w:rPr>
            </w:pPr>
          </w:p>
          <w:p w:rsidR="00A26202" w:rsidRPr="003B769B" w:rsidRDefault="003252C2" w:rsidP="00F164AE">
            <w:pPr>
              <w:jc w:val="both"/>
              <w:rPr>
                <w:rFonts w:asciiTheme="minorHAnsi" w:hAnsiTheme="minorHAnsi"/>
                <w:b/>
                <w:color w:val="365F91" w:themeColor="accent1" w:themeShade="BF"/>
              </w:rPr>
            </w:pPr>
            <w:r w:rsidRPr="003B769B">
              <w:rPr>
                <w:rFonts w:asciiTheme="minorHAnsi" w:hAnsiTheme="minorHAnsi"/>
                <w:b/>
                <w:color w:val="365F91" w:themeColor="accent1" w:themeShade="BF"/>
              </w:rPr>
              <w:t xml:space="preserve">Siūlymas </w:t>
            </w:r>
            <w:r w:rsidR="00A26202" w:rsidRPr="003B769B">
              <w:rPr>
                <w:rFonts w:asciiTheme="minorHAnsi" w:hAnsiTheme="minorHAnsi"/>
                <w:b/>
                <w:color w:val="365F91" w:themeColor="accent1" w:themeShade="BF"/>
              </w:rPr>
              <w:t>Ūkio ministerijai</w:t>
            </w:r>
            <w:r w:rsidR="00382D92">
              <w:rPr>
                <w:rFonts w:asciiTheme="minorHAnsi" w:hAnsiTheme="minorHAnsi"/>
                <w:b/>
                <w:color w:val="365F91" w:themeColor="accent1" w:themeShade="BF"/>
              </w:rPr>
              <w:t xml:space="preserve"> </w:t>
            </w:r>
            <w:r w:rsidR="00382D92" w:rsidRPr="00382D92">
              <w:rPr>
                <w:rFonts w:asciiTheme="minorHAnsi" w:hAnsiTheme="minorHAnsi"/>
                <w:color w:val="365F91" w:themeColor="accent1" w:themeShade="BF"/>
              </w:rPr>
              <w:t>(</w:t>
            </w:r>
            <w:r w:rsidR="00F164AE" w:rsidRPr="00382D92">
              <w:rPr>
                <w:rFonts w:asciiTheme="minorHAnsi" w:hAnsiTheme="minorHAnsi"/>
                <w:color w:val="365F91" w:themeColor="accent1" w:themeShade="BF"/>
              </w:rPr>
              <w:t>atsakingai už valstybės informacinių išteklių plėtros politikos formavimą</w:t>
            </w:r>
            <w:r w:rsidR="00382D92" w:rsidRPr="00382D92">
              <w:rPr>
                <w:rFonts w:asciiTheme="minorHAnsi" w:hAnsiTheme="minorHAnsi"/>
                <w:color w:val="365F91" w:themeColor="accent1" w:themeShade="BF"/>
              </w:rPr>
              <w:t>)</w:t>
            </w:r>
            <w:r w:rsidR="00A26202" w:rsidRPr="00382D92">
              <w:rPr>
                <w:rFonts w:asciiTheme="minorHAnsi" w:hAnsiTheme="minorHAnsi"/>
                <w:color w:val="365F91" w:themeColor="accent1" w:themeShade="BF"/>
              </w:rPr>
              <w:t>:</w:t>
            </w:r>
          </w:p>
          <w:p w:rsidR="00A26202" w:rsidRPr="00EA2360" w:rsidRDefault="003B769B" w:rsidP="00E35145">
            <w:pPr>
              <w:contextualSpacing/>
              <w:jc w:val="both"/>
              <w:rPr>
                <w:rFonts w:asciiTheme="minorHAnsi" w:hAnsiTheme="minorHAnsi"/>
                <w:color w:val="365F91" w:themeColor="accent1" w:themeShade="BF"/>
              </w:rPr>
            </w:pPr>
            <w:r>
              <w:rPr>
                <w:rFonts w:asciiTheme="minorHAnsi" w:hAnsiTheme="minorHAnsi"/>
                <w:b/>
                <w:color w:val="365F91" w:themeColor="accent1" w:themeShade="BF"/>
              </w:rPr>
              <w:t xml:space="preserve">- </w:t>
            </w:r>
            <w:r w:rsidR="00A26202" w:rsidRPr="003B769B">
              <w:rPr>
                <w:rFonts w:asciiTheme="minorHAnsi" w:hAnsiTheme="minorHAnsi"/>
                <w:b/>
                <w:color w:val="365F91" w:themeColor="accent1" w:themeShade="BF"/>
              </w:rPr>
              <w:t xml:space="preserve">Iki 2018 m. </w:t>
            </w:r>
            <w:r w:rsidR="00F3758E" w:rsidRPr="003B769B">
              <w:rPr>
                <w:rFonts w:asciiTheme="minorHAnsi" w:hAnsiTheme="minorHAnsi"/>
                <w:b/>
                <w:color w:val="365F91" w:themeColor="accent1" w:themeShade="BF"/>
              </w:rPr>
              <w:t>lapkričio</w:t>
            </w:r>
            <w:r w:rsidR="00A26202" w:rsidRPr="003B769B">
              <w:rPr>
                <w:rFonts w:asciiTheme="minorHAnsi" w:hAnsiTheme="minorHAnsi"/>
                <w:b/>
                <w:color w:val="365F91" w:themeColor="accent1" w:themeShade="BF"/>
              </w:rPr>
              <w:t xml:space="preserve"> 3</w:t>
            </w:r>
            <w:r w:rsidR="00F3758E" w:rsidRPr="003B769B">
              <w:rPr>
                <w:rFonts w:asciiTheme="minorHAnsi" w:hAnsiTheme="minorHAnsi"/>
                <w:b/>
                <w:color w:val="365F91" w:themeColor="accent1" w:themeShade="BF"/>
              </w:rPr>
              <w:t>0</w:t>
            </w:r>
            <w:r w:rsidR="00A26202" w:rsidRPr="003B769B">
              <w:rPr>
                <w:rFonts w:asciiTheme="minorHAnsi" w:hAnsiTheme="minorHAnsi"/>
                <w:b/>
                <w:color w:val="365F91" w:themeColor="accent1" w:themeShade="BF"/>
              </w:rPr>
              <w:t xml:space="preserve"> d. </w:t>
            </w:r>
            <w:r w:rsidR="003252C2" w:rsidRPr="003B769B">
              <w:rPr>
                <w:rFonts w:asciiTheme="minorHAnsi" w:hAnsiTheme="minorHAnsi"/>
                <w:b/>
                <w:color w:val="365F91" w:themeColor="accent1" w:themeShade="BF"/>
              </w:rPr>
              <w:t>sudaryti P</w:t>
            </w:r>
            <w:r w:rsidR="00A26202" w:rsidRPr="003B769B">
              <w:rPr>
                <w:rFonts w:asciiTheme="minorHAnsi" w:hAnsiTheme="minorHAnsi"/>
                <w:b/>
                <w:color w:val="365F91" w:themeColor="accent1" w:themeShade="BF"/>
              </w:rPr>
              <w:t xml:space="preserve">riežiūros komitetą, kuris </w:t>
            </w:r>
            <w:r w:rsidR="00BA445F" w:rsidRPr="003B769B">
              <w:rPr>
                <w:rFonts w:asciiTheme="minorHAnsi" w:hAnsiTheme="minorHAnsi"/>
                <w:b/>
                <w:color w:val="365F91" w:themeColor="accent1" w:themeShade="BF"/>
              </w:rPr>
              <w:t>vykdytų IVPK projektų, finansuojamų iš veiksmų programos</w:t>
            </w:r>
            <w:r w:rsidR="00A26202" w:rsidRPr="003B769B">
              <w:rPr>
                <w:rFonts w:asciiTheme="minorHAnsi" w:hAnsiTheme="minorHAnsi"/>
                <w:b/>
                <w:color w:val="365F91" w:themeColor="accent1" w:themeShade="BF"/>
              </w:rPr>
              <w:t xml:space="preserve"> 2 </w:t>
            </w:r>
            <w:r w:rsidR="00BA445F" w:rsidRPr="003B769B">
              <w:rPr>
                <w:rFonts w:asciiTheme="minorHAnsi" w:hAnsiTheme="minorHAnsi"/>
                <w:b/>
                <w:color w:val="365F91" w:themeColor="accent1" w:themeShade="BF"/>
              </w:rPr>
              <w:t>ir 10 prioritetų ir</w:t>
            </w:r>
            <w:r w:rsidR="00B01A21" w:rsidRPr="003B769B">
              <w:rPr>
                <w:rFonts w:asciiTheme="minorHAnsi" w:hAnsiTheme="minorHAnsi"/>
                <w:b/>
                <w:color w:val="365F91" w:themeColor="accent1" w:themeShade="BF"/>
              </w:rPr>
              <w:t xml:space="preserve"> susijusių su valstybės informacinių</w:t>
            </w:r>
            <w:r w:rsidR="00A26202" w:rsidRPr="003B769B">
              <w:rPr>
                <w:rFonts w:asciiTheme="minorHAnsi" w:hAnsiTheme="minorHAnsi"/>
                <w:b/>
                <w:color w:val="365F91" w:themeColor="accent1" w:themeShade="BF"/>
              </w:rPr>
              <w:t xml:space="preserve"> išteklių konsolidavimu, </w:t>
            </w:r>
            <w:r w:rsidR="00BA445F" w:rsidRPr="003B769B">
              <w:rPr>
                <w:rFonts w:asciiTheme="minorHAnsi" w:hAnsiTheme="minorHAnsi"/>
                <w:b/>
                <w:color w:val="365F91" w:themeColor="accent1" w:themeShade="BF"/>
              </w:rPr>
              <w:t>priežiūrą</w:t>
            </w:r>
            <w:r w:rsidR="00A26202" w:rsidRPr="003B769B">
              <w:rPr>
                <w:rFonts w:asciiTheme="minorHAnsi" w:hAnsiTheme="minorHAnsi"/>
                <w:b/>
                <w:color w:val="365F91" w:themeColor="accent1" w:themeShade="BF"/>
              </w:rPr>
              <w:t xml:space="preserve">. </w:t>
            </w:r>
            <w:r w:rsidR="00A26202" w:rsidRPr="00382D92">
              <w:rPr>
                <w:rFonts w:asciiTheme="minorHAnsi" w:hAnsiTheme="minorHAnsi"/>
                <w:color w:val="365F91" w:themeColor="accent1" w:themeShade="BF"/>
              </w:rPr>
              <w:t xml:space="preserve">Į Priežiūros komiteto sudėtį siūlome įtraukti Susisiekimo ministerijos, Vidaus reikalų ministerijos, Krašto apsaugos ministerijos, Europos socialinio fondo agentūros, </w:t>
            </w:r>
            <w:proofErr w:type="spellStart"/>
            <w:r w:rsidR="00A26202" w:rsidRPr="00382D92">
              <w:rPr>
                <w:rFonts w:asciiTheme="minorHAnsi" w:hAnsiTheme="minorHAnsi"/>
                <w:color w:val="365F91" w:themeColor="accent1" w:themeShade="BF"/>
              </w:rPr>
              <w:t>VšĮ</w:t>
            </w:r>
            <w:proofErr w:type="spellEnd"/>
            <w:r w:rsidR="00A26202" w:rsidRPr="00382D92">
              <w:rPr>
                <w:rFonts w:asciiTheme="minorHAnsi" w:hAnsiTheme="minorHAnsi"/>
                <w:color w:val="365F91" w:themeColor="accent1" w:themeShade="BF"/>
              </w:rPr>
              <w:t xml:space="preserve"> Centrinės projektų valdymo agentūros atstovus.</w:t>
            </w:r>
          </w:p>
        </w:tc>
      </w:tr>
    </w:tbl>
    <w:p w:rsidR="009C3C22" w:rsidRDefault="00FA6691" w:rsidP="00F6099D">
      <w:pPr>
        <w:pStyle w:val="antrat3zz"/>
      </w:pPr>
      <w:bookmarkStart w:id="18" w:name="_Toc512504080"/>
      <w:bookmarkStart w:id="19" w:name="_Toc528660895"/>
      <w:r>
        <w:t>4 prioritetas. Energijos efektyvumo ir atsinaujinančių išteklių energijos gamybos ir naudojimo skatinimas</w:t>
      </w:r>
      <w:bookmarkEnd w:id="18"/>
      <w:bookmarkEnd w:id="19"/>
    </w:p>
    <w:p w:rsidR="00382D92" w:rsidRDefault="00AA0042" w:rsidP="00382D92">
      <w:pPr>
        <w:pStyle w:val="tekstas"/>
      </w:pPr>
      <w:r w:rsidRPr="00AA0042">
        <w:t xml:space="preserve">4 prioriteto </w:t>
      </w:r>
      <w:r w:rsidRPr="007E21B7">
        <w:rPr>
          <w:i/>
        </w:rPr>
        <w:t>ERPF</w:t>
      </w:r>
      <w:r w:rsidRPr="00AA0042">
        <w:t xml:space="preserve"> </w:t>
      </w:r>
      <w:r w:rsidR="00382D92">
        <w:t>dalyje r</w:t>
      </w:r>
      <w:r w:rsidRPr="00AA0042">
        <w:t xml:space="preserve">izikos dėl 2018 m. tarpinių rodiklių nepasiekimo nėra. </w:t>
      </w:r>
    </w:p>
    <w:p w:rsidR="00AA0042" w:rsidRPr="00AA0042" w:rsidRDefault="00AA0042" w:rsidP="00382D92">
      <w:pPr>
        <w:pStyle w:val="tekstas"/>
      </w:pPr>
      <w:r w:rsidRPr="00AA0042">
        <w:t>Tačiau Energetikos ministerija neįgyvendino ankstesnėje ataskaitoje teikt</w:t>
      </w:r>
      <w:r w:rsidR="0012087B">
        <w:t>os</w:t>
      </w:r>
      <w:r w:rsidRPr="00AA0042">
        <w:t xml:space="preserve"> rekomendacij</w:t>
      </w:r>
      <w:r w:rsidR="0012087B">
        <w:t>os</w:t>
      </w:r>
      <w:r w:rsidRPr="00AA0042">
        <w:t>, t. y. iki 2018 rugsėjo 30 d. ne</w:t>
      </w:r>
      <w:r w:rsidR="008D3752">
        <w:t>sudarė valstybės projektų sąrašų</w:t>
      </w:r>
      <w:r w:rsidRPr="00AA0042">
        <w:t xml:space="preserve"> priemonė</w:t>
      </w:r>
      <w:r w:rsidR="005612B3">
        <w:t>je</w:t>
      </w:r>
      <w:r w:rsidRPr="00AA0042">
        <w:t xml:space="preserve"> „Valstybei nuosavybės teise priklausančių </w:t>
      </w:r>
      <w:r w:rsidR="008D3752">
        <w:t>pastatų atnaujinimas“</w:t>
      </w:r>
      <w:r w:rsidRPr="00AA0042">
        <w:t>.</w:t>
      </w:r>
      <w:r w:rsidR="005612B3">
        <w:t xml:space="preserve"> </w:t>
      </w:r>
      <w:r w:rsidR="008D3752">
        <w:t xml:space="preserve">Ministerija </w:t>
      </w:r>
      <w:r w:rsidR="00865E52">
        <w:t xml:space="preserve">šios </w:t>
      </w:r>
      <w:r w:rsidR="008D3752">
        <w:t xml:space="preserve">priemonės projektus ketino suplanuoti dar 2017 m. IV ketvirtį. Taigi, projektų planavimas šioje priemonėje vėluoja metus. </w:t>
      </w:r>
      <w:r w:rsidR="00483D55">
        <w:t xml:space="preserve">Todėl Energetikos ministerija turi </w:t>
      </w:r>
      <w:r w:rsidR="00D72C26">
        <w:t xml:space="preserve">skubiai </w:t>
      </w:r>
      <w:r w:rsidR="00483D55">
        <w:t>imtis aktyvių veiksmų situacijai taisyti (spręsti žmogiškųjų išteklių trūkumo klausimus, mažinti administracinius trukdžius sklandžiam projektų planavimui ir pan.).</w:t>
      </w:r>
    </w:p>
    <w:p w:rsidR="00100C9D" w:rsidRDefault="00AA0042" w:rsidP="00382D92">
      <w:pPr>
        <w:pStyle w:val="tekstas"/>
      </w:pPr>
      <w:r w:rsidRPr="00AA0042">
        <w:t xml:space="preserve">4 prioriteto </w:t>
      </w:r>
      <w:proofErr w:type="spellStart"/>
      <w:r w:rsidRPr="007E21B7">
        <w:rPr>
          <w:i/>
        </w:rPr>
        <w:t>SaF</w:t>
      </w:r>
      <w:proofErr w:type="spellEnd"/>
      <w:r w:rsidRPr="00AA0042">
        <w:t xml:space="preserve"> dalyje rizikos dėl 2018 m. tarpinių rodiklių nepasiekimo </w:t>
      </w:r>
      <w:r w:rsidR="008D3752">
        <w:t>taip pat nėra, t</w:t>
      </w:r>
      <w:r w:rsidRPr="00AA0042">
        <w:t>ačiau Energetikos ministerija da</w:t>
      </w:r>
      <w:r w:rsidR="008D3752">
        <w:t xml:space="preserve">r nėra suplanavusi </w:t>
      </w:r>
      <w:r w:rsidR="00330FBD">
        <w:t>51</w:t>
      </w:r>
      <w:r w:rsidR="008D3752">
        <w:t xml:space="preserve"> mln. eurų. T</w:t>
      </w:r>
      <w:r w:rsidRPr="00AA0042">
        <w:t xml:space="preserve">odėl peržiūrėjusi ES struktūrinių fondų </w:t>
      </w:r>
      <w:r w:rsidR="00100C9D">
        <w:t>lėšomis įgyvendinamas priemones</w:t>
      </w:r>
      <w:r w:rsidRPr="00AA0042">
        <w:t xml:space="preserve"> Energetikos ministerija siūlo dalį nesuplanuotų lėšų perskirstyti</w:t>
      </w:r>
      <w:r w:rsidR="00330FBD">
        <w:t xml:space="preserve"> ta</w:t>
      </w:r>
      <w:r w:rsidR="00671508">
        <w:t>rp ministerijos priemonių</w:t>
      </w:r>
      <w:r w:rsidR="00330FBD">
        <w:t xml:space="preserve"> bei dalį</w:t>
      </w:r>
      <w:r w:rsidRPr="00AA0042">
        <w:t xml:space="preserve"> skir</w:t>
      </w:r>
      <w:r w:rsidR="00330FBD">
        <w:t>ti</w:t>
      </w:r>
      <w:r w:rsidRPr="00AA0042">
        <w:t xml:space="preserve"> pagal 5 prioritetą Aplinkos ministerijos planuojamam įgyvendinti Maišiagalos radioaktyviųjų atliekų saugyklos projektui. </w:t>
      </w:r>
    </w:p>
    <w:p w:rsidR="00AA0042" w:rsidRDefault="00AA0042" w:rsidP="00382D92">
      <w:pPr>
        <w:pStyle w:val="tekstas"/>
      </w:pPr>
      <w:r w:rsidRPr="00AA0042">
        <w:t>Taip pat Energetikos ministerija neįgyvendino ankstesnėje ataskaitoje teikt</w:t>
      </w:r>
      <w:r w:rsidR="00D72C26">
        <w:t>os</w:t>
      </w:r>
      <w:r w:rsidRPr="00AA0042">
        <w:t xml:space="preserve"> rekomendacij</w:t>
      </w:r>
      <w:r w:rsidR="00D72C26">
        <w:t>os</w:t>
      </w:r>
      <w:r w:rsidRPr="00AA0042">
        <w:t xml:space="preserve">, t. y. iki 2018 m. liepos 31 d. pagal naujos Energetinės nepriklausomybės strategijos įgyvendinimo planą nesuplanavo </w:t>
      </w:r>
      <w:proofErr w:type="spellStart"/>
      <w:r w:rsidRPr="007E21B7">
        <w:rPr>
          <w:i/>
        </w:rPr>
        <w:t>SaF</w:t>
      </w:r>
      <w:proofErr w:type="spellEnd"/>
      <w:r w:rsidRPr="00AA0042">
        <w:t xml:space="preserve"> lėšų, neparengė priemonių įgyvendinimo planų projektų.</w:t>
      </w:r>
    </w:p>
    <w:p w:rsidR="00100C9D" w:rsidRDefault="00100C9D" w:rsidP="00382D92">
      <w:pPr>
        <w:pStyle w:val="tekstas"/>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100C9D" w:rsidTr="00100C9D">
        <w:trPr>
          <w:trHeight w:val="1704"/>
        </w:trPr>
        <w:tc>
          <w:tcPr>
            <w:tcW w:w="9638" w:type="dxa"/>
            <w:tcBorders>
              <w:top w:val="nil"/>
              <w:left w:val="nil"/>
              <w:bottom w:val="nil"/>
              <w:right w:val="nil"/>
            </w:tcBorders>
            <w:shd w:val="clear" w:color="auto" w:fill="D9D9D9" w:themeFill="background1" w:themeFillShade="D9"/>
          </w:tcPr>
          <w:p w:rsidR="00100C9D" w:rsidRPr="00E434E9" w:rsidRDefault="00100C9D" w:rsidP="00EE7E69">
            <w:pPr>
              <w:rPr>
                <w:rFonts w:ascii="Calibri" w:hAnsi="Calibri"/>
                <w:b/>
                <w:color w:val="365F91" w:themeColor="accent1" w:themeShade="BF"/>
                <w:szCs w:val="24"/>
              </w:rPr>
            </w:pPr>
            <w:r>
              <w:rPr>
                <w:rFonts w:ascii="Calibri" w:hAnsi="Calibri"/>
                <w:b/>
                <w:color w:val="365F91" w:themeColor="accent1" w:themeShade="BF"/>
                <w:szCs w:val="24"/>
              </w:rPr>
              <w:t>Siūlymas Energetikos ministerijai</w:t>
            </w:r>
            <w:r w:rsidRPr="00E434E9">
              <w:rPr>
                <w:rFonts w:ascii="Calibri" w:hAnsi="Calibri"/>
                <w:b/>
                <w:color w:val="365F91" w:themeColor="accent1" w:themeShade="BF"/>
                <w:szCs w:val="24"/>
              </w:rPr>
              <w:t>:</w:t>
            </w:r>
          </w:p>
          <w:p w:rsidR="00100C9D" w:rsidRPr="00100C9D" w:rsidRDefault="00100C9D" w:rsidP="00100C9D">
            <w:pPr>
              <w:jc w:val="both"/>
              <w:rPr>
                <w:rFonts w:asciiTheme="minorHAnsi" w:hAnsiTheme="minorHAnsi"/>
                <w:b/>
                <w:color w:val="365F91" w:themeColor="accent1" w:themeShade="BF"/>
              </w:rPr>
            </w:pPr>
            <w:r>
              <w:rPr>
                <w:rFonts w:asciiTheme="minorHAnsi" w:hAnsiTheme="minorHAnsi"/>
                <w:b/>
                <w:color w:val="365F91" w:themeColor="accent1" w:themeShade="BF"/>
              </w:rPr>
              <w:t>- Iki 2018 m. lapkričio 30 d.</w:t>
            </w:r>
            <w:r w:rsidRPr="00100C9D">
              <w:rPr>
                <w:rFonts w:asciiTheme="minorHAnsi" w:hAnsiTheme="minorHAnsi"/>
                <w:b/>
                <w:color w:val="365F91" w:themeColor="accent1" w:themeShade="BF"/>
              </w:rPr>
              <w:t xml:space="preserve"> parengti ES lėšomis finansuojamų priemonių įgyvendinimo </w:t>
            </w:r>
            <w:r w:rsidR="004248F4">
              <w:rPr>
                <w:rFonts w:asciiTheme="minorHAnsi" w:hAnsiTheme="minorHAnsi"/>
                <w:b/>
                <w:color w:val="365F91" w:themeColor="accent1" w:themeShade="BF"/>
              </w:rPr>
              <w:t>planų projektus 37</w:t>
            </w:r>
            <w:r w:rsidRPr="00100C9D">
              <w:rPr>
                <w:rFonts w:asciiTheme="minorHAnsi" w:hAnsiTheme="minorHAnsi"/>
                <w:b/>
                <w:color w:val="365F91" w:themeColor="accent1" w:themeShade="BF"/>
              </w:rPr>
              <w:t xml:space="preserve"> mln. </w:t>
            </w:r>
            <w:r>
              <w:rPr>
                <w:rFonts w:asciiTheme="minorHAnsi" w:hAnsiTheme="minorHAnsi"/>
                <w:b/>
                <w:color w:val="365F91" w:themeColor="accent1" w:themeShade="BF"/>
              </w:rPr>
              <w:t xml:space="preserve">eurų </w:t>
            </w:r>
            <w:proofErr w:type="spellStart"/>
            <w:r w:rsidRPr="00100C9D">
              <w:rPr>
                <w:rFonts w:asciiTheme="minorHAnsi" w:hAnsiTheme="minorHAnsi"/>
                <w:b/>
                <w:color w:val="365F91" w:themeColor="accent1" w:themeShade="BF"/>
              </w:rPr>
              <w:t>SaF</w:t>
            </w:r>
            <w:proofErr w:type="spellEnd"/>
            <w:r w:rsidRPr="00100C9D">
              <w:rPr>
                <w:rFonts w:asciiTheme="minorHAnsi" w:hAnsiTheme="minorHAnsi"/>
                <w:b/>
                <w:color w:val="365F91" w:themeColor="accent1" w:themeShade="BF"/>
              </w:rPr>
              <w:t xml:space="preserve"> lėšų sumai.</w:t>
            </w:r>
          </w:p>
          <w:p w:rsidR="00100C9D" w:rsidRPr="00100C9D" w:rsidRDefault="00100C9D" w:rsidP="00100C9D">
            <w:pPr>
              <w:jc w:val="both"/>
              <w:rPr>
                <w:rFonts w:asciiTheme="minorHAnsi" w:hAnsiTheme="minorHAnsi"/>
                <w:b/>
                <w:color w:val="365F91" w:themeColor="accent1" w:themeShade="BF"/>
              </w:rPr>
            </w:pPr>
            <w:r>
              <w:rPr>
                <w:rFonts w:asciiTheme="minorHAnsi" w:hAnsiTheme="minorHAnsi"/>
                <w:b/>
                <w:color w:val="365F91" w:themeColor="accent1" w:themeShade="BF"/>
              </w:rPr>
              <w:t xml:space="preserve">- </w:t>
            </w:r>
            <w:r w:rsidRPr="00100C9D">
              <w:rPr>
                <w:rFonts w:asciiTheme="minorHAnsi" w:hAnsiTheme="minorHAnsi"/>
                <w:b/>
                <w:color w:val="365F91" w:themeColor="accent1" w:themeShade="BF"/>
              </w:rPr>
              <w:t>Iki 2018</w:t>
            </w:r>
            <w:r>
              <w:rPr>
                <w:rFonts w:asciiTheme="minorHAnsi" w:hAnsiTheme="minorHAnsi"/>
                <w:b/>
                <w:color w:val="365F91" w:themeColor="accent1" w:themeShade="BF"/>
              </w:rPr>
              <w:t xml:space="preserve"> m. lapkričio 30 d. </w:t>
            </w:r>
            <w:r w:rsidRPr="00100C9D">
              <w:rPr>
                <w:rFonts w:asciiTheme="minorHAnsi" w:hAnsiTheme="minorHAnsi"/>
                <w:b/>
                <w:color w:val="365F91" w:themeColor="accent1" w:themeShade="BF"/>
              </w:rPr>
              <w:t>sudaryti valstybės projektų sąrašą b</w:t>
            </w:r>
            <w:r w:rsidR="00252FF3">
              <w:rPr>
                <w:rFonts w:asciiTheme="minorHAnsi" w:hAnsiTheme="minorHAnsi"/>
                <w:b/>
                <w:color w:val="365F91" w:themeColor="accent1" w:themeShade="BF"/>
              </w:rPr>
              <w:t>ent pusei</w:t>
            </w:r>
            <w:r w:rsidRPr="00100C9D">
              <w:rPr>
                <w:rFonts w:asciiTheme="minorHAnsi" w:hAnsiTheme="minorHAnsi"/>
                <w:b/>
                <w:color w:val="365F91" w:themeColor="accent1" w:themeShade="BF"/>
              </w:rPr>
              <w:t xml:space="preserve"> priemonės „Valstybei nuosavybės teise priklausančių pastatų atnaujinimas“ lėšų sumos. </w:t>
            </w:r>
          </w:p>
          <w:p w:rsidR="00100C9D" w:rsidRPr="000930DD" w:rsidRDefault="00100C9D" w:rsidP="00100C9D">
            <w:pPr>
              <w:jc w:val="both"/>
              <w:rPr>
                <w:rFonts w:asciiTheme="minorHAnsi" w:hAnsiTheme="minorHAnsi"/>
                <w:b/>
                <w:color w:val="365F91" w:themeColor="accent1" w:themeShade="BF"/>
              </w:rPr>
            </w:pPr>
          </w:p>
        </w:tc>
      </w:tr>
    </w:tbl>
    <w:p w:rsidR="00100C9D" w:rsidRDefault="00100C9D" w:rsidP="00382D92">
      <w:pPr>
        <w:pStyle w:val="tekstas"/>
      </w:pPr>
    </w:p>
    <w:p w:rsidR="00100C9D" w:rsidRDefault="00100C9D" w:rsidP="00382D92">
      <w:pPr>
        <w:pStyle w:val="tekstas"/>
      </w:pPr>
      <w:r w:rsidRPr="00100C9D">
        <w:t>Siekiant paspartinti 4 prioriteto Ūkio ministerijos administruo</w:t>
      </w:r>
      <w:r>
        <w:t>jamų priemonių įgyvendinimą, Vyriausybės</w:t>
      </w:r>
      <w:r w:rsidRPr="00100C9D">
        <w:t xml:space="preserve"> pavedimu Ūkio ministerija sudarė veik</w:t>
      </w:r>
      <w:r>
        <w:t xml:space="preserve">smų planą, pagal kurį aktyviai </w:t>
      </w:r>
      <w:r w:rsidRPr="00100C9D">
        <w:t>organizuojami susitikimai su rizikingų projektų</w:t>
      </w:r>
      <w:r>
        <w:t xml:space="preserve"> vykdytojais. </w:t>
      </w:r>
    </w:p>
    <w:p w:rsidR="004A1B40" w:rsidRDefault="000A71BF" w:rsidP="004A1B40">
      <w:pPr>
        <w:pStyle w:val="tekstas"/>
      </w:pPr>
      <w:r>
        <w:t>Kalbant apie finansinių priemonių įgyvendinimą 4 prioritete, reikėtų paminėti Energijos efektyvumo fondą, kuris buvo įsteigtas 2015 m., s</w:t>
      </w:r>
      <w:r w:rsidR="004A1B40">
        <w:t xml:space="preserve">iekiant didinti centrinės valdžios viešųjų pastatų energijos vartojimo efektyvumą. 2018 m. buvo pakeista finansavimo schema, derinant fondo ir subsidijų lėšas projektų finansavimui. Taip pat 2018 m II </w:t>
      </w:r>
      <w:proofErr w:type="spellStart"/>
      <w:r w:rsidR="004A1B40">
        <w:t>ketv</w:t>
      </w:r>
      <w:proofErr w:type="spellEnd"/>
      <w:r w:rsidR="004A1B40">
        <w:t xml:space="preserve">. buvo pakeista </w:t>
      </w:r>
      <w:r w:rsidR="004A1B40" w:rsidRPr="00655694">
        <w:rPr>
          <w:lang w:eastAsia="lt-LT"/>
        </w:rPr>
        <w:t>Viešųjų pastatų energinio efektyvumo didinimo programa</w:t>
      </w:r>
      <w:r w:rsidR="004A1B40">
        <w:rPr>
          <w:lang w:eastAsia="lt-LT"/>
        </w:rPr>
        <w:t>, sudarant</w:t>
      </w:r>
      <w:r w:rsidR="004A1B40" w:rsidRPr="00655694">
        <w:t xml:space="preserve"> prielaidas ir </w:t>
      </w:r>
      <w:r w:rsidR="001B3DDC">
        <w:t xml:space="preserve">siekiant </w:t>
      </w:r>
      <w:r w:rsidR="004A1B40" w:rsidRPr="00655694">
        <w:t xml:space="preserve">paskatinti centrinės valdžios institucijas – ministerijas, atsakingai ir efektyviau valdyti patikėtą turtą, mažinti valstybės </w:t>
      </w:r>
      <w:r w:rsidR="004A1B40" w:rsidRPr="00655694">
        <w:lastRenderedPageBreak/>
        <w:t>viešųjų pastatų valdymo kaštus ir užtikrinti efektyvų jų panaudojimą.</w:t>
      </w:r>
      <w:r w:rsidR="004A1B40">
        <w:t xml:space="preserve"> </w:t>
      </w:r>
      <w:r w:rsidR="001B3DDC">
        <w:t>Tačiau</w:t>
      </w:r>
      <w:r w:rsidR="004A1B40">
        <w:t xml:space="preserve"> šiuo metu įgyvendinamų projektų skaičius </w:t>
      </w:r>
      <w:r w:rsidR="001B3DDC">
        <w:t>vis dar yra nepakankamas</w:t>
      </w:r>
      <w:r w:rsidR="004A1B40">
        <w:t xml:space="preserve"> ir nėra </w:t>
      </w:r>
      <w:r w:rsidR="001B3DDC">
        <w:t>vykdomas direktyvinis reikalavimas kasmet renovuoti</w:t>
      </w:r>
      <w:r>
        <w:t xml:space="preserve"> 3 proc.</w:t>
      </w:r>
      <w:r w:rsidR="004A1B40" w:rsidRPr="003828C4">
        <w:t xml:space="preserve"> bendro centrinės valdžios subjektams priklausančių ir jų naudojamų šildomų ir (arba) vėsinamų pastatų patalpų</w:t>
      </w:r>
      <w:r w:rsidR="001B3DDC">
        <w:t>. Atsižvelgiant į tai, b</w:t>
      </w:r>
      <w:r w:rsidR="004A1B40">
        <w:t xml:space="preserve">ūtina </w:t>
      </w:r>
      <w:r w:rsidR="001B3DDC">
        <w:t xml:space="preserve">skatinti </w:t>
      </w:r>
      <w:r w:rsidR="004A1B40">
        <w:t>viešųjų pastatų valdytojus įgyvendinti energijos efektyvumo didinimo priemones jų valdomuose pastatuose.</w:t>
      </w:r>
    </w:p>
    <w:p w:rsidR="004A1B40" w:rsidRDefault="004A1B40" w:rsidP="004A1B40">
      <w:pPr>
        <w:pStyle w:val="tekstas"/>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4A1B40" w:rsidTr="00985B6E">
        <w:trPr>
          <w:trHeight w:val="1276"/>
        </w:trPr>
        <w:tc>
          <w:tcPr>
            <w:tcW w:w="9638" w:type="dxa"/>
            <w:tcBorders>
              <w:top w:val="nil"/>
              <w:left w:val="nil"/>
              <w:bottom w:val="nil"/>
              <w:right w:val="nil"/>
            </w:tcBorders>
            <w:shd w:val="clear" w:color="auto" w:fill="D9D9D9" w:themeFill="background1" w:themeFillShade="D9"/>
          </w:tcPr>
          <w:p w:rsidR="004A1B40" w:rsidRPr="00E434E9" w:rsidRDefault="004A1B40" w:rsidP="004A1B40">
            <w:pPr>
              <w:rPr>
                <w:rFonts w:ascii="Calibri" w:hAnsi="Calibri"/>
                <w:b/>
                <w:color w:val="365F91" w:themeColor="accent1" w:themeShade="BF"/>
                <w:szCs w:val="24"/>
              </w:rPr>
            </w:pPr>
            <w:r>
              <w:rPr>
                <w:rFonts w:ascii="Calibri" w:hAnsi="Calibri"/>
                <w:b/>
                <w:color w:val="365F91" w:themeColor="accent1" w:themeShade="BF"/>
                <w:szCs w:val="24"/>
              </w:rPr>
              <w:t>Siūlymas Energetikos ministerijai</w:t>
            </w:r>
            <w:r w:rsidRPr="00E434E9">
              <w:rPr>
                <w:rFonts w:ascii="Calibri" w:hAnsi="Calibri"/>
                <w:b/>
                <w:color w:val="365F91" w:themeColor="accent1" w:themeShade="BF"/>
                <w:szCs w:val="24"/>
              </w:rPr>
              <w:t>:</w:t>
            </w:r>
          </w:p>
          <w:p w:rsidR="004A1B40" w:rsidRPr="000930DD" w:rsidRDefault="004A1B40" w:rsidP="00985B6E">
            <w:pPr>
              <w:jc w:val="both"/>
              <w:rPr>
                <w:rFonts w:asciiTheme="minorHAnsi" w:hAnsiTheme="minorHAnsi"/>
                <w:b/>
                <w:color w:val="365F91" w:themeColor="accent1" w:themeShade="BF"/>
              </w:rPr>
            </w:pPr>
            <w:r w:rsidRPr="004A1B40">
              <w:rPr>
                <w:rFonts w:asciiTheme="minorHAnsi" w:hAnsiTheme="minorHAnsi"/>
                <w:b/>
                <w:color w:val="365F91" w:themeColor="accent1" w:themeShade="BF"/>
              </w:rPr>
              <w:t xml:space="preserve">- </w:t>
            </w:r>
            <w:r w:rsidR="00985B6E" w:rsidRPr="00985B6E">
              <w:rPr>
                <w:rFonts w:asciiTheme="minorHAnsi" w:hAnsiTheme="minorHAnsi"/>
                <w:b/>
                <w:color w:val="365F91" w:themeColor="accent1" w:themeShade="BF"/>
              </w:rPr>
              <w:t>Iki 2018 m. lapkričio 30 d. pasiūlyti priemones, kurios skatintų centrinės valdžios pastatų valdytojus aktyviai ir efektyvias diegti energijos efektyvumo priemones jų valdomuose pastatuose</w:t>
            </w:r>
            <w:r w:rsidR="00985B6E">
              <w:rPr>
                <w:rFonts w:asciiTheme="minorHAnsi" w:hAnsiTheme="minorHAnsi"/>
                <w:b/>
                <w:color w:val="365F91" w:themeColor="accent1" w:themeShade="BF"/>
              </w:rPr>
              <w:t>,</w:t>
            </w:r>
            <w:r w:rsidR="00985B6E" w:rsidRPr="00985B6E">
              <w:rPr>
                <w:rFonts w:asciiTheme="minorHAnsi" w:hAnsiTheme="minorHAnsi"/>
                <w:b/>
                <w:color w:val="365F91" w:themeColor="accent1" w:themeShade="BF"/>
              </w:rPr>
              <w:t xml:space="preserve"> taip užtikrinant savalaikį ENEF fondo įgyvendinimą ir fondo rodiklių pasiekimą.</w:t>
            </w:r>
          </w:p>
        </w:tc>
      </w:tr>
    </w:tbl>
    <w:p w:rsidR="00EA6128" w:rsidRDefault="0025111E" w:rsidP="0025111E">
      <w:pPr>
        <w:pStyle w:val="antrat3zz"/>
      </w:pPr>
      <w:bookmarkStart w:id="20" w:name="_Toc512504081"/>
      <w:bookmarkStart w:id="21" w:name="_Toc528660896"/>
      <w:r>
        <w:t>5 prioritetas. Aplinkosauga, gamtos išteklių darnus naudojimas ir prisitaikymas prie klimato kaitos</w:t>
      </w:r>
      <w:bookmarkEnd w:id="20"/>
      <w:bookmarkEnd w:id="21"/>
    </w:p>
    <w:p w:rsidR="00EA6128" w:rsidRDefault="00C06A76" w:rsidP="001E44F9">
      <w:pPr>
        <w:pStyle w:val="tekstas"/>
      </w:pPr>
      <w:r>
        <w:t xml:space="preserve">Aplinkos ministerija </w:t>
      </w:r>
      <w:r w:rsidR="00483D55">
        <w:t xml:space="preserve">neįgyvendino </w:t>
      </w:r>
      <w:r>
        <w:t>teikt</w:t>
      </w:r>
      <w:r w:rsidR="00483D55">
        <w:t>os</w:t>
      </w:r>
      <w:r>
        <w:t xml:space="preserve"> rekomendacij</w:t>
      </w:r>
      <w:r w:rsidR="00483D55">
        <w:t>os</w:t>
      </w:r>
      <w:r>
        <w:t xml:space="preserve"> dėl gyventojų būstų pajungimo prie centralizuotų geriamojo vandens ir nuotekų tvarkymo tinklų mechanizmo sukūrimo, todėl </w:t>
      </w:r>
      <w:r w:rsidRPr="0094508A">
        <w:t>Finansų ministerija pakartotinai 2018 m. liepos 27 d. raštu Aplinkos ministerijai paprašė pateikti su EK suderinto veiksmų plano</w:t>
      </w:r>
      <w:r w:rsidR="00483D55">
        <w:t xml:space="preserve">, kuriuo siekiama išvengti pažeidimo dėl </w:t>
      </w:r>
      <w:r w:rsidR="00483D55" w:rsidRPr="0094508A">
        <w:t>Tarybos direktyvos 91/271/EEB</w:t>
      </w:r>
      <w:r w:rsidR="00483D55">
        <w:t xml:space="preserve"> reikalavimų nevykdymo,</w:t>
      </w:r>
      <w:r w:rsidR="00EA6128">
        <w:t xml:space="preserve"> </w:t>
      </w:r>
      <w:r w:rsidRPr="0094508A">
        <w:t>įgyvendinimo būklę, sąlygas ir terminus</w:t>
      </w:r>
      <w:r w:rsidR="00EA6128">
        <w:t>.</w:t>
      </w:r>
      <w:r w:rsidR="001B3DDC">
        <w:t xml:space="preserve"> Pažymėtina, kad </w:t>
      </w:r>
      <w:r w:rsidR="001B3DDC" w:rsidRPr="0094508A">
        <w:t xml:space="preserve">Tarybos direktyvos 91/271/EEB nuostatas būtina įgyvendinti </w:t>
      </w:r>
      <w:r w:rsidR="001B3DDC">
        <w:t>(</w:t>
      </w:r>
      <w:r w:rsidR="001B3DDC" w:rsidRPr="0094508A">
        <w:t>ir padengti 98 proc. taršos aglomeracijų centralizuotais nuotekų tinklais</w:t>
      </w:r>
      <w:r w:rsidR="001B3DDC">
        <w:t>) i</w:t>
      </w:r>
      <w:r w:rsidR="001B3DDC" w:rsidRPr="0094508A">
        <w:t xml:space="preserve">ki 2023 m. gruodžio 31 d. </w:t>
      </w:r>
    </w:p>
    <w:p w:rsidR="00C06A76" w:rsidRDefault="00EA6128" w:rsidP="001E44F9">
      <w:pPr>
        <w:pStyle w:val="tekstas"/>
      </w:pPr>
      <w:r>
        <w:t>I</w:t>
      </w:r>
      <w:r w:rsidRPr="00EA6128">
        <w:t xml:space="preserve">nvesticijų į vandentvarką efektyvumas ir tinkamas miesto nuotekų direktyvos įgyvendinimas didele dalimi priklausys nuo savivaldybių gebėjimų tinkamai ir laiku atlikti jiems </w:t>
      </w:r>
      <w:r w:rsidR="00CC0005">
        <w:t xml:space="preserve">įstatymu </w:t>
      </w:r>
      <w:r w:rsidRPr="00EA6128">
        <w:t xml:space="preserve">pavestas užduotis. </w:t>
      </w:r>
      <w:r w:rsidR="00CC0005">
        <w:t>Tačiau t</w:t>
      </w:r>
      <w:r w:rsidRPr="00EA6128">
        <w:t>urima projektų įgyvendinimo patirtis rodo, kad vandentvarkos srityje savivaldybių investavimo sprendimai ne visada pagrįsti ekonominėmis prielaidomis, investicijos stokoja efektyvumo, o Valstybės kontrolė yra pateikusi neigiamų pastebėjimų dėl įgyvendintuose p</w:t>
      </w:r>
      <w:r w:rsidR="001E44F9">
        <w:t>rojektuose pasiektų rezultatų. T</w:t>
      </w:r>
      <w:r w:rsidRPr="00EA6128">
        <w:t xml:space="preserve">odėl </w:t>
      </w:r>
      <w:r>
        <w:t xml:space="preserve">Aplinkos ministerija turėtų </w:t>
      </w:r>
      <w:r w:rsidRPr="00EA6128">
        <w:t xml:space="preserve">užtikrinti reikiamą konsultavimą/informacijos teikimą dėl naujų reikalavimų įgyvendinimo bei pakankamus </w:t>
      </w:r>
      <w:r>
        <w:t xml:space="preserve">jų įgyvendinimo kokybės </w:t>
      </w:r>
      <w:r w:rsidRPr="00EA6128">
        <w:t>kontrolės mechanizmus</w:t>
      </w:r>
      <w:r w:rsidR="00EA2698">
        <w:t xml:space="preserve"> </w:t>
      </w:r>
      <w:r w:rsidR="00EA2698" w:rsidRPr="00EA2698">
        <w:t>(pvz.</w:t>
      </w:r>
      <w:r w:rsidR="00EA2698">
        <w:t>,</w:t>
      </w:r>
      <w:r w:rsidR="00EA2698" w:rsidRPr="00EA2698">
        <w:t xml:space="preserve"> siekiant užtikrinti in</w:t>
      </w:r>
      <w:r w:rsidR="0099675A">
        <w:t xml:space="preserve">vesticijų efektyvumą </w:t>
      </w:r>
      <w:r w:rsidR="00EA2698" w:rsidRPr="00EA2698">
        <w:t>nustatyti kriterijus dėl privalomų pajungti gyventojų skaičiaus konkretaus projekto apimtyje)</w:t>
      </w:r>
      <w:r w:rsidRPr="00EA6128">
        <w:t>.</w:t>
      </w:r>
    </w:p>
    <w:p w:rsidR="000C51D2" w:rsidRPr="00BA3E9D" w:rsidRDefault="000C51D2" w:rsidP="000C51D2">
      <w:pPr>
        <w:pStyle w:val="tekstas"/>
        <w:rPr>
          <w:b/>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1E44F9" w:rsidTr="00684A52">
        <w:trPr>
          <w:trHeight w:val="422"/>
        </w:trPr>
        <w:tc>
          <w:tcPr>
            <w:tcW w:w="9638" w:type="dxa"/>
            <w:tcBorders>
              <w:top w:val="nil"/>
              <w:left w:val="nil"/>
              <w:bottom w:val="nil"/>
              <w:right w:val="nil"/>
            </w:tcBorders>
            <w:shd w:val="clear" w:color="auto" w:fill="D9D9D9" w:themeFill="background1" w:themeFillShade="D9"/>
          </w:tcPr>
          <w:p w:rsidR="001E44F9" w:rsidRPr="00E434E9" w:rsidRDefault="001E44F9" w:rsidP="00EE7E69">
            <w:pPr>
              <w:rPr>
                <w:rFonts w:ascii="Calibri" w:hAnsi="Calibri"/>
                <w:b/>
                <w:color w:val="365F91" w:themeColor="accent1" w:themeShade="BF"/>
                <w:szCs w:val="24"/>
              </w:rPr>
            </w:pPr>
            <w:r>
              <w:rPr>
                <w:rFonts w:ascii="Calibri" w:hAnsi="Calibri"/>
                <w:b/>
                <w:color w:val="365F91" w:themeColor="accent1" w:themeShade="BF"/>
                <w:szCs w:val="24"/>
              </w:rPr>
              <w:t>Siūlymas Aplinkos ministerijai</w:t>
            </w:r>
            <w:r w:rsidRPr="00E434E9">
              <w:rPr>
                <w:rFonts w:ascii="Calibri" w:hAnsi="Calibri"/>
                <w:b/>
                <w:color w:val="365F91" w:themeColor="accent1" w:themeShade="BF"/>
                <w:szCs w:val="24"/>
              </w:rPr>
              <w:t>:</w:t>
            </w:r>
          </w:p>
          <w:p w:rsidR="00EA2698" w:rsidRPr="00F67E65" w:rsidRDefault="001E44F9" w:rsidP="00EA2698">
            <w:pPr>
              <w:jc w:val="both"/>
              <w:rPr>
                <w:rFonts w:asciiTheme="minorHAnsi" w:hAnsiTheme="minorHAnsi"/>
                <w:b/>
                <w:color w:val="365F91" w:themeColor="accent1" w:themeShade="BF"/>
              </w:rPr>
            </w:pPr>
            <w:r>
              <w:rPr>
                <w:rFonts w:asciiTheme="minorHAnsi" w:hAnsiTheme="minorHAnsi"/>
                <w:b/>
                <w:color w:val="365F91" w:themeColor="accent1" w:themeShade="BF"/>
              </w:rPr>
              <w:t xml:space="preserve">- </w:t>
            </w:r>
            <w:r w:rsidR="00EA2698" w:rsidRPr="00F67E65">
              <w:rPr>
                <w:rFonts w:asciiTheme="minorHAnsi" w:hAnsiTheme="minorHAnsi"/>
                <w:b/>
                <w:color w:val="365F91" w:themeColor="accent1" w:themeShade="BF"/>
              </w:rPr>
              <w:t xml:space="preserve">Iki 2018 m. lapkričio 30 d. pateikti Finansų ministerijai kompleksinį veiksmų planą sektoriaus problemoms spręsti su konkrečiais terminais, kuris </w:t>
            </w:r>
            <w:r w:rsidR="00EA2698">
              <w:rPr>
                <w:rFonts w:asciiTheme="minorHAnsi" w:hAnsiTheme="minorHAnsi"/>
                <w:b/>
                <w:color w:val="365F91" w:themeColor="accent1" w:themeShade="BF"/>
              </w:rPr>
              <w:t xml:space="preserve">be kita ko </w:t>
            </w:r>
            <w:r w:rsidR="00EA2698" w:rsidRPr="00F67E65">
              <w:rPr>
                <w:rFonts w:asciiTheme="minorHAnsi" w:hAnsiTheme="minorHAnsi"/>
                <w:b/>
                <w:color w:val="365F91" w:themeColor="accent1" w:themeShade="BF"/>
              </w:rPr>
              <w:t>apimtų:</w:t>
            </w:r>
          </w:p>
          <w:p w:rsidR="00EA2698" w:rsidRPr="00EA2698" w:rsidRDefault="00EA2698" w:rsidP="00EA2698">
            <w:pPr>
              <w:pStyle w:val="Sraopastraipa"/>
              <w:numPr>
                <w:ilvl w:val="0"/>
                <w:numId w:val="73"/>
              </w:numPr>
              <w:jc w:val="both"/>
              <w:rPr>
                <w:rFonts w:asciiTheme="minorHAnsi" w:hAnsiTheme="minorHAnsi"/>
                <w:color w:val="365F91" w:themeColor="accent1" w:themeShade="BF"/>
              </w:rPr>
            </w:pPr>
            <w:r w:rsidRPr="00F67E65">
              <w:rPr>
                <w:rFonts w:asciiTheme="minorHAnsi" w:hAnsiTheme="minorHAnsi"/>
                <w:color w:val="365F91" w:themeColor="accent1" w:themeShade="BF"/>
              </w:rPr>
              <w:t xml:space="preserve">naujų infrastruktūros planų </w:t>
            </w:r>
            <w:r>
              <w:rPr>
                <w:rFonts w:asciiTheme="minorHAnsi" w:hAnsiTheme="minorHAnsi"/>
                <w:color w:val="365F91" w:themeColor="accent1" w:themeShade="BF"/>
              </w:rPr>
              <w:t xml:space="preserve">rengimo </w:t>
            </w:r>
            <w:r w:rsidRPr="00F67E65">
              <w:rPr>
                <w:rFonts w:asciiTheme="minorHAnsi" w:hAnsiTheme="minorHAnsi"/>
                <w:color w:val="365F91" w:themeColor="accent1" w:themeShade="BF"/>
              </w:rPr>
              <w:t>ir taršos aglomeracijų ap</w:t>
            </w:r>
            <w:r>
              <w:rPr>
                <w:rFonts w:asciiTheme="minorHAnsi" w:hAnsiTheme="minorHAnsi"/>
                <w:color w:val="365F91" w:themeColor="accent1" w:themeShade="BF"/>
              </w:rPr>
              <w:t xml:space="preserve">ibrėžimo nustatymo spartinimą, </w:t>
            </w:r>
            <w:r w:rsidRPr="00EA2698">
              <w:rPr>
                <w:rFonts w:asciiTheme="minorHAnsi" w:hAnsiTheme="minorHAnsi"/>
                <w:color w:val="365F91" w:themeColor="accent1" w:themeShade="BF"/>
              </w:rPr>
              <w:t>įskaitant investicijų į vandentvarkos sektorių efektyvumo ir kokybės kontrolę;</w:t>
            </w:r>
          </w:p>
          <w:p w:rsidR="00EA2698" w:rsidRPr="00EA2698" w:rsidRDefault="00EA2698" w:rsidP="00EA2698">
            <w:pPr>
              <w:pStyle w:val="Sraopastraipa"/>
              <w:numPr>
                <w:ilvl w:val="0"/>
                <w:numId w:val="73"/>
              </w:numPr>
              <w:jc w:val="both"/>
              <w:rPr>
                <w:rFonts w:asciiTheme="minorHAnsi" w:hAnsiTheme="minorHAnsi"/>
                <w:color w:val="365F91" w:themeColor="accent1" w:themeShade="BF"/>
              </w:rPr>
            </w:pPr>
            <w:r w:rsidRPr="00EA2698">
              <w:rPr>
                <w:rFonts w:asciiTheme="minorHAnsi" w:hAnsiTheme="minorHAnsi"/>
                <w:color w:val="365F91" w:themeColor="accent1" w:themeShade="BF"/>
              </w:rPr>
              <w:t>vandentvarkos įmonių stambinimo proceso eigą;</w:t>
            </w:r>
          </w:p>
          <w:p w:rsidR="0092664B" w:rsidRPr="00EA2698" w:rsidRDefault="00EA2698" w:rsidP="00EA2698">
            <w:pPr>
              <w:pStyle w:val="Sraopastraipa"/>
              <w:numPr>
                <w:ilvl w:val="0"/>
                <w:numId w:val="73"/>
              </w:numPr>
              <w:jc w:val="both"/>
              <w:rPr>
                <w:rFonts w:asciiTheme="minorHAnsi" w:hAnsiTheme="minorHAnsi"/>
                <w:b/>
                <w:color w:val="365F91" w:themeColor="accent1" w:themeShade="BF"/>
              </w:rPr>
            </w:pPr>
            <w:r w:rsidRPr="00EA2698">
              <w:rPr>
                <w:rFonts w:asciiTheme="minorHAnsi" w:hAnsiTheme="minorHAnsi"/>
                <w:color w:val="365F91" w:themeColor="accent1" w:themeShade="BF"/>
              </w:rPr>
              <w:t xml:space="preserve">pasiūlymus dėl galimų </w:t>
            </w:r>
            <w:r w:rsidR="00C92A40">
              <w:rPr>
                <w:rFonts w:asciiTheme="minorHAnsi" w:hAnsiTheme="minorHAnsi"/>
                <w:color w:val="365F91" w:themeColor="accent1" w:themeShade="BF"/>
              </w:rPr>
              <w:t>alternatyvų (</w:t>
            </w:r>
            <w:r w:rsidRPr="00EA2698">
              <w:rPr>
                <w:rFonts w:asciiTheme="minorHAnsi" w:hAnsiTheme="minorHAnsi"/>
                <w:color w:val="365F91" w:themeColor="accent1" w:themeShade="BF"/>
              </w:rPr>
              <w:t>įvertinant kitus, nei šiuo metu ES fondų lėšomis finansuojamus, nuotekų tvarkymo būdus</w:t>
            </w:r>
            <w:r w:rsidR="00C92A40">
              <w:rPr>
                <w:rFonts w:asciiTheme="minorHAnsi" w:hAnsiTheme="minorHAnsi"/>
                <w:color w:val="365F91" w:themeColor="accent1" w:themeShade="BF"/>
              </w:rPr>
              <w:t>)</w:t>
            </w:r>
            <w:r w:rsidRPr="00EA2698">
              <w:rPr>
                <w:rFonts w:asciiTheme="minorHAnsi" w:hAnsiTheme="minorHAnsi"/>
                <w:color w:val="365F91" w:themeColor="accent1" w:themeShade="BF"/>
              </w:rPr>
              <w:t>, kurios padėtų įgyvendinti Tarybos direktyvos 91/271/EEB nuostatas.</w:t>
            </w:r>
          </w:p>
        </w:tc>
      </w:tr>
    </w:tbl>
    <w:p w:rsidR="00550DF6" w:rsidRDefault="00550DF6" w:rsidP="009B4273">
      <w:pPr>
        <w:pStyle w:val="tekstas"/>
      </w:pPr>
    </w:p>
    <w:p w:rsidR="009C690A" w:rsidRDefault="00550DF6" w:rsidP="009B4273">
      <w:pPr>
        <w:pStyle w:val="tekstas"/>
      </w:pPr>
      <w:r>
        <w:t xml:space="preserve">Vertinant situaciją </w:t>
      </w:r>
      <w:r w:rsidR="00B456F7">
        <w:t xml:space="preserve">Aplinkos ministerijos administruojamoje 5 prioriteto dalyje, taip pat reikėtų pažymėti, kad </w:t>
      </w:r>
      <w:r w:rsidR="009B4273" w:rsidRPr="000C51D2">
        <w:t xml:space="preserve">Vyriausybės programos įgyvendinimo plane buvo numatyta </w:t>
      </w:r>
      <w:r w:rsidR="00B456F7">
        <w:t xml:space="preserve">2018 m. II </w:t>
      </w:r>
      <w:proofErr w:type="spellStart"/>
      <w:r w:rsidR="00B456F7">
        <w:t>ketv</w:t>
      </w:r>
      <w:proofErr w:type="spellEnd"/>
      <w:r w:rsidR="00B456F7">
        <w:t xml:space="preserve">. įsteigti </w:t>
      </w:r>
      <w:r w:rsidR="009B4273" w:rsidRPr="000C51D2">
        <w:t xml:space="preserve">Vandentvarkos fondą. </w:t>
      </w:r>
      <w:r w:rsidR="009C690A">
        <w:t>Pažymėtina, kad n</w:t>
      </w:r>
      <w:r w:rsidR="009B4273" w:rsidRPr="000C51D2">
        <w:t>uolat subsidijuojan</w:t>
      </w:r>
      <w:r w:rsidR="00B456F7">
        <w:t>t vandentvarkos įmones didinama jų priklausomybė nuo subsidijų, todėl</w:t>
      </w:r>
      <w:r w:rsidR="009B4273" w:rsidRPr="000C51D2">
        <w:t xml:space="preserve"> nėra skatinamos vandentvarkos sektoriui būtinos reformos, kurios </w:t>
      </w:r>
      <w:r w:rsidR="00B456F7">
        <w:t>užtikrintų</w:t>
      </w:r>
      <w:r w:rsidR="009B4273" w:rsidRPr="000C51D2">
        <w:t xml:space="preserve"> efektyvią sektoriaus veiklą. </w:t>
      </w:r>
      <w:r w:rsidR="00B456F7">
        <w:t>Atsižvelgiant į tai, b</w:t>
      </w:r>
      <w:r w:rsidR="009B4273" w:rsidRPr="000C51D2">
        <w:t xml:space="preserve">ūtinas </w:t>
      </w:r>
      <w:proofErr w:type="spellStart"/>
      <w:r w:rsidR="009B4273" w:rsidRPr="000C51D2">
        <w:t>inovatyvus</w:t>
      </w:r>
      <w:proofErr w:type="spellEnd"/>
      <w:r w:rsidR="009B4273" w:rsidRPr="000C51D2">
        <w:t xml:space="preserve"> požiūris ir naujų finansavimo formų taikymas finansuojant vandentvarkos srit</w:t>
      </w:r>
      <w:r w:rsidR="009C690A">
        <w:t>ies projektus.  Fondas užtikrintų</w:t>
      </w:r>
      <w:r w:rsidR="009B4273" w:rsidRPr="000C51D2">
        <w:t xml:space="preserve"> </w:t>
      </w:r>
      <w:r w:rsidR="009B4273" w:rsidRPr="000C51D2">
        <w:lastRenderedPageBreak/>
        <w:t xml:space="preserve">tvarias investicijas (dėl grįžtančių lėšų) vandentvarkos srities projektų finansavimui ilguoju laikotarpiu. </w:t>
      </w:r>
    </w:p>
    <w:p w:rsidR="009C690A" w:rsidRDefault="009C690A" w:rsidP="009C690A">
      <w:pPr>
        <w:pStyle w:val="tekstas"/>
      </w:pPr>
      <w:r w:rsidRPr="000C51D2">
        <w:t xml:space="preserve">Nuo 2018 m. pradžios </w:t>
      </w:r>
      <w:r>
        <w:t>bendradarbiaujant su</w:t>
      </w:r>
      <w:r w:rsidRPr="000C51D2">
        <w:t xml:space="preserve"> Aplinkos ministerija</w:t>
      </w:r>
      <w:r>
        <w:t xml:space="preserve"> buvo vykdomi parengiamieji veiksmai</w:t>
      </w:r>
      <w:r w:rsidRPr="000C51D2">
        <w:t xml:space="preserve"> dėl fondo steigimo ir galimų fondo lėšomis finansuojamų veiklų</w:t>
      </w:r>
      <w:r>
        <w:t xml:space="preserve"> identifikavimo</w:t>
      </w:r>
      <w:r w:rsidRPr="000C51D2">
        <w:t xml:space="preserve">. </w:t>
      </w:r>
      <w:r>
        <w:t xml:space="preserve">Siekiant paskatinti potencialius pareiškėjus dalyvauti fondo veikloje, ataskaitiniu laikotarpiu buvo nagrinėjamos galimybės </w:t>
      </w:r>
      <w:r w:rsidRPr="000C51D2">
        <w:t>fondo finansuojamas veiklas</w:t>
      </w:r>
      <w:r>
        <w:t xml:space="preserve"> derinti</w:t>
      </w:r>
      <w:r w:rsidRPr="000C51D2">
        <w:t xml:space="preserve"> su subsidijomis</w:t>
      </w:r>
      <w:r>
        <w:t xml:space="preserve"> (užtikrinant palaipsnį perėjimą), taip pat kuriant skatinamąsias priemones, susietas su paramos intensyvumu. Papildomai siekiama ir taikyti vieno langelio principą fondo įgyvendinimui, t. y. užtikrinti galimybę pareiškėjams ir dėl paskolos, ir dėl subsidijos gavimo kreiptis į vieną instituciją, išvengiant administracinės naštos pareiškėjams ir projektų vykdytojams. Numatoma, kad fondas bus įsteigtas iki metų pab.</w:t>
      </w:r>
    </w:p>
    <w:p w:rsidR="00C06A76" w:rsidRPr="003B769B" w:rsidRDefault="00C06A76" w:rsidP="00B558F8">
      <w:pPr>
        <w:pStyle w:val="tekstas"/>
      </w:pPr>
      <w:r w:rsidRPr="003B769B">
        <w:t>Nors Aplinkos ministerija spartina projektų įgyvendinimą, išmokėjimų tempas yra nepakankamas, todėl išlieka rizika, kad iki 2018 m. pab. nebus pasiektas 5 prioriteto (ERPF) finansinis veiklos peržiūros rodiklis. Priemonių lėtą įgyvendinimo tempą lėmusios priežastys:</w:t>
      </w:r>
    </w:p>
    <w:p w:rsidR="00C06A76" w:rsidRPr="00EA6128" w:rsidRDefault="00C06A76" w:rsidP="00E979BA">
      <w:pPr>
        <w:pStyle w:val="tekstas"/>
        <w:numPr>
          <w:ilvl w:val="0"/>
          <w:numId w:val="68"/>
        </w:numPr>
        <w:ind w:left="567"/>
      </w:pPr>
      <w:r w:rsidRPr="003B769B">
        <w:t xml:space="preserve">nėra </w:t>
      </w:r>
      <w:r w:rsidR="00E979BA">
        <w:t>visiškai</w:t>
      </w:r>
      <w:r w:rsidR="00EA6128">
        <w:t xml:space="preserve"> </w:t>
      </w:r>
      <w:r w:rsidRPr="00EA6128">
        <w:t>parengtų įgyvendinti projektų</w:t>
      </w:r>
      <w:r w:rsidR="00E979BA">
        <w:t>,</w:t>
      </w:r>
      <w:r w:rsidRPr="00EA6128">
        <w:t xml:space="preserve"> t. y. projektas pradedamas nuo techninės dokumentacijos parengimo, derinimo</w:t>
      </w:r>
      <w:r w:rsidR="00B558F8">
        <w:t xml:space="preserve"> darbų, kurių vidutinė trukmė – 1 metai; </w:t>
      </w:r>
    </w:p>
    <w:p w:rsidR="00C06A76" w:rsidRPr="003B769B" w:rsidRDefault="00C06A76" w:rsidP="00E979BA">
      <w:pPr>
        <w:pStyle w:val="tekstas"/>
        <w:numPr>
          <w:ilvl w:val="0"/>
          <w:numId w:val="68"/>
        </w:numPr>
        <w:ind w:left="567"/>
      </w:pPr>
      <w:r w:rsidRPr="00EA6128">
        <w:t>didžiausios vertės projektų</w:t>
      </w:r>
      <w:r>
        <w:t xml:space="preserve"> (Valstybinės saugomų teritorijų tarnybos ir Zoologijos sodo)</w:t>
      </w:r>
      <w:r w:rsidRPr="003B769B">
        <w:t xml:space="preserve"> įgyvendinimas sustojo dėl neįvykusių</w:t>
      </w:r>
      <w:r>
        <w:t>,</w:t>
      </w:r>
      <w:r w:rsidRPr="003B769B">
        <w:t xml:space="preserve"> sustabdytų </w:t>
      </w:r>
      <w:r>
        <w:t xml:space="preserve">ir suskaidytų </w:t>
      </w:r>
      <w:r w:rsidR="00352403">
        <w:t xml:space="preserve">į </w:t>
      </w:r>
      <w:r w:rsidR="007622E1">
        <w:t xml:space="preserve">daugybę dalių </w:t>
      </w:r>
      <w:r w:rsidR="00352403">
        <w:t>viešųjų pirkimų;</w:t>
      </w:r>
    </w:p>
    <w:p w:rsidR="00C06A76" w:rsidRDefault="00C06A76" w:rsidP="00E979BA">
      <w:pPr>
        <w:pStyle w:val="tekstas"/>
        <w:numPr>
          <w:ilvl w:val="0"/>
          <w:numId w:val="68"/>
        </w:numPr>
        <w:ind w:left="567"/>
      </w:pPr>
      <w:r w:rsidRPr="003B769B">
        <w:t>dalyje projektų buvo nustatyti viešųjų pirkimų pažeidimai, dalį pirkimų Viešųjų pirkimų tarnyba liepė nutraukti ir skaidyti į smulkesnes dalis, didinant konkurenciją ir prieinamumą rinkai;</w:t>
      </w:r>
    </w:p>
    <w:p w:rsidR="007622E1" w:rsidRPr="003B769B" w:rsidRDefault="00352403" w:rsidP="00E979BA">
      <w:pPr>
        <w:pStyle w:val="tekstas"/>
        <w:numPr>
          <w:ilvl w:val="0"/>
          <w:numId w:val="68"/>
        </w:numPr>
        <w:ind w:left="567"/>
        <w:rPr>
          <w:rFonts w:eastAsiaTheme="majorEastAsia"/>
          <w:bCs/>
          <w:lang w:eastAsia="lt-LT"/>
        </w:rPr>
      </w:pPr>
      <w:r>
        <w:rPr>
          <w:rFonts w:eastAsiaTheme="majorEastAsia"/>
          <w:bCs/>
          <w:lang w:eastAsia="lt-LT"/>
        </w:rPr>
        <w:t>s</w:t>
      </w:r>
      <w:r w:rsidR="00C06A76" w:rsidRPr="003B769B">
        <w:rPr>
          <w:rFonts w:eastAsiaTheme="majorEastAsia"/>
          <w:bCs/>
          <w:lang w:eastAsia="lt-LT"/>
        </w:rPr>
        <w:t>avivaldybės, muziejai neturi pakankamų išteklių tinkamai administruoti ir įgyvendinti projektus. Sėkmingas projekto įgyvendinimas priklauso nuo projekto vadovo įsitraukimo ir gebėj</w:t>
      </w:r>
      <w:r>
        <w:rPr>
          <w:rFonts w:eastAsiaTheme="majorEastAsia"/>
          <w:bCs/>
          <w:lang w:eastAsia="lt-LT"/>
        </w:rPr>
        <w:t>imo pritaikyti turimas žinias, t</w:t>
      </w:r>
      <w:r w:rsidR="00C06A76" w:rsidRPr="003B769B">
        <w:rPr>
          <w:rFonts w:eastAsiaTheme="majorEastAsia"/>
          <w:bCs/>
          <w:lang w:eastAsia="lt-LT"/>
        </w:rPr>
        <w:t>ačiau per visą projekto įgyvendinimo laikotarpį atsakingi projektų vadovai gali pasikeisti po kelis kartus</w:t>
      </w:r>
      <w:r>
        <w:rPr>
          <w:rFonts w:eastAsiaTheme="majorEastAsia"/>
          <w:bCs/>
          <w:lang w:eastAsia="lt-LT"/>
        </w:rPr>
        <w:t>,</w:t>
      </w:r>
      <w:r w:rsidR="00C06A76" w:rsidRPr="003B769B">
        <w:rPr>
          <w:rFonts w:eastAsiaTheme="majorEastAsia"/>
          <w:bCs/>
          <w:lang w:eastAsia="lt-LT"/>
        </w:rPr>
        <w:t xml:space="preserve"> pvz.: Valstybinės saugomų teritorijų tarnybos darbuotojai su minėtu 200 pirkimų paprastai išdirba 2 mėn. ir išeina į geriau apmokamą darbą. </w:t>
      </w:r>
      <w:r>
        <w:rPr>
          <w:rFonts w:eastAsiaTheme="majorEastAsia"/>
          <w:bCs/>
          <w:lang w:eastAsia="lt-LT"/>
        </w:rPr>
        <w:t xml:space="preserve">Nors </w:t>
      </w:r>
      <w:r w:rsidR="007622E1" w:rsidRPr="003B769B">
        <w:rPr>
          <w:rFonts w:eastAsiaTheme="majorEastAsia"/>
          <w:bCs/>
          <w:lang w:eastAsia="lt-LT"/>
        </w:rPr>
        <w:t xml:space="preserve">ataskaitoje </w:t>
      </w:r>
      <w:r>
        <w:rPr>
          <w:rFonts w:eastAsiaTheme="majorEastAsia"/>
          <w:bCs/>
          <w:lang w:eastAsia="lt-LT"/>
        </w:rPr>
        <w:t xml:space="preserve">Vyriausybei Finansų ministerijos </w:t>
      </w:r>
      <w:r w:rsidR="007622E1" w:rsidRPr="003B769B">
        <w:rPr>
          <w:rFonts w:eastAsiaTheme="majorEastAsia"/>
          <w:bCs/>
          <w:lang w:eastAsia="lt-LT"/>
        </w:rPr>
        <w:t>pateikta rekomendacija užtikrinti pakankamus žmogiškuosius išteklius buvo įgyvendinta, lyginant su rinkoje analogiškoms vykdyti funkcijoms mokamu atlyginimu šie etatai nėra konkurencingi.</w:t>
      </w:r>
      <w:r w:rsidR="007622E1" w:rsidRPr="003B769B" w:rsidDel="007622E1">
        <w:rPr>
          <w:rFonts w:eastAsiaTheme="majorEastAsia"/>
          <w:bCs/>
          <w:lang w:eastAsia="lt-LT"/>
        </w:rPr>
        <w:t xml:space="preserve"> </w:t>
      </w:r>
    </w:p>
    <w:p w:rsidR="007622E1" w:rsidRDefault="007622E1" w:rsidP="00D41733">
      <w:pPr>
        <w:pStyle w:val="tekstas"/>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352403" w:rsidTr="00CE5120">
        <w:trPr>
          <w:trHeight w:val="999"/>
        </w:trPr>
        <w:tc>
          <w:tcPr>
            <w:tcW w:w="9638" w:type="dxa"/>
            <w:tcBorders>
              <w:top w:val="nil"/>
              <w:left w:val="nil"/>
              <w:bottom w:val="nil"/>
              <w:right w:val="nil"/>
            </w:tcBorders>
            <w:shd w:val="clear" w:color="auto" w:fill="D9D9D9" w:themeFill="background1" w:themeFillShade="D9"/>
          </w:tcPr>
          <w:p w:rsidR="00352403" w:rsidRPr="00E434E9" w:rsidRDefault="00352403" w:rsidP="00EE7E69">
            <w:pPr>
              <w:rPr>
                <w:rFonts w:ascii="Calibri" w:hAnsi="Calibri"/>
                <w:b/>
                <w:color w:val="365F91" w:themeColor="accent1" w:themeShade="BF"/>
                <w:szCs w:val="24"/>
              </w:rPr>
            </w:pPr>
            <w:r>
              <w:rPr>
                <w:rFonts w:ascii="Calibri" w:hAnsi="Calibri"/>
                <w:b/>
                <w:color w:val="365F91" w:themeColor="accent1" w:themeShade="BF"/>
                <w:szCs w:val="24"/>
              </w:rPr>
              <w:t>Siūlymas Aplinkos ministerijai</w:t>
            </w:r>
            <w:r w:rsidRPr="00E434E9">
              <w:rPr>
                <w:rFonts w:ascii="Calibri" w:hAnsi="Calibri"/>
                <w:b/>
                <w:color w:val="365F91" w:themeColor="accent1" w:themeShade="BF"/>
                <w:szCs w:val="24"/>
              </w:rPr>
              <w:t>:</w:t>
            </w:r>
          </w:p>
          <w:p w:rsidR="00352403" w:rsidRPr="000930DD" w:rsidRDefault="00352403" w:rsidP="00EE7E69">
            <w:pPr>
              <w:jc w:val="both"/>
              <w:rPr>
                <w:rFonts w:asciiTheme="minorHAnsi" w:hAnsiTheme="minorHAnsi"/>
                <w:b/>
                <w:color w:val="365F91" w:themeColor="accent1" w:themeShade="BF"/>
              </w:rPr>
            </w:pPr>
            <w:r>
              <w:rPr>
                <w:rFonts w:asciiTheme="minorHAnsi" w:hAnsiTheme="minorHAnsi"/>
                <w:b/>
                <w:color w:val="365F91" w:themeColor="accent1" w:themeShade="BF"/>
              </w:rPr>
              <w:t>- P</w:t>
            </w:r>
            <w:r w:rsidRPr="00352403">
              <w:rPr>
                <w:rFonts w:asciiTheme="minorHAnsi" w:hAnsiTheme="minorHAnsi"/>
                <w:b/>
                <w:color w:val="365F91" w:themeColor="accent1" w:themeShade="BF"/>
              </w:rPr>
              <w:t>akartotinai įvertinti kompetencijų poreikį srityse, kuriose investicijos vėluoja ir imtis veiksmų re</w:t>
            </w:r>
            <w:r>
              <w:rPr>
                <w:rFonts w:asciiTheme="minorHAnsi" w:hAnsiTheme="minorHAnsi"/>
                <w:b/>
                <w:color w:val="365F91" w:themeColor="accent1" w:themeShade="BF"/>
              </w:rPr>
              <w:t>ikiamiems ištekliams užtikrinti</w:t>
            </w:r>
            <w:r w:rsidRPr="001E44F9">
              <w:rPr>
                <w:rFonts w:asciiTheme="minorHAnsi" w:hAnsiTheme="minorHAnsi"/>
                <w:b/>
                <w:color w:val="365F91" w:themeColor="accent1" w:themeShade="BF"/>
              </w:rPr>
              <w:t>.</w:t>
            </w:r>
          </w:p>
        </w:tc>
      </w:tr>
    </w:tbl>
    <w:p w:rsidR="00352403" w:rsidRDefault="00352403" w:rsidP="00352403">
      <w:pPr>
        <w:pStyle w:val="tekstas"/>
      </w:pPr>
    </w:p>
    <w:p w:rsidR="00C12AB3" w:rsidRPr="00035C9C" w:rsidRDefault="00C12AB3" w:rsidP="00C12AB3">
      <w:pPr>
        <w:pStyle w:val="tekstas"/>
      </w:pPr>
      <w:r w:rsidRPr="00035C9C">
        <w:t xml:space="preserve">Kultūros ministerija vykdo </w:t>
      </w:r>
      <w:r>
        <w:t xml:space="preserve">Vyriausybės patvirtintas </w:t>
      </w:r>
      <w:r w:rsidRPr="00035C9C">
        <w:t>rekomendacijas</w:t>
      </w:r>
      <w:r>
        <w:t xml:space="preserve"> spartinti</w:t>
      </w:r>
      <w:r w:rsidRPr="00035C9C">
        <w:t xml:space="preserve"> projektų įgyvendinimą</w:t>
      </w:r>
      <w:r>
        <w:t xml:space="preserve"> (</w:t>
      </w:r>
      <w:r w:rsidRPr="00035C9C">
        <w:t xml:space="preserve">ragina pareiškėjus išankstinei patikrai pateikti pirkimo dokumentus, </w:t>
      </w:r>
      <w:r>
        <w:t>perskirstė regionų</w:t>
      </w:r>
      <w:r w:rsidRPr="00035C9C">
        <w:t xml:space="preserve">, kurie </w:t>
      </w:r>
      <w:r>
        <w:t>laiku nesudarė projektų sąrašų</w:t>
      </w:r>
      <w:r w:rsidRPr="00035C9C">
        <w:t>, lėšas kitiems regionams ir miestams, 3 kultūros objektams (iš 4 planuotų) skyrė papildomą 2,65 mln. eurų finansavimą</w:t>
      </w:r>
      <w:r>
        <w:t>)</w:t>
      </w:r>
      <w:r w:rsidRPr="00035C9C">
        <w:t xml:space="preserve">, </w:t>
      </w:r>
      <w:r>
        <w:t>tačiau išmokėjimų tempas yra nepakankamas</w:t>
      </w:r>
      <w:r w:rsidRPr="00035C9C">
        <w:t>. Nors Kultūros ministerija ir yra viena iš lyderių pagal sudarytus projektų sąrašus ir paskelbtus kvietimus (96 proc. skirtų lėšų), sudarytos sutartys siekia 64 proc., tačiau</w:t>
      </w:r>
      <w:r>
        <w:t xml:space="preserve"> </w:t>
      </w:r>
      <w:r w:rsidR="008D1F9E">
        <w:t xml:space="preserve">šiame prioritete </w:t>
      </w:r>
      <w:r>
        <w:t>pripažintos deklaruotinomis lėšos sudaro tik 50 proc. Kultūros ministerijai tenkančios veiklos peržiūros plano rodiklio</w:t>
      </w:r>
      <w:r w:rsidRPr="00F26C78">
        <w:t xml:space="preserve"> </w:t>
      </w:r>
      <w:r>
        <w:t>dalies. Tam įtaką daro</w:t>
      </w:r>
      <w:r w:rsidRPr="00035C9C">
        <w:t xml:space="preserve"> ilgas projektų įgyvendinimo laikotarpis,</w:t>
      </w:r>
      <w:r>
        <w:t xml:space="preserve"> atliekami paveldo tyrimai</w:t>
      </w:r>
      <w:r w:rsidRPr="00035C9C">
        <w:t xml:space="preserve">, nesavalaikis ir nekokybiškas techninių projektų parengimas, teisminiai ginčai dėl viešųjų pirkimų. Visi šie </w:t>
      </w:r>
      <w:r>
        <w:t>veiksniai</w:t>
      </w:r>
      <w:r w:rsidRPr="00035C9C">
        <w:t xml:space="preserve"> </w:t>
      </w:r>
      <w:r>
        <w:t>sąlygoja</w:t>
      </w:r>
      <w:r w:rsidRPr="00035C9C">
        <w:t xml:space="preserve"> tai, kad kultūros projektuose lėšos pradedamos naudoti tik maždaug po </w:t>
      </w:r>
      <w:r>
        <w:t>2 metų</w:t>
      </w:r>
      <w:r w:rsidRPr="00035C9C">
        <w:t xml:space="preserve"> nuo sutarties sudarymo</w:t>
      </w:r>
      <w:r>
        <w:t xml:space="preserve">. </w:t>
      </w:r>
      <w:r w:rsidR="008D1F9E">
        <w:t>M</w:t>
      </w:r>
      <w:r w:rsidRPr="00035C9C">
        <w:t xml:space="preserve">aža </w:t>
      </w:r>
      <w:r>
        <w:t>pripažintų deklaruotinomis</w:t>
      </w:r>
      <w:r w:rsidRPr="00035C9C">
        <w:t xml:space="preserve"> K</w:t>
      </w:r>
      <w:r>
        <w:t>ultūros ministerijos</w:t>
      </w:r>
      <w:r w:rsidRPr="00035C9C">
        <w:t xml:space="preserve"> išlaidų dalis neigiamai veikia viso 5 prioriteto finansinio </w:t>
      </w:r>
      <w:r w:rsidRPr="00035C9C">
        <w:lastRenderedPageBreak/>
        <w:t>veiklos peržiūros rodiklio pasiekimą.</w:t>
      </w:r>
      <w:r>
        <w:t xml:space="preserve"> Nepasiekus šio rodiklio, Kultūros ministerija paras veiklos lėšų rezervą (5,8 mln. eurų).</w:t>
      </w:r>
      <w:r w:rsidR="007B74BE">
        <w:rPr>
          <w:rStyle w:val="Puslapioinaosnuoroda"/>
        </w:rPr>
        <w:footnoteReference w:id="3"/>
      </w:r>
      <w:r w:rsidR="007B74BE">
        <w:t xml:space="preserve"> </w:t>
      </w:r>
    </w:p>
    <w:p w:rsidR="00FE3402" w:rsidRPr="00144C56" w:rsidRDefault="00FE3402" w:rsidP="00FE3402">
      <w:pPr>
        <w:tabs>
          <w:tab w:val="left" w:pos="-720"/>
          <w:tab w:val="left" w:pos="0"/>
          <w:tab w:val="left" w:pos="720"/>
          <w:tab w:val="left" w:pos="1440"/>
          <w:tab w:val="left" w:pos="2160"/>
          <w:tab w:val="left" w:pos="2880"/>
          <w:tab w:val="left" w:pos="3600"/>
          <w:tab w:val="left" w:pos="4320"/>
        </w:tabs>
        <w:autoSpaceDE w:val="0"/>
        <w:autoSpaceDN w:val="0"/>
        <w:adjustRightInd w:val="0"/>
        <w:jc w:val="both"/>
        <w:rPr>
          <w:rFonts w:eastAsiaTheme="minorHAnsi"/>
          <w:color w:val="000000"/>
          <w:szCs w:val="24"/>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FE3402" w:rsidTr="00CA3B51">
        <w:tc>
          <w:tcPr>
            <w:tcW w:w="9638" w:type="dxa"/>
            <w:tcBorders>
              <w:top w:val="nil"/>
              <w:left w:val="nil"/>
              <w:bottom w:val="nil"/>
              <w:right w:val="nil"/>
            </w:tcBorders>
            <w:shd w:val="clear" w:color="auto" w:fill="D9D9D9" w:themeFill="background1" w:themeFillShade="D9"/>
          </w:tcPr>
          <w:p w:rsidR="00FE3402" w:rsidRPr="00CE5120" w:rsidRDefault="00FE3402" w:rsidP="00CE5120">
            <w:pPr>
              <w:rPr>
                <w:rFonts w:ascii="Calibri" w:hAnsi="Calibri"/>
                <w:b/>
                <w:color w:val="365F91" w:themeColor="accent1" w:themeShade="BF"/>
                <w:szCs w:val="24"/>
              </w:rPr>
            </w:pPr>
            <w:r w:rsidRPr="00CE5120">
              <w:rPr>
                <w:rFonts w:ascii="Calibri" w:hAnsi="Calibri"/>
                <w:b/>
                <w:color w:val="365F91" w:themeColor="accent1" w:themeShade="BF"/>
                <w:szCs w:val="24"/>
              </w:rPr>
              <w:t>Siūlymai Kultūros ministerijai:</w:t>
            </w:r>
          </w:p>
          <w:p w:rsidR="00EB173D" w:rsidRPr="00CE5120" w:rsidRDefault="00CE5120" w:rsidP="00CE5120">
            <w:pPr>
              <w:rPr>
                <w:rFonts w:ascii="Calibri" w:hAnsi="Calibri"/>
                <w:b/>
                <w:color w:val="365F91" w:themeColor="accent1" w:themeShade="BF"/>
                <w:szCs w:val="24"/>
              </w:rPr>
            </w:pPr>
            <w:r>
              <w:rPr>
                <w:rFonts w:ascii="Calibri" w:hAnsi="Calibri"/>
                <w:b/>
                <w:color w:val="365F91" w:themeColor="accent1" w:themeShade="BF"/>
                <w:szCs w:val="24"/>
              </w:rPr>
              <w:t xml:space="preserve">- Iki 2018 lapkričio </w:t>
            </w:r>
            <w:r w:rsidR="00EB173D" w:rsidRPr="00CE5120">
              <w:rPr>
                <w:rFonts w:ascii="Calibri" w:hAnsi="Calibri"/>
                <w:b/>
                <w:color w:val="365F91" w:themeColor="accent1" w:themeShade="BF"/>
                <w:szCs w:val="24"/>
              </w:rPr>
              <w:t>30</w:t>
            </w:r>
            <w:r>
              <w:rPr>
                <w:rFonts w:ascii="Calibri" w:hAnsi="Calibri"/>
                <w:b/>
                <w:color w:val="365F91" w:themeColor="accent1" w:themeShade="BF"/>
                <w:szCs w:val="24"/>
              </w:rPr>
              <w:t xml:space="preserve"> d.</w:t>
            </w:r>
            <w:r w:rsidR="00EB173D" w:rsidRPr="00CE5120">
              <w:rPr>
                <w:rFonts w:ascii="Calibri" w:hAnsi="Calibri"/>
                <w:b/>
                <w:color w:val="365F91" w:themeColor="accent1" w:themeShade="BF"/>
                <w:szCs w:val="24"/>
              </w:rPr>
              <w:t xml:space="preserve"> kartu su CPVA imtis reikiamų veiksmų, kad būtų pasiektas veiksmų programos 5 prioritetui numatytas finansinis veiklos peržiūros rodiklis.</w:t>
            </w:r>
          </w:p>
          <w:p w:rsidR="00FE3402" w:rsidRPr="000930DD" w:rsidRDefault="00FE3402" w:rsidP="00CA3B51">
            <w:pPr>
              <w:jc w:val="both"/>
              <w:rPr>
                <w:rFonts w:asciiTheme="minorHAnsi" w:hAnsiTheme="minorHAnsi"/>
                <w:b/>
                <w:color w:val="365F91" w:themeColor="accent1" w:themeShade="BF"/>
              </w:rPr>
            </w:pPr>
          </w:p>
        </w:tc>
      </w:tr>
    </w:tbl>
    <w:p w:rsidR="00F6099D" w:rsidRDefault="00F6099D" w:rsidP="000924FC">
      <w:pPr>
        <w:pStyle w:val="antrat3zz"/>
      </w:pPr>
      <w:bookmarkStart w:id="22" w:name="_Toc512504083"/>
      <w:bookmarkStart w:id="23" w:name="_Toc528660897"/>
      <w:r>
        <w:t>7 prioritetas. Kokybiško užimtumo ir dalyvavimo darbo rinkoje skatinimas</w:t>
      </w:r>
      <w:bookmarkEnd w:id="22"/>
      <w:bookmarkEnd w:id="23"/>
    </w:p>
    <w:p w:rsidR="00EE7E69" w:rsidRDefault="00EE7E69" w:rsidP="00CE5120">
      <w:pPr>
        <w:pStyle w:val="tekstas"/>
      </w:pPr>
      <w:r>
        <w:t xml:space="preserve">7 prioriteto ESF dalyje nėra rizikos prarasti veiklos lėšų rezervą. Finansinis rodiklis jau yra pasiektas. </w:t>
      </w:r>
    </w:p>
    <w:p w:rsidR="005F07EF" w:rsidRPr="00197829" w:rsidRDefault="00CE5120" w:rsidP="00CE5120">
      <w:pPr>
        <w:pStyle w:val="tekstas"/>
        <w:rPr>
          <w:b/>
          <w:color w:val="365F91" w:themeColor="accent1" w:themeShade="BF"/>
        </w:rPr>
      </w:pPr>
      <w:r>
        <w:t>2018 m. rugpjūčio 1</w:t>
      </w:r>
      <w:r w:rsidR="005F07EF" w:rsidRPr="00197829">
        <w:t xml:space="preserve"> d. </w:t>
      </w:r>
      <w:r w:rsidR="005F07EF">
        <w:t>Vyriausybės</w:t>
      </w:r>
      <w:r w:rsidR="005F07EF" w:rsidRPr="00197829">
        <w:t xml:space="preserve"> posėdžio protokolu 7 prioritetui buvo patvirtinta papildoma 4 mln. eurų suma </w:t>
      </w:r>
      <w:r w:rsidR="005F07EF" w:rsidRPr="00197829">
        <w:rPr>
          <w:bCs/>
          <w:iCs/>
        </w:rPr>
        <w:t xml:space="preserve">užimtumo skatinimo ir motyvavimo paslaugų nedirbantiems bei socialinę paramą gaunantiems asmenims modeliui įgyvendinti. </w:t>
      </w:r>
      <w:r w:rsidR="005F07EF" w:rsidRPr="00197829">
        <w:t>Lėšos bus nukreiptos efektyviems įdarbinimo mechanizmams kurti, prioritetą teikiant sunkiai į darbo rinką integruojamiems asmenims, kurių nedarbas valstybei kainuoja daugiausiai.</w:t>
      </w:r>
    </w:p>
    <w:p w:rsidR="005F07EF" w:rsidRDefault="005F07EF" w:rsidP="00CE5120">
      <w:pPr>
        <w:pStyle w:val="tekstas"/>
      </w:pPr>
      <w:r w:rsidRPr="005F07EF">
        <w:t xml:space="preserve">Per 2018 m. III </w:t>
      </w:r>
      <w:proofErr w:type="spellStart"/>
      <w:r w:rsidRPr="005F07EF">
        <w:t>ketv</w:t>
      </w:r>
      <w:proofErr w:type="spellEnd"/>
      <w:r w:rsidRPr="005F07EF">
        <w:t xml:space="preserve">. </w:t>
      </w:r>
      <w:r>
        <w:t xml:space="preserve">taip pat </w:t>
      </w:r>
      <w:r w:rsidRPr="005F07EF">
        <w:t xml:space="preserve">vyko parengiamieji darbai dėl </w:t>
      </w:r>
      <w:r w:rsidR="00497340">
        <w:t>Jaunimo užimtumo iniciatyvos (</w:t>
      </w:r>
      <w:r w:rsidRPr="005F07EF">
        <w:t>JUI</w:t>
      </w:r>
      <w:r w:rsidR="00497340">
        <w:t>)</w:t>
      </w:r>
      <w:r w:rsidRPr="005F07EF">
        <w:t xml:space="preserve"> </w:t>
      </w:r>
      <w:r w:rsidR="00497340">
        <w:t xml:space="preserve">finansuotų </w:t>
      </w:r>
      <w:r w:rsidRPr="005F07EF">
        <w:t>veiklų tęstinumo</w:t>
      </w:r>
      <w:r>
        <w:t xml:space="preserve"> nuo</w:t>
      </w:r>
      <w:r w:rsidR="00497340">
        <w:t xml:space="preserve"> 2019 m., kadangi iš JUI lėšų finansuojamos veiklos bus baigtos 2019 m. I ketvirtį. </w:t>
      </w:r>
      <w:r w:rsidRPr="005F07EF">
        <w:t>Planuojama pasirašyti 2 naujas sutartis</w:t>
      </w:r>
      <w:r w:rsidR="001525C4">
        <w:t xml:space="preserve"> pagrindinėms jaunimo užimtumo skatinimo veikloms finansuoti</w:t>
      </w:r>
      <w:r w:rsidRPr="005F07EF">
        <w:t>. Šiuo metu vyksta</w:t>
      </w:r>
      <w:r w:rsidR="00AA6C01">
        <w:t xml:space="preserve"> parengiamieji darbai –</w:t>
      </w:r>
      <w:r w:rsidR="00314B63">
        <w:t xml:space="preserve"> rengiami ir </w:t>
      </w:r>
      <w:r w:rsidRPr="005F07EF">
        <w:t>derinami proje</w:t>
      </w:r>
      <w:r w:rsidR="00AA6C01">
        <w:t>ktiniai pasiūlymai</w:t>
      </w:r>
      <w:r w:rsidRPr="005F07EF">
        <w:t xml:space="preserve">. Taip pat pasirašyta paslaugų teikimo sutartis dėl JUI </w:t>
      </w:r>
      <w:r w:rsidR="00497340">
        <w:t xml:space="preserve">finansuotų veiklų </w:t>
      </w:r>
      <w:r w:rsidRPr="005F07EF">
        <w:t>vertinimo,</w:t>
      </w:r>
      <w:r w:rsidR="001525C4">
        <w:t xml:space="preserve"> kurio </w:t>
      </w:r>
      <w:r w:rsidR="00A102A9">
        <w:t xml:space="preserve">galutines </w:t>
      </w:r>
      <w:r w:rsidR="001525C4">
        <w:t xml:space="preserve">išvadas planuojama gauti 2019 m. </w:t>
      </w:r>
      <w:r w:rsidR="00E544E3">
        <w:t>kovo mėn</w:t>
      </w:r>
      <w:r w:rsidRPr="005F07EF">
        <w:t>.</w:t>
      </w:r>
      <w:r w:rsidR="001525C4">
        <w:t xml:space="preserve"> Remiantis šiomis išvadomis bus sprendžiama, kokias jaunimo užimtumo skatinimo veiklas</w:t>
      </w:r>
      <w:r w:rsidR="005021A4">
        <w:t xml:space="preserve"> koreguoti ar</w:t>
      </w:r>
      <w:r w:rsidR="001525C4">
        <w:t xml:space="preserve"> finansuoti papildomai.</w:t>
      </w:r>
    </w:p>
    <w:p w:rsidR="001525C4" w:rsidRDefault="001525C4" w:rsidP="001525C4">
      <w:pPr>
        <w:jc w:val="both"/>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2A0208" w:rsidRPr="002A0208" w:rsidTr="00E35145">
        <w:tc>
          <w:tcPr>
            <w:tcW w:w="9638" w:type="dxa"/>
            <w:tcBorders>
              <w:top w:val="nil"/>
              <w:left w:val="nil"/>
              <w:bottom w:val="nil"/>
              <w:right w:val="nil"/>
            </w:tcBorders>
            <w:shd w:val="clear" w:color="auto" w:fill="D9D9D9" w:themeFill="background1" w:themeFillShade="D9"/>
          </w:tcPr>
          <w:p w:rsidR="002A0208" w:rsidRPr="002A0208" w:rsidRDefault="002A0208" w:rsidP="002A0208">
            <w:pPr>
              <w:rPr>
                <w:rFonts w:asciiTheme="minorHAnsi" w:hAnsiTheme="minorHAnsi" w:cstheme="minorHAnsi"/>
                <w:b/>
                <w:color w:val="365F91" w:themeColor="accent1" w:themeShade="BF"/>
                <w:szCs w:val="24"/>
              </w:rPr>
            </w:pPr>
            <w:r w:rsidRPr="002A0208">
              <w:rPr>
                <w:rFonts w:asciiTheme="minorHAnsi" w:hAnsiTheme="minorHAnsi" w:cstheme="minorHAnsi"/>
                <w:b/>
                <w:color w:val="365F91" w:themeColor="accent1" w:themeShade="BF"/>
                <w:szCs w:val="24"/>
              </w:rPr>
              <w:t>Siūlymas Socialinės apsaugos ir darbo ministerijai:</w:t>
            </w:r>
          </w:p>
          <w:p w:rsidR="002A0208" w:rsidRPr="005F07EF" w:rsidRDefault="002A0208" w:rsidP="00BA6C72">
            <w:pPr>
              <w:jc w:val="both"/>
              <w:rPr>
                <w:rFonts w:asciiTheme="minorHAnsi" w:hAnsiTheme="minorHAnsi" w:cstheme="minorHAnsi"/>
                <w:b/>
                <w:color w:val="365F91" w:themeColor="accent1" w:themeShade="BF"/>
              </w:rPr>
            </w:pPr>
            <w:r w:rsidRPr="002A0208">
              <w:rPr>
                <w:rFonts w:asciiTheme="minorHAnsi" w:hAnsiTheme="minorHAnsi" w:cstheme="minorHAnsi"/>
                <w:b/>
                <w:color w:val="365F91" w:themeColor="accent1" w:themeShade="BF"/>
              </w:rPr>
              <w:t xml:space="preserve">- </w:t>
            </w:r>
            <w:r w:rsidRPr="005F07EF">
              <w:rPr>
                <w:rFonts w:asciiTheme="minorHAnsi" w:hAnsiTheme="minorHAnsi" w:cstheme="minorHAnsi"/>
                <w:b/>
                <w:color w:val="365F91" w:themeColor="accent1" w:themeShade="BF"/>
              </w:rPr>
              <w:t>Iki 2</w:t>
            </w:r>
            <w:r w:rsidR="00AA6C01">
              <w:rPr>
                <w:rFonts w:asciiTheme="minorHAnsi" w:hAnsiTheme="minorHAnsi" w:cstheme="minorHAnsi"/>
                <w:b/>
                <w:color w:val="365F91" w:themeColor="accent1" w:themeShade="BF"/>
              </w:rPr>
              <w:t>019 m. saus</w:t>
            </w:r>
            <w:r w:rsidR="005021A4">
              <w:rPr>
                <w:rFonts w:asciiTheme="minorHAnsi" w:hAnsiTheme="minorHAnsi" w:cstheme="minorHAnsi"/>
                <w:b/>
                <w:color w:val="365F91" w:themeColor="accent1" w:themeShade="BF"/>
              </w:rPr>
              <w:t>io 31</w:t>
            </w:r>
            <w:r w:rsidR="006F5154">
              <w:rPr>
                <w:rFonts w:asciiTheme="minorHAnsi" w:hAnsiTheme="minorHAnsi" w:cstheme="minorHAnsi"/>
                <w:b/>
                <w:color w:val="365F91" w:themeColor="accent1" w:themeShade="BF"/>
              </w:rPr>
              <w:t xml:space="preserve"> d.</w:t>
            </w:r>
            <w:r w:rsidRPr="005F07EF">
              <w:rPr>
                <w:rFonts w:asciiTheme="minorHAnsi" w:hAnsiTheme="minorHAnsi" w:cstheme="minorHAnsi"/>
                <w:b/>
                <w:color w:val="365F91" w:themeColor="accent1" w:themeShade="BF"/>
              </w:rPr>
              <w:t xml:space="preserve"> pasirašyti 2 naujas sutartis dė</w:t>
            </w:r>
            <w:r w:rsidR="00497340">
              <w:rPr>
                <w:rFonts w:asciiTheme="minorHAnsi" w:hAnsiTheme="minorHAnsi" w:cstheme="minorHAnsi"/>
                <w:b/>
                <w:color w:val="365F91" w:themeColor="accent1" w:themeShade="BF"/>
              </w:rPr>
              <w:t>l jaunimo užimtumą skatinančių veiklų</w:t>
            </w:r>
            <w:r w:rsidRPr="005F07EF">
              <w:rPr>
                <w:rFonts w:asciiTheme="minorHAnsi" w:hAnsiTheme="minorHAnsi" w:cstheme="minorHAnsi"/>
                <w:b/>
                <w:color w:val="365F91" w:themeColor="accent1" w:themeShade="BF"/>
              </w:rPr>
              <w:t xml:space="preserve"> įgyvendinimo.</w:t>
            </w:r>
          </w:p>
          <w:p w:rsidR="002A0208" w:rsidRPr="002A0208" w:rsidRDefault="00122388" w:rsidP="004659EF">
            <w:pPr>
              <w:jc w:val="both"/>
              <w:rPr>
                <w:rFonts w:asciiTheme="minorHAnsi" w:hAnsiTheme="minorHAnsi" w:cstheme="minorHAnsi"/>
                <w:b/>
                <w:color w:val="365F91" w:themeColor="accent1" w:themeShade="BF"/>
              </w:rPr>
            </w:pPr>
            <w:r>
              <w:rPr>
                <w:rFonts w:asciiTheme="minorHAnsi" w:hAnsiTheme="minorHAnsi" w:cstheme="minorHAnsi"/>
                <w:b/>
                <w:color w:val="365F91" w:themeColor="accent1" w:themeShade="BF"/>
              </w:rPr>
              <w:t>- Iki 2018 m. gruodžio 31 d.</w:t>
            </w:r>
            <w:r w:rsidR="004E7AE4" w:rsidRPr="005F07EF">
              <w:rPr>
                <w:rFonts w:asciiTheme="minorHAnsi" w:hAnsiTheme="minorHAnsi" w:cstheme="minorHAnsi"/>
                <w:b/>
                <w:color w:val="365F91" w:themeColor="accent1" w:themeShade="BF"/>
              </w:rPr>
              <w:t xml:space="preserve"> </w:t>
            </w:r>
            <w:r w:rsidR="004E7AE4" w:rsidRPr="005F07EF">
              <w:rPr>
                <w:rFonts w:asciiTheme="minorHAnsi" w:hAnsiTheme="minorHAnsi" w:cstheme="minorHAnsi"/>
                <w:b/>
                <w:color w:val="365F91" w:themeColor="accent1" w:themeShade="BF"/>
                <w:szCs w:val="24"/>
              </w:rPr>
              <w:t>pateikti Finansų ministerijai</w:t>
            </w:r>
            <w:r w:rsidR="004659EF" w:rsidRPr="005F07EF">
              <w:rPr>
                <w:rFonts w:asciiTheme="minorHAnsi" w:hAnsiTheme="minorHAnsi" w:cstheme="minorHAnsi"/>
                <w:b/>
                <w:color w:val="365F91" w:themeColor="accent1" w:themeShade="BF"/>
                <w:szCs w:val="24"/>
              </w:rPr>
              <w:t xml:space="preserve"> planuojamos finansuoti priemonės</w:t>
            </w:r>
            <w:r w:rsidR="00BA6C72">
              <w:rPr>
                <w:rFonts w:asciiTheme="minorHAnsi" w:hAnsiTheme="minorHAnsi" w:cstheme="minorHAnsi"/>
                <w:b/>
                <w:color w:val="365F91" w:themeColor="accent1" w:themeShade="BF"/>
                <w:szCs w:val="24"/>
              </w:rPr>
              <w:t xml:space="preserve"> (</w:t>
            </w:r>
            <w:r w:rsidR="004659EF" w:rsidRPr="005F07EF">
              <w:rPr>
                <w:rFonts w:asciiTheme="minorHAnsi" w:hAnsiTheme="minorHAnsi" w:cstheme="minorHAnsi"/>
                <w:b/>
                <w:color w:val="365F91" w:themeColor="accent1" w:themeShade="BF"/>
                <w:szCs w:val="24"/>
              </w:rPr>
              <w:t>veiklos</w:t>
            </w:r>
            <w:r w:rsidR="00BA6C72">
              <w:rPr>
                <w:rFonts w:asciiTheme="minorHAnsi" w:hAnsiTheme="minorHAnsi" w:cstheme="minorHAnsi"/>
                <w:b/>
                <w:color w:val="365F91" w:themeColor="accent1" w:themeShade="BF"/>
                <w:szCs w:val="24"/>
              </w:rPr>
              <w:t>)</w:t>
            </w:r>
            <w:r w:rsidR="004659EF" w:rsidRPr="005F07EF">
              <w:rPr>
                <w:rFonts w:asciiTheme="minorHAnsi" w:hAnsiTheme="minorHAnsi" w:cstheme="minorHAnsi"/>
                <w:b/>
                <w:color w:val="365F91" w:themeColor="accent1" w:themeShade="BF"/>
                <w:szCs w:val="24"/>
              </w:rPr>
              <w:t>, skirtos</w:t>
            </w:r>
            <w:r w:rsidR="004659EF" w:rsidRPr="005F07EF">
              <w:rPr>
                <w:rFonts w:asciiTheme="minorHAnsi" w:hAnsiTheme="minorHAnsi" w:cstheme="minorHAnsi"/>
                <w:b/>
                <w:bCs/>
                <w:iCs/>
                <w:color w:val="365F91" w:themeColor="accent1" w:themeShade="BF"/>
              </w:rPr>
              <w:t xml:space="preserve"> užimtumo skatinimo ir motyvavimo paslaugų nedirbantiems bei socialinę paramą gaunantiems asmenims modeliui įgyvendinti</w:t>
            </w:r>
            <w:r w:rsidR="004E7AE4" w:rsidRPr="005F07EF">
              <w:rPr>
                <w:rFonts w:asciiTheme="minorHAnsi" w:hAnsiTheme="minorHAnsi" w:cstheme="minorHAnsi"/>
                <w:b/>
                <w:color w:val="365F91" w:themeColor="accent1" w:themeShade="BF"/>
                <w:szCs w:val="24"/>
              </w:rPr>
              <w:t>,</w:t>
            </w:r>
            <w:r w:rsidR="004659EF" w:rsidRPr="005F07EF">
              <w:rPr>
                <w:rFonts w:asciiTheme="minorHAnsi" w:hAnsiTheme="minorHAnsi" w:cstheme="minorHAnsi"/>
                <w:b/>
                <w:color w:val="365F91" w:themeColor="accent1" w:themeShade="BF"/>
                <w:szCs w:val="24"/>
              </w:rPr>
              <w:t xml:space="preserve"> aprašymą</w:t>
            </w:r>
            <w:r w:rsidR="004E7AE4" w:rsidRPr="005F07EF">
              <w:rPr>
                <w:rFonts w:asciiTheme="minorHAnsi" w:hAnsiTheme="minorHAnsi" w:cstheme="minorHAnsi"/>
                <w:b/>
                <w:color w:val="365F91" w:themeColor="accent1" w:themeShade="BF"/>
                <w:szCs w:val="24"/>
              </w:rPr>
              <w:t xml:space="preserve"> su i</w:t>
            </w:r>
            <w:r w:rsidR="004659EF" w:rsidRPr="005F07EF">
              <w:rPr>
                <w:rFonts w:asciiTheme="minorHAnsi" w:hAnsiTheme="minorHAnsi" w:cstheme="minorHAnsi"/>
                <w:b/>
                <w:color w:val="365F91" w:themeColor="accent1" w:themeShade="BF"/>
                <w:szCs w:val="24"/>
              </w:rPr>
              <w:t>nves</w:t>
            </w:r>
            <w:r w:rsidR="00BA6C72">
              <w:rPr>
                <w:rFonts w:asciiTheme="minorHAnsi" w:hAnsiTheme="minorHAnsi" w:cstheme="minorHAnsi"/>
                <w:b/>
                <w:color w:val="365F91" w:themeColor="accent1" w:themeShade="BF"/>
                <w:szCs w:val="24"/>
              </w:rPr>
              <w:t xml:space="preserve">ticijų efektyvumo </w:t>
            </w:r>
            <w:r w:rsidR="004659EF" w:rsidRPr="005F07EF">
              <w:rPr>
                <w:rFonts w:asciiTheme="minorHAnsi" w:hAnsiTheme="minorHAnsi" w:cstheme="minorHAnsi"/>
                <w:b/>
                <w:color w:val="365F91" w:themeColor="accent1" w:themeShade="BF"/>
                <w:szCs w:val="24"/>
              </w:rPr>
              <w:t>pagrindimu.</w:t>
            </w:r>
            <w:r w:rsidR="002A0208" w:rsidRPr="002A0208">
              <w:rPr>
                <w:rFonts w:asciiTheme="minorHAnsi" w:hAnsiTheme="minorHAnsi" w:cstheme="minorHAnsi"/>
                <w:b/>
                <w:color w:val="365F91" w:themeColor="accent1" w:themeShade="BF"/>
              </w:rPr>
              <w:t xml:space="preserve"> </w:t>
            </w:r>
            <w:r w:rsidR="00B853A3" w:rsidRPr="00197829">
              <w:rPr>
                <w:rFonts w:asciiTheme="minorHAnsi" w:hAnsiTheme="minorHAnsi" w:cstheme="minorHAnsi"/>
                <w:bCs/>
                <w:iCs/>
              </w:rPr>
              <w:t xml:space="preserve"> </w:t>
            </w:r>
          </w:p>
        </w:tc>
      </w:tr>
    </w:tbl>
    <w:p w:rsidR="00EE7E69" w:rsidRDefault="00EE7E69" w:rsidP="00122388">
      <w:pPr>
        <w:pStyle w:val="tekstas"/>
      </w:pPr>
    </w:p>
    <w:p w:rsidR="00EF3DC4" w:rsidRDefault="008D1F9E" w:rsidP="00EF3DC4">
      <w:pPr>
        <w:pStyle w:val="tekstas"/>
      </w:pPr>
      <w:r>
        <w:t>Kalbant apie situaciją 7 prioriteto ERPF dalyje, reikėtų pažymėti, kad n</w:t>
      </w:r>
      <w:r w:rsidR="000D4DF9" w:rsidRPr="000D4DF9">
        <w:t xml:space="preserve">ors Kultūros ministerija vykdo Vyriausybės patvirtintas rekomendacijas spartinti projektų įgyvendinimą, išmokėjimų tempas yra nepakankamas. </w:t>
      </w:r>
      <w:r>
        <w:t xml:space="preserve">Šiame prioritete </w:t>
      </w:r>
      <w:r w:rsidR="000D4DF9" w:rsidRPr="000D4DF9">
        <w:t xml:space="preserve">Kultūros ministerijos sudaryti projektų sąrašai ir paskelbti kvietimai sudaro 74 proc. skirtų lėšų, sudarytos sutartys siekia 56 proc., tačiau pripažintos deklaruotinomis lėšos sudaro tik 59 proc. Kultūros ministerijai tenkančios veiklos peržiūros plano rodiklio dalies. Tam įtaką daro ilgas projektų įgyvendinimo laikotarpis, nekokybiškas techninių projektų parengimas, teisminiai ginčai dėl viešųjų pirkimų, ilgai nepriimami sprendimai dėl netinkamų finansuoti išlaidų šaltinių, užsitęsusios ir niekaip neišsisprendžiančios problemos dėl kompleksinių Energetikos ir Kultūros ministerijų investicijų į kultūros infrastruktūros objektus (dėl nekokybiškai parengtų kultūros objektų investicijų projektų bei ilgai trunkančio jų nagrinėjimo ir tikslinimo, investicinių projektų vertinimo etapas trunka jau apie 2 metus). Kultūros ministerijai 7 prioritete skirto ERPF finansavimo dalis siekia 24 proc. prioriteto ERPF lėšų, todėl </w:t>
      </w:r>
      <w:r w:rsidR="000D4DF9" w:rsidRPr="000D4DF9">
        <w:lastRenderedPageBreak/>
        <w:t>vangus lėšų išmokėjimas neigiamai veikia viso 7 prioriteto finansinio veiklos peržiūros rodiklio pasiekimą. Nepasiekus šio rodikli</w:t>
      </w:r>
      <w:r w:rsidR="005B7B9C">
        <w:t>o, Kultūros ministerija paras</w:t>
      </w:r>
      <w:r w:rsidR="000D4DF9" w:rsidRPr="000D4DF9">
        <w:t xml:space="preserve"> veiklos lėšų rezervą (6,1 mln. </w:t>
      </w:r>
      <w:r w:rsidR="000B7F6C">
        <w:t>eurų</w:t>
      </w:r>
      <w:r w:rsidR="000D4DF9" w:rsidRPr="000D4DF9">
        <w:t>).</w:t>
      </w:r>
      <w:r w:rsidR="004D53E2">
        <w:t xml:space="preserve"> </w:t>
      </w:r>
    </w:p>
    <w:p w:rsidR="00FE154F" w:rsidRDefault="00FE154F" w:rsidP="00FE154F">
      <w:pPr>
        <w:jc w:val="both"/>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FE154F" w:rsidRPr="002A0208" w:rsidTr="00CA3B51">
        <w:tc>
          <w:tcPr>
            <w:tcW w:w="9638" w:type="dxa"/>
            <w:tcBorders>
              <w:top w:val="nil"/>
              <w:left w:val="nil"/>
              <w:bottom w:val="nil"/>
              <w:right w:val="nil"/>
            </w:tcBorders>
            <w:shd w:val="clear" w:color="auto" w:fill="D9D9D9" w:themeFill="background1" w:themeFillShade="D9"/>
          </w:tcPr>
          <w:p w:rsidR="00FE154F" w:rsidRPr="002A0208" w:rsidRDefault="00FE154F" w:rsidP="00CA3B51">
            <w:pPr>
              <w:rPr>
                <w:rFonts w:asciiTheme="minorHAnsi" w:hAnsiTheme="minorHAnsi" w:cstheme="minorHAnsi"/>
                <w:b/>
                <w:color w:val="365F91" w:themeColor="accent1" w:themeShade="BF"/>
                <w:szCs w:val="24"/>
              </w:rPr>
            </w:pPr>
            <w:r w:rsidRPr="002A0208">
              <w:rPr>
                <w:rFonts w:asciiTheme="minorHAnsi" w:hAnsiTheme="minorHAnsi" w:cstheme="minorHAnsi"/>
                <w:b/>
                <w:color w:val="365F91" w:themeColor="accent1" w:themeShade="BF"/>
                <w:szCs w:val="24"/>
              </w:rPr>
              <w:t xml:space="preserve">Siūlymas </w:t>
            </w:r>
            <w:r>
              <w:rPr>
                <w:rFonts w:asciiTheme="minorHAnsi" w:hAnsiTheme="minorHAnsi" w:cstheme="minorHAnsi"/>
                <w:b/>
                <w:color w:val="365F91" w:themeColor="accent1" w:themeShade="BF"/>
                <w:szCs w:val="24"/>
              </w:rPr>
              <w:t>Kultūros</w:t>
            </w:r>
            <w:r w:rsidRPr="002A0208">
              <w:rPr>
                <w:rFonts w:asciiTheme="minorHAnsi" w:hAnsiTheme="minorHAnsi" w:cstheme="minorHAnsi"/>
                <w:b/>
                <w:color w:val="365F91" w:themeColor="accent1" w:themeShade="BF"/>
                <w:szCs w:val="24"/>
              </w:rPr>
              <w:t xml:space="preserve"> ministerijai:</w:t>
            </w:r>
          </w:p>
          <w:p w:rsidR="00DD4B96" w:rsidRDefault="00FE154F" w:rsidP="00FE154F">
            <w:pPr>
              <w:rPr>
                <w:rFonts w:asciiTheme="minorHAnsi" w:hAnsiTheme="minorHAnsi" w:cstheme="minorHAnsi"/>
                <w:b/>
                <w:color w:val="365F91" w:themeColor="accent1" w:themeShade="BF"/>
                <w:szCs w:val="24"/>
              </w:rPr>
            </w:pPr>
            <w:r>
              <w:rPr>
                <w:rFonts w:asciiTheme="minorHAnsi" w:hAnsiTheme="minorHAnsi" w:cstheme="minorHAnsi"/>
                <w:b/>
                <w:color w:val="365F91" w:themeColor="accent1" w:themeShade="BF"/>
              </w:rPr>
              <w:t xml:space="preserve">- </w:t>
            </w:r>
            <w:r w:rsidR="00DD4B96" w:rsidRPr="000B2B31">
              <w:rPr>
                <w:rFonts w:asciiTheme="minorHAnsi" w:hAnsiTheme="minorHAnsi" w:cstheme="minorHAnsi"/>
                <w:b/>
                <w:color w:val="365F91" w:themeColor="accent1" w:themeShade="BF"/>
                <w:szCs w:val="24"/>
              </w:rPr>
              <w:t>Iki</w:t>
            </w:r>
            <w:r w:rsidR="000B2B31">
              <w:rPr>
                <w:rFonts w:asciiTheme="minorHAnsi" w:hAnsiTheme="minorHAnsi" w:cstheme="minorHAnsi"/>
                <w:b/>
                <w:color w:val="365F91" w:themeColor="accent1" w:themeShade="BF"/>
                <w:szCs w:val="24"/>
              </w:rPr>
              <w:t xml:space="preserve"> 2018 lapkričio 30 d.</w:t>
            </w:r>
            <w:r w:rsidR="00DD4B96" w:rsidRPr="000B2B31">
              <w:rPr>
                <w:rFonts w:asciiTheme="minorHAnsi" w:hAnsiTheme="minorHAnsi" w:cstheme="minorHAnsi"/>
                <w:b/>
                <w:color w:val="365F91" w:themeColor="accent1" w:themeShade="BF"/>
                <w:szCs w:val="24"/>
              </w:rPr>
              <w:t xml:space="preserve"> kartu su CPVA imtis reikiamų veiksmų, kad būtų pasiektas veiksmų programos 7 prioritetui numatytas finansinis veiklos peržiūros rodiklis.</w:t>
            </w:r>
          </w:p>
          <w:p w:rsidR="00FE154F" w:rsidRPr="00FE154F" w:rsidRDefault="00FE154F" w:rsidP="000D4DF9">
            <w:pPr>
              <w:rPr>
                <w:rFonts w:cstheme="minorHAnsi"/>
                <w:color w:val="365F91" w:themeColor="accent1" w:themeShade="BF"/>
              </w:rPr>
            </w:pPr>
          </w:p>
        </w:tc>
      </w:tr>
    </w:tbl>
    <w:p w:rsidR="00C82C61" w:rsidRDefault="00C82C61" w:rsidP="003B769B">
      <w:pPr>
        <w:rPr>
          <w:rFonts w:cstheme="minorHAnsi"/>
          <w:color w:val="365F91" w:themeColor="accent1" w:themeShade="BF"/>
        </w:rPr>
      </w:pPr>
    </w:p>
    <w:p w:rsidR="009203B0" w:rsidRPr="00912F30" w:rsidRDefault="009203B0" w:rsidP="00F450BB">
      <w:pPr>
        <w:pStyle w:val="tekstas"/>
      </w:pPr>
      <w:r w:rsidRPr="00C82C61">
        <w:t>Vidaus reikalų ministerija</w:t>
      </w:r>
      <w:r w:rsidR="0000192D">
        <w:t xml:space="preserve"> dar </w:t>
      </w:r>
      <w:r w:rsidR="0000192D" w:rsidRPr="00F450BB">
        <w:t>neįgyvendino</w:t>
      </w:r>
      <w:r w:rsidRPr="00F450BB">
        <w:t xml:space="preserve"> </w:t>
      </w:r>
      <w:r w:rsidR="00912F30" w:rsidRPr="00F450BB">
        <w:t xml:space="preserve">ankstesnėje ataskaitoje </w:t>
      </w:r>
      <w:r w:rsidRPr="00F450BB">
        <w:t>teikt</w:t>
      </w:r>
      <w:r w:rsidR="0000192D" w:rsidRPr="00F450BB">
        <w:t>os</w:t>
      </w:r>
      <w:r w:rsidRPr="00F450BB">
        <w:t xml:space="preserve"> rekomendacij</w:t>
      </w:r>
      <w:r w:rsidR="0000192D" w:rsidRPr="00F450BB">
        <w:t xml:space="preserve">os, </w:t>
      </w:r>
      <w:r w:rsidRPr="00F450BB">
        <w:t>siekiant reikšming</w:t>
      </w:r>
      <w:r w:rsidR="0000192D" w:rsidRPr="00F450BB">
        <w:t>esnio</w:t>
      </w:r>
      <w:r w:rsidRPr="00F450BB">
        <w:t xml:space="preserve"> poveikio region</w:t>
      </w:r>
      <w:r w:rsidR="0000192D" w:rsidRPr="00F450BB">
        <w:t xml:space="preserve">ams, padidinti </w:t>
      </w:r>
      <w:r w:rsidRPr="00F450BB">
        <w:t>investicijų, skirtų infrastruktūros, svarbios verslo plėtrai ir investicijų pritraukimui,</w:t>
      </w:r>
      <w:r w:rsidRPr="00C82C61">
        <w:t xml:space="preserve"> lėšų sumą iki 10 mln. eurų.</w:t>
      </w:r>
      <w:r w:rsidR="0000192D">
        <w:t xml:space="preserve"> Atsižvelgiant į naujų projektų planavimui ir sutarčių sudarymui reikalingą </w:t>
      </w:r>
      <w:r w:rsidR="0000192D" w:rsidRPr="00912F30">
        <w:t xml:space="preserve">laiką bei į tai, kad visos sutartys turi būti sudarytos iki 2020 m. pabaigos, Vidaus reikalų ministerija turėtų </w:t>
      </w:r>
      <w:r w:rsidR="00912F30" w:rsidRPr="003B769B">
        <w:t>inicijuoti lėšų perskirstymą tarp priemonių arba</w:t>
      </w:r>
      <w:r w:rsidR="00912F30" w:rsidRPr="00912F30">
        <w:t xml:space="preserve"> pateikti konkretesnę informaciją, </w:t>
      </w:r>
      <w:r w:rsidR="0000192D" w:rsidRPr="00912F30">
        <w:t xml:space="preserve">kada šios lėšos iš kitų priemonių likučių ar sutaupytų lėšų bus skirtos. </w:t>
      </w:r>
    </w:p>
    <w:p w:rsidR="009203B0" w:rsidRDefault="00F450BB" w:rsidP="00F450BB">
      <w:pPr>
        <w:pStyle w:val="tekstas"/>
      </w:pPr>
      <w:r>
        <w:t>Vidaus reikalų</w:t>
      </w:r>
      <w:r w:rsidR="000B2B31" w:rsidRPr="000B2B31">
        <w:t xml:space="preserve"> ministerijai 7 prioritete skirto </w:t>
      </w:r>
      <w:r>
        <w:t>ERPF finansavimo dalis siekia beveik 75</w:t>
      </w:r>
      <w:r w:rsidR="000B2B31" w:rsidRPr="000B2B31">
        <w:t xml:space="preserve"> proc. prioriteto ERPF lėšų</w:t>
      </w:r>
      <w:r>
        <w:t>.</w:t>
      </w:r>
      <w:r w:rsidR="000B2B31" w:rsidRPr="000B2B31">
        <w:t xml:space="preserve"> </w:t>
      </w:r>
      <w:r w:rsidR="007E21B7" w:rsidRPr="00912F30">
        <w:t xml:space="preserve">Vidaus reikalų ministerija 7 prioriteto ERPF </w:t>
      </w:r>
      <w:r>
        <w:t>jai tenkančio finansinio rodiklio dalį</w:t>
      </w:r>
      <w:r w:rsidR="007E21B7" w:rsidRPr="00912F30">
        <w:t xml:space="preserve"> planuoja pasiekti </w:t>
      </w:r>
      <w:r>
        <w:t>tik 73 proc</w:t>
      </w:r>
      <w:r w:rsidR="007E21B7" w:rsidRPr="00912F30">
        <w:t xml:space="preserve">. </w:t>
      </w:r>
      <w:r w:rsidR="009203B0" w:rsidRPr="00912F30">
        <w:t xml:space="preserve">Nepakankama investavimo sparta atskleidžia pagrindinius integruotų teritorinių investicijų įgyvendinimo trūkumus, </w:t>
      </w:r>
      <w:r>
        <w:t>kuriuos ateityje būtina šalinti</w:t>
      </w:r>
      <w:r w:rsidR="00912F30" w:rsidRPr="00912F30">
        <w:t xml:space="preserve">. </w:t>
      </w:r>
      <w:r w:rsidR="00427F8D" w:rsidRPr="00454858">
        <w:t xml:space="preserve">Lėtas investavimas didžiųjų miestų ir miestų kompleksinės plėtros priemonėse rodo </w:t>
      </w:r>
      <w:r w:rsidR="00991833" w:rsidRPr="00912F30">
        <w:t>ne tik savivaldybių finansin</w:t>
      </w:r>
      <w:r w:rsidR="009203B0" w:rsidRPr="00912F30">
        <w:t xml:space="preserve">į nepajėgumą </w:t>
      </w:r>
      <w:r w:rsidR="00991833" w:rsidRPr="00912F30">
        <w:t>ir gebėjimų tinkamai ir laiku atlikti viešųjų pirkimų procedūras</w:t>
      </w:r>
      <w:r w:rsidR="009203B0" w:rsidRPr="00912F30">
        <w:t xml:space="preserve"> trūkumą</w:t>
      </w:r>
      <w:r w:rsidR="00991833" w:rsidRPr="00912F30">
        <w:t xml:space="preserve">, bet ir </w:t>
      </w:r>
      <w:r w:rsidR="00427F8D" w:rsidRPr="00912F30">
        <w:t xml:space="preserve">projektų </w:t>
      </w:r>
      <w:proofErr w:type="spellStart"/>
      <w:r w:rsidR="00427F8D" w:rsidRPr="00912F30">
        <w:t>neparengtumą</w:t>
      </w:r>
      <w:proofErr w:type="spellEnd"/>
      <w:r w:rsidR="00427F8D" w:rsidRPr="00912F30">
        <w:t xml:space="preserve">, nepakankamą investicijų </w:t>
      </w:r>
      <w:r w:rsidR="00991833" w:rsidRPr="00912F30">
        <w:t xml:space="preserve">brandą ir </w:t>
      </w:r>
      <w:r w:rsidR="00427F8D" w:rsidRPr="00912F30">
        <w:t xml:space="preserve">išdiskutavimą su </w:t>
      </w:r>
      <w:r w:rsidR="00991833" w:rsidRPr="00912F30">
        <w:t>visuomene</w:t>
      </w:r>
      <w:r w:rsidR="00427F8D" w:rsidRPr="00912F30">
        <w:t>, dėl k</w:t>
      </w:r>
      <w:r w:rsidR="00991833" w:rsidRPr="00912F30">
        <w:t xml:space="preserve">o kyla </w:t>
      </w:r>
      <w:r w:rsidR="00912F30" w:rsidRPr="003B769B">
        <w:t>prieštaravimai savivaldybėse</w:t>
      </w:r>
      <w:r w:rsidR="00912F30" w:rsidRPr="00912F30">
        <w:t xml:space="preserve"> </w:t>
      </w:r>
      <w:r w:rsidR="00991833" w:rsidRPr="00454858">
        <w:t>i</w:t>
      </w:r>
      <w:r w:rsidR="00991833" w:rsidRPr="00912F30">
        <w:t>r investavimo</w:t>
      </w:r>
      <w:r w:rsidR="00991833">
        <w:t xml:space="preserve"> sprendimai</w:t>
      </w:r>
      <w:r w:rsidR="009203B0" w:rsidRPr="009203B0">
        <w:t xml:space="preserve"> </w:t>
      </w:r>
      <w:r w:rsidR="009203B0">
        <w:t>keičiami</w:t>
      </w:r>
      <w:r w:rsidR="00991833">
        <w:t xml:space="preserve">. </w:t>
      </w:r>
      <w:r w:rsidR="00427F8D">
        <w:t xml:space="preserve">Kadangi Vidaus reiklų ministerijos priemonėse nemažai sutarčių deklaruoja ypač mažai lėšų arba darbai nepradedami, </w:t>
      </w:r>
      <w:r w:rsidR="007E21B7">
        <w:t>Vidaus reikalų ministerija</w:t>
      </w:r>
      <w:r w:rsidR="00427F8D">
        <w:t xml:space="preserve"> turėtų dar aktyviau </w:t>
      </w:r>
      <w:r w:rsidR="007E21B7">
        <w:t xml:space="preserve">bendradarbiauti su </w:t>
      </w:r>
      <w:r w:rsidR="00427F8D">
        <w:t>projektus įgyvendinančiomis savivaldybėmis ir ieškoti priežasčių, kodėl sutartyse numatyti darbai vėluoja. Finansų ministerijos nuomone, kai kurios vadybinės priemonės (mokėjimų prašymų skaidymas ir ankstesnis pateikima</w:t>
      </w:r>
      <w:r w:rsidR="007E21B7">
        <w:t>s</w:t>
      </w:r>
      <w:r w:rsidR="00427F8D">
        <w:t>) taip pat padėtų pagerinti finansinius rodiklius.</w:t>
      </w:r>
      <w:r w:rsidR="007E21B7">
        <w:t xml:space="preserve"> </w:t>
      </w:r>
    </w:p>
    <w:p w:rsidR="00F450BB" w:rsidRDefault="00F450BB" w:rsidP="00F450BB">
      <w:pPr>
        <w:pStyle w:val="tekstas"/>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F450BB" w:rsidRPr="002A0208" w:rsidTr="00252FF3">
        <w:tc>
          <w:tcPr>
            <w:tcW w:w="9638" w:type="dxa"/>
            <w:tcBorders>
              <w:top w:val="nil"/>
              <w:left w:val="nil"/>
              <w:bottom w:val="nil"/>
              <w:right w:val="nil"/>
            </w:tcBorders>
            <w:shd w:val="clear" w:color="auto" w:fill="D9D9D9" w:themeFill="background1" w:themeFillShade="D9"/>
          </w:tcPr>
          <w:p w:rsidR="00F450BB" w:rsidRPr="00F450BB" w:rsidRDefault="00F450BB" w:rsidP="00F450BB">
            <w:pPr>
              <w:rPr>
                <w:rFonts w:asciiTheme="minorHAnsi" w:hAnsiTheme="minorHAnsi" w:cstheme="minorHAnsi"/>
                <w:b/>
                <w:color w:val="365F91" w:themeColor="accent1" w:themeShade="BF"/>
                <w:szCs w:val="24"/>
              </w:rPr>
            </w:pPr>
            <w:r>
              <w:t xml:space="preserve"> </w:t>
            </w:r>
            <w:r w:rsidRPr="00F450BB">
              <w:rPr>
                <w:rFonts w:asciiTheme="minorHAnsi" w:hAnsiTheme="minorHAnsi" w:cstheme="minorHAnsi"/>
                <w:b/>
                <w:color w:val="365F91" w:themeColor="accent1" w:themeShade="BF"/>
                <w:szCs w:val="24"/>
              </w:rPr>
              <w:t>Siūlymas Vidaus reikalų ministerijai:</w:t>
            </w:r>
          </w:p>
          <w:p w:rsidR="00F450BB" w:rsidRPr="00F450BB" w:rsidRDefault="00F450BB" w:rsidP="00F450BB">
            <w:pPr>
              <w:rPr>
                <w:rFonts w:asciiTheme="minorHAnsi" w:hAnsiTheme="minorHAnsi" w:cstheme="minorHAnsi"/>
                <w:b/>
                <w:color w:val="365F91" w:themeColor="accent1" w:themeShade="BF"/>
                <w:szCs w:val="24"/>
              </w:rPr>
            </w:pPr>
            <w:r>
              <w:rPr>
                <w:rFonts w:asciiTheme="minorHAnsi" w:hAnsiTheme="minorHAnsi" w:cstheme="minorHAnsi"/>
                <w:b/>
                <w:color w:val="365F91" w:themeColor="accent1" w:themeShade="BF"/>
                <w:szCs w:val="24"/>
              </w:rPr>
              <w:t xml:space="preserve">- </w:t>
            </w:r>
            <w:r w:rsidRPr="00F450BB">
              <w:rPr>
                <w:rFonts w:asciiTheme="minorHAnsi" w:hAnsiTheme="minorHAnsi" w:cstheme="minorHAnsi"/>
                <w:b/>
                <w:color w:val="365F91" w:themeColor="accent1" w:themeShade="BF"/>
                <w:szCs w:val="24"/>
              </w:rPr>
              <w:t xml:space="preserve">Iki 2018 m. gruodžio 14 d. pateikti Finansų ministerijai Priemonės įgyvendinimo plano pakeitimą, </w:t>
            </w:r>
            <w:r w:rsidRPr="00F450BB">
              <w:rPr>
                <w:rFonts w:asciiTheme="minorHAnsi" w:hAnsiTheme="minorHAnsi" w:cstheme="minorHAnsi"/>
                <w:color w:val="365F91" w:themeColor="accent1" w:themeShade="BF"/>
                <w:szCs w:val="24"/>
              </w:rPr>
              <w:t>kuriuo investicijoms į infrastruktūrą, svarbią verslo plėtrai, finansavimas didinamas iki 10 mln. eurų arba informaciją ir duomenis, kada ir kokiomis sumomis šios lėšos bus didinamos</w:t>
            </w:r>
            <w:r w:rsidRPr="00F450BB">
              <w:rPr>
                <w:rFonts w:asciiTheme="minorHAnsi" w:hAnsiTheme="minorHAnsi" w:cstheme="minorHAnsi"/>
                <w:b/>
                <w:color w:val="365F91" w:themeColor="accent1" w:themeShade="BF"/>
                <w:szCs w:val="24"/>
              </w:rPr>
              <w:t xml:space="preserve">.  </w:t>
            </w:r>
          </w:p>
          <w:p w:rsidR="00F450BB" w:rsidRPr="00F450BB" w:rsidRDefault="00F450BB" w:rsidP="00F450BB">
            <w:pPr>
              <w:rPr>
                <w:rFonts w:asciiTheme="minorHAnsi" w:hAnsiTheme="minorHAnsi" w:cstheme="minorHAnsi"/>
                <w:b/>
                <w:color w:val="365F91" w:themeColor="accent1" w:themeShade="BF"/>
                <w:szCs w:val="24"/>
              </w:rPr>
            </w:pPr>
            <w:r>
              <w:rPr>
                <w:rFonts w:asciiTheme="minorHAnsi" w:hAnsiTheme="minorHAnsi" w:cstheme="minorHAnsi"/>
                <w:b/>
                <w:color w:val="365F91" w:themeColor="accent1" w:themeShade="BF"/>
                <w:szCs w:val="24"/>
              </w:rPr>
              <w:t xml:space="preserve">- </w:t>
            </w:r>
            <w:r w:rsidRPr="00F450BB">
              <w:rPr>
                <w:rFonts w:asciiTheme="minorHAnsi" w:hAnsiTheme="minorHAnsi" w:cstheme="minorHAnsi"/>
                <w:color w:val="365F91" w:themeColor="accent1" w:themeShade="BF"/>
                <w:szCs w:val="24"/>
              </w:rPr>
              <w:t>Spręsti savivaldybėse neįgyvendinamų 7 prioriteto projektų problemas, glaudžiai bendradarbiaujant su atitinkamų savivaldybių merais ir</w:t>
            </w:r>
            <w:r w:rsidRPr="00F450BB">
              <w:rPr>
                <w:rFonts w:asciiTheme="minorHAnsi" w:hAnsiTheme="minorHAnsi" w:cstheme="minorHAnsi"/>
                <w:b/>
                <w:color w:val="365F91" w:themeColor="accent1" w:themeShade="BF"/>
                <w:szCs w:val="24"/>
              </w:rPr>
              <w:t xml:space="preserve"> iki 2018 m. gruodžio 14 d. pateikti Finansų ministerijai Vidaus reikalų ministerijos, kaip institucijos, atsakingos už integruotų teritorinių investicijų planavimą ir panaudojimą, nuomonę dėl pagrindinių faktorių, lėmusių lėtą projektų veiklų įgyvendinimo tempą.</w:t>
            </w:r>
          </w:p>
        </w:tc>
      </w:tr>
    </w:tbl>
    <w:p w:rsidR="007F5C35" w:rsidRDefault="007F5C35" w:rsidP="007F5C35">
      <w:pPr>
        <w:pStyle w:val="antrat3zz"/>
        <w:rPr>
          <w:rFonts w:cstheme="minorHAnsi"/>
        </w:rPr>
      </w:pPr>
      <w:bookmarkStart w:id="24" w:name="_Toc512504084"/>
      <w:bookmarkStart w:id="25" w:name="_Toc528660898"/>
      <w:r w:rsidRPr="002A0208">
        <w:rPr>
          <w:rFonts w:cstheme="minorHAnsi"/>
        </w:rPr>
        <w:t xml:space="preserve">8 prioritetas. Socialinės </w:t>
      </w:r>
      <w:proofErr w:type="spellStart"/>
      <w:r w:rsidRPr="002A0208">
        <w:rPr>
          <w:rFonts w:cstheme="minorHAnsi"/>
        </w:rPr>
        <w:t>įtraukties</w:t>
      </w:r>
      <w:proofErr w:type="spellEnd"/>
      <w:r w:rsidRPr="002A0208">
        <w:rPr>
          <w:rFonts w:cstheme="minorHAnsi"/>
        </w:rPr>
        <w:t xml:space="preserve"> didinimas ir kova su skurdu</w:t>
      </w:r>
      <w:bookmarkEnd w:id="24"/>
      <w:bookmarkEnd w:id="25"/>
    </w:p>
    <w:p w:rsidR="00FE20EF" w:rsidRDefault="00FE20EF">
      <w:pPr>
        <w:pStyle w:val="tekstas"/>
        <w:rPr>
          <w:rFonts w:eastAsia="AngsanaUPC"/>
          <w:lang w:eastAsia="lt-LT"/>
        </w:rPr>
      </w:pPr>
      <w:r>
        <w:t>Rizikos nepasiekti 8 prioriteto ESF dalies veiklos peržiūros rodiklio nėra, rodiklis jau yra pasiektas. 8 prioriteto ERPF dalyje rodiklis 2018 m. spalio 12 d. duomenimis yra pasiektas tik 61 proc., tačiau pagal pateiktas įgyvendinančiosios institucijos prognozes, iki lapkričio pab. jis bus pasiektas ir viršytas.</w:t>
      </w:r>
    </w:p>
    <w:p w:rsidR="00915620" w:rsidRDefault="00384B30" w:rsidP="00253966">
      <w:pPr>
        <w:pStyle w:val="tekstas"/>
      </w:pPr>
      <w:r>
        <w:rPr>
          <w:rFonts w:eastAsia="AngsanaUPC"/>
          <w:lang w:eastAsia="lt-LT"/>
        </w:rPr>
        <w:t xml:space="preserve">Socialinės apsaugos ir darbo ministerija įgyvendino Vyriausybės patvirtintas rekomendacijas: </w:t>
      </w:r>
      <w:r w:rsidR="00915620" w:rsidRPr="00915620">
        <w:rPr>
          <w:rFonts w:eastAsia="AngsanaUPC"/>
          <w:lang w:eastAsia="lt-LT"/>
        </w:rPr>
        <w:t xml:space="preserve">2018 m. liepos </w:t>
      </w:r>
      <w:r>
        <w:rPr>
          <w:rFonts w:eastAsia="AngsanaUPC"/>
          <w:lang w:eastAsia="lt-LT"/>
        </w:rPr>
        <w:t>mėn.</w:t>
      </w:r>
      <w:r w:rsidR="00915620" w:rsidRPr="00915620">
        <w:rPr>
          <w:rFonts w:eastAsia="AngsanaUPC"/>
          <w:lang w:eastAsia="lt-LT"/>
        </w:rPr>
        <w:t xml:space="preserve"> p</w:t>
      </w:r>
      <w:r w:rsidR="00915620">
        <w:rPr>
          <w:rFonts w:eastAsia="AngsanaUPC"/>
          <w:lang w:eastAsia="lt-LT"/>
        </w:rPr>
        <w:t>atvirtino</w:t>
      </w:r>
      <w:r w:rsidR="00915620" w:rsidRPr="00915620">
        <w:rPr>
          <w:rFonts w:eastAsia="AngsanaUPC"/>
          <w:lang w:eastAsia="lt-LT"/>
        </w:rPr>
        <w:t xml:space="preserve"> </w:t>
      </w:r>
      <w:r>
        <w:rPr>
          <w:rFonts w:eastAsia="AngsanaUPC"/>
          <w:lang w:eastAsia="lt-LT"/>
        </w:rPr>
        <w:t>finansavimo sąlygas</w:t>
      </w:r>
      <w:r w:rsidR="00915620" w:rsidRPr="00915620">
        <w:rPr>
          <w:rFonts w:eastAsia="AngsanaUPC"/>
          <w:lang w:eastAsia="lt-LT"/>
        </w:rPr>
        <w:t xml:space="preserve"> pagal priemonę </w:t>
      </w:r>
      <w:r w:rsidR="00915620" w:rsidRPr="00915620">
        <w:t>„Institucinės globos pertvarka“</w:t>
      </w:r>
      <w:r>
        <w:rPr>
          <w:rFonts w:eastAsia="AngsanaUPC"/>
          <w:lang w:eastAsia="lt-LT"/>
        </w:rPr>
        <w:t xml:space="preserve"> </w:t>
      </w:r>
      <w:r w:rsidR="00915620" w:rsidRPr="00915620">
        <w:rPr>
          <w:rFonts w:eastAsia="AngsanaUPC"/>
          <w:lang w:eastAsia="lt-LT"/>
        </w:rPr>
        <w:t>globos cent</w:t>
      </w:r>
      <w:r>
        <w:rPr>
          <w:rFonts w:eastAsia="AngsanaUPC"/>
          <w:lang w:eastAsia="lt-LT"/>
        </w:rPr>
        <w:t>r</w:t>
      </w:r>
      <w:r w:rsidR="00915620" w:rsidRPr="00915620">
        <w:rPr>
          <w:rFonts w:eastAsia="AngsanaUPC"/>
          <w:lang w:eastAsia="lt-LT"/>
        </w:rPr>
        <w:t xml:space="preserve">ų (kurie rūpinasi globėjų paieška ir parama globėjams) </w:t>
      </w:r>
      <w:r w:rsidRPr="00915620">
        <w:rPr>
          <w:rFonts w:eastAsia="AngsanaUPC"/>
          <w:lang w:eastAsia="lt-LT"/>
        </w:rPr>
        <w:t xml:space="preserve">veiklos </w:t>
      </w:r>
      <w:r w:rsidR="00915620" w:rsidRPr="00915620">
        <w:rPr>
          <w:rFonts w:eastAsia="AngsanaUPC"/>
          <w:lang w:eastAsia="lt-LT"/>
        </w:rPr>
        <w:t xml:space="preserve">finansavimui ir šių </w:t>
      </w:r>
      <w:r w:rsidR="00915620" w:rsidRPr="00915620">
        <w:rPr>
          <w:rFonts w:eastAsia="AngsanaUPC"/>
          <w:lang w:eastAsia="lt-LT"/>
        </w:rPr>
        <w:lastRenderedPageBreak/>
        <w:t xml:space="preserve">centrų </w:t>
      </w:r>
      <w:proofErr w:type="spellStart"/>
      <w:r w:rsidR="00915620" w:rsidRPr="00915620">
        <w:rPr>
          <w:rFonts w:eastAsia="AngsanaUPC"/>
          <w:lang w:eastAsia="lt-LT"/>
        </w:rPr>
        <w:t>tinklaveikai</w:t>
      </w:r>
      <w:proofErr w:type="spellEnd"/>
      <w:r w:rsidR="00915620" w:rsidRPr="00915620">
        <w:rPr>
          <w:rFonts w:eastAsia="AngsanaUPC"/>
          <w:lang w:eastAsia="lt-LT"/>
        </w:rPr>
        <w:t xml:space="preserve">, taip pat mobilių komandų veiklos finansavimui. </w:t>
      </w:r>
      <w:r>
        <w:rPr>
          <w:rFonts w:eastAsia="AngsanaUPC"/>
          <w:lang w:eastAsia="lt-LT"/>
        </w:rPr>
        <w:t xml:space="preserve">Vyksta parengiamieji darbai, planuojama, </w:t>
      </w:r>
      <w:r w:rsidR="00915620" w:rsidRPr="00915620">
        <w:rPr>
          <w:rFonts w:eastAsia="AngsanaUPC"/>
          <w:lang w:eastAsia="lt-LT"/>
        </w:rPr>
        <w:t xml:space="preserve">kad </w:t>
      </w:r>
      <w:r>
        <w:rPr>
          <w:rFonts w:eastAsia="AngsanaUPC"/>
          <w:lang w:eastAsia="lt-LT"/>
        </w:rPr>
        <w:t xml:space="preserve">projekto </w:t>
      </w:r>
      <w:r w:rsidR="00915620" w:rsidRPr="00915620">
        <w:rPr>
          <w:rFonts w:eastAsia="AngsanaUPC"/>
          <w:lang w:eastAsia="lt-LT"/>
        </w:rPr>
        <w:t xml:space="preserve">sutartis </w:t>
      </w:r>
      <w:r>
        <w:rPr>
          <w:rFonts w:eastAsia="AngsanaUPC"/>
          <w:lang w:eastAsia="lt-LT"/>
        </w:rPr>
        <w:t>(apie</w:t>
      </w:r>
      <w:r w:rsidRPr="00915620">
        <w:rPr>
          <w:rFonts w:eastAsia="AngsanaUPC"/>
          <w:lang w:eastAsia="lt-LT"/>
        </w:rPr>
        <w:t xml:space="preserve"> 1</w:t>
      </w:r>
      <w:r>
        <w:rPr>
          <w:rFonts w:eastAsia="AngsanaUPC"/>
          <w:lang w:eastAsia="lt-LT"/>
        </w:rPr>
        <w:t>1</w:t>
      </w:r>
      <w:r w:rsidRPr="00915620">
        <w:rPr>
          <w:rFonts w:eastAsia="AngsanaUPC"/>
          <w:lang w:eastAsia="lt-LT"/>
        </w:rPr>
        <w:t xml:space="preserve"> mln. eurų</w:t>
      </w:r>
      <w:r>
        <w:t xml:space="preserve">) </w:t>
      </w:r>
      <w:r w:rsidR="00915620" w:rsidRPr="00915620">
        <w:rPr>
          <w:rFonts w:eastAsia="AngsanaUPC"/>
          <w:lang w:eastAsia="lt-LT"/>
        </w:rPr>
        <w:t xml:space="preserve">bus sudaryta iki 2018 m. pab. 2018 m. rugpjūčio </w:t>
      </w:r>
      <w:r>
        <w:rPr>
          <w:rFonts w:eastAsia="AngsanaUPC"/>
          <w:lang w:eastAsia="lt-LT"/>
        </w:rPr>
        <w:t>pab.</w:t>
      </w:r>
      <w:r w:rsidR="00915620" w:rsidRPr="00915620">
        <w:rPr>
          <w:rFonts w:eastAsia="AngsanaUPC"/>
          <w:lang w:eastAsia="lt-LT"/>
        </w:rPr>
        <w:t xml:space="preserve"> </w:t>
      </w:r>
      <w:r>
        <w:rPr>
          <w:rFonts w:eastAsia="AngsanaUPC"/>
          <w:lang w:eastAsia="lt-LT"/>
        </w:rPr>
        <w:t xml:space="preserve">taip pat </w:t>
      </w:r>
      <w:r w:rsidR="00915620" w:rsidRPr="00915620">
        <w:rPr>
          <w:rFonts w:eastAsia="AngsanaUPC"/>
          <w:lang w:eastAsia="lt-LT"/>
        </w:rPr>
        <w:t>p</w:t>
      </w:r>
      <w:r>
        <w:rPr>
          <w:rFonts w:eastAsia="AngsanaUPC"/>
          <w:lang w:eastAsia="lt-LT"/>
        </w:rPr>
        <w:t>atvirtintos finansavimo sąlygos</w:t>
      </w:r>
      <w:r w:rsidRPr="00915620">
        <w:rPr>
          <w:rFonts w:eastAsia="AngsanaUPC"/>
          <w:lang w:eastAsia="lt-LT"/>
        </w:rPr>
        <w:t xml:space="preserve"> pagal priemonę</w:t>
      </w:r>
      <w:r w:rsidR="00915620" w:rsidRPr="00915620">
        <w:rPr>
          <w:rFonts w:eastAsia="AngsanaUPC"/>
          <w:lang w:eastAsia="lt-LT"/>
        </w:rPr>
        <w:t xml:space="preserve"> </w:t>
      </w:r>
      <w:r w:rsidR="00915620" w:rsidRPr="00915620">
        <w:t>„Institucinės globos pertvarka:</w:t>
      </w:r>
      <w:r>
        <w:t xml:space="preserve"> investicijos į infrastruktūrą“</w:t>
      </w:r>
      <w:r>
        <w:rPr>
          <w:rFonts w:eastAsia="AngsanaUPC"/>
          <w:lang w:eastAsia="lt-LT"/>
        </w:rPr>
        <w:t xml:space="preserve"> </w:t>
      </w:r>
      <w:r w:rsidR="00915620" w:rsidRPr="00915620">
        <w:rPr>
          <w:rFonts w:eastAsia="AngsanaUPC"/>
          <w:lang w:eastAsia="lt-LT"/>
        </w:rPr>
        <w:t>bendruomeninių vaikų globos namų ir vai</w:t>
      </w:r>
      <w:r w:rsidR="00F32F3D">
        <w:rPr>
          <w:rFonts w:eastAsia="AngsanaUPC"/>
          <w:lang w:eastAsia="lt-LT"/>
        </w:rPr>
        <w:t xml:space="preserve">kų dienos centrų tinklo plėtrai </w:t>
      </w:r>
      <w:proofErr w:type="gramStart"/>
      <w:r w:rsidR="00915620" w:rsidRPr="00915620">
        <w:rPr>
          <w:rFonts w:eastAsia="AngsanaUPC"/>
          <w:lang w:eastAsia="lt-LT"/>
        </w:rPr>
        <w:t>(</w:t>
      </w:r>
      <w:proofErr w:type="gramEnd"/>
      <w:r w:rsidR="00915620" w:rsidRPr="00915620">
        <w:rPr>
          <w:rFonts w:eastAsia="AngsanaUPC"/>
          <w:lang w:eastAsia="lt-LT"/>
        </w:rPr>
        <w:t>projektams įgyvendinti skiriama 14 mln. eurų</w:t>
      </w:r>
      <w:r w:rsidR="00915620" w:rsidRPr="00915620">
        <w:t>). Šiuo metu savivaldybės vykdo galimų projekto partneri</w:t>
      </w:r>
      <w:r>
        <w:t>ų (vaikų dienos centrų) atranką</w:t>
      </w:r>
      <w:r w:rsidR="00915620" w:rsidRPr="00915620">
        <w:t xml:space="preserve"> ir rengia projektinius pasiūlymus, kuriuos turi pateikti ministerijai trimis etapais iki 2019 m. vasario 7 d.</w:t>
      </w:r>
    </w:p>
    <w:p w:rsidR="00835FC9" w:rsidRPr="00915620" w:rsidRDefault="00835FC9" w:rsidP="00253966">
      <w:pPr>
        <w:pStyle w:val="tekstas"/>
      </w:pPr>
      <w:r w:rsidRPr="00835FC9">
        <w:t xml:space="preserve">Iki 2018 m. rugsėjo 30 d. </w:t>
      </w:r>
      <w:r>
        <w:t xml:space="preserve">ministerija turėjo </w:t>
      </w:r>
      <w:r w:rsidRPr="00835FC9">
        <w:t>apsispręsti dėl didžiausią poveikį galinčių daryti veiklų, skirtų demografinių problemų sprendimui, kurioms papildom</w:t>
      </w:r>
      <w:r>
        <w:t>a</w:t>
      </w:r>
      <w:r w:rsidRPr="00835FC9">
        <w:t xml:space="preserve">i numatyti 22 mln. </w:t>
      </w:r>
      <w:r>
        <w:t xml:space="preserve">eurų. Ministerija numato planuojamų finansuoti </w:t>
      </w:r>
      <w:r w:rsidRPr="00835FC9">
        <w:t>veiklų sąrašą su pa</w:t>
      </w:r>
      <w:r>
        <w:t>grindimu</w:t>
      </w:r>
      <w:r w:rsidRPr="00835FC9">
        <w:t xml:space="preserve"> </w:t>
      </w:r>
      <w:r>
        <w:t>pateikti Finansų ministerijai</w:t>
      </w:r>
      <w:r w:rsidRPr="00835FC9">
        <w:t xml:space="preserve"> iki lapkričio 30 d.</w:t>
      </w:r>
    </w:p>
    <w:p w:rsidR="00756E6F" w:rsidRDefault="00756E6F" w:rsidP="00756E6F">
      <w:pPr>
        <w:jc w:val="both"/>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756E6F" w:rsidRPr="002A0208" w:rsidTr="00CA3B51">
        <w:tc>
          <w:tcPr>
            <w:tcW w:w="9638" w:type="dxa"/>
            <w:tcBorders>
              <w:top w:val="nil"/>
              <w:left w:val="nil"/>
              <w:bottom w:val="nil"/>
              <w:right w:val="nil"/>
            </w:tcBorders>
            <w:shd w:val="clear" w:color="auto" w:fill="D9D9D9" w:themeFill="background1" w:themeFillShade="D9"/>
          </w:tcPr>
          <w:p w:rsidR="00756E6F" w:rsidRPr="002A0208" w:rsidRDefault="00756E6F" w:rsidP="00CA3B51">
            <w:pPr>
              <w:rPr>
                <w:rFonts w:asciiTheme="minorHAnsi" w:hAnsiTheme="minorHAnsi" w:cstheme="minorHAnsi"/>
                <w:b/>
                <w:color w:val="365F91" w:themeColor="accent1" w:themeShade="BF"/>
                <w:szCs w:val="24"/>
              </w:rPr>
            </w:pPr>
            <w:r w:rsidRPr="002A0208">
              <w:rPr>
                <w:rFonts w:asciiTheme="minorHAnsi" w:hAnsiTheme="minorHAnsi" w:cstheme="minorHAnsi"/>
                <w:b/>
                <w:color w:val="365F91" w:themeColor="accent1" w:themeShade="BF"/>
                <w:szCs w:val="24"/>
              </w:rPr>
              <w:t>Siūlymas Socialinės apsaugos ir darbo ministerijai:</w:t>
            </w:r>
          </w:p>
          <w:p w:rsidR="00756E6F" w:rsidRPr="00835FC9" w:rsidRDefault="00756E6F" w:rsidP="00756E6F">
            <w:pPr>
              <w:jc w:val="both"/>
              <w:rPr>
                <w:rFonts w:asciiTheme="minorHAnsi" w:hAnsiTheme="minorHAnsi" w:cstheme="minorHAnsi"/>
                <w:color w:val="365F91" w:themeColor="accent1" w:themeShade="BF"/>
                <w:szCs w:val="24"/>
              </w:rPr>
            </w:pPr>
            <w:r w:rsidRPr="00835FC9">
              <w:rPr>
                <w:rFonts w:asciiTheme="minorHAnsi" w:hAnsiTheme="minorHAnsi" w:cstheme="minorHAnsi"/>
                <w:b/>
                <w:color w:val="365F91" w:themeColor="accent1" w:themeShade="BF"/>
              </w:rPr>
              <w:t xml:space="preserve">- </w:t>
            </w:r>
            <w:r w:rsidR="00253966">
              <w:rPr>
                <w:rFonts w:asciiTheme="minorHAnsi" w:hAnsiTheme="minorHAnsi" w:cstheme="minorHAnsi"/>
                <w:b/>
                <w:color w:val="365F91" w:themeColor="accent1" w:themeShade="BF"/>
              </w:rPr>
              <w:t>Iki 2018 m. lapkričio 30 d.</w:t>
            </w:r>
            <w:r w:rsidRPr="00253966">
              <w:rPr>
                <w:rFonts w:asciiTheme="minorHAnsi" w:hAnsiTheme="minorHAnsi" w:cstheme="minorHAnsi"/>
                <w:b/>
                <w:color w:val="365F91" w:themeColor="accent1" w:themeShade="BF"/>
              </w:rPr>
              <w:t xml:space="preserve"> </w:t>
            </w:r>
            <w:r w:rsidRPr="00253966">
              <w:rPr>
                <w:rFonts w:asciiTheme="minorHAnsi" w:hAnsiTheme="minorHAnsi" w:cstheme="minorHAnsi"/>
                <w:b/>
                <w:color w:val="365F91" w:themeColor="accent1" w:themeShade="BF"/>
                <w:szCs w:val="24"/>
              </w:rPr>
              <w:t xml:space="preserve">pateikti Finansų ministerijai </w:t>
            </w:r>
            <w:r w:rsidR="00835FC9" w:rsidRPr="00253966">
              <w:rPr>
                <w:rFonts w:asciiTheme="minorHAnsi" w:hAnsiTheme="minorHAnsi" w:cstheme="minorHAnsi"/>
                <w:b/>
                <w:color w:val="365F91" w:themeColor="accent1" w:themeShade="BF"/>
                <w:szCs w:val="24"/>
              </w:rPr>
              <w:t xml:space="preserve">planuojamų finansuoti </w:t>
            </w:r>
            <w:r w:rsidR="00253966" w:rsidRPr="00253966">
              <w:rPr>
                <w:rFonts w:asciiTheme="minorHAnsi" w:hAnsiTheme="minorHAnsi" w:cstheme="minorHAnsi"/>
                <w:b/>
                <w:color w:val="365F91" w:themeColor="accent1" w:themeShade="BF"/>
                <w:szCs w:val="24"/>
              </w:rPr>
              <w:t>veiklų, skirtų</w:t>
            </w:r>
            <w:r w:rsidRPr="00253966">
              <w:rPr>
                <w:rFonts w:asciiTheme="minorHAnsi" w:hAnsiTheme="minorHAnsi" w:cstheme="minorHAnsi"/>
                <w:b/>
                <w:color w:val="365F91" w:themeColor="accent1" w:themeShade="BF"/>
                <w:szCs w:val="24"/>
              </w:rPr>
              <w:t xml:space="preserve"> demografinių problemų sprendimui, sąrašą</w:t>
            </w:r>
            <w:r w:rsidRPr="00835FC9">
              <w:rPr>
                <w:rFonts w:asciiTheme="minorHAnsi" w:hAnsiTheme="minorHAnsi" w:cstheme="minorHAnsi"/>
                <w:color w:val="365F91" w:themeColor="accent1" w:themeShade="BF"/>
                <w:szCs w:val="24"/>
              </w:rPr>
              <w:t xml:space="preserve"> su pagrindimu, kodėl pasirinktos konkrečios veiklos.</w:t>
            </w:r>
          </w:p>
          <w:p w:rsidR="00756E6F" w:rsidRPr="002A0208" w:rsidRDefault="00756E6F" w:rsidP="00CA3B51">
            <w:pPr>
              <w:jc w:val="both"/>
              <w:rPr>
                <w:rFonts w:asciiTheme="minorHAnsi" w:hAnsiTheme="minorHAnsi" w:cstheme="minorHAnsi"/>
                <w:b/>
                <w:color w:val="365F91" w:themeColor="accent1" w:themeShade="BF"/>
              </w:rPr>
            </w:pPr>
            <w:r w:rsidRPr="00835FC9">
              <w:rPr>
                <w:rFonts w:asciiTheme="minorHAnsi" w:hAnsiTheme="minorHAnsi" w:cstheme="minorHAnsi"/>
                <w:b/>
                <w:color w:val="365F91" w:themeColor="accent1" w:themeShade="BF"/>
              </w:rPr>
              <w:t xml:space="preserve">- </w:t>
            </w:r>
            <w:r w:rsidR="00253966">
              <w:rPr>
                <w:rFonts w:asciiTheme="minorHAnsi" w:hAnsiTheme="minorHAnsi" w:cstheme="minorHAnsi"/>
                <w:b/>
                <w:color w:val="365F91" w:themeColor="accent1" w:themeShade="BF"/>
              </w:rPr>
              <w:t>S</w:t>
            </w:r>
            <w:r w:rsidRPr="00253966">
              <w:rPr>
                <w:rFonts w:asciiTheme="minorHAnsi" w:hAnsiTheme="minorHAnsi" w:cstheme="minorHAnsi"/>
                <w:b/>
                <w:color w:val="365F91" w:themeColor="accent1" w:themeShade="BF"/>
                <w:szCs w:val="24"/>
              </w:rPr>
              <w:t xml:space="preserve">iekti, kad </w:t>
            </w:r>
            <w:r w:rsidR="00253966">
              <w:rPr>
                <w:rFonts w:asciiTheme="minorHAnsi" w:hAnsiTheme="minorHAnsi" w:cstheme="minorHAnsi"/>
                <w:b/>
                <w:color w:val="365F91" w:themeColor="accent1" w:themeShade="BF"/>
                <w:szCs w:val="24"/>
              </w:rPr>
              <w:t xml:space="preserve">iki 2018 m. gruodžio 31 d. </w:t>
            </w:r>
            <w:r w:rsidRPr="00253966">
              <w:rPr>
                <w:rFonts w:asciiTheme="minorHAnsi" w:hAnsiTheme="minorHAnsi" w:cstheme="minorHAnsi"/>
                <w:b/>
                <w:color w:val="365F91" w:themeColor="accent1" w:themeShade="BF"/>
                <w:szCs w:val="24"/>
              </w:rPr>
              <w:t xml:space="preserve">būtų pasirašyta </w:t>
            </w:r>
            <w:r w:rsidR="00B01A21" w:rsidRPr="00253966">
              <w:rPr>
                <w:rFonts w:asciiTheme="minorHAnsi" w:hAnsiTheme="minorHAnsi" w:cstheme="minorHAnsi"/>
                <w:b/>
                <w:color w:val="365F91" w:themeColor="accent1" w:themeShade="BF"/>
                <w:szCs w:val="24"/>
              </w:rPr>
              <w:t>projekto</w:t>
            </w:r>
            <w:r w:rsidRPr="00253966">
              <w:rPr>
                <w:rFonts w:asciiTheme="minorHAnsi" w:hAnsiTheme="minorHAnsi" w:cstheme="minorHAnsi"/>
                <w:b/>
                <w:color w:val="365F91" w:themeColor="accent1" w:themeShade="BF"/>
                <w:szCs w:val="24"/>
              </w:rPr>
              <w:t xml:space="preserve"> sutartis dėl globos centrų veiklos </w:t>
            </w:r>
            <w:r w:rsidR="00835FC9" w:rsidRPr="00253966">
              <w:rPr>
                <w:rFonts w:asciiTheme="minorHAnsi" w:hAnsiTheme="minorHAnsi" w:cstheme="minorHAnsi"/>
                <w:b/>
                <w:color w:val="365F91" w:themeColor="accent1" w:themeShade="BF"/>
                <w:szCs w:val="24"/>
              </w:rPr>
              <w:t xml:space="preserve">finansavimo </w:t>
            </w:r>
            <w:r w:rsidRPr="00253966">
              <w:rPr>
                <w:rFonts w:asciiTheme="minorHAnsi" w:hAnsiTheme="minorHAnsi" w:cstheme="minorHAnsi"/>
                <w:b/>
                <w:color w:val="365F91" w:themeColor="accent1" w:themeShade="BF"/>
                <w:szCs w:val="24"/>
              </w:rPr>
              <w:t>pagal priemonę „Institucinės globos pertvarka“.</w:t>
            </w:r>
            <w:r w:rsidRPr="002A0208">
              <w:rPr>
                <w:rFonts w:asciiTheme="minorHAnsi" w:hAnsiTheme="minorHAnsi" w:cstheme="minorHAnsi"/>
                <w:b/>
                <w:color w:val="365F91" w:themeColor="accent1" w:themeShade="BF"/>
              </w:rPr>
              <w:t xml:space="preserve"> </w:t>
            </w:r>
            <w:r w:rsidRPr="00197829">
              <w:rPr>
                <w:rFonts w:asciiTheme="minorHAnsi" w:hAnsiTheme="minorHAnsi" w:cstheme="minorHAnsi"/>
                <w:bCs/>
                <w:iCs/>
              </w:rPr>
              <w:t xml:space="preserve"> </w:t>
            </w:r>
          </w:p>
        </w:tc>
      </w:tr>
    </w:tbl>
    <w:p w:rsidR="00756E6F" w:rsidRDefault="00756E6F" w:rsidP="00915620">
      <w:pPr>
        <w:jc w:val="both"/>
        <w:rPr>
          <w:rFonts w:asciiTheme="minorHAnsi" w:eastAsiaTheme="minorHAnsi" w:hAnsiTheme="minorHAnsi" w:cstheme="minorHAnsi"/>
          <w:szCs w:val="24"/>
        </w:rPr>
      </w:pPr>
    </w:p>
    <w:p w:rsidR="00756E6F" w:rsidRPr="00915620" w:rsidRDefault="00BA0238" w:rsidP="00BD0CE2">
      <w:pPr>
        <w:pStyle w:val="tekstas"/>
      </w:pPr>
      <w:r>
        <w:rPr>
          <w:rFonts w:eastAsiaTheme="minorHAnsi"/>
        </w:rPr>
        <w:t xml:space="preserve">Vidaus reikalų ministerija </w:t>
      </w:r>
      <w:r w:rsidR="00756E6F" w:rsidRPr="00915620">
        <w:rPr>
          <w:rFonts w:eastAsiaTheme="minorHAnsi"/>
        </w:rPr>
        <w:t xml:space="preserve">2018 III </w:t>
      </w:r>
      <w:proofErr w:type="spellStart"/>
      <w:r w:rsidR="00756E6F" w:rsidRPr="00915620">
        <w:rPr>
          <w:rFonts w:eastAsiaTheme="minorHAnsi"/>
        </w:rPr>
        <w:t>ketv</w:t>
      </w:r>
      <w:proofErr w:type="spellEnd"/>
      <w:r w:rsidR="00756E6F" w:rsidRPr="00915620">
        <w:rPr>
          <w:rFonts w:eastAsiaTheme="minorHAnsi"/>
        </w:rPr>
        <w:t xml:space="preserve">. </w:t>
      </w:r>
      <w:r>
        <w:rPr>
          <w:rFonts w:eastAsiaTheme="minorHAnsi"/>
        </w:rPr>
        <w:t>įgyvendino</w:t>
      </w:r>
      <w:r w:rsidR="00756E6F" w:rsidRPr="00915620">
        <w:rPr>
          <w:rFonts w:eastAsiaTheme="minorHAnsi"/>
        </w:rPr>
        <w:t xml:space="preserve"> V</w:t>
      </w:r>
      <w:r>
        <w:rPr>
          <w:rFonts w:eastAsiaTheme="minorHAnsi"/>
        </w:rPr>
        <w:t>alstybės kontrolės rekomendaciją</w:t>
      </w:r>
      <w:r w:rsidR="00756E6F" w:rsidRPr="00915620">
        <w:rPr>
          <w:rFonts w:eastAsiaTheme="minorHAnsi"/>
        </w:rPr>
        <w:t xml:space="preserve"> dėl </w:t>
      </w:r>
      <w:r w:rsidR="00B01A21">
        <w:rPr>
          <w:rFonts w:eastAsiaTheme="minorHAnsi"/>
        </w:rPr>
        <w:t>Miesto bendruomenių inicijuotos</w:t>
      </w:r>
      <w:r w:rsidR="00756E6F" w:rsidRPr="00915620">
        <w:rPr>
          <w:rFonts w:eastAsiaTheme="minorHAnsi"/>
        </w:rPr>
        <w:t xml:space="preserve"> vietos plėtros </w:t>
      </w:r>
      <w:r w:rsidR="00EA6699">
        <w:rPr>
          <w:rFonts w:eastAsiaTheme="minorHAnsi"/>
        </w:rPr>
        <w:t xml:space="preserve">(toliau – BIVP) </w:t>
      </w:r>
      <w:r w:rsidR="00756E6F" w:rsidRPr="00915620">
        <w:rPr>
          <w:rFonts w:eastAsiaTheme="minorHAnsi"/>
        </w:rPr>
        <w:t>strategijų pervertinimo. P</w:t>
      </w:r>
      <w:r w:rsidR="00756E6F" w:rsidRPr="00915620">
        <w:t xml:space="preserve">ervertintos ir naujai patvirtintos 23 finansuojamos strategijos už </w:t>
      </w:r>
      <w:r w:rsidR="00B01A21">
        <w:t>14</w:t>
      </w:r>
      <w:r w:rsidR="00756E6F" w:rsidRPr="00915620">
        <w:t xml:space="preserve"> mln. eurų bei įtraukta 16 naujų strategijų</w:t>
      </w:r>
      <w:r w:rsidR="00B01A21">
        <w:t xml:space="preserve"> už 10,5</w:t>
      </w:r>
      <w:r w:rsidR="00756E6F" w:rsidRPr="00915620">
        <w:t xml:space="preserve"> mln. eurų į finansuotinų strategijų sąrašą. </w:t>
      </w:r>
    </w:p>
    <w:p w:rsidR="00756E6F" w:rsidRPr="00915620" w:rsidRDefault="00756E6F" w:rsidP="00BD0CE2">
      <w:pPr>
        <w:pStyle w:val="tekstas"/>
      </w:pPr>
      <w:r w:rsidRPr="00915620">
        <w:t xml:space="preserve">Atsižvelgus į Seimo valstybės valdymo ir savivaldybių komiteto siūlymus </w:t>
      </w:r>
      <w:r w:rsidR="00BA0238">
        <w:t>supaprastinti</w:t>
      </w:r>
      <w:r w:rsidRPr="00915620">
        <w:t xml:space="preserve"> </w:t>
      </w:r>
      <w:r w:rsidR="00EA6699">
        <w:t>BIVP</w:t>
      </w:r>
      <w:r w:rsidRPr="00915620">
        <w:t xml:space="preserve"> strategijų </w:t>
      </w:r>
      <w:r w:rsidR="00BA0238">
        <w:t xml:space="preserve">įgyvendinimą, Vidaus reikalų ministerija kartu su Finansų ministerija </w:t>
      </w:r>
      <w:r w:rsidR="00EA6699">
        <w:t xml:space="preserve">parengė ir įgyvendina veiksmų planą, kurio tikslas – sutrumpinti procesus ir stiprinti miestų vietos veiklos grupių ir jų atrinktų projektų vykdytojų kompetencijas. Keičiamos Projektų administravimo ir finansavimo taisyklės, </w:t>
      </w:r>
      <w:r w:rsidR="00EA6699" w:rsidRPr="00915620">
        <w:t>Vietos plėtros strategijų at</w:t>
      </w:r>
      <w:r w:rsidR="00EA6699">
        <w:t>rankos ir įgyvendinimo taisyklės</w:t>
      </w:r>
      <w:r w:rsidR="00EA6699" w:rsidRPr="00915620">
        <w:t xml:space="preserve">, </w:t>
      </w:r>
      <w:r w:rsidR="00EA6699">
        <w:t>naujų projektų finansavimo sąlygos ir kt. dokumentai</w:t>
      </w:r>
      <w:r w:rsidR="00EA6699" w:rsidRPr="00915620">
        <w:t xml:space="preserve">, </w:t>
      </w:r>
      <w:r w:rsidR="00EA6699">
        <w:t xml:space="preserve">parengtas ir </w:t>
      </w:r>
      <w:r w:rsidR="00BD0CE2">
        <w:t>vykdomas pareiškėjų mokymo 2018–</w:t>
      </w:r>
      <w:r w:rsidR="00EA6699">
        <w:t xml:space="preserve">2019 m. planas. Planuojama, kad teisės aktų pakeitimai įsigalios </w:t>
      </w:r>
      <w:r w:rsidR="00B01A21">
        <w:t xml:space="preserve">ir naujas kvietimas teikti paraiškas pagal naujas sąlygas bus paskelbtas </w:t>
      </w:r>
      <w:r w:rsidR="00EA6699">
        <w:t xml:space="preserve">ne vėliau kaip 2019 m. sausio 1 d. </w:t>
      </w:r>
    </w:p>
    <w:p w:rsidR="00756E6F" w:rsidRDefault="00756E6F" w:rsidP="00756E6F">
      <w:pPr>
        <w:jc w:val="both"/>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756E6F" w:rsidRPr="002A0208" w:rsidTr="00CA3B51">
        <w:tc>
          <w:tcPr>
            <w:tcW w:w="9638" w:type="dxa"/>
            <w:tcBorders>
              <w:top w:val="nil"/>
              <w:left w:val="nil"/>
              <w:bottom w:val="nil"/>
              <w:right w:val="nil"/>
            </w:tcBorders>
            <w:shd w:val="clear" w:color="auto" w:fill="D9D9D9" w:themeFill="background1" w:themeFillShade="D9"/>
          </w:tcPr>
          <w:p w:rsidR="00756E6F" w:rsidRPr="00BD0CE2" w:rsidRDefault="00756E6F" w:rsidP="00BD0CE2">
            <w:pPr>
              <w:rPr>
                <w:rFonts w:asciiTheme="minorHAnsi" w:hAnsiTheme="minorHAnsi" w:cstheme="minorHAnsi"/>
                <w:b/>
                <w:color w:val="365F91" w:themeColor="accent1" w:themeShade="BF"/>
                <w:szCs w:val="24"/>
              </w:rPr>
            </w:pPr>
            <w:r w:rsidRPr="00BD0CE2">
              <w:rPr>
                <w:rFonts w:asciiTheme="minorHAnsi" w:hAnsiTheme="minorHAnsi" w:cstheme="minorHAnsi"/>
                <w:b/>
                <w:color w:val="365F91" w:themeColor="accent1" w:themeShade="BF"/>
                <w:szCs w:val="24"/>
              </w:rPr>
              <w:t>Siūlymas Vidaus reikalų ministerijai:</w:t>
            </w:r>
          </w:p>
          <w:p w:rsidR="00756E6F" w:rsidRPr="00B01A21" w:rsidRDefault="00BD0CE2" w:rsidP="00BD0CE2">
            <w:pPr>
              <w:rPr>
                <w:szCs w:val="24"/>
              </w:rPr>
            </w:pPr>
            <w:r>
              <w:rPr>
                <w:rFonts w:asciiTheme="minorHAnsi" w:hAnsiTheme="minorHAnsi" w:cstheme="minorHAnsi"/>
                <w:b/>
                <w:color w:val="365F91" w:themeColor="accent1" w:themeShade="BF"/>
                <w:szCs w:val="24"/>
              </w:rPr>
              <w:t xml:space="preserve">- </w:t>
            </w:r>
            <w:r w:rsidR="00EA6699" w:rsidRPr="00BD0CE2">
              <w:rPr>
                <w:rFonts w:asciiTheme="minorHAnsi" w:hAnsiTheme="minorHAnsi" w:cstheme="minorHAnsi"/>
                <w:b/>
                <w:color w:val="365F91" w:themeColor="accent1" w:themeShade="BF"/>
                <w:szCs w:val="24"/>
              </w:rPr>
              <w:t xml:space="preserve">Iki </w:t>
            </w:r>
            <w:r>
              <w:rPr>
                <w:rFonts w:asciiTheme="minorHAnsi" w:hAnsiTheme="minorHAnsi" w:cstheme="minorHAnsi"/>
                <w:b/>
                <w:color w:val="365F91" w:themeColor="accent1" w:themeShade="BF"/>
                <w:szCs w:val="24"/>
              </w:rPr>
              <w:t>2018 m. gruodžio 31 d.</w:t>
            </w:r>
            <w:r w:rsidR="00EA6699" w:rsidRPr="00BD0CE2">
              <w:rPr>
                <w:rFonts w:asciiTheme="minorHAnsi" w:hAnsiTheme="minorHAnsi" w:cstheme="minorHAnsi"/>
                <w:b/>
                <w:color w:val="365F91" w:themeColor="accent1" w:themeShade="BF"/>
                <w:szCs w:val="24"/>
              </w:rPr>
              <w:t xml:space="preserve"> pakeisti Vietos plėtros strategijų atrankos ir įgyvendinimo taisykles</w:t>
            </w:r>
            <w:r w:rsidR="00777EBF" w:rsidRPr="00BD0CE2">
              <w:rPr>
                <w:rFonts w:asciiTheme="minorHAnsi" w:hAnsiTheme="minorHAnsi" w:cstheme="minorHAnsi"/>
                <w:b/>
                <w:color w:val="365F91" w:themeColor="accent1" w:themeShade="BF"/>
                <w:szCs w:val="24"/>
              </w:rPr>
              <w:t xml:space="preserve"> ir vietos plėtros projektų finansavimo sąlygas bei paskelbti</w:t>
            </w:r>
            <w:r w:rsidR="00B01A21" w:rsidRPr="00BD0CE2">
              <w:rPr>
                <w:rFonts w:asciiTheme="minorHAnsi" w:hAnsiTheme="minorHAnsi" w:cstheme="minorHAnsi"/>
                <w:b/>
                <w:color w:val="365F91" w:themeColor="accent1" w:themeShade="BF"/>
                <w:szCs w:val="24"/>
              </w:rPr>
              <w:t xml:space="preserve"> kvietimą teikti paraiškas pagal naujas (supaprastintas) vietos plėtros projektų finansavimo sąlygas.</w:t>
            </w:r>
            <w:r w:rsidR="00EA6699" w:rsidRPr="00B01A21">
              <w:rPr>
                <w:color w:val="17365D" w:themeColor="text2" w:themeShade="BF"/>
                <w:szCs w:val="24"/>
              </w:rPr>
              <w:t xml:space="preserve"> </w:t>
            </w:r>
          </w:p>
        </w:tc>
      </w:tr>
    </w:tbl>
    <w:p w:rsidR="00915620" w:rsidRDefault="00915620" w:rsidP="00915620">
      <w:pPr>
        <w:jc w:val="both"/>
        <w:rPr>
          <w:rFonts w:asciiTheme="minorHAnsi" w:eastAsia="AngsanaUPC" w:hAnsiTheme="minorHAnsi" w:cstheme="minorHAnsi"/>
          <w:bCs/>
          <w:iCs/>
          <w:lang w:eastAsia="lt-LT"/>
        </w:rPr>
      </w:pPr>
    </w:p>
    <w:p w:rsidR="00756E6F" w:rsidRDefault="00756E6F" w:rsidP="00BD0CE2">
      <w:pPr>
        <w:pStyle w:val="tekstas"/>
      </w:pPr>
      <w:r w:rsidRPr="00915620">
        <w:t xml:space="preserve">Pagal Sveikatos apsaugos ministerijos administruojamas priemones 2018 m. pasiektas proveržis ligų prevencijos srityje: pradėti įgyvendinti visi į prevenciją </w:t>
      </w:r>
      <w:r w:rsidR="00E2583B">
        <w:t>ir sveikatos raštingumo didinimą</w:t>
      </w:r>
      <w:r w:rsidRPr="00915620">
        <w:t xml:space="preserve"> orientuoti savivaldybių projektai</w:t>
      </w:r>
      <w:r w:rsidR="00E2583B">
        <w:t>,</w:t>
      </w:r>
      <w:r w:rsidRPr="00915620">
        <w:t xml:space="preserve"> Sveikatos mokymų ir ligų prevencijos centro pirmosios pagalbos mokymų projektas. </w:t>
      </w:r>
      <w:r w:rsidR="00E46030" w:rsidRPr="00915620">
        <w:t xml:space="preserve">Vis dėlto, lieka nesuplanuota didelė dalis </w:t>
      </w:r>
      <w:r w:rsidR="00E46030">
        <w:t xml:space="preserve">ESF </w:t>
      </w:r>
      <w:r w:rsidR="00E46030" w:rsidRPr="00915620">
        <w:t>lėšų</w:t>
      </w:r>
      <w:r w:rsidR="00E46030">
        <w:t>, dėl kurių vyksta parengiamieji darbai.</w:t>
      </w:r>
      <w:r w:rsidR="00E46030" w:rsidRPr="00E46030">
        <w:t xml:space="preserve"> </w:t>
      </w:r>
      <w:r w:rsidR="00E46030">
        <w:t xml:space="preserve">Pažymėtina, kad </w:t>
      </w:r>
      <w:r w:rsidR="00E46030" w:rsidRPr="00E46030">
        <w:t xml:space="preserve">po konsultacijų su EK, inicijuojamas Veiksmų programos keitimas – gydytojų rezidentų </w:t>
      </w:r>
      <w:proofErr w:type="spellStart"/>
      <w:r w:rsidR="00E46030" w:rsidRPr="00E46030">
        <w:t>etapinių</w:t>
      </w:r>
      <w:proofErr w:type="spellEnd"/>
      <w:r w:rsidR="00E46030" w:rsidRPr="00E46030">
        <w:t xml:space="preserve"> (pakopinių) kompetencijų modeliui įgyvendinti suplanuotos lėšos </w:t>
      </w:r>
      <w:r w:rsidR="002F39D9">
        <w:t>(6,8 mln. ES lėšų</w:t>
      </w:r>
      <w:r w:rsidR="00BD0CE2">
        <w:t>) bus perkeliamos</w:t>
      </w:r>
      <w:r w:rsidR="00E46030" w:rsidRPr="00E46030">
        <w:t xml:space="preserve"> iš 8 į </w:t>
      </w:r>
      <w:r w:rsidR="00BD0CE2">
        <w:t>Švietimo ir mokslo ministerijos administruojamą 9 prioritetą</w:t>
      </w:r>
      <w:r w:rsidR="00E46030" w:rsidRPr="00E46030">
        <w:t>.</w:t>
      </w:r>
    </w:p>
    <w:p w:rsidR="00756E6F" w:rsidRPr="00CC747E" w:rsidRDefault="002F39D9" w:rsidP="00CC747E">
      <w:pPr>
        <w:pStyle w:val="tekstas"/>
      </w:pPr>
      <w:r w:rsidRPr="002F39D9">
        <w:t>Didžioji dalis ,,kietųjų“</w:t>
      </w:r>
      <w:r w:rsidR="00BD0CE2">
        <w:t xml:space="preserve"> Sveikatos apsaugos ministerijos</w:t>
      </w:r>
      <w:r w:rsidRPr="002F39D9">
        <w:t xml:space="preserve"> investicijų suplanuota, per III </w:t>
      </w:r>
      <w:proofErr w:type="spellStart"/>
      <w:r w:rsidRPr="002F39D9">
        <w:t>ketv</w:t>
      </w:r>
      <w:proofErr w:type="spellEnd"/>
      <w:r w:rsidRPr="002F39D9">
        <w:t xml:space="preserve">. į valstybės projektų sąrašus įtraukti projektai, skirti infrastruktūros atnaujinimui priklausomybės ir onkologinių ligų srityse. </w:t>
      </w:r>
      <w:r w:rsidR="00756E6F" w:rsidRPr="00915620">
        <w:t xml:space="preserve">Taip pat, pirminės asmens sveikatos priežiūros srityje sudaryta regionų projektų sąrašų už 23,4 mln. ES lėšų. </w:t>
      </w:r>
      <w:r w:rsidRPr="002F39D9">
        <w:t xml:space="preserve"> Siekiant užtikrinti suplanuotų investicijų branduolinės </w:t>
      </w:r>
      <w:r w:rsidRPr="002F39D9">
        <w:lastRenderedPageBreak/>
        <w:t>medicinos srityje atitiktį valstybės pagalbos reglamentavimui, pradedami parengiamieji darbai, siekiant inicijuoti valstybės pagalbos schemos derinimą su EK.</w:t>
      </w:r>
    </w:p>
    <w:p w:rsidR="002E6890" w:rsidRDefault="002E6890" w:rsidP="002E6890">
      <w:pPr>
        <w:jc w:val="both"/>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2E6890" w:rsidRPr="002A0208" w:rsidTr="00CA3B51">
        <w:tc>
          <w:tcPr>
            <w:tcW w:w="9638" w:type="dxa"/>
            <w:tcBorders>
              <w:top w:val="nil"/>
              <w:left w:val="nil"/>
              <w:bottom w:val="nil"/>
              <w:right w:val="nil"/>
            </w:tcBorders>
            <w:shd w:val="clear" w:color="auto" w:fill="D9D9D9" w:themeFill="background1" w:themeFillShade="D9"/>
          </w:tcPr>
          <w:p w:rsidR="002E6890" w:rsidRPr="00CC747E" w:rsidRDefault="002E6890" w:rsidP="002E6890">
            <w:pPr>
              <w:jc w:val="both"/>
              <w:rPr>
                <w:rFonts w:asciiTheme="minorHAnsi" w:hAnsiTheme="minorHAnsi" w:cstheme="minorHAnsi"/>
                <w:b/>
                <w:color w:val="365F91" w:themeColor="accent1" w:themeShade="BF"/>
                <w:szCs w:val="24"/>
              </w:rPr>
            </w:pPr>
            <w:r w:rsidRPr="00CC747E">
              <w:rPr>
                <w:rFonts w:asciiTheme="minorHAnsi" w:hAnsiTheme="minorHAnsi" w:cstheme="minorHAnsi"/>
                <w:b/>
                <w:color w:val="365F91" w:themeColor="accent1" w:themeShade="BF"/>
                <w:szCs w:val="24"/>
              </w:rPr>
              <w:t>Siūlymas Sveikatos apsaugos ministerijai:</w:t>
            </w:r>
          </w:p>
          <w:p w:rsidR="002F39D9" w:rsidRPr="00CC747E" w:rsidRDefault="00CC747E" w:rsidP="00CC747E">
            <w:pPr>
              <w:jc w:val="both"/>
              <w:rPr>
                <w:rFonts w:asciiTheme="minorHAnsi" w:hAnsiTheme="minorHAnsi" w:cstheme="minorHAnsi"/>
                <w:b/>
                <w:color w:val="365F91" w:themeColor="accent1" w:themeShade="BF"/>
                <w:szCs w:val="24"/>
              </w:rPr>
            </w:pPr>
            <w:r>
              <w:rPr>
                <w:rFonts w:asciiTheme="minorHAnsi" w:hAnsiTheme="minorHAnsi" w:cstheme="minorHAnsi"/>
                <w:b/>
                <w:color w:val="365F91" w:themeColor="accent1" w:themeShade="BF"/>
                <w:szCs w:val="24"/>
              </w:rPr>
              <w:t xml:space="preserve">- Iki 2018 m. lapkričio </w:t>
            </w:r>
            <w:r w:rsidR="00A77219">
              <w:rPr>
                <w:rFonts w:asciiTheme="minorHAnsi" w:hAnsiTheme="minorHAnsi" w:cstheme="minorHAnsi"/>
                <w:b/>
                <w:color w:val="365F91" w:themeColor="accent1" w:themeShade="BF"/>
                <w:szCs w:val="24"/>
              </w:rPr>
              <w:t>12</w:t>
            </w:r>
            <w:r>
              <w:rPr>
                <w:rFonts w:asciiTheme="minorHAnsi" w:hAnsiTheme="minorHAnsi" w:cstheme="minorHAnsi"/>
                <w:b/>
                <w:color w:val="365F91" w:themeColor="accent1" w:themeShade="BF"/>
                <w:szCs w:val="24"/>
              </w:rPr>
              <w:t xml:space="preserve"> d.</w:t>
            </w:r>
            <w:r w:rsidR="002F39D9" w:rsidRPr="00CC747E">
              <w:rPr>
                <w:rFonts w:asciiTheme="minorHAnsi" w:hAnsiTheme="minorHAnsi" w:cstheme="minorHAnsi"/>
                <w:b/>
                <w:color w:val="365F91" w:themeColor="accent1" w:themeShade="BF"/>
                <w:szCs w:val="24"/>
              </w:rPr>
              <w:t xml:space="preserve"> suderinus su Konkurencijos taryba pateikti EK derinti valstybės pagalbos schemą dėl branduolinės medicinos centro (</w:t>
            </w:r>
            <w:proofErr w:type="spellStart"/>
            <w:r w:rsidR="002F39D9" w:rsidRPr="00CC747E">
              <w:rPr>
                <w:rFonts w:asciiTheme="minorHAnsi" w:hAnsiTheme="minorHAnsi" w:cstheme="minorHAnsi"/>
                <w:b/>
                <w:color w:val="365F91" w:themeColor="accent1" w:themeShade="BF"/>
                <w:szCs w:val="24"/>
              </w:rPr>
              <w:t>ciklotrono</w:t>
            </w:r>
            <w:proofErr w:type="spellEnd"/>
            <w:r w:rsidR="002F39D9" w:rsidRPr="00CC747E">
              <w:rPr>
                <w:rFonts w:asciiTheme="minorHAnsi" w:hAnsiTheme="minorHAnsi" w:cstheme="minorHAnsi"/>
                <w:b/>
                <w:color w:val="365F91" w:themeColor="accent1" w:themeShade="BF"/>
                <w:szCs w:val="24"/>
              </w:rPr>
              <w:t>) įkūrimo siekiant EK sprendimą gauti ne vėliau kaip 2019 m. liepos 1 d.</w:t>
            </w:r>
          </w:p>
          <w:p w:rsidR="002E6890" w:rsidRPr="00CC747E" w:rsidRDefault="00CC747E" w:rsidP="00CC747E">
            <w:pPr>
              <w:jc w:val="both"/>
              <w:rPr>
                <w:rFonts w:asciiTheme="minorHAnsi" w:hAnsiTheme="minorHAnsi" w:cstheme="minorHAnsi"/>
                <w:b/>
                <w:color w:val="365F91" w:themeColor="accent1" w:themeShade="BF"/>
                <w:szCs w:val="24"/>
              </w:rPr>
            </w:pPr>
            <w:r>
              <w:rPr>
                <w:rFonts w:asciiTheme="minorHAnsi" w:hAnsiTheme="minorHAnsi" w:cstheme="minorHAnsi"/>
                <w:b/>
                <w:color w:val="365F91" w:themeColor="accent1" w:themeShade="BF"/>
                <w:szCs w:val="24"/>
              </w:rPr>
              <w:t>- Iki 2018 m. lapkričio 30 d.</w:t>
            </w:r>
            <w:r w:rsidR="00E2583B" w:rsidRPr="00CC747E">
              <w:rPr>
                <w:rFonts w:asciiTheme="minorHAnsi" w:hAnsiTheme="minorHAnsi" w:cstheme="minorHAnsi"/>
                <w:b/>
                <w:color w:val="365F91" w:themeColor="accent1" w:themeShade="BF"/>
                <w:szCs w:val="24"/>
              </w:rPr>
              <w:t xml:space="preserve"> patvirtinti priemonę, skirtą</w:t>
            </w:r>
            <w:r w:rsidR="002E6890" w:rsidRPr="00CC747E">
              <w:rPr>
                <w:rFonts w:asciiTheme="minorHAnsi" w:hAnsiTheme="minorHAnsi" w:cstheme="minorHAnsi"/>
                <w:b/>
                <w:color w:val="365F91" w:themeColor="accent1" w:themeShade="BF"/>
                <w:szCs w:val="24"/>
              </w:rPr>
              <w:t xml:space="preserve"> </w:t>
            </w:r>
            <w:proofErr w:type="spellStart"/>
            <w:r w:rsidR="002E6890" w:rsidRPr="00CC747E">
              <w:rPr>
                <w:rFonts w:asciiTheme="minorHAnsi" w:hAnsiTheme="minorHAnsi" w:cstheme="minorHAnsi"/>
                <w:b/>
                <w:color w:val="365F91" w:themeColor="accent1" w:themeShade="BF"/>
                <w:szCs w:val="24"/>
              </w:rPr>
              <w:t>inovatyvių</w:t>
            </w:r>
            <w:proofErr w:type="spellEnd"/>
            <w:r w:rsidR="002E6890" w:rsidRPr="00CC747E">
              <w:rPr>
                <w:rFonts w:asciiTheme="minorHAnsi" w:hAnsiTheme="minorHAnsi" w:cstheme="minorHAnsi"/>
                <w:b/>
                <w:color w:val="365F91" w:themeColor="accent1" w:themeShade="BF"/>
                <w:szCs w:val="24"/>
              </w:rPr>
              <w:t xml:space="preserve"> ir efektyvių paslaugų teikimo modelių atrinkimui ir įdiegimui bei specialistų komandų mokymui.</w:t>
            </w:r>
          </w:p>
          <w:p w:rsidR="002E6890" w:rsidRPr="00CC747E" w:rsidRDefault="00CC747E" w:rsidP="00CC747E">
            <w:pPr>
              <w:jc w:val="both"/>
              <w:rPr>
                <w:rFonts w:asciiTheme="minorHAnsi" w:hAnsiTheme="minorHAnsi" w:cstheme="minorHAnsi"/>
                <w:b/>
                <w:color w:val="365F91" w:themeColor="accent1" w:themeShade="BF"/>
                <w:szCs w:val="24"/>
              </w:rPr>
            </w:pPr>
            <w:r>
              <w:rPr>
                <w:rFonts w:asciiTheme="minorHAnsi" w:hAnsiTheme="minorHAnsi" w:cstheme="minorHAnsi"/>
                <w:b/>
                <w:color w:val="365F91" w:themeColor="accent1" w:themeShade="BF"/>
                <w:szCs w:val="24"/>
              </w:rPr>
              <w:t>- Iki 2019 m. sausio 31 d.</w:t>
            </w:r>
            <w:r w:rsidR="002E6890" w:rsidRPr="00CC747E">
              <w:rPr>
                <w:rFonts w:asciiTheme="minorHAnsi" w:hAnsiTheme="minorHAnsi" w:cstheme="minorHAnsi"/>
                <w:b/>
                <w:color w:val="365F91" w:themeColor="accent1" w:themeShade="BF"/>
                <w:szCs w:val="24"/>
              </w:rPr>
              <w:t xml:space="preserve"> </w:t>
            </w:r>
            <w:r w:rsidR="00F746E9" w:rsidRPr="00CC747E">
              <w:rPr>
                <w:rFonts w:asciiTheme="minorHAnsi" w:hAnsiTheme="minorHAnsi" w:cstheme="minorHAnsi"/>
                <w:b/>
                <w:color w:val="365F91" w:themeColor="accent1" w:themeShade="BF"/>
                <w:szCs w:val="24"/>
              </w:rPr>
              <w:t>į projektų sąrašus įtraukti</w:t>
            </w:r>
            <w:r w:rsidR="002E6890" w:rsidRPr="00CC747E">
              <w:rPr>
                <w:rFonts w:asciiTheme="minorHAnsi" w:hAnsiTheme="minorHAnsi" w:cstheme="minorHAnsi"/>
                <w:b/>
                <w:color w:val="365F91" w:themeColor="accent1" w:themeShade="BF"/>
                <w:szCs w:val="24"/>
              </w:rPr>
              <w:t xml:space="preserve"> visus </w:t>
            </w:r>
            <w:r w:rsidR="00F746E9" w:rsidRPr="00CC747E">
              <w:rPr>
                <w:rFonts w:asciiTheme="minorHAnsi" w:hAnsiTheme="minorHAnsi" w:cstheme="minorHAnsi"/>
                <w:b/>
                <w:color w:val="365F91" w:themeColor="accent1" w:themeShade="BF"/>
                <w:szCs w:val="24"/>
              </w:rPr>
              <w:t>ESF</w:t>
            </w:r>
            <w:r w:rsidR="002E6890" w:rsidRPr="00CC747E">
              <w:rPr>
                <w:rFonts w:asciiTheme="minorHAnsi" w:hAnsiTheme="minorHAnsi" w:cstheme="minorHAnsi"/>
                <w:b/>
                <w:color w:val="365F91" w:themeColor="accent1" w:themeShade="BF"/>
                <w:szCs w:val="24"/>
              </w:rPr>
              <w:t xml:space="preserve"> lėšomis finansuojamus onkologinių ligų prevencinių programų efektyvumo didinimo, sveiko maisto gaminimo mokymų ir racionalaus vaistų vartojimo projektus.</w:t>
            </w:r>
          </w:p>
        </w:tc>
      </w:tr>
    </w:tbl>
    <w:p w:rsidR="007E21B7" w:rsidRDefault="007E21B7" w:rsidP="007E21B7">
      <w:pPr>
        <w:jc w:val="both"/>
      </w:pPr>
    </w:p>
    <w:p w:rsidR="007D1FA1" w:rsidRDefault="00CC747E" w:rsidP="00CC747E">
      <w:pPr>
        <w:pStyle w:val="tekstas"/>
      </w:pPr>
      <w:r>
        <w:t>Šio prioriteto ERPF lėšas taip pat administruoja ir Vidaus reikalų ministerija. Todėl l</w:t>
      </w:r>
      <w:r w:rsidR="007E21B7" w:rsidRPr="003062BD">
        <w:t>abai svarbu</w:t>
      </w:r>
      <w:r w:rsidR="007D1FA1">
        <w:t xml:space="preserve">, kad </w:t>
      </w:r>
      <w:r w:rsidR="007E21B7">
        <w:t>Vidaus reikalų ministerija</w:t>
      </w:r>
      <w:r w:rsidR="007D1FA1">
        <w:t xml:space="preserve"> ir toliau</w:t>
      </w:r>
      <w:r w:rsidR="007E21B7">
        <w:t xml:space="preserve"> </w:t>
      </w:r>
      <w:r w:rsidR="007E21B7" w:rsidRPr="00A7599E">
        <w:t>glaudžiai bendradarbiaut</w:t>
      </w:r>
      <w:r w:rsidR="007D1FA1">
        <w:t>ų</w:t>
      </w:r>
      <w:r w:rsidR="007E21B7" w:rsidRPr="00A7599E">
        <w:t xml:space="preserve"> su atitinkamų savivaldybių</w:t>
      </w:r>
      <w:r w:rsidR="007D1FA1">
        <w:t xml:space="preserve"> administracijomis, </w:t>
      </w:r>
      <w:r>
        <w:t>ieškant problemų sprendimo būd</w:t>
      </w:r>
      <w:r w:rsidR="007E21B7" w:rsidRPr="00A7599E">
        <w:t xml:space="preserve">ų, kad projektai būtų </w:t>
      </w:r>
      <w:r w:rsidR="007D1FA1">
        <w:t xml:space="preserve">įgyvendinami sparčiau ar </w:t>
      </w:r>
      <w:r>
        <w:t xml:space="preserve">būtų </w:t>
      </w:r>
      <w:r w:rsidR="007E21B7" w:rsidRPr="00A7599E">
        <w:t>pradėti vykdyti</w:t>
      </w:r>
      <w:r w:rsidR="007D1FA1">
        <w:t>.</w:t>
      </w:r>
    </w:p>
    <w:p w:rsidR="00CC747E" w:rsidRDefault="00CC747E" w:rsidP="00CC747E">
      <w:pPr>
        <w:pStyle w:val="tekstas"/>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CC747E" w:rsidRPr="002A0208" w:rsidTr="00252FF3">
        <w:tc>
          <w:tcPr>
            <w:tcW w:w="9638" w:type="dxa"/>
            <w:tcBorders>
              <w:top w:val="nil"/>
              <w:left w:val="nil"/>
              <w:bottom w:val="nil"/>
              <w:right w:val="nil"/>
            </w:tcBorders>
            <w:shd w:val="clear" w:color="auto" w:fill="D9D9D9" w:themeFill="background1" w:themeFillShade="D9"/>
          </w:tcPr>
          <w:p w:rsidR="00CC747E" w:rsidRPr="00CC747E" w:rsidRDefault="00CC747E" w:rsidP="00CC747E">
            <w:pPr>
              <w:jc w:val="both"/>
              <w:rPr>
                <w:rFonts w:asciiTheme="minorHAnsi" w:hAnsiTheme="minorHAnsi" w:cstheme="minorHAnsi"/>
                <w:b/>
                <w:color w:val="365F91" w:themeColor="accent1" w:themeShade="BF"/>
                <w:szCs w:val="24"/>
              </w:rPr>
            </w:pPr>
            <w:r w:rsidRPr="00CC747E">
              <w:rPr>
                <w:rFonts w:asciiTheme="minorHAnsi" w:hAnsiTheme="minorHAnsi" w:cstheme="minorHAnsi"/>
                <w:b/>
                <w:color w:val="365F91" w:themeColor="accent1" w:themeShade="BF"/>
                <w:szCs w:val="24"/>
              </w:rPr>
              <w:t>Siūlymas Vidaus reikalų ministerijai:</w:t>
            </w:r>
          </w:p>
          <w:p w:rsidR="00CC747E" w:rsidRPr="00CC747E" w:rsidRDefault="00CC747E" w:rsidP="00CC747E">
            <w:pPr>
              <w:jc w:val="both"/>
              <w:rPr>
                <w:rFonts w:asciiTheme="minorHAnsi" w:hAnsiTheme="minorHAnsi" w:cstheme="minorHAnsi"/>
                <w:b/>
                <w:color w:val="365F91" w:themeColor="accent1" w:themeShade="BF"/>
                <w:szCs w:val="24"/>
              </w:rPr>
            </w:pPr>
            <w:r>
              <w:rPr>
                <w:rFonts w:asciiTheme="minorHAnsi" w:hAnsiTheme="minorHAnsi" w:cstheme="minorHAnsi"/>
                <w:b/>
                <w:color w:val="365F91" w:themeColor="accent1" w:themeShade="BF"/>
                <w:szCs w:val="24"/>
              </w:rPr>
              <w:t xml:space="preserve">- </w:t>
            </w:r>
            <w:r w:rsidRPr="00CC747E">
              <w:rPr>
                <w:rFonts w:asciiTheme="minorHAnsi" w:hAnsiTheme="minorHAnsi" w:cstheme="minorHAnsi"/>
                <w:b/>
                <w:color w:val="365F91" w:themeColor="accent1" w:themeShade="BF"/>
                <w:szCs w:val="24"/>
              </w:rPr>
              <w:t>Spartinti mokėjimus pagal priemonę, skirtą kaimo gyvenamųjų vietovių atnaujinimui, glaudžiai bendradarbiaujant su atitinkamų savivaldybių administracijomis ir ieškant būdų, kad prasidėtų ar spartėtų projektų įgyvendinimas.</w:t>
            </w:r>
          </w:p>
        </w:tc>
      </w:tr>
    </w:tbl>
    <w:p w:rsidR="00E96A0C" w:rsidRDefault="00CC747E" w:rsidP="00E96A0C">
      <w:pPr>
        <w:pStyle w:val="antrat3zz"/>
      </w:pPr>
      <w:bookmarkStart w:id="26" w:name="_Toc512504085"/>
      <w:bookmarkStart w:id="27" w:name="_Toc528660899"/>
      <w:r>
        <w:t>9</w:t>
      </w:r>
      <w:r w:rsidR="00E96A0C">
        <w:t xml:space="preserve"> prioritetas. Visuomenės švietimas ir žmogiškųjų išteklių potencialo didinimas</w:t>
      </w:r>
      <w:bookmarkEnd w:id="26"/>
      <w:bookmarkEnd w:id="27"/>
    </w:p>
    <w:p w:rsidR="00F32F3D" w:rsidRDefault="00454858" w:rsidP="00F32F3D">
      <w:pPr>
        <w:pStyle w:val="tekstas"/>
      </w:pPr>
      <w:r w:rsidRPr="00F32F3D">
        <w:t>Švietimo ir mokslo ministerij</w:t>
      </w:r>
      <w:r w:rsidR="00F32F3D">
        <w:t>os administruojamoje ERPF dalyje – dar nepasiektas, tačiau pagal prognozes planuojama, kad jis bus pasiektas.</w:t>
      </w:r>
      <w:r w:rsidR="00864154">
        <w:t xml:space="preserve"> ESF dalyje jau yra pripažinta deklaruotinomis lėšų pakankamai, kad būtų pasiektas veiklos peržiūros rodiklis, tačiau 4,2 mln. </w:t>
      </w:r>
      <w:r w:rsidR="000B7F6C">
        <w:t>eurų</w:t>
      </w:r>
      <w:r w:rsidR="00864154">
        <w:t xml:space="preserve"> šiame prioritete kol kas negali būti deklaruojami dėl EK audito pastabų. Jei ši suma nebus deklaruota, veiklos peržiūros rodiklis nebus pasiektas. </w:t>
      </w:r>
      <w:r w:rsidR="00F32F3D">
        <w:t xml:space="preserve"> </w:t>
      </w:r>
    </w:p>
    <w:p w:rsidR="001554A6" w:rsidRPr="00F32F3D" w:rsidRDefault="00454858" w:rsidP="00F32F3D">
      <w:pPr>
        <w:pStyle w:val="tekstas"/>
      </w:pPr>
      <w:r w:rsidRPr="00F32F3D">
        <w:t>Švietimo ir mokslo ministerija per paskutinį ketvirtį padarė investicijų ir joms reikalingų teisės aktų rengimo ir tvirtinimo pažangą, tačiau dalis teisės aktų dar rengiama. Bendrojo ugdymo srityje nepatvirtinti</w:t>
      </w:r>
      <w:r w:rsidR="00BB794D" w:rsidRPr="00F32F3D">
        <w:t xml:space="preserve"> įsakymai, reglamentuojantys mokinių pasiekimų kaupiamojo vertinimo sampratą ir ikimokyklinio ir priešmokyklinio ugdymo programas vykdančių mokyklų veiklos kokybės išorinio vertinimo organizavimo ir vykdymo tvarką. </w:t>
      </w:r>
      <w:r w:rsidR="00F32F3D">
        <w:t>Profesinio švietimo srityje –</w:t>
      </w:r>
      <w:r w:rsidR="001554A6" w:rsidRPr="00F32F3D">
        <w:t xml:space="preserve"> asmens įgytų kompetencijų vertinimo tvarka ir reikalavimai institucijoms. </w:t>
      </w:r>
    </w:p>
    <w:p w:rsidR="001554A6" w:rsidRPr="00F32F3D" w:rsidRDefault="001554A6" w:rsidP="00F32F3D">
      <w:pPr>
        <w:pStyle w:val="tekstas"/>
      </w:pPr>
      <w:r w:rsidRPr="00F32F3D">
        <w:t>Žymesni vėlavimai aukštojo mokslo srityje, kur tebe</w:t>
      </w:r>
      <w:r w:rsidR="00BB794D" w:rsidRPr="00F32F3D">
        <w:t xml:space="preserve">laukiama LR Seimo nutarimų dėl aukštųjų mokyklų jungimosi. Atitinkamai vėluoja ir Seimo nutarimų dėl </w:t>
      </w:r>
      <w:r w:rsidRPr="00F32F3D">
        <w:t xml:space="preserve">aukštojo mokslo </w:t>
      </w:r>
      <w:r w:rsidR="00BB794D" w:rsidRPr="00F32F3D">
        <w:t>reorganizavimo sąlygų ir universitetų statutų ir kitų teisės aktų tvirtinimas</w:t>
      </w:r>
      <w:r w:rsidRPr="00F32F3D">
        <w:t xml:space="preserve">. Galutinių sprendimų nepriėmimas dėl universitetų konsolidavimo stabdo investicijas. </w:t>
      </w:r>
    </w:p>
    <w:p w:rsidR="00265A85" w:rsidRPr="00F32F3D" w:rsidRDefault="00265A85" w:rsidP="00F32F3D">
      <w:pPr>
        <w:pStyle w:val="tekstas"/>
      </w:pPr>
      <w:r w:rsidRPr="00F32F3D">
        <w:t xml:space="preserve">2018 m. rugsėjo 9 d. </w:t>
      </w:r>
      <w:r w:rsidR="00481719" w:rsidRPr="00F32F3D">
        <w:t>baigtas</w:t>
      </w:r>
      <w:r w:rsidRPr="00F32F3D">
        <w:t xml:space="preserve"> </w:t>
      </w:r>
      <w:r w:rsidR="00024153" w:rsidRPr="00F32F3D">
        <w:t>2014</w:t>
      </w:r>
      <w:r w:rsidR="007D1FA1" w:rsidRPr="00F32F3D">
        <w:rPr>
          <w:rFonts w:eastAsiaTheme="minorHAnsi"/>
        </w:rPr>
        <w:t>–</w:t>
      </w:r>
      <w:r w:rsidR="00024153" w:rsidRPr="00F32F3D">
        <w:t>2020 m. ES fondų investicijų į mok</w:t>
      </w:r>
      <w:r w:rsidR="00F32F3D">
        <w:t>ymąsi visą gyvenimą tinkamumo ir</w:t>
      </w:r>
      <w:r w:rsidR="00024153" w:rsidRPr="00F32F3D">
        <w:t xml:space="preserve"> suderinamumo vertinim</w:t>
      </w:r>
      <w:r w:rsidR="00481719" w:rsidRPr="00F32F3D">
        <w:t>as</w:t>
      </w:r>
      <w:r w:rsidR="00024153" w:rsidRPr="00F32F3D">
        <w:t>, kuri</w:t>
      </w:r>
      <w:r w:rsidR="00481719" w:rsidRPr="00F32F3D">
        <w:t>ame</w:t>
      </w:r>
      <w:r w:rsidR="00024153" w:rsidRPr="00F32F3D">
        <w:t xml:space="preserve"> nurodomos svarbiausios sritys, kuriose būtini pokyčiai</w:t>
      </w:r>
      <w:r w:rsidR="007D1FA1" w:rsidRPr="00F32F3D">
        <w:t>, kad Lietu</w:t>
      </w:r>
      <w:r w:rsidR="00481719" w:rsidRPr="00F32F3D">
        <w:t>vo</w:t>
      </w:r>
      <w:r w:rsidR="007D1FA1" w:rsidRPr="00F32F3D">
        <w:t>s mokymosi visą gyvenimą rodikliai pradėtų augti</w:t>
      </w:r>
      <w:r w:rsidR="00024153" w:rsidRPr="00F32F3D">
        <w:t>.</w:t>
      </w:r>
      <w:r w:rsidR="007D1FA1" w:rsidRPr="00F32F3D">
        <w:t xml:space="preserve"> Vertinimo rekomendacijos liečia didelę dalį Švietimo ir mokslo ministerijos priemonių, taip pat pateikti strateginio pobūdžio pasiūlymai, į kuriuos būtina atsižvelgti. </w:t>
      </w:r>
      <w:r w:rsidR="00024153" w:rsidRPr="00F32F3D">
        <w:t xml:space="preserve"> </w:t>
      </w:r>
    </w:p>
    <w:p w:rsidR="00265A85" w:rsidRDefault="00265A85" w:rsidP="003B769B">
      <w:pPr>
        <w:pStyle w:val="tekstas"/>
        <w:ind w:firstLine="0"/>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F32F3D" w:rsidRPr="002A0208" w:rsidTr="00252FF3">
        <w:tc>
          <w:tcPr>
            <w:tcW w:w="9638" w:type="dxa"/>
            <w:tcBorders>
              <w:top w:val="nil"/>
              <w:left w:val="nil"/>
              <w:bottom w:val="nil"/>
              <w:right w:val="nil"/>
            </w:tcBorders>
            <w:shd w:val="clear" w:color="auto" w:fill="D9D9D9" w:themeFill="background1" w:themeFillShade="D9"/>
          </w:tcPr>
          <w:p w:rsidR="00F32F3D" w:rsidRPr="00F32F3D" w:rsidRDefault="00F32F3D" w:rsidP="00F32F3D">
            <w:pPr>
              <w:jc w:val="both"/>
              <w:rPr>
                <w:rFonts w:asciiTheme="minorHAnsi" w:hAnsiTheme="minorHAnsi" w:cstheme="minorHAnsi"/>
                <w:b/>
                <w:color w:val="365F91" w:themeColor="accent1" w:themeShade="BF"/>
                <w:szCs w:val="24"/>
              </w:rPr>
            </w:pPr>
            <w:r w:rsidRPr="00F32F3D">
              <w:rPr>
                <w:rFonts w:asciiTheme="minorHAnsi" w:hAnsiTheme="minorHAnsi" w:cstheme="minorHAnsi"/>
                <w:b/>
                <w:color w:val="365F91" w:themeColor="accent1" w:themeShade="BF"/>
                <w:szCs w:val="24"/>
              </w:rPr>
              <w:t>Siūlymas Švietimo ir mokslo ministerijai:</w:t>
            </w:r>
          </w:p>
          <w:p w:rsidR="00F32F3D" w:rsidRPr="00CC747E" w:rsidRDefault="00F32F3D" w:rsidP="00F32F3D">
            <w:pPr>
              <w:jc w:val="both"/>
              <w:rPr>
                <w:rFonts w:asciiTheme="minorHAnsi" w:hAnsiTheme="minorHAnsi" w:cstheme="minorHAnsi"/>
                <w:b/>
                <w:color w:val="365F91" w:themeColor="accent1" w:themeShade="BF"/>
                <w:szCs w:val="24"/>
              </w:rPr>
            </w:pPr>
            <w:r>
              <w:rPr>
                <w:rFonts w:asciiTheme="minorHAnsi" w:hAnsiTheme="minorHAnsi" w:cstheme="minorHAnsi"/>
                <w:b/>
                <w:color w:val="365F91" w:themeColor="accent1" w:themeShade="BF"/>
                <w:szCs w:val="24"/>
              </w:rPr>
              <w:t xml:space="preserve">- </w:t>
            </w:r>
            <w:r w:rsidRPr="00F32F3D">
              <w:rPr>
                <w:rFonts w:asciiTheme="minorHAnsi" w:hAnsiTheme="minorHAnsi" w:cstheme="minorHAnsi"/>
                <w:b/>
                <w:color w:val="365F91" w:themeColor="accent1" w:themeShade="BF"/>
                <w:szCs w:val="24"/>
              </w:rPr>
              <w:t xml:space="preserve">Aktyviai koordinuoti aukštųjų mokyklų jungimosi procesui reikalingų dokumentų rengimą, kad visi reikalingi Seimo sprendimai, kaip numatyta Švietimo ir mokslo ministerijos planuose, </w:t>
            </w:r>
            <w:r w:rsidRPr="00F32F3D">
              <w:rPr>
                <w:rFonts w:asciiTheme="minorHAnsi" w:hAnsiTheme="minorHAnsi" w:cstheme="minorHAnsi"/>
                <w:b/>
                <w:color w:val="365F91" w:themeColor="accent1" w:themeShade="BF"/>
                <w:szCs w:val="24"/>
              </w:rPr>
              <w:lastRenderedPageBreak/>
              <w:t xml:space="preserve">būtų priimti 2019 m. </w:t>
            </w:r>
          </w:p>
        </w:tc>
      </w:tr>
    </w:tbl>
    <w:p w:rsidR="008A0B3C" w:rsidRDefault="008A0B3C" w:rsidP="008A0B3C">
      <w:pPr>
        <w:pStyle w:val="tekstas"/>
        <w:ind w:firstLine="0"/>
        <w:jc w:val="left"/>
      </w:pPr>
      <w:bookmarkStart w:id="28" w:name="_Toc512504086"/>
    </w:p>
    <w:p w:rsidR="008A0B3C" w:rsidRPr="00F32F3D" w:rsidRDefault="008A0B3C" w:rsidP="00F32F3D">
      <w:pPr>
        <w:pStyle w:val="tekstas"/>
      </w:pPr>
      <w:r w:rsidRPr="00F32F3D">
        <w:t xml:space="preserve">Siekiant paspartinti Ūkio ministerijos administruojamas priemonės, peržiūrėtos priemonių „Kompetencijų vaučeris LT“ ir „Kompetencijos LT“ įgyvendinimo sąlygos. Siekiant padidinti pareiškėjų susidomėjimu priemone „Kompetencijų vaučeris LT“ </w:t>
      </w:r>
      <w:r w:rsidR="00CA13EA">
        <w:t xml:space="preserve">buvo peržiūrėti </w:t>
      </w:r>
      <w:r w:rsidRPr="00F32F3D">
        <w:t>priemonėje taikomi fiksuotieji įkainiai. Taip pat, siekiant pagerinti priemonės „Kompetencijos LT“ finansavimo sąlygas bei patrauklumą, peržiūrėtas priemonių įgyvendinimo planas bei Stebėsenos komitete patvirtinti atnaujinti minėtos priemonės projektų atrankos kriterijai.</w:t>
      </w:r>
    </w:p>
    <w:p w:rsidR="00E96A0C" w:rsidRDefault="00E96A0C" w:rsidP="00E96A0C">
      <w:pPr>
        <w:pStyle w:val="antrat3zz"/>
      </w:pPr>
      <w:bookmarkStart w:id="29" w:name="_Toc528660900"/>
      <w:r>
        <w:t>10 prioritetas. Visuomenės poreikius atitinkantis ir pažangus viešasis valdymas</w:t>
      </w:r>
      <w:bookmarkEnd w:id="28"/>
      <w:bookmarkEnd w:id="29"/>
    </w:p>
    <w:p w:rsidR="00E858AC" w:rsidRPr="00920A1F" w:rsidRDefault="00CA3B51" w:rsidP="00F32F3D">
      <w:pPr>
        <w:pStyle w:val="tekstas"/>
        <w:rPr>
          <w:rFonts w:eastAsiaTheme="minorHAnsi"/>
        </w:rPr>
      </w:pPr>
      <w:bookmarkStart w:id="30" w:name="_Toc473644133"/>
      <w:r>
        <w:rPr>
          <w:rFonts w:eastAsiaTheme="minorHAnsi"/>
        </w:rPr>
        <w:t>Per 2018 m. II</w:t>
      </w:r>
      <w:r w:rsidR="00E858AC" w:rsidRPr="00920A1F">
        <w:rPr>
          <w:rFonts w:eastAsiaTheme="minorHAnsi"/>
        </w:rPr>
        <w:t xml:space="preserve">–III </w:t>
      </w:r>
      <w:proofErr w:type="spellStart"/>
      <w:r w:rsidR="00E858AC" w:rsidRPr="00920A1F">
        <w:rPr>
          <w:rFonts w:eastAsiaTheme="minorHAnsi"/>
        </w:rPr>
        <w:t>ketv</w:t>
      </w:r>
      <w:proofErr w:type="spellEnd"/>
      <w:r w:rsidR="00E858AC" w:rsidRPr="00920A1F">
        <w:rPr>
          <w:rFonts w:eastAsiaTheme="minorHAnsi"/>
        </w:rPr>
        <w:t xml:space="preserve">. pasiektas esminis proveržis 10 prioritete, nes jau </w:t>
      </w:r>
      <w:r w:rsidR="00E858AC" w:rsidRPr="00920A1F">
        <w:rPr>
          <w:rFonts w:eastAsiaTheme="minorHAnsi"/>
          <w:bCs/>
        </w:rPr>
        <w:t>suplanuota 85 proc</w:t>
      </w:r>
      <w:r w:rsidR="00E775CC" w:rsidRPr="00920A1F">
        <w:rPr>
          <w:rFonts w:eastAsiaTheme="minorHAnsi"/>
          <w:bCs/>
        </w:rPr>
        <w:t>.</w:t>
      </w:r>
      <w:r w:rsidR="00E858AC" w:rsidRPr="00920A1F">
        <w:rPr>
          <w:rFonts w:eastAsiaTheme="minorHAnsi"/>
          <w:bCs/>
        </w:rPr>
        <w:t xml:space="preserve"> investicijų</w:t>
      </w:r>
      <w:r w:rsidR="004F7027">
        <w:rPr>
          <w:rFonts w:eastAsiaTheme="minorHAnsi"/>
        </w:rPr>
        <w:t xml:space="preserve"> (88 mln. eurų</w:t>
      </w:r>
      <w:r w:rsidR="00E858AC" w:rsidRPr="00920A1F">
        <w:rPr>
          <w:rFonts w:eastAsiaTheme="minorHAnsi"/>
        </w:rPr>
        <w:t>), pasirašyta sutarčių už</w:t>
      </w:r>
      <w:r w:rsidR="00E858AC" w:rsidRPr="00920A1F">
        <w:rPr>
          <w:rFonts w:eastAsiaTheme="minorHAnsi"/>
          <w:bCs/>
        </w:rPr>
        <w:t xml:space="preserve"> 67 proc. lėšų </w:t>
      </w:r>
      <w:r w:rsidR="00E858AC" w:rsidRPr="00920A1F">
        <w:rPr>
          <w:rFonts w:eastAsiaTheme="minorHAnsi"/>
        </w:rPr>
        <w:t>(</w:t>
      </w:r>
      <w:r w:rsidR="004F7027">
        <w:rPr>
          <w:rFonts w:eastAsiaTheme="minorHAnsi"/>
          <w:bCs/>
        </w:rPr>
        <w:t>74 mln. eurų</w:t>
      </w:r>
      <w:r w:rsidR="00E858AC" w:rsidRPr="00920A1F">
        <w:rPr>
          <w:rFonts w:eastAsiaTheme="minorHAnsi"/>
          <w:bCs/>
        </w:rPr>
        <w:t>)</w:t>
      </w:r>
      <w:r w:rsidR="00E858AC" w:rsidRPr="00920A1F">
        <w:rPr>
          <w:rFonts w:eastAsiaTheme="minorHAnsi"/>
        </w:rPr>
        <w:t xml:space="preserve">, </w:t>
      </w:r>
      <w:r w:rsidR="00AD3B54">
        <w:rPr>
          <w:rFonts w:eastAsiaTheme="minorHAnsi"/>
        </w:rPr>
        <w:t>kai</w:t>
      </w:r>
      <w:r w:rsidR="00E858AC" w:rsidRPr="00920A1F">
        <w:rPr>
          <w:rFonts w:eastAsiaTheme="minorHAnsi"/>
        </w:rPr>
        <w:t xml:space="preserve"> iki </w:t>
      </w:r>
      <w:r w:rsidR="00942897">
        <w:rPr>
          <w:rFonts w:eastAsiaTheme="minorHAnsi"/>
        </w:rPr>
        <w:t>2017 m. vidurio</w:t>
      </w:r>
      <w:r w:rsidR="00E858AC" w:rsidRPr="00920A1F">
        <w:rPr>
          <w:rFonts w:eastAsiaTheme="minorHAnsi"/>
        </w:rPr>
        <w:t xml:space="preserve"> buvo </w:t>
      </w:r>
      <w:r>
        <w:rPr>
          <w:rFonts w:eastAsiaTheme="minorHAnsi"/>
        </w:rPr>
        <w:t>atitinkamai 64 proc.</w:t>
      </w:r>
      <w:r w:rsidR="00E858AC" w:rsidRPr="00920A1F">
        <w:rPr>
          <w:rFonts w:eastAsiaTheme="minorHAnsi"/>
        </w:rPr>
        <w:t xml:space="preserve"> </w:t>
      </w:r>
      <w:r>
        <w:rPr>
          <w:rFonts w:eastAsiaTheme="minorHAnsi"/>
        </w:rPr>
        <w:t xml:space="preserve">ir 36 proc. </w:t>
      </w:r>
      <w:r w:rsidR="004F7027">
        <w:t>Likusiai lėšų daliai Vidaus reikalų ministerija</w:t>
      </w:r>
      <w:r w:rsidR="00942897" w:rsidRPr="00027958">
        <w:t xml:space="preserve"> vertina projektini</w:t>
      </w:r>
      <w:r w:rsidR="00942897">
        <w:t>us</w:t>
      </w:r>
      <w:r w:rsidR="00942897" w:rsidRPr="00027958">
        <w:t xml:space="preserve"> pasiūlym</w:t>
      </w:r>
      <w:r w:rsidR="00942897">
        <w:t>us</w:t>
      </w:r>
      <w:r w:rsidR="00942897" w:rsidRPr="00027958">
        <w:t xml:space="preserve"> (4,4 proc.)</w:t>
      </w:r>
      <w:r w:rsidR="00942897">
        <w:t xml:space="preserve"> arba </w:t>
      </w:r>
      <w:r w:rsidR="00942897" w:rsidRPr="00027958">
        <w:t xml:space="preserve">pareiškėjai rengia investicinius projektus </w:t>
      </w:r>
      <w:r w:rsidR="00942897">
        <w:t>(13 proc.). T</w:t>
      </w:r>
      <w:r w:rsidR="00942897" w:rsidRPr="00027958">
        <w:t>.</w:t>
      </w:r>
      <w:r w:rsidR="00FE20EF">
        <w:t xml:space="preserve"> </w:t>
      </w:r>
      <w:r w:rsidR="00942897" w:rsidRPr="00027958">
        <w:t xml:space="preserve">y. </w:t>
      </w:r>
      <w:r w:rsidR="00942897">
        <w:t xml:space="preserve">iš esmės </w:t>
      </w:r>
      <w:r w:rsidR="00942897" w:rsidRPr="00027958">
        <w:t>vis</w:t>
      </w:r>
      <w:r w:rsidR="00942897">
        <w:t>o</w:t>
      </w:r>
      <w:r w:rsidR="00942897" w:rsidRPr="00027958">
        <w:t>s 10 prioriteto lėš</w:t>
      </w:r>
      <w:r w:rsidR="00942897">
        <w:t>o</w:t>
      </w:r>
      <w:r w:rsidR="00942897" w:rsidRPr="00027958">
        <w:t>s</w:t>
      </w:r>
      <w:r w:rsidR="00942897">
        <w:t xml:space="preserve"> suplanuotos</w:t>
      </w:r>
      <w:r w:rsidR="00942897" w:rsidRPr="00027958">
        <w:t>, numatomas finansavimo trūkumas</w:t>
      </w:r>
      <w:r w:rsidR="00942897">
        <w:t xml:space="preserve"> apie </w:t>
      </w:r>
      <w:r w:rsidR="00E80902">
        <w:t>13</w:t>
      </w:r>
      <w:r w:rsidR="00942897">
        <w:t xml:space="preserve"> mln. eurų, kurį planuojama dengti iš veiklos rezervo (jei bus pasiekti veiklos peržiūros rodikliai) </w:t>
      </w:r>
      <w:r w:rsidR="00CF7412">
        <w:t>ir</w:t>
      </w:r>
      <w:r w:rsidR="00942897">
        <w:t xml:space="preserve"> iš įgyvendinant projektus sutaupytų lėšų.</w:t>
      </w:r>
    </w:p>
    <w:p w:rsidR="00E80902" w:rsidRDefault="00E80902" w:rsidP="00F32F3D">
      <w:pPr>
        <w:pStyle w:val="tekstas"/>
      </w:pPr>
      <w:r>
        <w:rPr>
          <w:rFonts w:eastAsiaTheme="minorHAnsi"/>
        </w:rPr>
        <w:t>Tačiau i</w:t>
      </w:r>
      <w:r w:rsidR="00942897">
        <w:rPr>
          <w:rFonts w:eastAsiaTheme="minorHAnsi"/>
        </w:rPr>
        <w:t>šlieka</w:t>
      </w:r>
      <w:r w:rsidR="00E775CC" w:rsidRPr="00920A1F">
        <w:rPr>
          <w:rFonts w:eastAsiaTheme="minorHAnsi"/>
        </w:rPr>
        <w:t xml:space="preserve"> </w:t>
      </w:r>
      <w:r w:rsidR="00942897">
        <w:rPr>
          <w:rFonts w:eastAsiaTheme="minorHAnsi"/>
        </w:rPr>
        <w:t>didelė</w:t>
      </w:r>
      <w:r w:rsidR="00E775CC" w:rsidRPr="00920A1F">
        <w:rPr>
          <w:rFonts w:eastAsiaTheme="minorHAnsi"/>
        </w:rPr>
        <w:t xml:space="preserve"> rizika </w:t>
      </w:r>
      <w:r w:rsidR="00942897">
        <w:rPr>
          <w:rFonts w:eastAsiaTheme="minorHAnsi"/>
        </w:rPr>
        <w:t xml:space="preserve">2018 m. pab. </w:t>
      </w:r>
      <w:r w:rsidR="00E775CC" w:rsidRPr="00920A1F">
        <w:rPr>
          <w:rFonts w:eastAsiaTheme="minorHAnsi"/>
        </w:rPr>
        <w:t>nepasiekti finansinio veiklos peržiūros rodiklio</w:t>
      </w:r>
      <w:r w:rsidR="004F7027">
        <w:rPr>
          <w:rFonts w:eastAsiaTheme="minorHAnsi"/>
        </w:rPr>
        <w:t xml:space="preserve">. </w:t>
      </w:r>
      <w:r w:rsidRPr="00E80902">
        <w:t>Atsižvelgiant į finansavimo trūkumą suplanuotiems projektams ir didelę riziką prarasti veiklos rezervo lėšas, VRM turėtų taikyti griežtesnę sutaupytų lėšų naudojimo politiką įgyvendinant 10 prioriteto projektus.</w:t>
      </w:r>
    </w:p>
    <w:p w:rsidR="004F7027" w:rsidRPr="00311BEE" w:rsidRDefault="004F7027" w:rsidP="00F32F3D">
      <w:pPr>
        <w:pStyle w:val="tekstas"/>
        <w:rPr>
          <w:b/>
          <w:color w:val="000000" w:themeColor="text1"/>
        </w:rPr>
      </w:pPr>
    </w:p>
    <w:tbl>
      <w:tblPr>
        <w:tblStyle w:val="Lentelstinklelis"/>
        <w:tblpPr w:leftFromText="180" w:rightFromText="180" w:vertAnchor="text" w:horzAnchor="margin" w:tblpY="15"/>
        <w:tblW w:w="0" w:type="auto"/>
        <w:shd w:val="clear" w:color="auto" w:fill="D9D9D9" w:themeFill="background1" w:themeFillShade="D9"/>
        <w:tblLook w:val="04A0" w:firstRow="1" w:lastRow="0" w:firstColumn="1" w:lastColumn="0" w:noHBand="0" w:noVBand="1"/>
      </w:tblPr>
      <w:tblGrid>
        <w:gridCol w:w="9638"/>
      </w:tblGrid>
      <w:tr w:rsidR="004F7027" w:rsidRPr="002A0208" w:rsidTr="00252FF3">
        <w:tc>
          <w:tcPr>
            <w:tcW w:w="9638" w:type="dxa"/>
            <w:tcBorders>
              <w:top w:val="nil"/>
              <w:left w:val="nil"/>
              <w:bottom w:val="nil"/>
              <w:right w:val="nil"/>
            </w:tcBorders>
            <w:shd w:val="clear" w:color="auto" w:fill="D9D9D9" w:themeFill="background1" w:themeFillShade="D9"/>
          </w:tcPr>
          <w:p w:rsidR="004F7027" w:rsidRPr="004F7027" w:rsidRDefault="004F7027" w:rsidP="004F7027">
            <w:pPr>
              <w:jc w:val="both"/>
              <w:rPr>
                <w:rFonts w:asciiTheme="minorHAnsi" w:hAnsiTheme="minorHAnsi" w:cstheme="minorHAnsi"/>
                <w:b/>
                <w:color w:val="365F91" w:themeColor="accent1" w:themeShade="BF"/>
                <w:szCs w:val="24"/>
              </w:rPr>
            </w:pPr>
            <w:r w:rsidRPr="004F7027">
              <w:rPr>
                <w:rFonts w:asciiTheme="minorHAnsi" w:hAnsiTheme="minorHAnsi" w:cstheme="minorHAnsi"/>
                <w:b/>
                <w:color w:val="365F91" w:themeColor="accent1" w:themeShade="BF"/>
                <w:szCs w:val="24"/>
              </w:rPr>
              <w:t>Siūlymas Vidaus reikalų ministerijai:</w:t>
            </w:r>
          </w:p>
          <w:p w:rsidR="004F7027" w:rsidRPr="004F7027" w:rsidRDefault="004F7027" w:rsidP="004F7027">
            <w:pPr>
              <w:jc w:val="both"/>
              <w:rPr>
                <w:rFonts w:asciiTheme="minorHAnsi" w:hAnsiTheme="minorHAnsi" w:cstheme="minorHAnsi"/>
                <w:b/>
                <w:color w:val="365F91" w:themeColor="accent1" w:themeShade="BF"/>
                <w:szCs w:val="24"/>
              </w:rPr>
            </w:pPr>
            <w:r>
              <w:rPr>
                <w:rFonts w:asciiTheme="minorHAnsi" w:hAnsiTheme="minorHAnsi" w:cstheme="minorHAnsi"/>
                <w:b/>
                <w:color w:val="365F91" w:themeColor="accent1" w:themeShade="BF"/>
                <w:szCs w:val="24"/>
              </w:rPr>
              <w:t>- Iki 2018 m. lapkričio 30 d.</w:t>
            </w:r>
            <w:r w:rsidRPr="004F7027">
              <w:rPr>
                <w:rFonts w:asciiTheme="minorHAnsi" w:hAnsiTheme="minorHAnsi" w:cstheme="minorHAnsi"/>
                <w:b/>
                <w:color w:val="365F91" w:themeColor="accent1" w:themeShade="BF"/>
                <w:szCs w:val="24"/>
              </w:rPr>
              <w:t xml:space="preserve"> kartu su ESFA imtis reikiamų veiksmų, kad būtų pasiektas veiksmų programos 10 prioritetui numatytas finansinis veiklos peržiūros rodiklis.</w:t>
            </w:r>
          </w:p>
          <w:p w:rsidR="004F7027" w:rsidRPr="00CC747E" w:rsidRDefault="004F7027" w:rsidP="00D477A8">
            <w:pPr>
              <w:jc w:val="both"/>
              <w:rPr>
                <w:rFonts w:asciiTheme="minorHAnsi" w:hAnsiTheme="minorHAnsi" w:cstheme="minorHAnsi"/>
                <w:b/>
                <w:color w:val="365F91" w:themeColor="accent1" w:themeShade="BF"/>
                <w:szCs w:val="24"/>
              </w:rPr>
            </w:pPr>
            <w:r>
              <w:rPr>
                <w:rFonts w:asciiTheme="minorHAnsi" w:hAnsiTheme="minorHAnsi" w:cstheme="minorHAnsi"/>
                <w:b/>
                <w:color w:val="365F91" w:themeColor="accent1" w:themeShade="BF"/>
                <w:szCs w:val="24"/>
              </w:rPr>
              <w:t xml:space="preserve">- </w:t>
            </w:r>
            <w:r w:rsidRPr="004F7027">
              <w:rPr>
                <w:rFonts w:asciiTheme="minorHAnsi" w:hAnsiTheme="minorHAnsi" w:cstheme="minorHAnsi"/>
                <w:b/>
                <w:color w:val="365F91" w:themeColor="accent1" w:themeShade="BF"/>
                <w:szCs w:val="24"/>
              </w:rPr>
              <w:t xml:space="preserve">Neleisti projektų vykdytojams naudoti įgyvendinant projektus sutaupytų lėšų, kol </w:t>
            </w:r>
            <w:r w:rsidR="001B3DDC">
              <w:rPr>
                <w:rFonts w:asciiTheme="minorHAnsi" w:hAnsiTheme="minorHAnsi" w:cstheme="minorHAnsi"/>
                <w:b/>
                <w:color w:val="365F91" w:themeColor="accent1" w:themeShade="BF"/>
                <w:szCs w:val="24"/>
              </w:rPr>
              <w:t xml:space="preserve">10 prioritete </w:t>
            </w:r>
            <w:r w:rsidR="00D41733">
              <w:rPr>
                <w:rFonts w:asciiTheme="minorHAnsi" w:hAnsiTheme="minorHAnsi" w:cstheme="minorHAnsi"/>
                <w:b/>
                <w:color w:val="365F91" w:themeColor="accent1" w:themeShade="BF"/>
                <w:szCs w:val="24"/>
              </w:rPr>
              <w:t>nebus</w:t>
            </w:r>
            <w:r w:rsidR="00D477A8">
              <w:rPr>
                <w:rFonts w:asciiTheme="minorHAnsi" w:hAnsiTheme="minorHAnsi" w:cstheme="minorHAnsi"/>
                <w:b/>
                <w:color w:val="365F91" w:themeColor="accent1" w:themeShade="BF"/>
                <w:szCs w:val="24"/>
              </w:rPr>
              <w:t xml:space="preserve"> deklaruota EK lėšų suma, kuri reikalinga tam, kad būtų pasiektas finansinis veiklos peržiūros rodiklis</w:t>
            </w:r>
            <w:r w:rsidRPr="004F7027">
              <w:rPr>
                <w:rFonts w:asciiTheme="minorHAnsi" w:hAnsiTheme="minorHAnsi" w:cstheme="minorHAnsi"/>
                <w:b/>
                <w:color w:val="365F91" w:themeColor="accent1" w:themeShade="BF"/>
                <w:szCs w:val="24"/>
              </w:rPr>
              <w:t>.</w:t>
            </w:r>
          </w:p>
        </w:tc>
      </w:tr>
    </w:tbl>
    <w:p w:rsidR="00007F90" w:rsidRPr="00007F90" w:rsidRDefault="00007F90" w:rsidP="00252FF3">
      <w:pPr>
        <w:pStyle w:val="Antrat1"/>
      </w:pPr>
      <w:bookmarkStart w:id="31" w:name="_Toc528660901"/>
      <w:r w:rsidRPr="00007F90">
        <w:t>Investicinis požiūris</w:t>
      </w:r>
      <w:bookmarkEnd w:id="31"/>
    </w:p>
    <w:p w:rsidR="00007F90" w:rsidRPr="00007F90" w:rsidRDefault="00007F90" w:rsidP="00007F90">
      <w:pPr>
        <w:ind w:firstLine="426"/>
        <w:jc w:val="both"/>
        <w:rPr>
          <w:rFonts w:asciiTheme="minorHAnsi" w:hAnsiTheme="minorHAnsi"/>
          <w:color w:val="666666"/>
          <w:szCs w:val="24"/>
        </w:rPr>
      </w:pPr>
      <w:r w:rsidRPr="00007F90">
        <w:rPr>
          <w:rFonts w:asciiTheme="minorHAnsi" w:hAnsiTheme="minorHAnsi"/>
          <w:color w:val="666666"/>
          <w:szCs w:val="24"/>
        </w:rPr>
        <w:t>Investicinis požiūris – tai socialinės</w:t>
      </w:r>
      <w:proofErr w:type="gramStart"/>
      <w:r w:rsidRPr="00007F90">
        <w:rPr>
          <w:rFonts w:asciiTheme="minorHAnsi" w:hAnsiTheme="minorHAnsi"/>
          <w:color w:val="666666"/>
          <w:szCs w:val="24"/>
        </w:rPr>
        <w:t>-</w:t>
      </w:r>
      <w:proofErr w:type="gramEnd"/>
      <w:r w:rsidRPr="00007F90">
        <w:rPr>
          <w:rFonts w:asciiTheme="minorHAnsi" w:hAnsiTheme="minorHAnsi"/>
          <w:color w:val="666666"/>
          <w:szCs w:val="24"/>
        </w:rPr>
        <w:t>ekonominės politikos veiksmų vertinimo metodas, nustatantis, ar resursai, reikalingi šių veiksmų įgyvendinimui, yra adekvatūs jų daromo poveikio visuomenei atžvilgiu.</w:t>
      </w:r>
    </w:p>
    <w:p w:rsidR="00007F90" w:rsidRPr="00007F90" w:rsidRDefault="00007F90" w:rsidP="00007F90">
      <w:pPr>
        <w:ind w:firstLine="426"/>
        <w:jc w:val="both"/>
        <w:rPr>
          <w:rFonts w:asciiTheme="minorHAnsi" w:hAnsiTheme="minorHAnsi"/>
          <w:color w:val="666666"/>
          <w:szCs w:val="24"/>
        </w:rPr>
      </w:pPr>
      <w:r w:rsidRPr="00007F90">
        <w:rPr>
          <w:rFonts w:asciiTheme="minorHAnsi" w:hAnsiTheme="minorHAnsi"/>
          <w:color w:val="666666"/>
          <w:szCs w:val="24"/>
        </w:rPr>
        <w:t>Investicinis požiūris yra naudingas, kadangi tai yra:</w:t>
      </w:r>
    </w:p>
    <w:p w:rsidR="00007F90" w:rsidRPr="00007F90" w:rsidRDefault="00A925F2" w:rsidP="00007F90">
      <w:pPr>
        <w:numPr>
          <w:ilvl w:val="0"/>
          <w:numId w:val="69"/>
        </w:numPr>
        <w:jc w:val="both"/>
        <w:rPr>
          <w:rFonts w:asciiTheme="minorHAnsi" w:hAnsiTheme="minorHAnsi"/>
          <w:color w:val="666666"/>
          <w:szCs w:val="24"/>
        </w:rPr>
      </w:pPr>
      <w:r>
        <w:rPr>
          <w:rFonts w:asciiTheme="minorHAnsi" w:hAnsiTheme="minorHAnsi"/>
          <w:color w:val="666666"/>
          <w:szCs w:val="24"/>
        </w:rPr>
        <w:t>Duomenimis ir faktiniais įrodymais paremtas metodas, leidžiantis įvertinti viešosios politikos intervencijų efektyvumą</w:t>
      </w:r>
      <w:r w:rsidR="00007F90" w:rsidRPr="00007F90">
        <w:rPr>
          <w:rFonts w:asciiTheme="minorHAnsi" w:hAnsiTheme="minorHAnsi"/>
          <w:color w:val="666666"/>
          <w:szCs w:val="24"/>
        </w:rPr>
        <w:t>;</w:t>
      </w:r>
    </w:p>
    <w:p w:rsidR="00007F90" w:rsidRPr="00007F90" w:rsidRDefault="00007F90" w:rsidP="00007F90">
      <w:pPr>
        <w:numPr>
          <w:ilvl w:val="0"/>
          <w:numId w:val="69"/>
        </w:numPr>
        <w:jc w:val="both"/>
        <w:rPr>
          <w:rFonts w:asciiTheme="minorHAnsi" w:hAnsiTheme="minorHAnsi"/>
          <w:color w:val="666666"/>
          <w:szCs w:val="24"/>
        </w:rPr>
      </w:pPr>
      <w:r w:rsidRPr="00007F90">
        <w:rPr>
          <w:rFonts w:asciiTheme="minorHAnsi" w:hAnsiTheme="minorHAnsi"/>
          <w:color w:val="666666"/>
          <w:szCs w:val="24"/>
        </w:rPr>
        <w:t xml:space="preserve">Investicijų </w:t>
      </w:r>
      <w:r w:rsidR="00A925F2">
        <w:rPr>
          <w:rFonts w:asciiTheme="minorHAnsi" w:hAnsiTheme="minorHAnsi"/>
          <w:color w:val="666666"/>
          <w:szCs w:val="24"/>
        </w:rPr>
        <w:t xml:space="preserve">ilgalaikio </w:t>
      </w:r>
      <w:r w:rsidRPr="00007F90">
        <w:rPr>
          <w:rFonts w:asciiTheme="minorHAnsi" w:hAnsiTheme="minorHAnsi"/>
          <w:color w:val="666666"/>
          <w:szCs w:val="24"/>
        </w:rPr>
        <w:t>laukiamo poveikio pagrindimas;</w:t>
      </w:r>
    </w:p>
    <w:p w:rsidR="00007F90" w:rsidRPr="00007F90" w:rsidRDefault="00007F90" w:rsidP="00007F90">
      <w:pPr>
        <w:numPr>
          <w:ilvl w:val="0"/>
          <w:numId w:val="69"/>
        </w:numPr>
        <w:jc w:val="both"/>
        <w:rPr>
          <w:rFonts w:asciiTheme="minorHAnsi" w:hAnsiTheme="minorHAnsi"/>
          <w:color w:val="666666"/>
          <w:szCs w:val="24"/>
        </w:rPr>
      </w:pPr>
      <w:r w:rsidRPr="00007F90">
        <w:rPr>
          <w:rFonts w:asciiTheme="minorHAnsi" w:hAnsiTheme="minorHAnsi"/>
          <w:color w:val="666666"/>
          <w:szCs w:val="24"/>
        </w:rPr>
        <w:t>Būdas įsitikinti, kad problema sprendžiama optimaliu būdu ir priemonės nėra dubliuojamos;</w:t>
      </w:r>
    </w:p>
    <w:p w:rsidR="00007F90" w:rsidRPr="00007F90" w:rsidRDefault="00007F90" w:rsidP="00007F90">
      <w:pPr>
        <w:numPr>
          <w:ilvl w:val="0"/>
          <w:numId w:val="69"/>
        </w:numPr>
        <w:jc w:val="both"/>
        <w:rPr>
          <w:rFonts w:asciiTheme="minorHAnsi" w:hAnsiTheme="minorHAnsi"/>
          <w:color w:val="666666"/>
          <w:szCs w:val="24"/>
        </w:rPr>
      </w:pPr>
      <w:r w:rsidRPr="00007F90">
        <w:rPr>
          <w:rFonts w:asciiTheme="minorHAnsi" w:hAnsiTheme="minorHAnsi"/>
          <w:color w:val="666666"/>
          <w:szCs w:val="24"/>
        </w:rPr>
        <w:t>Iliustratyvūs argumentai komunikacijai.</w:t>
      </w:r>
    </w:p>
    <w:p w:rsidR="00007F90" w:rsidRPr="00007F90" w:rsidRDefault="00007F90" w:rsidP="00007F90">
      <w:pPr>
        <w:ind w:firstLine="426"/>
        <w:jc w:val="both"/>
        <w:rPr>
          <w:rFonts w:asciiTheme="minorHAnsi" w:hAnsiTheme="minorHAnsi"/>
          <w:color w:val="666666"/>
          <w:szCs w:val="24"/>
        </w:rPr>
      </w:pPr>
      <w:r w:rsidRPr="00007F90">
        <w:rPr>
          <w:rFonts w:asciiTheme="minorHAnsi" w:hAnsiTheme="minorHAnsi"/>
          <w:color w:val="666666"/>
          <w:szCs w:val="24"/>
        </w:rPr>
        <w:t>Investicinis požiūris remiasi investicijų atsiperkamumo skaičiavimais, t. y. kaštų</w:t>
      </w:r>
      <w:proofErr w:type="gramStart"/>
      <w:r w:rsidRPr="00007F90">
        <w:rPr>
          <w:rFonts w:asciiTheme="minorHAnsi" w:hAnsiTheme="minorHAnsi"/>
          <w:color w:val="666666"/>
          <w:szCs w:val="24"/>
        </w:rPr>
        <w:t>-</w:t>
      </w:r>
      <w:proofErr w:type="gramEnd"/>
      <w:r w:rsidRPr="00007F90">
        <w:rPr>
          <w:rFonts w:asciiTheme="minorHAnsi" w:hAnsiTheme="minorHAnsi"/>
          <w:color w:val="666666"/>
          <w:szCs w:val="24"/>
        </w:rPr>
        <w:t xml:space="preserve">naudos analize (toliau – KNA). Šiuo metu Lietuvoje KNA yra gerai žinoma teoriniame lygmenyje, taip pat gerai išplėtota </w:t>
      </w:r>
      <w:proofErr w:type="spellStart"/>
      <w:r w:rsidRPr="00007F90">
        <w:rPr>
          <w:rFonts w:asciiTheme="minorHAnsi" w:hAnsiTheme="minorHAnsi"/>
          <w:color w:val="666666"/>
          <w:szCs w:val="24"/>
        </w:rPr>
        <w:t>metodologiškai</w:t>
      </w:r>
      <w:proofErr w:type="spellEnd"/>
      <w:r w:rsidRPr="00007F90">
        <w:rPr>
          <w:rFonts w:asciiTheme="minorHAnsi" w:hAnsiTheme="minorHAnsi"/>
          <w:color w:val="666666"/>
          <w:szCs w:val="24"/>
        </w:rPr>
        <w:t xml:space="preserve"> (pvz., CPVA parengti automatizuoti KNA įrankiai pripažįstami geriausios praktikos pavyzdžiais visos </w:t>
      </w:r>
      <w:r w:rsidR="000B7F6C">
        <w:rPr>
          <w:rFonts w:asciiTheme="minorHAnsi" w:hAnsiTheme="minorHAnsi"/>
          <w:color w:val="666666"/>
          <w:szCs w:val="24"/>
        </w:rPr>
        <w:t>Eur</w:t>
      </w:r>
      <w:r w:rsidRPr="00007F90">
        <w:rPr>
          <w:rFonts w:asciiTheme="minorHAnsi" w:hAnsiTheme="minorHAnsi"/>
          <w:color w:val="666666"/>
          <w:szCs w:val="24"/>
        </w:rPr>
        <w:t>opos m</w:t>
      </w:r>
      <w:r w:rsidR="004D53E2">
        <w:rPr>
          <w:rFonts w:asciiTheme="minorHAnsi" w:hAnsiTheme="minorHAnsi"/>
          <w:color w:val="666666"/>
          <w:szCs w:val="24"/>
        </w:rPr>
        <w:t>a</w:t>
      </w:r>
      <w:r w:rsidRPr="00007F90">
        <w:rPr>
          <w:rFonts w:asciiTheme="minorHAnsi" w:hAnsiTheme="minorHAnsi"/>
          <w:color w:val="666666"/>
          <w:szCs w:val="24"/>
        </w:rPr>
        <w:t xml:space="preserve">stu), tačiau praktikoje naudojama ribotai. Pagrindine pritaikymo sritimi išlieka įgyvendinimo alternatyvų ir finansavimo pakankamumo analizė investiciniuose infrastruktūros projektuose (pvz. transporto, aplinkosaugos ir kitose panašiose srityje). Ji yra mažiau taikoma renkantis alternatyvas kylančių viešosios politikos iššūkių </w:t>
      </w:r>
      <w:r w:rsidRPr="00007F90">
        <w:rPr>
          <w:rFonts w:asciiTheme="minorHAnsi" w:hAnsiTheme="minorHAnsi"/>
          <w:color w:val="666666"/>
          <w:szCs w:val="24"/>
        </w:rPr>
        <w:lastRenderedPageBreak/>
        <w:t xml:space="preserve">sprendimui, vertinant galimą viešosios politikos intervencijų poveikį bei alternatyvas, ypač socialinės politikos srityse. </w:t>
      </w:r>
    </w:p>
    <w:p w:rsidR="00007F90" w:rsidRPr="00007F90" w:rsidRDefault="00007F90" w:rsidP="00007F90">
      <w:pPr>
        <w:ind w:firstLine="426"/>
        <w:jc w:val="both"/>
        <w:rPr>
          <w:rFonts w:asciiTheme="minorHAnsi" w:hAnsiTheme="minorHAnsi"/>
          <w:color w:val="666666"/>
          <w:szCs w:val="24"/>
        </w:rPr>
      </w:pPr>
      <w:r w:rsidRPr="00007F90">
        <w:rPr>
          <w:rFonts w:asciiTheme="minorHAnsi" w:hAnsiTheme="minorHAnsi"/>
          <w:color w:val="666666"/>
          <w:szCs w:val="24"/>
        </w:rPr>
        <w:t xml:space="preserve">Tačiau investicinį požiūrį galima pritaikyti ir socialinės politikos intervencijoms. Investicinis požiūris yra naudingas tuo, jog leidžia identifikuoti bei įvertinti skirtingus galimus (teigiamus ir neigiamus) projekto padarinius ir įtraukti juos į projekto vertinimą. </w:t>
      </w:r>
    </w:p>
    <w:p w:rsidR="006D17E3" w:rsidRDefault="00007F90" w:rsidP="006D17E3">
      <w:pPr>
        <w:pStyle w:val="tekstas"/>
      </w:pPr>
      <w:r w:rsidRPr="00007F90">
        <w:t xml:space="preserve">Pagal Finansų ministerijos užsakymą </w:t>
      </w:r>
      <w:proofErr w:type="spellStart"/>
      <w:r w:rsidRPr="00007F90">
        <w:t>VšĮ</w:t>
      </w:r>
      <w:proofErr w:type="spellEnd"/>
      <w:r w:rsidRPr="00007F90">
        <w:t xml:space="preserve"> „Viešosios politikos ir vadybos institutas“ atliko investicinio požiūrio taikymo socialinėse srityse atvejų analizę</w:t>
      </w:r>
      <w:r w:rsidRPr="00007F90">
        <w:rPr>
          <w:vertAlign w:val="superscript"/>
        </w:rPr>
        <w:footnoteReference w:id="4"/>
      </w:r>
      <w:r w:rsidRPr="00007F90">
        <w:t>. Toliau bus pristatyt</w:t>
      </w:r>
      <w:r w:rsidR="00705DD7">
        <w:t xml:space="preserve">as </w:t>
      </w:r>
      <w:r w:rsidR="006D17E3">
        <w:t xml:space="preserve">tuberkuliozės prevencijos </w:t>
      </w:r>
      <w:r w:rsidR="00F94595">
        <w:t xml:space="preserve">projekto </w:t>
      </w:r>
      <w:r w:rsidR="00705DD7">
        <w:t>atvejis.</w:t>
      </w:r>
      <w:r w:rsidR="00B1108C">
        <w:t xml:space="preserve"> Taip pat bus pristatyti dar du atvejai, kuriuose analizę atliko Socialinės apsaugos ir darbo bei Sve</w:t>
      </w:r>
      <w:r w:rsidR="00773FD2">
        <w:t>ikatos apsaugos ministerijos</w:t>
      </w:r>
      <w:r w:rsidR="00200CF0">
        <w:t>, norėdamos pagrįs</w:t>
      </w:r>
      <w:r w:rsidR="00773FD2">
        <w:t>ti investicijų atsiperkamumą planuojant</w:t>
      </w:r>
      <w:r w:rsidR="00200CF0">
        <w:t xml:space="preserve"> </w:t>
      </w:r>
      <w:r w:rsidR="00773FD2">
        <w:t xml:space="preserve">iš </w:t>
      </w:r>
      <w:r w:rsidR="00773FD2" w:rsidRPr="00200CF0">
        <w:t>EEE ir Norveg</w:t>
      </w:r>
      <w:r w:rsidR="00773FD2">
        <w:t>ijos finansinių mechanizmų lėšų finansuojamas intervencijas</w:t>
      </w:r>
      <w:r w:rsidR="00B1108C">
        <w:t>.</w:t>
      </w:r>
      <w:r w:rsidR="00773FD2">
        <w:t xml:space="preserve"> Tai pirmieji atvejai, kai investicinis požiūris buvo pritaikytas siekiant pagrįsti planuojamų intervencijų naudą.</w:t>
      </w:r>
    </w:p>
    <w:p w:rsidR="00F94595" w:rsidRDefault="00F94595" w:rsidP="00B1108C">
      <w:pPr>
        <w:pStyle w:val="antrat2ZZ"/>
      </w:pPr>
      <w:bookmarkStart w:id="32" w:name="_Toc528660902"/>
      <w:r>
        <w:t>Tuberkuliozės prevencija</w:t>
      </w:r>
      <w:bookmarkEnd w:id="32"/>
    </w:p>
    <w:p w:rsidR="00F94595" w:rsidRPr="004A579C" w:rsidRDefault="00F94595" w:rsidP="00200CF0">
      <w:pPr>
        <w:pStyle w:val="tekstas"/>
      </w:pPr>
      <w:r>
        <w:t>A</w:t>
      </w:r>
      <w:r w:rsidRPr="004A579C">
        <w:t xml:space="preserve">nalizuojamas </w:t>
      </w:r>
      <w:r>
        <w:t xml:space="preserve">tuberkuliozės </w:t>
      </w:r>
      <w:r w:rsidRPr="004A579C">
        <w:t>prevencijos projektas</w:t>
      </w:r>
      <w:r>
        <w:rPr>
          <w:rStyle w:val="Puslapioinaosnuoroda"/>
          <w:rFonts w:ascii="Calibri" w:hAnsi="Calibri" w:cs="Calibri"/>
        </w:rPr>
        <w:footnoteReference w:id="5"/>
      </w:r>
      <w:r w:rsidR="00200CF0">
        <w:t xml:space="preserve">, kuri </w:t>
      </w:r>
      <w:r w:rsidRPr="004A579C">
        <w:t xml:space="preserve">skatina sergančiuosius po gydymo stacionare tęsti tuberkuliozės gydymą </w:t>
      </w:r>
      <w:proofErr w:type="spellStart"/>
      <w:r w:rsidRPr="004A579C">
        <w:t>ambulatoriškai</w:t>
      </w:r>
      <w:proofErr w:type="spellEnd"/>
      <w:r w:rsidRPr="004A579C">
        <w:t xml:space="preserve">, suteikiant maisto talonus ir padengiant transporto kaštus atvykusiems suvartoti jiems skirtų vaistų. Taip siekiama pritraukti mažiau pasiturinčius žmones, kurie yra labiau linkę nutraukti tuberkuliozės gydymą ir todėl jiems gali išsivystyti daugeliui vaistų atsparios </w:t>
      </w:r>
      <w:proofErr w:type="gramStart"/>
      <w:r w:rsidRPr="004A579C">
        <w:t>(</w:t>
      </w:r>
      <w:proofErr w:type="gramEnd"/>
      <w:r w:rsidRPr="004A579C">
        <w:t xml:space="preserve">angl. </w:t>
      </w:r>
      <w:r w:rsidRPr="00D109C9">
        <w:rPr>
          <w:i/>
        </w:rPr>
        <w:t xml:space="preserve">MDR- </w:t>
      </w:r>
      <w:proofErr w:type="spellStart"/>
      <w:r w:rsidRPr="00D109C9">
        <w:rPr>
          <w:i/>
        </w:rPr>
        <w:t>multi</w:t>
      </w:r>
      <w:proofErr w:type="spellEnd"/>
      <w:r w:rsidRPr="00D109C9">
        <w:rPr>
          <w:i/>
        </w:rPr>
        <w:t xml:space="preserve"> </w:t>
      </w:r>
      <w:proofErr w:type="spellStart"/>
      <w:r w:rsidRPr="00D109C9">
        <w:rPr>
          <w:i/>
        </w:rPr>
        <w:t>drug</w:t>
      </w:r>
      <w:proofErr w:type="spellEnd"/>
      <w:r w:rsidRPr="00D109C9">
        <w:rPr>
          <w:i/>
        </w:rPr>
        <w:t xml:space="preserve"> </w:t>
      </w:r>
      <w:proofErr w:type="spellStart"/>
      <w:r w:rsidRPr="00D109C9">
        <w:rPr>
          <w:i/>
        </w:rPr>
        <w:t>resistant</w:t>
      </w:r>
      <w:proofErr w:type="spellEnd"/>
      <w:r w:rsidRPr="004A579C">
        <w:t xml:space="preserve">) ir ypač atsparios vaistams (XDR - angl. </w:t>
      </w:r>
      <w:proofErr w:type="spellStart"/>
      <w:r w:rsidRPr="004A579C">
        <w:t>extremely</w:t>
      </w:r>
      <w:proofErr w:type="spellEnd"/>
      <w:r w:rsidRPr="004A579C">
        <w:t xml:space="preserve"> </w:t>
      </w:r>
      <w:proofErr w:type="spellStart"/>
      <w:r w:rsidRPr="004A579C">
        <w:t>drug</w:t>
      </w:r>
      <w:proofErr w:type="spellEnd"/>
      <w:r w:rsidRPr="004A579C">
        <w:t xml:space="preserve"> </w:t>
      </w:r>
      <w:proofErr w:type="spellStart"/>
      <w:r w:rsidRPr="004A579C">
        <w:t>resistant</w:t>
      </w:r>
      <w:proofErr w:type="spellEnd"/>
      <w:r w:rsidRPr="004A579C">
        <w:t xml:space="preserve">) tuberkuliozės formos. MDR ir XDR tuberkuliozės formos yra sunkiau pagydomos, todėl jų kaštai visuomenei yra ženkliai didesni už vaistams neatsparios tuberkuliozės formos kaštus. </w:t>
      </w:r>
    </w:p>
    <w:p w:rsidR="00F94595" w:rsidRDefault="00F94595" w:rsidP="00200CF0">
      <w:pPr>
        <w:pStyle w:val="tekstas"/>
      </w:pPr>
      <w:r w:rsidRPr="004A579C">
        <w:t xml:space="preserve">Pritaikant užsienio tyrimų apskaičiuotus skirtingų tuberkuliozės formų kaštus šiam projektui, intervencijos dėka Lietuvos visuomenė gautų </w:t>
      </w:r>
      <w:r>
        <w:t>6</w:t>
      </w:r>
      <w:r w:rsidRPr="004A579C">
        <w:t> </w:t>
      </w:r>
      <w:r>
        <w:t>5</w:t>
      </w:r>
      <w:r w:rsidRPr="004A579C">
        <w:t xml:space="preserve">00 000 </w:t>
      </w:r>
      <w:r w:rsidR="000B7F6C">
        <w:t>EURŲ</w:t>
      </w:r>
      <w:r w:rsidRPr="004A579C">
        <w:t xml:space="preserve"> grynos naudos, išreikštos dabartine verte</w:t>
      </w:r>
      <w:r w:rsidR="00200CF0">
        <w:t>, per 2018–20</w:t>
      </w:r>
      <w:r w:rsidRPr="004A579C">
        <w:t xml:space="preserve">19 m. laikotarpį. Vienas </w:t>
      </w:r>
      <w:r w:rsidR="004D53E2">
        <w:t>eur</w:t>
      </w:r>
      <w:r w:rsidRPr="004A579C">
        <w:t xml:space="preserve">as, investuotas į šį projektą, per dvejus projekto metus sukurtų </w:t>
      </w:r>
      <w:r>
        <w:t>8</w:t>
      </w:r>
      <w:r w:rsidRPr="004A579C">
        <w:t xml:space="preserve"> </w:t>
      </w:r>
      <w:r w:rsidR="000B7F6C">
        <w:t>eurų</w:t>
      </w:r>
      <w:r w:rsidRPr="004A579C">
        <w:t xml:space="preserve"> grąžos visuomenei. Tikėtina, kad naudos vertė yra konservatyvi, nes remiasi tik kaštų sutaupymu, susijusiu su MDR ir XDR TB formų vystymosi išvengimu.</w:t>
      </w:r>
      <w:r w:rsidRPr="004A579C">
        <w:rPr>
          <w:rStyle w:val="Puslapioinaosnuoroda"/>
          <w:rFonts w:ascii="Calibri" w:hAnsi="Calibri" w:cs="Calibri"/>
        </w:rPr>
        <w:footnoteReference w:id="6"/>
      </w:r>
      <w:r>
        <w:t xml:space="preserve"> </w:t>
      </w:r>
    </w:p>
    <w:p w:rsidR="00F94595" w:rsidRPr="004A579C" w:rsidRDefault="00F94595" w:rsidP="00200CF0">
      <w:pPr>
        <w:pStyle w:val="tekstas"/>
      </w:pPr>
      <w:r w:rsidRPr="004A579C">
        <w:t>Pagrindinai projekto rezultatai ir prielaidos, naudojamos skaičiavimuose, yra pateikti žemiau esančioje lentelėje. Visos vertės yra disko</w:t>
      </w:r>
      <w:r w:rsidR="00200CF0">
        <w:t xml:space="preserve">ntuotos 3 proc. diskonto norma </w:t>
      </w:r>
      <w:r w:rsidRPr="004A579C">
        <w:t>bei išreikštos grynąja dabartine (2018 m.) verte. Visų kaštų vertės buvo pakeltos iki 2018</w:t>
      </w:r>
      <w:r>
        <w:t xml:space="preserve"> </w:t>
      </w:r>
      <w:r w:rsidRPr="004A579C">
        <w:t xml:space="preserve">metų kainų, pritaikant </w:t>
      </w:r>
      <w:proofErr w:type="gramStart"/>
      <w:r w:rsidRPr="004A579C">
        <w:t>Lietuvos Statistikos Departamento</w:t>
      </w:r>
      <w:proofErr w:type="gramEnd"/>
      <w:r w:rsidRPr="004A579C">
        <w:t xml:space="preserve"> Vartotojų kainų indeksus (VKI).</w:t>
      </w:r>
      <w:r w:rsidRPr="004A579C">
        <w:rPr>
          <w:rStyle w:val="Puslapioinaosnuoroda"/>
          <w:rFonts w:ascii="Calibri" w:hAnsi="Calibri" w:cs="Calibri"/>
        </w:rPr>
        <w:footnoteReference w:id="7"/>
      </w:r>
    </w:p>
    <w:p w:rsidR="00F94595" w:rsidRPr="004A579C" w:rsidRDefault="00F94595" w:rsidP="00F94595">
      <w:pPr>
        <w:rPr>
          <w:rFonts w:ascii="Calibri" w:hAnsi="Calibri" w:cs="Calibri"/>
        </w:rPr>
      </w:pPr>
    </w:p>
    <w:tbl>
      <w:tblPr>
        <w:tblStyle w:val="viesussraas1parykinimas"/>
        <w:tblW w:w="0" w:type="auto"/>
        <w:tblLook w:val="04A0" w:firstRow="1" w:lastRow="0" w:firstColumn="1" w:lastColumn="0" w:noHBand="0" w:noVBand="1"/>
      </w:tblPr>
      <w:tblGrid>
        <w:gridCol w:w="6487"/>
        <w:gridCol w:w="2794"/>
      </w:tblGrid>
      <w:tr w:rsidR="00F94595" w:rsidRPr="00200CF0" w:rsidTr="00200C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1" w:type="dxa"/>
            <w:gridSpan w:val="2"/>
          </w:tcPr>
          <w:p w:rsidR="00F94595" w:rsidRPr="00200CF0" w:rsidRDefault="00F94595" w:rsidP="00200CF0">
            <w:pPr>
              <w:jc w:val="center"/>
              <w:rPr>
                <w:rFonts w:ascii="Calibri" w:hAnsi="Calibri" w:cs="Calibri"/>
                <w:b w:val="0"/>
                <w:sz w:val="20"/>
              </w:rPr>
            </w:pPr>
            <w:r w:rsidRPr="00200CF0">
              <w:rPr>
                <w:rFonts w:ascii="Calibri" w:hAnsi="Calibri" w:cs="Calibri"/>
                <w:sz w:val="20"/>
              </w:rPr>
              <w:t>Pagrindiniai faktai apie projektą</w:t>
            </w:r>
          </w:p>
        </w:tc>
      </w:tr>
      <w:tr w:rsidR="00F94595" w:rsidRPr="00200CF0" w:rsidTr="0020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Projekto įgyvendinimo metai</w:t>
            </w:r>
          </w:p>
        </w:tc>
        <w:tc>
          <w:tcPr>
            <w:tcW w:w="2794" w:type="dxa"/>
          </w:tcPr>
          <w:p w:rsidR="00F94595" w:rsidRPr="00200CF0" w:rsidRDefault="00200CF0" w:rsidP="001B11A6">
            <w:pPr>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200CF0">
              <w:rPr>
                <w:rFonts w:ascii="Calibri" w:hAnsi="Calibri" w:cs="Calibri"/>
                <w:sz w:val="20"/>
              </w:rPr>
              <w:t>2018–</w:t>
            </w:r>
            <w:r w:rsidR="00F94595" w:rsidRPr="00200CF0">
              <w:rPr>
                <w:rFonts w:ascii="Calibri" w:hAnsi="Calibri" w:cs="Calibri"/>
                <w:sz w:val="20"/>
              </w:rPr>
              <w:t>2019 m.</w:t>
            </w:r>
            <w:r w:rsidR="00F94595" w:rsidRPr="00200CF0">
              <w:rPr>
                <w:rStyle w:val="Puslapioinaosnuoroda"/>
                <w:rFonts w:ascii="Calibri" w:hAnsi="Calibri" w:cs="Calibri"/>
                <w:sz w:val="20"/>
              </w:rPr>
              <w:footnoteReference w:id="8"/>
            </w:r>
          </w:p>
        </w:tc>
      </w:tr>
      <w:tr w:rsidR="00F94595" w:rsidRPr="00200CF0" w:rsidTr="00200CF0">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Projekto dalyvių</w:t>
            </w:r>
            <w:r w:rsidRPr="00200CF0">
              <w:rPr>
                <w:rStyle w:val="Puslapioinaosnuoroda"/>
                <w:rFonts w:ascii="Calibri" w:hAnsi="Calibri" w:cs="Calibri"/>
                <w:sz w:val="20"/>
              </w:rPr>
              <w:footnoteReference w:id="9"/>
            </w:r>
            <w:r w:rsidRPr="00200CF0">
              <w:rPr>
                <w:rFonts w:ascii="Calibri" w:hAnsi="Calibri" w:cs="Calibri"/>
                <w:b w:val="0"/>
                <w:sz w:val="20"/>
              </w:rPr>
              <w:t xml:space="preserve"> skaičius</w:t>
            </w:r>
          </w:p>
        </w:tc>
        <w:tc>
          <w:tcPr>
            <w:tcW w:w="2794" w:type="dxa"/>
          </w:tcPr>
          <w:p w:rsidR="00F94595" w:rsidRPr="00200CF0" w:rsidRDefault="00F94595" w:rsidP="001B11A6">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00CF0">
              <w:rPr>
                <w:rFonts w:ascii="Calibri" w:hAnsi="Calibri" w:cs="Calibri"/>
                <w:sz w:val="20"/>
              </w:rPr>
              <w:t>2400</w:t>
            </w:r>
          </w:p>
        </w:tc>
      </w:tr>
      <w:tr w:rsidR="00F94595" w:rsidRPr="00200CF0" w:rsidTr="0020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1" w:type="dxa"/>
            <w:gridSpan w:val="2"/>
            <w:shd w:val="clear" w:color="auto" w:fill="4F81BD" w:themeFill="accent1"/>
          </w:tcPr>
          <w:p w:rsidR="00F94595" w:rsidRPr="00200CF0" w:rsidRDefault="00F94595" w:rsidP="00200CF0">
            <w:pPr>
              <w:jc w:val="center"/>
              <w:rPr>
                <w:rFonts w:ascii="Calibri" w:hAnsi="Calibri" w:cs="Calibri"/>
                <w:sz w:val="20"/>
              </w:rPr>
            </w:pPr>
            <w:r w:rsidRPr="00200CF0">
              <w:rPr>
                <w:rFonts w:ascii="Calibri" w:hAnsi="Calibri" w:cs="Calibri"/>
                <w:color w:val="FFFFFF" w:themeColor="background1"/>
                <w:sz w:val="20"/>
              </w:rPr>
              <w:t>Pagrindiniai rezultatai</w:t>
            </w:r>
          </w:p>
        </w:tc>
      </w:tr>
      <w:tr w:rsidR="00F94595" w:rsidRPr="00200CF0" w:rsidTr="00200CF0">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Projekto kaštai</w:t>
            </w:r>
          </w:p>
        </w:tc>
        <w:tc>
          <w:tcPr>
            <w:tcW w:w="2794" w:type="dxa"/>
          </w:tcPr>
          <w:p w:rsidR="00F94595" w:rsidRPr="00200CF0" w:rsidRDefault="00F94595" w:rsidP="001B11A6">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00CF0">
              <w:rPr>
                <w:rFonts w:ascii="Calibri" w:hAnsi="Calibri" w:cs="Calibri"/>
                <w:sz w:val="20"/>
              </w:rPr>
              <w:t>1 000 000 EUR</w:t>
            </w:r>
          </w:p>
        </w:tc>
      </w:tr>
      <w:tr w:rsidR="00F94595" w:rsidRPr="00200CF0" w:rsidTr="0020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lastRenderedPageBreak/>
              <w:t>Projekto nauda (sutaupyti kaštai)</w:t>
            </w:r>
          </w:p>
        </w:tc>
        <w:tc>
          <w:tcPr>
            <w:tcW w:w="2794" w:type="dxa"/>
          </w:tcPr>
          <w:p w:rsidR="00F94595" w:rsidRPr="00200CF0" w:rsidRDefault="00F94595" w:rsidP="001B11A6">
            <w:pPr>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200CF0">
              <w:rPr>
                <w:rFonts w:ascii="Calibri" w:hAnsi="Calibri" w:cs="Calibri"/>
                <w:sz w:val="20"/>
              </w:rPr>
              <w:t>7 500 000 EUR</w:t>
            </w:r>
          </w:p>
        </w:tc>
      </w:tr>
      <w:tr w:rsidR="00F94595" w:rsidRPr="00200CF0" w:rsidTr="00200CF0">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Grynoji projekto nauda</w:t>
            </w:r>
            <w:r w:rsidRPr="00200CF0">
              <w:rPr>
                <w:rStyle w:val="Puslapioinaosnuoroda"/>
                <w:rFonts w:ascii="Calibri" w:hAnsi="Calibri" w:cs="Calibri"/>
                <w:sz w:val="20"/>
              </w:rPr>
              <w:footnoteReference w:id="10"/>
            </w:r>
          </w:p>
        </w:tc>
        <w:tc>
          <w:tcPr>
            <w:tcW w:w="2794" w:type="dxa"/>
          </w:tcPr>
          <w:p w:rsidR="00F94595" w:rsidRPr="00200CF0" w:rsidRDefault="00F94595" w:rsidP="001B11A6">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00CF0">
              <w:rPr>
                <w:rFonts w:ascii="Calibri" w:hAnsi="Calibri" w:cs="Calibri"/>
                <w:sz w:val="20"/>
              </w:rPr>
              <w:t>6 500 000 EUR</w:t>
            </w:r>
          </w:p>
        </w:tc>
      </w:tr>
      <w:tr w:rsidR="00F94595" w:rsidRPr="00200CF0" w:rsidTr="0020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Kaštų naudos santykis</w:t>
            </w:r>
          </w:p>
        </w:tc>
        <w:tc>
          <w:tcPr>
            <w:tcW w:w="2794" w:type="dxa"/>
          </w:tcPr>
          <w:p w:rsidR="00F94595" w:rsidRPr="00200CF0" w:rsidRDefault="00F94595" w:rsidP="001B11A6">
            <w:pPr>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200CF0">
              <w:rPr>
                <w:rFonts w:ascii="Calibri" w:hAnsi="Calibri" w:cs="Calibri"/>
                <w:sz w:val="20"/>
              </w:rPr>
              <w:t>1:8 EUR</w:t>
            </w:r>
          </w:p>
        </w:tc>
      </w:tr>
      <w:tr w:rsidR="00F94595" w:rsidRPr="00200CF0" w:rsidTr="00200CF0">
        <w:tc>
          <w:tcPr>
            <w:cnfStyle w:val="001000000000" w:firstRow="0" w:lastRow="0" w:firstColumn="1" w:lastColumn="0" w:oddVBand="0" w:evenVBand="0" w:oddHBand="0" w:evenHBand="0" w:firstRowFirstColumn="0" w:firstRowLastColumn="0" w:lastRowFirstColumn="0" w:lastRowLastColumn="0"/>
            <w:tcW w:w="9281" w:type="dxa"/>
            <w:gridSpan w:val="2"/>
            <w:shd w:val="clear" w:color="auto" w:fill="4F81BD" w:themeFill="accent1"/>
          </w:tcPr>
          <w:p w:rsidR="00F94595" w:rsidRPr="00200CF0" w:rsidRDefault="00F94595" w:rsidP="00200CF0">
            <w:pPr>
              <w:jc w:val="center"/>
              <w:rPr>
                <w:rFonts w:ascii="Calibri" w:hAnsi="Calibri" w:cs="Calibri"/>
                <w:sz w:val="20"/>
              </w:rPr>
            </w:pPr>
            <w:r w:rsidRPr="00200CF0">
              <w:rPr>
                <w:rFonts w:ascii="Calibri" w:hAnsi="Calibri" w:cs="Calibri"/>
                <w:color w:val="FFFFFF" w:themeColor="background1"/>
                <w:sz w:val="20"/>
              </w:rPr>
              <w:t>Pagrindinės prielaidos ir naudojamos vertės</w:t>
            </w:r>
          </w:p>
        </w:tc>
      </w:tr>
      <w:tr w:rsidR="00F94595" w:rsidRPr="00200CF0" w:rsidTr="0020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Vaistams neatsparios TB atvejo kaštai</w:t>
            </w:r>
          </w:p>
        </w:tc>
        <w:tc>
          <w:tcPr>
            <w:tcW w:w="2794" w:type="dxa"/>
          </w:tcPr>
          <w:p w:rsidR="00F94595" w:rsidRPr="00200CF0" w:rsidRDefault="00F94595" w:rsidP="001B11A6">
            <w:pPr>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200CF0">
              <w:rPr>
                <w:rFonts w:ascii="Calibri" w:hAnsi="Calibri" w:cs="Calibri"/>
                <w:sz w:val="20"/>
              </w:rPr>
              <w:t>3 725 EUR</w:t>
            </w:r>
          </w:p>
        </w:tc>
      </w:tr>
      <w:tr w:rsidR="00F94595" w:rsidRPr="00200CF0" w:rsidTr="00200CF0">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Vaistams atsparios (MDR) TB atvejo kaštai</w:t>
            </w:r>
          </w:p>
        </w:tc>
        <w:tc>
          <w:tcPr>
            <w:tcW w:w="2794" w:type="dxa"/>
          </w:tcPr>
          <w:p w:rsidR="00F94595" w:rsidRPr="00200CF0" w:rsidRDefault="00F94595" w:rsidP="001B11A6">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00CF0">
              <w:rPr>
                <w:rFonts w:ascii="Calibri" w:hAnsi="Calibri" w:cs="Calibri"/>
                <w:sz w:val="20"/>
              </w:rPr>
              <w:t>26 270 EUR</w:t>
            </w:r>
          </w:p>
        </w:tc>
      </w:tr>
      <w:tr w:rsidR="00F94595" w:rsidRPr="00200CF0" w:rsidTr="0020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Ypač vaistams atsparios (XDR) TB atvejo kaštai</w:t>
            </w:r>
          </w:p>
        </w:tc>
        <w:tc>
          <w:tcPr>
            <w:tcW w:w="2794" w:type="dxa"/>
          </w:tcPr>
          <w:p w:rsidR="00F94595" w:rsidRPr="00200CF0" w:rsidRDefault="00F94595" w:rsidP="001B11A6">
            <w:pPr>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200CF0">
              <w:rPr>
                <w:rFonts w:ascii="Calibri" w:hAnsi="Calibri" w:cs="Calibri"/>
                <w:sz w:val="20"/>
              </w:rPr>
              <w:t>62 056 EUR</w:t>
            </w:r>
          </w:p>
        </w:tc>
      </w:tr>
      <w:tr w:rsidR="00F94595" w:rsidRPr="00200CF0" w:rsidTr="00200CF0">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Vaistams atsparios (MDR) ir vaistams neatsparios TB atvejų kaštų skirtumas</w:t>
            </w:r>
          </w:p>
        </w:tc>
        <w:tc>
          <w:tcPr>
            <w:tcW w:w="2794" w:type="dxa"/>
          </w:tcPr>
          <w:p w:rsidR="00F94595" w:rsidRPr="00200CF0" w:rsidRDefault="00F94595" w:rsidP="001B11A6">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00CF0">
              <w:rPr>
                <w:rFonts w:ascii="Calibri" w:hAnsi="Calibri" w:cs="Calibri"/>
                <w:sz w:val="20"/>
              </w:rPr>
              <w:t>22 545 EUR</w:t>
            </w:r>
          </w:p>
        </w:tc>
      </w:tr>
      <w:tr w:rsidR="00F94595" w:rsidRPr="00200CF0" w:rsidTr="0020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Skirtumas tarp ypač vaistams neatsparios (XDR) ir vaistams neatsparios TB atvejų kaštų</w:t>
            </w:r>
          </w:p>
        </w:tc>
        <w:tc>
          <w:tcPr>
            <w:tcW w:w="2794" w:type="dxa"/>
          </w:tcPr>
          <w:p w:rsidR="00F94595" w:rsidRPr="00200CF0" w:rsidRDefault="00F94595" w:rsidP="001B11A6">
            <w:pPr>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200CF0">
              <w:rPr>
                <w:rFonts w:ascii="Calibri" w:hAnsi="Calibri" w:cs="Calibri"/>
                <w:sz w:val="20"/>
              </w:rPr>
              <w:t>58 331 EUR</w:t>
            </w:r>
          </w:p>
        </w:tc>
      </w:tr>
      <w:tr w:rsidR="00F94595" w:rsidRPr="00200CF0" w:rsidTr="00200CF0">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 xml:space="preserve">Vaistams atsparios (MDR) ir ypač vaistams atsparios (XDR) TB formų atvejų procentas nuo visų TB atvejų Lietuvoje 2016m. </w:t>
            </w:r>
          </w:p>
        </w:tc>
        <w:tc>
          <w:tcPr>
            <w:tcW w:w="2794" w:type="dxa"/>
          </w:tcPr>
          <w:p w:rsidR="00F94595" w:rsidRPr="00200CF0" w:rsidRDefault="00F94595" w:rsidP="001B11A6">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proofErr w:type="gramStart"/>
            <w:r w:rsidRPr="00200CF0">
              <w:rPr>
                <w:rFonts w:ascii="Calibri" w:hAnsi="Calibri" w:cs="Calibri"/>
                <w:sz w:val="20"/>
              </w:rPr>
              <w:t>18%</w:t>
            </w:r>
            <w:proofErr w:type="gramEnd"/>
            <w:r w:rsidRPr="00200CF0">
              <w:rPr>
                <w:rFonts w:ascii="Calibri" w:hAnsi="Calibri" w:cs="Calibri"/>
                <w:sz w:val="20"/>
              </w:rPr>
              <w:t xml:space="preserve">  (MDR) ir 4% (XDR)</w:t>
            </w:r>
            <w:r w:rsidRPr="00200CF0">
              <w:rPr>
                <w:rStyle w:val="Puslapioinaosnuoroda"/>
                <w:rFonts w:ascii="Calibri" w:hAnsi="Calibri" w:cs="Calibri"/>
                <w:sz w:val="20"/>
              </w:rPr>
              <w:footnoteReference w:id="11"/>
            </w:r>
          </w:p>
        </w:tc>
      </w:tr>
      <w:tr w:rsidR="00F94595" w:rsidRPr="00200CF0" w:rsidTr="0020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1" w:type="dxa"/>
            <w:gridSpan w:val="2"/>
          </w:tcPr>
          <w:p w:rsidR="00F94595" w:rsidRPr="00200CF0" w:rsidRDefault="00F94595" w:rsidP="001B11A6">
            <w:pPr>
              <w:rPr>
                <w:rFonts w:ascii="Calibri" w:hAnsi="Calibri" w:cs="Calibri"/>
                <w:b w:val="0"/>
                <w:sz w:val="20"/>
              </w:rPr>
            </w:pPr>
            <w:r w:rsidRPr="00200CF0">
              <w:rPr>
                <w:rFonts w:ascii="Calibri" w:hAnsi="Calibri" w:cs="Calibri"/>
                <w:b w:val="0"/>
                <w:sz w:val="20"/>
              </w:rPr>
              <w:t>Tarkime, kad MDR ir XDR TB formos išsivystytų tokiam pat intervencijos dalyvių procentui, kaip ir visiems sergantiesiems.</w:t>
            </w:r>
          </w:p>
        </w:tc>
      </w:tr>
      <w:tr w:rsidR="00F94595" w:rsidRPr="00200CF0" w:rsidTr="00200CF0">
        <w:tc>
          <w:tcPr>
            <w:cnfStyle w:val="001000000000" w:firstRow="0" w:lastRow="0" w:firstColumn="1" w:lastColumn="0" w:oddVBand="0" w:evenVBand="0" w:oddHBand="0" w:evenHBand="0" w:firstRowFirstColumn="0" w:firstRowLastColumn="0" w:lastRowFirstColumn="0" w:lastRowLastColumn="0"/>
            <w:tcW w:w="9281" w:type="dxa"/>
            <w:gridSpan w:val="2"/>
          </w:tcPr>
          <w:p w:rsidR="00F94595" w:rsidRPr="00200CF0" w:rsidRDefault="00F94595" w:rsidP="001B11A6">
            <w:pPr>
              <w:rPr>
                <w:rFonts w:ascii="Calibri" w:hAnsi="Calibri" w:cs="Calibri"/>
                <w:b w:val="0"/>
                <w:sz w:val="20"/>
              </w:rPr>
            </w:pPr>
            <w:r w:rsidRPr="00200CF0">
              <w:rPr>
                <w:rFonts w:ascii="Calibri" w:hAnsi="Calibri" w:cs="Calibri"/>
                <w:b w:val="0"/>
                <w:sz w:val="20"/>
              </w:rPr>
              <w:t xml:space="preserve">Tarkime, kad intervencijos sėkmės tikimybė yra </w:t>
            </w:r>
            <w:proofErr w:type="gramStart"/>
            <w:r w:rsidRPr="00200CF0">
              <w:rPr>
                <w:rFonts w:ascii="Calibri" w:hAnsi="Calibri" w:cs="Calibri"/>
                <w:b w:val="0"/>
                <w:sz w:val="20"/>
              </w:rPr>
              <w:t>50%</w:t>
            </w:r>
            <w:proofErr w:type="gramEnd"/>
            <w:r w:rsidRPr="00200CF0">
              <w:rPr>
                <w:rFonts w:ascii="Calibri" w:hAnsi="Calibri" w:cs="Calibri"/>
                <w:b w:val="0"/>
                <w:sz w:val="20"/>
              </w:rPr>
              <w:t>. Tai reiškia, kad pusei žmonių, kuriems būtų išsivystę MDR ir XDR TB formos</w:t>
            </w:r>
            <w:r w:rsidRPr="00200CF0">
              <w:rPr>
                <w:rStyle w:val="Puslapioinaosnuoroda"/>
                <w:rFonts w:ascii="Calibri" w:hAnsi="Calibri" w:cs="Calibri"/>
                <w:sz w:val="20"/>
              </w:rPr>
              <w:footnoteReference w:id="12"/>
            </w:r>
            <w:r w:rsidRPr="00200CF0">
              <w:rPr>
                <w:rFonts w:ascii="Calibri" w:hAnsi="Calibri" w:cs="Calibri"/>
                <w:b w:val="0"/>
                <w:sz w:val="20"/>
              </w:rPr>
              <w:t>, to neatsitiks intervencijos dėka.</w:t>
            </w:r>
            <w:r w:rsidRPr="00200CF0" w:rsidDel="00221FBB">
              <w:rPr>
                <w:rFonts w:ascii="Calibri" w:hAnsi="Calibri" w:cs="Calibri"/>
                <w:b w:val="0"/>
                <w:sz w:val="20"/>
              </w:rPr>
              <w:t xml:space="preserve"> </w:t>
            </w:r>
          </w:p>
        </w:tc>
      </w:tr>
      <w:tr w:rsidR="00F94595" w:rsidRPr="00200CF0" w:rsidTr="00200CF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Dalyvių, kurie išvengtų MDR TB formos intervencijos dėka, skaičius</w:t>
            </w:r>
          </w:p>
        </w:tc>
        <w:tc>
          <w:tcPr>
            <w:tcW w:w="2794" w:type="dxa"/>
          </w:tcPr>
          <w:p w:rsidR="00F94595" w:rsidRPr="00200CF0" w:rsidRDefault="00F94595" w:rsidP="001B11A6">
            <w:pPr>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200CF0">
              <w:rPr>
                <w:rFonts w:ascii="Calibri" w:hAnsi="Calibri" w:cs="Calibri"/>
                <w:sz w:val="20"/>
              </w:rPr>
              <w:t>212 žmonės</w:t>
            </w:r>
            <w:r w:rsidRPr="00200CF0">
              <w:rPr>
                <w:rStyle w:val="Puslapioinaosnuoroda"/>
                <w:rFonts w:ascii="Calibri" w:hAnsi="Calibri" w:cs="Calibri"/>
                <w:sz w:val="20"/>
              </w:rPr>
              <w:footnoteReference w:id="13"/>
            </w:r>
          </w:p>
        </w:tc>
      </w:tr>
      <w:tr w:rsidR="00F94595" w:rsidRPr="00200CF0" w:rsidTr="00200CF0">
        <w:tc>
          <w:tcPr>
            <w:cnfStyle w:val="001000000000" w:firstRow="0" w:lastRow="0" w:firstColumn="1" w:lastColumn="0" w:oddVBand="0" w:evenVBand="0" w:oddHBand="0" w:evenHBand="0" w:firstRowFirstColumn="0" w:firstRowLastColumn="0" w:lastRowFirstColumn="0" w:lastRowLastColumn="0"/>
            <w:tcW w:w="6487" w:type="dxa"/>
          </w:tcPr>
          <w:p w:rsidR="00F94595" w:rsidRPr="00200CF0" w:rsidRDefault="00F94595" w:rsidP="001B11A6">
            <w:pPr>
              <w:rPr>
                <w:rFonts w:ascii="Calibri" w:hAnsi="Calibri" w:cs="Calibri"/>
                <w:b w:val="0"/>
                <w:sz w:val="20"/>
              </w:rPr>
            </w:pPr>
            <w:r w:rsidRPr="00200CF0">
              <w:rPr>
                <w:rFonts w:ascii="Calibri" w:hAnsi="Calibri" w:cs="Calibri"/>
                <w:b w:val="0"/>
                <w:sz w:val="20"/>
              </w:rPr>
              <w:t>Dalyvių, kurie išvengtų XDR TB formos intervencijos dėka, skaičius</w:t>
            </w:r>
          </w:p>
        </w:tc>
        <w:tc>
          <w:tcPr>
            <w:tcW w:w="2794" w:type="dxa"/>
          </w:tcPr>
          <w:p w:rsidR="00F94595" w:rsidRPr="00200CF0" w:rsidRDefault="00F94595" w:rsidP="001B11A6">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200CF0">
              <w:rPr>
                <w:rFonts w:ascii="Calibri" w:hAnsi="Calibri" w:cs="Calibri"/>
                <w:sz w:val="20"/>
              </w:rPr>
              <w:t>48 žmonės</w:t>
            </w:r>
            <w:r w:rsidRPr="00200CF0">
              <w:rPr>
                <w:rStyle w:val="Puslapioinaosnuoroda"/>
                <w:rFonts w:ascii="Calibri" w:hAnsi="Calibri" w:cs="Calibri"/>
                <w:sz w:val="20"/>
              </w:rPr>
              <w:footnoteReference w:id="14"/>
            </w:r>
          </w:p>
        </w:tc>
      </w:tr>
    </w:tbl>
    <w:p w:rsidR="00F94595" w:rsidRPr="004A579C" w:rsidRDefault="00F94595" w:rsidP="00F94595">
      <w:pPr>
        <w:rPr>
          <w:rFonts w:ascii="Calibri" w:hAnsi="Calibri" w:cs="Calibri"/>
          <w:b/>
        </w:rPr>
      </w:pPr>
    </w:p>
    <w:p w:rsidR="00F94595" w:rsidRPr="004A579C" w:rsidRDefault="00B22E09" w:rsidP="00200CF0">
      <w:pPr>
        <w:pStyle w:val="antrat3zz"/>
      </w:pPr>
      <w:bookmarkStart w:id="33" w:name="_Toc528660903"/>
      <w:r>
        <w:t>K</w:t>
      </w:r>
      <w:r w:rsidR="00F94595" w:rsidRPr="004A579C">
        <w:t>aštai</w:t>
      </w:r>
      <w:bookmarkEnd w:id="33"/>
    </w:p>
    <w:p w:rsidR="00F94595" w:rsidRPr="004A579C" w:rsidRDefault="00F94595" w:rsidP="00200CF0">
      <w:pPr>
        <w:pStyle w:val="tekstas"/>
      </w:pPr>
      <w:r w:rsidRPr="004A579C">
        <w:t xml:space="preserve">Skirtingų TB formų kaštai yra paimti iš užsienio tyrimo, kuris apskaičiavo skirtingų tuberkuliozės formų kaštus skirtingoms </w:t>
      </w:r>
      <w:r w:rsidR="004D53E2">
        <w:t>Eur</w:t>
      </w:r>
      <w:r w:rsidRPr="004A579C">
        <w:t>opos šalims</w:t>
      </w:r>
      <w:r w:rsidRPr="004A579C">
        <w:rPr>
          <w:rStyle w:val="Puslapioinaosnuoroda"/>
          <w:rFonts w:ascii="Calibri" w:hAnsi="Calibri" w:cs="Calibri"/>
        </w:rPr>
        <w:footnoteReference w:id="15"/>
      </w:r>
      <w:r w:rsidRPr="004A579C">
        <w:t xml:space="preserve">. Tuberkuliozės kaštus sudaro tiesioginiai (vaistų ir hospitalizavimo) ir netiesioginiai (prarasto produktyvumo) kaštai. </w:t>
      </w:r>
    </w:p>
    <w:p w:rsidR="00F94595" w:rsidRPr="004A579C" w:rsidRDefault="00F94595" w:rsidP="00200CF0">
      <w:pPr>
        <w:pStyle w:val="tekstas"/>
      </w:pPr>
      <w:r w:rsidRPr="004A579C">
        <w:t>Apskaičiuojant kaštus, tyrėjai naudojo įvairių tyrimų duomenis ir pritaikė juos šalių grupėms (EU-15 ir naujoms ES šalims narėms). Lietuvos ir kitų naujų šalių narių TB kaštai buvo apskaičiuoti, remiantis Estijos pavyzdžiu. Neatspariai vaistams TB formai trūko praprasto produktyvumo duomenų, todėl tyrėjai pritaikė ES-15 šalių grupės duomenų vidurkį naujoms šalims narėms (įskaitant Lietuvą), pamažindami jį pagal naujų šalių narių BPV/gyventojui</w:t>
      </w:r>
      <w:r w:rsidRPr="004A579C">
        <w:rPr>
          <w:rStyle w:val="Puslapioinaosnuoroda"/>
          <w:rFonts w:ascii="Calibri" w:hAnsi="Calibri" w:cs="Calibri"/>
        </w:rPr>
        <w:footnoteReference w:id="16"/>
      </w:r>
      <w:r w:rsidRPr="004A579C">
        <w:t>.</w:t>
      </w:r>
    </w:p>
    <w:p w:rsidR="00F94595" w:rsidRPr="004A579C" w:rsidRDefault="00F94595" w:rsidP="00200CF0">
      <w:pPr>
        <w:pStyle w:val="tekstas"/>
      </w:pPr>
      <w:r w:rsidRPr="004A579C">
        <w:t xml:space="preserve">Tyrime pateikta XDR TB kaštų vertės naujoms šalims narėms yra tokia pati, kaip ir MDR TB kaštų vertė. </w:t>
      </w:r>
      <w:proofErr w:type="gramStart"/>
      <w:r w:rsidRPr="004A579C">
        <w:t>Tuo tarpu</w:t>
      </w:r>
      <w:proofErr w:type="gramEnd"/>
      <w:r w:rsidRPr="004A579C">
        <w:t xml:space="preserve"> XDR TB kaštų vertė senoms šalims narėms yra apie 3 kartus didesnė už MDR TB kaštų vertę, dėl sunkesnio ir brangesnio XDR TB gydymo. Todėl mes taip pat padidinome Lietuvos XDR TB reikšmę 3 kartus.</w:t>
      </w:r>
      <w:r w:rsidRPr="004A579C">
        <w:rPr>
          <w:rStyle w:val="Puslapioinaosnuoroda"/>
          <w:rFonts w:ascii="Calibri" w:hAnsi="Calibri" w:cs="Calibri"/>
        </w:rPr>
        <w:footnoteReference w:id="17"/>
      </w:r>
      <w:r w:rsidRPr="004A579C">
        <w:t xml:space="preserve"> </w:t>
      </w:r>
    </w:p>
    <w:p w:rsidR="00BC50A6" w:rsidRPr="001E73B0" w:rsidRDefault="00BC50A6" w:rsidP="00200CF0">
      <w:pPr>
        <w:pStyle w:val="antrat2ZZ"/>
      </w:pPr>
      <w:bookmarkStart w:id="34" w:name="_Toc528660904"/>
      <w:proofErr w:type="spellStart"/>
      <w:r w:rsidRPr="001E73B0">
        <w:t>Multidimensinė</w:t>
      </w:r>
      <w:proofErr w:type="spellEnd"/>
      <w:r w:rsidRPr="001E73B0">
        <w:t xml:space="preserve"> šeimos tera</w:t>
      </w:r>
      <w:r w:rsidR="00200CF0">
        <w:t>pijos programos</w:t>
      </w:r>
      <w:r w:rsidRPr="001E73B0">
        <w:t xml:space="preserve"> adaptavimas Lietuvoje</w:t>
      </w:r>
      <w:bookmarkEnd w:id="34"/>
      <w:r w:rsidRPr="001E73B0">
        <w:t xml:space="preserve"> </w:t>
      </w:r>
    </w:p>
    <w:p w:rsidR="00BC50A6" w:rsidRPr="001E73B0" w:rsidRDefault="00BC50A6" w:rsidP="00D109C9">
      <w:pPr>
        <w:pStyle w:val="tekstas"/>
      </w:pPr>
      <w:r w:rsidRPr="001E73B0">
        <w:t xml:space="preserve">Vaikams ir jauniems žmonėms, kuriems yra būdingas nusikalstamas, delinkventinis elgesys, šiuo metu trūksta efektyvių paslaugų, programų ar kitokio pobūdžio priemonių, kurios padėtų vaikams ir jaunuoliams sėkmingai keisti socialiai nepriimtiną elgesį. Tad analizuojama priemonė yra hipotetinė – kas būtų, jei vaikams ir jauniems žmonėms, kurie yra padarę nusikalstamų veikų ir </w:t>
      </w:r>
      <w:r w:rsidRPr="001E73B0">
        <w:lastRenderedPageBreak/>
        <w:t xml:space="preserve">kuriems būdingos kitos elgesio problemos, vietoje šiuo metu taikomų poveikio priemonių būtų skirta </w:t>
      </w:r>
      <w:proofErr w:type="spellStart"/>
      <w:r w:rsidRPr="001E73B0">
        <w:t>Multidimensinės</w:t>
      </w:r>
      <w:proofErr w:type="spellEnd"/>
      <w:r w:rsidRPr="001E73B0">
        <w:t xml:space="preserve"> šeimos terapijos programa (toliau – MDFT). MDFT yra įrodymais grįsta, integruota, visapusiška, į šeimą orientuota elgesio keitimo programa vaikams ir jauniems žmonėms, turintiems rimtų elgesio problemų ir jau padariusiems nusikalstamų veiksmų.</w:t>
      </w:r>
    </w:p>
    <w:p w:rsidR="00BC50A6" w:rsidRPr="001E73B0" w:rsidRDefault="00BC50A6" w:rsidP="00D109C9">
      <w:pPr>
        <w:pStyle w:val="tekstas"/>
      </w:pPr>
      <w:r w:rsidRPr="001E73B0">
        <w:t xml:space="preserve">Pagrindiniai analizuojami aspektai yra priemonės poveikis vaikų ir jaunų žmonių socialiai nepriimtinam elgesiui, dėl kurio jiems yra skiriama arba vidutinės priežiūros priemonė pagal LR Minimalios ir vidutinės priežiūros įstatymą (t.y., socializacijos centras), arba jiems yra didelė rizika patekti į nepilnamečių pataisos namus; taip pat, grėsmė sirgti priklausomybe nuo alkoholio ar kitų narkotinių medžiagų. MDFT programa yra skirta vaikams ir jaunuoliams, kurie yra padarę nusikalstamų veiksmų ir, tuo pačiu metu, jiems yra būdingas papildomas socialiai nepriimtinas elgesys arba kelios elgesio problemos (pvz., piktnaudžiavimas alkoholiu ar kitomis psichotropinėmis medžiagomis, agresyvus elgesys, piktybiškas mokyklos nelankymas ar kitoks panašaus pobūdžio elgesys). Todėl priemonė poveikis vertinamas per jos poveikį vaikų ir jaunų žmonių nusikalstamumui, apgyvendinimui socializacijos centre arba bausmės atlikimui nepilnamečių pataisos namuose bei alkoholio ir kitų narkotinių medžiagų vartojimui.  </w:t>
      </w:r>
    </w:p>
    <w:p w:rsidR="00BC50A6" w:rsidRPr="001E73B0" w:rsidRDefault="00BC50A6" w:rsidP="00BC50A6">
      <w:pPr>
        <w:ind w:firstLine="426"/>
        <w:jc w:val="both"/>
        <w:rPr>
          <w:rFonts w:asciiTheme="minorHAnsi" w:hAnsiTheme="minorHAnsi"/>
          <w:color w:val="666666"/>
          <w:szCs w:val="24"/>
        </w:rPr>
      </w:pPr>
    </w:p>
    <w:tbl>
      <w:tblPr>
        <w:tblStyle w:val="viesussraas1parykinimas"/>
        <w:tblW w:w="0" w:type="auto"/>
        <w:tblLook w:val="04A0" w:firstRow="1" w:lastRow="0" w:firstColumn="1" w:lastColumn="0" w:noHBand="0" w:noVBand="1"/>
      </w:tblPr>
      <w:tblGrid>
        <w:gridCol w:w="4652"/>
        <w:gridCol w:w="4629"/>
      </w:tblGrid>
      <w:tr w:rsidR="00BC50A6" w:rsidRPr="00CB36FC" w:rsidTr="000C51D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81" w:type="dxa"/>
            <w:gridSpan w:val="2"/>
          </w:tcPr>
          <w:p w:rsidR="00BC50A6" w:rsidRPr="00CB36FC" w:rsidRDefault="00BC50A6" w:rsidP="000C51D2">
            <w:pPr>
              <w:jc w:val="center"/>
              <w:rPr>
                <w:rFonts w:ascii="Calibri" w:hAnsi="Calibri" w:cs="Calibri"/>
                <w:sz w:val="20"/>
              </w:rPr>
            </w:pPr>
            <w:r w:rsidRPr="00CB36FC">
              <w:rPr>
                <w:rFonts w:ascii="Calibri" w:hAnsi="Calibri" w:cs="Calibri"/>
                <w:sz w:val="20"/>
              </w:rPr>
              <w:t>Pagrindiniai faktai apie projektą</w:t>
            </w:r>
          </w:p>
        </w:tc>
      </w:tr>
      <w:tr w:rsidR="00BC50A6" w:rsidRPr="00CB36FC" w:rsidTr="000C5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2" w:type="dxa"/>
          </w:tcPr>
          <w:p w:rsidR="00BC50A6" w:rsidRPr="00CB36FC" w:rsidRDefault="00BC50A6" w:rsidP="000C51D2">
            <w:pPr>
              <w:rPr>
                <w:rFonts w:ascii="Calibri" w:hAnsi="Calibri" w:cs="Calibri"/>
                <w:b w:val="0"/>
                <w:sz w:val="20"/>
              </w:rPr>
            </w:pPr>
            <w:r w:rsidRPr="00CB36FC">
              <w:rPr>
                <w:rFonts w:ascii="Calibri" w:hAnsi="Calibri" w:cs="Calibri"/>
                <w:b w:val="0"/>
                <w:sz w:val="20"/>
              </w:rPr>
              <w:t>Priemonės įgyvendinimo metai</w:t>
            </w:r>
          </w:p>
        </w:tc>
        <w:tc>
          <w:tcPr>
            <w:tcW w:w="4629" w:type="dxa"/>
          </w:tcPr>
          <w:p w:rsidR="00BC50A6" w:rsidRPr="00CB36FC" w:rsidRDefault="00BC50A6" w:rsidP="000C51D2">
            <w:pPr>
              <w:cnfStyle w:val="000000100000" w:firstRow="0" w:lastRow="0" w:firstColumn="0" w:lastColumn="0" w:oddVBand="0" w:evenVBand="0" w:oddHBand="1" w:evenHBand="0" w:firstRowFirstColumn="0" w:firstRowLastColumn="0" w:lastRowFirstColumn="0" w:lastRowLastColumn="0"/>
              <w:rPr>
                <w:rFonts w:ascii="Calibri" w:hAnsi="Calibri" w:cs="Calibri"/>
                <w:sz w:val="20"/>
              </w:rPr>
            </w:pPr>
            <w:r w:rsidRPr="00CB36FC">
              <w:rPr>
                <w:rFonts w:ascii="Calibri" w:hAnsi="Calibri" w:cs="Calibri"/>
                <w:sz w:val="20"/>
              </w:rPr>
              <w:t xml:space="preserve">Skaičiuojama nauda 5 metų laikotarpiu </w:t>
            </w:r>
          </w:p>
        </w:tc>
      </w:tr>
      <w:tr w:rsidR="00BC50A6" w:rsidRPr="00CB36FC" w:rsidTr="000C51D2">
        <w:tc>
          <w:tcPr>
            <w:cnfStyle w:val="001000000000" w:firstRow="0" w:lastRow="0" w:firstColumn="1" w:lastColumn="0" w:oddVBand="0" w:evenVBand="0" w:oddHBand="0" w:evenHBand="0" w:firstRowFirstColumn="0" w:firstRowLastColumn="0" w:lastRowFirstColumn="0" w:lastRowLastColumn="0"/>
            <w:tcW w:w="4652" w:type="dxa"/>
          </w:tcPr>
          <w:p w:rsidR="00BC50A6" w:rsidRPr="00CB36FC" w:rsidRDefault="00BC50A6" w:rsidP="000C51D2">
            <w:pPr>
              <w:rPr>
                <w:rFonts w:ascii="Calibri" w:hAnsi="Calibri" w:cs="Calibri"/>
                <w:b w:val="0"/>
                <w:sz w:val="20"/>
              </w:rPr>
            </w:pPr>
            <w:r w:rsidRPr="00CB36FC">
              <w:rPr>
                <w:rFonts w:ascii="Calibri" w:hAnsi="Calibri" w:cs="Calibri"/>
                <w:b w:val="0"/>
                <w:sz w:val="20"/>
              </w:rPr>
              <w:t>MDFT specialistų komandų skaičius</w:t>
            </w:r>
          </w:p>
        </w:tc>
        <w:tc>
          <w:tcPr>
            <w:tcW w:w="4629" w:type="dxa"/>
          </w:tcPr>
          <w:p w:rsidR="00BC50A6" w:rsidRPr="00CB36FC" w:rsidRDefault="00BC50A6" w:rsidP="000C51D2">
            <w:pPr>
              <w:cnfStyle w:val="000000000000" w:firstRow="0" w:lastRow="0" w:firstColumn="0" w:lastColumn="0" w:oddVBand="0" w:evenVBand="0" w:oddHBand="0" w:evenHBand="0" w:firstRowFirstColumn="0" w:firstRowLastColumn="0" w:lastRowFirstColumn="0" w:lastRowLastColumn="0"/>
              <w:rPr>
                <w:rFonts w:ascii="Calibri" w:hAnsi="Calibri" w:cs="Calibri"/>
                <w:sz w:val="20"/>
              </w:rPr>
            </w:pPr>
            <w:r w:rsidRPr="00CB36FC">
              <w:rPr>
                <w:rFonts w:ascii="Calibri" w:hAnsi="Calibri" w:cs="Calibri"/>
                <w:sz w:val="20"/>
              </w:rPr>
              <w:t xml:space="preserve">3 (45 specialistai) </w:t>
            </w:r>
          </w:p>
        </w:tc>
      </w:tr>
      <w:tr w:rsidR="00BC50A6" w:rsidRPr="00CB36FC" w:rsidTr="000C5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2" w:type="dxa"/>
          </w:tcPr>
          <w:p w:rsidR="00BC50A6" w:rsidRPr="00CB36FC" w:rsidRDefault="00BC50A6" w:rsidP="000C51D2">
            <w:pPr>
              <w:rPr>
                <w:rFonts w:ascii="Calibri" w:hAnsi="Calibri" w:cs="Calibri"/>
                <w:b w:val="0"/>
                <w:sz w:val="20"/>
              </w:rPr>
            </w:pPr>
            <w:r w:rsidRPr="00CB36FC">
              <w:rPr>
                <w:rFonts w:ascii="Calibri" w:hAnsi="Calibri" w:cs="Calibri"/>
                <w:b w:val="0"/>
                <w:sz w:val="20"/>
              </w:rPr>
              <w:t>Atvejų skaičius per 5 metus (vaikai ir jaunuoliai bei jų artimoji aplinka)</w:t>
            </w:r>
          </w:p>
        </w:tc>
        <w:tc>
          <w:tcPr>
            <w:tcW w:w="4629" w:type="dxa"/>
          </w:tcPr>
          <w:p w:rsidR="00BC50A6" w:rsidRPr="00CB36FC" w:rsidRDefault="00BC50A6" w:rsidP="000C51D2">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20"/>
              </w:rPr>
            </w:pPr>
            <w:r w:rsidRPr="00CB36FC">
              <w:rPr>
                <w:rFonts w:ascii="Calibri" w:hAnsi="Calibri" w:cs="Calibri"/>
                <w:bCs/>
                <w:color w:val="000000"/>
                <w:sz w:val="20"/>
              </w:rPr>
              <w:t>270</w:t>
            </w:r>
          </w:p>
        </w:tc>
      </w:tr>
      <w:tr w:rsidR="00BC50A6" w:rsidRPr="00CB36FC" w:rsidTr="000C51D2">
        <w:tc>
          <w:tcPr>
            <w:cnfStyle w:val="001000000000" w:firstRow="0" w:lastRow="0" w:firstColumn="1" w:lastColumn="0" w:oddVBand="0" w:evenVBand="0" w:oddHBand="0" w:evenHBand="0" w:firstRowFirstColumn="0" w:firstRowLastColumn="0" w:lastRowFirstColumn="0" w:lastRowLastColumn="0"/>
            <w:tcW w:w="4652" w:type="dxa"/>
          </w:tcPr>
          <w:p w:rsidR="00BC50A6" w:rsidRPr="00CB36FC" w:rsidRDefault="00BC50A6" w:rsidP="000C51D2">
            <w:pPr>
              <w:rPr>
                <w:rFonts w:ascii="Calibri" w:hAnsi="Calibri" w:cs="Calibri"/>
                <w:b w:val="0"/>
                <w:sz w:val="20"/>
              </w:rPr>
            </w:pPr>
            <w:r w:rsidRPr="00CB36FC">
              <w:rPr>
                <w:rFonts w:ascii="Calibri" w:hAnsi="Calibri" w:cs="Calibri"/>
                <w:b w:val="0"/>
                <w:sz w:val="20"/>
              </w:rPr>
              <w:t>Nusikalstamos veikos, kurių padarymu įtariami (kaltinami) nepilnamečiai (2017 m.)</w:t>
            </w:r>
          </w:p>
        </w:tc>
        <w:tc>
          <w:tcPr>
            <w:tcW w:w="4629" w:type="dxa"/>
          </w:tcPr>
          <w:p w:rsidR="00BC50A6" w:rsidRPr="00CB36FC" w:rsidRDefault="00BC50A6" w:rsidP="000C51D2">
            <w:pP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 w:val="20"/>
              </w:rPr>
            </w:pPr>
            <w:r w:rsidRPr="00CB36FC">
              <w:rPr>
                <w:rFonts w:ascii="Calibri" w:hAnsi="Calibri" w:cs="Calibri"/>
                <w:bCs/>
                <w:color w:val="000000"/>
                <w:sz w:val="20"/>
              </w:rPr>
              <w:t>1918</w:t>
            </w:r>
          </w:p>
        </w:tc>
      </w:tr>
      <w:tr w:rsidR="00BC50A6" w:rsidRPr="00CB36FC" w:rsidTr="000C51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52" w:type="dxa"/>
          </w:tcPr>
          <w:p w:rsidR="00BC50A6" w:rsidRPr="00CB36FC" w:rsidRDefault="00BC50A6" w:rsidP="000C51D2">
            <w:pPr>
              <w:rPr>
                <w:rFonts w:ascii="Calibri" w:hAnsi="Calibri" w:cs="Calibri"/>
                <w:b w:val="0"/>
                <w:sz w:val="20"/>
              </w:rPr>
            </w:pPr>
            <w:r w:rsidRPr="00CB36FC">
              <w:rPr>
                <w:rFonts w:ascii="Calibri" w:hAnsi="Calibri" w:cs="Calibri"/>
                <w:b w:val="0"/>
                <w:sz w:val="20"/>
              </w:rPr>
              <w:t>Nepilnamečių, įtariamų (kaltinamų) padarius nusikalstamas veikas (2017 m.)</w:t>
            </w:r>
          </w:p>
        </w:tc>
        <w:tc>
          <w:tcPr>
            <w:tcW w:w="4629" w:type="dxa"/>
          </w:tcPr>
          <w:p w:rsidR="00BC50A6" w:rsidRPr="00CB36FC" w:rsidRDefault="00BC50A6" w:rsidP="000C51D2">
            <w:pPr>
              <w:cnfStyle w:val="000000100000" w:firstRow="0" w:lastRow="0" w:firstColumn="0" w:lastColumn="0" w:oddVBand="0" w:evenVBand="0" w:oddHBand="1" w:evenHBand="0" w:firstRowFirstColumn="0" w:firstRowLastColumn="0" w:lastRowFirstColumn="0" w:lastRowLastColumn="0"/>
              <w:rPr>
                <w:rFonts w:ascii="Calibri" w:hAnsi="Calibri" w:cs="Calibri"/>
                <w:bCs/>
                <w:color w:val="000000"/>
                <w:sz w:val="20"/>
              </w:rPr>
            </w:pPr>
            <w:r w:rsidRPr="00CB36FC">
              <w:rPr>
                <w:rFonts w:ascii="Calibri" w:hAnsi="Calibri" w:cs="Calibri"/>
                <w:bCs/>
                <w:color w:val="000000"/>
                <w:sz w:val="20"/>
              </w:rPr>
              <w:t>1649</w:t>
            </w:r>
          </w:p>
        </w:tc>
      </w:tr>
    </w:tbl>
    <w:p w:rsidR="00BC50A6" w:rsidRPr="001E73B0" w:rsidRDefault="00BC50A6" w:rsidP="00BC50A6">
      <w:pPr>
        <w:rPr>
          <w:rFonts w:ascii="Calibri" w:hAnsi="Calibri" w:cs="Calibri"/>
        </w:rPr>
      </w:pPr>
    </w:p>
    <w:p w:rsidR="00BC50A6" w:rsidRPr="008A5B79" w:rsidRDefault="008A5B79" w:rsidP="008A5B79">
      <w:pPr>
        <w:pStyle w:val="tekstas"/>
      </w:pPr>
      <w:r>
        <w:t>Atlikus analizę</w:t>
      </w:r>
      <w:r w:rsidR="000B7F6C">
        <w:t>, paaiškėjo, kad t</w:t>
      </w:r>
      <w:r w:rsidR="00BC50A6" w:rsidRPr="001E73B0">
        <w:t>ikėtina priemonės nauda Lie</w:t>
      </w:r>
      <w:r w:rsidR="00185654">
        <w:t>tuvo</w:t>
      </w:r>
      <w:r w:rsidR="007817E6">
        <w:t>s visuomenei yra 27 974 131 euras</w:t>
      </w:r>
      <w:r w:rsidR="00BC50A6" w:rsidRPr="001E73B0">
        <w:t xml:space="preserve">, o priemonės kaštai – 2 49 000 </w:t>
      </w:r>
      <w:r w:rsidR="00185654">
        <w:t>eurų</w:t>
      </w:r>
      <w:r w:rsidR="00BC50A6" w:rsidRPr="001E73B0">
        <w:t xml:space="preserve">. Šios priemonės gryna nauda Lietuvos visuomenei yra apie 25 484 131 </w:t>
      </w:r>
      <w:r w:rsidR="007817E6">
        <w:t>euras</w:t>
      </w:r>
      <w:r w:rsidR="00BC50A6" w:rsidRPr="001E73B0">
        <w:t>. Projekto baziniai metai yra 2018 m., išskyrus nusikalstamų veikų ir nepilnamečių, įtariamų (kaltinamų) padarius nusikalstamas veikas skaičių, kurie yra iš 2017 m. Visos vertės yra pateiktos 201</w:t>
      </w:r>
      <w:r>
        <w:t>8 m. kainomis.</w:t>
      </w:r>
    </w:p>
    <w:p w:rsidR="00BC50A6" w:rsidRPr="001E73B0" w:rsidRDefault="00BC50A6" w:rsidP="008A5B79">
      <w:pPr>
        <w:pStyle w:val="tekstas"/>
      </w:pPr>
      <w:r w:rsidRPr="001E73B0">
        <w:t xml:space="preserve">Tikėtina, kad bendra intervencijos grąža </w:t>
      </w:r>
      <w:r w:rsidR="008A5B79">
        <w:t>gali būti net</w:t>
      </w:r>
      <w:r w:rsidRPr="001E73B0">
        <w:t xml:space="preserve"> didesnė, nes MDFT programos reikšmingas aspektas yra tas, kad dirbama ne tik su pačiu vaiku/jaunuoliu, bet ir su jo artimąja aplinka, kuri turi reikšmingą poveikį vaiko elgesiui, t.</w:t>
      </w:r>
      <w:r w:rsidR="00D109C9">
        <w:t xml:space="preserve"> y.</w:t>
      </w:r>
      <w:r w:rsidRPr="001E73B0">
        <w:t xml:space="preserve"> tėvais ir kitais šeimos nariais, mokykla, atsižvelgiama į vaiko laisvalaikio užsiėmimus, apimant ir draugus, su kuriais vaikais leidžia laiką. Todėl priemonė pvz., prisideda prie vaiko ir tėvų santykių sustiprėjimo, pagerėjusių vaiko santykių mokykloje ir pan., kas sukuria papildomą naudą. Be to, MDFT programa veiksmingai padeda spręsti vaiko/jaunuolio psichinės sveikatos iššūkius, pagerina vaiko/jaunuolio pasiekimus mokykloje ir ženkliai sustiprina šeimos funkcionavimą. Todėl tikėtina, kad realus priemonės poveikis yra dar didesnis. </w:t>
      </w:r>
    </w:p>
    <w:p w:rsidR="00BC50A6" w:rsidRPr="001E73B0" w:rsidRDefault="00BC50A6" w:rsidP="00BC50A6">
      <w:pPr>
        <w:ind w:firstLine="426"/>
        <w:jc w:val="both"/>
        <w:rPr>
          <w:rFonts w:asciiTheme="minorHAnsi" w:hAnsiTheme="minorHAnsi"/>
          <w:color w:val="666666"/>
          <w:szCs w:val="24"/>
        </w:rPr>
      </w:pPr>
      <w:r w:rsidRPr="001E73B0">
        <w:rPr>
          <w:rFonts w:asciiTheme="minorHAnsi" w:hAnsiTheme="minorHAnsi"/>
          <w:color w:val="666666"/>
          <w:szCs w:val="24"/>
        </w:rPr>
        <w:t xml:space="preserve">Vaikams ir jauniems žmonėms, kuriems būdingos kompleksinės elgesio problemos, tokios kaip polinkis nusikalsti, alkoholio ir kitų narkotinių medžiagų vartojimas, agresyvus elgesys, bėgimas iš namų, piktybinis mokyklos nelankymas ir pan., dažniausiai yra skiriama vidutinės priežiūros priemonė, t.y., socializacijos centras. Taigi, apsaugant vaikus nuo socializacijos centro būtų galima išvengti vaiko išlaikymo centre kaštų. Taip pat, kadangi MDFT sėkmingai prisideda prie vaikų ir jaunų žmonių nusikalstamo elgesio mažinimo, būtų galima išvengti papildomų nusikaltimų bei su jais susijusių administravimo kaštų visuomenei. Galimi  nusikalstamumų administravimo kaštų sutaupymai apskaičiuoti remiantis leidinyje „Metodikos ir modelio, skirto įvertinti investicijų, finansuojamų </w:t>
      </w:r>
      <w:r w:rsidR="004D53E2">
        <w:rPr>
          <w:rFonts w:asciiTheme="minorHAnsi" w:hAnsiTheme="minorHAnsi"/>
          <w:color w:val="666666"/>
          <w:szCs w:val="24"/>
        </w:rPr>
        <w:t>Eur</w:t>
      </w:r>
      <w:r w:rsidRPr="001E73B0">
        <w:rPr>
          <w:rFonts w:asciiTheme="minorHAnsi" w:hAnsiTheme="minorHAnsi"/>
          <w:color w:val="666666"/>
          <w:szCs w:val="24"/>
        </w:rPr>
        <w:t xml:space="preserve">opos Sąjungos struktūrinių fondų ir Lietuvos nacionalinio biudžeto lėšomis, </w:t>
      </w:r>
      <w:r w:rsidRPr="001E73B0">
        <w:rPr>
          <w:rFonts w:asciiTheme="minorHAnsi" w:hAnsiTheme="minorHAnsi"/>
          <w:color w:val="666666"/>
          <w:szCs w:val="24"/>
        </w:rPr>
        <w:lastRenderedPageBreak/>
        <w:t xml:space="preserve">socialinį-ekonominį poveikį, sukūrimas“ pateiktas įverčiais, perskaičiuojant juos 2018 m. kainomis; taip pat, Lietuvos nusikaltimų statistika, duomenimis iš LR Švietimo ir mokslo ministerijos ir Kauno nepilnamečių tardymo izoliatoriaus-pataisos namų apie šiuo metu vaikams ir jaunuoliams taikomų poveikio priemonių kaštus (pvz., vieno vaiko išlaikymo socializacijos centre kaina per mėnesį) Priemonės naudos visuomenei vertė iš sutaupytų nusikalstamumo administravimo kaštų yra 3 168 720 </w:t>
      </w:r>
      <w:r w:rsidR="004D53E2">
        <w:rPr>
          <w:rFonts w:asciiTheme="minorHAnsi" w:hAnsiTheme="minorHAnsi"/>
          <w:color w:val="666666"/>
          <w:szCs w:val="24"/>
        </w:rPr>
        <w:t>eurų</w:t>
      </w:r>
      <w:r w:rsidRPr="001E73B0">
        <w:rPr>
          <w:rFonts w:asciiTheme="minorHAnsi" w:hAnsiTheme="minorHAnsi"/>
          <w:color w:val="666666"/>
          <w:szCs w:val="24"/>
        </w:rPr>
        <w:t xml:space="preserve">, iš sutaupytų vaikų išlaikymo socializacijos centre kaštų – 17 997 120 </w:t>
      </w:r>
      <w:r w:rsidR="004D53E2">
        <w:rPr>
          <w:rFonts w:asciiTheme="minorHAnsi" w:hAnsiTheme="minorHAnsi"/>
          <w:color w:val="666666"/>
          <w:szCs w:val="24"/>
        </w:rPr>
        <w:t>eurų</w:t>
      </w:r>
      <w:r w:rsidRPr="001E73B0">
        <w:rPr>
          <w:rFonts w:asciiTheme="minorHAnsi" w:hAnsiTheme="minorHAnsi"/>
          <w:color w:val="666666"/>
          <w:szCs w:val="24"/>
        </w:rPr>
        <w:t xml:space="preserve">, pataisos namuose – 5 184 000 </w:t>
      </w:r>
      <w:r w:rsidR="004D53E2">
        <w:rPr>
          <w:rFonts w:asciiTheme="minorHAnsi" w:hAnsiTheme="minorHAnsi"/>
          <w:color w:val="666666"/>
          <w:szCs w:val="24"/>
        </w:rPr>
        <w:t>eurų</w:t>
      </w:r>
      <w:r w:rsidRPr="001E73B0">
        <w:rPr>
          <w:rFonts w:asciiTheme="minorHAnsi" w:hAnsiTheme="minorHAnsi"/>
          <w:color w:val="666666"/>
          <w:szCs w:val="24"/>
        </w:rPr>
        <w:t>.</w:t>
      </w:r>
    </w:p>
    <w:p w:rsidR="00BC50A6" w:rsidRPr="001E73B0" w:rsidRDefault="00BC50A6" w:rsidP="00BC50A6">
      <w:pPr>
        <w:ind w:firstLine="426"/>
        <w:jc w:val="both"/>
        <w:rPr>
          <w:rFonts w:asciiTheme="minorHAnsi" w:hAnsiTheme="minorHAnsi"/>
          <w:color w:val="666666"/>
          <w:szCs w:val="24"/>
        </w:rPr>
      </w:pPr>
      <w:r w:rsidRPr="001E73B0">
        <w:rPr>
          <w:rFonts w:asciiTheme="minorHAnsi" w:hAnsiTheme="minorHAnsi"/>
          <w:color w:val="666666"/>
          <w:szCs w:val="24"/>
        </w:rPr>
        <w:t xml:space="preserve">Taip pat, tyrimais yra įrodyta, kad MDFT padeda sėkmingai spręsti vaikų ir jaunų žmonių alkoholio ir kitų narkotinių medžiagų vartojimą (apie 75 proc. sėkmingų atvejų). Todėl priemonės naudos visuomenei vertė iš sutaupytų priklausomybių nuo alkoholio ir kitų narkotinių medžiagų gydymo kaštų sudaro papildomai apie 1 624 291 </w:t>
      </w:r>
      <w:r w:rsidR="004D53E2">
        <w:rPr>
          <w:rFonts w:asciiTheme="minorHAnsi" w:hAnsiTheme="minorHAnsi"/>
          <w:color w:val="666666"/>
          <w:szCs w:val="24"/>
        </w:rPr>
        <w:t>eurą</w:t>
      </w:r>
      <w:r w:rsidRPr="001E73B0">
        <w:rPr>
          <w:rFonts w:asciiTheme="minorHAnsi" w:hAnsiTheme="minorHAnsi"/>
          <w:color w:val="666666"/>
          <w:szCs w:val="24"/>
        </w:rPr>
        <w:t>.</w:t>
      </w:r>
    </w:p>
    <w:p w:rsidR="00BC50A6" w:rsidRPr="000B7F6C" w:rsidRDefault="00B22E09" w:rsidP="000B7F6C">
      <w:pPr>
        <w:pStyle w:val="antrat3zz"/>
      </w:pPr>
      <w:bookmarkStart w:id="35" w:name="_Toc528660906"/>
      <w:r>
        <w:t>K</w:t>
      </w:r>
      <w:r w:rsidR="00BC50A6" w:rsidRPr="000B7F6C">
        <w:t>aštai</w:t>
      </w:r>
      <w:bookmarkEnd w:id="35"/>
    </w:p>
    <w:p w:rsidR="00BC50A6" w:rsidRPr="001E73B0" w:rsidRDefault="00BC50A6" w:rsidP="00BC50A6">
      <w:pPr>
        <w:ind w:firstLine="426"/>
        <w:jc w:val="both"/>
        <w:rPr>
          <w:rFonts w:asciiTheme="minorHAnsi" w:hAnsiTheme="minorHAnsi"/>
          <w:color w:val="666666"/>
          <w:szCs w:val="24"/>
        </w:rPr>
      </w:pPr>
      <w:r w:rsidRPr="001E73B0">
        <w:rPr>
          <w:rFonts w:asciiTheme="minorHAnsi" w:hAnsiTheme="minorHAnsi"/>
          <w:color w:val="666666"/>
          <w:szCs w:val="24"/>
        </w:rPr>
        <w:t>Vaikai/jaunuoliai, kurie pasižymi delinkventiniu, nusikalstamu elgesiu neretai pagal LR Minimalios ir vidutinės priežiūros įstatymą yra apgyvendina</w:t>
      </w:r>
      <w:r w:rsidR="004D53E2">
        <w:rPr>
          <w:rFonts w:asciiTheme="minorHAnsi" w:hAnsiTheme="minorHAnsi"/>
          <w:color w:val="666666"/>
          <w:szCs w:val="24"/>
        </w:rPr>
        <w:t xml:space="preserve">mi socializacijos centruose. </w:t>
      </w:r>
      <w:r w:rsidRPr="001E73B0">
        <w:rPr>
          <w:rFonts w:asciiTheme="minorHAnsi" w:hAnsiTheme="minorHAnsi"/>
          <w:color w:val="666666"/>
          <w:szCs w:val="24"/>
        </w:rPr>
        <w:t xml:space="preserve">Švietimo ir mokslo ministerijos duomenimis (2018 m.), vieno vaiko išlaikymas socializacijos centre kainuoja apie 2083 </w:t>
      </w:r>
      <w:r w:rsidR="00185654">
        <w:rPr>
          <w:rFonts w:asciiTheme="minorHAnsi" w:hAnsiTheme="minorHAnsi"/>
          <w:color w:val="666666"/>
          <w:szCs w:val="24"/>
        </w:rPr>
        <w:t>e</w:t>
      </w:r>
      <w:r w:rsidR="000B7F6C">
        <w:rPr>
          <w:rFonts w:asciiTheme="minorHAnsi" w:hAnsiTheme="minorHAnsi"/>
          <w:color w:val="666666"/>
          <w:szCs w:val="24"/>
        </w:rPr>
        <w:t>urų</w:t>
      </w:r>
      <w:r w:rsidRPr="001E73B0">
        <w:rPr>
          <w:rFonts w:asciiTheme="minorHAnsi" w:hAnsiTheme="minorHAnsi"/>
          <w:color w:val="666666"/>
          <w:szCs w:val="24"/>
        </w:rPr>
        <w:t xml:space="preserve"> per mėnesį. Socializacijos centras yra vidutinės priežiūros priemonė, kuri skiriama vaikui 12 mėnesių laikotarpiui (pagal LR Minimalios ir vidutinės priežiūros įstatymą). Realiai, išlaidos būtų dar didesnės, nes reikėtų atsižvelgti į tai, kad dėl darbo su šeima stoka, kol vaikas gyvena socializacijos centre, taip pat dėl tęstinio darbo stokos, kai vaikas grįžta į savo gyvenamąją aplinką, daliai vaikų socializacijos centras yra skiriamas pakartotinai arba vaiko/jaunuolio buvimo laikas yra pratęsiamas, t.y., kaštai išauga. </w:t>
      </w:r>
    </w:p>
    <w:p w:rsidR="00BC50A6" w:rsidRPr="001E73B0" w:rsidRDefault="00BC50A6" w:rsidP="00BC50A6">
      <w:pPr>
        <w:ind w:firstLine="426"/>
        <w:jc w:val="both"/>
        <w:rPr>
          <w:rFonts w:asciiTheme="minorHAnsi" w:hAnsiTheme="minorHAnsi"/>
          <w:color w:val="666666"/>
          <w:szCs w:val="24"/>
        </w:rPr>
      </w:pPr>
      <w:r w:rsidRPr="001E73B0">
        <w:rPr>
          <w:rFonts w:asciiTheme="minorHAnsi" w:hAnsiTheme="minorHAnsi"/>
          <w:color w:val="666666"/>
          <w:szCs w:val="24"/>
        </w:rPr>
        <w:t>Dėl aukščiau nurodytų priežasčių, daliai vaikų/jaunuolių socializacijos centras gali būti neefektyvi elgesio keitimo priemonė. Todėl yra tikimybė, kad jie padarys rimtesnius nusižengimus ar nusikaltimus. Tokiu atveju skaičiuojama, kad šie jaunuoliai papildomai kainuotų valstybei, dėl kaštų, kurie atsirastų, jei nepilnamečiai padarytų rimtesnių nusikaltimų ir atsidurtų nepilnamečių pataisos namuose. Kauno nepilnamečių tardymo izoliatoriuje</w:t>
      </w:r>
      <w:proofErr w:type="gramStart"/>
      <w:r w:rsidRPr="001E73B0">
        <w:rPr>
          <w:rFonts w:asciiTheme="minorHAnsi" w:hAnsiTheme="minorHAnsi"/>
          <w:color w:val="666666"/>
          <w:szCs w:val="24"/>
        </w:rPr>
        <w:t>-</w:t>
      </w:r>
      <w:proofErr w:type="gramEnd"/>
      <w:r w:rsidRPr="001E73B0">
        <w:rPr>
          <w:rFonts w:asciiTheme="minorHAnsi" w:hAnsiTheme="minorHAnsi"/>
          <w:color w:val="666666"/>
          <w:szCs w:val="24"/>
        </w:rPr>
        <w:t>pataisos namuose 1 jaunuolio išlaiky</w:t>
      </w:r>
      <w:r w:rsidR="000B7F6C">
        <w:rPr>
          <w:rFonts w:asciiTheme="minorHAnsi" w:hAnsiTheme="minorHAnsi"/>
          <w:color w:val="666666"/>
          <w:szCs w:val="24"/>
        </w:rPr>
        <w:t xml:space="preserve">mo išlaidos sudaro apie 1200 </w:t>
      </w:r>
      <w:r w:rsidR="00185654">
        <w:rPr>
          <w:rFonts w:asciiTheme="minorHAnsi" w:hAnsiTheme="minorHAnsi"/>
          <w:color w:val="666666"/>
          <w:szCs w:val="24"/>
        </w:rPr>
        <w:t>eurų</w:t>
      </w:r>
      <w:r w:rsidRPr="001E73B0">
        <w:rPr>
          <w:rFonts w:asciiTheme="minorHAnsi" w:hAnsiTheme="minorHAnsi"/>
          <w:color w:val="666666"/>
          <w:szCs w:val="24"/>
        </w:rPr>
        <w:t xml:space="preserve"> per mėnesį. Atsižvelgiant į tai, kad MDFT programa apima tikslinę grupę, kuriai būdingas delinkventinis, nusikalstamas elgesys, remiamasi prielaida, kad bent pusė visų vaikų/jaunuolių, kurie negautų MDFT programos paslaugų, padarys rimtesnius nusižengimus ar nusikaltimus, ir jiems skirta bausmė bus mažiausiai vienerių metų trukmės. Realiai, kaštai būtų dar didesni, nes įstaigos duomenimis, apie 13 proc. lygtinai paleistų nepilnamečių sugrįžta į įstaigą (dėl apribojimų nesilaikymo, papildomų nusikaltimų). </w:t>
      </w:r>
    </w:p>
    <w:p w:rsidR="00BC50A6" w:rsidRPr="001E73B0" w:rsidRDefault="00BC50A6" w:rsidP="00BC50A6">
      <w:pPr>
        <w:ind w:firstLine="426"/>
        <w:jc w:val="both"/>
        <w:rPr>
          <w:rFonts w:asciiTheme="minorHAnsi" w:hAnsiTheme="minorHAnsi"/>
          <w:color w:val="666666"/>
          <w:szCs w:val="24"/>
        </w:rPr>
      </w:pPr>
      <w:r w:rsidRPr="001E73B0">
        <w:rPr>
          <w:rFonts w:asciiTheme="minorHAnsi" w:hAnsiTheme="minorHAnsi"/>
          <w:color w:val="666666"/>
          <w:szCs w:val="24"/>
        </w:rPr>
        <w:t xml:space="preserve">Galiausiai, MDFT programa siekiama mažinti vaikų ir jaunų žmonių nusikalstamą elgesį. Lietuvos statistikos departamento duomenimis, 2017 m. buvo ištirta 1918 nusikalstamų veikų, kurių padarymu įtariami (kaltinami) nepilnamečiai. Nepilnamečių, įtariamų (kaltinamų) padarius nusikalstamas veikas tais metais skaičius – 1649 asmenys. Tai reiškia, kad vienas asmuo padaro apie 1,16 nusikaltimo. Didžiausią dalį visų nusikaltimų sudaro vagystės (daugiausia – įsibraunant į gyvenamąsias patalpas) bei sunkūs ir labai sunkūs nusikaltimai. </w:t>
      </w:r>
    </w:p>
    <w:p w:rsidR="00BC50A6" w:rsidRPr="001E73B0" w:rsidRDefault="00BC50A6" w:rsidP="00BC50A6">
      <w:pPr>
        <w:ind w:firstLine="426"/>
        <w:jc w:val="both"/>
        <w:rPr>
          <w:rFonts w:asciiTheme="minorHAnsi" w:hAnsiTheme="minorHAnsi"/>
          <w:color w:val="666666"/>
          <w:szCs w:val="24"/>
        </w:rPr>
      </w:pPr>
      <w:r w:rsidRPr="001E73B0">
        <w:rPr>
          <w:rFonts w:asciiTheme="minorHAnsi" w:hAnsiTheme="minorHAnsi"/>
          <w:color w:val="666666"/>
          <w:szCs w:val="24"/>
        </w:rPr>
        <w:t>Vagystės administravimo kaštai (1 nusikaltimo,</w:t>
      </w:r>
      <w:r w:rsidR="00185654">
        <w:rPr>
          <w:rFonts w:asciiTheme="minorHAnsi" w:hAnsiTheme="minorHAnsi"/>
          <w:color w:val="666666"/>
          <w:szCs w:val="24"/>
        </w:rPr>
        <w:t xml:space="preserve"> įsilaužius į bustą) būtų 932</w:t>
      </w:r>
      <w:r w:rsidRPr="001E73B0">
        <w:rPr>
          <w:rFonts w:asciiTheme="minorHAnsi" w:hAnsiTheme="minorHAnsi"/>
          <w:color w:val="666666"/>
          <w:szCs w:val="24"/>
        </w:rPr>
        <w:t xml:space="preserve"> </w:t>
      </w:r>
      <w:r w:rsidR="004D53E2">
        <w:rPr>
          <w:rFonts w:asciiTheme="minorHAnsi" w:hAnsiTheme="minorHAnsi"/>
          <w:color w:val="666666"/>
          <w:szCs w:val="24"/>
        </w:rPr>
        <w:t>eurų</w:t>
      </w:r>
      <w:r w:rsidRPr="001E73B0">
        <w:rPr>
          <w:rFonts w:asciiTheme="minorHAnsi" w:hAnsiTheme="minorHAnsi"/>
          <w:color w:val="666666"/>
          <w:szCs w:val="24"/>
        </w:rPr>
        <w:t xml:space="preserve"> (2018 m.). Sunkių sveikatos sutrikdymų administravimo k</w:t>
      </w:r>
      <w:r w:rsidR="00185654">
        <w:rPr>
          <w:rFonts w:asciiTheme="minorHAnsi" w:hAnsiTheme="minorHAnsi"/>
          <w:color w:val="666666"/>
          <w:szCs w:val="24"/>
        </w:rPr>
        <w:t>aštai (1 nusikaltimo) – 11754</w:t>
      </w:r>
      <w:r w:rsidRPr="001E73B0">
        <w:rPr>
          <w:rFonts w:asciiTheme="minorHAnsi" w:hAnsiTheme="minorHAnsi"/>
          <w:color w:val="666666"/>
          <w:szCs w:val="24"/>
        </w:rPr>
        <w:t xml:space="preserve"> </w:t>
      </w:r>
      <w:r w:rsidR="004D53E2">
        <w:rPr>
          <w:rFonts w:asciiTheme="minorHAnsi" w:hAnsiTheme="minorHAnsi"/>
          <w:color w:val="666666"/>
          <w:szCs w:val="24"/>
        </w:rPr>
        <w:t>eurų</w:t>
      </w:r>
      <w:r w:rsidRPr="001E73B0">
        <w:rPr>
          <w:rFonts w:asciiTheme="minorHAnsi" w:hAnsiTheme="minorHAnsi"/>
          <w:color w:val="666666"/>
          <w:szCs w:val="24"/>
        </w:rPr>
        <w:t xml:space="preserve"> (2018 m.). Kadangi 2017 m. buvo padarytos 637 vagystės ir 229 sunkūs ir labai sunkūs nusikaltimai</w:t>
      </w:r>
      <w:r w:rsidRPr="001E73B0">
        <w:rPr>
          <w:rFonts w:asciiTheme="minorHAnsi" w:hAnsiTheme="minorHAnsi"/>
          <w:color w:val="666666"/>
          <w:szCs w:val="24"/>
          <w:vertAlign w:val="superscript"/>
        </w:rPr>
        <w:footnoteReference w:id="18"/>
      </w:r>
      <w:r w:rsidRPr="001E73B0">
        <w:rPr>
          <w:rFonts w:asciiTheme="minorHAnsi" w:hAnsiTheme="minorHAnsi"/>
          <w:color w:val="666666"/>
          <w:szCs w:val="24"/>
        </w:rPr>
        <w:t>, vieno nusikaltimo administra</w:t>
      </w:r>
      <w:r w:rsidR="000B7F6C">
        <w:rPr>
          <w:rFonts w:asciiTheme="minorHAnsi" w:hAnsiTheme="minorHAnsi"/>
          <w:color w:val="666666"/>
          <w:szCs w:val="24"/>
        </w:rPr>
        <w:t>vimo išlaidų vidurkis – 3542 eurų</w:t>
      </w:r>
      <w:r w:rsidRPr="001E73B0">
        <w:rPr>
          <w:rFonts w:asciiTheme="minorHAnsi" w:hAnsiTheme="minorHAnsi"/>
          <w:color w:val="666666"/>
          <w:szCs w:val="24"/>
        </w:rPr>
        <w:t>. Skaičiuojama, kad vienas vaikas padarytų po 1,1</w:t>
      </w:r>
      <w:r w:rsidR="00D109C9">
        <w:rPr>
          <w:rFonts w:asciiTheme="minorHAnsi" w:hAnsiTheme="minorHAnsi"/>
          <w:color w:val="666666"/>
          <w:szCs w:val="24"/>
        </w:rPr>
        <w:t>6 nusikaltimo, t. y.</w:t>
      </w:r>
      <w:r w:rsidR="00185654">
        <w:rPr>
          <w:rFonts w:asciiTheme="minorHAnsi" w:hAnsiTheme="minorHAnsi"/>
          <w:color w:val="666666"/>
          <w:szCs w:val="24"/>
        </w:rPr>
        <w:t xml:space="preserve"> 4401</w:t>
      </w:r>
      <w:r w:rsidR="005F54DB">
        <w:rPr>
          <w:rFonts w:asciiTheme="minorHAnsi" w:hAnsiTheme="minorHAnsi"/>
          <w:color w:val="666666"/>
          <w:szCs w:val="24"/>
        </w:rPr>
        <w:t xml:space="preserve"> euras</w:t>
      </w:r>
      <w:r w:rsidRPr="001E73B0">
        <w:rPr>
          <w:rFonts w:asciiTheme="minorHAnsi" w:hAnsiTheme="minorHAnsi"/>
          <w:color w:val="666666"/>
          <w:szCs w:val="24"/>
        </w:rPr>
        <w:t xml:space="preserve">. </w:t>
      </w:r>
    </w:p>
    <w:p w:rsidR="00BC50A6" w:rsidRDefault="00BC50A6" w:rsidP="00BC50A6">
      <w:pPr>
        <w:ind w:firstLine="426"/>
        <w:jc w:val="both"/>
        <w:rPr>
          <w:rFonts w:asciiTheme="minorHAnsi" w:hAnsiTheme="minorHAnsi"/>
          <w:color w:val="666666"/>
          <w:szCs w:val="24"/>
        </w:rPr>
      </w:pPr>
      <w:r w:rsidRPr="001E73B0">
        <w:rPr>
          <w:rFonts w:asciiTheme="minorHAnsi" w:hAnsiTheme="minorHAnsi"/>
          <w:color w:val="666666"/>
          <w:szCs w:val="24"/>
        </w:rPr>
        <w:t xml:space="preserve">Papildomai, kaštai galėtų būti sutaupyti iš sumažėjusio alkoholio ir kitų narkotinių medžiagų vartojimo. Tyrimai rodo, kad MDFT programa ženkliai prisideda prie vaikų/jaunuolių narkotinių </w:t>
      </w:r>
      <w:r w:rsidRPr="001E73B0">
        <w:rPr>
          <w:rFonts w:asciiTheme="minorHAnsi" w:hAnsiTheme="minorHAnsi"/>
          <w:color w:val="666666"/>
          <w:szCs w:val="24"/>
        </w:rPr>
        <w:lastRenderedPageBreak/>
        <w:t xml:space="preserve">medžiagų vartojimo sumažėjimo. Estijos MDFT programos vertinimas parodė, kad toks sumažėjimas siekia iki 75 proc. Šiuo atveju remiamasi Vilniaus priklausomybės ligų centro kainomis, kai vieno lovadienio kaina Vaikų ir jaunimo reabilitacijos skyriuje yra apie 64,41 </w:t>
      </w:r>
      <w:r w:rsidR="007817E6">
        <w:rPr>
          <w:rFonts w:asciiTheme="minorHAnsi" w:hAnsiTheme="minorHAnsi"/>
          <w:color w:val="666666"/>
          <w:szCs w:val="24"/>
        </w:rPr>
        <w:t>euro</w:t>
      </w:r>
      <w:r w:rsidRPr="001E73B0">
        <w:rPr>
          <w:rFonts w:asciiTheme="minorHAnsi" w:hAnsiTheme="minorHAnsi"/>
          <w:color w:val="666666"/>
          <w:szCs w:val="24"/>
        </w:rPr>
        <w:t xml:space="preserve">, o vidutinė gydymo trukmė nuo alkoholio ar kitų narkotinių medžiagų yra apie 46,70 dienų.  </w:t>
      </w:r>
    </w:p>
    <w:p w:rsidR="00B1108C" w:rsidRPr="007D7D34" w:rsidRDefault="004D53E2" w:rsidP="004D53E2">
      <w:pPr>
        <w:pStyle w:val="antrat2ZZ"/>
      </w:pPr>
      <w:bookmarkStart w:id="36" w:name="_Toc528660907"/>
      <w:r>
        <w:t>Kognityvinės elgesio terapijos programa</w:t>
      </w:r>
      <w:bookmarkEnd w:id="36"/>
    </w:p>
    <w:p w:rsidR="00187028" w:rsidRDefault="00187028" w:rsidP="00187028">
      <w:pPr>
        <w:pStyle w:val="tekstas"/>
        <w:rPr>
          <w:rFonts w:eastAsia="+mn-ea"/>
          <w:bCs/>
        </w:rPr>
      </w:pPr>
      <w:r>
        <w:rPr>
          <w:rFonts w:eastAsia="+mn-ea"/>
          <w:bCs/>
        </w:rPr>
        <w:t>Atlikta</w:t>
      </w:r>
      <w:r w:rsidRPr="00045D86">
        <w:rPr>
          <w:rFonts w:eastAsia="+mn-ea"/>
          <w:bCs/>
        </w:rPr>
        <w:t xml:space="preserve"> analizė rodo, kad Kognityvinės elgesio terapijos programos </w:t>
      </w:r>
      <w:r w:rsidRPr="00045D86">
        <w:rPr>
          <w:rFonts w:eastAsia="+mn-ea"/>
          <w:b/>
          <w:bCs/>
        </w:rPr>
        <w:t xml:space="preserve">grynoji dabartinė vertė (NPV) galėtų siekti 692,19 </w:t>
      </w:r>
      <w:r>
        <w:rPr>
          <w:rFonts w:eastAsia="+mn-ea"/>
          <w:b/>
          <w:bCs/>
        </w:rPr>
        <w:t>eurų</w:t>
      </w:r>
      <w:r w:rsidRPr="00045D86">
        <w:rPr>
          <w:rFonts w:eastAsia="+mn-ea"/>
          <w:bCs/>
        </w:rPr>
        <w:t xml:space="preserve">. Grynoji dabartinė vertė išskaičiuota vienam programoje dalyvavusiam ir teigiamą poveikį patyrusiam asmeniui. </w:t>
      </w:r>
      <w:r w:rsidRPr="00045D86">
        <w:rPr>
          <w:rFonts w:eastAsia="+mn-ea"/>
          <w:b/>
          <w:bCs/>
        </w:rPr>
        <w:t xml:space="preserve">Programos grynoji dabartinė nauda galėtų vidutiniškai siekti apie 1141,85 </w:t>
      </w:r>
      <w:r>
        <w:rPr>
          <w:rFonts w:eastAsia="+mn-ea"/>
          <w:b/>
          <w:bCs/>
        </w:rPr>
        <w:t>Eurų</w:t>
      </w:r>
      <w:r w:rsidRPr="00045D86">
        <w:rPr>
          <w:rFonts w:eastAsia="+mn-ea"/>
          <w:b/>
          <w:bCs/>
        </w:rPr>
        <w:t>/asmeniui</w:t>
      </w:r>
      <w:r w:rsidRPr="00045D86">
        <w:rPr>
          <w:rFonts w:eastAsia="+mn-ea"/>
          <w:bCs/>
        </w:rPr>
        <w:t xml:space="preserve">. </w:t>
      </w:r>
      <w:r w:rsidRPr="00045D86">
        <w:rPr>
          <w:rFonts w:eastAsia="+mn-ea"/>
          <w:b/>
          <w:bCs/>
        </w:rPr>
        <w:t>N</w:t>
      </w:r>
      <w:r w:rsidR="00D109C9">
        <w:rPr>
          <w:rFonts w:eastAsia="+mn-ea"/>
          <w:b/>
          <w:bCs/>
        </w:rPr>
        <w:t>audos–</w:t>
      </w:r>
      <w:r w:rsidRPr="00045D86">
        <w:rPr>
          <w:rFonts w:eastAsia="+mn-ea"/>
          <w:b/>
          <w:bCs/>
        </w:rPr>
        <w:t xml:space="preserve">kaštų santykis 1:2,54 </w:t>
      </w:r>
      <w:r>
        <w:rPr>
          <w:rFonts w:eastAsia="+mn-ea"/>
          <w:b/>
          <w:bCs/>
        </w:rPr>
        <w:t>eurų</w:t>
      </w:r>
      <w:r w:rsidRPr="00045D86">
        <w:rPr>
          <w:rFonts w:eastAsia="+mn-ea"/>
          <w:b/>
          <w:bCs/>
        </w:rPr>
        <w:t xml:space="preserve">. Kitaip tariant, vieno investuoto </w:t>
      </w:r>
      <w:r>
        <w:rPr>
          <w:rFonts w:eastAsia="+mn-ea"/>
          <w:b/>
          <w:bCs/>
        </w:rPr>
        <w:t>eur</w:t>
      </w:r>
      <w:r w:rsidRPr="00045D86">
        <w:rPr>
          <w:rFonts w:eastAsia="+mn-ea"/>
          <w:b/>
          <w:bCs/>
        </w:rPr>
        <w:t xml:space="preserve">o generuojama grąža 2,54 </w:t>
      </w:r>
      <w:r>
        <w:rPr>
          <w:rFonts w:eastAsia="+mn-ea"/>
          <w:b/>
          <w:bCs/>
        </w:rPr>
        <w:t>eurų</w:t>
      </w:r>
      <w:r w:rsidRPr="00045D86">
        <w:rPr>
          <w:rFonts w:eastAsia="+mn-ea"/>
          <w:b/>
          <w:bCs/>
        </w:rPr>
        <w:t>.</w:t>
      </w:r>
      <w:r w:rsidRPr="00045D86">
        <w:rPr>
          <w:rFonts w:eastAsia="+mn-ea"/>
          <w:bCs/>
        </w:rPr>
        <w:t xml:space="preserve"> </w:t>
      </w:r>
      <w:r>
        <w:rPr>
          <w:rFonts w:eastAsia="+mn-ea"/>
          <w:bCs/>
        </w:rPr>
        <w:t xml:space="preserve">Atkreiptinas dėmesys, kad KET programos nauda vertinta tik trumpuoju laikotarpiu (1–3 metai). Taip pat reikėtų atkreipti dėmesį, kad vertinimas atliktas tik tikslinei populiacijai, kuri dalyvautų gaunant KET paslaugas projekto metu. Įdiegus tokio pobūdžio paslaugas šalies mastu, tikėtina, kad KET investicinė grąža būtų ženkliai didesnė. Pavyzdžiui, JAV Vašingtono valstijos viešosios politikos institutas (VVVPI) yra </w:t>
      </w:r>
      <w:r w:rsidR="00D109C9">
        <w:rPr>
          <w:rFonts w:eastAsia="+mn-ea"/>
          <w:bCs/>
        </w:rPr>
        <w:t>atlikęs KET taikymo vaikams (12–</w:t>
      </w:r>
      <w:r>
        <w:rPr>
          <w:rFonts w:eastAsia="+mn-ea"/>
          <w:bCs/>
        </w:rPr>
        <w:t>17 metų amžiaus) patyrusiems potrauminį stresą kaštų naudos analizę. Apskaičiuota ilgalaikė (50 metų laikotarpiui) KET grynoji dabartinė vertė galimai siektų apie 9246 JAV dolerių. Skaičiuojant naudą buvo vertinama galimos darbo užmokesčio pajamos ir išvengti sveikatos priežiūros kaštai ateityje</w:t>
      </w:r>
      <w:r>
        <w:rPr>
          <w:rStyle w:val="Puslapioinaosnuoroda"/>
          <w:rFonts w:ascii="Times New Roman" w:eastAsia="+mn-ea" w:hAnsi="Times New Roman"/>
          <w:bCs/>
        </w:rPr>
        <w:footnoteReference w:id="19"/>
      </w:r>
      <w:r>
        <w:rPr>
          <w:rFonts w:eastAsia="+mn-ea"/>
          <w:bCs/>
        </w:rPr>
        <w:t>.</w:t>
      </w:r>
    </w:p>
    <w:p w:rsidR="00187028" w:rsidRDefault="00187028" w:rsidP="00187028">
      <w:pPr>
        <w:pStyle w:val="tekstas"/>
        <w:rPr>
          <w:rFonts w:eastAsia="+mn-ea"/>
          <w:bCs/>
        </w:rPr>
      </w:pPr>
    </w:p>
    <w:tbl>
      <w:tblPr>
        <w:tblStyle w:val="viesussraas1parykinimas"/>
        <w:tblW w:w="0" w:type="auto"/>
        <w:tblLook w:val="04A0" w:firstRow="1" w:lastRow="0" w:firstColumn="1" w:lastColumn="0" w:noHBand="0" w:noVBand="1"/>
      </w:tblPr>
      <w:tblGrid>
        <w:gridCol w:w="6000"/>
        <w:gridCol w:w="3854"/>
      </w:tblGrid>
      <w:tr w:rsidR="00187028" w:rsidRPr="00CB36FC" w:rsidTr="001B11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2"/>
          </w:tcPr>
          <w:p w:rsidR="00187028" w:rsidRPr="00CB36FC" w:rsidRDefault="00187028" w:rsidP="001B11A6">
            <w:pPr>
              <w:pStyle w:val="tekstas"/>
              <w:jc w:val="center"/>
              <w:rPr>
                <w:sz w:val="20"/>
                <w:szCs w:val="20"/>
              </w:rPr>
            </w:pPr>
            <w:r w:rsidRPr="00CB36FC">
              <w:rPr>
                <w:color w:val="FFFFFF" w:themeColor="background1"/>
                <w:sz w:val="20"/>
                <w:szCs w:val="20"/>
              </w:rPr>
              <w:t>Pagrindinė informacija apie intervenciją</w:t>
            </w:r>
          </w:p>
        </w:tc>
      </w:tr>
      <w:tr w:rsidR="00187028" w:rsidRPr="00CB36FC" w:rsidTr="001B1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Programos įgyvendinimo trukmė</w:t>
            </w:r>
          </w:p>
        </w:tc>
        <w:tc>
          <w:tcPr>
            <w:tcW w:w="3854" w:type="dxa"/>
          </w:tcPr>
          <w:p w:rsidR="00187028" w:rsidRPr="00CB36FC" w:rsidRDefault="00187028" w:rsidP="001B11A6">
            <w:pPr>
              <w:pStyle w:val="tekstas"/>
              <w:cnfStyle w:val="000000100000" w:firstRow="0" w:lastRow="0" w:firstColumn="0" w:lastColumn="0" w:oddVBand="0" w:evenVBand="0" w:oddHBand="1" w:evenHBand="0" w:firstRowFirstColumn="0" w:firstRowLastColumn="0" w:lastRowFirstColumn="0" w:lastRowLastColumn="0"/>
              <w:rPr>
                <w:sz w:val="20"/>
                <w:szCs w:val="20"/>
              </w:rPr>
            </w:pPr>
            <w:r w:rsidRPr="00CB36FC">
              <w:rPr>
                <w:sz w:val="20"/>
                <w:szCs w:val="20"/>
              </w:rPr>
              <w:t>3 metai</w:t>
            </w:r>
          </w:p>
        </w:tc>
      </w:tr>
      <w:tr w:rsidR="00187028" w:rsidRPr="00CB36FC" w:rsidTr="001B11A6">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Programoje dalyvaujanti tikslinė grupė</w:t>
            </w:r>
          </w:p>
        </w:tc>
        <w:tc>
          <w:tcPr>
            <w:tcW w:w="3854" w:type="dxa"/>
          </w:tcPr>
          <w:p w:rsidR="00187028" w:rsidRPr="00CB36FC" w:rsidRDefault="00187028" w:rsidP="001B11A6">
            <w:pPr>
              <w:pStyle w:val="tekstas"/>
              <w:cnfStyle w:val="000000000000" w:firstRow="0" w:lastRow="0" w:firstColumn="0" w:lastColumn="0" w:oddVBand="0" w:evenVBand="0" w:oddHBand="0" w:evenHBand="0" w:firstRowFirstColumn="0" w:firstRowLastColumn="0" w:lastRowFirstColumn="0" w:lastRowLastColumn="0"/>
              <w:rPr>
                <w:sz w:val="20"/>
                <w:szCs w:val="20"/>
              </w:rPr>
            </w:pPr>
            <w:r w:rsidRPr="00CB36FC">
              <w:rPr>
                <w:sz w:val="20"/>
                <w:szCs w:val="20"/>
              </w:rPr>
              <w:t>Nuo 14 iki 65 ir vyresni</w:t>
            </w:r>
          </w:p>
        </w:tc>
      </w:tr>
      <w:tr w:rsidR="00187028" w:rsidRPr="00CB36FC" w:rsidTr="001B1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Tikslinės grupės asmenų skaičius</w:t>
            </w:r>
          </w:p>
        </w:tc>
        <w:tc>
          <w:tcPr>
            <w:tcW w:w="3854" w:type="dxa"/>
          </w:tcPr>
          <w:p w:rsidR="00187028" w:rsidRPr="00CB36FC" w:rsidRDefault="00187028" w:rsidP="001B11A6">
            <w:pPr>
              <w:pStyle w:val="tekstas"/>
              <w:cnfStyle w:val="000000100000" w:firstRow="0" w:lastRow="0" w:firstColumn="0" w:lastColumn="0" w:oddVBand="0" w:evenVBand="0" w:oddHBand="1" w:evenHBand="0" w:firstRowFirstColumn="0" w:firstRowLastColumn="0" w:lastRowFirstColumn="0" w:lastRowLastColumn="0"/>
              <w:rPr>
                <w:sz w:val="20"/>
                <w:szCs w:val="20"/>
              </w:rPr>
            </w:pPr>
            <w:r w:rsidRPr="00CB36FC">
              <w:rPr>
                <w:sz w:val="20"/>
                <w:szCs w:val="20"/>
              </w:rPr>
              <w:t>9319</w:t>
            </w:r>
          </w:p>
        </w:tc>
      </w:tr>
      <w:tr w:rsidR="00187028" w:rsidRPr="00CB36FC" w:rsidTr="001B11A6">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Programos įgyvendinimo kaštai</w:t>
            </w:r>
          </w:p>
        </w:tc>
        <w:tc>
          <w:tcPr>
            <w:tcW w:w="3854" w:type="dxa"/>
          </w:tcPr>
          <w:p w:rsidR="00187028" w:rsidRPr="00CB36FC" w:rsidRDefault="00187028" w:rsidP="001B11A6">
            <w:pPr>
              <w:pStyle w:val="tekstas"/>
              <w:cnfStyle w:val="000000000000" w:firstRow="0" w:lastRow="0" w:firstColumn="0" w:lastColumn="0" w:oddVBand="0" w:evenVBand="0" w:oddHBand="0" w:evenHBand="0" w:firstRowFirstColumn="0" w:firstRowLastColumn="0" w:lastRowFirstColumn="0" w:lastRowLastColumn="0"/>
              <w:rPr>
                <w:sz w:val="20"/>
                <w:szCs w:val="20"/>
              </w:rPr>
            </w:pPr>
            <w:r w:rsidRPr="00CB36FC">
              <w:rPr>
                <w:sz w:val="20"/>
                <w:szCs w:val="20"/>
              </w:rPr>
              <w:t>€1 600 000</w:t>
            </w:r>
          </w:p>
        </w:tc>
      </w:tr>
      <w:tr w:rsidR="00187028" w:rsidRPr="00CB36FC" w:rsidTr="001B1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4" w:type="dxa"/>
            <w:gridSpan w:val="2"/>
            <w:shd w:val="clear" w:color="auto" w:fill="4F81BD" w:themeFill="accent1"/>
          </w:tcPr>
          <w:p w:rsidR="00187028" w:rsidRPr="00CB36FC" w:rsidRDefault="00187028" w:rsidP="001B11A6">
            <w:pPr>
              <w:pStyle w:val="tekstas"/>
              <w:jc w:val="center"/>
              <w:rPr>
                <w:sz w:val="20"/>
                <w:szCs w:val="20"/>
              </w:rPr>
            </w:pPr>
            <w:r w:rsidRPr="00CB36FC">
              <w:rPr>
                <w:color w:val="FFFFFF" w:themeColor="background1"/>
                <w:sz w:val="20"/>
                <w:szCs w:val="20"/>
              </w:rPr>
              <w:t>Rezultatai</w:t>
            </w:r>
          </w:p>
        </w:tc>
      </w:tr>
      <w:tr w:rsidR="00187028" w:rsidRPr="00CB36FC" w:rsidTr="001B11A6">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Diskonto norma</w:t>
            </w:r>
          </w:p>
        </w:tc>
        <w:tc>
          <w:tcPr>
            <w:tcW w:w="3854" w:type="dxa"/>
          </w:tcPr>
          <w:p w:rsidR="00187028" w:rsidRPr="00CB36FC" w:rsidRDefault="00187028" w:rsidP="001B11A6">
            <w:pPr>
              <w:pStyle w:val="tekstas"/>
              <w:cnfStyle w:val="000000000000" w:firstRow="0" w:lastRow="0" w:firstColumn="0" w:lastColumn="0" w:oddVBand="0" w:evenVBand="0" w:oddHBand="0" w:evenHBand="0" w:firstRowFirstColumn="0" w:firstRowLastColumn="0" w:lastRowFirstColumn="0" w:lastRowLastColumn="0"/>
              <w:rPr>
                <w:sz w:val="20"/>
                <w:szCs w:val="20"/>
              </w:rPr>
            </w:pPr>
            <w:r w:rsidRPr="00CB36FC">
              <w:rPr>
                <w:sz w:val="20"/>
                <w:szCs w:val="20"/>
              </w:rPr>
              <w:t>3</w:t>
            </w:r>
            <w:r w:rsidR="00185654">
              <w:rPr>
                <w:sz w:val="20"/>
                <w:szCs w:val="20"/>
              </w:rPr>
              <w:t xml:space="preserve"> </w:t>
            </w:r>
            <w:r w:rsidRPr="00CB36FC">
              <w:rPr>
                <w:sz w:val="20"/>
                <w:szCs w:val="20"/>
              </w:rPr>
              <w:t>%</w:t>
            </w:r>
          </w:p>
        </w:tc>
      </w:tr>
      <w:tr w:rsidR="00187028" w:rsidRPr="00CB36FC" w:rsidTr="001B1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Asmenys, kurie galimai, pajaus teigiamą programos poveikį</w:t>
            </w:r>
          </w:p>
        </w:tc>
        <w:tc>
          <w:tcPr>
            <w:tcW w:w="3854" w:type="dxa"/>
          </w:tcPr>
          <w:p w:rsidR="00187028" w:rsidRPr="00CB36FC" w:rsidRDefault="00187028" w:rsidP="001B11A6">
            <w:pPr>
              <w:pStyle w:val="tekstas"/>
              <w:cnfStyle w:val="000000100000" w:firstRow="0" w:lastRow="0" w:firstColumn="0" w:lastColumn="0" w:oddVBand="0" w:evenVBand="0" w:oddHBand="1" w:evenHBand="0" w:firstRowFirstColumn="0" w:firstRowLastColumn="0" w:lastRowFirstColumn="0" w:lastRowLastColumn="0"/>
              <w:rPr>
                <w:sz w:val="20"/>
                <w:szCs w:val="20"/>
              </w:rPr>
            </w:pPr>
            <w:r w:rsidRPr="00CB36FC">
              <w:rPr>
                <w:sz w:val="20"/>
                <w:szCs w:val="20"/>
              </w:rPr>
              <w:t>2516 asmenys</w:t>
            </w:r>
            <w:r w:rsidRPr="00CB36FC">
              <w:rPr>
                <w:rStyle w:val="Puslapioinaosnuoroda"/>
                <w:rFonts w:ascii="Times New Roman" w:hAnsi="Times New Roman"/>
                <w:sz w:val="20"/>
                <w:szCs w:val="20"/>
              </w:rPr>
              <w:footnoteReference w:id="20"/>
            </w:r>
          </w:p>
        </w:tc>
      </w:tr>
      <w:tr w:rsidR="00187028" w:rsidRPr="00CB36FC" w:rsidTr="001B11A6">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Programos kaštai tenkantys vienam programos poveikį patyrusiam asmeniui</w:t>
            </w:r>
          </w:p>
        </w:tc>
        <w:tc>
          <w:tcPr>
            <w:tcW w:w="3854" w:type="dxa"/>
          </w:tcPr>
          <w:p w:rsidR="00187028" w:rsidRPr="00CB36FC" w:rsidRDefault="00187028" w:rsidP="001B11A6">
            <w:pPr>
              <w:pStyle w:val="tekstas"/>
              <w:cnfStyle w:val="000000000000" w:firstRow="0" w:lastRow="0" w:firstColumn="0" w:lastColumn="0" w:oddVBand="0" w:evenVBand="0" w:oddHBand="0" w:evenHBand="0" w:firstRowFirstColumn="0" w:firstRowLastColumn="0" w:lastRowFirstColumn="0" w:lastRowLastColumn="0"/>
              <w:rPr>
                <w:sz w:val="20"/>
                <w:szCs w:val="20"/>
              </w:rPr>
            </w:pPr>
            <w:r w:rsidRPr="00CB36FC">
              <w:rPr>
                <w:sz w:val="20"/>
                <w:szCs w:val="20"/>
              </w:rPr>
              <w:t>€635,87</w:t>
            </w:r>
          </w:p>
        </w:tc>
      </w:tr>
      <w:tr w:rsidR="00187028" w:rsidRPr="00CB36FC" w:rsidTr="001B1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Vienam programos poveikį patyrusiam asmeniui tenka per metus sutaupytų sveikatos priežiūros kaštų</w:t>
            </w:r>
          </w:p>
        </w:tc>
        <w:tc>
          <w:tcPr>
            <w:tcW w:w="3854" w:type="dxa"/>
          </w:tcPr>
          <w:p w:rsidR="00187028" w:rsidRPr="00CB36FC" w:rsidRDefault="00187028" w:rsidP="001B11A6">
            <w:pPr>
              <w:pStyle w:val="tekstas"/>
              <w:cnfStyle w:val="000000100000" w:firstRow="0" w:lastRow="0" w:firstColumn="0" w:lastColumn="0" w:oddVBand="0" w:evenVBand="0" w:oddHBand="1" w:evenHBand="0" w:firstRowFirstColumn="0" w:firstRowLastColumn="0" w:lastRowFirstColumn="0" w:lastRowLastColumn="0"/>
              <w:rPr>
                <w:sz w:val="20"/>
                <w:szCs w:val="20"/>
              </w:rPr>
            </w:pPr>
            <w:r w:rsidRPr="00CB36FC">
              <w:rPr>
                <w:sz w:val="20"/>
                <w:szCs w:val="20"/>
              </w:rPr>
              <w:t>€66,47</w:t>
            </w:r>
            <w:r w:rsidRPr="00CB36FC">
              <w:rPr>
                <w:rStyle w:val="Puslapioinaosnuoroda"/>
                <w:rFonts w:ascii="Times New Roman" w:hAnsi="Times New Roman"/>
                <w:sz w:val="20"/>
                <w:szCs w:val="20"/>
              </w:rPr>
              <w:footnoteReference w:id="21"/>
            </w:r>
          </w:p>
        </w:tc>
      </w:tr>
      <w:tr w:rsidR="00187028" w:rsidRPr="00CB36FC" w:rsidTr="001B11A6">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Vienam programos poveikį patyrusiam asmeniui tenka per metus sutaupytų išlaidų medikamentiniam gydymui</w:t>
            </w:r>
          </w:p>
        </w:tc>
        <w:tc>
          <w:tcPr>
            <w:tcW w:w="3854" w:type="dxa"/>
          </w:tcPr>
          <w:p w:rsidR="00187028" w:rsidRPr="00CB36FC" w:rsidRDefault="00187028" w:rsidP="001B11A6">
            <w:pPr>
              <w:pStyle w:val="tekstas"/>
              <w:cnfStyle w:val="000000000000" w:firstRow="0" w:lastRow="0" w:firstColumn="0" w:lastColumn="0" w:oddVBand="0" w:evenVBand="0" w:oddHBand="0" w:evenHBand="0" w:firstRowFirstColumn="0" w:firstRowLastColumn="0" w:lastRowFirstColumn="0" w:lastRowLastColumn="0"/>
              <w:rPr>
                <w:sz w:val="20"/>
                <w:szCs w:val="20"/>
              </w:rPr>
            </w:pPr>
            <w:r w:rsidRPr="00CB36FC">
              <w:rPr>
                <w:sz w:val="20"/>
                <w:szCs w:val="20"/>
              </w:rPr>
              <w:t>€56,77</w:t>
            </w:r>
            <w:r w:rsidRPr="00CB36FC">
              <w:rPr>
                <w:rStyle w:val="Puslapioinaosnuoroda"/>
                <w:rFonts w:ascii="Times New Roman" w:hAnsi="Times New Roman"/>
                <w:sz w:val="20"/>
                <w:szCs w:val="20"/>
              </w:rPr>
              <w:footnoteReference w:id="22"/>
            </w:r>
          </w:p>
        </w:tc>
      </w:tr>
      <w:tr w:rsidR="00187028" w:rsidRPr="00CB36FC" w:rsidTr="001B1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Vienam programos poveikį patyrusiam asmeniui tenka per metus sutaupytų išlaidų laikinojo nedarbingumo išmokoms</w:t>
            </w:r>
          </w:p>
        </w:tc>
        <w:tc>
          <w:tcPr>
            <w:tcW w:w="3854" w:type="dxa"/>
          </w:tcPr>
          <w:p w:rsidR="00187028" w:rsidRPr="00CB36FC" w:rsidRDefault="00187028" w:rsidP="001B11A6">
            <w:pPr>
              <w:pStyle w:val="tekstas"/>
              <w:cnfStyle w:val="000000100000" w:firstRow="0" w:lastRow="0" w:firstColumn="0" w:lastColumn="0" w:oddVBand="0" w:evenVBand="0" w:oddHBand="1" w:evenHBand="0" w:firstRowFirstColumn="0" w:firstRowLastColumn="0" w:lastRowFirstColumn="0" w:lastRowLastColumn="0"/>
              <w:rPr>
                <w:sz w:val="20"/>
                <w:szCs w:val="20"/>
              </w:rPr>
            </w:pPr>
            <w:r w:rsidRPr="00CB36FC">
              <w:rPr>
                <w:sz w:val="20"/>
                <w:szCs w:val="20"/>
              </w:rPr>
              <w:t>€27,96</w:t>
            </w:r>
          </w:p>
        </w:tc>
      </w:tr>
      <w:tr w:rsidR="00187028" w:rsidRPr="00CB36FC" w:rsidTr="001B11A6">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Asmenų, turinčių didelę riziką savižudybei skaičius</w:t>
            </w:r>
          </w:p>
        </w:tc>
        <w:tc>
          <w:tcPr>
            <w:tcW w:w="3854" w:type="dxa"/>
          </w:tcPr>
          <w:p w:rsidR="00187028" w:rsidRPr="00CB36FC" w:rsidRDefault="00187028" w:rsidP="001B11A6">
            <w:pPr>
              <w:pStyle w:val="tekstas"/>
              <w:cnfStyle w:val="000000000000" w:firstRow="0" w:lastRow="0" w:firstColumn="0" w:lastColumn="0" w:oddVBand="0" w:evenVBand="0" w:oddHBand="0" w:evenHBand="0" w:firstRowFirstColumn="0" w:firstRowLastColumn="0" w:lastRowFirstColumn="0" w:lastRowLastColumn="0"/>
              <w:rPr>
                <w:sz w:val="20"/>
                <w:szCs w:val="20"/>
              </w:rPr>
            </w:pPr>
            <w:r w:rsidRPr="00CB36FC">
              <w:rPr>
                <w:sz w:val="20"/>
                <w:szCs w:val="20"/>
              </w:rPr>
              <w:t>471</w:t>
            </w:r>
            <w:r w:rsidRPr="00CB36FC">
              <w:rPr>
                <w:rStyle w:val="Puslapioinaosnuoroda"/>
                <w:rFonts w:ascii="Times New Roman" w:hAnsi="Times New Roman"/>
                <w:sz w:val="20"/>
                <w:szCs w:val="20"/>
              </w:rPr>
              <w:footnoteReference w:id="23"/>
            </w:r>
          </w:p>
        </w:tc>
      </w:tr>
      <w:tr w:rsidR="00187028" w:rsidRPr="00CB36FC" w:rsidTr="001B1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Išsaugoti gyvenimo metai (pašalinus savižudybės riziką)</w:t>
            </w:r>
          </w:p>
        </w:tc>
        <w:tc>
          <w:tcPr>
            <w:tcW w:w="3854" w:type="dxa"/>
          </w:tcPr>
          <w:p w:rsidR="00187028" w:rsidRPr="00CB36FC" w:rsidRDefault="00187028" w:rsidP="001B11A6">
            <w:pPr>
              <w:pStyle w:val="tekstas"/>
              <w:cnfStyle w:val="000000100000" w:firstRow="0" w:lastRow="0" w:firstColumn="0" w:lastColumn="0" w:oddVBand="0" w:evenVBand="0" w:oddHBand="1" w:evenHBand="0" w:firstRowFirstColumn="0" w:firstRowLastColumn="0" w:lastRowFirstColumn="0" w:lastRowLastColumn="0"/>
              <w:rPr>
                <w:sz w:val="20"/>
                <w:szCs w:val="20"/>
              </w:rPr>
            </w:pPr>
            <w:r w:rsidRPr="00CB36FC">
              <w:rPr>
                <w:sz w:val="20"/>
                <w:szCs w:val="20"/>
              </w:rPr>
              <w:t>17627</w:t>
            </w:r>
            <w:r w:rsidRPr="00CB36FC">
              <w:rPr>
                <w:rStyle w:val="Puslapioinaosnuoroda"/>
                <w:rFonts w:ascii="Times New Roman" w:hAnsi="Times New Roman"/>
                <w:sz w:val="20"/>
                <w:szCs w:val="20"/>
              </w:rPr>
              <w:footnoteReference w:id="24"/>
            </w:r>
          </w:p>
        </w:tc>
      </w:tr>
      <w:tr w:rsidR="00187028" w:rsidRPr="00CB36FC" w:rsidTr="001B11A6">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lastRenderedPageBreak/>
              <w:t>Vienam KET paveiktam asmeniui tenka išsaugoto produktyvumo kaštų</w:t>
            </w:r>
          </w:p>
        </w:tc>
        <w:tc>
          <w:tcPr>
            <w:tcW w:w="3854" w:type="dxa"/>
          </w:tcPr>
          <w:p w:rsidR="00187028" w:rsidRPr="00CB36FC" w:rsidRDefault="00187028" w:rsidP="001B11A6">
            <w:pPr>
              <w:pStyle w:val="tekstas"/>
              <w:cnfStyle w:val="000000000000" w:firstRow="0" w:lastRow="0" w:firstColumn="0" w:lastColumn="0" w:oddVBand="0" w:evenVBand="0" w:oddHBand="0" w:evenHBand="0" w:firstRowFirstColumn="0" w:firstRowLastColumn="0" w:lastRowFirstColumn="0" w:lastRowLastColumn="0"/>
              <w:rPr>
                <w:sz w:val="20"/>
                <w:szCs w:val="20"/>
              </w:rPr>
            </w:pPr>
            <w:r w:rsidRPr="00CB36FC">
              <w:rPr>
                <w:sz w:val="20"/>
                <w:szCs w:val="20"/>
              </w:rPr>
              <w:t>€1491,47</w:t>
            </w:r>
            <w:r w:rsidRPr="00CB36FC">
              <w:rPr>
                <w:rStyle w:val="Puslapioinaosnuoroda"/>
                <w:rFonts w:ascii="Times New Roman" w:hAnsi="Times New Roman"/>
                <w:sz w:val="20"/>
                <w:szCs w:val="20"/>
              </w:rPr>
              <w:footnoteReference w:id="25"/>
            </w:r>
          </w:p>
        </w:tc>
      </w:tr>
      <w:tr w:rsidR="00187028" w:rsidRPr="00CB36FC" w:rsidTr="001B1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Programos vidutinė nauda (sutaupyti kaštai) KET teigiamą poveikį patyrusiam asmeniui</w:t>
            </w:r>
          </w:p>
        </w:tc>
        <w:tc>
          <w:tcPr>
            <w:tcW w:w="3854" w:type="dxa"/>
          </w:tcPr>
          <w:p w:rsidR="00187028" w:rsidRPr="00CB36FC" w:rsidRDefault="00187028" w:rsidP="001B11A6">
            <w:pPr>
              <w:pStyle w:val="tekstas"/>
              <w:cnfStyle w:val="000000100000" w:firstRow="0" w:lastRow="0" w:firstColumn="0" w:lastColumn="0" w:oddVBand="0" w:evenVBand="0" w:oddHBand="1" w:evenHBand="0" w:firstRowFirstColumn="0" w:firstRowLastColumn="0" w:lastRowFirstColumn="0" w:lastRowLastColumn="0"/>
              <w:rPr>
                <w:sz w:val="20"/>
                <w:szCs w:val="20"/>
              </w:rPr>
            </w:pPr>
            <w:r w:rsidRPr="00CB36FC">
              <w:rPr>
                <w:sz w:val="20"/>
                <w:szCs w:val="20"/>
              </w:rPr>
              <w:t>€1141,85</w:t>
            </w:r>
          </w:p>
        </w:tc>
      </w:tr>
      <w:tr w:rsidR="00187028" w:rsidRPr="00CB36FC" w:rsidTr="001B11A6">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Grynoji dabartinė KET programos nauda vienam asmeniui</w:t>
            </w:r>
          </w:p>
        </w:tc>
        <w:tc>
          <w:tcPr>
            <w:tcW w:w="3854" w:type="dxa"/>
          </w:tcPr>
          <w:p w:rsidR="00187028" w:rsidRPr="00CB36FC" w:rsidRDefault="00187028" w:rsidP="001B11A6">
            <w:pPr>
              <w:pStyle w:val="tekstas"/>
              <w:cnfStyle w:val="000000000000" w:firstRow="0" w:lastRow="0" w:firstColumn="0" w:lastColumn="0" w:oddVBand="0" w:evenVBand="0" w:oddHBand="0" w:evenHBand="0" w:firstRowFirstColumn="0" w:firstRowLastColumn="0" w:lastRowFirstColumn="0" w:lastRowLastColumn="0"/>
              <w:rPr>
                <w:sz w:val="20"/>
                <w:szCs w:val="20"/>
              </w:rPr>
            </w:pPr>
            <w:r w:rsidRPr="00CB36FC">
              <w:rPr>
                <w:sz w:val="20"/>
                <w:szCs w:val="20"/>
              </w:rPr>
              <w:t>€692,19</w:t>
            </w:r>
          </w:p>
        </w:tc>
      </w:tr>
      <w:tr w:rsidR="00187028" w:rsidRPr="00CB36FC" w:rsidTr="001B11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00" w:type="dxa"/>
          </w:tcPr>
          <w:p w:rsidR="00187028" w:rsidRPr="00CB36FC" w:rsidRDefault="00187028" w:rsidP="001B11A6">
            <w:pPr>
              <w:pStyle w:val="tekstas"/>
              <w:ind w:firstLine="0"/>
              <w:rPr>
                <w:b w:val="0"/>
                <w:sz w:val="20"/>
                <w:szCs w:val="20"/>
              </w:rPr>
            </w:pPr>
            <w:r w:rsidRPr="00CB36FC">
              <w:rPr>
                <w:b w:val="0"/>
                <w:sz w:val="20"/>
                <w:szCs w:val="20"/>
              </w:rPr>
              <w:t>Naudos–kaštų santykis</w:t>
            </w:r>
          </w:p>
        </w:tc>
        <w:tc>
          <w:tcPr>
            <w:tcW w:w="3854" w:type="dxa"/>
          </w:tcPr>
          <w:p w:rsidR="00187028" w:rsidRPr="00CB36FC" w:rsidRDefault="00187028" w:rsidP="001B11A6">
            <w:pPr>
              <w:pStyle w:val="tekstas"/>
              <w:cnfStyle w:val="000000100000" w:firstRow="0" w:lastRow="0" w:firstColumn="0" w:lastColumn="0" w:oddVBand="0" w:evenVBand="0" w:oddHBand="1" w:evenHBand="0" w:firstRowFirstColumn="0" w:firstRowLastColumn="0" w:lastRowFirstColumn="0" w:lastRowLastColumn="0"/>
              <w:rPr>
                <w:sz w:val="20"/>
                <w:szCs w:val="20"/>
              </w:rPr>
            </w:pPr>
            <w:r w:rsidRPr="00CB36FC">
              <w:rPr>
                <w:sz w:val="20"/>
                <w:szCs w:val="20"/>
              </w:rPr>
              <w:t xml:space="preserve">1:2,54 </w:t>
            </w:r>
          </w:p>
        </w:tc>
      </w:tr>
    </w:tbl>
    <w:p w:rsidR="00187028" w:rsidRPr="00187028" w:rsidRDefault="00187028" w:rsidP="00187028">
      <w:pPr>
        <w:pStyle w:val="tekstas"/>
        <w:rPr>
          <w:rFonts w:eastAsia="+mn-ea"/>
          <w:bCs/>
        </w:rPr>
      </w:pPr>
    </w:p>
    <w:p w:rsidR="00022531" w:rsidRDefault="00022531" w:rsidP="00022531">
      <w:pPr>
        <w:pStyle w:val="antrat3zz"/>
      </w:pPr>
      <w:bookmarkStart w:id="37" w:name="_Toc528660908"/>
      <w:r>
        <w:t>Kaštai</w:t>
      </w:r>
      <w:bookmarkEnd w:id="37"/>
    </w:p>
    <w:p w:rsidR="0007040F" w:rsidRDefault="0007040F" w:rsidP="0007040F">
      <w:pPr>
        <w:pStyle w:val="tekstas"/>
      </w:pPr>
      <w:r>
        <w:t>Didelės apimties tarptautiniai epidemiologiniai tyrimai rodo, kad apie 16 proc. populiacijos per gyvenimo trukmę patiria depresiją ar nerimo simptomus</w:t>
      </w:r>
      <w:r>
        <w:rPr>
          <w:rStyle w:val="Puslapioinaosnuoroda"/>
          <w:rFonts w:ascii="Times New Roman" w:hAnsi="Times New Roman"/>
        </w:rPr>
        <w:footnoteReference w:id="26"/>
      </w:r>
      <w:r>
        <w:t>. Jungtinės Karalystės (JK) mokslininkai yra paskaičiavę, kad 2009–2010 metais depresijos keliama ekonominė našta šalyje siekė apie 105 milijardus svarų sterlingų</w:t>
      </w:r>
      <w:r>
        <w:rPr>
          <w:rStyle w:val="Puslapioinaosnuoroda"/>
          <w:rFonts w:ascii="Times New Roman" w:hAnsi="Times New Roman"/>
        </w:rPr>
        <w:footnoteReference w:id="27"/>
      </w:r>
      <w:r>
        <w:t>. Iš jų, apie 7–10 milijardų svarų sterlingų sudarė socialinės išmokos dėl nedarbingumo asmenims, turintiems psichikos sveikatos problemų</w:t>
      </w:r>
      <w:r>
        <w:rPr>
          <w:rStyle w:val="Puslapioinaosnuoroda"/>
          <w:rFonts w:ascii="Times New Roman" w:hAnsi="Times New Roman"/>
        </w:rPr>
        <w:footnoteReference w:id="28"/>
      </w:r>
      <w:r>
        <w:t xml:space="preserve">. Siekdami spręsti psichikos sveikatos problemas JK mokslininkai parengė programą, skirtą pagerinti psichologinės terapijos gyventojams prieinamumą </w:t>
      </w:r>
      <w:proofErr w:type="gramStart"/>
      <w:r>
        <w:t>(</w:t>
      </w:r>
      <w:proofErr w:type="gramEnd"/>
      <w:r>
        <w:t xml:space="preserve">angl. </w:t>
      </w:r>
      <w:proofErr w:type="spellStart"/>
      <w:r w:rsidRPr="00332297">
        <w:rPr>
          <w:i/>
        </w:rPr>
        <w:t>Improving</w:t>
      </w:r>
      <w:proofErr w:type="spellEnd"/>
      <w:r w:rsidRPr="00332297">
        <w:rPr>
          <w:i/>
        </w:rPr>
        <w:t xml:space="preserve"> Access to </w:t>
      </w:r>
      <w:proofErr w:type="spellStart"/>
      <w:r w:rsidRPr="00332297">
        <w:rPr>
          <w:i/>
        </w:rPr>
        <w:t>Psychological</w:t>
      </w:r>
      <w:proofErr w:type="spellEnd"/>
      <w:r w:rsidRPr="00332297">
        <w:rPr>
          <w:i/>
        </w:rPr>
        <w:t xml:space="preserve"> </w:t>
      </w:r>
      <w:proofErr w:type="spellStart"/>
      <w:r w:rsidRPr="00332297">
        <w:rPr>
          <w:i/>
        </w:rPr>
        <w:t>Therapies</w:t>
      </w:r>
      <w:proofErr w:type="spellEnd"/>
      <w:r>
        <w:rPr>
          <w:i/>
        </w:rPr>
        <w:t xml:space="preserve"> (IAPT</w:t>
      </w:r>
      <w:proofErr w:type="gramStart"/>
      <w:r>
        <w:rPr>
          <w:i/>
        </w:rPr>
        <w:t>)</w:t>
      </w:r>
      <w:r>
        <w:t>)</w:t>
      </w:r>
      <w:proofErr w:type="gramEnd"/>
      <w:r>
        <w:rPr>
          <w:rStyle w:val="Puslapioinaosnuoroda"/>
          <w:rFonts w:ascii="Times New Roman" w:hAnsi="Times New Roman"/>
        </w:rPr>
        <w:footnoteReference w:id="29"/>
      </w:r>
      <w:r>
        <w:t>. Programos pagrindą sudaro Kognityvinės elgesio terapijos (toliau – KET) paslaugos. KET yra moksliniais įrodymais pagrįsta psichoterapija, kuri yra tokia pat veiksminga kaip ir vaistai gydant asmenis, sergančius depresija ar turinčius nerimo sutrikimų</w:t>
      </w:r>
      <w:r>
        <w:rPr>
          <w:rStyle w:val="Puslapioinaosnuoroda"/>
          <w:rFonts w:ascii="Times New Roman" w:hAnsi="Times New Roman"/>
        </w:rPr>
        <w:footnoteReference w:id="30"/>
      </w:r>
      <w:r>
        <w:t xml:space="preserve">. Kognityvinės elgesio terapijos, kurios esmę sudaro pokalbis, </w:t>
      </w:r>
      <w:r w:rsidRPr="00DF57C0">
        <w:t>vidutinis sesijos laikas turėtų būti apie 45 min</w:t>
      </w:r>
      <w:r>
        <w:rPr>
          <w:rStyle w:val="Puslapioinaosnuoroda"/>
          <w:rFonts w:ascii="Times New Roman" w:hAnsi="Times New Roman"/>
        </w:rPr>
        <w:footnoteReference w:id="31"/>
      </w:r>
      <w:r>
        <w:t>.</w:t>
      </w:r>
      <w:r w:rsidRPr="00DF57C0">
        <w:t xml:space="preserve"> Remiantis atliktais tyrimais </w:t>
      </w:r>
      <w:r>
        <w:t xml:space="preserve">terapija iš viso </w:t>
      </w:r>
      <w:r w:rsidRPr="00DF57C0">
        <w:t>turėtų trukti apie 17,6 val</w:t>
      </w:r>
      <w:r>
        <w:t xml:space="preserve">. </w:t>
      </w:r>
    </w:p>
    <w:p w:rsidR="0007040F" w:rsidRDefault="0007040F" w:rsidP="0007040F">
      <w:pPr>
        <w:pStyle w:val="tekstas"/>
      </w:pPr>
      <w:r w:rsidRPr="002231CC">
        <w:t>Mokslinių tyrim</w:t>
      </w:r>
      <w:r>
        <w:t xml:space="preserve">ų </w:t>
      </w:r>
      <w:r w:rsidRPr="002231CC">
        <w:t>duomenimis depresija yra rizikos veiksnys didinantis savižudybių riziką. Savižudybių rizika, sergant depresija gali būti 19,7 (</w:t>
      </w:r>
      <w:proofErr w:type="gramStart"/>
      <w:r w:rsidRPr="002231CC">
        <w:t>95%</w:t>
      </w:r>
      <w:proofErr w:type="gramEnd"/>
      <w:r w:rsidRPr="002231CC">
        <w:t xml:space="preserve"> PI: 12,2-32,0). Pašalinus depresiją kaip rizikos veiksnį tikėtina gyvenimo trukmė pailgėtų: 10,6 vyrų gyvenimo metų ir 7,2 moterų gyvenimo </w:t>
      </w:r>
      <w:r>
        <w:t xml:space="preserve">metų. Lietuvoje atlikto tyrimo </w:t>
      </w:r>
      <w:r w:rsidRPr="002231CC">
        <w:t>duomenimis didelę savižudybės riziką turėjo 18,27 proc. tiriamųjų sirgusių depresija, vidutinę - 35,58 proc</w:t>
      </w:r>
      <w:r>
        <w:t>.</w:t>
      </w:r>
    </w:p>
    <w:p w:rsidR="0007040F" w:rsidRDefault="0007040F" w:rsidP="0007040F">
      <w:pPr>
        <w:pStyle w:val="tekstas"/>
      </w:pPr>
      <w:r>
        <w:t>Kanados mokslininkai yra atlikę sisteminę apžvalgą</w:t>
      </w:r>
      <w:r>
        <w:rPr>
          <w:rStyle w:val="Puslapioinaosnuoroda"/>
          <w:rFonts w:ascii="Times New Roman" w:hAnsi="Times New Roman"/>
        </w:rPr>
        <w:footnoteReference w:id="32"/>
      </w:r>
      <w:r>
        <w:t>, kurioje apibendrino 22 tyrimų, vertinusių KET programą ekonominiu aspektu rezultatus. Didžioji dalis apibendrintų tyrimų (n</w:t>
      </w:r>
      <w:r w:rsidRPr="007F7BDF">
        <w:t xml:space="preserve">=18) </w:t>
      </w:r>
      <w:r>
        <w:t xml:space="preserve">analizavo KET poveikį tiesioginiams sveikatos priežiūros kaštams ir tik 4 tyrimuose buvo analizuoti socialiniai kaštai, tokie kaip prarastas produktyvumas ar papildomos įmokos į biudžetą. Sisteminės apžvalgos duomenimis, atliekant KET vertinimą ekonominiu aspektu, dažniausiai buvo atliekama kaštų efektyvumo (angl. </w:t>
      </w:r>
      <w:proofErr w:type="spellStart"/>
      <w:r w:rsidRPr="00773CC3">
        <w:rPr>
          <w:i/>
        </w:rPr>
        <w:t>cost-effectiveness</w:t>
      </w:r>
      <w:r>
        <w:t>)</w:t>
      </w:r>
      <w:proofErr w:type="spellEnd"/>
      <w:r>
        <w:t xml:space="preserve"> analizė, kurios metu buvo skaičiuojami KET programos kaštai tenkantys vieneriems išsaugotiems kokybiško gyvenimo metams (QALY) ar vieneriems ligos išvengtiems metams (DALY). Sisteminėje apžvalgoje aprašytų tyrimų duomenimis, investicijos į KET </w:t>
      </w:r>
      <w:r>
        <w:lastRenderedPageBreak/>
        <w:t>duoda pridėtinę vertę. Vertinant KET kaip intervenciją, skirtą depresijos ir nerimo sutrikimų gydymui nustatyta, kad ši intervencija yra pigesnė nei minėtų psichikos sveikatos problemų medikamentinis gydymas. Taip pat nustatyta, kad KET duoda didesnę socialinę pridėtinę vertę lyginant su tradicinėmis sveikatos priežiūros paslaugomis.</w:t>
      </w:r>
    </w:p>
    <w:p w:rsidR="0007040F" w:rsidRDefault="0007040F" w:rsidP="0007040F">
      <w:pPr>
        <w:pStyle w:val="tekstas"/>
      </w:pPr>
      <w:r>
        <w:t>Atliekant</w:t>
      </w:r>
      <w:r w:rsidR="00D109C9">
        <w:t xml:space="preserve"> KET programos Lietuvoje naudos–</w:t>
      </w:r>
      <w:r>
        <w:t xml:space="preserve">kaštų analizę buvo remtasi Jungtinės Karalystės programos (IAPT) vertinimo rezultatais, mokslinių tyrimų apie KET klinikinį poveikį rezultatais, taip pat tyrimų, kuriuose vertinta depresijos ir savižudybių sąsaja rezultatais. </w:t>
      </w:r>
    </w:p>
    <w:p w:rsidR="0007040F" w:rsidRDefault="0007040F" w:rsidP="0007040F">
      <w:pPr>
        <w:pStyle w:val="tekstas"/>
      </w:pPr>
      <w:r w:rsidRPr="0026144C">
        <w:t xml:space="preserve">Prielaidos modeliavimui darytos vadovaujantis 2012 m. atlikto Jungtinės Karalystės programos (IAPT) trejų metų vertinimo rezultatais. Vertinimo duomenimis, programos dėka atsiradusiomis psichoterapijos paslaugomis per trejus metus </w:t>
      </w:r>
      <w:r>
        <w:t xml:space="preserve">Jungtinėje Karalystėje </w:t>
      </w:r>
      <w:r w:rsidRPr="0026144C">
        <w:t xml:space="preserve">vidutiniškai pasinaudojo apie 10 proc. sergančių psichikos ir elgesio sutrikimų ligomis asmenų. </w:t>
      </w:r>
      <w:r>
        <w:t>Atsižvelgdami į tai, modeliuota</w:t>
      </w:r>
      <w:r w:rsidRPr="0026144C">
        <w:t>, kad pagal Higienos instituto turi</w:t>
      </w:r>
      <w:r w:rsidR="00187028">
        <w:t xml:space="preserve">mus </w:t>
      </w:r>
      <w:proofErr w:type="spellStart"/>
      <w:r w:rsidR="00187028">
        <w:t>Sveidra</w:t>
      </w:r>
      <w:proofErr w:type="spellEnd"/>
      <w:r w:rsidR="00187028">
        <w:t xml:space="preserve"> duomenis asmenų (14–</w:t>
      </w:r>
      <w:r w:rsidRPr="0026144C">
        <w:t xml:space="preserve">64 metų amžiaus grupėje), turinčių elgesio ir emocijų sutrikimų Lietuvoje yra apie 93193 </w:t>
      </w:r>
      <w:r>
        <w:t xml:space="preserve">asmenų </w:t>
      </w:r>
      <w:r w:rsidRPr="0026144C">
        <w:t>(2015</w:t>
      </w:r>
      <w:r w:rsidR="00D109C9">
        <w:t>–</w:t>
      </w:r>
      <w:r w:rsidRPr="0026144C">
        <w:t>2017 metų vidurkis), iš jų apie 9319 (10 proc.) galimai pasinaudos psichoterapijos paslaugomis. JK ekspertai paskaičiavo, kad pilną psichoterapijos kursą baigė apie 60 proc. asmenų.  Lietuvoje baigusių psichoterapijos kursą būtų apie 5592. JK ekspertų duomenimis, pilnai pasveiko 45 proc. tų, kurie baigė psichoterapijos kursą. Lietuvoje tuomet tokių pilnai pasveikusių būtų 2516 asmenų. JK duomenimis apie 8,33 proc. tų, kurie pilnai pasveiko, išvengė laikino nedarbingumo dėl ligos. Lietuvoje tokių asmenų būtų a</w:t>
      </w:r>
      <w:r>
        <w:t>pie 210. Modeliuojant</w:t>
      </w:r>
      <w:r w:rsidRPr="0026144C">
        <w:t xml:space="preserve"> kaštų naudos Lietuvai analizę</w:t>
      </w:r>
      <w:r>
        <w:t>, padaryta prielaida</w:t>
      </w:r>
      <w:r w:rsidRPr="0026144C">
        <w:t>, kad programos teigiamą poveikį pajus 2516 asmenų, todėl programos vykdymui skirtas investicijas dalinome šiam asmenų skaičiui ir  skaičiavome programos grynąją dabartinę vertę vienam teigiamą programos poveikį pajutusiam asmeniui.</w:t>
      </w:r>
      <w:r>
        <w:t xml:space="preserve">  </w:t>
      </w:r>
    </w:p>
    <w:p w:rsidR="00187028" w:rsidRDefault="00187028" w:rsidP="00187028">
      <w:pPr>
        <w:pStyle w:val="tekstas"/>
      </w:pPr>
      <w:r>
        <w:t>KET galima na</w:t>
      </w:r>
      <w:r w:rsidRPr="008C4FCC">
        <w:t xml:space="preserve">uda </w:t>
      </w:r>
      <w:r>
        <w:t xml:space="preserve">Lietuvoje </w:t>
      </w:r>
      <w:r w:rsidRPr="008C4FCC">
        <w:t xml:space="preserve">vertinta: a) apskaičiuojant vienam teigiamą </w:t>
      </w:r>
      <w:r>
        <w:t>programos</w:t>
      </w:r>
      <w:r w:rsidRPr="008C4FCC">
        <w:t xml:space="preserve"> poveikį patyrusiam asmeniui tenkančių sutaupytų sveikatos priežiūros kaštų</w:t>
      </w:r>
      <w:r>
        <w:t xml:space="preserve"> (apsilankymo PSP įstaigose; specialistų konsultacijų, stacionarinių paslaugų ir medikamentų)</w:t>
      </w:r>
      <w:r w:rsidRPr="008C4FCC">
        <w:t xml:space="preserve">; b) apskaičiuojant vienam teigiamą poveikį patyrusiam asmeniui tenkančių sutaupytų išlaidų </w:t>
      </w:r>
      <w:r>
        <w:t>laikinojo nedarbingumo išmokoms</w:t>
      </w:r>
      <w:r w:rsidRPr="008C4FCC">
        <w:t>; c) apskaičiuojant vienam teigiamą KET poveikį patyrusiam asmeniui tenkančių produktyvumo kaštų, gautų išvengiant savižudybių ir prailginant vidutinę gyvenimo trukmę</w:t>
      </w:r>
      <w:r>
        <w:t>.</w:t>
      </w:r>
    </w:p>
    <w:p w:rsidR="001717B0" w:rsidRDefault="001717B0" w:rsidP="00187028">
      <w:pPr>
        <w:pStyle w:val="tekstas"/>
      </w:pPr>
    </w:p>
    <w:p w:rsidR="001717B0" w:rsidRDefault="001717B0" w:rsidP="00187028">
      <w:pPr>
        <w:pStyle w:val="tekstas"/>
      </w:pPr>
      <w:r w:rsidRPr="006643C6">
        <w:rPr>
          <w:b/>
        </w:rPr>
        <w:t xml:space="preserve">Apibendrinant </w:t>
      </w:r>
      <w:r>
        <w:t>šioje ataskaitos dalyje pateiktą informaciją, reikėtų p</w:t>
      </w:r>
      <w:r w:rsidR="00473599">
        <w:t>aminėti, kad Finansų ministerija</w:t>
      </w:r>
      <w:r>
        <w:t xml:space="preserve"> planuoja taikyti investicinio požiūrio metodą, perskirstant veiklos lėšų rezervą </w:t>
      </w:r>
      <w:r w:rsidR="00473599">
        <w:t>tarp prioritetų: t. y. iš nepasiekusių veiklos peržiūros rodiklių prioritetų pasiekusiems šiuos rodiklius prioritetams. Priimant sprendimą dėl to, kuriems prioritetams atiteks perskirstomas veiklos peržiūros rezervas, bus prašoma pateikti pl</w:t>
      </w:r>
      <w:bookmarkStart w:id="38" w:name="_GoBack"/>
      <w:bookmarkEnd w:id="38"/>
      <w:r w:rsidR="00473599">
        <w:t xml:space="preserve">anuojamų finansuoti investicijų atsiperkamumo analizę. </w:t>
      </w:r>
    </w:p>
    <w:p w:rsidR="0007040F" w:rsidRDefault="0007040F" w:rsidP="00187028">
      <w:pPr>
        <w:pStyle w:val="tekstas"/>
        <w:ind w:firstLine="0"/>
      </w:pPr>
    </w:p>
    <w:p w:rsidR="00B1108C" w:rsidRDefault="00B1108C" w:rsidP="004D53E2">
      <w:pPr>
        <w:pStyle w:val="tekstas"/>
      </w:pPr>
    </w:p>
    <w:p w:rsidR="00B1108C" w:rsidRPr="00D1257A" w:rsidRDefault="00B1108C" w:rsidP="004D53E2">
      <w:pPr>
        <w:pStyle w:val="tekstas"/>
        <w:rPr>
          <w:b/>
        </w:rPr>
      </w:pPr>
    </w:p>
    <w:p w:rsidR="00B1108C" w:rsidRPr="00ED6E3F" w:rsidRDefault="00B1108C" w:rsidP="004D53E2">
      <w:pPr>
        <w:pStyle w:val="tekstas"/>
      </w:pPr>
    </w:p>
    <w:p w:rsidR="00007F90" w:rsidRPr="00007F90" w:rsidRDefault="00007F90" w:rsidP="00007F90">
      <w:pPr>
        <w:jc w:val="both"/>
        <w:rPr>
          <w:rFonts w:asciiTheme="minorHAnsi" w:hAnsiTheme="minorHAnsi"/>
          <w:color w:val="666666"/>
          <w:szCs w:val="24"/>
        </w:rPr>
      </w:pPr>
    </w:p>
    <w:p w:rsidR="00007F90" w:rsidRPr="00007F90" w:rsidRDefault="00007F90" w:rsidP="00007F90">
      <w:pPr>
        <w:spacing w:after="200" w:line="276" w:lineRule="auto"/>
        <w:rPr>
          <w:rFonts w:asciiTheme="minorHAnsi" w:hAnsiTheme="minorHAnsi"/>
          <w:color w:val="666666"/>
          <w:szCs w:val="24"/>
        </w:rPr>
      </w:pPr>
      <w:r w:rsidRPr="00007F90">
        <w:rPr>
          <w:rFonts w:asciiTheme="minorHAnsi" w:hAnsiTheme="minorHAnsi"/>
          <w:color w:val="666666"/>
          <w:szCs w:val="24"/>
        </w:rPr>
        <w:br w:type="page"/>
      </w:r>
    </w:p>
    <w:p w:rsidR="00007F90" w:rsidRPr="00007F90" w:rsidRDefault="00007F90" w:rsidP="00007F90">
      <w:pPr>
        <w:jc w:val="both"/>
        <w:rPr>
          <w:rFonts w:asciiTheme="minorHAnsi" w:hAnsiTheme="minorHAnsi"/>
          <w:color w:val="666666"/>
          <w:szCs w:val="24"/>
        </w:rPr>
      </w:pPr>
    </w:p>
    <w:p w:rsidR="00007F90" w:rsidRPr="00007F90" w:rsidRDefault="00007F90" w:rsidP="00007F90">
      <w:pPr>
        <w:jc w:val="center"/>
        <w:rPr>
          <w:rFonts w:asciiTheme="minorHAnsi" w:eastAsia="Calibri" w:hAnsiTheme="minorHAnsi"/>
          <w:b/>
          <w:noProof/>
          <w:color w:val="0070C0"/>
          <w:szCs w:val="24"/>
          <w:lang w:eastAsia="lt-LT"/>
        </w:rPr>
      </w:pPr>
      <w:r w:rsidRPr="00007F90">
        <w:rPr>
          <w:rFonts w:asciiTheme="minorHAnsi" w:eastAsia="Calibri" w:hAnsiTheme="minorHAnsi"/>
          <w:b/>
          <w:noProof/>
          <w:color w:val="0070C0"/>
          <w:szCs w:val="24"/>
          <w:lang w:eastAsia="lt-LT"/>
        </w:rPr>
        <w:drawing>
          <wp:inline distT="0" distB="0" distL="0" distR="0" wp14:anchorId="6F4439FB" wp14:editId="277139F6">
            <wp:extent cx="2618483" cy="1350070"/>
            <wp:effectExtent l="0" t="0" r="0" b="254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20891" cy="1351311"/>
                    </a:xfrm>
                    <a:prstGeom prst="rect">
                      <a:avLst/>
                    </a:prstGeom>
                    <a:noFill/>
                    <a:ln>
                      <a:noFill/>
                    </a:ln>
                  </pic:spPr>
                </pic:pic>
              </a:graphicData>
            </a:graphic>
          </wp:inline>
        </w:drawing>
      </w:r>
      <w:r w:rsidRPr="00007F90">
        <w:rPr>
          <w:rFonts w:asciiTheme="minorHAnsi" w:eastAsia="Calibri" w:hAnsiTheme="minorHAnsi"/>
          <w:b/>
          <w:noProof/>
          <w:color w:val="0070C0"/>
          <w:szCs w:val="24"/>
          <w:lang w:eastAsia="lt-LT"/>
        </w:rPr>
        <w:drawing>
          <wp:inline distT="0" distB="0" distL="0" distR="0" wp14:anchorId="3DC95BDF" wp14:editId="70D65B1E">
            <wp:extent cx="2134725" cy="1283967"/>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37033" cy="1285355"/>
                    </a:xfrm>
                    <a:prstGeom prst="rect">
                      <a:avLst/>
                    </a:prstGeom>
                    <a:noFill/>
                    <a:ln>
                      <a:noFill/>
                    </a:ln>
                  </pic:spPr>
                </pic:pic>
              </a:graphicData>
            </a:graphic>
          </wp:inline>
        </w:drawing>
      </w: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r w:rsidRPr="00007F90">
        <w:rPr>
          <w:rFonts w:asciiTheme="minorHAnsi" w:eastAsia="Calibri" w:hAnsiTheme="minorHAnsi"/>
          <w:b/>
          <w:noProof/>
          <w:color w:val="0070C0"/>
          <w:szCs w:val="24"/>
          <w:lang w:eastAsia="lt-LT"/>
        </w:rPr>
        <w:drawing>
          <wp:inline distT="0" distB="0" distL="0" distR="0" wp14:anchorId="6A727752" wp14:editId="44587482">
            <wp:extent cx="2732567" cy="1351749"/>
            <wp:effectExtent l="0" t="0" r="0" b="127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725858" cy="1348430"/>
                    </a:xfrm>
                    <a:prstGeom prst="rect">
                      <a:avLst/>
                    </a:prstGeom>
                    <a:noFill/>
                    <a:ln>
                      <a:noFill/>
                    </a:ln>
                  </pic:spPr>
                </pic:pic>
              </a:graphicData>
            </a:graphic>
          </wp:inline>
        </w:drawing>
      </w: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eastAsia="Calibri" w:hAnsiTheme="minorHAnsi"/>
          <w:b/>
          <w:noProof/>
          <w:color w:val="0070C0"/>
          <w:szCs w:val="24"/>
          <w:lang w:eastAsia="lt-LT"/>
        </w:rPr>
      </w:pPr>
    </w:p>
    <w:p w:rsidR="00007F90" w:rsidRPr="00007F90" w:rsidRDefault="00007F90" w:rsidP="00007F90">
      <w:pPr>
        <w:jc w:val="center"/>
        <w:rPr>
          <w:rFonts w:asciiTheme="minorHAnsi" w:hAnsiTheme="minorHAnsi"/>
          <w:color w:val="666666"/>
          <w:szCs w:val="24"/>
        </w:rPr>
      </w:pPr>
      <w:r w:rsidRPr="00007F90">
        <w:rPr>
          <w:rFonts w:asciiTheme="minorHAnsi" w:eastAsia="Calibri" w:hAnsiTheme="minorHAnsi"/>
          <w:b/>
          <w:noProof/>
          <w:color w:val="0070C0"/>
          <w:szCs w:val="24"/>
          <w:lang w:eastAsia="lt-LT"/>
        </w:rPr>
        <w:drawing>
          <wp:inline distT="0" distB="0" distL="0" distR="0" wp14:anchorId="107A7266" wp14:editId="44837E5C">
            <wp:extent cx="1698683" cy="669851"/>
            <wp:effectExtent l="0" t="0" r="0" b="0"/>
            <wp:docPr id="1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98292" cy="669697"/>
                    </a:xfrm>
                    <a:prstGeom prst="rect">
                      <a:avLst/>
                    </a:prstGeom>
                    <a:noFill/>
                    <a:ln>
                      <a:noFill/>
                    </a:ln>
                  </pic:spPr>
                </pic:pic>
              </a:graphicData>
            </a:graphic>
          </wp:inline>
        </w:drawing>
      </w:r>
    </w:p>
    <w:bookmarkEnd w:id="30"/>
    <w:p w:rsidR="009F53D9" w:rsidRPr="00D65621" w:rsidRDefault="009F53D9" w:rsidP="00A429C5">
      <w:pPr>
        <w:spacing w:after="200" w:line="276" w:lineRule="auto"/>
        <w:rPr>
          <w:rFonts w:asciiTheme="minorHAnsi" w:hAnsiTheme="minorHAnsi"/>
          <w:color w:val="666666"/>
          <w:szCs w:val="24"/>
        </w:rPr>
      </w:pPr>
    </w:p>
    <w:sectPr w:rsidR="009F53D9" w:rsidRPr="00D65621" w:rsidSect="0037767E">
      <w:type w:val="continuous"/>
      <w:pgSz w:w="11906" w:h="16838"/>
      <w:pgMar w:top="1100"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17B0" w:rsidRDefault="001717B0" w:rsidP="00885DE2">
      <w:r>
        <w:separator/>
      </w:r>
    </w:p>
    <w:p w:rsidR="001717B0" w:rsidRDefault="001717B0"/>
  </w:endnote>
  <w:endnote w:type="continuationSeparator" w:id="0">
    <w:p w:rsidR="001717B0" w:rsidRDefault="001717B0" w:rsidP="00885DE2">
      <w:r>
        <w:continuationSeparator/>
      </w:r>
    </w:p>
    <w:p w:rsidR="001717B0" w:rsidRDefault="00171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AngsanaUPC">
    <w:charset w:val="DE"/>
    <w:family w:val="roman"/>
    <w:pitch w:val="variable"/>
    <w:sig w:usb0="81000003" w:usb1="00000000" w:usb2="00000000" w:usb3="00000000" w:csb0="00010001" w:csb1="00000000"/>
  </w:font>
  <w:font w:name="+mn-ea">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47423"/>
      <w:docPartObj>
        <w:docPartGallery w:val="Page Numbers (Bottom of Page)"/>
        <w:docPartUnique/>
      </w:docPartObj>
    </w:sdtPr>
    <w:sdtContent>
      <w:p w:rsidR="001717B0" w:rsidRDefault="001717B0">
        <w:pPr>
          <w:pStyle w:val="Porat"/>
          <w:jc w:val="center"/>
        </w:pPr>
      </w:p>
      <w:p w:rsidR="001717B0" w:rsidRDefault="001717B0">
        <w:pPr>
          <w:pStyle w:val="Porat"/>
          <w:jc w:val="center"/>
        </w:pPr>
        <w:r>
          <w:fldChar w:fldCharType="begin"/>
        </w:r>
        <w:r>
          <w:instrText>PAGE   \* MERGEFORMAT</w:instrText>
        </w:r>
        <w:r>
          <w:fldChar w:fldCharType="separate"/>
        </w:r>
        <w:r w:rsidR="006643C6">
          <w:rPr>
            <w:noProof/>
          </w:rPr>
          <w:t>28</w:t>
        </w:r>
        <w:r>
          <w:fldChar w:fldCharType="end"/>
        </w:r>
      </w:p>
    </w:sdtContent>
  </w:sdt>
  <w:p w:rsidR="001717B0" w:rsidRDefault="001717B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17B0" w:rsidRDefault="001717B0" w:rsidP="00885DE2">
      <w:r>
        <w:separator/>
      </w:r>
    </w:p>
    <w:p w:rsidR="001717B0" w:rsidRDefault="001717B0"/>
  </w:footnote>
  <w:footnote w:type="continuationSeparator" w:id="0">
    <w:p w:rsidR="001717B0" w:rsidRDefault="001717B0" w:rsidP="00885DE2">
      <w:r>
        <w:continuationSeparator/>
      </w:r>
    </w:p>
    <w:p w:rsidR="001717B0" w:rsidRDefault="001717B0"/>
  </w:footnote>
  <w:footnote w:id="1">
    <w:p w:rsidR="001717B0" w:rsidRDefault="001717B0">
      <w:pPr>
        <w:pStyle w:val="Puslapioinaostekstas"/>
      </w:pPr>
      <w:r>
        <w:rPr>
          <w:rStyle w:val="Puslapioinaosnuoroda"/>
        </w:rPr>
        <w:footnoteRef/>
      </w:r>
      <w:r>
        <w:t xml:space="preserve"> Į rodiklį įsiskaičiuoja bendri grynieji išmokėjimai (angl. </w:t>
      </w:r>
      <w:proofErr w:type="spellStart"/>
      <w:r w:rsidRPr="001E27E2">
        <w:rPr>
          <w:i/>
        </w:rPr>
        <w:t>total</w:t>
      </w:r>
      <w:proofErr w:type="spellEnd"/>
      <w:r w:rsidRPr="001E27E2">
        <w:rPr>
          <w:i/>
        </w:rPr>
        <w:t xml:space="preserve"> net </w:t>
      </w:r>
      <w:proofErr w:type="spellStart"/>
      <w:r w:rsidRPr="001E27E2">
        <w:rPr>
          <w:i/>
        </w:rPr>
        <w:t>payments</w:t>
      </w:r>
      <w:proofErr w:type="spellEnd"/>
      <w:r>
        <w:t xml:space="preserve">), t. y. pirminiai avansai, grynieji papildomi pirminiai avansai (papildomi pirminiai avansai be grąžintos dalies), grynieji metiniai avansai (metiniai avansai be grąžintos dalies), taip pat grynieji tarpiniai mokėjimai </w:t>
      </w:r>
      <w:proofErr w:type="gramStart"/>
      <w:r>
        <w:t>(</w:t>
      </w:r>
      <w:proofErr w:type="gramEnd"/>
      <w:r>
        <w:t>tarpiniai mokėjimai be grąžintos dalies ir metiniai avansai, padengti išlaidų).</w:t>
      </w:r>
    </w:p>
  </w:footnote>
  <w:footnote w:id="2">
    <w:p w:rsidR="001717B0" w:rsidRDefault="001717B0">
      <w:pPr>
        <w:pStyle w:val="Puslapioinaostekstas"/>
      </w:pPr>
      <w:r>
        <w:rPr>
          <w:rStyle w:val="Puslapioinaosnuoroda"/>
        </w:rPr>
        <w:footnoteRef/>
      </w:r>
      <w:r>
        <w:t xml:space="preserve"> F</w:t>
      </w:r>
      <w:r w:rsidRPr="002B4B4D">
        <w:t>inansinis rodiklis numato tam tikrą bendrų tinkamų finansuoti lėšų sumą, kuri turi būti deklaruota iki 2018 m. pab. Atsižvelgiant į tai, veiklos peržiūros plano rodiklyje nurodyta lėšų suma turi būti pražinta</w:t>
      </w:r>
      <w:r>
        <w:t xml:space="preserve"> deklaruotina iki 2018 m. lapkričio 30</w:t>
      </w:r>
      <w:r w:rsidRPr="002B4B4D">
        <w:t xml:space="preserve"> d.</w:t>
      </w:r>
    </w:p>
  </w:footnote>
  <w:footnote w:id="3">
    <w:p w:rsidR="001717B0" w:rsidRDefault="001717B0">
      <w:pPr>
        <w:pStyle w:val="Puslapioinaostekstas"/>
      </w:pPr>
      <w:r>
        <w:rPr>
          <w:rStyle w:val="Puslapioinaosnuoroda"/>
        </w:rPr>
        <w:footnoteRef/>
      </w:r>
      <w:r>
        <w:t xml:space="preserve"> Visas veiklos lėšų rezervas 5 prioriteto ERPF dalyje sudaro 11,5 mln. eurų.</w:t>
      </w:r>
    </w:p>
  </w:footnote>
  <w:footnote w:id="4">
    <w:p w:rsidR="001717B0" w:rsidRDefault="001717B0" w:rsidP="00007F90">
      <w:pPr>
        <w:pStyle w:val="Puslapioinaostekstas"/>
      </w:pPr>
      <w:r>
        <w:rPr>
          <w:rStyle w:val="Puslapioinaosnuoroda"/>
        </w:rPr>
        <w:footnoteRef/>
      </w:r>
      <w:r>
        <w:t xml:space="preserve"> </w:t>
      </w:r>
      <w:proofErr w:type="spellStart"/>
      <w:r>
        <w:t>VšĮ</w:t>
      </w:r>
      <w:proofErr w:type="spellEnd"/>
      <w:r>
        <w:t xml:space="preserve"> „VPVI“, „</w:t>
      </w:r>
      <w:r w:rsidRPr="007D747B">
        <w:t>Investicinis požiūris į intervencijas socialinėse srityse</w:t>
      </w:r>
      <w:r>
        <w:t>“.</w:t>
      </w:r>
    </w:p>
  </w:footnote>
  <w:footnote w:id="5">
    <w:p w:rsidR="001717B0" w:rsidRDefault="001717B0">
      <w:pPr>
        <w:pStyle w:val="Puslapioinaostekstas"/>
      </w:pPr>
      <w:r>
        <w:rPr>
          <w:rStyle w:val="Puslapioinaosnuoroda"/>
        </w:rPr>
        <w:footnoteRef/>
      </w:r>
      <w:r>
        <w:t xml:space="preserve"> </w:t>
      </w:r>
      <w:r w:rsidRPr="00F94595">
        <w:t>„Priemonių, gerinančių ambulatorinių sveikatos priežiūros paslaugų prieinamumą tuberkulioze sergantiems pacientams, įgyvendinimas</w:t>
      </w:r>
      <w:r>
        <w:t>“,</w:t>
      </w:r>
      <w:r w:rsidRPr="00F94595">
        <w:t xml:space="preserve"> Nr. 08.4.2-ESFA</w:t>
      </w:r>
      <w:proofErr w:type="gramStart"/>
      <w:r w:rsidRPr="00F94595">
        <w:t>-</w:t>
      </w:r>
      <w:proofErr w:type="gramEnd"/>
      <w:r w:rsidRPr="00F94595">
        <w:t>R-615“</w:t>
      </w:r>
    </w:p>
  </w:footnote>
  <w:footnote w:id="6">
    <w:p w:rsidR="001717B0" w:rsidRPr="002A511A" w:rsidRDefault="001717B0" w:rsidP="00F94595">
      <w:pPr>
        <w:pStyle w:val="Puslapioinaostekstas"/>
        <w:rPr>
          <w:sz w:val="18"/>
          <w:szCs w:val="18"/>
        </w:rPr>
      </w:pPr>
      <w:r w:rsidRPr="002A511A">
        <w:rPr>
          <w:rStyle w:val="Puslapioinaosnuoroda"/>
          <w:sz w:val="18"/>
          <w:szCs w:val="18"/>
        </w:rPr>
        <w:footnoteRef/>
      </w:r>
      <w:r w:rsidRPr="002A511A">
        <w:rPr>
          <w:sz w:val="18"/>
          <w:szCs w:val="18"/>
        </w:rPr>
        <w:t xml:space="preserve"> Mirtingumas nuo TB nėra įtrauktas į skaičiavimus, tai padidintų sutaupytus kaštus. Sergančiųjų ligos platinimas užkrečiant nesergančiuosius taip pat nėra įtrauktas į skaičiavimus (vienas sergantis atvira TB forma gali užkrėsti iki 25 žmonių per metus, pagal Elektrėnų savivaldybės visuomenės sveikatos biuro</w:t>
      </w:r>
      <w:r>
        <w:rPr>
          <w:sz w:val="18"/>
          <w:szCs w:val="18"/>
        </w:rPr>
        <w:t xml:space="preserve"> informaciją ir kitus šaltinius</w:t>
      </w:r>
      <w:r w:rsidRPr="002A511A">
        <w:rPr>
          <w:sz w:val="18"/>
          <w:szCs w:val="18"/>
        </w:rPr>
        <w:t>). Taip pat, šio projekto metu yra sumažinama gydymo trukmė stacionare perkeliant dalį gydymo į ambulatorinį gydymą. Taigi, dar susitaupytų stacionarinio gydymo kaštai.</w:t>
      </w:r>
    </w:p>
  </w:footnote>
  <w:footnote w:id="7">
    <w:p w:rsidR="001717B0" w:rsidRPr="000B2D00" w:rsidRDefault="001717B0" w:rsidP="00F94595">
      <w:pPr>
        <w:pStyle w:val="Puslapioinaostekstas"/>
      </w:pPr>
      <w:r w:rsidRPr="002A511A">
        <w:rPr>
          <w:rStyle w:val="Puslapioinaosnuoroda"/>
          <w:sz w:val="18"/>
          <w:szCs w:val="18"/>
        </w:rPr>
        <w:footnoteRef/>
      </w:r>
      <w:r w:rsidRPr="002A511A">
        <w:rPr>
          <w:sz w:val="18"/>
          <w:szCs w:val="18"/>
        </w:rPr>
        <w:t xml:space="preserve"> 2012 (tyrimo kaštai yra paskaičiuoti 2012 m. kainomis) ir 2018 m. VKI. Infliacijos VKI koeficientas lygus 1,09.</w:t>
      </w:r>
    </w:p>
  </w:footnote>
  <w:footnote w:id="8">
    <w:p w:rsidR="001717B0" w:rsidRPr="002A511A" w:rsidRDefault="001717B0" w:rsidP="00F94595">
      <w:pPr>
        <w:pStyle w:val="Puslapioinaostekstas"/>
        <w:rPr>
          <w:sz w:val="18"/>
          <w:szCs w:val="18"/>
        </w:rPr>
      </w:pPr>
      <w:r w:rsidRPr="002A511A">
        <w:rPr>
          <w:rStyle w:val="Puslapioinaosnuoroda"/>
          <w:sz w:val="18"/>
          <w:szCs w:val="18"/>
        </w:rPr>
        <w:footnoteRef/>
      </w:r>
      <w:r w:rsidRPr="002A511A">
        <w:rPr>
          <w:sz w:val="18"/>
          <w:szCs w:val="18"/>
        </w:rPr>
        <w:t xml:space="preserve"> Tai yra planuojami metai, bet šį projektą galima įvykdyti iki 2023 m. Jei projekto įgyvendinimas atsidėtų, dabartinės naudos ir kaštų vertės būtų šiek tiek mažesnės dėl diskontavimo, tačiau naudos ir kaštų santykis nepasikeistų.</w:t>
      </w:r>
    </w:p>
  </w:footnote>
  <w:footnote w:id="9">
    <w:p w:rsidR="001717B0" w:rsidRPr="002A511A" w:rsidRDefault="001717B0" w:rsidP="00F94595">
      <w:pPr>
        <w:pStyle w:val="Puslapioinaostekstas"/>
        <w:rPr>
          <w:sz w:val="18"/>
          <w:szCs w:val="18"/>
        </w:rPr>
      </w:pPr>
      <w:r w:rsidRPr="002A511A">
        <w:rPr>
          <w:rStyle w:val="Puslapioinaosnuoroda"/>
          <w:sz w:val="18"/>
          <w:szCs w:val="18"/>
        </w:rPr>
        <w:footnoteRef/>
      </w:r>
      <w:r w:rsidRPr="002A511A">
        <w:rPr>
          <w:sz w:val="18"/>
          <w:szCs w:val="18"/>
        </w:rPr>
        <w:t xml:space="preserve"> Asmenų, sergančių tuberkulioze. Nors projektas orientuotas į sergančiuosius, linkusius nutraukti gydymą, projektas apima visus sergančiuosius.</w:t>
      </w:r>
    </w:p>
  </w:footnote>
  <w:footnote w:id="10">
    <w:p w:rsidR="001717B0" w:rsidRPr="002A511A" w:rsidRDefault="001717B0" w:rsidP="00F94595">
      <w:pPr>
        <w:pStyle w:val="Puslapioinaostekstas"/>
        <w:rPr>
          <w:sz w:val="18"/>
          <w:szCs w:val="18"/>
        </w:rPr>
      </w:pPr>
      <w:r w:rsidRPr="002A511A">
        <w:rPr>
          <w:rStyle w:val="Puslapioinaosnuoroda"/>
          <w:sz w:val="18"/>
          <w:szCs w:val="18"/>
        </w:rPr>
        <w:footnoteRef/>
      </w:r>
      <w:r w:rsidRPr="002A511A">
        <w:rPr>
          <w:sz w:val="18"/>
          <w:szCs w:val="18"/>
        </w:rPr>
        <w:t xml:space="preserve"> Nauda minus kaštai</w:t>
      </w:r>
    </w:p>
  </w:footnote>
  <w:footnote w:id="11">
    <w:p w:rsidR="001717B0" w:rsidRPr="002A511A" w:rsidRDefault="001717B0" w:rsidP="00F94595">
      <w:pPr>
        <w:pStyle w:val="Puslapioinaostekstas"/>
        <w:rPr>
          <w:sz w:val="18"/>
          <w:szCs w:val="18"/>
        </w:rPr>
      </w:pPr>
      <w:r w:rsidRPr="002A511A">
        <w:rPr>
          <w:rStyle w:val="Puslapioinaosnuoroda"/>
          <w:sz w:val="18"/>
          <w:szCs w:val="18"/>
        </w:rPr>
        <w:footnoteRef/>
      </w:r>
      <w:r w:rsidRPr="002A511A">
        <w:rPr>
          <w:sz w:val="18"/>
          <w:szCs w:val="18"/>
        </w:rPr>
        <w:t xml:space="preserve"> MDR TB (255) atvejai ir 58 XDR TB (58) atvejai iš visų TB atvejų (1442) Lietuvoje 2016 m. Pasaulio Sveikatos Organizacijos </w:t>
      </w:r>
      <w:proofErr w:type="gramStart"/>
      <w:r w:rsidRPr="002A511A">
        <w:rPr>
          <w:sz w:val="18"/>
          <w:szCs w:val="18"/>
        </w:rPr>
        <w:t>duomenimis. .</w:t>
      </w:r>
      <w:proofErr w:type="gramEnd"/>
      <w:r w:rsidRPr="002A511A">
        <w:rPr>
          <w:sz w:val="18"/>
          <w:szCs w:val="18"/>
        </w:rPr>
        <w:t xml:space="preserve"> 2016 m. informacija yra naujausia prieinama informacija. TB formų pasiskirstymas yra panašus atsižvelgiant į skirtingų metų duomenis ir šaltinius (</w:t>
      </w:r>
      <w:proofErr w:type="spellStart"/>
      <w:r>
        <w:rPr>
          <w:sz w:val="18"/>
          <w:szCs w:val="18"/>
        </w:rPr>
        <w:t>Eurų</w:t>
      </w:r>
      <w:r w:rsidRPr="002A511A">
        <w:rPr>
          <w:sz w:val="18"/>
          <w:szCs w:val="18"/>
        </w:rPr>
        <w:t>opean</w:t>
      </w:r>
      <w:proofErr w:type="spellEnd"/>
      <w:r w:rsidRPr="002A511A">
        <w:rPr>
          <w:sz w:val="18"/>
          <w:szCs w:val="18"/>
        </w:rPr>
        <w:t xml:space="preserve"> Centre </w:t>
      </w:r>
      <w:proofErr w:type="spellStart"/>
      <w:r w:rsidRPr="002A511A">
        <w:rPr>
          <w:sz w:val="18"/>
          <w:szCs w:val="18"/>
        </w:rPr>
        <w:t>for</w:t>
      </w:r>
      <w:proofErr w:type="spellEnd"/>
      <w:r w:rsidRPr="002A511A">
        <w:rPr>
          <w:sz w:val="18"/>
          <w:szCs w:val="18"/>
        </w:rPr>
        <w:t xml:space="preserve"> </w:t>
      </w:r>
      <w:proofErr w:type="spellStart"/>
      <w:r w:rsidRPr="002A511A">
        <w:rPr>
          <w:sz w:val="18"/>
          <w:szCs w:val="18"/>
        </w:rPr>
        <w:t>Disease</w:t>
      </w:r>
      <w:proofErr w:type="spellEnd"/>
      <w:r w:rsidRPr="002A511A">
        <w:rPr>
          <w:sz w:val="18"/>
          <w:szCs w:val="18"/>
        </w:rPr>
        <w:t xml:space="preserve"> </w:t>
      </w:r>
      <w:proofErr w:type="spellStart"/>
      <w:r w:rsidRPr="002A511A">
        <w:rPr>
          <w:sz w:val="18"/>
          <w:szCs w:val="18"/>
        </w:rPr>
        <w:t>Prevention</w:t>
      </w:r>
      <w:proofErr w:type="spellEnd"/>
      <w:r w:rsidRPr="002A511A">
        <w:rPr>
          <w:sz w:val="18"/>
          <w:szCs w:val="18"/>
        </w:rPr>
        <w:t xml:space="preserve"> </w:t>
      </w:r>
      <w:proofErr w:type="spellStart"/>
      <w:r w:rsidRPr="002A511A">
        <w:rPr>
          <w:sz w:val="18"/>
          <w:szCs w:val="18"/>
        </w:rPr>
        <w:t>and</w:t>
      </w:r>
      <w:proofErr w:type="spellEnd"/>
      <w:r w:rsidRPr="002A511A">
        <w:rPr>
          <w:sz w:val="18"/>
          <w:szCs w:val="18"/>
        </w:rPr>
        <w:t xml:space="preserve"> </w:t>
      </w:r>
      <w:proofErr w:type="spellStart"/>
      <w:r w:rsidRPr="002A511A">
        <w:rPr>
          <w:sz w:val="18"/>
          <w:szCs w:val="18"/>
        </w:rPr>
        <w:t>Control</w:t>
      </w:r>
      <w:proofErr w:type="spellEnd"/>
      <w:r w:rsidRPr="002A511A">
        <w:rPr>
          <w:sz w:val="18"/>
          <w:szCs w:val="18"/>
        </w:rPr>
        <w:t xml:space="preserve"> (ECDC) duomenys 2016 m., 2011 m. „</w:t>
      </w:r>
      <w:proofErr w:type="spellStart"/>
      <w:r w:rsidRPr="002A511A">
        <w:rPr>
          <w:sz w:val="18"/>
          <w:szCs w:val="18"/>
        </w:rPr>
        <w:t>Costs</w:t>
      </w:r>
      <w:proofErr w:type="spellEnd"/>
      <w:r w:rsidRPr="002A511A">
        <w:rPr>
          <w:sz w:val="18"/>
          <w:szCs w:val="18"/>
        </w:rPr>
        <w:t xml:space="preserve"> </w:t>
      </w:r>
      <w:proofErr w:type="spellStart"/>
      <w:r w:rsidRPr="002A511A">
        <w:rPr>
          <w:sz w:val="18"/>
          <w:szCs w:val="18"/>
        </w:rPr>
        <w:t>of</w:t>
      </w:r>
      <w:proofErr w:type="spellEnd"/>
      <w:r w:rsidRPr="002A511A">
        <w:rPr>
          <w:sz w:val="18"/>
          <w:szCs w:val="18"/>
        </w:rPr>
        <w:t xml:space="preserve"> </w:t>
      </w:r>
      <w:proofErr w:type="spellStart"/>
      <w:r w:rsidRPr="002A511A">
        <w:rPr>
          <w:sz w:val="18"/>
          <w:szCs w:val="18"/>
        </w:rPr>
        <w:t>tuberculosis</w:t>
      </w:r>
      <w:proofErr w:type="spellEnd"/>
      <w:r w:rsidRPr="002A511A">
        <w:rPr>
          <w:sz w:val="18"/>
          <w:szCs w:val="18"/>
        </w:rPr>
        <w:t xml:space="preserve"> </w:t>
      </w:r>
      <w:proofErr w:type="spellStart"/>
      <w:r w:rsidRPr="002A511A">
        <w:rPr>
          <w:sz w:val="18"/>
          <w:szCs w:val="18"/>
        </w:rPr>
        <w:t>disease</w:t>
      </w:r>
      <w:proofErr w:type="spellEnd"/>
      <w:r w:rsidRPr="002A511A">
        <w:rPr>
          <w:sz w:val="18"/>
          <w:szCs w:val="18"/>
        </w:rPr>
        <w:t xml:space="preserve"> </w:t>
      </w:r>
      <w:proofErr w:type="spellStart"/>
      <w:r w:rsidRPr="002A511A">
        <w:rPr>
          <w:sz w:val="18"/>
          <w:szCs w:val="18"/>
        </w:rPr>
        <w:t>in</w:t>
      </w:r>
      <w:proofErr w:type="spellEnd"/>
      <w:r w:rsidRPr="002A511A">
        <w:rPr>
          <w:sz w:val="18"/>
          <w:szCs w:val="18"/>
        </w:rPr>
        <w:t xml:space="preserve"> </w:t>
      </w:r>
      <w:proofErr w:type="spellStart"/>
      <w:r w:rsidRPr="002A511A">
        <w:rPr>
          <w:sz w:val="18"/>
          <w:szCs w:val="18"/>
        </w:rPr>
        <w:t>the</w:t>
      </w:r>
      <w:proofErr w:type="spellEnd"/>
      <w:r w:rsidRPr="002A511A">
        <w:rPr>
          <w:sz w:val="18"/>
          <w:szCs w:val="18"/>
        </w:rPr>
        <w:t xml:space="preserve"> </w:t>
      </w:r>
      <w:proofErr w:type="spellStart"/>
      <w:r>
        <w:rPr>
          <w:sz w:val="18"/>
          <w:szCs w:val="18"/>
        </w:rPr>
        <w:t>Eurų</w:t>
      </w:r>
      <w:r w:rsidRPr="002A511A">
        <w:rPr>
          <w:sz w:val="18"/>
          <w:szCs w:val="18"/>
        </w:rPr>
        <w:t>opean</w:t>
      </w:r>
      <w:proofErr w:type="spellEnd"/>
      <w:r w:rsidRPr="002A511A">
        <w:rPr>
          <w:sz w:val="18"/>
          <w:szCs w:val="18"/>
        </w:rPr>
        <w:t xml:space="preserve"> </w:t>
      </w:r>
      <w:proofErr w:type="spellStart"/>
      <w:r w:rsidRPr="002A511A">
        <w:rPr>
          <w:sz w:val="18"/>
          <w:szCs w:val="18"/>
        </w:rPr>
        <w:t>Union</w:t>
      </w:r>
      <w:proofErr w:type="spellEnd"/>
      <w:r w:rsidRPr="002A511A">
        <w:rPr>
          <w:sz w:val="18"/>
          <w:szCs w:val="18"/>
        </w:rPr>
        <w:t xml:space="preserve">: a </w:t>
      </w:r>
      <w:proofErr w:type="spellStart"/>
      <w:r w:rsidRPr="002A511A">
        <w:rPr>
          <w:sz w:val="18"/>
          <w:szCs w:val="18"/>
        </w:rPr>
        <w:t>systematic</w:t>
      </w:r>
      <w:proofErr w:type="spellEnd"/>
      <w:r w:rsidRPr="002A511A">
        <w:rPr>
          <w:sz w:val="18"/>
          <w:szCs w:val="18"/>
        </w:rPr>
        <w:t xml:space="preserve"> </w:t>
      </w:r>
      <w:proofErr w:type="spellStart"/>
      <w:r w:rsidRPr="002A511A">
        <w:rPr>
          <w:sz w:val="18"/>
          <w:szCs w:val="18"/>
        </w:rPr>
        <w:t>analysis</w:t>
      </w:r>
      <w:proofErr w:type="spellEnd"/>
      <w:r w:rsidRPr="002A511A">
        <w:rPr>
          <w:sz w:val="18"/>
          <w:szCs w:val="18"/>
        </w:rPr>
        <w:t xml:space="preserve"> </w:t>
      </w:r>
      <w:proofErr w:type="spellStart"/>
      <w:r w:rsidRPr="002A511A">
        <w:rPr>
          <w:sz w:val="18"/>
          <w:szCs w:val="18"/>
        </w:rPr>
        <w:t>and</w:t>
      </w:r>
      <w:proofErr w:type="spellEnd"/>
      <w:r w:rsidRPr="002A511A">
        <w:rPr>
          <w:sz w:val="18"/>
          <w:szCs w:val="18"/>
        </w:rPr>
        <w:t xml:space="preserve"> </w:t>
      </w:r>
      <w:proofErr w:type="spellStart"/>
      <w:r w:rsidRPr="002A511A">
        <w:rPr>
          <w:sz w:val="18"/>
          <w:szCs w:val="18"/>
        </w:rPr>
        <w:t>cost</w:t>
      </w:r>
      <w:proofErr w:type="spellEnd"/>
      <w:r w:rsidRPr="002A511A">
        <w:rPr>
          <w:sz w:val="18"/>
          <w:szCs w:val="18"/>
        </w:rPr>
        <w:t xml:space="preserve"> </w:t>
      </w:r>
      <w:proofErr w:type="spellStart"/>
      <w:r w:rsidRPr="002A511A">
        <w:rPr>
          <w:sz w:val="18"/>
          <w:szCs w:val="18"/>
        </w:rPr>
        <w:t>calculation</w:t>
      </w:r>
      <w:proofErr w:type="spellEnd"/>
      <w:r w:rsidRPr="002A511A">
        <w:rPr>
          <w:sz w:val="18"/>
          <w:szCs w:val="18"/>
        </w:rPr>
        <w:t>“ duomenys).</w:t>
      </w:r>
    </w:p>
  </w:footnote>
  <w:footnote w:id="12">
    <w:p w:rsidR="001717B0" w:rsidRPr="002A511A" w:rsidRDefault="001717B0" w:rsidP="00F94595">
      <w:pPr>
        <w:pStyle w:val="Puslapioinaostekstas"/>
        <w:rPr>
          <w:sz w:val="18"/>
          <w:szCs w:val="18"/>
        </w:rPr>
      </w:pPr>
      <w:r w:rsidRPr="002A511A">
        <w:rPr>
          <w:rStyle w:val="Puslapioinaosnuoroda"/>
          <w:sz w:val="18"/>
          <w:szCs w:val="18"/>
        </w:rPr>
        <w:footnoteRef/>
      </w:r>
      <w:r w:rsidRPr="002A511A">
        <w:rPr>
          <w:sz w:val="18"/>
          <w:szCs w:val="18"/>
        </w:rPr>
        <w:t xml:space="preserve"> </w:t>
      </w:r>
      <w:proofErr w:type="gramStart"/>
      <w:r w:rsidRPr="002A511A">
        <w:rPr>
          <w:sz w:val="18"/>
          <w:szCs w:val="18"/>
        </w:rPr>
        <w:t>18%</w:t>
      </w:r>
      <w:proofErr w:type="gramEnd"/>
      <w:r w:rsidRPr="002A511A">
        <w:rPr>
          <w:sz w:val="18"/>
          <w:szCs w:val="18"/>
        </w:rPr>
        <w:t xml:space="preserve"> ir 4% </w:t>
      </w:r>
      <w:r w:rsidRPr="002A511A">
        <w:rPr>
          <w:sz w:val="18"/>
          <w:szCs w:val="18"/>
        </w:rPr>
        <w:tab/>
      </w:r>
    </w:p>
  </w:footnote>
  <w:footnote w:id="13">
    <w:p w:rsidR="001717B0" w:rsidRPr="002A511A" w:rsidRDefault="001717B0" w:rsidP="00F94595">
      <w:pPr>
        <w:pStyle w:val="Puslapioinaostekstas"/>
        <w:rPr>
          <w:sz w:val="18"/>
          <w:szCs w:val="18"/>
        </w:rPr>
      </w:pPr>
      <w:r w:rsidRPr="002A511A">
        <w:rPr>
          <w:rStyle w:val="Puslapioinaosnuoroda"/>
          <w:sz w:val="18"/>
          <w:szCs w:val="18"/>
        </w:rPr>
        <w:footnoteRef/>
      </w:r>
      <w:r w:rsidRPr="002A511A">
        <w:rPr>
          <w:sz w:val="18"/>
          <w:szCs w:val="18"/>
        </w:rPr>
        <w:t xml:space="preserve"> </w:t>
      </w:r>
      <w:proofErr w:type="gramStart"/>
      <w:r w:rsidRPr="002A511A">
        <w:rPr>
          <w:sz w:val="18"/>
          <w:szCs w:val="18"/>
        </w:rPr>
        <w:t>18%</w:t>
      </w:r>
      <w:proofErr w:type="gramEnd"/>
      <w:r w:rsidRPr="002A511A">
        <w:rPr>
          <w:sz w:val="18"/>
          <w:szCs w:val="18"/>
        </w:rPr>
        <w:t xml:space="preserve"> nuo 2400 (dalyvių skaičius)</w:t>
      </w:r>
    </w:p>
  </w:footnote>
  <w:footnote w:id="14">
    <w:p w:rsidR="001717B0" w:rsidRPr="002A511A" w:rsidRDefault="001717B0" w:rsidP="00F94595">
      <w:pPr>
        <w:pStyle w:val="Puslapioinaostekstas"/>
        <w:rPr>
          <w:sz w:val="18"/>
          <w:szCs w:val="18"/>
        </w:rPr>
      </w:pPr>
      <w:r w:rsidRPr="002A511A">
        <w:rPr>
          <w:rStyle w:val="Puslapioinaosnuoroda"/>
          <w:sz w:val="18"/>
          <w:szCs w:val="18"/>
        </w:rPr>
        <w:footnoteRef/>
      </w:r>
      <w:r w:rsidRPr="002A511A">
        <w:rPr>
          <w:sz w:val="18"/>
          <w:szCs w:val="18"/>
        </w:rPr>
        <w:t xml:space="preserve"> </w:t>
      </w:r>
      <w:proofErr w:type="gramStart"/>
      <w:r w:rsidRPr="002A511A">
        <w:rPr>
          <w:sz w:val="18"/>
          <w:szCs w:val="18"/>
        </w:rPr>
        <w:t>4%</w:t>
      </w:r>
      <w:proofErr w:type="gramEnd"/>
      <w:r w:rsidRPr="002A511A">
        <w:rPr>
          <w:sz w:val="18"/>
          <w:szCs w:val="18"/>
        </w:rPr>
        <w:t xml:space="preserve"> nuo 2400 (dalyvių skaičius)</w:t>
      </w:r>
    </w:p>
  </w:footnote>
  <w:footnote w:id="15">
    <w:p w:rsidR="001717B0" w:rsidRPr="002A511A" w:rsidRDefault="001717B0" w:rsidP="00F94595">
      <w:pPr>
        <w:pStyle w:val="Puslapioinaostekstas"/>
        <w:rPr>
          <w:sz w:val="18"/>
          <w:szCs w:val="18"/>
        </w:rPr>
      </w:pPr>
      <w:r w:rsidRPr="002A511A">
        <w:rPr>
          <w:rStyle w:val="Puslapioinaosnuoroda"/>
          <w:sz w:val="18"/>
          <w:szCs w:val="18"/>
        </w:rPr>
        <w:footnoteRef/>
      </w:r>
      <w:r w:rsidRPr="002A511A">
        <w:rPr>
          <w:sz w:val="18"/>
          <w:szCs w:val="18"/>
        </w:rPr>
        <w:t xml:space="preserve"> </w:t>
      </w:r>
      <w:proofErr w:type="spellStart"/>
      <w:r w:rsidRPr="002A511A">
        <w:rPr>
          <w:sz w:val="18"/>
          <w:szCs w:val="18"/>
        </w:rPr>
        <w:t>Roland</w:t>
      </w:r>
      <w:proofErr w:type="spellEnd"/>
      <w:r w:rsidRPr="002A511A">
        <w:rPr>
          <w:sz w:val="18"/>
          <w:szCs w:val="18"/>
        </w:rPr>
        <w:t xml:space="preserve"> </w:t>
      </w:r>
      <w:proofErr w:type="spellStart"/>
      <w:r w:rsidRPr="002A511A">
        <w:rPr>
          <w:sz w:val="18"/>
          <w:szCs w:val="18"/>
        </w:rPr>
        <w:t>Diel</w:t>
      </w:r>
      <w:proofErr w:type="spellEnd"/>
      <w:r w:rsidRPr="002A511A">
        <w:rPr>
          <w:sz w:val="18"/>
          <w:szCs w:val="18"/>
        </w:rPr>
        <w:t xml:space="preserve"> et al., „</w:t>
      </w:r>
      <w:proofErr w:type="spellStart"/>
      <w:r w:rsidRPr="002A511A">
        <w:rPr>
          <w:sz w:val="18"/>
          <w:szCs w:val="18"/>
        </w:rPr>
        <w:t>Costs</w:t>
      </w:r>
      <w:proofErr w:type="spellEnd"/>
      <w:r w:rsidRPr="002A511A">
        <w:rPr>
          <w:sz w:val="18"/>
          <w:szCs w:val="18"/>
        </w:rPr>
        <w:t xml:space="preserve"> </w:t>
      </w:r>
      <w:proofErr w:type="spellStart"/>
      <w:r w:rsidRPr="002A511A">
        <w:rPr>
          <w:sz w:val="18"/>
          <w:szCs w:val="18"/>
        </w:rPr>
        <w:t>of</w:t>
      </w:r>
      <w:proofErr w:type="spellEnd"/>
      <w:r w:rsidRPr="002A511A">
        <w:rPr>
          <w:sz w:val="18"/>
          <w:szCs w:val="18"/>
        </w:rPr>
        <w:t xml:space="preserve"> </w:t>
      </w:r>
      <w:proofErr w:type="spellStart"/>
      <w:r w:rsidRPr="002A511A">
        <w:rPr>
          <w:sz w:val="18"/>
          <w:szCs w:val="18"/>
        </w:rPr>
        <w:t>tuberculosis</w:t>
      </w:r>
      <w:proofErr w:type="spellEnd"/>
      <w:r w:rsidRPr="002A511A">
        <w:rPr>
          <w:sz w:val="18"/>
          <w:szCs w:val="18"/>
        </w:rPr>
        <w:t xml:space="preserve"> </w:t>
      </w:r>
      <w:proofErr w:type="spellStart"/>
      <w:r w:rsidRPr="002A511A">
        <w:rPr>
          <w:sz w:val="18"/>
          <w:szCs w:val="18"/>
        </w:rPr>
        <w:t>disease</w:t>
      </w:r>
      <w:proofErr w:type="spellEnd"/>
      <w:r w:rsidRPr="002A511A">
        <w:rPr>
          <w:sz w:val="18"/>
          <w:szCs w:val="18"/>
        </w:rPr>
        <w:t xml:space="preserve"> </w:t>
      </w:r>
      <w:proofErr w:type="spellStart"/>
      <w:r w:rsidRPr="002A511A">
        <w:rPr>
          <w:sz w:val="18"/>
          <w:szCs w:val="18"/>
        </w:rPr>
        <w:t>in</w:t>
      </w:r>
      <w:proofErr w:type="spellEnd"/>
      <w:r w:rsidRPr="002A511A">
        <w:rPr>
          <w:sz w:val="18"/>
          <w:szCs w:val="18"/>
        </w:rPr>
        <w:t xml:space="preserve"> </w:t>
      </w:r>
      <w:proofErr w:type="spellStart"/>
      <w:r w:rsidRPr="002A511A">
        <w:rPr>
          <w:sz w:val="18"/>
          <w:szCs w:val="18"/>
        </w:rPr>
        <w:t>the</w:t>
      </w:r>
      <w:proofErr w:type="spellEnd"/>
      <w:r w:rsidRPr="002A511A">
        <w:rPr>
          <w:sz w:val="18"/>
          <w:szCs w:val="18"/>
        </w:rPr>
        <w:t xml:space="preserve"> </w:t>
      </w:r>
      <w:proofErr w:type="spellStart"/>
      <w:r>
        <w:rPr>
          <w:sz w:val="18"/>
          <w:szCs w:val="18"/>
        </w:rPr>
        <w:t>Eurų</w:t>
      </w:r>
      <w:r w:rsidRPr="002A511A">
        <w:rPr>
          <w:sz w:val="18"/>
          <w:szCs w:val="18"/>
        </w:rPr>
        <w:t>opean</w:t>
      </w:r>
      <w:proofErr w:type="spellEnd"/>
      <w:r w:rsidRPr="002A511A">
        <w:rPr>
          <w:sz w:val="18"/>
          <w:szCs w:val="18"/>
        </w:rPr>
        <w:t xml:space="preserve"> </w:t>
      </w:r>
      <w:proofErr w:type="spellStart"/>
      <w:r w:rsidRPr="002A511A">
        <w:rPr>
          <w:sz w:val="18"/>
          <w:szCs w:val="18"/>
        </w:rPr>
        <w:t>Union</w:t>
      </w:r>
      <w:proofErr w:type="spellEnd"/>
      <w:r w:rsidRPr="002A511A">
        <w:rPr>
          <w:sz w:val="18"/>
          <w:szCs w:val="18"/>
        </w:rPr>
        <w:t xml:space="preserve">: a </w:t>
      </w:r>
      <w:proofErr w:type="spellStart"/>
      <w:r w:rsidRPr="002A511A">
        <w:rPr>
          <w:sz w:val="18"/>
          <w:szCs w:val="18"/>
        </w:rPr>
        <w:t>systematic</w:t>
      </w:r>
      <w:proofErr w:type="spellEnd"/>
      <w:r w:rsidRPr="002A511A">
        <w:rPr>
          <w:sz w:val="18"/>
          <w:szCs w:val="18"/>
        </w:rPr>
        <w:t xml:space="preserve"> </w:t>
      </w:r>
      <w:proofErr w:type="spellStart"/>
      <w:r w:rsidRPr="002A511A">
        <w:rPr>
          <w:sz w:val="18"/>
          <w:szCs w:val="18"/>
        </w:rPr>
        <w:t>analysis</w:t>
      </w:r>
      <w:proofErr w:type="spellEnd"/>
      <w:r w:rsidRPr="002A511A">
        <w:rPr>
          <w:sz w:val="18"/>
          <w:szCs w:val="18"/>
        </w:rPr>
        <w:t xml:space="preserve"> </w:t>
      </w:r>
      <w:proofErr w:type="spellStart"/>
      <w:r w:rsidRPr="002A511A">
        <w:rPr>
          <w:sz w:val="18"/>
          <w:szCs w:val="18"/>
        </w:rPr>
        <w:t>and</w:t>
      </w:r>
      <w:proofErr w:type="spellEnd"/>
      <w:r w:rsidRPr="002A511A">
        <w:rPr>
          <w:sz w:val="18"/>
          <w:szCs w:val="18"/>
        </w:rPr>
        <w:t xml:space="preserve"> </w:t>
      </w:r>
      <w:proofErr w:type="spellStart"/>
      <w:r w:rsidRPr="002A511A">
        <w:rPr>
          <w:sz w:val="18"/>
          <w:szCs w:val="18"/>
        </w:rPr>
        <w:t>cost</w:t>
      </w:r>
      <w:proofErr w:type="spellEnd"/>
      <w:r w:rsidRPr="002A511A">
        <w:rPr>
          <w:sz w:val="18"/>
          <w:szCs w:val="18"/>
        </w:rPr>
        <w:t xml:space="preserve"> </w:t>
      </w:r>
      <w:proofErr w:type="spellStart"/>
      <w:r w:rsidRPr="002A511A">
        <w:rPr>
          <w:sz w:val="18"/>
          <w:szCs w:val="18"/>
        </w:rPr>
        <w:t>calculation</w:t>
      </w:r>
      <w:proofErr w:type="spellEnd"/>
      <w:r w:rsidRPr="002A511A">
        <w:rPr>
          <w:sz w:val="18"/>
          <w:szCs w:val="18"/>
        </w:rPr>
        <w:t>“, 2013</w:t>
      </w:r>
    </w:p>
  </w:footnote>
  <w:footnote w:id="16">
    <w:p w:rsidR="001717B0" w:rsidRPr="002A511A" w:rsidRDefault="001717B0" w:rsidP="00F94595">
      <w:pPr>
        <w:pStyle w:val="Puslapioinaostekstas"/>
        <w:rPr>
          <w:sz w:val="18"/>
          <w:szCs w:val="18"/>
        </w:rPr>
      </w:pPr>
      <w:r w:rsidRPr="002A511A">
        <w:rPr>
          <w:rStyle w:val="Puslapioinaosnuoroda"/>
          <w:sz w:val="18"/>
          <w:szCs w:val="18"/>
        </w:rPr>
        <w:footnoteRef/>
      </w:r>
      <w:r w:rsidRPr="002A511A">
        <w:rPr>
          <w:sz w:val="18"/>
          <w:szCs w:val="18"/>
        </w:rPr>
        <w:t xml:space="preserve"> Pagal tyrimą, naujų šalių narių BPV/gyventojui buvo apie 3 kartus mažesnis už senų šalių narių BVP/gyventojui.</w:t>
      </w:r>
    </w:p>
  </w:footnote>
  <w:footnote w:id="17">
    <w:p w:rsidR="001717B0" w:rsidRPr="00A51A72" w:rsidRDefault="001717B0" w:rsidP="00F94595">
      <w:pPr>
        <w:pStyle w:val="Puslapioinaostekstas"/>
      </w:pPr>
      <w:r w:rsidRPr="002A511A">
        <w:rPr>
          <w:rStyle w:val="Puslapioinaosnuoroda"/>
          <w:sz w:val="18"/>
          <w:szCs w:val="18"/>
        </w:rPr>
        <w:footnoteRef/>
      </w:r>
      <w:r w:rsidRPr="002A511A">
        <w:rPr>
          <w:sz w:val="18"/>
          <w:szCs w:val="18"/>
        </w:rPr>
        <w:t xml:space="preserve"> Dabar XDR vertė (kaip ir kitų formų vertės) yra apie 3 kartus mažesnė už senų šalių narių vertes, dėl skirtumo BPV/žmogui tarp šalių. Mūsų manymu</w:t>
      </w:r>
      <w:proofErr w:type="gramStart"/>
      <w:r w:rsidRPr="002A511A">
        <w:rPr>
          <w:sz w:val="18"/>
          <w:szCs w:val="18"/>
        </w:rPr>
        <w:t xml:space="preserve"> pakoreguota XDR vertė</w:t>
      </w:r>
      <w:proofErr w:type="gramEnd"/>
      <w:r w:rsidRPr="002A511A">
        <w:rPr>
          <w:sz w:val="18"/>
          <w:szCs w:val="18"/>
        </w:rPr>
        <w:t xml:space="preserve"> yra </w:t>
      </w:r>
      <w:proofErr w:type="spellStart"/>
      <w:r w:rsidRPr="002A511A">
        <w:rPr>
          <w:sz w:val="18"/>
          <w:szCs w:val="18"/>
        </w:rPr>
        <w:t>tiesiklingesnė</w:t>
      </w:r>
      <w:proofErr w:type="spellEnd"/>
      <w:r w:rsidRPr="002A511A">
        <w:rPr>
          <w:sz w:val="18"/>
          <w:szCs w:val="18"/>
        </w:rPr>
        <w:t>, negu priminė užsienio tyrime naudojama vertė.</w:t>
      </w:r>
    </w:p>
  </w:footnote>
  <w:footnote w:id="18">
    <w:p w:rsidR="001717B0" w:rsidRPr="0092054B" w:rsidRDefault="001717B0" w:rsidP="00BC50A6">
      <w:pPr>
        <w:pStyle w:val="Puslapioinaostekstas"/>
        <w:jc w:val="both"/>
        <w:rPr>
          <w:i/>
          <w:color w:val="000000" w:themeColor="text1"/>
          <w:sz w:val="18"/>
          <w:szCs w:val="18"/>
        </w:rPr>
      </w:pPr>
      <w:r w:rsidRPr="0092054B">
        <w:rPr>
          <w:rStyle w:val="Puslapioinaosnuoroda"/>
          <w:color w:val="000000" w:themeColor="text1"/>
          <w:sz w:val="18"/>
          <w:szCs w:val="18"/>
        </w:rPr>
        <w:footnoteRef/>
      </w:r>
      <w:r w:rsidRPr="0092054B">
        <w:rPr>
          <w:color w:val="000000" w:themeColor="text1"/>
          <w:sz w:val="18"/>
          <w:szCs w:val="18"/>
        </w:rPr>
        <w:t xml:space="preserve"> Lietuvos statistikos departamentas, 2018.</w:t>
      </w:r>
    </w:p>
  </w:footnote>
  <w:footnote w:id="19">
    <w:p w:rsidR="001717B0" w:rsidRPr="000E6048" w:rsidRDefault="001717B0" w:rsidP="00187028">
      <w:pPr>
        <w:pStyle w:val="Puslapioinaostekstas"/>
        <w:rPr>
          <w:sz w:val="18"/>
          <w:szCs w:val="18"/>
        </w:rPr>
      </w:pPr>
      <w:r w:rsidRPr="000E6048">
        <w:rPr>
          <w:rStyle w:val="Puslapioinaosnuoroda"/>
          <w:sz w:val="18"/>
          <w:szCs w:val="18"/>
        </w:rPr>
        <w:footnoteRef/>
      </w:r>
      <w:r w:rsidRPr="000E6048">
        <w:rPr>
          <w:sz w:val="18"/>
          <w:szCs w:val="18"/>
        </w:rPr>
        <w:t xml:space="preserve"> </w:t>
      </w:r>
      <w:hyperlink r:id="rId1" w:history="1">
        <w:r w:rsidRPr="000E6048">
          <w:rPr>
            <w:rStyle w:val="Hipersaitas"/>
            <w:sz w:val="18"/>
            <w:szCs w:val="18"/>
          </w:rPr>
          <w:t>http://www.wsipp.wa.gov</w:t>
        </w:r>
      </w:hyperlink>
    </w:p>
    <w:p w:rsidR="001717B0" w:rsidRPr="009D69A8" w:rsidRDefault="001717B0" w:rsidP="00187028">
      <w:pPr>
        <w:pStyle w:val="Puslapioinaostekstas"/>
      </w:pPr>
    </w:p>
  </w:footnote>
  <w:footnote w:id="20">
    <w:p w:rsidR="001717B0" w:rsidRPr="00BB56DD" w:rsidRDefault="001717B0" w:rsidP="00187028">
      <w:pPr>
        <w:pStyle w:val="Puslapioinaostekstas"/>
        <w:rPr>
          <w:sz w:val="18"/>
          <w:szCs w:val="18"/>
        </w:rPr>
      </w:pPr>
      <w:r w:rsidRPr="00BB56DD">
        <w:rPr>
          <w:rStyle w:val="Puslapioinaosnuoroda"/>
          <w:sz w:val="18"/>
          <w:szCs w:val="18"/>
        </w:rPr>
        <w:footnoteRef/>
      </w:r>
      <w:r>
        <w:rPr>
          <w:sz w:val="18"/>
          <w:szCs w:val="18"/>
        </w:rPr>
        <w:t>Apskaičiuota pagal Jungtinės Karalystė IAPT programos trejų metų rezultatus.</w:t>
      </w:r>
      <w:r w:rsidRPr="00BB56DD">
        <w:rPr>
          <w:sz w:val="18"/>
          <w:szCs w:val="18"/>
        </w:rPr>
        <w:t xml:space="preserve"> </w:t>
      </w:r>
    </w:p>
  </w:footnote>
  <w:footnote w:id="21">
    <w:p w:rsidR="001717B0" w:rsidRPr="00BB56DD" w:rsidRDefault="001717B0" w:rsidP="00187028">
      <w:pPr>
        <w:pStyle w:val="Puslapioinaostekstas"/>
        <w:rPr>
          <w:sz w:val="18"/>
          <w:szCs w:val="18"/>
        </w:rPr>
      </w:pPr>
      <w:r w:rsidRPr="00BB56DD">
        <w:rPr>
          <w:rStyle w:val="Puslapioinaosnuoroda"/>
          <w:sz w:val="18"/>
          <w:szCs w:val="18"/>
        </w:rPr>
        <w:footnoteRef/>
      </w:r>
      <w:r w:rsidRPr="00BB56DD">
        <w:rPr>
          <w:sz w:val="18"/>
          <w:szCs w:val="18"/>
        </w:rPr>
        <w:t xml:space="preserve"> Analizuoti sveikatos priežiūros paslaugų vartojimo pokyčiai: 1) </w:t>
      </w:r>
      <w:r>
        <w:rPr>
          <w:sz w:val="18"/>
          <w:szCs w:val="18"/>
        </w:rPr>
        <w:t xml:space="preserve">pirminės sveikatos priežiūros; </w:t>
      </w:r>
      <w:r w:rsidRPr="00BB56DD">
        <w:rPr>
          <w:sz w:val="18"/>
          <w:szCs w:val="18"/>
        </w:rPr>
        <w:t>2) II ir III lygio ambulatorinių sveikatos priežiūros paslaugų ir 3) stacionaro paslaugų galimus pokyčius. Duomenys buvo rinkti taikant TLK-10 ligų kodus: F10</w:t>
      </w:r>
      <w:proofErr w:type="gramStart"/>
      <w:r w:rsidRPr="00BB56DD">
        <w:rPr>
          <w:sz w:val="18"/>
          <w:szCs w:val="18"/>
        </w:rPr>
        <w:t>-</w:t>
      </w:r>
      <w:proofErr w:type="gramEnd"/>
      <w:r w:rsidRPr="00BB56DD">
        <w:rPr>
          <w:sz w:val="18"/>
          <w:szCs w:val="18"/>
        </w:rPr>
        <w:t>F19; F32;F33;F34;F38; F40; F41; F42; F43; F45; F50; F51; F90-F98.Duomenys rinkti dviem amžiaus grupėm: 14-19 ir 20-65.Į šia analizę neįtrauktos išlaidos už mokamas paslaugas.</w:t>
      </w:r>
    </w:p>
  </w:footnote>
  <w:footnote w:id="22">
    <w:p w:rsidR="001717B0" w:rsidRPr="00F92B1E" w:rsidRDefault="001717B0" w:rsidP="00187028">
      <w:pPr>
        <w:pStyle w:val="Puslapioinaostekstas"/>
        <w:rPr>
          <w:sz w:val="18"/>
          <w:szCs w:val="18"/>
        </w:rPr>
      </w:pPr>
      <w:r w:rsidRPr="00BB56DD">
        <w:rPr>
          <w:rStyle w:val="Puslapioinaosnuoroda"/>
          <w:sz w:val="18"/>
          <w:szCs w:val="18"/>
        </w:rPr>
        <w:footnoteRef/>
      </w:r>
      <w:r w:rsidRPr="00BB56DD">
        <w:rPr>
          <w:sz w:val="18"/>
          <w:szCs w:val="18"/>
        </w:rPr>
        <w:t>Valstybinės ligonių kasos duomenys. Apskaičiuota vidutinio recepto, išrašyto gydant depresiją ir kitus psichikos susirgimus kaina</w:t>
      </w:r>
      <w:r>
        <w:rPr>
          <w:sz w:val="18"/>
          <w:szCs w:val="18"/>
        </w:rPr>
        <w:t xml:space="preserve"> (bendra suma iš PSDF ir asmens priemoka) ir apskaičiuotas vidutinis receptų, tenkančių asmeniui skaičius. Tuomet apskaičiuota </w:t>
      </w:r>
      <w:r w:rsidRPr="00F92B1E">
        <w:rPr>
          <w:sz w:val="18"/>
          <w:szCs w:val="18"/>
        </w:rPr>
        <w:t xml:space="preserve">sutaupytų išlaidų vaistams suma vienam teigiamą KET programos poveikį patyrusiam asmeniui </w:t>
      </w:r>
    </w:p>
  </w:footnote>
  <w:footnote w:id="23">
    <w:p w:rsidR="001717B0" w:rsidRPr="00F92B1E" w:rsidRDefault="001717B0" w:rsidP="00187028">
      <w:pPr>
        <w:pStyle w:val="Puslapioinaostekstas"/>
        <w:rPr>
          <w:sz w:val="18"/>
          <w:szCs w:val="18"/>
        </w:rPr>
      </w:pPr>
      <w:r w:rsidRPr="00F92B1E">
        <w:rPr>
          <w:rStyle w:val="Puslapioinaosnuoroda"/>
          <w:sz w:val="18"/>
          <w:szCs w:val="18"/>
        </w:rPr>
        <w:footnoteRef/>
      </w:r>
      <w:r w:rsidRPr="00F92B1E">
        <w:rPr>
          <w:sz w:val="18"/>
          <w:szCs w:val="18"/>
        </w:rPr>
        <w:t xml:space="preserve"> Daryta prielaida, kad apie 18,27 proc. tų, kurie dėl KET pasveiko nuo depresijos, galimai turėjo savižudybės riziką.</w:t>
      </w:r>
    </w:p>
  </w:footnote>
  <w:footnote w:id="24">
    <w:p w:rsidR="001717B0" w:rsidRPr="00F92B1E" w:rsidRDefault="001717B0" w:rsidP="00187028">
      <w:pPr>
        <w:pStyle w:val="Puslapioinaostekstas"/>
        <w:rPr>
          <w:sz w:val="18"/>
          <w:szCs w:val="18"/>
        </w:rPr>
      </w:pPr>
      <w:r w:rsidRPr="00F92B1E">
        <w:rPr>
          <w:rStyle w:val="Puslapioinaosnuoroda"/>
          <w:sz w:val="18"/>
          <w:szCs w:val="18"/>
        </w:rPr>
        <w:footnoteRef/>
      </w:r>
      <w:r w:rsidRPr="00F92B1E">
        <w:rPr>
          <w:sz w:val="18"/>
          <w:szCs w:val="18"/>
        </w:rPr>
        <w:t xml:space="preserve"> Skaičiuojant tikėtiną žmonių skaičių, kurie serga depresija ir tikėtina turi didelę tikimybę nusižudyti, daryta prielaida, kad tokia žmonių dalis </w:t>
      </w:r>
      <w:r>
        <w:rPr>
          <w:sz w:val="18"/>
          <w:szCs w:val="18"/>
        </w:rPr>
        <w:t xml:space="preserve">Lietuvoje </w:t>
      </w:r>
      <w:r w:rsidRPr="00F92B1E">
        <w:rPr>
          <w:sz w:val="18"/>
          <w:szCs w:val="18"/>
        </w:rPr>
        <w:t>gali būti apie 18,27 proc. (panašius rezultatus, gauna ir užsienio šalių mokslininkai, analizuojantys ryšį tarp depresijos ir savižudybės rizikos</w:t>
      </w:r>
      <w:r>
        <w:rPr>
          <w:sz w:val="18"/>
          <w:szCs w:val="18"/>
        </w:rPr>
        <w:t>)</w:t>
      </w:r>
      <w:r w:rsidRPr="00F92B1E">
        <w:rPr>
          <w:sz w:val="18"/>
          <w:szCs w:val="18"/>
        </w:rPr>
        <w:t>. Ap</w:t>
      </w:r>
      <w:r>
        <w:rPr>
          <w:sz w:val="18"/>
          <w:szCs w:val="18"/>
        </w:rPr>
        <w:t>skaičiavus tokių asmenų skaičių</w:t>
      </w:r>
      <w:r w:rsidRPr="00F92B1E">
        <w:rPr>
          <w:sz w:val="18"/>
          <w:szCs w:val="18"/>
        </w:rPr>
        <w:t>, tikėti išsaugomi gyvenimo metai skaičiuoti pasiremiant užsienyje atliktu tyrimu, kad pašalinus depresiją kaip rizikos veiksnį, būtų prailginamas gyvenimas vidu</w:t>
      </w:r>
      <w:r>
        <w:rPr>
          <w:sz w:val="18"/>
          <w:szCs w:val="18"/>
        </w:rPr>
        <w:t>ti</w:t>
      </w:r>
      <w:r w:rsidRPr="00F92B1E">
        <w:rPr>
          <w:sz w:val="18"/>
          <w:szCs w:val="18"/>
        </w:rPr>
        <w:t>niškai 8,9 metų. Apskaičiuota, kiek iš viso gyvenimo metų būtų laimima per metus, jei šis veiksnys būtų pašalintas</w:t>
      </w:r>
      <w:r>
        <w:rPr>
          <w:sz w:val="18"/>
          <w:szCs w:val="18"/>
        </w:rPr>
        <w:t>.</w:t>
      </w:r>
    </w:p>
  </w:footnote>
  <w:footnote w:id="25">
    <w:p w:rsidR="001717B0" w:rsidRPr="000E6048" w:rsidRDefault="001717B0" w:rsidP="00187028">
      <w:pPr>
        <w:pStyle w:val="Puslapioinaostekstas"/>
        <w:rPr>
          <w:sz w:val="18"/>
          <w:szCs w:val="18"/>
        </w:rPr>
      </w:pPr>
      <w:r w:rsidRPr="00F92B1E">
        <w:rPr>
          <w:rStyle w:val="Puslapioinaosnuoroda"/>
          <w:sz w:val="18"/>
          <w:szCs w:val="18"/>
        </w:rPr>
        <w:footnoteRef/>
      </w:r>
      <w:r w:rsidRPr="00F92B1E">
        <w:rPr>
          <w:sz w:val="18"/>
          <w:szCs w:val="18"/>
        </w:rPr>
        <w:t xml:space="preserve"> Daryta prielaida, kad </w:t>
      </w:r>
      <w:proofErr w:type="gramStart"/>
      <w:r w:rsidRPr="00F92B1E">
        <w:rPr>
          <w:sz w:val="18"/>
          <w:szCs w:val="18"/>
        </w:rPr>
        <w:t>laimėti</w:t>
      </w:r>
      <w:proofErr w:type="gramEnd"/>
      <w:r w:rsidRPr="00F92B1E">
        <w:rPr>
          <w:sz w:val="18"/>
          <w:szCs w:val="18"/>
        </w:rPr>
        <w:t xml:space="preserve"> gyvenimo metai būtų panaudoti produktyviai ir kurtų pridėtinę vertę šalies ekonomikai (uždirbami pinigai), taip būtų išsaugomi produktyvumo kaštai</w:t>
      </w:r>
      <w:r>
        <w:rPr>
          <w:sz w:val="18"/>
          <w:szCs w:val="18"/>
        </w:rPr>
        <w:t xml:space="preserve">, apskaičiuoti </w:t>
      </w:r>
      <w:r w:rsidRPr="00BB56DD">
        <w:rPr>
          <w:sz w:val="18"/>
          <w:szCs w:val="18"/>
        </w:rPr>
        <w:t xml:space="preserve">imant vidutinį bruto atlyginimą Lietuvoje 2018 m. - 895,2 </w:t>
      </w:r>
      <w:r>
        <w:rPr>
          <w:sz w:val="18"/>
          <w:szCs w:val="18"/>
        </w:rPr>
        <w:t>Eurų</w:t>
      </w:r>
      <w:r w:rsidRPr="00BB56DD">
        <w:rPr>
          <w:sz w:val="18"/>
          <w:szCs w:val="18"/>
        </w:rPr>
        <w:t xml:space="preserve"> </w:t>
      </w:r>
      <w:r w:rsidRPr="000E6048">
        <w:rPr>
          <w:sz w:val="18"/>
          <w:szCs w:val="18"/>
        </w:rPr>
        <w:t>(Statistikos departamento duomenys).</w:t>
      </w:r>
    </w:p>
  </w:footnote>
  <w:footnote w:id="26">
    <w:p w:rsidR="001717B0" w:rsidRPr="00390093" w:rsidRDefault="001717B0" w:rsidP="0007040F">
      <w:pPr>
        <w:pStyle w:val="Puslapioinaostekstas"/>
        <w:rPr>
          <w:sz w:val="18"/>
          <w:szCs w:val="18"/>
        </w:rPr>
      </w:pPr>
      <w:r w:rsidRPr="00390093">
        <w:rPr>
          <w:rStyle w:val="Puslapioinaosnuoroda"/>
          <w:sz w:val="18"/>
          <w:szCs w:val="18"/>
        </w:rPr>
        <w:footnoteRef/>
      </w:r>
      <w:r w:rsidRPr="00390093">
        <w:rPr>
          <w:sz w:val="18"/>
          <w:szCs w:val="18"/>
        </w:rPr>
        <w:t xml:space="preserve"> </w:t>
      </w:r>
      <w:proofErr w:type="spellStart"/>
      <w:r w:rsidRPr="00390093">
        <w:rPr>
          <w:sz w:val="18"/>
          <w:szCs w:val="18"/>
        </w:rPr>
        <w:t>Kessler</w:t>
      </w:r>
      <w:proofErr w:type="spellEnd"/>
      <w:r w:rsidRPr="00390093">
        <w:rPr>
          <w:sz w:val="18"/>
          <w:szCs w:val="18"/>
        </w:rPr>
        <w:t xml:space="preserve"> et </w:t>
      </w:r>
      <w:proofErr w:type="spellStart"/>
      <w:r w:rsidRPr="00390093">
        <w:rPr>
          <w:sz w:val="18"/>
          <w:szCs w:val="18"/>
        </w:rPr>
        <w:t>al</w:t>
      </w:r>
      <w:proofErr w:type="spellEnd"/>
      <w:r w:rsidRPr="00390093">
        <w:rPr>
          <w:sz w:val="18"/>
          <w:szCs w:val="18"/>
        </w:rPr>
        <w:t xml:space="preserve"> (2003) </w:t>
      </w:r>
      <w:proofErr w:type="spellStart"/>
      <w:r w:rsidRPr="00390093">
        <w:rPr>
          <w:sz w:val="18"/>
          <w:szCs w:val="18"/>
        </w:rPr>
        <w:t>The</w:t>
      </w:r>
      <w:proofErr w:type="spellEnd"/>
      <w:r w:rsidRPr="00390093">
        <w:rPr>
          <w:sz w:val="18"/>
          <w:szCs w:val="18"/>
        </w:rPr>
        <w:t xml:space="preserve"> </w:t>
      </w:r>
      <w:proofErr w:type="spellStart"/>
      <w:r w:rsidRPr="00390093">
        <w:rPr>
          <w:sz w:val="18"/>
          <w:szCs w:val="18"/>
        </w:rPr>
        <w:t>epidemiology</w:t>
      </w:r>
      <w:proofErr w:type="spellEnd"/>
      <w:r w:rsidRPr="00390093">
        <w:rPr>
          <w:sz w:val="18"/>
          <w:szCs w:val="18"/>
        </w:rPr>
        <w:t xml:space="preserve"> </w:t>
      </w:r>
      <w:proofErr w:type="spellStart"/>
      <w:r w:rsidRPr="00390093">
        <w:rPr>
          <w:sz w:val="18"/>
          <w:szCs w:val="18"/>
        </w:rPr>
        <w:t>of</w:t>
      </w:r>
      <w:proofErr w:type="spellEnd"/>
      <w:r w:rsidRPr="00390093">
        <w:rPr>
          <w:sz w:val="18"/>
          <w:szCs w:val="18"/>
        </w:rPr>
        <w:t xml:space="preserve"> </w:t>
      </w:r>
      <w:proofErr w:type="spellStart"/>
      <w:r w:rsidRPr="00390093">
        <w:rPr>
          <w:sz w:val="18"/>
          <w:szCs w:val="18"/>
        </w:rPr>
        <w:t>major</w:t>
      </w:r>
      <w:proofErr w:type="spellEnd"/>
      <w:r w:rsidRPr="00390093">
        <w:rPr>
          <w:sz w:val="18"/>
          <w:szCs w:val="18"/>
        </w:rPr>
        <w:t xml:space="preserve"> </w:t>
      </w:r>
      <w:proofErr w:type="spellStart"/>
      <w:r w:rsidRPr="00390093">
        <w:rPr>
          <w:sz w:val="18"/>
          <w:szCs w:val="18"/>
        </w:rPr>
        <w:t>depressive</w:t>
      </w:r>
      <w:proofErr w:type="spellEnd"/>
      <w:r w:rsidRPr="00390093">
        <w:rPr>
          <w:sz w:val="18"/>
          <w:szCs w:val="18"/>
        </w:rPr>
        <w:t xml:space="preserve"> </w:t>
      </w:r>
      <w:proofErr w:type="spellStart"/>
      <w:r w:rsidRPr="00390093">
        <w:rPr>
          <w:sz w:val="18"/>
          <w:szCs w:val="18"/>
        </w:rPr>
        <w:t>disorder</w:t>
      </w:r>
      <w:proofErr w:type="spellEnd"/>
      <w:r w:rsidRPr="00390093">
        <w:rPr>
          <w:sz w:val="18"/>
          <w:szCs w:val="18"/>
        </w:rPr>
        <w:t xml:space="preserve">: </w:t>
      </w:r>
      <w:proofErr w:type="spellStart"/>
      <w:r w:rsidRPr="00390093">
        <w:rPr>
          <w:sz w:val="18"/>
          <w:szCs w:val="18"/>
        </w:rPr>
        <w:t>results</w:t>
      </w:r>
      <w:proofErr w:type="spellEnd"/>
      <w:r w:rsidRPr="00390093">
        <w:rPr>
          <w:sz w:val="18"/>
          <w:szCs w:val="18"/>
        </w:rPr>
        <w:t xml:space="preserve"> </w:t>
      </w:r>
      <w:proofErr w:type="spellStart"/>
      <w:r w:rsidRPr="00390093">
        <w:rPr>
          <w:sz w:val="18"/>
          <w:szCs w:val="18"/>
        </w:rPr>
        <w:t>from</w:t>
      </w:r>
      <w:proofErr w:type="spellEnd"/>
      <w:r w:rsidRPr="00390093">
        <w:rPr>
          <w:sz w:val="18"/>
          <w:szCs w:val="18"/>
        </w:rPr>
        <w:t xml:space="preserve"> </w:t>
      </w:r>
      <w:proofErr w:type="spellStart"/>
      <w:r w:rsidRPr="00390093">
        <w:rPr>
          <w:sz w:val="18"/>
          <w:szCs w:val="18"/>
        </w:rPr>
        <w:t>the</w:t>
      </w:r>
      <w:proofErr w:type="spellEnd"/>
      <w:r w:rsidRPr="00390093">
        <w:rPr>
          <w:sz w:val="18"/>
          <w:szCs w:val="18"/>
        </w:rPr>
        <w:t xml:space="preserve"> </w:t>
      </w:r>
      <w:proofErr w:type="spellStart"/>
      <w:r w:rsidRPr="00390093">
        <w:rPr>
          <w:sz w:val="18"/>
          <w:szCs w:val="18"/>
        </w:rPr>
        <w:t>National</w:t>
      </w:r>
      <w:proofErr w:type="spellEnd"/>
      <w:r w:rsidRPr="00390093">
        <w:rPr>
          <w:sz w:val="18"/>
          <w:szCs w:val="18"/>
        </w:rPr>
        <w:t xml:space="preserve"> </w:t>
      </w:r>
      <w:proofErr w:type="spellStart"/>
      <w:r w:rsidRPr="00390093">
        <w:rPr>
          <w:sz w:val="18"/>
          <w:szCs w:val="18"/>
        </w:rPr>
        <w:t>comorbidity</w:t>
      </w:r>
      <w:proofErr w:type="spellEnd"/>
      <w:r w:rsidRPr="00390093">
        <w:rPr>
          <w:sz w:val="18"/>
          <w:szCs w:val="18"/>
        </w:rPr>
        <w:t xml:space="preserve"> </w:t>
      </w:r>
      <w:proofErr w:type="spellStart"/>
      <w:r w:rsidRPr="00390093">
        <w:rPr>
          <w:sz w:val="18"/>
          <w:szCs w:val="18"/>
        </w:rPr>
        <w:t>survey</w:t>
      </w:r>
      <w:proofErr w:type="spellEnd"/>
      <w:r w:rsidRPr="00390093">
        <w:rPr>
          <w:sz w:val="18"/>
          <w:szCs w:val="18"/>
        </w:rPr>
        <w:t xml:space="preserve"> </w:t>
      </w:r>
      <w:proofErr w:type="spellStart"/>
      <w:r w:rsidRPr="00390093">
        <w:rPr>
          <w:sz w:val="18"/>
          <w:szCs w:val="18"/>
        </w:rPr>
        <w:t>replication</w:t>
      </w:r>
      <w:proofErr w:type="spellEnd"/>
      <w:r w:rsidRPr="00390093">
        <w:rPr>
          <w:sz w:val="18"/>
          <w:szCs w:val="18"/>
        </w:rPr>
        <w:t xml:space="preserve"> (NCS</w:t>
      </w:r>
      <w:proofErr w:type="gramStart"/>
      <w:r w:rsidRPr="00390093">
        <w:rPr>
          <w:sz w:val="18"/>
          <w:szCs w:val="18"/>
        </w:rPr>
        <w:t>-</w:t>
      </w:r>
      <w:proofErr w:type="gramEnd"/>
      <w:r w:rsidRPr="00390093">
        <w:rPr>
          <w:sz w:val="18"/>
          <w:szCs w:val="18"/>
        </w:rPr>
        <w:t xml:space="preserve">R). </w:t>
      </w:r>
      <w:proofErr w:type="spellStart"/>
      <w:r w:rsidRPr="00390093">
        <w:rPr>
          <w:i/>
          <w:sz w:val="18"/>
          <w:szCs w:val="18"/>
        </w:rPr>
        <w:t>Journal</w:t>
      </w:r>
      <w:proofErr w:type="spellEnd"/>
      <w:r w:rsidRPr="00390093">
        <w:rPr>
          <w:i/>
          <w:sz w:val="18"/>
          <w:szCs w:val="18"/>
        </w:rPr>
        <w:t xml:space="preserve"> </w:t>
      </w:r>
      <w:proofErr w:type="spellStart"/>
      <w:r w:rsidRPr="00390093">
        <w:rPr>
          <w:i/>
          <w:sz w:val="18"/>
          <w:szCs w:val="18"/>
        </w:rPr>
        <w:t>of</w:t>
      </w:r>
      <w:proofErr w:type="spellEnd"/>
      <w:r w:rsidRPr="00390093">
        <w:rPr>
          <w:i/>
          <w:sz w:val="18"/>
          <w:szCs w:val="18"/>
        </w:rPr>
        <w:t xml:space="preserve"> </w:t>
      </w:r>
      <w:proofErr w:type="spellStart"/>
      <w:r w:rsidRPr="00390093">
        <w:rPr>
          <w:i/>
          <w:sz w:val="18"/>
          <w:szCs w:val="18"/>
        </w:rPr>
        <w:t>the</w:t>
      </w:r>
      <w:proofErr w:type="spellEnd"/>
      <w:r w:rsidRPr="00390093">
        <w:rPr>
          <w:i/>
          <w:sz w:val="18"/>
          <w:szCs w:val="18"/>
        </w:rPr>
        <w:t xml:space="preserve"> </w:t>
      </w:r>
      <w:proofErr w:type="spellStart"/>
      <w:r w:rsidRPr="00390093">
        <w:rPr>
          <w:i/>
          <w:sz w:val="18"/>
          <w:szCs w:val="18"/>
        </w:rPr>
        <w:t>American</w:t>
      </w:r>
      <w:proofErr w:type="spellEnd"/>
      <w:r w:rsidRPr="00390093">
        <w:rPr>
          <w:i/>
          <w:sz w:val="18"/>
          <w:szCs w:val="18"/>
        </w:rPr>
        <w:t xml:space="preserve"> </w:t>
      </w:r>
      <w:proofErr w:type="spellStart"/>
      <w:r w:rsidRPr="00390093">
        <w:rPr>
          <w:i/>
          <w:sz w:val="18"/>
          <w:szCs w:val="18"/>
        </w:rPr>
        <w:t>Medical</w:t>
      </w:r>
      <w:proofErr w:type="spellEnd"/>
      <w:r w:rsidRPr="00390093">
        <w:rPr>
          <w:i/>
          <w:sz w:val="18"/>
          <w:szCs w:val="18"/>
        </w:rPr>
        <w:t xml:space="preserve"> </w:t>
      </w:r>
      <w:proofErr w:type="spellStart"/>
      <w:r w:rsidRPr="00390093">
        <w:rPr>
          <w:i/>
          <w:sz w:val="18"/>
          <w:szCs w:val="18"/>
        </w:rPr>
        <w:t>Association</w:t>
      </w:r>
      <w:proofErr w:type="spellEnd"/>
      <w:r w:rsidRPr="00390093">
        <w:rPr>
          <w:i/>
          <w:sz w:val="18"/>
          <w:szCs w:val="18"/>
        </w:rPr>
        <w:t>, 289, 3095</w:t>
      </w:r>
      <w:proofErr w:type="gramStart"/>
      <w:r w:rsidRPr="00390093">
        <w:rPr>
          <w:i/>
          <w:sz w:val="18"/>
          <w:szCs w:val="18"/>
        </w:rPr>
        <w:t>-</w:t>
      </w:r>
      <w:proofErr w:type="gramEnd"/>
      <w:r w:rsidRPr="00390093">
        <w:rPr>
          <w:i/>
          <w:sz w:val="18"/>
          <w:szCs w:val="18"/>
        </w:rPr>
        <w:t>3105</w:t>
      </w:r>
      <w:r w:rsidRPr="00390093">
        <w:rPr>
          <w:sz w:val="18"/>
          <w:szCs w:val="18"/>
        </w:rPr>
        <w:t>.</w:t>
      </w:r>
    </w:p>
  </w:footnote>
  <w:footnote w:id="27">
    <w:p w:rsidR="001717B0" w:rsidRPr="008C4FCC" w:rsidRDefault="001717B0" w:rsidP="0007040F">
      <w:pPr>
        <w:pStyle w:val="Puslapioinaostekstas"/>
        <w:rPr>
          <w:sz w:val="18"/>
          <w:szCs w:val="18"/>
        </w:rPr>
      </w:pPr>
      <w:r w:rsidRPr="00390093">
        <w:rPr>
          <w:rStyle w:val="Puslapioinaosnuoroda"/>
          <w:sz w:val="18"/>
          <w:szCs w:val="18"/>
        </w:rPr>
        <w:footnoteRef/>
      </w:r>
      <w:r w:rsidRPr="00390093">
        <w:rPr>
          <w:sz w:val="18"/>
          <w:szCs w:val="18"/>
        </w:rPr>
        <w:t xml:space="preserve"> </w:t>
      </w:r>
      <w:proofErr w:type="spellStart"/>
      <w:r w:rsidRPr="00390093">
        <w:rPr>
          <w:sz w:val="18"/>
          <w:szCs w:val="18"/>
        </w:rPr>
        <w:t>Sainsbury</w:t>
      </w:r>
      <w:proofErr w:type="spellEnd"/>
      <w:r w:rsidRPr="00390093">
        <w:rPr>
          <w:sz w:val="18"/>
          <w:szCs w:val="18"/>
        </w:rPr>
        <w:t xml:space="preserve"> </w:t>
      </w:r>
      <w:proofErr w:type="spellStart"/>
      <w:r w:rsidRPr="00390093">
        <w:rPr>
          <w:sz w:val="18"/>
          <w:szCs w:val="18"/>
        </w:rPr>
        <w:t>Center</w:t>
      </w:r>
      <w:proofErr w:type="spellEnd"/>
      <w:r w:rsidRPr="00390093">
        <w:rPr>
          <w:sz w:val="18"/>
          <w:szCs w:val="18"/>
        </w:rPr>
        <w:t xml:space="preserve"> (2010). </w:t>
      </w:r>
      <w:proofErr w:type="spellStart"/>
      <w:r w:rsidRPr="00390093">
        <w:rPr>
          <w:sz w:val="18"/>
          <w:szCs w:val="18"/>
        </w:rPr>
        <w:t>The</w:t>
      </w:r>
      <w:proofErr w:type="spellEnd"/>
      <w:r w:rsidRPr="00390093">
        <w:rPr>
          <w:sz w:val="18"/>
          <w:szCs w:val="18"/>
        </w:rPr>
        <w:t xml:space="preserve"> </w:t>
      </w:r>
      <w:proofErr w:type="spellStart"/>
      <w:r w:rsidRPr="00390093">
        <w:rPr>
          <w:sz w:val="18"/>
          <w:szCs w:val="18"/>
        </w:rPr>
        <w:t>economic</w:t>
      </w:r>
      <w:proofErr w:type="spellEnd"/>
      <w:r w:rsidRPr="00390093">
        <w:rPr>
          <w:sz w:val="18"/>
          <w:szCs w:val="18"/>
        </w:rPr>
        <w:t xml:space="preserve"> </w:t>
      </w:r>
      <w:proofErr w:type="spellStart"/>
      <w:r w:rsidRPr="00390093">
        <w:rPr>
          <w:sz w:val="18"/>
          <w:szCs w:val="18"/>
        </w:rPr>
        <w:t>and</w:t>
      </w:r>
      <w:proofErr w:type="spellEnd"/>
      <w:r w:rsidRPr="00390093">
        <w:rPr>
          <w:sz w:val="18"/>
          <w:szCs w:val="18"/>
        </w:rPr>
        <w:t xml:space="preserve"> </w:t>
      </w:r>
      <w:proofErr w:type="spellStart"/>
      <w:r w:rsidRPr="00390093">
        <w:rPr>
          <w:sz w:val="18"/>
          <w:szCs w:val="18"/>
        </w:rPr>
        <w:t>social</w:t>
      </w:r>
      <w:proofErr w:type="spellEnd"/>
      <w:r w:rsidRPr="00390093">
        <w:rPr>
          <w:sz w:val="18"/>
          <w:szCs w:val="18"/>
        </w:rPr>
        <w:t xml:space="preserve"> </w:t>
      </w:r>
      <w:proofErr w:type="spellStart"/>
      <w:r w:rsidRPr="00390093">
        <w:rPr>
          <w:sz w:val="18"/>
          <w:szCs w:val="18"/>
        </w:rPr>
        <w:t>costs</w:t>
      </w:r>
      <w:proofErr w:type="spellEnd"/>
      <w:r w:rsidRPr="00390093">
        <w:rPr>
          <w:sz w:val="18"/>
          <w:szCs w:val="18"/>
        </w:rPr>
        <w:t xml:space="preserve"> </w:t>
      </w:r>
      <w:proofErr w:type="spellStart"/>
      <w:r w:rsidRPr="00390093">
        <w:rPr>
          <w:sz w:val="18"/>
          <w:szCs w:val="18"/>
        </w:rPr>
        <w:t>of</w:t>
      </w:r>
      <w:proofErr w:type="spellEnd"/>
      <w:r w:rsidRPr="00390093">
        <w:rPr>
          <w:sz w:val="18"/>
          <w:szCs w:val="18"/>
        </w:rPr>
        <w:t xml:space="preserve"> </w:t>
      </w:r>
      <w:proofErr w:type="spellStart"/>
      <w:r w:rsidRPr="00390093">
        <w:rPr>
          <w:sz w:val="18"/>
          <w:szCs w:val="18"/>
        </w:rPr>
        <w:t>mental</w:t>
      </w:r>
      <w:proofErr w:type="spellEnd"/>
      <w:r w:rsidRPr="00390093">
        <w:rPr>
          <w:sz w:val="18"/>
          <w:szCs w:val="18"/>
        </w:rPr>
        <w:t xml:space="preserve"> </w:t>
      </w:r>
      <w:proofErr w:type="spellStart"/>
      <w:r w:rsidRPr="00390093">
        <w:rPr>
          <w:sz w:val="18"/>
          <w:szCs w:val="18"/>
        </w:rPr>
        <w:t>health</w:t>
      </w:r>
      <w:proofErr w:type="spellEnd"/>
      <w:r w:rsidRPr="00390093">
        <w:rPr>
          <w:sz w:val="18"/>
          <w:szCs w:val="18"/>
        </w:rPr>
        <w:t xml:space="preserve"> </w:t>
      </w:r>
      <w:proofErr w:type="spellStart"/>
      <w:r w:rsidRPr="00390093">
        <w:rPr>
          <w:sz w:val="18"/>
          <w:szCs w:val="18"/>
        </w:rPr>
        <w:t>problems</w:t>
      </w:r>
      <w:proofErr w:type="spellEnd"/>
      <w:r w:rsidRPr="00390093">
        <w:rPr>
          <w:sz w:val="18"/>
          <w:szCs w:val="18"/>
        </w:rPr>
        <w:t xml:space="preserve"> </w:t>
      </w:r>
      <w:proofErr w:type="spellStart"/>
      <w:r w:rsidRPr="00390093">
        <w:rPr>
          <w:sz w:val="18"/>
          <w:szCs w:val="18"/>
        </w:rPr>
        <w:t>in</w:t>
      </w:r>
      <w:proofErr w:type="spellEnd"/>
      <w:r w:rsidRPr="00390093">
        <w:rPr>
          <w:sz w:val="18"/>
          <w:szCs w:val="18"/>
        </w:rPr>
        <w:t xml:space="preserve"> 2009/2010. </w:t>
      </w:r>
      <w:proofErr w:type="spellStart"/>
      <w:r w:rsidRPr="00390093">
        <w:rPr>
          <w:sz w:val="18"/>
          <w:szCs w:val="18"/>
        </w:rPr>
        <w:t>London</w:t>
      </w:r>
      <w:proofErr w:type="spellEnd"/>
      <w:r w:rsidRPr="00390093">
        <w:rPr>
          <w:sz w:val="18"/>
          <w:szCs w:val="18"/>
        </w:rPr>
        <w:t xml:space="preserve">: </w:t>
      </w:r>
      <w:proofErr w:type="spellStart"/>
      <w:r w:rsidRPr="00390093">
        <w:rPr>
          <w:sz w:val="18"/>
          <w:szCs w:val="18"/>
        </w:rPr>
        <w:t>Sainsbury</w:t>
      </w:r>
      <w:proofErr w:type="spellEnd"/>
      <w:r w:rsidRPr="00390093">
        <w:rPr>
          <w:sz w:val="18"/>
          <w:szCs w:val="18"/>
        </w:rPr>
        <w:t xml:space="preserve"> </w:t>
      </w:r>
      <w:proofErr w:type="spellStart"/>
      <w:r w:rsidRPr="00390093">
        <w:rPr>
          <w:sz w:val="18"/>
          <w:szCs w:val="18"/>
        </w:rPr>
        <w:t>Center</w:t>
      </w:r>
      <w:proofErr w:type="spellEnd"/>
      <w:r w:rsidRPr="00390093">
        <w:rPr>
          <w:sz w:val="18"/>
          <w:szCs w:val="18"/>
        </w:rPr>
        <w:t xml:space="preserve"> </w:t>
      </w:r>
      <w:proofErr w:type="spellStart"/>
      <w:r w:rsidRPr="00390093">
        <w:rPr>
          <w:sz w:val="18"/>
          <w:szCs w:val="18"/>
        </w:rPr>
        <w:t>for</w:t>
      </w:r>
      <w:proofErr w:type="spellEnd"/>
      <w:r w:rsidRPr="00390093">
        <w:rPr>
          <w:sz w:val="18"/>
          <w:szCs w:val="18"/>
        </w:rPr>
        <w:t xml:space="preserve"> </w:t>
      </w:r>
      <w:proofErr w:type="spellStart"/>
      <w:r w:rsidRPr="00390093">
        <w:rPr>
          <w:sz w:val="18"/>
          <w:szCs w:val="18"/>
        </w:rPr>
        <w:t>Mental</w:t>
      </w:r>
      <w:proofErr w:type="spellEnd"/>
      <w:r w:rsidRPr="00390093">
        <w:rPr>
          <w:sz w:val="18"/>
          <w:szCs w:val="18"/>
        </w:rPr>
        <w:t xml:space="preserve"> </w:t>
      </w:r>
      <w:proofErr w:type="spellStart"/>
      <w:r w:rsidRPr="008C4FCC">
        <w:rPr>
          <w:sz w:val="18"/>
          <w:szCs w:val="18"/>
        </w:rPr>
        <w:t>Health</w:t>
      </w:r>
      <w:proofErr w:type="spellEnd"/>
      <w:r w:rsidRPr="008C4FCC">
        <w:rPr>
          <w:sz w:val="18"/>
          <w:szCs w:val="18"/>
        </w:rPr>
        <w:t>.</w:t>
      </w:r>
    </w:p>
  </w:footnote>
  <w:footnote w:id="28">
    <w:p w:rsidR="001717B0" w:rsidRPr="008C4FCC" w:rsidRDefault="001717B0" w:rsidP="0007040F">
      <w:pPr>
        <w:pStyle w:val="Puslapioinaostekstas"/>
        <w:rPr>
          <w:sz w:val="18"/>
          <w:szCs w:val="18"/>
        </w:rPr>
      </w:pPr>
      <w:r w:rsidRPr="008C4FCC">
        <w:rPr>
          <w:rStyle w:val="Puslapioinaosnuoroda"/>
          <w:sz w:val="18"/>
          <w:szCs w:val="18"/>
        </w:rPr>
        <w:footnoteRef/>
      </w:r>
      <w:r w:rsidRPr="008C4FCC">
        <w:rPr>
          <w:sz w:val="18"/>
          <w:szCs w:val="18"/>
        </w:rPr>
        <w:t xml:space="preserve"> </w:t>
      </w:r>
      <w:proofErr w:type="spellStart"/>
      <w:r w:rsidRPr="008C4FCC">
        <w:rPr>
          <w:sz w:val="18"/>
          <w:szCs w:val="18"/>
        </w:rPr>
        <w:t>Center</w:t>
      </w:r>
      <w:proofErr w:type="spellEnd"/>
      <w:r w:rsidRPr="008C4FCC">
        <w:rPr>
          <w:sz w:val="18"/>
          <w:szCs w:val="18"/>
        </w:rPr>
        <w:t xml:space="preserve"> </w:t>
      </w:r>
      <w:proofErr w:type="spellStart"/>
      <w:r w:rsidRPr="008C4FCC">
        <w:rPr>
          <w:sz w:val="18"/>
          <w:szCs w:val="18"/>
        </w:rPr>
        <w:t>for</w:t>
      </w:r>
      <w:proofErr w:type="spellEnd"/>
      <w:r w:rsidRPr="008C4FCC">
        <w:rPr>
          <w:sz w:val="18"/>
          <w:szCs w:val="18"/>
        </w:rPr>
        <w:t xml:space="preserve"> </w:t>
      </w:r>
      <w:proofErr w:type="spellStart"/>
      <w:r w:rsidRPr="008C4FCC">
        <w:rPr>
          <w:sz w:val="18"/>
          <w:szCs w:val="18"/>
        </w:rPr>
        <w:t>Economic</w:t>
      </w:r>
      <w:proofErr w:type="spellEnd"/>
      <w:r w:rsidRPr="008C4FCC">
        <w:rPr>
          <w:sz w:val="18"/>
          <w:szCs w:val="18"/>
        </w:rPr>
        <w:t xml:space="preserve"> </w:t>
      </w:r>
      <w:proofErr w:type="spellStart"/>
      <w:r w:rsidRPr="008C4FCC">
        <w:rPr>
          <w:sz w:val="18"/>
          <w:szCs w:val="18"/>
        </w:rPr>
        <w:t>Performance</w:t>
      </w:r>
      <w:proofErr w:type="spellEnd"/>
      <w:r w:rsidRPr="008C4FCC">
        <w:rPr>
          <w:sz w:val="18"/>
          <w:szCs w:val="18"/>
        </w:rPr>
        <w:t xml:space="preserve"> (2006) </w:t>
      </w:r>
      <w:proofErr w:type="spellStart"/>
      <w:r w:rsidRPr="008C4FCC">
        <w:rPr>
          <w:sz w:val="18"/>
          <w:szCs w:val="18"/>
        </w:rPr>
        <w:t>The</w:t>
      </w:r>
      <w:proofErr w:type="spellEnd"/>
      <w:r w:rsidRPr="008C4FCC">
        <w:rPr>
          <w:sz w:val="18"/>
          <w:szCs w:val="18"/>
        </w:rPr>
        <w:t xml:space="preserve"> </w:t>
      </w:r>
      <w:proofErr w:type="spellStart"/>
      <w:r w:rsidRPr="008C4FCC">
        <w:rPr>
          <w:sz w:val="18"/>
          <w:szCs w:val="18"/>
        </w:rPr>
        <w:t>depression</w:t>
      </w:r>
      <w:proofErr w:type="spellEnd"/>
      <w:r w:rsidRPr="008C4FCC">
        <w:rPr>
          <w:sz w:val="18"/>
          <w:szCs w:val="18"/>
        </w:rPr>
        <w:t xml:space="preserve"> </w:t>
      </w:r>
      <w:proofErr w:type="spellStart"/>
      <w:r w:rsidRPr="008C4FCC">
        <w:rPr>
          <w:sz w:val="18"/>
          <w:szCs w:val="18"/>
        </w:rPr>
        <w:t>report</w:t>
      </w:r>
      <w:proofErr w:type="spellEnd"/>
      <w:r w:rsidRPr="008C4FCC">
        <w:rPr>
          <w:sz w:val="18"/>
          <w:szCs w:val="18"/>
        </w:rPr>
        <w:t xml:space="preserve">: A </w:t>
      </w:r>
      <w:proofErr w:type="spellStart"/>
      <w:r w:rsidRPr="008C4FCC">
        <w:rPr>
          <w:sz w:val="18"/>
          <w:szCs w:val="18"/>
        </w:rPr>
        <w:t>new</w:t>
      </w:r>
      <w:proofErr w:type="spellEnd"/>
      <w:r w:rsidRPr="008C4FCC">
        <w:rPr>
          <w:sz w:val="18"/>
          <w:szCs w:val="18"/>
        </w:rPr>
        <w:t xml:space="preserve"> </w:t>
      </w:r>
      <w:proofErr w:type="spellStart"/>
      <w:r w:rsidRPr="008C4FCC">
        <w:rPr>
          <w:sz w:val="18"/>
          <w:szCs w:val="18"/>
        </w:rPr>
        <w:t>deal</w:t>
      </w:r>
      <w:proofErr w:type="spellEnd"/>
      <w:r w:rsidRPr="008C4FCC">
        <w:rPr>
          <w:sz w:val="18"/>
          <w:szCs w:val="18"/>
        </w:rPr>
        <w:t xml:space="preserve"> </w:t>
      </w:r>
      <w:proofErr w:type="spellStart"/>
      <w:r w:rsidRPr="008C4FCC">
        <w:rPr>
          <w:sz w:val="18"/>
          <w:szCs w:val="18"/>
        </w:rPr>
        <w:t>for</w:t>
      </w:r>
      <w:proofErr w:type="spellEnd"/>
      <w:r w:rsidRPr="008C4FCC">
        <w:rPr>
          <w:sz w:val="18"/>
          <w:szCs w:val="18"/>
        </w:rPr>
        <w:t xml:space="preserve"> </w:t>
      </w:r>
      <w:proofErr w:type="spellStart"/>
      <w:r w:rsidRPr="008C4FCC">
        <w:rPr>
          <w:sz w:val="18"/>
          <w:szCs w:val="18"/>
        </w:rPr>
        <w:t>depression</w:t>
      </w:r>
      <w:proofErr w:type="spellEnd"/>
      <w:r w:rsidRPr="008C4FCC">
        <w:rPr>
          <w:sz w:val="18"/>
          <w:szCs w:val="18"/>
        </w:rPr>
        <w:t xml:space="preserve"> </w:t>
      </w:r>
      <w:proofErr w:type="spellStart"/>
      <w:r w:rsidRPr="008C4FCC">
        <w:rPr>
          <w:sz w:val="18"/>
          <w:szCs w:val="18"/>
        </w:rPr>
        <w:t>and</w:t>
      </w:r>
      <w:proofErr w:type="spellEnd"/>
      <w:r w:rsidRPr="008C4FCC">
        <w:rPr>
          <w:sz w:val="18"/>
          <w:szCs w:val="18"/>
        </w:rPr>
        <w:t xml:space="preserve"> </w:t>
      </w:r>
      <w:proofErr w:type="spellStart"/>
      <w:r w:rsidRPr="008C4FCC">
        <w:rPr>
          <w:sz w:val="18"/>
          <w:szCs w:val="18"/>
        </w:rPr>
        <w:t>anxiety</w:t>
      </w:r>
      <w:proofErr w:type="spellEnd"/>
      <w:r w:rsidRPr="008C4FCC">
        <w:rPr>
          <w:sz w:val="18"/>
          <w:szCs w:val="18"/>
        </w:rPr>
        <w:t xml:space="preserve"> </w:t>
      </w:r>
      <w:proofErr w:type="spellStart"/>
      <w:r w:rsidRPr="008C4FCC">
        <w:rPr>
          <w:sz w:val="18"/>
          <w:szCs w:val="18"/>
        </w:rPr>
        <w:t>disorders</w:t>
      </w:r>
      <w:proofErr w:type="spellEnd"/>
      <w:r w:rsidRPr="008C4FCC">
        <w:rPr>
          <w:sz w:val="18"/>
          <w:szCs w:val="18"/>
        </w:rPr>
        <w:t xml:space="preserve">. </w:t>
      </w:r>
      <w:proofErr w:type="spellStart"/>
      <w:r w:rsidRPr="008C4FCC">
        <w:rPr>
          <w:sz w:val="18"/>
          <w:szCs w:val="18"/>
        </w:rPr>
        <w:t>London</w:t>
      </w:r>
      <w:proofErr w:type="spellEnd"/>
      <w:r w:rsidRPr="008C4FCC">
        <w:rPr>
          <w:sz w:val="18"/>
          <w:szCs w:val="18"/>
        </w:rPr>
        <w:t xml:space="preserve">: </w:t>
      </w:r>
      <w:proofErr w:type="spellStart"/>
      <w:r w:rsidRPr="008C4FCC">
        <w:rPr>
          <w:sz w:val="18"/>
          <w:szCs w:val="18"/>
        </w:rPr>
        <w:t>London</w:t>
      </w:r>
      <w:proofErr w:type="spellEnd"/>
      <w:r w:rsidRPr="008C4FCC">
        <w:rPr>
          <w:sz w:val="18"/>
          <w:szCs w:val="18"/>
        </w:rPr>
        <w:t xml:space="preserve"> </w:t>
      </w:r>
      <w:proofErr w:type="spellStart"/>
      <w:r w:rsidRPr="008C4FCC">
        <w:rPr>
          <w:sz w:val="18"/>
          <w:szCs w:val="18"/>
        </w:rPr>
        <w:t>School</w:t>
      </w:r>
      <w:proofErr w:type="spellEnd"/>
      <w:r w:rsidRPr="008C4FCC">
        <w:rPr>
          <w:sz w:val="18"/>
          <w:szCs w:val="18"/>
        </w:rPr>
        <w:t xml:space="preserve"> </w:t>
      </w:r>
      <w:proofErr w:type="spellStart"/>
      <w:r w:rsidRPr="008C4FCC">
        <w:rPr>
          <w:sz w:val="18"/>
          <w:szCs w:val="18"/>
        </w:rPr>
        <w:t>of</w:t>
      </w:r>
      <w:proofErr w:type="spellEnd"/>
      <w:r w:rsidRPr="008C4FCC">
        <w:rPr>
          <w:sz w:val="18"/>
          <w:szCs w:val="18"/>
        </w:rPr>
        <w:t xml:space="preserve"> </w:t>
      </w:r>
      <w:proofErr w:type="spellStart"/>
      <w:r w:rsidRPr="008C4FCC">
        <w:rPr>
          <w:sz w:val="18"/>
          <w:szCs w:val="18"/>
        </w:rPr>
        <w:t>Economics</w:t>
      </w:r>
      <w:proofErr w:type="spellEnd"/>
      <w:r w:rsidRPr="008C4FCC">
        <w:rPr>
          <w:sz w:val="18"/>
          <w:szCs w:val="18"/>
        </w:rPr>
        <w:t xml:space="preserve"> </w:t>
      </w:r>
      <w:proofErr w:type="spellStart"/>
      <w:r w:rsidRPr="008C4FCC">
        <w:rPr>
          <w:sz w:val="18"/>
          <w:szCs w:val="18"/>
        </w:rPr>
        <w:t>and</w:t>
      </w:r>
      <w:proofErr w:type="spellEnd"/>
      <w:r w:rsidRPr="008C4FCC">
        <w:rPr>
          <w:sz w:val="18"/>
          <w:szCs w:val="18"/>
        </w:rPr>
        <w:t xml:space="preserve"> </w:t>
      </w:r>
      <w:proofErr w:type="spellStart"/>
      <w:r w:rsidRPr="008C4FCC">
        <w:rPr>
          <w:sz w:val="18"/>
          <w:szCs w:val="18"/>
        </w:rPr>
        <w:t>Political</w:t>
      </w:r>
      <w:proofErr w:type="spellEnd"/>
      <w:r w:rsidRPr="008C4FCC">
        <w:rPr>
          <w:sz w:val="18"/>
          <w:szCs w:val="18"/>
        </w:rPr>
        <w:t xml:space="preserve"> </w:t>
      </w:r>
      <w:proofErr w:type="spellStart"/>
      <w:r w:rsidRPr="008C4FCC">
        <w:rPr>
          <w:sz w:val="18"/>
          <w:szCs w:val="18"/>
        </w:rPr>
        <w:t>Science</w:t>
      </w:r>
      <w:proofErr w:type="spellEnd"/>
      <w:r w:rsidRPr="008C4FCC">
        <w:rPr>
          <w:sz w:val="18"/>
          <w:szCs w:val="18"/>
        </w:rPr>
        <w:t xml:space="preserve"> </w:t>
      </w:r>
      <w:proofErr w:type="spellStart"/>
      <w:r w:rsidRPr="008C4FCC">
        <w:rPr>
          <w:sz w:val="18"/>
          <w:szCs w:val="18"/>
        </w:rPr>
        <w:t>Center</w:t>
      </w:r>
      <w:proofErr w:type="spellEnd"/>
      <w:r w:rsidRPr="008C4FCC">
        <w:rPr>
          <w:sz w:val="18"/>
          <w:szCs w:val="18"/>
        </w:rPr>
        <w:t xml:space="preserve"> </w:t>
      </w:r>
      <w:proofErr w:type="spellStart"/>
      <w:r w:rsidRPr="008C4FCC">
        <w:rPr>
          <w:sz w:val="18"/>
          <w:szCs w:val="18"/>
        </w:rPr>
        <w:t>for</w:t>
      </w:r>
      <w:proofErr w:type="spellEnd"/>
      <w:r w:rsidRPr="008C4FCC">
        <w:rPr>
          <w:sz w:val="18"/>
          <w:szCs w:val="18"/>
        </w:rPr>
        <w:t xml:space="preserve"> </w:t>
      </w:r>
      <w:proofErr w:type="spellStart"/>
      <w:r w:rsidRPr="008C4FCC">
        <w:rPr>
          <w:sz w:val="18"/>
          <w:szCs w:val="18"/>
        </w:rPr>
        <w:t>Economic</w:t>
      </w:r>
      <w:proofErr w:type="spellEnd"/>
      <w:r w:rsidRPr="008C4FCC">
        <w:rPr>
          <w:sz w:val="18"/>
          <w:szCs w:val="18"/>
        </w:rPr>
        <w:t xml:space="preserve"> </w:t>
      </w:r>
      <w:proofErr w:type="spellStart"/>
      <w:r w:rsidRPr="008C4FCC">
        <w:rPr>
          <w:sz w:val="18"/>
          <w:szCs w:val="18"/>
        </w:rPr>
        <w:t>Performance</w:t>
      </w:r>
      <w:proofErr w:type="spellEnd"/>
      <w:r w:rsidRPr="008C4FCC">
        <w:rPr>
          <w:sz w:val="18"/>
          <w:szCs w:val="18"/>
        </w:rPr>
        <w:t>.</w:t>
      </w:r>
    </w:p>
  </w:footnote>
  <w:footnote w:id="29">
    <w:p w:rsidR="001717B0" w:rsidRPr="00D109C9" w:rsidRDefault="001717B0" w:rsidP="0007040F">
      <w:pPr>
        <w:pStyle w:val="Puslapioinaostekstas"/>
        <w:rPr>
          <w:sz w:val="18"/>
          <w:szCs w:val="18"/>
        </w:rPr>
      </w:pPr>
      <w:r>
        <w:rPr>
          <w:rStyle w:val="Puslapioinaosnuoroda"/>
        </w:rPr>
        <w:footnoteRef/>
      </w:r>
      <w:r>
        <w:t xml:space="preserve"> </w:t>
      </w:r>
      <w:r w:rsidRPr="00D109C9">
        <w:rPr>
          <w:sz w:val="18"/>
          <w:szCs w:val="18"/>
        </w:rPr>
        <w:t>http://www.mhinnovation.net/sites/default/files/downloads/innovation/reports/Three-year-report.pdf</w:t>
      </w:r>
    </w:p>
  </w:footnote>
  <w:footnote w:id="30">
    <w:p w:rsidR="001717B0" w:rsidRPr="008C4FCC" w:rsidRDefault="001717B0" w:rsidP="0007040F">
      <w:pPr>
        <w:pStyle w:val="Puslapioinaostekstas"/>
        <w:rPr>
          <w:i/>
          <w:sz w:val="18"/>
          <w:szCs w:val="18"/>
        </w:rPr>
      </w:pPr>
      <w:r w:rsidRPr="008C4FCC">
        <w:rPr>
          <w:rStyle w:val="Puslapioinaosnuoroda"/>
          <w:sz w:val="18"/>
          <w:szCs w:val="18"/>
        </w:rPr>
        <w:footnoteRef/>
      </w:r>
      <w:r w:rsidRPr="008C4FCC">
        <w:rPr>
          <w:sz w:val="18"/>
          <w:szCs w:val="18"/>
        </w:rPr>
        <w:t xml:space="preserve"> </w:t>
      </w:r>
      <w:proofErr w:type="spellStart"/>
      <w:r w:rsidRPr="008C4FCC">
        <w:rPr>
          <w:sz w:val="18"/>
          <w:szCs w:val="18"/>
        </w:rPr>
        <w:t>Otto</w:t>
      </w:r>
      <w:proofErr w:type="spellEnd"/>
      <w:r w:rsidRPr="008C4FCC">
        <w:rPr>
          <w:sz w:val="18"/>
          <w:szCs w:val="18"/>
        </w:rPr>
        <w:t xml:space="preserve"> MW. </w:t>
      </w:r>
      <w:proofErr w:type="spellStart"/>
      <w:r w:rsidRPr="008C4FCC">
        <w:rPr>
          <w:sz w:val="18"/>
          <w:szCs w:val="18"/>
        </w:rPr>
        <w:t>Combined</w:t>
      </w:r>
      <w:proofErr w:type="spellEnd"/>
      <w:r w:rsidRPr="008C4FCC">
        <w:rPr>
          <w:sz w:val="18"/>
          <w:szCs w:val="18"/>
        </w:rPr>
        <w:t xml:space="preserve"> </w:t>
      </w:r>
      <w:proofErr w:type="spellStart"/>
      <w:r w:rsidRPr="008C4FCC">
        <w:rPr>
          <w:sz w:val="18"/>
          <w:szCs w:val="18"/>
        </w:rPr>
        <w:t>psychotherapy</w:t>
      </w:r>
      <w:proofErr w:type="spellEnd"/>
      <w:r w:rsidRPr="008C4FCC">
        <w:rPr>
          <w:sz w:val="18"/>
          <w:szCs w:val="18"/>
        </w:rPr>
        <w:t xml:space="preserve"> </w:t>
      </w:r>
      <w:proofErr w:type="spellStart"/>
      <w:r w:rsidRPr="008C4FCC">
        <w:rPr>
          <w:sz w:val="18"/>
          <w:szCs w:val="18"/>
        </w:rPr>
        <w:t>and</w:t>
      </w:r>
      <w:proofErr w:type="spellEnd"/>
      <w:r w:rsidRPr="008C4FCC">
        <w:rPr>
          <w:sz w:val="18"/>
          <w:szCs w:val="18"/>
        </w:rPr>
        <w:t xml:space="preserve"> </w:t>
      </w:r>
      <w:proofErr w:type="spellStart"/>
      <w:r w:rsidRPr="008C4FCC">
        <w:rPr>
          <w:sz w:val="18"/>
          <w:szCs w:val="18"/>
        </w:rPr>
        <w:t>pharmacotherapy</w:t>
      </w:r>
      <w:proofErr w:type="spellEnd"/>
      <w:r w:rsidRPr="008C4FCC">
        <w:rPr>
          <w:sz w:val="18"/>
          <w:szCs w:val="18"/>
        </w:rPr>
        <w:t xml:space="preserve"> </w:t>
      </w:r>
      <w:proofErr w:type="spellStart"/>
      <w:r w:rsidRPr="008C4FCC">
        <w:rPr>
          <w:sz w:val="18"/>
          <w:szCs w:val="18"/>
        </w:rPr>
        <w:t>for</w:t>
      </w:r>
      <w:proofErr w:type="spellEnd"/>
      <w:r w:rsidRPr="008C4FCC">
        <w:rPr>
          <w:sz w:val="18"/>
          <w:szCs w:val="18"/>
        </w:rPr>
        <w:t xml:space="preserve"> </w:t>
      </w:r>
      <w:proofErr w:type="spellStart"/>
      <w:r w:rsidRPr="008C4FCC">
        <w:rPr>
          <w:sz w:val="18"/>
          <w:szCs w:val="18"/>
        </w:rPr>
        <w:t>mood</w:t>
      </w:r>
      <w:proofErr w:type="spellEnd"/>
      <w:r w:rsidRPr="008C4FCC">
        <w:rPr>
          <w:sz w:val="18"/>
          <w:szCs w:val="18"/>
        </w:rPr>
        <w:t xml:space="preserve"> </w:t>
      </w:r>
      <w:proofErr w:type="spellStart"/>
      <w:r w:rsidRPr="008C4FCC">
        <w:rPr>
          <w:sz w:val="18"/>
          <w:szCs w:val="18"/>
        </w:rPr>
        <w:t>and</w:t>
      </w:r>
      <w:proofErr w:type="spellEnd"/>
      <w:r w:rsidRPr="008C4FCC">
        <w:rPr>
          <w:sz w:val="18"/>
          <w:szCs w:val="18"/>
        </w:rPr>
        <w:t xml:space="preserve"> </w:t>
      </w:r>
      <w:proofErr w:type="spellStart"/>
      <w:r w:rsidRPr="008C4FCC">
        <w:rPr>
          <w:sz w:val="18"/>
          <w:szCs w:val="18"/>
        </w:rPr>
        <w:t>anxiety</w:t>
      </w:r>
      <w:proofErr w:type="spellEnd"/>
      <w:r w:rsidRPr="008C4FCC">
        <w:rPr>
          <w:sz w:val="18"/>
          <w:szCs w:val="18"/>
        </w:rPr>
        <w:t xml:space="preserve"> </w:t>
      </w:r>
      <w:proofErr w:type="spellStart"/>
      <w:r w:rsidRPr="008C4FCC">
        <w:rPr>
          <w:sz w:val="18"/>
          <w:szCs w:val="18"/>
        </w:rPr>
        <w:t>disorders</w:t>
      </w:r>
      <w:proofErr w:type="spellEnd"/>
      <w:r w:rsidRPr="008C4FCC">
        <w:rPr>
          <w:sz w:val="18"/>
          <w:szCs w:val="18"/>
        </w:rPr>
        <w:t xml:space="preserve"> </w:t>
      </w:r>
      <w:proofErr w:type="spellStart"/>
      <w:r w:rsidRPr="008C4FCC">
        <w:rPr>
          <w:sz w:val="18"/>
          <w:szCs w:val="18"/>
        </w:rPr>
        <w:t>in</w:t>
      </w:r>
      <w:proofErr w:type="spellEnd"/>
      <w:r w:rsidRPr="008C4FCC">
        <w:rPr>
          <w:sz w:val="18"/>
          <w:szCs w:val="18"/>
        </w:rPr>
        <w:t xml:space="preserve"> </w:t>
      </w:r>
      <w:proofErr w:type="spellStart"/>
      <w:r w:rsidRPr="008C4FCC">
        <w:rPr>
          <w:sz w:val="18"/>
          <w:szCs w:val="18"/>
        </w:rPr>
        <w:t>adults</w:t>
      </w:r>
      <w:proofErr w:type="spellEnd"/>
      <w:r w:rsidRPr="008C4FCC">
        <w:rPr>
          <w:sz w:val="18"/>
          <w:szCs w:val="18"/>
        </w:rPr>
        <w:t xml:space="preserve">: </w:t>
      </w:r>
      <w:proofErr w:type="spellStart"/>
      <w:r w:rsidRPr="008C4FCC">
        <w:rPr>
          <w:sz w:val="18"/>
          <w:szCs w:val="18"/>
        </w:rPr>
        <w:t>review</w:t>
      </w:r>
      <w:proofErr w:type="spellEnd"/>
      <w:r w:rsidRPr="008C4FCC">
        <w:rPr>
          <w:sz w:val="18"/>
          <w:szCs w:val="18"/>
        </w:rPr>
        <w:t xml:space="preserve"> </w:t>
      </w:r>
      <w:proofErr w:type="spellStart"/>
      <w:r w:rsidRPr="008C4FCC">
        <w:rPr>
          <w:sz w:val="18"/>
          <w:szCs w:val="18"/>
        </w:rPr>
        <w:t>and</w:t>
      </w:r>
      <w:proofErr w:type="spellEnd"/>
      <w:r w:rsidRPr="008C4FCC">
        <w:rPr>
          <w:sz w:val="18"/>
          <w:szCs w:val="18"/>
        </w:rPr>
        <w:t xml:space="preserve"> </w:t>
      </w:r>
      <w:proofErr w:type="spellStart"/>
      <w:r w:rsidRPr="008C4FCC">
        <w:rPr>
          <w:sz w:val="18"/>
          <w:szCs w:val="18"/>
        </w:rPr>
        <w:t>analysis</w:t>
      </w:r>
      <w:proofErr w:type="spellEnd"/>
      <w:r w:rsidRPr="008C4FCC">
        <w:rPr>
          <w:sz w:val="18"/>
          <w:szCs w:val="18"/>
        </w:rPr>
        <w:t xml:space="preserve">. </w:t>
      </w:r>
      <w:proofErr w:type="spellStart"/>
      <w:r w:rsidRPr="008C4FCC">
        <w:rPr>
          <w:i/>
          <w:sz w:val="18"/>
          <w:szCs w:val="18"/>
        </w:rPr>
        <w:t>Clinical</w:t>
      </w:r>
      <w:proofErr w:type="spellEnd"/>
      <w:r w:rsidRPr="008C4FCC">
        <w:rPr>
          <w:i/>
          <w:sz w:val="18"/>
          <w:szCs w:val="18"/>
        </w:rPr>
        <w:t xml:space="preserve"> </w:t>
      </w:r>
      <w:proofErr w:type="spellStart"/>
      <w:r w:rsidRPr="008C4FCC">
        <w:rPr>
          <w:i/>
          <w:sz w:val="18"/>
          <w:szCs w:val="18"/>
        </w:rPr>
        <w:t>Psychology</w:t>
      </w:r>
      <w:proofErr w:type="spellEnd"/>
      <w:r w:rsidRPr="008C4FCC">
        <w:rPr>
          <w:i/>
          <w:sz w:val="18"/>
          <w:szCs w:val="18"/>
        </w:rPr>
        <w:t xml:space="preserve">: </w:t>
      </w:r>
      <w:proofErr w:type="spellStart"/>
      <w:r w:rsidRPr="008C4FCC">
        <w:rPr>
          <w:i/>
          <w:sz w:val="18"/>
          <w:szCs w:val="18"/>
        </w:rPr>
        <w:t>Science</w:t>
      </w:r>
      <w:proofErr w:type="spellEnd"/>
      <w:r w:rsidRPr="008C4FCC">
        <w:rPr>
          <w:i/>
          <w:sz w:val="18"/>
          <w:szCs w:val="18"/>
        </w:rPr>
        <w:t xml:space="preserve"> &amp;</w:t>
      </w:r>
      <w:proofErr w:type="spellStart"/>
      <w:r w:rsidRPr="008C4FCC">
        <w:rPr>
          <w:i/>
          <w:sz w:val="18"/>
          <w:szCs w:val="18"/>
        </w:rPr>
        <w:t>Practice</w:t>
      </w:r>
      <w:proofErr w:type="spellEnd"/>
      <w:r w:rsidRPr="008C4FCC">
        <w:rPr>
          <w:i/>
          <w:sz w:val="18"/>
          <w:szCs w:val="18"/>
        </w:rPr>
        <w:t xml:space="preserve"> 2005; 12:72</w:t>
      </w:r>
      <w:proofErr w:type="gramStart"/>
      <w:r w:rsidRPr="008C4FCC">
        <w:rPr>
          <w:i/>
          <w:sz w:val="18"/>
          <w:szCs w:val="18"/>
        </w:rPr>
        <w:t>-</w:t>
      </w:r>
      <w:proofErr w:type="gramEnd"/>
      <w:r w:rsidRPr="008C4FCC">
        <w:rPr>
          <w:i/>
          <w:sz w:val="18"/>
          <w:szCs w:val="18"/>
        </w:rPr>
        <w:t>86.</w:t>
      </w:r>
    </w:p>
  </w:footnote>
  <w:footnote w:id="31">
    <w:p w:rsidR="001717B0" w:rsidRPr="008C4FCC" w:rsidRDefault="001717B0" w:rsidP="0007040F">
      <w:pPr>
        <w:pStyle w:val="Puslapioinaostekstas"/>
        <w:rPr>
          <w:sz w:val="18"/>
          <w:szCs w:val="18"/>
        </w:rPr>
      </w:pPr>
      <w:r w:rsidRPr="008C4FCC">
        <w:rPr>
          <w:rStyle w:val="Puslapioinaosnuoroda"/>
          <w:sz w:val="18"/>
          <w:szCs w:val="18"/>
        </w:rPr>
        <w:footnoteRef/>
      </w:r>
      <w:r w:rsidRPr="008C4FCC">
        <w:rPr>
          <w:sz w:val="18"/>
          <w:szCs w:val="18"/>
        </w:rPr>
        <w:t xml:space="preserve"> Arto et al. (2013). </w:t>
      </w:r>
      <w:proofErr w:type="spellStart"/>
      <w:r w:rsidRPr="008C4FCC">
        <w:rPr>
          <w:sz w:val="18"/>
          <w:szCs w:val="18"/>
        </w:rPr>
        <w:t>Effectiveness</w:t>
      </w:r>
      <w:proofErr w:type="spellEnd"/>
      <w:r w:rsidRPr="008C4FCC">
        <w:rPr>
          <w:sz w:val="18"/>
          <w:szCs w:val="18"/>
        </w:rPr>
        <w:t xml:space="preserve"> </w:t>
      </w:r>
      <w:proofErr w:type="spellStart"/>
      <w:r w:rsidRPr="008C4FCC">
        <w:rPr>
          <w:sz w:val="18"/>
          <w:szCs w:val="18"/>
        </w:rPr>
        <w:t>of</w:t>
      </w:r>
      <w:proofErr w:type="spellEnd"/>
      <w:r w:rsidRPr="008C4FCC">
        <w:rPr>
          <w:sz w:val="18"/>
          <w:szCs w:val="18"/>
        </w:rPr>
        <w:t xml:space="preserve"> </w:t>
      </w:r>
      <w:proofErr w:type="spellStart"/>
      <w:r w:rsidRPr="008C4FCC">
        <w:rPr>
          <w:sz w:val="18"/>
          <w:szCs w:val="18"/>
        </w:rPr>
        <w:t>cognitive</w:t>
      </w:r>
      <w:proofErr w:type="spellEnd"/>
      <w:r w:rsidRPr="008C4FCC">
        <w:rPr>
          <w:sz w:val="18"/>
          <w:szCs w:val="18"/>
        </w:rPr>
        <w:t xml:space="preserve"> </w:t>
      </w:r>
      <w:proofErr w:type="spellStart"/>
      <w:r w:rsidRPr="008C4FCC">
        <w:rPr>
          <w:sz w:val="18"/>
          <w:szCs w:val="18"/>
        </w:rPr>
        <w:t>behavioral</w:t>
      </w:r>
      <w:proofErr w:type="spellEnd"/>
      <w:r w:rsidRPr="008C4FCC">
        <w:rPr>
          <w:sz w:val="18"/>
          <w:szCs w:val="18"/>
        </w:rPr>
        <w:t xml:space="preserve"> </w:t>
      </w:r>
      <w:proofErr w:type="spellStart"/>
      <w:r w:rsidRPr="008C4FCC">
        <w:rPr>
          <w:sz w:val="18"/>
          <w:szCs w:val="18"/>
        </w:rPr>
        <w:t>therapy</w:t>
      </w:r>
      <w:proofErr w:type="spellEnd"/>
      <w:r w:rsidRPr="008C4FCC">
        <w:rPr>
          <w:sz w:val="18"/>
          <w:szCs w:val="18"/>
        </w:rPr>
        <w:t xml:space="preserve">: </w:t>
      </w:r>
      <w:proofErr w:type="spellStart"/>
      <w:r w:rsidRPr="008C4FCC">
        <w:rPr>
          <w:sz w:val="18"/>
          <w:szCs w:val="18"/>
        </w:rPr>
        <w:t>An</w:t>
      </w:r>
      <w:proofErr w:type="spellEnd"/>
      <w:r w:rsidRPr="008C4FCC">
        <w:rPr>
          <w:sz w:val="18"/>
          <w:szCs w:val="18"/>
        </w:rPr>
        <w:t xml:space="preserve"> </w:t>
      </w:r>
      <w:proofErr w:type="spellStart"/>
      <w:r w:rsidRPr="008C4FCC">
        <w:rPr>
          <w:sz w:val="18"/>
          <w:szCs w:val="18"/>
        </w:rPr>
        <w:t>evaluation</w:t>
      </w:r>
      <w:proofErr w:type="spellEnd"/>
      <w:r w:rsidRPr="008C4FCC">
        <w:rPr>
          <w:sz w:val="18"/>
          <w:szCs w:val="18"/>
        </w:rPr>
        <w:t xml:space="preserve"> </w:t>
      </w:r>
      <w:proofErr w:type="spellStart"/>
      <w:r w:rsidRPr="008C4FCC">
        <w:rPr>
          <w:sz w:val="18"/>
          <w:szCs w:val="18"/>
        </w:rPr>
        <w:t>of</w:t>
      </w:r>
      <w:proofErr w:type="spellEnd"/>
      <w:r w:rsidRPr="008C4FCC">
        <w:rPr>
          <w:sz w:val="18"/>
          <w:szCs w:val="18"/>
        </w:rPr>
        <w:t xml:space="preserve"> </w:t>
      </w:r>
      <w:proofErr w:type="spellStart"/>
      <w:r w:rsidRPr="008C4FCC">
        <w:rPr>
          <w:sz w:val="18"/>
          <w:szCs w:val="18"/>
        </w:rPr>
        <w:t>therapies</w:t>
      </w:r>
      <w:proofErr w:type="spellEnd"/>
      <w:r w:rsidRPr="008C4FCC">
        <w:rPr>
          <w:sz w:val="18"/>
          <w:szCs w:val="18"/>
        </w:rPr>
        <w:t xml:space="preserve"> </w:t>
      </w:r>
      <w:proofErr w:type="spellStart"/>
      <w:r w:rsidRPr="008C4FCC">
        <w:rPr>
          <w:sz w:val="18"/>
          <w:szCs w:val="18"/>
        </w:rPr>
        <w:t>provided</w:t>
      </w:r>
      <w:proofErr w:type="spellEnd"/>
      <w:r w:rsidRPr="008C4FCC">
        <w:rPr>
          <w:sz w:val="18"/>
          <w:szCs w:val="18"/>
        </w:rPr>
        <w:t xml:space="preserve"> </w:t>
      </w:r>
      <w:proofErr w:type="spellStart"/>
      <w:r w:rsidRPr="008C4FCC">
        <w:rPr>
          <w:sz w:val="18"/>
          <w:szCs w:val="18"/>
        </w:rPr>
        <w:t>by</w:t>
      </w:r>
      <w:proofErr w:type="spellEnd"/>
      <w:r w:rsidRPr="008C4FCC">
        <w:rPr>
          <w:sz w:val="18"/>
          <w:szCs w:val="18"/>
        </w:rPr>
        <w:t xml:space="preserve"> </w:t>
      </w:r>
      <w:proofErr w:type="spellStart"/>
      <w:r w:rsidRPr="008C4FCC">
        <w:rPr>
          <w:sz w:val="18"/>
          <w:szCs w:val="18"/>
        </w:rPr>
        <w:t>trainees</w:t>
      </w:r>
      <w:proofErr w:type="spellEnd"/>
      <w:r w:rsidRPr="008C4FCC">
        <w:rPr>
          <w:sz w:val="18"/>
          <w:szCs w:val="18"/>
        </w:rPr>
        <w:t xml:space="preserve"> at a </w:t>
      </w:r>
      <w:proofErr w:type="spellStart"/>
      <w:r w:rsidRPr="008C4FCC">
        <w:rPr>
          <w:sz w:val="18"/>
          <w:szCs w:val="18"/>
        </w:rPr>
        <w:t>university</w:t>
      </w:r>
      <w:proofErr w:type="spellEnd"/>
      <w:r w:rsidRPr="008C4FCC">
        <w:rPr>
          <w:sz w:val="18"/>
          <w:szCs w:val="18"/>
        </w:rPr>
        <w:t xml:space="preserve"> </w:t>
      </w:r>
      <w:proofErr w:type="spellStart"/>
      <w:r w:rsidRPr="008C4FCC">
        <w:rPr>
          <w:sz w:val="18"/>
          <w:szCs w:val="18"/>
        </w:rPr>
        <w:t>psychotherapy</w:t>
      </w:r>
      <w:proofErr w:type="spellEnd"/>
      <w:r w:rsidRPr="008C4FCC">
        <w:rPr>
          <w:sz w:val="18"/>
          <w:szCs w:val="18"/>
        </w:rPr>
        <w:t xml:space="preserve"> </w:t>
      </w:r>
      <w:proofErr w:type="spellStart"/>
      <w:r w:rsidRPr="008C4FCC">
        <w:rPr>
          <w:sz w:val="18"/>
          <w:szCs w:val="18"/>
        </w:rPr>
        <w:t>training</w:t>
      </w:r>
      <w:proofErr w:type="spellEnd"/>
      <w:r w:rsidRPr="008C4FCC">
        <w:rPr>
          <w:sz w:val="18"/>
          <w:szCs w:val="18"/>
        </w:rPr>
        <w:t xml:space="preserve"> </w:t>
      </w:r>
      <w:proofErr w:type="spellStart"/>
      <w:r w:rsidRPr="008C4FCC">
        <w:rPr>
          <w:sz w:val="18"/>
          <w:szCs w:val="18"/>
        </w:rPr>
        <w:t>center</w:t>
      </w:r>
      <w:proofErr w:type="spellEnd"/>
      <w:r w:rsidRPr="008C4FCC">
        <w:rPr>
          <w:sz w:val="18"/>
          <w:szCs w:val="18"/>
        </w:rPr>
        <w:t xml:space="preserve">. </w:t>
      </w:r>
      <w:proofErr w:type="spellStart"/>
      <w:r w:rsidRPr="008C4FCC">
        <w:rPr>
          <w:i/>
          <w:sz w:val="18"/>
          <w:szCs w:val="18"/>
        </w:rPr>
        <w:t>Psych</w:t>
      </w:r>
      <w:proofErr w:type="spellEnd"/>
      <w:r w:rsidRPr="008C4FCC">
        <w:rPr>
          <w:i/>
          <w:sz w:val="18"/>
          <w:szCs w:val="18"/>
        </w:rPr>
        <w:t xml:space="preserve"> J. 2(2): 101–112</w:t>
      </w:r>
    </w:p>
  </w:footnote>
  <w:footnote w:id="32">
    <w:p w:rsidR="001717B0" w:rsidRPr="00773CC3" w:rsidRDefault="001717B0" w:rsidP="0007040F">
      <w:pPr>
        <w:pStyle w:val="Puslapioinaostekstas"/>
        <w:rPr>
          <w:sz w:val="18"/>
          <w:szCs w:val="18"/>
        </w:rPr>
      </w:pPr>
      <w:r w:rsidRPr="00773CC3">
        <w:rPr>
          <w:rStyle w:val="Puslapioinaosnuoroda"/>
          <w:sz w:val="18"/>
          <w:szCs w:val="18"/>
        </w:rPr>
        <w:footnoteRef/>
      </w:r>
      <w:r w:rsidRPr="00773CC3">
        <w:rPr>
          <w:sz w:val="18"/>
          <w:szCs w:val="18"/>
        </w:rPr>
        <w:t xml:space="preserve"> </w:t>
      </w:r>
      <w:proofErr w:type="spellStart"/>
      <w:r w:rsidRPr="00773CC3">
        <w:rPr>
          <w:sz w:val="18"/>
          <w:szCs w:val="18"/>
        </w:rPr>
        <w:t>Myhrd</w:t>
      </w:r>
      <w:proofErr w:type="spellEnd"/>
      <w:r w:rsidRPr="00773CC3">
        <w:rPr>
          <w:sz w:val="18"/>
          <w:szCs w:val="18"/>
        </w:rPr>
        <w:t xml:space="preserve"> et al. (2006) </w:t>
      </w:r>
      <w:proofErr w:type="spellStart"/>
      <w:r w:rsidRPr="00773CC3">
        <w:rPr>
          <w:sz w:val="18"/>
          <w:szCs w:val="18"/>
        </w:rPr>
        <w:t>Cost</w:t>
      </w:r>
      <w:proofErr w:type="spellEnd"/>
      <w:r w:rsidRPr="00773CC3">
        <w:rPr>
          <w:sz w:val="18"/>
          <w:szCs w:val="18"/>
        </w:rPr>
        <w:t xml:space="preserve"> </w:t>
      </w:r>
      <w:proofErr w:type="spellStart"/>
      <w:r w:rsidRPr="00773CC3">
        <w:rPr>
          <w:sz w:val="18"/>
          <w:szCs w:val="18"/>
        </w:rPr>
        <w:t>effectiveness</w:t>
      </w:r>
      <w:proofErr w:type="spellEnd"/>
      <w:r w:rsidRPr="00773CC3">
        <w:rPr>
          <w:sz w:val="18"/>
          <w:szCs w:val="18"/>
        </w:rPr>
        <w:t xml:space="preserve"> </w:t>
      </w:r>
      <w:proofErr w:type="spellStart"/>
      <w:r w:rsidRPr="00773CC3">
        <w:rPr>
          <w:sz w:val="18"/>
          <w:szCs w:val="18"/>
        </w:rPr>
        <w:t>of</w:t>
      </w:r>
      <w:proofErr w:type="spellEnd"/>
      <w:r w:rsidRPr="00773CC3">
        <w:rPr>
          <w:sz w:val="18"/>
          <w:szCs w:val="18"/>
        </w:rPr>
        <w:t xml:space="preserve"> </w:t>
      </w:r>
      <w:proofErr w:type="spellStart"/>
      <w:r w:rsidRPr="00773CC3">
        <w:rPr>
          <w:sz w:val="18"/>
          <w:szCs w:val="18"/>
        </w:rPr>
        <w:t>Cognitive</w:t>
      </w:r>
      <w:proofErr w:type="gramStart"/>
      <w:r w:rsidRPr="00773CC3">
        <w:rPr>
          <w:sz w:val="18"/>
          <w:szCs w:val="18"/>
        </w:rPr>
        <w:t>-</w:t>
      </w:r>
      <w:proofErr w:type="gramEnd"/>
      <w:r w:rsidRPr="00773CC3">
        <w:rPr>
          <w:sz w:val="18"/>
          <w:szCs w:val="18"/>
        </w:rPr>
        <w:t>Behavioural</w:t>
      </w:r>
      <w:proofErr w:type="spellEnd"/>
      <w:r w:rsidRPr="00773CC3">
        <w:rPr>
          <w:sz w:val="18"/>
          <w:szCs w:val="18"/>
        </w:rPr>
        <w:t xml:space="preserve"> </w:t>
      </w:r>
      <w:proofErr w:type="spellStart"/>
      <w:r w:rsidRPr="00773CC3">
        <w:rPr>
          <w:sz w:val="18"/>
          <w:szCs w:val="18"/>
        </w:rPr>
        <w:t>Therapy</w:t>
      </w:r>
      <w:proofErr w:type="spellEnd"/>
      <w:r w:rsidRPr="00773CC3">
        <w:rPr>
          <w:sz w:val="18"/>
          <w:szCs w:val="18"/>
        </w:rPr>
        <w:t xml:space="preserve"> </w:t>
      </w:r>
      <w:proofErr w:type="spellStart"/>
      <w:r w:rsidRPr="00773CC3">
        <w:rPr>
          <w:sz w:val="18"/>
          <w:szCs w:val="18"/>
        </w:rPr>
        <w:t>for</w:t>
      </w:r>
      <w:proofErr w:type="spellEnd"/>
      <w:r w:rsidRPr="00773CC3">
        <w:rPr>
          <w:sz w:val="18"/>
          <w:szCs w:val="18"/>
        </w:rPr>
        <w:t xml:space="preserve"> </w:t>
      </w:r>
      <w:proofErr w:type="spellStart"/>
      <w:r w:rsidRPr="00773CC3">
        <w:rPr>
          <w:sz w:val="18"/>
          <w:szCs w:val="18"/>
        </w:rPr>
        <w:t>Mental</w:t>
      </w:r>
      <w:proofErr w:type="spellEnd"/>
      <w:r w:rsidRPr="00773CC3">
        <w:rPr>
          <w:sz w:val="18"/>
          <w:szCs w:val="18"/>
        </w:rPr>
        <w:t xml:space="preserve"> </w:t>
      </w:r>
      <w:proofErr w:type="spellStart"/>
      <w:r w:rsidRPr="00773CC3">
        <w:rPr>
          <w:sz w:val="18"/>
          <w:szCs w:val="18"/>
        </w:rPr>
        <w:t>Disorders</w:t>
      </w:r>
      <w:proofErr w:type="spellEnd"/>
      <w:r w:rsidRPr="00773CC3">
        <w:rPr>
          <w:sz w:val="18"/>
          <w:szCs w:val="18"/>
        </w:rPr>
        <w:t xml:space="preserve">: </w:t>
      </w:r>
      <w:proofErr w:type="spellStart"/>
      <w:r w:rsidRPr="00773CC3">
        <w:rPr>
          <w:sz w:val="18"/>
          <w:szCs w:val="18"/>
        </w:rPr>
        <w:t>Implications</w:t>
      </w:r>
      <w:proofErr w:type="spellEnd"/>
      <w:r w:rsidRPr="00773CC3">
        <w:rPr>
          <w:sz w:val="18"/>
          <w:szCs w:val="18"/>
        </w:rPr>
        <w:t xml:space="preserve"> </w:t>
      </w:r>
      <w:proofErr w:type="spellStart"/>
      <w:r w:rsidRPr="00773CC3">
        <w:rPr>
          <w:sz w:val="18"/>
          <w:szCs w:val="18"/>
        </w:rPr>
        <w:t>for</w:t>
      </w:r>
      <w:proofErr w:type="spellEnd"/>
      <w:r w:rsidRPr="00773CC3">
        <w:rPr>
          <w:sz w:val="18"/>
          <w:szCs w:val="18"/>
        </w:rPr>
        <w:t xml:space="preserve"> </w:t>
      </w:r>
      <w:proofErr w:type="spellStart"/>
      <w:r w:rsidRPr="00773CC3">
        <w:rPr>
          <w:sz w:val="18"/>
          <w:szCs w:val="18"/>
        </w:rPr>
        <w:t>Public</w:t>
      </w:r>
      <w:proofErr w:type="spellEnd"/>
      <w:r w:rsidRPr="00773CC3">
        <w:rPr>
          <w:sz w:val="18"/>
          <w:szCs w:val="18"/>
        </w:rPr>
        <w:t xml:space="preserve"> </w:t>
      </w:r>
      <w:proofErr w:type="spellStart"/>
      <w:r w:rsidRPr="00773CC3">
        <w:rPr>
          <w:sz w:val="18"/>
          <w:szCs w:val="18"/>
        </w:rPr>
        <w:t>Health</w:t>
      </w:r>
      <w:proofErr w:type="spellEnd"/>
      <w:r w:rsidRPr="00773CC3">
        <w:rPr>
          <w:sz w:val="18"/>
          <w:szCs w:val="18"/>
        </w:rPr>
        <w:t xml:space="preserve"> Care </w:t>
      </w:r>
      <w:proofErr w:type="spellStart"/>
      <w:r w:rsidRPr="00773CC3">
        <w:rPr>
          <w:sz w:val="18"/>
          <w:szCs w:val="18"/>
        </w:rPr>
        <w:t>Funding</w:t>
      </w:r>
      <w:proofErr w:type="spellEnd"/>
      <w:r w:rsidRPr="00773CC3">
        <w:rPr>
          <w:sz w:val="18"/>
          <w:szCs w:val="18"/>
        </w:rPr>
        <w:t xml:space="preserve"> </w:t>
      </w:r>
      <w:proofErr w:type="spellStart"/>
      <w:r w:rsidRPr="00773CC3">
        <w:rPr>
          <w:sz w:val="18"/>
          <w:szCs w:val="18"/>
        </w:rPr>
        <w:t>Policy</w:t>
      </w:r>
      <w:proofErr w:type="spellEnd"/>
      <w:r w:rsidRPr="00773CC3">
        <w:rPr>
          <w:sz w:val="18"/>
          <w:szCs w:val="18"/>
        </w:rPr>
        <w:t xml:space="preserve"> </w:t>
      </w:r>
      <w:proofErr w:type="spellStart"/>
      <w:r w:rsidRPr="00773CC3">
        <w:rPr>
          <w:sz w:val="18"/>
          <w:szCs w:val="18"/>
        </w:rPr>
        <w:t>in</w:t>
      </w:r>
      <w:proofErr w:type="spellEnd"/>
      <w:r w:rsidRPr="00773CC3">
        <w:rPr>
          <w:sz w:val="18"/>
          <w:szCs w:val="18"/>
        </w:rPr>
        <w:t xml:space="preserve"> </w:t>
      </w:r>
      <w:proofErr w:type="spellStart"/>
      <w:r w:rsidRPr="00773CC3">
        <w:rPr>
          <w:sz w:val="18"/>
          <w:szCs w:val="18"/>
        </w:rPr>
        <w:t>Canada</w:t>
      </w:r>
      <w:proofErr w:type="spellEnd"/>
      <w:r w:rsidRPr="00773CC3">
        <w:rPr>
          <w:sz w:val="18"/>
          <w:szCs w:val="18"/>
        </w:rPr>
        <w:t xml:space="preserve">. </w:t>
      </w:r>
      <w:proofErr w:type="spellStart"/>
      <w:r w:rsidRPr="00773CC3">
        <w:rPr>
          <w:i/>
          <w:sz w:val="18"/>
          <w:szCs w:val="18"/>
        </w:rPr>
        <w:t>Can</w:t>
      </w:r>
      <w:proofErr w:type="spellEnd"/>
      <w:r w:rsidRPr="00773CC3">
        <w:rPr>
          <w:i/>
          <w:sz w:val="18"/>
          <w:szCs w:val="18"/>
        </w:rPr>
        <w:t xml:space="preserve"> J </w:t>
      </w:r>
      <w:proofErr w:type="spellStart"/>
      <w:r w:rsidRPr="00773CC3">
        <w:rPr>
          <w:i/>
          <w:sz w:val="18"/>
          <w:szCs w:val="18"/>
        </w:rPr>
        <w:t>Psychiatry</w:t>
      </w:r>
      <w:proofErr w:type="spellEnd"/>
      <w:r w:rsidRPr="00773CC3">
        <w:rPr>
          <w:i/>
          <w:sz w:val="18"/>
          <w:szCs w:val="18"/>
        </w:rPr>
        <w:t xml:space="preserve"> 2006; 51:662</w:t>
      </w:r>
      <w:proofErr w:type="gramStart"/>
      <w:r w:rsidRPr="00773CC3">
        <w:rPr>
          <w:i/>
          <w:sz w:val="18"/>
          <w:szCs w:val="18"/>
        </w:rPr>
        <w:t>-</w:t>
      </w:r>
      <w:proofErr w:type="gramEnd"/>
      <w:r w:rsidRPr="00773CC3">
        <w:rPr>
          <w:i/>
          <w:sz w:val="18"/>
          <w:szCs w:val="18"/>
        </w:rPr>
        <w:t>670</w:t>
      </w:r>
      <w:r w:rsidRPr="00773CC3">
        <w:rPr>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17B0" w:rsidRDefault="001717B0" w:rsidP="00B86403">
    <w:pPr>
      <w:pStyle w:val="Antrats"/>
      <w:jc w:val="center"/>
    </w:pPr>
  </w:p>
  <w:p w:rsidR="001717B0" w:rsidRDefault="001717B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15E2B"/>
    <w:multiLevelType w:val="hybridMultilevel"/>
    <w:tmpl w:val="C64E143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nsid w:val="07531D7F"/>
    <w:multiLevelType w:val="hybridMultilevel"/>
    <w:tmpl w:val="33386496"/>
    <w:lvl w:ilvl="0" w:tplc="D320FF20">
      <w:start w:val="7"/>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07AD2200"/>
    <w:multiLevelType w:val="hybridMultilevel"/>
    <w:tmpl w:val="09543E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09F36AC7"/>
    <w:multiLevelType w:val="hybridMultilevel"/>
    <w:tmpl w:val="2E942AF0"/>
    <w:lvl w:ilvl="0" w:tplc="856AC88C">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D7458E8"/>
    <w:multiLevelType w:val="hybridMultilevel"/>
    <w:tmpl w:val="FCE0E7C4"/>
    <w:lvl w:ilvl="0" w:tplc="7E24A848">
      <w:start w:val="5"/>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nsid w:val="0DE12235"/>
    <w:multiLevelType w:val="hybridMultilevel"/>
    <w:tmpl w:val="E2B4A9AA"/>
    <w:lvl w:ilvl="0" w:tplc="04270001">
      <w:start w:val="1"/>
      <w:numFmt w:val="bullet"/>
      <w:lvlText w:val=""/>
      <w:lvlJc w:val="left"/>
      <w:pPr>
        <w:ind w:left="1146" w:hanging="360"/>
      </w:pPr>
      <w:rPr>
        <w:rFonts w:ascii="Symbol" w:hAnsi="Symbol" w:hint="default"/>
      </w:rPr>
    </w:lvl>
    <w:lvl w:ilvl="1" w:tplc="04270003">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nsid w:val="0E335F6F"/>
    <w:multiLevelType w:val="hybridMultilevel"/>
    <w:tmpl w:val="BABAEA9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
    <w:nsid w:val="0FFA18A0"/>
    <w:multiLevelType w:val="hybridMultilevel"/>
    <w:tmpl w:val="C3029B80"/>
    <w:lvl w:ilvl="0" w:tplc="1122B5B8">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8F22069"/>
    <w:multiLevelType w:val="hybridMultilevel"/>
    <w:tmpl w:val="15F0EED4"/>
    <w:lvl w:ilvl="0" w:tplc="30E8948A">
      <w:numFmt w:val="bullet"/>
      <w:lvlText w:val="-"/>
      <w:lvlJc w:val="left"/>
      <w:pPr>
        <w:ind w:left="786" w:hanging="360"/>
      </w:pPr>
      <w:rPr>
        <w:rFonts w:ascii="Calibri" w:eastAsiaTheme="minorHAnsi" w:hAnsi="Calibri" w:cs="Times New Roman"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9">
    <w:nsid w:val="1A2E1451"/>
    <w:multiLevelType w:val="hybridMultilevel"/>
    <w:tmpl w:val="E6C805A0"/>
    <w:lvl w:ilvl="0" w:tplc="1834C36E">
      <w:start w:val="6"/>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1CA2327D"/>
    <w:multiLevelType w:val="hybridMultilevel"/>
    <w:tmpl w:val="042A1A12"/>
    <w:lvl w:ilvl="0" w:tplc="0BCE3A04">
      <w:numFmt w:val="bullet"/>
      <w:lvlText w:val="-"/>
      <w:lvlJc w:val="left"/>
      <w:pPr>
        <w:ind w:left="844" w:hanging="360"/>
      </w:pPr>
      <w:rPr>
        <w:rFonts w:ascii="Times New Roman" w:eastAsiaTheme="minorHAnsi" w:hAnsi="Times New Roman" w:cs="Times New Roman" w:hint="default"/>
        <w:color w:val="auto"/>
      </w:rPr>
    </w:lvl>
    <w:lvl w:ilvl="1" w:tplc="04270003" w:tentative="1">
      <w:start w:val="1"/>
      <w:numFmt w:val="bullet"/>
      <w:lvlText w:val="o"/>
      <w:lvlJc w:val="left"/>
      <w:pPr>
        <w:ind w:left="1498" w:hanging="360"/>
      </w:pPr>
      <w:rPr>
        <w:rFonts w:ascii="Courier New" w:hAnsi="Courier New" w:cs="Courier New" w:hint="default"/>
      </w:rPr>
    </w:lvl>
    <w:lvl w:ilvl="2" w:tplc="04270005" w:tentative="1">
      <w:start w:val="1"/>
      <w:numFmt w:val="bullet"/>
      <w:lvlText w:val=""/>
      <w:lvlJc w:val="left"/>
      <w:pPr>
        <w:ind w:left="2218" w:hanging="360"/>
      </w:pPr>
      <w:rPr>
        <w:rFonts w:ascii="Wingdings" w:hAnsi="Wingdings" w:hint="default"/>
      </w:rPr>
    </w:lvl>
    <w:lvl w:ilvl="3" w:tplc="04270001" w:tentative="1">
      <w:start w:val="1"/>
      <w:numFmt w:val="bullet"/>
      <w:lvlText w:val=""/>
      <w:lvlJc w:val="left"/>
      <w:pPr>
        <w:ind w:left="2938" w:hanging="360"/>
      </w:pPr>
      <w:rPr>
        <w:rFonts w:ascii="Symbol" w:hAnsi="Symbol" w:hint="default"/>
      </w:rPr>
    </w:lvl>
    <w:lvl w:ilvl="4" w:tplc="04270003" w:tentative="1">
      <w:start w:val="1"/>
      <w:numFmt w:val="bullet"/>
      <w:lvlText w:val="o"/>
      <w:lvlJc w:val="left"/>
      <w:pPr>
        <w:ind w:left="3658" w:hanging="360"/>
      </w:pPr>
      <w:rPr>
        <w:rFonts w:ascii="Courier New" w:hAnsi="Courier New" w:cs="Courier New" w:hint="default"/>
      </w:rPr>
    </w:lvl>
    <w:lvl w:ilvl="5" w:tplc="04270005" w:tentative="1">
      <w:start w:val="1"/>
      <w:numFmt w:val="bullet"/>
      <w:lvlText w:val=""/>
      <w:lvlJc w:val="left"/>
      <w:pPr>
        <w:ind w:left="4378" w:hanging="360"/>
      </w:pPr>
      <w:rPr>
        <w:rFonts w:ascii="Wingdings" w:hAnsi="Wingdings" w:hint="default"/>
      </w:rPr>
    </w:lvl>
    <w:lvl w:ilvl="6" w:tplc="04270001" w:tentative="1">
      <w:start w:val="1"/>
      <w:numFmt w:val="bullet"/>
      <w:lvlText w:val=""/>
      <w:lvlJc w:val="left"/>
      <w:pPr>
        <w:ind w:left="5098" w:hanging="360"/>
      </w:pPr>
      <w:rPr>
        <w:rFonts w:ascii="Symbol" w:hAnsi="Symbol" w:hint="default"/>
      </w:rPr>
    </w:lvl>
    <w:lvl w:ilvl="7" w:tplc="04270003" w:tentative="1">
      <w:start w:val="1"/>
      <w:numFmt w:val="bullet"/>
      <w:lvlText w:val="o"/>
      <w:lvlJc w:val="left"/>
      <w:pPr>
        <w:ind w:left="5818" w:hanging="360"/>
      </w:pPr>
      <w:rPr>
        <w:rFonts w:ascii="Courier New" w:hAnsi="Courier New" w:cs="Courier New" w:hint="default"/>
      </w:rPr>
    </w:lvl>
    <w:lvl w:ilvl="8" w:tplc="04270005" w:tentative="1">
      <w:start w:val="1"/>
      <w:numFmt w:val="bullet"/>
      <w:lvlText w:val=""/>
      <w:lvlJc w:val="left"/>
      <w:pPr>
        <w:ind w:left="6538" w:hanging="360"/>
      </w:pPr>
      <w:rPr>
        <w:rFonts w:ascii="Wingdings" w:hAnsi="Wingdings" w:hint="default"/>
      </w:rPr>
    </w:lvl>
  </w:abstractNum>
  <w:abstractNum w:abstractNumId="11">
    <w:nsid w:val="1DF57B9B"/>
    <w:multiLevelType w:val="hybridMultilevel"/>
    <w:tmpl w:val="394EC7BC"/>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2">
    <w:nsid w:val="1E87646B"/>
    <w:multiLevelType w:val="hybridMultilevel"/>
    <w:tmpl w:val="579EBE12"/>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nsid w:val="1F3C0157"/>
    <w:multiLevelType w:val="hybridMultilevel"/>
    <w:tmpl w:val="416A0B5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nsid w:val="22AD7964"/>
    <w:multiLevelType w:val="hybridMultilevel"/>
    <w:tmpl w:val="927E77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2371661E"/>
    <w:multiLevelType w:val="hybridMultilevel"/>
    <w:tmpl w:val="D2627E04"/>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6">
    <w:nsid w:val="23EF4BC0"/>
    <w:multiLevelType w:val="hybridMultilevel"/>
    <w:tmpl w:val="8488BB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26B24240"/>
    <w:multiLevelType w:val="hybridMultilevel"/>
    <w:tmpl w:val="B1E2C388"/>
    <w:lvl w:ilvl="0" w:tplc="969A1EA2">
      <w:start w:val="2"/>
      <w:numFmt w:val="bullet"/>
      <w:lvlText w:val="-"/>
      <w:lvlJc w:val="left"/>
      <w:pPr>
        <w:ind w:left="1146" w:hanging="360"/>
      </w:pPr>
      <w:rPr>
        <w:rFonts w:ascii="Calibri" w:eastAsia="Times New Roman" w:hAnsi="Calibri" w:cs="Times New Roman"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nsid w:val="29683A97"/>
    <w:multiLevelType w:val="hybridMultilevel"/>
    <w:tmpl w:val="CECA9B48"/>
    <w:lvl w:ilvl="0" w:tplc="A26474C2">
      <w:start w:val="7"/>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nsid w:val="2A6E0901"/>
    <w:multiLevelType w:val="hybridMultilevel"/>
    <w:tmpl w:val="4A04D0D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20">
    <w:nsid w:val="2CED31D9"/>
    <w:multiLevelType w:val="hybridMultilevel"/>
    <w:tmpl w:val="2884CF82"/>
    <w:lvl w:ilvl="0" w:tplc="12301B66">
      <w:start w:val="1"/>
      <w:numFmt w:val="upperRoman"/>
      <w:pStyle w:val="Antrat1"/>
      <w:lvlText w:val="%1."/>
      <w:lvlJc w:val="righ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nsid w:val="30F0149A"/>
    <w:multiLevelType w:val="hybridMultilevel"/>
    <w:tmpl w:val="5B7AC50E"/>
    <w:lvl w:ilvl="0" w:tplc="20C823BC">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nsid w:val="32243AB8"/>
    <w:multiLevelType w:val="hybridMultilevel"/>
    <w:tmpl w:val="C212CE02"/>
    <w:lvl w:ilvl="0" w:tplc="5F8E69D6">
      <w:start w:val="10"/>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32ED682C"/>
    <w:multiLevelType w:val="hybridMultilevel"/>
    <w:tmpl w:val="738C5166"/>
    <w:lvl w:ilvl="0" w:tplc="85A464B2">
      <w:start w:val="2017"/>
      <w:numFmt w:val="bullet"/>
      <w:lvlText w:val="-"/>
      <w:lvlJc w:val="left"/>
      <w:pPr>
        <w:ind w:left="786" w:hanging="360"/>
      </w:pPr>
      <w:rPr>
        <w:rFonts w:ascii="Calibri" w:eastAsia="Times New Roman" w:hAnsi="Calibri" w:cs="Calibri"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4">
    <w:nsid w:val="374F0416"/>
    <w:multiLevelType w:val="hybridMultilevel"/>
    <w:tmpl w:val="4EE62B1C"/>
    <w:lvl w:ilvl="0" w:tplc="53AEC858">
      <w:numFmt w:val="bullet"/>
      <w:lvlText w:val="-"/>
      <w:lvlJc w:val="left"/>
      <w:pPr>
        <w:ind w:left="720" w:hanging="360"/>
      </w:pPr>
      <w:rPr>
        <w:rFonts w:ascii="Calibri" w:eastAsia="Times New Roman" w:hAnsi="Calibri" w:cs="Calibri"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nsid w:val="39B46EAE"/>
    <w:multiLevelType w:val="hybridMultilevel"/>
    <w:tmpl w:val="91B6A0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nsid w:val="3B171DB3"/>
    <w:multiLevelType w:val="hybridMultilevel"/>
    <w:tmpl w:val="202A2B8A"/>
    <w:lvl w:ilvl="0" w:tplc="48703F9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nsid w:val="3D0E10F6"/>
    <w:multiLevelType w:val="hybridMultilevel"/>
    <w:tmpl w:val="A52049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nsid w:val="3E4B11B0"/>
    <w:multiLevelType w:val="hybridMultilevel"/>
    <w:tmpl w:val="61A8C188"/>
    <w:lvl w:ilvl="0" w:tplc="67385D50">
      <w:start w:val="1"/>
      <w:numFmt w:val="bullet"/>
      <w:lvlText w:val="-"/>
      <w:lvlJc w:val="left"/>
      <w:pPr>
        <w:ind w:left="786" w:hanging="360"/>
      </w:pPr>
      <w:rPr>
        <w:rFonts w:ascii="Calibri" w:eastAsia="Times New Roman" w:hAnsi="Calibri" w:cs="Calibri"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29">
    <w:nsid w:val="3E9B7796"/>
    <w:multiLevelType w:val="hybridMultilevel"/>
    <w:tmpl w:val="29DC25BC"/>
    <w:lvl w:ilvl="0" w:tplc="04270001">
      <w:start w:val="1"/>
      <w:numFmt w:val="bullet"/>
      <w:lvlText w:val=""/>
      <w:lvlJc w:val="left"/>
      <w:pPr>
        <w:ind w:left="1195" w:hanging="360"/>
      </w:pPr>
      <w:rPr>
        <w:rFonts w:ascii="Symbol" w:hAnsi="Symbol" w:hint="default"/>
      </w:rPr>
    </w:lvl>
    <w:lvl w:ilvl="1" w:tplc="04270003" w:tentative="1">
      <w:start w:val="1"/>
      <w:numFmt w:val="bullet"/>
      <w:lvlText w:val="o"/>
      <w:lvlJc w:val="left"/>
      <w:pPr>
        <w:ind w:left="1915" w:hanging="360"/>
      </w:pPr>
      <w:rPr>
        <w:rFonts w:ascii="Courier New" w:hAnsi="Courier New" w:cs="Courier New" w:hint="default"/>
      </w:rPr>
    </w:lvl>
    <w:lvl w:ilvl="2" w:tplc="04270005" w:tentative="1">
      <w:start w:val="1"/>
      <w:numFmt w:val="bullet"/>
      <w:lvlText w:val=""/>
      <w:lvlJc w:val="left"/>
      <w:pPr>
        <w:ind w:left="2635" w:hanging="360"/>
      </w:pPr>
      <w:rPr>
        <w:rFonts w:ascii="Wingdings" w:hAnsi="Wingdings" w:hint="default"/>
      </w:rPr>
    </w:lvl>
    <w:lvl w:ilvl="3" w:tplc="04270001" w:tentative="1">
      <w:start w:val="1"/>
      <w:numFmt w:val="bullet"/>
      <w:lvlText w:val=""/>
      <w:lvlJc w:val="left"/>
      <w:pPr>
        <w:ind w:left="3355" w:hanging="360"/>
      </w:pPr>
      <w:rPr>
        <w:rFonts w:ascii="Symbol" w:hAnsi="Symbol" w:hint="default"/>
      </w:rPr>
    </w:lvl>
    <w:lvl w:ilvl="4" w:tplc="04270003" w:tentative="1">
      <w:start w:val="1"/>
      <w:numFmt w:val="bullet"/>
      <w:lvlText w:val="o"/>
      <w:lvlJc w:val="left"/>
      <w:pPr>
        <w:ind w:left="4075" w:hanging="360"/>
      </w:pPr>
      <w:rPr>
        <w:rFonts w:ascii="Courier New" w:hAnsi="Courier New" w:cs="Courier New" w:hint="default"/>
      </w:rPr>
    </w:lvl>
    <w:lvl w:ilvl="5" w:tplc="04270005" w:tentative="1">
      <w:start w:val="1"/>
      <w:numFmt w:val="bullet"/>
      <w:lvlText w:val=""/>
      <w:lvlJc w:val="left"/>
      <w:pPr>
        <w:ind w:left="4795" w:hanging="360"/>
      </w:pPr>
      <w:rPr>
        <w:rFonts w:ascii="Wingdings" w:hAnsi="Wingdings" w:hint="default"/>
      </w:rPr>
    </w:lvl>
    <w:lvl w:ilvl="6" w:tplc="04270001" w:tentative="1">
      <w:start w:val="1"/>
      <w:numFmt w:val="bullet"/>
      <w:lvlText w:val=""/>
      <w:lvlJc w:val="left"/>
      <w:pPr>
        <w:ind w:left="5515" w:hanging="360"/>
      </w:pPr>
      <w:rPr>
        <w:rFonts w:ascii="Symbol" w:hAnsi="Symbol" w:hint="default"/>
      </w:rPr>
    </w:lvl>
    <w:lvl w:ilvl="7" w:tplc="04270003" w:tentative="1">
      <w:start w:val="1"/>
      <w:numFmt w:val="bullet"/>
      <w:lvlText w:val="o"/>
      <w:lvlJc w:val="left"/>
      <w:pPr>
        <w:ind w:left="6235" w:hanging="360"/>
      </w:pPr>
      <w:rPr>
        <w:rFonts w:ascii="Courier New" w:hAnsi="Courier New" w:cs="Courier New" w:hint="default"/>
      </w:rPr>
    </w:lvl>
    <w:lvl w:ilvl="8" w:tplc="04270005" w:tentative="1">
      <w:start w:val="1"/>
      <w:numFmt w:val="bullet"/>
      <w:lvlText w:val=""/>
      <w:lvlJc w:val="left"/>
      <w:pPr>
        <w:ind w:left="6955" w:hanging="360"/>
      </w:pPr>
      <w:rPr>
        <w:rFonts w:ascii="Wingdings" w:hAnsi="Wingdings" w:hint="default"/>
      </w:rPr>
    </w:lvl>
  </w:abstractNum>
  <w:abstractNum w:abstractNumId="30">
    <w:nsid w:val="41ED75C1"/>
    <w:multiLevelType w:val="hybridMultilevel"/>
    <w:tmpl w:val="08B8C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224161A"/>
    <w:multiLevelType w:val="hybridMultilevel"/>
    <w:tmpl w:val="2B9AF94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2">
    <w:nsid w:val="4699148B"/>
    <w:multiLevelType w:val="hybridMultilevel"/>
    <w:tmpl w:val="E152C302"/>
    <w:lvl w:ilvl="0" w:tplc="D73EDD14">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nsid w:val="4A2365FA"/>
    <w:multiLevelType w:val="hybridMultilevel"/>
    <w:tmpl w:val="EBFCC874"/>
    <w:lvl w:ilvl="0" w:tplc="8322500A">
      <w:start w:val="1"/>
      <w:numFmt w:val="bullet"/>
      <w:lvlText w:val="•"/>
      <w:lvlJc w:val="left"/>
      <w:pPr>
        <w:tabs>
          <w:tab w:val="num" w:pos="720"/>
        </w:tabs>
        <w:ind w:left="720" w:hanging="360"/>
      </w:pPr>
      <w:rPr>
        <w:rFonts w:ascii="Arial" w:hAnsi="Arial" w:hint="default"/>
      </w:rPr>
    </w:lvl>
    <w:lvl w:ilvl="1" w:tplc="FEBE77A2">
      <w:start w:val="1"/>
      <w:numFmt w:val="bullet"/>
      <w:lvlText w:val="•"/>
      <w:lvlJc w:val="left"/>
      <w:pPr>
        <w:tabs>
          <w:tab w:val="num" w:pos="1440"/>
        </w:tabs>
        <w:ind w:left="1440" w:hanging="360"/>
      </w:pPr>
      <w:rPr>
        <w:rFonts w:ascii="Arial" w:hAnsi="Arial" w:hint="default"/>
      </w:rPr>
    </w:lvl>
    <w:lvl w:ilvl="2" w:tplc="1EB09CA4" w:tentative="1">
      <w:start w:val="1"/>
      <w:numFmt w:val="bullet"/>
      <w:lvlText w:val="•"/>
      <w:lvlJc w:val="left"/>
      <w:pPr>
        <w:tabs>
          <w:tab w:val="num" w:pos="2160"/>
        </w:tabs>
        <w:ind w:left="2160" w:hanging="360"/>
      </w:pPr>
      <w:rPr>
        <w:rFonts w:ascii="Arial" w:hAnsi="Arial" w:hint="default"/>
      </w:rPr>
    </w:lvl>
    <w:lvl w:ilvl="3" w:tplc="C58AB76E" w:tentative="1">
      <w:start w:val="1"/>
      <w:numFmt w:val="bullet"/>
      <w:lvlText w:val="•"/>
      <w:lvlJc w:val="left"/>
      <w:pPr>
        <w:tabs>
          <w:tab w:val="num" w:pos="2880"/>
        </w:tabs>
        <w:ind w:left="2880" w:hanging="360"/>
      </w:pPr>
      <w:rPr>
        <w:rFonts w:ascii="Arial" w:hAnsi="Arial" w:hint="default"/>
      </w:rPr>
    </w:lvl>
    <w:lvl w:ilvl="4" w:tplc="66903EE8" w:tentative="1">
      <w:start w:val="1"/>
      <w:numFmt w:val="bullet"/>
      <w:lvlText w:val="•"/>
      <w:lvlJc w:val="left"/>
      <w:pPr>
        <w:tabs>
          <w:tab w:val="num" w:pos="3600"/>
        </w:tabs>
        <w:ind w:left="3600" w:hanging="360"/>
      </w:pPr>
      <w:rPr>
        <w:rFonts w:ascii="Arial" w:hAnsi="Arial" w:hint="default"/>
      </w:rPr>
    </w:lvl>
    <w:lvl w:ilvl="5" w:tplc="A5543660" w:tentative="1">
      <w:start w:val="1"/>
      <w:numFmt w:val="bullet"/>
      <w:lvlText w:val="•"/>
      <w:lvlJc w:val="left"/>
      <w:pPr>
        <w:tabs>
          <w:tab w:val="num" w:pos="4320"/>
        </w:tabs>
        <w:ind w:left="4320" w:hanging="360"/>
      </w:pPr>
      <w:rPr>
        <w:rFonts w:ascii="Arial" w:hAnsi="Arial" w:hint="default"/>
      </w:rPr>
    </w:lvl>
    <w:lvl w:ilvl="6" w:tplc="7D20C6CC" w:tentative="1">
      <w:start w:val="1"/>
      <w:numFmt w:val="bullet"/>
      <w:lvlText w:val="•"/>
      <w:lvlJc w:val="left"/>
      <w:pPr>
        <w:tabs>
          <w:tab w:val="num" w:pos="5040"/>
        </w:tabs>
        <w:ind w:left="5040" w:hanging="360"/>
      </w:pPr>
      <w:rPr>
        <w:rFonts w:ascii="Arial" w:hAnsi="Arial" w:hint="default"/>
      </w:rPr>
    </w:lvl>
    <w:lvl w:ilvl="7" w:tplc="F5DA77FE" w:tentative="1">
      <w:start w:val="1"/>
      <w:numFmt w:val="bullet"/>
      <w:lvlText w:val="•"/>
      <w:lvlJc w:val="left"/>
      <w:pPr>
        <w:tabs>
          <w:tab w:val="num" w:pos="5760"/>
        </w:tabs>
        <w:ind w:left="5760" w:hanging="360"/>
      </w:pPr>
      <w:rPr>
        <w:rFonts w:ascii="Arial" w:hAnsi="Arial" w:hint="default"/>
      </w:rPr>
    </w:lvl>
    <w:lvl w:ilvl="8" w:tplc="D0F60EF6" w:tentative="1">
      <w:start w:val="1"/>
      <w:numFmt w:val="bullet"/>
      <w:lvlText w:val="•"/>
      <w:lvlJc w:val="left"/>
      <w:pPr>
        <w:tabs>
          <w:tab w:val="num" w:pos="6480"/>
        </w:tabs>
        <w:ind w:left="6480" w:hanging="360"/>
      </w:pPr>
      <w:rPr>
        <w:rFonts w:ascii="Arial" w:hAnsi="Arial" w:hint="default"/>
      </w:rPr>
    </w:lvl>
  </w:abstractNum>
  <w:abstractNum w:abstractNumId="34">
    <w:nsid w:val="4B2518EA"/>
    <w:multiLevelType w:val="hybridMultilevel"/>
    <w:tmpl w:val="222EC03E"/>
    <w:lvl w:ilvl="0" w:tplc="856AC88C">
      <w:start w:val="1"/>
      <w:numFmt w:val="bullet"/>
      <w:lvlText w:val="-"/>
      <w:lvlJc w:val="left"/>
      <w:pPr>
        <w:ind w:left="786" w:hanging="360"/>
      </w:pPr>
      <w:rPr>
        <w:rFonts w:ascii="Calibri" w:eastAsia="Times New Roman" w:hAnsi="Calibri" w:cs="Calibri" w:hint="default"/>
      </w:rPr>
    </w:lvl>
    <w:lvl w:ilvl="1" w:tplc="04270003" w:tentative="1">
      <w:start w:val="1"/>
      <w:numFmt w:val="bullet"/>
      <w:lvlText w:val="o"/>
      <w:lvlJc w:val="left"/>
      <w:pPr>
        <w:ind w:left="1506" w:hanging="360"/>
      </w:pPr>
      <w:rPr>
        <w:rFonts w:ascii="Courier New" w:hAnsi="Courier New" w:cs="Courier New" w:hint="default"/>
      </w:rPr>
    </w:lvl>
    <w:lvl w:ilvl="2" w:tplc="04270005" w:tentative="1">
      <w:start w:val="1"/>
      <w:numFmt w:val="bullet"/>
      <w:lvlText w:val=""/>
      <w:lvlJc w:val="left"/>
      <w:pPr>
        <w:ind w:left="2226" w:hanging="360"/>
      </w:pPr>
      <w:rPr>
        <w:rFonts w:ascii="Wingdings" w:hAnsi="Wingdings" w:hint="default"/>
      </w:rPr>
    </w:lvl>
    <w:lvl w:ilvl="3" w:tplc="04270001" w:tentative="1">
      <w:start w:val="1"/>
      <w:numFmt w:val="bullet"/>
      <w:lvlText w:val=""/>
      <w:lvlJc w:val="left"/>
      <w:pPr>
        <w:ind w:left="2946" w:hanging="360"/>
      </w:pPr>
      <w:rPr>
        <w:rFonts w:ascii="Symbol" w:hAnsi="Symbol" w:hint="default"/>
      </w:rPr>
    </w:lvl>
    <w:lvl w:ilvl="4" w:tplc="04270003" w:tentative="1">
      <w:start w:val="1"/>
      <w:numFmt w:val="bullet"/>
      <w:lvlText w:val="o"/>
      <w:lvlJc w:val="left"/>
      <w:pPr>
        <w:ind w:left="3666" w:hanging="360"/>
      </w:pPr>
      <w:rPr>
        <w:rFonts w:ascii="Courier New" w:hAnsi="Courier New" w:cs="Courier New" w:hint="default"/>
      </w:rPr>
    </w:lvl>
    <w:lvl w:ilvl="5" w:tplc="04270005" w:tentative="1">
      <w:start w:val="1"/>
      <w:numFmt w:val="bullet"/>
      <w:lvlText w:val=""/>
      <w:lvlJc w:val="left"/>
      <w:pPr>
        <w:ind w:left="4386" w:hanging="360"/>
      </w:pPr>
      <w:rPr>
        <w:rFonts w:ascii="Wingdings" w:hAnsi="Wingdings" w:hint="default"/>
      </w:rPr>
    </w:lvl>
    <w:lvl w:ilvl="6" w:tplc="04270001" w:tentative="1">
      <w:start w:val="1"/>
      <w:numFmt w:val="bullet"/>
      <w:lvlText w:val=""/>
      <w:lvlJc w:val="left"/>
      <w:pPr>
        <w:ind w:left="5106" w:hanging="360"/>
      </w:pPr>
      <w:rPr>
        <w:rFonts w:ascii="Symbol" w:hAnsi="Symbol" w:hint="default"/>
      </w:rPr>
    </w:lvl>
    <w:lvl w:ilvl="7" w:tplc="04270003" w:tentative="1">
      <w:start w:val="1"/>
      <w:numFmt w:val="bullet"/>
      <w:lvlText w:val="o"/>
      <w:lvlJc w:val="left"/>
      <w:pPr>
        <w:ind w:left="5826" w:hanging="360"/>
      </w:pPr>
      <w:rPr>
        <w:rFonts w:ascii="Courier New" w:hAnsi="Courier New" w:cs="Courier New" w:hint="default"/>
      </w:rPr>
    </w:lvl>
    <w:lvl w:ilvl="8" w:tplc="04270005" w:tentative="1">
      <w:start w:val="1"/>
      <w:numFmt w:val="bullet"/>
      <w:lvlText w:val=""/>
      <w:lvlJc w:val="left"/>
      <w:pPr>
        <w:ind w:left="6546" w:hanging="360"/>
      </w:pPr>
      <w:rPr>
        <w:rFonts w:ascii="Wingdings" w:hAnsi="Wingdings" w:hint="default"/>
      </w:rPr>
    </w:lvl>
  </w:abstractNum>
  <w:abstractNum w:abstractNumId="35">
    <w:nsid w:val="4B3C0833"/>
    <w:multiLevelType w:val="hybridMultilevel"/>
    <w:tmpl w:val="5C72FBBE"/>
    <w:lvl w:ilvl="0" w:tplc="5422176E">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nsid w:val="4D255C79"/>
    <w:multiLevelType w:val="hybridMultilevel"/>
    <w:tmpl w:val="A32EB38C"/>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37">
    <w:nsid w:val="4EC2342C"/>
    <w:multiLevelType w:val="hybridMultilevel"/>
    <w:tmpl w:val="7FDCC082"/>
    <w:lvl w:ilvl="0" w:tplc="04270001">
      <w:start w:val="1"/>
      <w:numFmt w:val="bullet"/>
      <w:lvlText w:val=""/>
      <w:lvlJc w:val="left"/>
      <w:pPr>
        <w:ind w:left="1146" w:hanging="360"/>
      </w:pPr>
      <w:rPr>
        <w:rFonts w:ascii="Symbol" w:hAnsi="Symbol" w:hint="default"/>
      </w:rPr>
    </w:lvl>
    <w:lvl w:ilvl="1" w:tplc="04270003">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8">
    <w:nsid w:val="501446EA"/>
    <w:multiLevelType w:val="hybridMultilevel"/>
    <w:tmpl w:val="A7808CAE"/>
    <w:lvl w:ilvl="0" w:tplc="53AEC858">
      <w:numFmt w:val="bullet"/>
      <w:lvlText w:val="-"/>
      <w:lvlJc w:val="left"/>
      <w:pPr>
        <w:ind w:left="1080" w:hanging="360"/>
      </w:pPr>
      <w:rPr>
        <w:rFonts w:ascii="Calibri" w:eastAsia="Times New Roman" w:hAnsi="Calibri" w:cs="Calibri"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9">
    <w:nsid w:val="50C67869"/>
    <w:multiLevelType w:val="hybridMultilevel"/>
    <w:tmpl w:val="6FD0F998"/>
    <w:lvl w:ilvl="0" w:tplc="67385D50">
      <w:start w:val="1"/>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nsid w:val="520D7CA9"/>
    <w:multiLevelType w:val="hybridMultilevel"/>
    <w:tmpl w:val="4C025E72"/>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41">
    <w:nsid w:val="52AF55D2"/>
    <w:multiLevelType w:val="hybridMultilevel"/>
    <w:tmpl w:val="3CD659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nsid w:val="53D30111"/>
    <w:multiLevelType w:val="hybridMultilevel"/>
    <w:tmpl w:val="B6BE442A"/>
    <w:lvl w:ilvl="0" w:tplc="64929BBA">
      <w:start w:val="1"/>
      <w:numFmt w:val="bullet"/>
      <w:lvlText w:val="-"/>
      <w:lvlJc w:val="left"/>
      <w:pPr>
        <w:ind w:left="927" w:hanging="360"/>
      </w:pPr>
      <w:rPr>
        <w:rFonts w:ascii="Calibri" w:eastAsia="Times New Roman" w:hAnsi="Calibri"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3">
    <w:nsid w:val="56996B0E"/>
    <w:multiLevelType w:val="hybridMultilevel"/>
    <w:tmpl w:val="ADE2440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4">
    <w:nsid w:val="58AA4917"/>
    <w:multiLevelType w:val="hybridMultilevel"/>
    <w:tmpl w:val="BD887D60"/>
    <w:lvl w:ilvl="0" w:tplc="CC020C78">
      <w:start w:val="17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45">
    <w:nsid w:val="5AB77432"/>
    <w:multiLevelType w:val="hybridMultilevel"/>
    <w:tmpl w:val="DD00CD8E"/>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46">
    <w:nsid w:val="5DB41E2A"/>
    <w:multiLevelType w:val="hybridMultilevel"/>
    <w:tmpl w:val="8FF2E196"/>
    <w:lvl w:ilvl="0" w:tplc="969A1EA2">
      <w:start w:val="2"/>
      <w:numFmt w:val="bullet"/>
      <w:lvlText w:val="-"/>
      <w:lvlJc w:val="left"/>
      <w:pPr>
        <w:ind w:left="720" w:hanging="360"/>
      </w:pPr>
      <w:rPr>
        <w:rFonts w:ascii="Calibri" w:eastAsia="Times New Roman" w:hAnsi="Calibri"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nsid w:val="5F5A3DC7"/>
    <w:multiLevelType w:val="hybridMultilevel"/>
    <w:tmpl w:val="5B80A0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8">
    <w:nsid w:val="5FE7640E"/>
    <w:multiLevelType w:val="hybridMultilevel"/>
    <w:tmpl w:val="77EC3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06A0B6D"/>
    <w:multiLevelType w:val="hybridMultilevel"/>
    <w:tmpl w:val="099C0D90"/>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50">
    <w:nsid w:val="62661D12"/>
    <w:multiLevelType w:val="hybridMultilevel"/>
    <w:tmpl w:val="DC02D5F8"/>
    <w:lvl w:ilvl="0" w:tplc="11E02ACA">
      <w:start w:val="1"/>
      <w:numFmt w:val="bullet"/>
      <w:lvlText w:val="•"/>
      <w:lvlJc w:val="left"/>
      <w:pPr>
        <w:tabs>
          <w:tab w:val="num" w:pos="720"/>
        </w:tabs>
        <w:ind w:left="720" w:hanging="360"/>
      </w:pPr>
      <w:rPr>
        <w:rFonts w:ascii="Arial" w:hAnsi="Arial" w:hint="default"/>
      </w:rPr>
    </w:lvl>
    <w:lvl w:ilvl="1" w:tplc="0D18975A">
      <w:start w:val="1"/>
      <w:numFmt w:val="bullet"/>
      <w:lvlText w:val="•"/>
      <w:lvlJc w:val="left"/>
      <w:pPr>
        <w:tabs>
          <w:tab w:val="num" w:pos="1440"/>
        </w:tabs>
        <w:ind w:left="1440" w:hanging="360"/>
      </w:pPr>
      <w:rPr>
        <w:rFonts w:ascii="Arial" w:hAnsi="Arial" w:hint="default"/>
      </w:rPr>
    </w:lvl>
    <w:lvl w:ilvl="2" w:tplc="00926406" w:tentative="1">
      <w:start w:val="1"/>
      <w:numFmt w:val="bullet"/>
      <w:lvlText w:val="•"/>
      <w:lvlJc w:val="left"/>
      <w:pPr>
        <w:tabs>
          <w:tab w:val="num" w:pos="2160"/>
        </w:tabs>
        <w:ind w:left="2160" w:hanging="360"/>
      </w:pPr>
      <w:rPr>
        <w:rFonts w:ascii="Arial" w:hAnsi="Arial" w:hint="default"/>
      </w:rPr>
    </w:lvl>
    <w:lvl w:ilvl="3" w:tplc="C95A0B5C" w:tentative="1">
      <w:start w:val="1"/>
      <w:numFmt w:val="bullet"/>
      <w:lvlText w:val="•"/>
      <w:lvlJc w:val="left"/>
      <w:pPr>
        <w:tabs>
          <w:tab w:val="num" w:pos="2880"/>
        </w:tabs>
        <w:ind w:left="2880" w:hanging="360"/>
      </w:pPr>
      <w:rPr>
        <w:rFonts w:ascii="Arial" w:hAnsi="Arial" w:hint="default"/>
      </w:rPr>
    </w:lvl>
    <w:lvl w:ilvl="4" w:tplc="18BC42DA" w:tentative="1">
      <w:start w:val="1"/>
      <w:numFmt w:val="bullet"/>
      <w:lvlText w:val="•"/>
      <w:lvlJc w:val="left"/>
      <w:pPr>
        <w:tabs>
          <w:tab w:val="num" w:pos="3600"/>
        </w:tabs>
        <w:ind w:left="3600" w:hanging="360"/>
      </w:pPr>
      <w:rPr>
        <w:rFonts w:ascii="Arial" w:hAnsi="Arial" w:hint="default"/>
      </w:rPr>
    </w:lvl>
    <w:lvl w:ilvl="5" w:tplc="F72E3826" w:tentative="1">
      <w:start w:val="1"/>
      <w:numFmt w:val="bullet"/>
      <w:lvlText w:val="•"/>
      <w:lvlJc w:val="left"/>
      <w:pPr>
        <w:tabs>
          <w:tab w:val="num" w:pos="4320"/>
        </w:tabs>
        <w:ind w:left="4320" w:hanging="360"/>
      </w:pPr>
      <w:rPr>
        <w:rFonts w:ascii="Arial" w:hAnsi="Arial" w:hint="default"/>
      </w:rPr>
    </w:lvl>
    <w:lvl w:ilvl="6" w:tplc="624ECC18" w:tentative="1">
      <w:start w:val="1"/>
      <w:numFmt w:val="bullet"/>
      <w:lvlText w:val="•"/>
      <w:lvlJc w:val="left"/>
      <w:pPr>
        <w:tabs>
          <w:tab w:val="num" w:pos="5040"/>
        </w:tabs>
        <w:ind w:left="5040" w:hanging="360"/>
      </w:pPr>
      <w:rPr>
        <w:rFonts w:ascii="Arial" w:hAnsi="Arial" w:hint="default"/>
      </w:rPr>
    </w:lvl>
    <w:lvl w:ilvl="7" w:tplc="3F7A8B36" w:tentative="1">
      <w:start w:val="1"/>
      <w:numFmt w:val="bullet"/>
      <w:lvlText w:val="•"/>
      <w:lvlJc w:val="left"/>
      <w:pPr>
        <w:tabs>
          <w:tab w:val="num" w:pos="5760"/>
        </w:tabs>
        <w:ind w:left="5760" w:hanging="360"/>
      </w:pPr>
      <w:rPr>
        <w:rFonts w:ascii="Arial" w:hAnsi="Arial" w:hint="default"/>
      </w:rPr>
    </w:lvl>
    <w:lvl w:ilvl="8" w:tplc="2F7C37AE" w:tentative="1">
      <w:start w:val="1"/>
      <w:numFmt w:val="bullet"/>
      <w:lvlText w:val="•"/>
      <w:lvlJc w:val="left"/>
      <w:pPr>
        <w:tabs>
          <w:tab w:val="num" w:pos="6480"/>
        </w:tabs>
        <w:ind w:left="6480" w:hanging="360"/>
      </w:pPr>
      <w:rPr>
        <w:rFonts w:ascii="Arial" w:hAnsi="Arial" w:hint="default"/>
      </w:rPr>
    </w:lvl>
  </w:abstractNum>
  <w:abstractNum w:abstractNumId="51">
    <w:nsid w:val="629D78C0"/>
    <w:multiLevelType w:val="hybridMultilevel"/>
    <w:tmpl w:val="BC628790"/>
    <w:lvl w:ilvl="0" w:tplc="58D8C1A8">
      <w:start w:val="2"/>
      <w:numFmt w:val="bullet"/>
      <w:lvlText w:val="-"/>
      <w:lvlJc w:val="left"/>
      <w:pPr>
        <w:ind w:left="1074" w:hanging="360"/>
      </w:pPr>
      <w:rPr>
        <w:rFonts w:ascii="Calibri" w:eastAsia="Times New Roman" w:hAnsi="Calibri" w:cs="Times New Roman" w:hint="default"/>
      </w:rPr>
    </w:lvl>
    <w:lvl w:ilvl="1" w:tplc="04270003" w:tentative="1">
      <w:start w:val="1"/>
      <w:numFmt w:val="bullet"/>
      <w:lvlText w:val="o"/>
      <w:lvlJc w:val="left"/>
      <w:pPr>
        <w:ind w:left="1794" w:hanging="360"/>
      </w:pPr>
      <w:rPr>
        <w:rFonts w:ascii="Courier New" w:hAnsi="Courier New" w:cs="Courier New" w:hint="default"/>
      </w:rPr>
    </w:lvl>
    <w:lvl w:ilvl="2" w:tplc="04270005" w:tentative="1">
      <w:start w:val="1"/>
      <w:numFmt w:val="bullet"/>
      <w:lvlText w:val=""/>
      <w:lvlJc w:val="left"/>
      <w:pPr>
        <w:ind w:left="2514" w:hanging="360"/>
      </w:pPr>
      <w:rPr>
        <w:rFonts w:ascii="Wingdings" w:hAnsi="Wingdings" w:hint="default"/>
      </w:rPr>
    </w:lvl>
    <w:lvl w:ilvl="3" w:tplc="04270001" w:tentative="1">
      <w:start w:val="1"/>
      <w:numFmt w:val="bullet"/>
      <w:lvlText w:val=""/>
      <w:lvlJc w:val="left"/>
      <w:pPr>
        <w:ind w:left="3234" w:hanging="360"/>
      </w:pPr>
      <w:rPr>
        <w:rFonts w:ascii="Symbol" w:hAnsi="Symbol" w:hint="default"/>
      </w:rPr>
    </w:lvl>
    <w:lvl w:ilvl="4" w:tplc="04270003" w:tentative="1">
      <w:start w:val="1"/>
      <w:numFmt w:val="bullet"/>
      <w:lvlText w:val="o"/>
      <w:lvlJc w:val="left"/>
      <w:pPr>
        <w:ind w:left="3954" w:hanging="360"/>
      </w:pPr>
      <w:rPr>
        <w:rFonts w:ascii="Courier New" w:hAnsi="Courier New" w:cs="Courier New" w:hint="default"/>
      </w:rPr>
    </w:lvl>
    <w:lvl w:ilvl="5" w:tplc="04270005" w:tentative="1">
      <w:start w:val="1"/>
      <w:numFmt w:val="bullet"/>
      <w:lvlText w:val=""/>
      <w:lvlJc w:val="left"/>
      <w:pPr>
        <w:ind w:left="4674" w:hanging="360"/>
      </w:pPr>
      <w:rPr>
        <w:rFonts w:ascii="Wingdings" w:hAnsi="Wingdings" w:hint="default"/>
      </w:rPr>
    </w:lvl>
    <w:lvl w:ilvl="6" w:tplc="04270001" w:tentative="1">
      <w:start w:val="1"/>
      <w:numFmt w:val="bullet"/>
      <w:lvlText w:val=""/>
      <w:lvlJc w:val="left"/>
      <w:pPr>
        <w:ind w:left="5394" w:hanging="360"/>
      </w:pPr>
      <w:rPr>
        <w:rFonts w:ascii="Symbol" w:hAnsi="Symbol" w:hint="default"/>
      </w:rPr>
    </w:lvl>
    <w:lvl w:ilvl="7" w:tplc="04270003" w:tentative="1">
      <w:start w:val="1"/>
      <w:numFmt w:val="bullet"/>
      <w:lvlText w:val="o"/>
      <w:lvlJc w:val="left"/>
      <w:pPr>
        <w:ind w:left="6114" w:hanging="360"/>
      </w:pPr>
      <w:rPr>
        <w:rFonts w:ascii="Courier New" w:hAnsi="Courier New" w:cs="Courier New" w:hint="default"/>
      </w:rPr>
    </w:lvl>
    <w:lvl w:ilvl="8" w:tplc="04270005" w:tentative="1">
      <w:start w:val="1"/>
      <w:numFmt w:val="bullet"/>
      <w:lvlText w:val=""/>
      <w:lvlJc w:val="left"/>
      <w:pPr>
        <w:ind w:left="6834" w:hanging="360"/>
      </w:pPr>
      <w:rPr>
        <w:rFonts w:ascii="Wingdings" w:hAnsi="Wingdings" w:hint="default"/>
      </w:rPr>
    </w:lvl>
  </w:abstractNum>
  <w:abstractNum w:abstractNumId="52">
    <w:nsid w:val="62E23FC5"/>
    <w:multiLevelType w:val="hybridMultilevel"/>
    <w:tmpl w:val="E8A24158"/>
    <w:lvl w:ilvl="0" w:tplc="C33C62F0">
      <w:start w:val="38"/>
      <w:numFmt w:val="bullet"/>
      <w:lvlText w:val="-"/>
      <w:lvlJc w:val="left"/>
      <w:pPr>
        <w:ind w:left="927" w:hanging="360"/>
      </w:pPr>
      <w:rPr>
        <w:rFonts w:ascii="Calibri" w:eastAsia="Times New Roman"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3">
    <w:nsid w:val="64AA239F"/>
    <w:multiLevelType w:val="hybridMultilevel"/>
    <w:tmpl w:val="A828A1F4"/>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4">
    <w:nsid w:val="65996E98"/>
    <w:multiLevelType w:val="hybridMultilevel"/>
    <w:tmpl w:val="2938CA82"/>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nsid w:val="66826564"/>
    <w:multiLevelType w:val="hybridMultilevel"/>
    <w:tmpl w:val="7032B794"/>
    <w:lvl w:ilvl="0" w:tplc="78A4CD8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nsid w:val="67127D2B"/>
    <w:multiLevelType w:val="hybridMultilevel"/>
    <w:tmpl w:val="494C5C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7">
    <w:nsid w:val="67171D01"/>
    <w:multiLevelType w:val="hybridMultilevel"/>
    <w:tmpl w:val="D3748A56"/>
    <w:lvl w:ilvl="0" w:tplc="53AEC858">
      <w:numFmt w:val="bullet"/>
      <w:lvlText w:val="-"/>
      <w:lvlJc w:val="left"/>
      <w:pPr>
        <w:ind w:left="1080" w:hanging="360"/>
      </w:pPr>
      <w:rPr>
        <w:rFonts w:ascii="Calibri" w:eastAsia="Times New Roman" w:hAnsi="Calibri" w:cs="Calibri" w:hint="default"/>
        <w:b/>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8">
    <w:nsid w:val="67D81D33"/>
    <w:multiLevelType w:val="hybridMultilevel"/>
    <w:tmpl w:val="9E34C394"/>
    <w:lvl w:ilvl="0" w:tplc="7964954A">
      <w:start w:val="2018"/>
      <w:numFmt w:val="bullet"/>
      <w:lvlText w:val="-"/>
      <w:lvlJc w:val="left"/>
      <w:pPr>
        <w:ind w:left="720" w:hanging="360"/>
      </w:pPr>
      <w:rPr>
        <w:rFonts w:ascii="Calibri" w:eastAsia="Times New Roman"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9">
    <w:nsid w:val="69B81215"/>
    <w:multiLevelType w:val="hybridMultilevel"/>
    <w:tmpl w:val="E88A98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0">
    <w:nsid w:val="6F13045C"/>
    <w:multiLevelType w:val="hybridMultilevel"/>
    <w:tmpl w:val="B4DE5BAE"/>
    <w:lvl w:ilvl="0" w:tplc="04270001">
      <w:start w:val="1"/>
      <w:numFmt w:val="bullet"/>
      <w:lvlText w:val=""/>
      <w:lvlJc w:val="left"/>
      <w:pPr>
        <w:ind w:left="1146" w:hanging="360"/>
      </w:pPr>
      <w:rPr>
        <w:rFonts w:ascii="Symbol" w:hAnsi="Symbol" w:hint="default"/>
      </w:rPr>
    </w:lvl>
    <w:lvl w:ilvl="1" w:tplc="04270003">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1">
    <w:nsid w:val="703A34CD"/>
    <w:multiLevelType w:val="hybridMultilevel"/>
    <w:tmpl w:val="860AB454"/>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62">
    <w:nsid w:val="729C1D2F"/>
    <w:multiLevelType w:val="hybridMultilevel"/>
    <w:tmpl w:val="8E5E2366"/>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3">
    <w:nsid w:val="74D276A3"/>
    <w:multiLevelType w:val="hybridMultilevel"/>
    <w:tmpl w:val="4CAE1B30"/>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4">
    <w:nsid w:val="75C318FB"/>
    <w:multiLevelType w:val="hybridMultilevel"/>
    <w:tmpl w:val="1FD6CD10"/>
    <w:lvl w:ilvl="0" w:tplc="0427000F">
      <w:start w:val="1"/>
      <w:numFmt w:val="decimal"/>
      <w:lvlText w:val="%1."/>
      <w:lvlJc w:val="left"/>
      <w:pPr>
        <w:ind w:left="1146" w:hanging="360"/>
      </w:p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5">
    <w:nsid w:val="75E11A5E"/>
    <w:multiLevelType w:val="hybridMultilevel"/>
    <w:tmpl w:val="868C2FE8"/>
    <w:lvl w:ilvl="0" w:tplc="DF24096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6">
    <w:nsid w:val="7A097F16"/>
    <w:multiLevelType w:val="hybridMultilevel"/>
    <w:tmpl w:val="223A818E"/>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7">
    <w:nsid w:val="7B065C3F"/>
    <w:multiLevelType w:val="hybridMultilevel"/>
    <w:tmpl w:val="52527A7A"/>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8">
    <w:nsid w:val="7B147A8D"/>
    <w:multiLevelType w:val="hybridMultilevel"/>
    <w:tmpl w:val="93EA0E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9">
    <w:nsid w:val="7B222AF1"/>
    <w:multiLevelType w:val="hybridMultilevel"/>
    <w:tmpl w:val="57EC749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0">
    <w:nsid w:val="7C726D4D"/>
    <w:multiLevelType w:val="hybridMultilevel"/>
    <w:tmpl w:val="BF582592"/>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71">
    <w:nsid w:val="7C895DED"/>
    <w:multiLevelType w:val="hybridMultilevel"/>
    <w:tmpl w:val="2C422A8E"/>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2">
    <w:nsid w:val="7FCD258D"/>
    <w:multiLevelType w:val="hybridMultilevel"/>
    <w:tmpl w:val="674402A4"/>
    <w:lvl w:ilvl="0" w:tplc="BCACB1E0">
      <w:start w:val="2017"/>
      <w:numFmt w:val="bullet"/>
      <w:lvlText w:val="-"/>
      <w:lvlJc w:val="left"/>
      <w:pPr>
        <w:ind w:left="927" w:hanging="360"/>
      </w:pPr>
      <w:rPr>
        <w:rFonts w:ascii="Calibri" w:eastAsia="Times New Roman" w:hAnsi="Calibri"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num w:numId="1">
    <w:abstractNumId w:val="20"/>
  </w:num>
  <w:num w:numId="2">
    <w:abstractNumId w:val="69"/>
  </w:num>
  <w:num w:numId="3">
    <w:abstractNumId w:val="46"/>
  </w:num>
  <w:num w:numId="4">
    <w:abstractNumId w:val="17"/>
  </w:num>
  <w:num w:numId="5">
    <w:abstractNumId w:val="29"/>
  </w:num>
  <w:num w:numId="6">
    <w:abstractNumId w:val="66"/>
  </w:num>
  <w:num w:numId="7">
    <w:abstractNumId w:val="36"/>
  </w:num>
  <w:num w:numId="8">
    <w:abstractNumId w:val="12"/>
  </w:num>
  <w:num w:numId="9">
    <w:abstractNumId w:val="31"/>
  </w:num>
  <w:num w:numId="10">
    <w:abstractNumId w:val="48"/>
  </w:num>
  <w:num w:numId="11">
    <w:abstractNumId w:val="71"/>
  </w:num>
  <w:num w:numId="12">
    <w:abstractNumId w:val="30"/>
  </w:num>
  <w:num w:numId="13">
    <w:abstractNumId w:val="13"/>
  </w:num>
  <w:num w:numId="14">
    <w:abstractNumId w:val="40"/>
  </w:num>
  <w:num w:numId="15">
    <w:abstractNumId w:val="54"/>
  </w:num>
  <w:num w:numId="16">
    <w:abstractNumId w:val="62"/>
  </w:num>
  <w:num w:numId="17">
    <w:abstractNumId w:val="27"/>
  </w:num>
  <w:num w:numId="18">
    <w:abstractNumId w:val="70"/>
  </w:num>
  <w:num w:numId="19">
    <w:abstractNumId w:val="67"/>
  </w:num>
  <w:num w:numId="20">
    <w:abstractNumId w:val="43"/>
  </w:num>
  <w:num w:numId="21">
    <w:abstractNumId w:val="53"/>
  </w:num>
  <w:num w:numId="22">
    <w:abstractNumId w:val="7"/>
  </w:num>
  <w:num w:numId="23">
    <w:abstractNumId w:val="72"/>
  </w:num>
  <w:num w:numId="24">
    <w:abstractNumId w:val="65"/>
  </w:num>
  <w:num w:numId="25">
    <w:abstractNumId w:val="51"/>
  </w:num>
  <w:num w:numId="26">
    <w:abstractNumId w:val="5"/>
  </w:num>
  <w:num w:numId="27">
    <w:abstractNumId w:val="44"/>
  </w:num>
  <w:num w:numId="28">
    <w:abstractNumId w:val="25"/>
  </w:num>
  <w:num w:numId="29">
    <w:abstractNumId w:val="8"/>
  </w:num>
  <w:num w:numId="30">
    <w:abstractNumId w:val="42"/>
  </w:num>
  <w:num w:numId="31">
    <w:abstractNumId w:val="68"/>
  </w:num>
  <w:num w:numId="32">
    <w:abstractNumId w:val="35"/>
  </w:num>
  <w:num w:numId="33">
    <w:abstractNumId w:val="26"/>
  </w:num>
  <w:num w:numId="34">
    <w:abstractNumId w:val="23"/>
  </w:num>
  <w:num w:numId="35">
    <w:abstractNumId w:val="2"/>
  </w:num>
  <w:num w:numId="36">
    <w:abstractNumId w:val="10"/>
  </w:num>
  <w:num w:numId="37">
    <w:abstractNumId w:val="9"/>
  </w:num>
  <w:num w:numId="38">
    <w:abstractNumId w:val="64"/>
  </w:num>
  <w:num w:numId="39">
    <w:abstractNumId w:val="37"/>
  </w:num>
  <w:num w:numId="40">
    <w:abstractNumId w:val="33"/>
  </w:num>
  <w:num w:numId="41">
    <w:abstractNumId w:val="60"/>
  </w:num>
  <w:num w:numId="42">
    <w:abstractNumId w:val="50"/>
  </w:num>
  <w:num w:numId="43">
    <w:abstractNumId w:val="19"/>
  </w:num>
  <w:num w:numId="44">
    <w:abstractNumId w:val="49"/>
  </w:num>
  <w:num w:numId="45">
    <w:abstractNumId w:val="32"/>
  </w:num>
  <w:num w:numId="46">
    <w:abstractNumId w:val="15"/>
  </w:num>
  <w:num w:numId="47">
    <w:abstractNumId w:val="58"/>
  </w:num>
  <w:num w:numId="48">
    <w:abstractNumId w:val="1"/>
  </w:num>
  <w:num w:numId="49">
    <w:abstractNumId w:val="18"/>
  </w:num>
  <w:num w:numId="50">
    <w:abstractNumId w:val="22"/>
  </w:num>
  <w:num w:numId="51">
    <w:abstractNumId w:val="56"/>
  </w:num>
  <w:num w:numId="52">
    <w:abstractNumId w:val="55"/>
  </w:num>
  <w:num w:numId="53">
    <w:abstractNumId w:val="21"/>
  </w:num>
  <w:num w:numId="54">
    <w:abstractNumId w:val="61"/>
  </w:num>
  <w:num w:numId="55">
    <w:abstractNumId w:val="11"/>
  </w:num>
  <w:num w:numId="56">
    <w:abstractNumId w:val="47"/>
  </w:num>
  <w:num w:numId="57">
    <w:abstractNumId w:val="63"/>
  </w:num>
  <w:num w:numId="58">
    <w:abstractNumId w:val="34"/>
  </w:num>
  <w:num w:numId="59">
    <w:abstractNumId w:val="52"/>
  </w:num>
  <w:num w:numId="60">
    <w:abstractNumId w:val="28"/>
  </w:num>
  <w:num w:numId="61">
    <w:abstractNumId w:val="3"/>
  </w:num>
  <w:num w:numId="62">
    <w:abstractNumId w:val="59"/>
  </w:num>
  <w:num w:numId="63">
    <w:abstractNumId w:val="16"/>
  </w:num>
  <w:num w:numId="64">
    <w:abstractNumId w:val="41"/>
  </w:num>
  <w:num w:numId="65">
    <w:abstractNumId w:val="39"/>
  </w:num>
  <w:num w:numId="66">
    <w:abstractNumId w:val="4"/>
  </w:num>
  <w:num w:numId="67">
    <w:abstractNumId w:val="0"/>
  </w:num>
  <w:num w:numId="68">
    <w:abstractNumId w:val="6"/>
  </w:num>
  <w:num w:numId="69">
    <w:abstractNumId w:val="45"/>
  </w:num>
  <w:num w:numId="70">
    <w:abstractNumId w:val="14"/>
  </w:num>
  <w:num w:numId="71">
    <w:abstractNumId w:val="24"/>
  </w:num>
  <w:num w:numId="72">
    <w:abstractNumId w:val="38"/>
  </w:num>
  <w:num w:numId="73">
    <w:abstractNumId w:val="57"/>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1296"/>
  <w:hyphenationZone w:val="396"/>
  <w:characterSpacingControl w:val="doNotCompress"/>
  <w:hdrShapeDefaults>
    <o:shapedefaults v:ext="edit" spidmax="1699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A36"/>
    <w:rsid w:val="00000A8B"/>
    <w:rsid w:val="00001905"/>
    <w:rsid w:val="0000192D"/>
    <w:rsid w:val="00001A53"/>
    <w:rsid w:val="0000262B"/>
    <w:rsid w:val="000038D6"/>
    <w:rsid w:val="00004454"/>
    <w:rsid w:val="000058CC"/>
    <w:rsid w:val="0000592B"/>
    <w:rsid w:val="00005D87"/>
    <w:rsid w:val="000061AD"/>
    <w:rsid w:val="0000643A"/>
    <w:rsid w:val="00007F90"/>
    <w:rsid w:val="000102C5"/>
    <w:rsid w:val="00010C7F"/>
    <w:rsid w:val="00010F32"/>
    <w:rsid w:val="00011121"/>
    <w:rsid w:val="0001113C"/>
    <w:rsid w:val="00011729"/>
    <w:rsid w:val="0001197F"/>
    <w:rsid w:val="0001198C"/>
    <w:rsid w:val="00011E10"/>
    <w:rsid w:val="00012338"/>
    <w:rsid w:val="0001242D"/>
    <w:rsid w:val="00012D02"/>
    <w:rsid w:val="00013643"/>
    <w:rsid w:val="0001398C"/>
    <w:rsid w:val="0001517B"/>
    <w:rsid w:val="000153B4"/>
    <w:rsid w:val="00015BAD"/>
    <w:rsid w:val="00016210"/>
    <w:rsid w:val="00016996"/>
    <w:rsid w:val="0001708F"/>
    <w:rsid w:val="0001737F"/>
    <w:rsid w:val="000175D7"/>
    <w:rsid w:val="0001784F"/>
    <w:rsid w:val="00017AE5"/>
    <w:rsid w:val="00020BAB"/>
    <w:rsid w:val="00020BE0"/>
    <w:rsid w:val="00020D31"/>
    <w:rsid w:val="00021951"/>
    <w:rsid w:val="00022531"/>
    <w:rsid w:val="000226EE"/>
    <w:rsid w:val="00022718"/>
    <w:rsid w:val="00022B97"/>
    <w:rsid w:val="0002379C"/>
    <w:rsid w:val="00023E5E"/>
    <w:rsid w:val="00024153"/>
    <w:rsid w:val="0002426C"/>
    <w:rsid w:val="000245F8"/>
    <w:rsid w:val="00024CF4"/>
    <w:rsid w:val="0002540D"/>
    <w:rsid w:val="00025633"/>
    <w:rsid w:val="00025986"/>
    <w:rsid w:val="00026181"/>
    <w:rsid w:val="00026605"/>
    <w:rsid w:val="00026979"/>
    <w:rsid w:val="00026DCF"/>
    <w:rsid w:val="00026E21"/>
    <w:rsid w:val="000270EE"/>
    <w:rsid w:val="000277AC"/>
    <w:rsid w:val="00027B58"/>
    <w:rsid w:val="00027DC5"/>
    <w:rsid w:val="00030B2B"/>
    <w:rsid w:val="00030E87"/>
    <w:rsid w:val="000319F9"/>
    <w:rsid w:val="00031E0B"/>
    <w:rsid w:val="000326F4"/>
    <w:rsid w:val="00033060"/>
    <w:rsid w:val="00033398"/>
    <w:rsid w:val="00033C1B"/>
    <w:rsid w:val="0003408E"/>
    <w:rsid w:val="0003478D"/>
    <w:rsid w:val="00034A12"/>
    <w:rsid w:val="00034BB3"/>
    <w:rsid w:val="00035123"/>
    <w:rsid w:val="0003583B"/>
    <w:rsid w:val="00035C9C"/>
    <w:rsid w:val="00035E4D"/>
    <w:rsid w:val="00036131"/>
    <w:rsid w:val="000361F4"/>
    <w:rsid w:val="000372DD"/>
    <w:rsid w:val="00037E5E"/>
    <w:rsid w:val="000406F5"/>
    <w:rsid w:val="000433B6"/>
    <w:rsid w:val="000435B9"/>
    <w:rsid w:val="00044E0F"/>
    <w:rsid w:val="00044F50"/>
    <w:rsid w:val="00045D29"/>
    <w:rsid w:val="00046004"/>
    <w:rsid w:val="0004611B"/>
    <w:rsid w:val="0004665E"/>
    <w:rsid w:val="000466F5"/>
    <w:rsid w:val="0004739D"/>
    <w:rsid w:val="0004758C"/>
    <w:rsid w:val="000500A6"/>
    <w:rsid w:val="00050A45"/>
    <w:rsid w:val="00050C53"/>
    <w:rsid w:val="000514FF"/>
    <w:rsid w:val="00051619"/>
    <w:rsid w:val="00051BE5"/>
    <w:rsid w:val="00051CA2"/>
    <w:rsid w:val="00052893"/>
    <w:rsid w:val="00053130"/>
    <w:rsid w:val="0005332A"/>
    <w:rsid w:val="000534E5"/>
    <w:rsid w:val="00053534"/>
    <w:rsid w:val="00053645"/>
    <w:rsid w:val="0005370A"/>
    <w:rsid w:val="000540BD"/>
    <w:rsid w:val="00054913"/>
    <w:rsid w:val="00054C4D"/>
    <w:rsid w:val="000562E8"/>
    <w:rsid w:val="000564EB"/>
    <w:rsid w:val="00056557"/>
    <w:rsid w:val="00056949"/>
    <w:rsid w:val="00056DC0"/>
    <w:rsid w:val="00057D22"/>
    <w:rsid w:val="00060F38"/>
    <w:rsid w:val="00061C76"/>
    <w:rsid w:val="0006214E"/>
    <w:rsid w:val="000628F2"/>
    <w:rsid w:val="00063EF4"/>
    <w:rsid w:val="00064037"/>
    <w:rsid w:val="000648A5"/>
    <w:rsid w:val="00065231"/>
    <w:rsid w:val="000652F9"/>
    <w:rsid w:val="0006540D"/>
    <w:rsid w:val="00065EBA"/>
    <w:rsid w:val="00066926"/>
    <w:rsid w:val="00066F8D"/>
    <w:rsid w:val="000672AC"/>
    <w:rsid w:val="0007040F"/>
    <w:rsid w:val="000704F3"/>
    <w:rsid w:val="00070DE6"/>
    <w:rsid w:val="00071373"/>
    <w:rsid w:val="000719D4"/>
    <w:rsid w:val="000722AF"/>
    <w:rsid w:val="00072883"/>
    <w:rsid w:val="00072EA2"/>
    <w:rsid w:val="00073427"/>
    <w:rsid w:val="00073432"/>
    <w:rsid w:val="00073F49"/>
    <w:rsid w:val="0007415C"/>
    <w:rsid w:val="000758EC"/>
    <w:rsid w:val="00076C3E"/>
    <w:rsid w:val="00077B70"/>
    <w:rsid w:val="00080B81"/>
    <w:rsid w:val="00080EFF"/>
    <w:rsid w:val="000813C4"/>
    <w:rsid w:val="00081B8D"/>
    <w:rsid w:val="00082E20"/>
    <w:rsid w:val="00083426"/>
    <w:rsid w:val="00083900"/>
    <w:rsid w:val="00084269"/>
    <w:rsid w:val="0008477E"/>
    <w:rsid w:val="00084B53"/>
    <w:rsid w:val="00084F7F"/>
    <w:rsid w:val="00085A1E"/>
    <w:rsid w:val="00085CCF"/>
    <w:rsid w:val="0008601D"/>
    <w:rsid w:val="00086AA8"/>
    <w:rsid w:val="00086CF9"/>
    <w:rsid w:val="00087DEF"/>
    <w:rsid w:val="0009043F"/>
    <w:rsid w:val="00090C5D"/>
    <w:rsid w:val="00091124"/>
    <w:rsid w:val="00091716"/>
    <w:rsid w:val="00091A08"/>
    <w:rsid w:val="00091D81"/>
    <w:rsid w:val="000924FC"/>
    <w:rsid w:val="00092B25"/>
    <w:rsid w:val="00092E74"/>
    <w:rsid w:val="000930DD"/>
    <w:rsid w:val="00093918"/>
    <w:rsid w:val="000939BB"/>
    <w:rsid w:val="00093FBE"/>
    <w:rsid w:val="000947E8"/>
    <w:rsid w:val="00094ABF"/>
    <w:rsid w:val="00095032"/>
    <w:rsid w:val="000950EE"/>
    <w:rsid w:val="0009510C"/>
    <w:rsid w:val="00095E81"/>
    <w:rsid w:val="00097180"/>
    <w:rsid w:val="00097652"/>
    <w:rsid w:val="00097D5D"/>
    <w:rsid w:val="000A0269"/>
    <w:rsid w:val="000A04A2"/>
    <w:rsid w:val="000A0541"/>
    <w:rsid w:val="000A0917"/>
    <w:rsid w:val="000A0C4D"/>
    <w:rsid w:val="000A0E2E"/>
    <w:rsid w:val="000A17E4"/>
    <w:rsid w:val="000A1C84"/>
    <w:rsid w:val="000A221E"/>
    <w:rsid w:val="000A23FE"/>
    <w:rsid w:val="000A2415"/>
    <w:rsid w:val="000A2CCA"/>
    <w:rsid w:val="000A3260"/>
    <w:rsid w:val="000A335F"/>
    <w:rsid w:val="000A336F"/>
    <w:rsid w:val="000A3A87"/>
    <w:rsid w:val="000A4A70"/>
    <w:rsid w:val="000A563F"/>
    <w:rsid w:val="000A5838"/>
    <w:rsid w:val="000A5D83"/>
    <w:rsid w:val="000A68B8"/>
    <w:rsid w:val="000A71BF"/>
    <w:rsid w:val="000A788A"/>
    <w:rsid w:val="000A7929"/>
    <w:rsid w:val="000B00FE"/>
    <w:rsid w:val="000B0356"/>
    <w:rsid w:val="000B0A89"/>
    <w:rsid w:val="000B0E1B"/>
    <w:rsid w:val="000B20A1"/>
    <w:rsid w:val="000B2202"/>
    <w:rsid w:val="000B2663"/>
    <w:rsid w:val="000B285E"/>
    <w:rsid w:val="000B2B31"/>
    <w:rsid w:val="000B3A28"/>
    <w:rsid w:val="000B3E6F"/>
    <w:rsid w:val="000B5082"/>
    <w:rsid w:val="000B549E"/>
    <w:rsid w:val="000B59A2"/>
    <w:rsid w:val="000B6072"/>
    <w:rsid w:val="000B6579"/>
    <w:rsid w:val="000B66F2"/>
    <w:rsid w:val="000B695A"/>
    <w:rsid w:val="000B7133"/>
    <w:rsid w:val="000B7F6C"/>
    <w:rsid w:val="000C00AF"/>
    <w:rsid w:val="000C0722"/>
    <w:rsid w:val="000C0CDE"/>
    <w:rsid w:val="000C0EE7"/>
    <w:rsid w:val="000C1001"/>
    <w:rsid w:val="000C1074"/>
    <w:rsid w:val="000C34C8"/>
    <w:rsid w:val="000C3B29"/>
    <w:rsid w:val="000C3F66"/>
    <w:rsid w:val="000C45F4"/>
    <w:rsid w:val="000C4C16"/>
    <w:rsid w:val="000C51D2"/>
    <w:rsid w:val="000C558A"/>
    <w:rsid w:val="000C58BB"/>
    <w:rsid w:val="000C593A"/>
    <w:rsid w:val="000C60E5"/>
    <w:rsid w:val="000C61CC"/>
    <w:rsid w:val="000C62AE"/>
    <w:rsid w:val="000C7211"/>
    <w:rsid w:val="000C7298"/>
    <w:rsid w:val="000D0954"/>
    <w:rsid w:val="000D1308"/>
    <w:rsid w:val="000D13F9"/>
    <w:rsid w:val="000D19A0"/>
    <w:rsid w:val="000D1A53"/>
    <w:rsid w:val="000D1AA6"/>
    <w:rsid w:val="000D1D56"/>
    <w:rsid w:val="000D1D7C"/>
    <w:rsid w:val="000D209E"/>
    <w:rsid w:val="000D3113"/>
    <w:rsid w:val="000D31EC"/>
    <w:rsid w:val="000D3F84"/>
    <w:rsid w:val="000D3FD5"/>
    <w:rsid w:val="000D40CB"/>
    <w:rsid w:val="000D43A9"/>
    <w:rsid w:val="000D45E0"/>
    <w:rsid w:val="000D4928"/>
    <w:rsid w:val="000D4CEA"/>
    <w:rsid w:val="000D4DF9"/>
    <w:rsid w:val="000D4E4B"/>
    <w:rsid w:val="000D6638"/>
    <w:rsid w:val="000D68A8"/>
    <w:rsid w:val="000D691B"/>
    <w:rsid w:val="000D6BBE"/>
    <w:rsid w:val="000D7106"/>
    <w:rsid w:val="000D7D76"/>
    <w:rsid w:val="000E20AC"/>
    <w:rsid w:val="000E2D43"/>
    <w:rsid w:val="000E3183"/>
    <w:rsid w:val="000E3377"/>
    <w:rsid w:val="000E4034"/>
    <w:rsid w:val="000E531D"/>
    <w:rsid w:val="000E58EE"/>
    <w:rsid w:val="000E5A3A"/>
    <w:rsid w:val="000E5DB0"/>
    <w:rsid w:val="000E6459"/>
    <w:rsid w:val="000E6900"/>
    <w:rsid w:val="000E6F6A"/>
    <w:rsid w:val="000E78EE"/>
    <w:rsid w:val="000E78F3"/>
    <w:rsid w:val="000E7D08"/>
    <w:rsid w:val="000E7F29"/>
    <w:rsid w:val="000F090C"/>
    <w:rsid w:val="000F0E27"/>
    <w:rsid w:val="000F2185"/>
    <w:rsid w:val="000F22B7"/>
    <w:rsid w:val="000F2C09"/>
    <w:rsid w:val="000F34CA"/>
    <w:rsid w:val="000F3F41"/>
    <w:rsid w:val="000F40E3"/>
    <w:rsid w:val="000F4230"/>
    <w:rsid w:val="000F4483"/>
    <w:rsid w:val="000F46ED"/>
    <w:rsid w:val="000F5159"/>
    <w:rsid w:val="000F6A28"/>
    <w:rsid w:val="000F6A97"/>
    <w:rsid w:val="000F6C44"/>
    <w:rsid w:val="000F6D24"/>
    <w:rsid w:val="000F6F26"/>
    <w:rsid w:val="000F7101"/>
    <w:rsid w:val="000F750E"/>
    <w:rsid w:val="000F75A7"/>
    <w:rsid w:val="001007A9"/>
    <w:rsid w:val="00100C9D"/>
    <w:rsid w:val="00100F76"/>
    <w:rsid w:val="0010181F"/>
    <w:rsid w:val="0010258D"/>
    <w:rsid w:val="001026FD"/>
    <w:rsid w:val="00102707"/>
    <w:rsid w:val="00102DE8"/>
    <w:rsid w:val="00102E65"/>
    <w:rsid w:val="00102FF0"/>
    <w:rsid w:val="00103021"/>
    <w:rsid w:val="00103ACF"/>
    <w:rsid w:val="0010403D"/>
    <w:rsid w:val="0010470F"/>
    <w:rsid w:val="00104CB5"/>
    <w:rsid w:val="00105616"/>
    <w:rsid w:val="00106330"/>
    <w:rsid w:val="00106792"/>
    <w:rsid w:val="0010694A"/>
    <w:rsid w:val="001074AE"/>
    <w:rsid w:val="00107D56"/>
    <w:rsid w:val="00110664"/>
    <w:rsid w:val="0011075C"/>
    <w:rsid w:val="00110AD0"/>
    <w:rsid w:val="00110F88"/>
    <w:rsid w:val="00110FD8"/>
    <w:rsid w:val="00111FAD"/>
    <w:rsid w:val="00112326"/>
    <w:rsid w:val="00112979"/>
    <w:rsid w:val="00112FA7"/>
    <w:rsid w:val="00113171"/>
    <w:rsid w:val="0011343C"/>
    <w:rsid w:val="0011385C"/>
    <w:rsid w:val="00113CD6"/>
    <w:rsid w:val="00113DB8"/>
    <w:rsid w:val="00113F16"/>
    <w:rsid w:val="001149EE"/>
    <w:rsid w:val="0011505C"/>
    <w:rsid w:val="001154C4"/>
    <w:rsid w:val="00115610"/>
    <w:rsid w:val="001159B4"/>
    <w:rsid w:val="00115EFF"/>
    <w:rsid w:val="00117707"/>
    <w:rsid w:val="001179A8"/>
    <w:rsid w:val="00117BBF"/>
    <w:rsid w:val="0012087B"/>
    <w:rsid w:val="00120A6E"/>
    <w:rsid w:val="00120F5A"/>
    <w:rsid w:val="00120F6E"/>
    <w:rsid w:val="00121504"/>
    <w:rsid w:val="00121F18"/>
    <w:rsid w:val="001222E3"/>
    <w:rsid w:val="00122388"/>
    <w:rsid w:val="0012319B"/>
    <w:rsid w:val="00123380"/>
    <w:rsid w:val="00123C75"/>
    <w:rsid w:val="0012414F"/>
    <w:rsid w:val="00124292"/>
    <w:rsid w:val="00124404"/>
    <w:rsid w:val="00124E34"/>
    <w:rsid w:val="00124F7F"/>
    <w:rsid w:val="00125045"/>
    <w:rsid w:val="00125571"/>
    <w:rsid w:val="001259A4"/>
    <w:rsid w:val="00125D21"/>
    <w:rsid w:val="00126130"/>
    <w:rsid w:val="00126CF4"/>
    <w:rsid w:val="00126D4B"/>
    <w:rsid w:val="0013060F"/>
    <w:rsid w:val="00130924"/>
    <w:rsid w:val="001325CE"/>
    <w:rsid w:val="001326D9"/>
    <w:rsid w:val="00132EE5"/>
    <w:rsid w:val="001333FD"/>
    <w:rsid w:val="00133FBD"/>
    <w:rsid w:val="001343CE"/>
    <w:rsid w:val="00134509"/>
    <w:rsid w:val="0013455D"/>
    <w:rsid w:val="00134652"/>
    <w:rsid w:val="00134A9D"/>
    <w:rsid w:val="00134D2C"/>
    <w:rsid w:val="00135F30"/>
    <w:rsid w:val="0013679D"/>
    <w:rsid w:val="0013704D"/>
    <w:rsid w:val="00137994"/>
    <w:rsid w:val="001400E4"/>
    <w:rsid w:val="001409D4"/>
    <w:rsid w:val="00140EB5"/>
    <w:rsid w:val="00141359"/>
    <w:rsid w:val="00141755"/>
    <w:rsid w:val="001419F4"/>
    <w:rsid w:val="0014204A"/>
    <w:rsid w:val="0014307F"/>
    <w:rsid w:val="0014330F"/>
    <w:rsid w:val="00143839"/>
    <w:rsid w:val="00143ACE"/>
    <w:rsid w:val="001448F5"/>
    <w:rsid w:val="00144B76"/>
    <w:rsid w:val="00144C56"/>
    <w:rsid w:val="00145365"/>
    <w:rsid w:val="0014577B"/>
    <w:rsid w:val="0014597B"/>
    <w:rsid w:val="00145E6F"/>
    <w:rsid w:val="00146642"/>
    <w:rsid w:val="00146EED"/>
    <w:rsid w:val="00147884"/>
    <w:rsid w:val="0014795B"/>
    <w:rsid w:val="00147DCD"/>
    <w:rsid w:val="0015005B"/>
    <w:rsid w:val="001508A6"/>
    <w:rsid w:val="00150BA3"/>
    <w:rsid w:val="00150C17"/>
    <w:rsid w:val="001515A3"/>
    <w:rsid w:val="001515AC"/>
    <w:rsid w:val="001525C4"/>
    <w:rsid w:val="001526C0"/>
    <w:rsid w:val="001529E2"/>
    <w:rsid w:val="0015338C"/>
    <w:rsid w:val="0015343C"/>
    <w:rsid w:val="001539CD"/>
    <w:rsid w:val="00154700"/>
    <w:rsid w:val="001550C6"/>
    <w:rsid w:val="001554A6"/>
    <w:rsid w:val="00155832"/>
    <w:rsid w:val="00155C15"/>
    <w:rsid w:val="00156342"/>
    <w:rsid w:val="00156662"/>
    <w:rsid w:val="00156832"/>
    <w:rsid w:val="00156A0C"/>
    <w:rsid w:val="00156DD9"/>
    <w:rsid w:val="001574D0"/>
    <w:rsid w:val="00160412"/>
    <w:rsid w:val="00160494"/>
    <w:rsid w:val="00160D9B"/>
    <w:rsid w:val="0016138C"/>
    <w:rsid w:val="001617B3"/>
    <w:rsid w:val="00161843"/>
    <w:rsid w:val="00162012"/>
    <w:rsid w:val="001622F6"/>
    <w:rsid w:val="001624C7"/>
    <w:rsid w:val="00162867"/>
    <w:rsid w:val="00162A74"/>
    <w:rsid w:val="00162BAD"/>
    <w:rsid w:val="001638D4"/>
    <w:rsid w:val="001639F6"/>
    <w:rsid w:val="00163CC0"/>
    <w:rsid w:val="00164BCB"/>
    <w:rsid w:val="00164DAF"/>
    <w:rsid w:val="0016561A"/>
    <w:rsid w:val="00165BAD"/>
    <w:rsid w:val="00166266"/>
    <w:rsid w:val="001664F0"/>
    <w:rsid w:val="00166C68"/>
    <w:rsid w:val="001673DE"/>
    <w:rsid w:val="0016744A"/>
    <w:rsid w:val="001677B0"/>
    <w:rsid w:val="00170590"/>
    <w:rsid w:val="0017075D"/>
    <w:rsid w:val="001711BE"/>
    <w:rsid w:val="00171769"/>
    <w:rsid w:val="001717B0"/>
    <w:rsid w:val="00171C63"/>
    <w:rsid w:val="0017241C"/>
    <w:rsid w:val="001727E6"/>
    <w:rsid w:val="0017297C"/>
    <w:rsid w:val="00172E0E"/>
    <w:rsid w:val="00174A8C"/>
    <w:rsid w:val="00174CA1"/>
    <w:rsid w:val="00174D8E"/>
    <w:rsid w:val="00175FF2"/>
    <w:rsid w:val="001761B3"/>
    <w:rsid w:val="001762F6"/>
    <w:rsid w:val="00176970"/>
    <w:rsid w:val="00176A64"/>
    <w:rsid w:val="00176AB9"/>
    <w:rsid w:val="00176B4A"/>
    <w:rsid w:val="00176C75"/>
    <w:rsid w:val="00176D2A"/>
    <w:rsid w:val="0017737D"/>
    <w:rsid w:val="00180117"/>
    <w:rsid w:val="001803D3"/>
    <w:rsid w:val="00180694"/>
    <w:rsid w:val="00180CB0"/>
    <w:rsid w:val="00181662"/>
    <w:rsid w:val="001818E0"/>
    <w:rsid w:val="001821E6"/>
    <w:rsid w:val="0018247A"/>
    <w:rsid w:val="001832C0"/>
    <w:rsid w:val="0018397A"/>
    <w:rsid w:val="0018406B"/>
    <w:rsid w:val="0018477F"/>
    <w:rsid w:val="00185654"/>
    <w:rsid w:val="00185F34"/>
    <w:rsid w:val="0018613E"/>
    <w:rsid w:val="0018660C"/>
    <w:rsid w:val="001868F2"/>
    <w:rsid w:val="00187028"/>
    <w:rsid w:val="00187059"/>
    <w:rsid w:val="001871EE"/>
    <w:rsid w:val="00187496"/>
    <w:rsid w:val="001876D9"/>
    <w:rsid w:val="00187C30"/>
    <w:rsid w:val="001909EC"/>
    <w:rsid w:val="00191B70"/>
    <w:rsid w:val="00191CB1"/>
    <w:rsid w:val="00192BEC"/>
    <w:rsid w:val="00193AEC"/>
    <w:rsid w:val="00193C82"/>
    <w:rsid w:val="00194115"/>
    <w:rsid w:val="00196426"/>
    <w:rsid w:val="00197829"/>
    <w:rsid w:val="00197952"/>
    <w:rsid w:val="00197C63"/>
    <w:rsid w:val="001A06A7"/>
    <w:rsid w:val="001A07C5"/>
    <w:rsid w:val="001A1048"/>
    <w:rsid w:val="001A19A8"/>
    <w:rsid w:val="001A2101"/>
    <w:rsid w:val="001A2317"/>
    <w:rsid w:val="001A23B9"/>
    <w:rsid w:val="001A27F2"/>
    <w:rsid w:val="001A2B7B"/>
    <w:rsid w:val="001A301D"/>
    <w:rsid w:val="001A30F7"/>
    <w:rsid w:val="001A3418"/>
    <w:rsid w:val="001A365A"/>
    <w:rsid w:val="001A48EC"/>
    <w:rsid w:val="001A4D29"/>
    <w:rsid w:val="001A4E4D"/>
    <w:rsid w:val="001A51A9"/>
    <w:rsid w:val="001A534B"/>
    <w:rsid w:val="001A6299"/>
    <w:rsid w:val="001A63D4"/>
    <w:rsid w:val="001A7051"/>
    <w:rsid w:val="001A7174"/>
    <w:rsid w:val="001B0BE9"/>
    <w:rsid w:val="001B10D8"/>
    <w:rsid w:val="001B11A6"/>
    <w:rsid w:val="001B1456"/>
    <w:rsid w:val="001B1655"/>
    <w:rsid w:val="001B1A7C"/>
    <w:rsid w:val="001B1D69"/>
    <w:rsid w:val="001B245A"/>
    <w:rsid w:val="001B26EA"/>
    <w:rsid w:val="001B2A46"/>
    <w:rsid w:val="001B3DDC"/>
    <w:rsid w:val="001B3F92"/>
    <w:rsid w:val="001B4313"/>
    <w:rsid w:val="001B4771"/>
    <w:rsid w:val="001B4A8D"/>
    <w:rsid w:val="001B4D96"/>
    <w:rsid w:val="001B4EAA"/>
    <w:rsid w:val="001B60BE"/>
    <w:rsid w:val="001B61CB"/>
    <w:rsid w:val="001B62DA"/>
    <w:rsid w:val="001B643B"/>
    <w:rsid w:val="001B66B4"/>
    <w:rsid w:val="001B68D6"/>
    <w:rsid w:val="001B70E9"/>
    <w:rsid w:val="001C03DD"/>
    <w:rsid w:val="001C0904"/>
    <w:rsid w:val="001C0D00"/>
    <w:rsid w:val="001C147F"/>
    <w:rsid w:val="001C15CE"/>
    <w:rsid w:val="001C1872"/>
    <w:rsid w:val="001C2944"/>
    <w:rsid w:val="001C2F3C"/>
    <w:rsid w:val="001C383D"/>
    <w:rsid w:val="001C4325"/>
    <w:rsid w:val="001C4977"/>
    <w:rsid w:val="001C4A10"/>
    <w:rsid w:val="001C4C98"/>
    <w:rsid w:val="001C4F2F"/>
    <w:rsid w:val="001C52A0"/>
    <w:rsid w:val="001C52A1"/>
    <w:rsid w:val="001C554F"/>
    <w:rsid w:val="001C5C85"/>
    <w:rsid w:val="001C6B5A"/>
    <w:rsid w:val="001C7605"/>
    <w:rsid w:val="001D0325"/>
    <w:rsid w:val="001D080D"/>
    <w:rsid w:val="001D0859"/>
    <w:rsid w:val="001D0EC0"/>
    <w:rsid w:val="001D0F90"/>
    <w:rsid w:val="001D2187"/>
    <w:rsid w:val="001D3045"/>
    <w:rsid w:val="001D3241"/>
    <w:rsid w:val="001D3246"/>
    <w:rsid w:val="001D3B23"/>
    <w:rsid w:val="001D45D6"/>
    <w:rsid w:val="001D495D"/>
    <w:rsid w:val="001D4F93"/>
    <w:rsid w:val="001D52BA"/>
    <w:rsid w:val="001D572F"/>
    <w:rsid w:val="001D5EA8"/>
    <w:rsid w:val="001D5FD3"/>
    <w:rsid w:val="001D679F"/>
    <w:rsid w:val="001D70E5"/>
    <w:rsid w:val="001D7532"/>
    <w:rsid w:val="001D757F"/>
    <w:rsid w:val="001D7D43"/>
    <w:rsid w:val="001E0188"/>
    <w:rsid w:val="001E034E"/>
    <w:rsid w:val="001E0E9B"/>
    <w:rsid w:val="001E1465"/>
    <w:rsid w:val="001E1E22"/>
    <w:rsid w:val="001E201D"/>
    <w:rsid w:val="001E27E2"/>
    <w:rsid w:val="001E2A30"/>
    <w:rsid w:val="001E35E9"/>
    <w:rsid w:val="001E3784"/>
    <w:rsid w:val="001E44F9"/>
    <w:rsid w:val="001E46E9"/>
    <w:rsid w:val="001E48D5"/>
    <w:rsid w:val="001E4ACE"/>
    <w:rsid w:val="001E53AA"/>
    <w:rsid w:val="001E5415"/>
    <w:rsid w:val="001E5468"/>
    <w:rsid w:val="001E5FDE"/>
    <w:rsid w:val="001E6672"/>
    <w:rsid w:val="001E66F8"/>
    <w:rsid w:val="001E6876"/>
    <w:rsid w:val="001E716C"/>
    <w:rsid w:val="001E7F51"/>
    <w:rsid w:val="001F0005"/>
    <w:rsid w:val="001F0260"/>
    <w:rsid w:val="001F06FB"/>
    <w:rsid w:val="001F11B0"/>
    <w:rsid w:val="001F1302"/>
    <w:rsid w:val="001F211F"/>
    <w:rsid w:val="001F215A"/>
    <w:rsid w:val="001F241F"/>
    <w:rsid w:val="001F2585"/>
    <w:rsid w:val="001F2C3B"/>
    <w:rsid w:val="001F2F5E"/>
    <w:rsid w:val="001F3196"/>
    <w:rsid w:val="001F32FF"/>
    <w:rsid w:val="001F345D"/>
    <w:rsid w:val="001F3594"/>
    <w:rsid w:val="001F36FD"/>
    <w:rsid w:val="001F4269"/>
    <w:rsid w:val="001F48E5"/>
    <w:rsid w:val="001F52AB"/>
    <w:rsid w:val="001F5670"/>
    <w:rsid w:val="001F71CA"/>
    <w:rsid w:val="001F745A"/>
    <w:rsid w:val="001F798F"/>
    <w:rsid w:val="001F7AFD"/>
    <w:rsid w:val="001F7C7A"/>
    <w:rsid w:val="001F7C83"/>
    <w:rsid w:val="001F7F6F"/>
    <w:rsid w:val="00200324"/>
    <w:rsid w:val="002004D0"/>
    <w:rsid w:val="00200B79"/>
    <w:rsid w:val="00200CF0"/>
    <w:rsid w:val="00200E31"/>
    <w:rsid w:val="002011B7"/>
    <w:rsid w:val="0020179B"/>
    <w:rsid w:val="00201E6B"/>
    <w:rsid w:val="0020212F"/>
    <w:rsid w:val="00202925"/>
    <w:rsid w:val="00202CA1"/>
    <w:rsid w:val="0020402F"/>
    <w:rsid w:val="002040B5"/>
    <w:rsid w:val="00205638"/>
    <w:rsid w:val="00207F4E"/>
    <w:rsid w:val="00207F62"/>
    <w:rsid w:val="00210639"/>
    <w:rsid w:val="00210876"/>
    <w:rsid w:val="00210B4D"/>
    <w:rsid w:val="00211C85"/>
    <w:rsid w:val="00211C98"/>
    <w:rsid w:val="00212068"/>
    <w:rsid w:val="0021213A"/>
    <w:rsid w:val="002121E2"/>
    <w:rsid w:val="002122CC"/>
    <w:rsid w:val="00212C9D"/>
    <w:rsid w:val="00212E55"/>
    <w:rsid w:val="00212E66"/>
    <w:rsid w:val="00213176"/>
    <w:rsid w:val="002132B0"/>
    <w:rsid w:val="0021339C"/>
    <w:rsid w:val="00213F14"/>
    <w:rsid w:val="00214032"/>
    <w:rsid w:val="002147D9"/>
    <w:rsid w:val="0021483E"/>
    <w:rsid w:val="002148A2"/>
    <w:rsid w:val="002157D9"/>
    <w:rsid w:val="00215B56"/>
    <w:rsid w:val="00215B8B"/>
    <w:rsid w:val="0021694B"/>
    <w:rsid w:val="0021699C"/>
    <w:rsid w:val="00216D3C"/>
    <w:rsid w:val="00217253"/>
    <w:rsid w:val="0021773D"/>
    <w:rsid w:val="00217C67"/>
    <w:rsid w:val="00217CE3"/>
    <w:rsid w:val="00217E7C"/>
    <w:rsid w:val="00220C24"/>
    <w:rsid w:val="00221E5F"/>
    <w:rsid w:val="0022377F"/>
    <w:rsid w:val="002241CB"/>
    <w:rsid w:val="002246DF"/>
    <w:rsid w:val="002246FA"/>
    <w:rsid w:val="00224955"/>
    <w:rsid w:val="00224B58"/>
    <w:rsid w:val="002250E1"/>
    <w:rsid w:val="0022547C"/>
    <w:rsid w:val="002254A0"/>
    <w:rsid w:val="002255C3"/>
    <w:rsid w:val="0022571A"/>
    <w:rsid w:val="002257F8"/>
    <w:rsid w:val="00225CA0"/>
    <w:rsid w:val="00226791"/>
    <w:rsid w:val="0022746C"/>
    <w:rsid w:val="00227DB8"/>
    <w:rsid w:val="0023024D"/>
    <w:rsid w:val="002302BC"/>
    <w:rsid w:val="00230C27"/>
    <w:rsid w:val="00231145"/>
    <w:rsid w:val="00231775"/>
    <w:rsid w:val="002322AD"/>
    <w:rsid w:val="00232F80"/>
    <w:rsid w:val="0023589A"/>
    <w:rsid w:val="00235966"/>
    <w:rsid w:val="00235A38"/>
    <w:rsid w:val="00235BAA"/>
    <w:rsid w:val="00235DE7"/>
    <w:rsid w:val="002362BC"/>
    <w:rsid w:val="00240304"/>
    <w:rsid w:val="00240584"/>
    <w:rsid w:val="00240980"/>
    <w:rsid w:val="002417E9"/>
    <w:rsid w:val="00241A57"/>
    <w:rsid w:val="00241B30"/>
    <w:rsid w:val="00241D3E"/>
    <w:rsid w:val="00241FE1"/>
    <w:rsid w:val="00242404"/>
    <w:rsid w:val="00242795"/>
    <w:rsid w:val="00242A8C"/>
    <w:rsid w:val="00242D6C"/>
    <w:rsid w:val="00243E04"/>
    <w:rsid w:val="0024472B"/>
    <w:rsid w:val="00244B2A"/>
    <w:rsid w:val="00244F4E"/>
    <w:rsid w:val="002452D7"/>
    <w:rsid w:val="0024536B"/>
    <w:rsid w:val="0024566C"/>
    <w:rsid w:val="00245CF8"/>
    <w:rsid w:val="00245FF1"/>
    <w:rsid w:val="00246040"/>
    <w:rsid w:val="00246140"/>
    <w:rsid w:val="00246567"/>
    <w:rsid w:val="002465E2"/>
    <w:rsid w:val="002468A1"/>
    <w:rsid w:val="00247047"/>
    <w:rsid w:val="002502A6"/>
    <w:rsid w:val="00250E1A"/>
    <w:rsid w:val="00250E40"/>
    <w:rsid w:val="0025104F"/>
    <w:rsid w:val="0025111E"/>
    <w:rsid w:val="00251717"/>
    <w:rsid w:val="00251AA5"/>
    <w:rsid w:val="00251D94"/>
    <w:rsid w:val="002525F6"/>
    <w:rsid w:val="0025297E"/>
    <w:rsid w:val="00252C86"/>
    <w:rsid w:val="00252FF3"/>
    <w:rsid w:val="00253966"/>
    <w:rsid w:val="00254019"/>
    <w:rsid w:val="00254506"/>
    <w:rsid w:val="00255044"/>
    <w:rsid w:val="0025505F"/>
    <w:rsid w:val="00255415"/>
    <w:rsid w:val="00256661"/>
    <w:rsid w:val="00256AB7"/>
    <w:rsid w:val="0025721E"/>
    <w:rsid w:val="0025754A"/>
    <w:rsid w:val="00257657"/>
    <w:rsid w:val="00257A74"/>
    <w:rsid w:val="00260659"/>
    <w:rsid w:val="0026070E"/>
    <w:rsid w:val="00260AF8"/>
    <w:rsid w:val="00260D7C"/>
    <w:rsid w:val="00261D00"/>
    <w:rsid w:val="00261DFE"/>
    <w:rsid w:val="00262765"/>
    <w:rsid w:val="0026300D"/>
    <w:rsid w:val="002633B5"/>
    <w:rsid w:val="002636E7"/>
    <w:rsid w:val="002638CD"/>
    <w:rsid w:val="00263AB1"/>
    <w:rsid w:val="00263EA1"/>
    <w:rsid w:val="00264870"/>
    <w:rsid w:val="00264F29"/>
    <w:rsid w:val="00265A85"/>
    <w:rsid w:val="00266B4C"/>
    <w:rsid w:val="00266EC8"/>
    <w:rsid w:val="00267084"/>
    <w:rsid w:val="00270B59"/>
    <w:rsid w:val="002715CF"/>
    <w:rsid w:val="002717C5"/>
    <w:rsid w:val="002729BE"/>
    <w:rsid w:val="00272A88"/>
    <w:rsid w:val="002743FE"/>
    <w:rsid w:val="002747E4"/>
    <w:rsid w:val="002749FF"/>
    <w:rsid w:val="002750B5"/>
    <w:rsid w:val="0027536F"/>
    <w:rsid w:val="0027573C"/>
    <w:rsid w:val="00275CA2"/>
    <w:rsid w:val="00276F89"/>
    <w:rsid w:val="00277858"/>
    <w:rsid w:val="00277932"/>
    <w:rsid w:val="00277A0C"/>
    <w:rsid w:val="00277B87"/>
    <w:rsid w:val="00280855"/>
    <w:rsid w:val="00280C71"/>
    <w:rsid w:val="00280D29"/>
    <w:rsid w:val="00280FF5"/>
    <w:rsid w:val="0028102C"/>
    <w:rsid w:val="002810F2"/>
    <w:rsid w:val="00281664"/>
    <w:rsid w:val="002816FA"/>
    <w:rsid w:val="00281736"/>
    <w:rsid w:val="00282DFA"/>
    <w:rsid w:val="002830B5"/>
    <w:rsid w:val="00283223"/>
    <w:rsid w:val="00283A8F"/>
    <w:rsid w:val="00283C07"/>
    <w:rsid w:val="0028409F"/>
    <w:rsid w:val="00284507"/>
    <w:rsid w:val="00284927"/>
    <w:rsid w:val="00285916"/>
    <w:rsid w:val="00285CC0"/>
    <w:rsid w:val="0028606E"/>
    <w:rsid w:val="00286A1B"/>
    <w:rsid w:val="00286C0F"/>
    <w:rsid w:val="00286FAB"/>
    <w:rsid w:val="00287BEF"/>
    <w:rsid w:val="00287D37"/>
    <w:rsid w:val="0029086D"/>
    <w:rsid w:val="00290E3A"/>
    <w:rsid w:val="0029162C"/>
    <w:rsid w:val="00292D89"/>
    <w:rsid w:val="00292FB9"/>
    <w:rsid w:val="00293BE2"/>
    <w:rsid w:val="0029437D"/>
    <w:rsid w:val="002944A8"/>
    <w:rsid w:val="00294930"/>
    <w:rsid w:val="00296332"/>
    <w:rsid w:val="00296850"/>
    <w:rsid w:val="002A0070"/>
    <w:rsid w:val="002A0208"/>
    <w:rsid w:val="002A02A3"/>
    <w:rsid w:val="002A03D5"/>
    <w:rsid w:val="002A0973"/>
    <w:rsid w:val="002A0D84"/>
    <w:rsid w:val="002A1B6A"/>
    <w:rsid w:val="002A2A51"/>
    <w:rsid w:val="002A30F7"/>
    <w:rsid w:val="002A3CC0"/>
    <w:rsid w:val="002A3E0C"/>
    <w:rsid w:val="002A407C"/>
    <w:rsid w:val="002A4E7F"/>
    <w:rsid w:val="002A5825"/>
    <w:rsid w:val="002A5E6F"/>
    <w:rsid w:val="002A6017"/>
    <w:rsid w:val="002A6108"/>
    <w:rsid w:val="002A69D6"/>
    <w:rsid w:val="002A7760"/>
    <w:rsid w:val="002B056D"/>
    <w:rsid w:val="002B0B74"/>
    <w:rsid w:val="002B11B9"/>
    <w:rsid w:val="002B1433"/>
    <w:rsid w:val="002B1727"/>
    <w:rsid w:val="002B1A87"/>
    <w:rsid w:val="002B2445"/>
    <w:rsid w:val="002B276B"/>
    <w:rsid w:val="002B3830"/>
    <w:rsid w:val="002B3B27"/>
    <w:rsid w:val="002B3B4F"/>
    <w:rsid w:val="002B40B5"/>
    <w:rsid w:val="002B43F5"/>
    <w:rsid w:val="002B467F"/>
    <w:rsid w:val="002B4B4D"/>
    <w:rsid w:val="002B4D00"/>
    <w:rsid w:val="002B587B"/>
    <w:rsid w:val="002B58A9"/>
    <w:rsid w:val="002B5A81"/>
    <w:rsid w:val="002B66CE"/>
    <w:rsid w:val="002B6E33"/>
    <w:rsid w:val="002B7968"/>
    <w:rsid w:val="002C0D17"/>
    <w:rsid w:val="002C13DD"/>
    <w:rsid w:val="002C1D2A"/>
    <w:rsid w:val="002C214D"/>
    <w:rsid w:val="002C2E64"/>
    <w:rsid w:val="002C3009"/>
    <w:rsid w:val="002C3DB6"/>
    <w:rsid w:val="002C3E2D"/>
    <w:rsid w:val="002C3F06"/>
    <w:rsid w:val="002C3FB4"/>
    <w:rsid w:val="002C4D76"/>
    <w:rsid w:val="002C51F5"/>
    <w:rsid w:val="002C6099"/>
    <w:rsid w:val="002C636B"/>
    <w:rsid w:val="002C7543"/>
    <w:rsid w:val="002C75BD"/>
    <w:rsid w:val="002C789D"/>
    <w:rsid w:val="002C7F15"/>
    <w:rsid w:val="002D0A51"/>
    <w:rsid w:val="002D1084"/>
    <w:rsid w:val="002D1347"/>
    <w:rsid w:val="002D23F0"/>
    <w:rsid w:val="002D27A6"/>
    <w:rsid w:val="002D2A87"/>
    <w:rsid w:val="002D2C9E"/>
    <w:rsid w:val="002D3120"/>
    <w:rsid w:val="002D326D"/>
    <w:rsid w:val="002D3D45"/>
    <w:rsid w:val="002D3F49"/>
    <w:rsid w:val="002D43D9"/>
    <w:rsid w:val="002D4D02"/>
    <w:rsid w:val="002D4DB3"/>
    <w:rsid w:val="002D52C5"/>
    <w:rsid w:val="002D6066"/>
    <w:rsid w:val="002D6BD9"/>
    <w:rsid w:val="002D6DCA"/>
    <w:rsid w:val="002D6EF7"/>
    <w:rsid w:val="002D75E0"/>
    <w:rsid w:val="002D7D3F"/>
    <w:rsid w:val="002E05C1"/>
    <w:rsid w:val="002E08E2"/>
    <w:rsid w:val="002E09D8"/>
    <w:rsid w:val="002E12CE"/>
    <w:rsid w:val="002E12F5"/>
    <w:rsid w:val="002E2B46"/>
    <w:rsid w:val="002E356D"/>
    <w:rsid w:val="002E3A12"/>
    <w:rsid w:val="002E3B59"/>
    <w:rsid w:val="002E3D4F"/>
    <w:rsid w:val="002E3FD5"/>
    <w:rsid w:val="002E411D"/>
    <w:rsid w:val="002E51B6"/>
    <w:rsid w:val="002E553D"/>
    <w:rsid w:val="002E588D"/>
    <w:rsid w:val="002E58C9"/>
    <w:rsid w:val="002E5B8A"/>
    <w:rsid w:val="002E64FA"/>
    <w:rsid w:val="002E6890"/>
    <w:rsid w:val="002E7440"/>
    <w:rsid w:val="002E7769"/>
    <w:rsid w:val="002E7FB3"/>
    <w:rsid w:val="002F0AE3"/>
    <w:rsid w:val="002F0E62"/>
    <w:rsid w:val="002F1702"/>
    <w:rsid w:val="002F1EB2"/>
    <w:rsid w:val="002F2A7D"/>
    <w:rsid w:val="002F3011"/>
    <w:rsid w:val="002F39C2"/>
    <w:rsid w:val="002F39D9"/>
    <w:rsid w:val="002F3DDB"/>
    <w:rsid w:val="002F414B"/>
    <w:rsid w:val="002F455C"/>
    <w:rsid w:val="002F571F"/>
    <w:rsid w:val="002F5A4E"/>
    <w:rsid w:val="002F6102"/>
    <w:rsid w:val="002F625A"/>
    <w:rsid w:val="00300694"/>
    <w:rsid w:val="00300A76"/>
    <w:rsid w:val="00300CDF"/>
    <w:rsid w:val="00301671"/>
    <w:rsid w:val="003016C7"/>
    <w:rsid w:val="00301B2F"/>
    <w:rsid w:val="00301DB5"/>
    <w:rsid w:val="00302465"/>
    <w:rsid w:val="003043F4"/>
    <w:rsid w:val="0030462D"/>
    <w:rsid w:val="00304924"/>
    <w:rsid w:val="00304E76"/>
    <w:rsid w:val="00305097"/>
    <w:rsid w:val="00305103"/>
    <w:rsid w:val="00305455"/>
    <w:rsid w:val="00305AD4"/>
    <w:rsid w:val="003061F0"/>
    <w:rsid w:val="003062BD"/>
    <w:rsid w:val="00307066"/>
    <w:rsid w:val="003073CD"/>
    <w:rsid w:val="0030744A"/>
    <w:rsid w:val="00307857"/>
    <w:rsid w:val="00307F64"/>
    <w:rsid w:val="00310BB5"/>
    <w:rsid w:val="0031171B"/>
    <w:rsid w:val="00311860"/>
    <w:rsid w:val="003120FA"/>
    <w:rsid w:val="00312BE0"/>
    <w:rsid w:val="00312C78"/>
    <w:rsid w:val="00313028"/>
    <w:rsid w:val="003130CA"/>
    <w:rsid w:val="003138B6"/>
    <w:rsid w:val="00313B4E"/>
    <w:rsid w:val="00314318"/>
    <w:rsid w:val="0031447F"/>
    <w:rsid w:val="00314522"/>
    <w:rsid w:val="00314679"/>
    <w:rsid w:val="00314B63"/>
    <w:rsid w:val="00315F53"/>
    <w:rsid w:val="00316544"/>
    <w:rsid w:val="003169B5"/>
    <w:rsid w:val="00316F01"/>
    <w:rsid w:val="00316FA0"/>
    <w:rsid w:val="00317686"/>
    <w:rsid w:val="00317770"/>
    <w:rsid w:val="00317F55"/>
    <w:rsid w:val="003206B5"/>
    <w:rsid w:val="003207A3"/>
    <w:rsid w:val="0032086D"/>
    <w:rsid w:val="00320926"/>
    <w:rsid w:val="00320B35"/>
    <w:rsid w:val="00321647"/>
    <w:rsid w:val="00322D0E"/>
    <w:rsid w:val="00323E21"/>
    <w:rsid w:val="00324019"/>
    <w:rsid w:val="003241CF"/>
    <w:rsid w:val="00324F9B"/>
    <w:rsid w:val="003250FA"/>
    <w:rsid w:val="003252C2"/>
    <w:rsid w:val="0032619B"/>
    <w:rsid w:val="003261FB"/>
    <w:rsid w:val="003262DF"/>
    <w:rsid w:val="00326408"/>
    <w:rsid w:val="003266E1"/>
    <w:rsid w:val="00327D9A"/>
    <w:rsid w:val="00327F66"/>
    <w:rsid w:val="00330FBD"/>
    <w:rsid w:val="00332258"/>
    <w:rsid w:val="003322C3"/>
    <w:rsid w:val="0033293D"/>
    <w:rsid w:val="00332AC2"/>
    <w:rsid w:val="00333038"/>
    <w:rsid w:val="00333E36"/>
    <w:rsid w:val="00333FC2"/>
    <w:rsid w:val="003342A0"/>
    <w:rsid w:val="00334584"/>
    <w:rsid w:val="00334AD3"/>
    <w:rsid w:val="00334DB0"/>
    <w:rsid w:val="00335ACD"/>
    <w:rsid w:val="00335BBA"/>
    <w:rsid w:val="00335E22"/>
    <w:rsid w:val="00336264"/>
    <w:rsid w:val="00336780"/>
    <w:rsid w:val="0033694F"/>
    <w:rsid w:val="0033758C"/>
    <w:rsid w:val="0033774C"/>
    <w:rsid w:val="00340010"/>
    <w:rsid w:val="003400EB"/>
    <w:rsid w:val="00341541"/>
    <w:rsid w:val="00341602"/>
    <w:rsid w:val="0034172B"/>
    <w:rsid w:val="00341F6A"/>
    <w:rsid w:val="00342CDC"/>
    <w:rsid w:val="00342DA3"/>
    <w:rsid w:val="00343017"/>
    <w:rsid w:val="003438D1"/>
    <w:rsid w:val="003439E7"/>
    <w:rsid w:val="00343B86"/>
    <w:rsid w:val="00343DFE"/>
    <w:rsid w:val="003442FE"/>
    <w:rsid w:val="00344320"/>
    <w:rsid w:val="00344CE5"/>
    <w:rsid w:val="00345553"/>
    <w:rsid w:val="0034599B"/>
    <w:rsid w:val="00345CB1"/>
    <w:rsid w:val="0034693A"/>
    <w:rsid w:val="00346F7E"/>
    <w:rsid w:val="00347FD9"/>
    <w:rsid w:val="00350112"/>
    <w:rsid w:val="00350351"/>
    <w:rsid w:val="003504A3"/>
    <w:rsid w:val="00350744"/>
    <w:rsid w:val="0035131B"/>
    <w:rsid w:val="0035134B"/>
    <w:rsid w:val="00351BF2"/>
    <w:rsid w:val="00351D4A"/>
    <w:rsid w:val="0035212C"/>
    <w:rsid w:val="003522B9"/>
    <w:rsid w:val="00352303"/>
    <w:rsid w:val="00352403"/>
    <w:rsid w:val="003524AF"/>
    <w:rsid w:val="003525B6"/>
    <w:rsid w:val="00352968"/>
    <w:rsid w:val="00352C21"/>
    <w:rsid w:val="0035348F"/>
    <w:rsid w:val="0035362B"/>
    <w:rsid w:val="00354B15"/>
    <w:rsid w:val="00355113"/>
    <w:rsid w:val="00355711"/>
    <w:rsid w:val="00355F63"/>
    <w:rsid w:val="00356006"/>
    <w:rsid w:val="0035669F"/>
    <w:rsid w:val="00356CE5"/>
    <w:rsid w:val="003576D6"/>
    <w:rsid w:val="0035796B"/>
    <w:rsid w:val="00357DE9"/>
    <w:rsid w:val="003605C4"/>
    <w:rsid w:val="00360D68"/>
    <w:rsid w:val="00360EE1"/>
    <w:rsid w:val="003617DB"/>
    <w:rsid w:val="0036242A"/>
    <w:rsid w:val="0036295B"/>
    <w:rsid w:val="00362CB7"/>
    <w:rsid w:val="00362F93"/>
    <w:rsid w:val="0036336F"/>
    <w:rsid w:val="00363DE8"/>
    <w:rsid w:val="0036407C"/>
    <w:rsid w:val="00364A37"/>
    <w:rsid w:val="00365F13"/>
    <w:rsid w:val="00365FA4"/>
    <w:rsid w:val="0036619A"/>
    <w:rsid w:val="003661B4"/>
    <w:rsid w:val="003662E2"/>
    <w:rsid w:val="00366DD6"/>
    <w:rsid w:val="0037019C"/>
    <w:rsid w:val="00370810"/>
    <w:rsid w:val="00370C74"/>
    <w:rsid w:val="003715C7"/>
    <w:rsid w:val="003717C4"/>
    <w:rsid w:val="003730A2"/>
    <w:rsid w:val="00373EEE"/>
    <w:rsid w:val="00373F82"/>
    <w:rsid w:val="0037402C"/>
    <w:rsid w:val="00374605"/>
    <w:rsid w:val="00375442"/>
    <w:rsid w:val="003754CC"/>
    <w:rsid w:val="00375E8D"/>
    <w:rsid w:val="00375FE3"/>
    <w:rsid w:val="0037678F"/>
    <w:rsid w:val="00376929"/>
    <w:rsid w:val="003770FE"/>
    <w:rsid w:val="00377248"/>
    <w:rsid w:val="00377454"/>
    <w:rsid w:val="0037767E"/>
    <w:rsid w:val="00377BB1"/>
    <w:rsid w:val="003801AB"/>
    <w:rsid w:val="00380B8D"/>
    <w:rsid w:val="00380C51"/>
    <w:rsid w:val="00381044"/>
    <w:rsid w:val="0038175D"/>
    <w:rsid w:val="00381F10"/>
    <w:rsid w:val="0038232D"/>
    <w:rsid w:val="00382D92"/>
    <w:rsid w:val="0038305F"/>
    <w:rsid w:val="003833F9"/>
    <w:rsid w:val="003841B2"/>
    <w:rsid w:val="00384285"/>
    <w:rsid w:val="00384850"/>
    <w:rsid w:val="00384B30"/>
    <w:rsid w:val="00384BCC"/>
    <w:rsid w:val="00384E3C"/>
    <w:rsid w:val="0038508D"/>
    <w:rsid w:val="003855BD"/>
    <w:rsid w:val="003866AB"/>
    <w:rsid w:val="00386E16"/>
    <w:rsid w:val="00387507"/>
    <w:rsid w:val="0039013D"/>
    <w:rsid w:val="003904A1"/>
    <w:rsid w:val="0039079E"/>
    <w:rsid w:val="00390866"/>
    <w:rsid w:val="0039092F"/>
    <w:rsid w:val="00391003"/>
    <w:rsid w:val="0039150E"/>
    <w:rsid w:val="00391775"/>
    <w:rsid w:val="00391A36"/>
    <w:rsid w:val="00391C30"/>
    <w:rsid w:val="003928F1"/>
    <w:rsid w:val="00392D99"/>
    <w:rsid w:val="0039342C"/>
    <w:rsid w:val="003935EF"/>
    <w:rsid w:val="003936E2"/>
    <w:rsid w:val="00394950"/>
    <w:rsid w:val="00395676"/>
    <w:rsid w:val="00395689"/>
    <w:rsid w:val="003959DE"/>
    <w:rsid w:val="00395C7C"/>
    <w:rsid w:val="00395CCC"/>
    <w:rsid w:val="00396446"/>
    <w:rsid w:val="00396C79"/>
    <w:rsid w:val="00396DC9"/>
    <w:rsid w:val="00396FF7"/>
    <w:rsid w:val="00397207"/>
    <w:rsid w:val="00397528"/>
    <w:rsid w:val="0039759F"/>
    <w:rsid w:val="00397C53"/>
    <w:rsid w:val="00397CE0"/>
    <w:rsid w:val="003A0937"/>
    <w:rsid w:val="003A0AD6"/>
    <w:rsid w:val="003A1046"/>
    <w:rsid w:val="003A1862"/>
    <w:rsid w:val="003A25D7"/>
    <w:rsid w:val="003A27F9"/>
    <w:rsid w:val="003A2804"/>
    <w:rsid w:val="003A3C65"/>
    <w:rsid w:val="003A40EB"/>
    <w:rsid w:val="003A4ADE"/>
    <w:rsid w:val="003A4B77"/>
    <w:rsid w:val="003A590B"/>
    <w:rsid w:val="003A5C4C"/>
    <w:rsid w:val="003A64BF"/>
    <w:rsid w:val="003A703B"/>
    <w:rsid w:val="003A7152"/>
    <w:rsid w:val="003A75BD"/>
    <w:rsid w:val="003B093A"/>
    <w:rsid w:val="003B0BAF"/>
    <w:rsid w:val="003B0F7F"/>
    <w:rsid w:val="003B10D5"/>
    <w:rsid w:val="003B1585"/>
    <w:rsid w:val="003B1AA8"/>
    <w:rsid w:val="003B1ACB"/>
    <w:rsid w:val="003B22FC"/>
    <w:rsid w:val="003B25A8"/>
    <w:rsid w:val="003B28CE"/>
    <w:rsid w:val="003B328B"/>
    <w:rsid w:val="003B39C3"/>
    <w:rsid w:val="003B47AB"/>
    <w:rsid w:val="003B4F96"/>
    <w:rsid w:val="003B53DF"/>
    <w:rsid w:val="003B55A5"/>
    <w:rsid w:val="003B68DE"/>
    <w:rsid w:val="003B6BBD"/>
    <w:rsid w:val="003B7098"/>
    <w:rsid w:val="003B769B"/>
    <w:rsid w:val="003B7C0A"/>
    <w:rsid w:val="003B7CED"/>
    <w:rsid w:val="003C028A"/>
    <w:rsid w:val="003C04A3"/>
    <w:rsid w:val="003C0BAE"/>
    <w:rsid w:val="003C0C7C"/>
    <w:rsid w:val="003C0CFF"/>
    <w:rsid w:val="003C1515"/>
    <w:rsid w:val="003C19DC"/>
    <w:rsid w:val="003C1A1D"/>
    <w:rsid w:val="003C1B33"/>
    <w:rsid w:val="003C1DC0"/>
    <w:rsid w:val="003C202C"/>
    <w:rsid w:val="003C32F7"/>
    <w:rsid w:val="003C3688"/>
    <w:rsid w:val="003C3872"/>
    <w:rsid w:val="003C3D48"/>
    <w:rsid w:val="003C40CC"/>
    <w:rsid w:val="003C4108"/>
    <w:rsid w:val="003C4399"/>
    <w:rsid w:val="003C43C8"/>
    <w:rsid w:val="003C4D8E"/>
    <w:rsid w:val="003C509D"/>
    <w:rsid w:val="003C5919"/>
    <w:rsid w:val="003C5D53"/>
    <w:rsid w:val="003C6069"/>
    <w:rsid w:val="003C7131"/>
    <w:rsid w:val="003C7158"/>
    <w:rsid w:val="003C73B2"/>
    <w:rsid w:val="003C7E22"/>
    <w:rsid w:val="003D0805"/>
    <w:rsid w:val="003D0A4A"/>
    <w:rsid w:val="003D1219"/>
    <w:rsid w:val="003D1256"/>
    <w:rsid w:val="003D17B5"/>
    <w:rsid w:val="003D19FA"/>
    <w:rsid w:val="003D2772"/>
    <w:rsid w:val="003D2D50"/>
    <w:rsid w:val="003D3657"/>
    <w:rsid w:val="003D379B"/>
    <w:rsid w:val="003D3A68"/>
    <w:rsid w:val="003D4169"/>
    <w:rsid w:val="003D49B1"/>
    <w:rsid w:val="003D4DA9"/>
    <w:rsid w:val="003D5D64"/>
    <w:rsid w:val="003D5E51"/>
    <w:rsid w:val="003D6A36"/>
    <w:rsid w:val="003D6C2C"/>
    <w:rsid w:val="003D7955"/>
    <w:rsid w:val="003D7A54"/>
    <w:rsid w:val="003D7A78"/>
    <w:rsid w:val="003D7F2E"/>
    <w:rsid w:val="003E0225"/>
    <w:rsid w:val="003E022E"/>
    <w:rsid w:val="003E05D7"/>
    <w:rsid w:val="003E0703"/>
    <w:rsid w:val="003E1005"/>
    <w:rsid w:val="003E1136"/>
    <w:rsid w:val="003E113B"/>
    <w:rsid w:val="003E13B9"/>
    <w:rsid w:val="003E1C37"/>
    <w:rsid w:val="003E20BB"/>
    <w:rsid w:val="003E28EB"/>
    <w:rsid w:val="003E2E39"/>
    <w:rsid w:val="003E3CF9"/>
    <w:rsid w:val="003E41C4"/>
    <w:rsid w:val="003E41CD"/>
    <w:rsid w:val="003E4DC9"/>
    <w:rsid w:val="003E4FE0"/>
    <w:rsid w:val="003E520E"/>
    <w:rsid w:val="003E554F"/>
    <w:rsid w:val="003E589D"/>
    <w:rsid w:val="003E7205"/>
    <w:rsid w:val="003E726A"/>
    <w:rsid w:val="003E768A"/>
    <w:rsid w:val="003F0475"/>
    <w:rsid w:val="003F07F7"/>
    <w:rsid w:val="003F0F18"/>
    <w:rsid w:val="003F1768"/>
    <w:rsid w:val="003F183B"/>
    <w:rsid w:val="003F20D9"/>
    <w:rsid w:val="003F2736"/>
    <w:rsid w:val="003F2F48"/>
    <w:rsid w:val="003F3127"/>
    <w:rsid w:val="003F3533"/>
    <w:rsid w:val="003F43E4"/>
    <w:rsid w:val="003F47EA"/>
    <w:rsid w:val="003F488B"/>
    <w:rsid w:val="003F4A48"/>
    <w:rsid w:val="003F584B"/>
    <w:rsid w:val="003F6384"/>
    <w:rsid w:val="003F6880"/>
    <w:rsid w:val="003F70DB"/>
    <w:rsid w:val="003F7296"/>
    <w:rsid w:val="003F7647"/>
    <w:rsid w:val="0040037A"/>
    <w:rsid w:val="00400A2D"/>
    <w:rsid w:val="00401555"/>
    <w:rsid w:val="00401A61"/>
    <w:rsid w:val="00401FF5"/>
    <w:rsid w:val="004022B7"/>
    <w:rsid w:val="004026C1"/>
    <w:rsid w:val="00403861"/>
    <w:rsid w:val="0040558F"/>
    <w:rsid w:val="004055B7"/>
    <w:rsid w:val="00405B0D"/>
    <w:rsid w:val="004063BC"/>
    <w:rsid w:val="004077C6"/>
    <w:rsid w:val="00407C3D"/>
    <w:rsid w:val="00410A3D"/>
    <w:rsid w:val="00410D80"/>
    <w:rsid w:val="00411712"/>
    <w:rsid w:val="00411784"/>
    <w:rsid w:val="0041191C"/>
    <w:rsid w:val="00411F63"/>
    <w:rsid w:val="00411F72"/>
    <w:rsid w:val="004126C9"/>
    <w:rsid w:val="004127C4"/>
    <w:rsid w:val="00412A12"/>
    <w:rsid w:val="00413432"/>
    <w:rsid w:val="00413F3E"/>
    <w:rsid w:val="00413FC5"/>
    <w:rsid w:val="004145CE"/>
    <w:rsid w:val="00415A13"/>
    <w:rsid w:val="00416690"/>
    <w:rsid w:val="00416DC8"/>
    <w:rsid w:val="00417331"/>
    <w:rsid w:val="00417384"/>
    <w:rsid w:val="00421154"/>
    <w:rsid w:val="0042161F"/>
    <w:rsid w:val="00421E94"/>
    <w:rsid w:val="0042448E"/>
    <w:rsid w:val="004248F4"/>
    <w:rsid w:val="004249AC"/>
    <w:rsid w:val="0042581B"/>
    <w:rsid w:val="00426292"/>
    <w:rsid w:val="00426BBE"/>
    <w:rsid w:val="00427683"/>
    <w:rsid w:val="00427855"/>
    <w:rsid w:val="00427C59"/>
    <w:rsid w:val="00427C99"/>
    <w:rsid w:val="00427EE7"/>
    <w:rsid w:val="00427F8D"/>
    <w:rsid w:val="004303DA"/>
    <w:rsid w:val="00430C4B"/>
    <w:rsid w:val="00430F79"/>
    <w:rsid w:val="004318A1"/>
    <w:rsid w:val="00431CFE"/>
    <w:rsid w:val="00432380"/>
    <w:rsid w:val="00432490"/>
    <w:rsid w:val="00433336"/>
    <w:rsid w:val="004333BC"/>
    <w:rsid w:val="0043361A"/>
    <w:rsid w:val="00433A9A"/>
    <w:rsid w:val="00434009"/>
    <w:rsid w:val="00435FDC"/>
    <w:rsid w:val="00436A71"/>
    <w:rsid w:val="00436D5E"/>
    <w:rsid w:val="004371B5"/>
    <w:rsid w:val="00437AE8"/>
    <w:rsid w:val="00437C39"/>
    <w:rsid w:val="00437F0B"/>
    <w:rsid w:val="00437FE6"/>
    <w:rsid w:val="0044018E"/>
    <w:rsid w:val="0044046A"/>
    <w:rsid w:val="00440729"/>
    <w:rsid w:val="00441532"/>
    <w:rsid w:val="00441928"/>
    <w:rsid w:val="004420A7"/>
    <w:rsid w:val="0044240D"/>
    <w:rsid w:val="0044241E"/>
    <w:rsid w:val="00442AEC"/>
    <w:rsid w:val="00443A13"/>
    <w:rsid w:val="00443A70"/>
    <w:rsid w:val="00443BE7"/>
    <w:rsid w:val="00443E3F"/>
    <w:rsid w:val="00443EB5"/>
    <w:rsid w:val="00444214"/>
    <w:rsid w:val="004446F3"/>
    <w:rsid w:val="00444CE0"/>
    <w:rsid w:val="00444F15"/>
    <w:rsid w:val="004451C7"/>
    <w:rsid w:val="00446996"/>
    <w:rsid w:val="00446AB5"/>
    <w:rsid w:val="00446EAE"/>
    <w:rsid w:val="004473EB"/>
    <w:rsid w:val="0045072E"/>
    <w:rsid w:val="00450DE8"/>
    <w:rsid w:val="00451714"/>
    <w:rsid w:val="004517BF"/>
    <w:rsid w:val="00451A58"/>
    <w:rsid w:val="00451ABE"/>
    <w:rsid w:val="00451E81"/>
    <w:rsid w:val="004521CB"/>
    <w:rsid w:val="0045246B"/>
    <w:rsid w:val="004528B0"/>
    <w:rsid w:val="004540C0"/>
    <w:rsid w:val="0045476D"/>
    <w:rsid w:val="00454858"/>
    <w:rsid w:val="004554C5"/>
    <w:rsid w:val="0045656A"/>
    <w:rsid w:val="00456B45"/>
    <w:rsid w:val="00456C24"/>
    <w:rsid w:val="00456CCE"/>
    <w:rsid w:val="00456D14"/>
    <w:rsid w:val="00457534"/>
    <w:rsid w:val="00457C96"/>
    <w:rsid w:val="00460A87"/>
    <w:rsid w:val="00460B33"/>
    <w:rsid w:val="00461EB4"/>
    <w:rsid w:val="004622E6"/>
    <w:rsid w:val="00462573"/>
    <w:rsid w:val="00462C48"/>
    <w:rsid w:val="00462DD2"/>
    <w:rsid w:val="0046309D"/>
    <w:rsid w:val="00463B61"/>
    <w:rsid w:val="00464219"/>
    <w:rsid w:val="00465339"/>
    <w:rsid w:val="004659EF"/>
    <w:rsid w:val="00465FF4"/>
    <w:rsid w:val="0046784E"/>
    <w:rsid w:val="00467E10"/>
    <w:rsid w:val="0047007B"/>
    <w:rsid w:val="00470B37"/>
    <w:rsid w:val="00471472"/>
    <w:rsid w:val="004716A2"/>
    <w:rsid w:val="00471AD1"/>
    <w:rsid w:val="00471C32"/>
    <w:rsid w:val="00472400"/>
    <w:rsid w:val="004731D9"/>
    <w:rsid w:val="00473599"/>
    <w:rsid w:val="00473C0A"/>
    <w:rsid w:val="004748FE"/>
    <w:rsid w:val="00474DB1"/>
    <w:rsid w:val="004760AF"/>
    <w:rsid w:val="004760CE"/>
    <w:rsid w:val="004763EC"/>
    <w:rsid w:val="00476E74"/>
    <w:rsid w:val="00477A96"/>
    <w:rsid w:val="00477AA1"/>
    <w:rsid w:val="0048002A"/>
    <w:rsid w:val="004800E4"/>
    <w:rsid w:val="00480BCE"/>
    <w:rsid w:val="00480F55"/>
    <w:rsid w:val="004812A3"/>
    <w:rsid w:val="00481719"/>
    <w:rsid w:val="00481C64"/>
    <w:rsid w:val="004828B3"/>
    <w:rsid w:val="004836B2"/>
    <w:rsid w:val="004839A8"/>
    <w:rsid w:val="00483D55"/>
    <w:rsid w:val="0048524B"/>
    <w:rsid w:val="00486C35"/>
    <w:rsid w:val="00487199"/>
    <w:rsid w:val="0048767F"/>
    <w:rsid w:val="00487749"/>
    <w:rsid w:val="004878F0"/>
    <w:rsid w:val="00490529"/>
    <w:rsid w:val="00490AC4"/>
    <w:rsid w:val="00490F31"/>
    <w:rsid w:val="004910B6"/>
    <w:rsid w:val="00491189"/>
    <w:rsid w:val="00491228"/>
    <w:rsid w:val="004914AA"/>
    <w:rsid w:val="004922A7"/>
    <w:rsid w:val="00493489"/>
    <w:rsid w:val="004934CE"/>
    <w:rsid w:val="00493C5B"/>
    <w:rsid w:val="00493E7D"/>
    <w:rsid w:val="0049569D"/>
    <w:rsid w:val="00495713"/>
    <w:rsid w:val="00495871"/>
    <w:rsid w:val="00495D68"/>
    <w:rsid w:val="004964C2"/>
    <w:rsid w:val="00496A36"/>
    <w:rsid w:val="00497340"/>
    <w:rsid w:val="00497369"/>
    <w:rsid w:val="004973BC"/>
    <w:rsid w:val="00497535"/>
    <w:rsid w:val="004A02D3"/>
    <w:rsid w:val="004A1407"/>
    <w:rsid w:val="004A1896"/>
    <w:rsid w:val="004A1B40"/>
    <w:rsid w:val="004A1C25"/>
    <w:rsid w:val="004A1FC0"/>
    <w:rsid w:val="004A2272"/>
    <w:rsid w:val="004A22F3"/>
    <w:rsid w:val="004A279D"/>
    <w:rsid w:val="004A2C02"/>
    <w:rsid w:val="004A322B"/>
    <w:rsid w:val="004A35FF"/>
    <w:rsid w:val="004A37CE"/>
    <w:rsid w:val="004A3852"/>
    <w:rsid w:val="004A451E"/>
    <w:rsid w:val="004A51BD"/>
    <w:rsid w:val="004A59C9"/>
    <w:rsid w:val="004A5F71"/>
    <w:rsid w:val="004A6666"/>
    <w:rsid w:val="004A72C1"/>
    <w:rsid w:val="004A7A29"/>
    <w:rsid w:val="004A7EE9"/>
    <w:rsid w:val="004B1C6A"/>
    <w:rsid w:val="004B1F23"/>
    <w:rsid w:val="004B305C"/>
    <w:rsid w:val="004B3C5C"/>
    <w:rsid w:val="004B5047"/>
    <w:rsid w:val="004B51DA"/>
    <w:rsid w:val="004B5B0D"/>
    <w:rsid w:val="004B5B35"/>
    <w:rsid w:val="004B5C6A"/>
    <w:rsid w:val="004B5CC0"/>
    <w:rsid w:val="004B6825"/>
    <w:rsid w:val="004B6E37"/>
    <w:rsid w:val="004B7337"/>
    <w:rsid w:val="004B779B"/>
    <w:rsid w:val="004B7A9D"/>
    <w:rsid w:val="004B7B4D"/>
    <w:rsid w:val="004B7BA0"/>
    <w:rsid w:val="004C07E8"/>
    <w:rsid w:val="004C08AD"/>
    <w:rsid w:val="004C0D0C"/>
    <w:rsid w:val="004C0DBE"/>
    <w:rsid w:val="004C0F88"/>
    <w:rsid w:val="004C1820"/>
    <w:rsid w:val="004C1F33"/>
    <w:rsid w:val="004C2927"/>
    <w:rsid w:val="004C2A86"/>
    <w:rsid w:val="004C2F61"/>
    <w:rsid w:val="004C3279"/>
    <w:rsid w:val="004C39AF"/>
    <w:rsid w:val="004C3D07"/>
    <w:rsid w:val="004C3E2C"/>
    <w:rsid w:val="004C4AB5"/>
    <w:rsid w:val="004C6AFC"/>
    <w:rsid w:val="004C7416"/>
    <w:rsid w:val="004C7CA1"/>
    <w:rsid w:val="004C7DD6"/>
    <w:rsid w:val="004D0FA5"/>
    <w:rsid w:val="004D100E"/>
    <w:rsid w:val="004D26C9"/>
    <w:rsid w:val="004D28C0"/>
    <w:rsid w:val="004D2E84"/>
    <w:rsid w:val="004D30EE"/>
    <w:rsid w:val="004D376C"/>
    <w:rsid w:val="004D3793"/>
    <w:rsid w:val="004D3B59"/>
    <w:rsid w:val="004D4695"/>
    <w:rsid w:val="004D4CA4"/>
    <w:rsid w:val="004D53E2"/>
    <w:rsid w:val="004D5554"/>
    <w:rsid w:val="004D5AD1"/>
    <w:rsid w:val="004D65E4"/>
    <w:rsid w:val="004D68E7"/>
    <w:rsid w:val="004D6DE1"/>
    <w:rsid w:val="004D6E05"/>
    <w:rsid w:val="004D6FF2"/>
    <w:rsid w:val="004D7498"/>
    <w:rsid w:val="004E0595"/>
    <w:rsid w:val="004E1095"/>
    <w:rsid w:val="004E14B0"/>
    <w:rsid w:val="004E1AA3"/>
    <w:rsid w:val="004E1DD1"/>
    <w:rsid w:val="004E1F09"/>
    <w:rsid w:val="004E2048"/>
    <w:rsid w:val="004E2489"/>
    <w:rsid w:val="004E26EE"/>
    <w:rsid w:val="004E2EBC"/>
    <w:rsid w:val="004E3380"/>
    <w:rsid w:val="004E42E0"/>
    <w:rsid w:val="004E4ABF"/>
    <w:rsid w:val="004E4CDB"/>
    <w:rsid w:val="004E4E3F"/>
    <w:rsid w:val="004E641F"/>
    <w:rsid w:val="004E6435"/>
    <w:rsid w:val="004E678B"/>
    <w:rsid w:val="004E7430"/>
    <w:rsid w:val="004E7AE4"/>
    <w:rsid w:val="004F0790"/>
    <w:rsid w:val="004F0E5F"/>
    <w:rsid w:val="004F15AE"/>
    <w:rsid w:val="004F1B3A"/>
    <w:rsid w:val="004F2980"/>
    <w:rsid w:val="004F2F37"/>
    <w:rsid w:val="004F3C3D"/>
    <w:rsid w:val="004F3D93"/>
    <w:rsid w:val="004F40BB"/>
    <w:rsid w:val="004F5360"/>
    <w:rsid w:val="004F55E0"/>
    <w:rsid w:val="004F69A4"/>
    <w:rsid w:val="004F6BC7"/>
    <w:rsid w:val="004F7027"/>
    <w:rsid w:val="004F7699"/>
    <w:rsid w:val="004F7919"/>
    <w:rsid w:val="004F79BB"/>
    <w:rsid w:val="004F7C2C"/>
    <w:rsid w:val="00500162"/>
    <w:rsid w:val="00500BBE"/>
    <w:rsid w:val="005018C2"/>
    <w:rsid w:val="0050206E"/>
    <w:rsid w:val="005021A4"/>
    <w:rsid w:val="005027A3"/>
    <w:rsid w:val="00502925"/>
    <w:rsid w:val="00503B1E"/>
    <w:rsid w:val="00503E90"/>
    <w:rsid w:val="0050471D"/>
    <w:rsid w:val="0050579C"/>
    <w:rsid w:val="00505EB1"/>
    <w:rsid w:val="00505F0B"/>
    <w:rsid w:val="0050616B"/>
    <w:rsid w:val="0050694C"/>
    <w:rsid w:val="00506969"/>
    <w:rsid w:val="005069F6"/>
    <w:rsid w:val="0050704E"/>
    <w:rsid w:val="0050722F"/>
    <w:rsid w:val="00510179"/>
    <w:rsid w:val="00510F1B"/>
    <w:rsid w:val="00511576"/>
    <w:rsid w:val="00511A3F"/>
    <w:rsid w:val="00511AC3"/>
    <w:rsid w:val="00511E2E"/>
    <w:rsid w:val="0051288B"/>
    <w:rsid w:val="00512E7D"/>
    <w:rsid w:val="0051317D"/>
    <w:rsid w:val="00513253"/>
    <w:rsid w:val="00515355"/>
    <w:rsid w:val="005159FF"/>
    <w:rsid w:val="005164D8"/>
    <w:rsid w:val="00516748"/>
    <w:rsid w:val="00516B6D"/>
    <w:rsid w:val="00516E62"/>
    <w:rsid w:val="00516EEA"/>
    <w:rsid w:val="00516F6C"/>
    <w:rsid w:val="0051701E"/>
    <w:rsid w:val="005171C0"/>
    <w:rsid w:val="0052017D"/>
    <w:rsid w:val="00520EA8"/>
    <w:rsid w:val="00522487"/>
    <w:rsid w:val="00522E2C"/>
    <w:rsid w:val="0052351F"/>
    <w:rsid w:val="005236E5"/>
    <w:rsid w:val="00525D27"/>
    <w:rsid w:val="00525DB2"/>
    <w:rsid w:val="0052686B"/>
    <w:rsid w:val="0052760C"/>
    <w:rsid w:val="00530255"/>
    <w:rsid w:val="00530316"/>
    <w:rsid w:val="00530852"/>
    <w:rsid w:val="00530B46"/>
    <w:rsid w:val="00531000"/>
    <w:rsid w:val="005310A3"/>
    <w:rsid w:val="005316BA"/>
    <w:rsid w:val="00531797"/>
    <w:rsid w:val="0053196B"/>
    <w:rsid w:val="00531CE1"/>
    <w:rsid w:val="00532378"/>
    <w:rsid w:val="0053246E"/>
    <w:rsid w:val="00532587"/>
    <w:rsid w:val="00532807"/>
    <w:rsid w:val="0053351C"/>
    <w:rsid w:val="005339DB"/>
    <w:rsid w:val="00533E60"/>
    <w:rsid w:val="00534A50"/>
    <w:rsid w:val="00535364"/>
    <w:rsid w:val="0053541A"/>
    <w:rsid w:val="005354C2"/>
    <w:rsid w:val="00535746"/>
    <w:rsid w:val="00535D47"/>
    <w:rsid w:val="00536480"/>
    <w:rsid w:val="0053658A"/>
    <w:rsid w:val="005365F4"/>
    <w:rsid w:val="00536E59"/>
    <w:rsid w:val="005374B4"/>
    <w:rsid w:val="00540128"/>
    <w:rsid w:val="00540148"/>
    <w:rsid w:val="00541655"/>
    <w:rsid w:val="00541A52"/>
    <w:rsid w:val="00541B01"/>
    <w:rsid w:val="00541DF2"/>
    <w:rsid w:val="00543782"/>
    <w:rsid w:val="005437B2"/>
    <w:rsid w:val="0054414D"/>
    <w:rsid w:val="00544334"/>
    <w:rsid w:val="0054464B"/>
    <w:rsid w:val="00544ADC"/>
    <w:rsid w:val="00544E8D"/>
    <w:rsid w:val="00545038"/>
    <w:rsid w:val="0054509A"/>
    <w:rsid w:val="005450A0"/>
    <w:rsid w:val="00545C5D"/>
    <w:rsid w:val="00547256"/>
    <w:rsid w:val="00547516"/>
    <w:rsid w:val="00547A29"/>
    <w:rsid w:val="00547D49"/>
    <w:rsid w:val="00547EB7"/>
    <w:rsid w:val="00547F6B"/>
    <w:rsid w:val="00550DF6"/>
    <w:rsid w:val="00550FD5"/>
    <w:rsid w:val="0055173D"/>
    <w:rsid w:val="00552C2A"/>
    <w:rsid w:val="00553170"/>
    <w:rsid w:val="0055336D"/>
    <w:rsid w:val="00553525"/>
    <w:rsid w:val="0055411E"/>
    <w:rsid w:val="00554670"/>
    <w:rsid w:val="00554CB7"/>
    <w:rsid w:val="00555069"/>
    <w:rsid w:val="005552CB"/>
    <w:rsid w:val="0055549D"/>
    <w:rsid w:val="00555E56"/>
    <w:rsid w:val="005565F6"/>
    <w:rsid w:val="0055672F"/>
    <w:rsid w:val="00556FBE"/>
    <w:rsid w:val="0055714C"/>
    <w:rsid w:val="005612B3"/>
    <w:rsid w:val="0056198B"/>
    <w:rsid w:val="00561E14"/>
    <w:rsid w:val="005621C9"/>
    <w:rsid w:val="00562773"/>
    <w:rsid w:val="00562800"/>
    <w:rsid w:val="005639CD"/>
    <w:rsid w:val="00563A49"/>
    <w:rsid w:val="005646F0"/>
    <w:rsid w:val="00564929"/>
    <w:rsid w:val="005654D5"/>
    <w:rsid w:val="005657D5"/>
    <w:rsid w:val="00565917"/>
    <w:rsid w:val="00565DD9"/>
    <w:rsid w:val="00566533"/>
    <w:rsid w:val="00566A39"/>
    <w:rsid w:val="00567053"/>
    <w:rsid w:val="005670D5"/>
    <w:rsid w:val="00567492"/>
    <w:rsid w:val="0056798D"/>
    <w:rsid w:val="00567E52"/>
    <w:rsid w:val="0057124E"/>
    <w:rsid w:val="00571D79"/>
    <w:rsid w:val="005723F2"/>
    <w:rsid w:val="0057245B"/>
    <w:rsid w:val="00572E40"/>
    <w:rsid w:val="005735B8"/>
    <w:rsid w:val="00573F98"/>
    <w:rsid w:val="00574F9C"/>
    <w:rsid w:val="00575BFC"/>
    <w:rsid w:val="00577127"/>
    <w:rsid w:val="005771B9"/>
    <w:rsid w:val="00577CBB"/>
    <w:rsid w:val="00580A6B"/>
    <w:rsid w:val="00580D9B"/>
    <w:rsid w:val="00580E44"/>
    <w:rsid w:val="00580FFF"/>
    <w:rsid w:val="005817F2"/>
    <w:rsid w:val="005818D1"/>
    <w:rsid w:val="00581B92"/>
    <w:rsid w:val="005823C9"/>
    <w:rsid w:val="0058270B"/>
    <w:rsid w:val="00582893"/>
    <w:rsid w:val="00582A0A"/>
    <w:rsid w:val="00582F6E"/>
    <w:rsid w:val="00582FDB"/>
    <w:rsid w:val="00584195"/>
    <w:rsid w:val="005843F5"/>
    <w:rsid w:val="00584F7E"/>
    <w:rsid w:val="00590BC2"/>
    <w:rsid w:val="00590D80"/>
    <w:rsid w:val="00590EA2"/>
    <w:rsid w:val="00591DB9"/>
    <w:rsid w:val="00592857"/>
    <w:rsid w:val="00592A37"/>
    <w:rsid w:val="00592FF3"/>
    <w:rsid w:val="005934D0"/>
    <w:rsid w:val="0059366E"/>
    <w:rsid w:val="00594CCC"/>
    <w:rsid w:val="005956C8"/>
    <w:rsid w:val="0059571F"/>
    <w:rsid w:val="005957B5"/>
    <w:rsid w:val="00595D6B"/>
    <w:rsid w:val="00595DC2"/>
    <w:rsid w:val="00595FA9"/>
    <w:rsid w:val="005968A7"/>
    <w:rsid w:val="005971F2"/>
    <w:rsid w:val="005972C3"/>
    <w:rsid w:val="00597585"/>
    <w:rsid w:val="00597AB2"/>
    <w:rsid w:val="00597AE0"/>
    <w:rsid w:val="005A00ED"/>
    <w:rsid w:val="005A1269"/>
    <w:rsid w:val="005A1339"/>
    <w:rsid w:val="005A1D79"/>
    <w:rsid w:val="005A23F6"/>
    <w:rsid w:val="005A2867"/>
    <w:rsid w:val="005A2B6E"/>
    <w:rsid w:val="005A2C6E"/>
    <w:rsid w:val="005A35EC"/>
    <w:rsid w:val="005A4426"/>
    <w:rsid w:val="005A49F5"/>
    <w:rsid w:val="005A5017"/>
    <w:rsid w:val="005A5102"/>
    <w:rsid w:val="005A5369"/>
    <w:rsid w:val="005A5C95"/>
    <w:rsid w:val="005A5E03"/>
    <w:rsid w:val="005A5EB4"/>
    <w:rsid w:val="005A621D"/>
    <w:rsid w:val="005A6CE8"/>
    <w:rsid w:val="005A6F60"/>
    <w:rsid w:val="005A76EA"/>
    <w:rsid w:val="005A7784"/>
    <w:rsid w:val="005A779A"/>
    <w:rsid w:val="005B044B"/>
    <w:rsid w:val="005B050B"/>
    <w:rsid w:val="005B0555"/>
    <w:rsid w:val="005B06D8"/>
    <w:rsid w:val="005B0752"/>
    <w:rsid w:val="005B08D3"/>
    <w:rsid w:val="005B11C4"/>
    <w:rsid w:val="005B1ECF"/>
    <w:rsid w:val="005B3005"/>
    <w:rsid w:val="005B36EF"/>
    <w:rsid w:val="005B3859"/>
    <w:rsid w:val="005B3953"/>
    <w:rsid w:val="005B3D83"/>
    <w:rsid w:val="005B3EFE"/>
    <w:rsid w:val="005B45D0"/>
    <w:rsid w:val="005B47FA"/>
    <w:rsid w:val="005B4F04"/>
    <w:rsid w:val="005B52C0"/>
    <w:rsid w:val="005B5947"/>
    <w:rsid w:val="005B61A6"/>
    <w:rsid w:val="005B6F1A"/>
    <w:rsid w:val="005B7B9C"/>
    <w:rsid w:val="005C0514"/>
    <w:rsid w:val="005C0A5C"/>
    <w:rsid w:val="005C1E01"/>
    <w:rsid w:val="005C1FD7"/>
    <w:rsid w:val="005C242A"/>
    <w:rsid w:val="005C2521"/>
    <w:rsid w:val="005C2D8E"/>
    <w:rsid w:val="005C3766"/>
    <w:rsid w:val="005C469A"/>
    <w:rsid w:val="005C49E6"/>
    <w:rsid w:val="005C4F89"/>
    <w:rsid w:val="005C6227"/>
    <w:rsid w:val="005C6A23"/>
    <w:rsid w:val="005C731E"/>
    <w:rsid w:val="005C751C"/>
    <w:rsid w:val="005C7858"/>
    <w:rsid w:val="005C7AB6"/>
    <w:rsid w:val="005D0634"/>
    <w:rsid w:val="005D0BA3"/>
    <w:rsid w:val="005D0BDD"/>
    <w:rsid w:val="005D0C86"/>
    <w:rsid w:val="005D1F72"/>
    <w:rsid w:val="005D23E0"/>
    <w:rsid w:val="005D246E"/>
    <w:rsid w:val="005D2A0E"/>
    <w:rsid w:val="005D3067"/>
    <w:rsid w:val="005D337A"/>
    <w:rsid w:val="005D36BD"/>
    <w:rsid w:val="005D36EB"/>
    <w:rsid w:val="005D3A90"/>
    <w:rsid w:val="005D4304"/>
    <w:rsid w:val="005D45A1"/>
    <w:rsid w:val="005D5153"/>
    <w:rsid w:val="005D515B"/>
    <w:rsid w:val="005D576A"/>
    <w:rsid w:val="005D5E4E"/>
    <w:rsid w:val="005D6015"/>
    <w:rsid w:val="005D6144"/>
    <w:rsid w:val="005D633A"/>
    <w:rsid w:val="005D6AA5"/>
    <w:rsid w:val="005D7450"/>
    <w:rsid w:val="005D7F6C"/>
    <w:rsid w:val="005E0320"/>
    <w:rsid w:val="005E039B"/>
    <w:rsid w:val="005E249F"/>
    <w:rsid w:val="005E24F9"/>
    <w:rsid w:val="005E2BD9"/>
    <w:rsid w:val="005E338E"/>
    <w:rsid w:val="005E34F3"/>
    <w:rsid w:val="005E3C07"/>
    <w:rsid w:val="005E3C84"/>
    <w:rsid w:val="005E427A"/>
    <w:rsid w:val="005E429E"/>
    <w:rsid w:val="005E44EC"/>
    <w:rsid w:val="005E450C"/>
    <w:rsid w:val="005E461A"/>
    <w:rsid w:val="005E4DDF"/>
    <w:rsid w:val="005E4FBF"/>
    <w:rsid w:val="005E50EF"/>
    <w:rsid w:val="005E5D6D"/>
    <w:rsid w:val="005E5EAB"/>
    <w:rsid w:val="005E61FB"/>
    <w:rsid w:val="005E781F"/>
    <w:rsid w:val="005E7C02"/>
    <w:rsid w:val="005F07EF"/>
    <w:rsid w:val="005F094B"/>
    <w:rsid w:val="005F0B45"/>
    <w:rsid w:val="005F0FE8"/>
    <w:rsid w:val="005F11A9"/>
    <w:rsid w:val="005F170B"/>
    <w:rsid w:val="005F1B5C"/>
    <w:rsid w:val="005F1BE2"/>
    <w:rsid w:val="005F1BE4"/>
    <w:rsid w:val="005F1C2F"/>
    <w:rsid w:val="005F252F"/>
    <w:rsid w:val="005F2DE6"/>
    <w:rsid w:val="005F4BA6"/>
    <w:rsid w:val="005F4EC9"/>
    <w:rsid w:val="005F54DB"/>
    <w:rsid w:val="005F69BF"/>
    <w:rsid w:val="005F6B0E"/>
    <w:rsid w:val="005F6D27"/>
    <w:rsid w:val="005F744A"/>
    <w:rsid w:val="005F7867"/>
    <w:rsid w:val="006001EA"/>
    <w:rsid w:val="00600225"/>
    <w:rsid w:val="006002BC"/>
    <w:rsid w:val="00600EEF"/>
    <w:rsid w:val="00600F02"/>
    <w:rsid w:val="006010B9"/>
    <w:rsid w:val="006023D5"/>
    <w:rsid w:val="00602518"/>
    <w:rsid w:val="00602667"/>
    <w:rsid w:val="00602C9F"/>
    <w:rsid w:val="006032F4"/>
    <w:rsid w:val="00603570"/>
    <w:rsid w:val="00603D65"/>
    <w:rsid w:val="00604615"/>
    <w:rsid w:val="00604A39"/>
    <w:rsid w:val="00604CA1"/>
    <w:rsid w:val="00605046"/>
    <w:rsid w:val="00605C3E"/>
    <w:rsid w:val="00605FAA"/>
    <w:rsid w:val="0060613B"/>
    <w:rsid w:val="006068D8"/>
    <w:rsid w:val="006070B2"/>
    <w:rsid w:val="00607AEB"/>
    <w:rsid w:val="0061018D"/>
    <w:rsid w:val="0061126B"/>
    <w:rsid w:val="006118DC"/>
    <w:rsid w:val="00611D1C"/>
    <w:rsid w:val="0061247F"/>
    <w:rsid w:val="00612824"/>
    <w:rsid w:val="00612C13"/>
    <w:rsid w:val="00612D64"/>
    <w:rsid w:val="00612FB8"/>
    <w:rsid w:val="00613CB3"/>
    <w:rsid w:val="00613EB3"/>
    <w:rsid w:val="00614840"/>
    <w:rsid w:val="0061489B"/>
    <w:rsid w:val="00614B7B"/>
    <w:rsid w:val="00616026"/>
    <w:rsid w:val="00616466"/>
    <w:rsid w:val="00616587"/>
    <w:rsid w:val="00616E70"/>
    <w:rsid w:val="00616EFC"/>
    <w:rsid w:val="00616FF9"/>
    <w:rsid w:val="00617AFE"/>
    <w:rsid w:val="00617B92"/>
    <w:rsid w:val="00617C6C"/>
    <w:rsid w:val="0062055C"/>
    <w:rsid w:val="00620718"/>
    <w:rsid w:val="006209E4"/>
    <w:rsid w:val="00620E92"/>
    <w:rsid w:val="00621054"/>
    <w:rsid w:val="0062123F"/>
    <w:rsid w:val="00621561"/>
    <w:rsid w:val="00622987"/>
    <w:rsid w:val="00622B6F"/>
    <w:rsid w:val="0062309E"/>
    <w:rsid w:val="00623761"/>
    <w:rsid w:val="0062476F"/>
    <w:rsid w:val="0062485E"/>
    <w:rsid w:val="00624C3C"/>
    <w:rsid w:val="00624CCB"/>
    <w:rsid w:val="00624ED5"/>
    <w:rsid w:val="006253F9"/>
    <w:rsid w:val="00625CCD"/>
    <w:rsid w:val="00625D61"/>
    <w:rsid w:val="006263DE"/>
    <w:rsid w:val="00626B73"/>
    <w:rsid w:val="00626DBE"/>
    <w:rsid w:val="00627422"/>
    <w:rsid w:val="006278C9"/>
    <w:rsid w:val="00627ED8"/>
    <w:rsid w:val="006302B1"/>
    <w:rsid w:val="00630575"/>
    <w:rsid w:val="006306D3"/>
    <w:rsid w:val="00630A17"/>
    <w:rsid w:val="00630DCE"/>
    <w:rsid w:val="0063140E"/>
    <w:rsid w:val="006314EF"/>
    <w:rsid w:val="006315D9"/>
    <w:rsid w:val="006316DC"/>
    <w:rsid w:val="00631844"/>
    <w:rsid w:val="00631D65"/>
    <w:rsid w:val="00631FA7"/>
    <w:rsid w:val="00632577"/>
    <w:rsid w:val="0063334C"/>
    <w:rsid w:val="006333D0"/>
    <w:rsid w:val="00633969"/>
    <w:rsid w:val="006339D0"/>
    <w:rsid w:val="00633A7B"/>
    <w:rsid w:val="00633DE3"/>
    <w:rsid w:val="00633F7C"/>
    <w:rsid w:val="0063441D"/>
    <w:rsid w:val="0063477F"/>
    <w:rsid w:val="00635029"/>
    <w:rsid w:val="0063507D"/>
    <w:rsid w:val="006352ED"/>
    <w:rsid w:val="006356AF"/>
    <w:rsid w:val="00635EC3"/>
    <w:rsid w:val="006362AE"/>
    <w:rsid w:val="00636A3E"/>
    <w:rsid w:val="0063733C"/>
    <w:rsid w:val="00637EE1"/>
    <w:rsid w:val="006405FD"/>
    <w:rsid w:val="006409A1"/>
    <w:rsid w:val="00640C43"/>
    <w:rsid w:val="00642716"/>
    <w:rsid w:val="00643440"/>
    <w:rsid w:val="00643CD3"/>
    <w:rsid w:val="00645777"/>
    <w:rsid w:val="00645A76"/>
    <w:rsid w:val="006463BF"/>
    <w:rsid w:val="00646B45"/>
    <w:rsid w:val="00646FA9"/>
    <w:rsid w:val="006473CF"/>
    <w:rsid w:val="006476E4"/>
    <w:rsid w:val="00647B6A"/>
    <w:rsid w:val="006500B2"/>
    <w:rsid w:val="00651448"/>
    <w:rsid w:val="00651836"/>
    <w:rsid w:val="00651C2F"/>
    <w:rsid w:val="00651DA2"/>
    <w:rsid w:val="00653682"/>
    <w:rsid w:val="00653B9B"/>
    <w:rsid w:val="00653DEC"/>
    <w:rsid w:val="00654226"/>
    <w:rsid w:val="006552FA"/>
    <w:rsid w:val="00655917"/>
    <w:rsid w:val="00655B41"/>
    <w:rsid w:val="00655C8B"/>
    <w:rsid w:val="00655F49"/>
    <w:rsid w:val="00656319"/>
    <w:rsid w:val="00656980"/>
    <w:rsid w:val="00657539"/>
    <w:rsid w:val="00660641"/>
    <w:rsid w:val="0066074F"/>
    <w:rsid w:val="006607CE"/>
    <w:rsid w:val="0066096B"/>
    <w:rsid w:val="006619D9"/>
    <w:rsid w:val="00661E75"/>
    <w:rsid w:val="00662134"/>
    <w:rsid w:val="006624CF"/>
    <w:rsid w:val="00662612"/>
    <w:rsid w:val="006627F4"/>
    <w:rsid w:val="00662F95"/>
    <w:rsid w:val="00663E58"/>
    <w:rsid w:val="00663F8E"/>
    <w:rsid w:val="006643C6"/>
    <w:rsid w:val="006652A0"/>
    <w:rsid w:val="006658CE"/>
    <w:rsid w:val="00665E73"/>
    <w:rsid w:val="0066691B"/>
    <w:rsid w:val="00666B5C"/>
    <w:rsid w:val="00666CFD"/>
    <w:rsid w:val="00667407"/>
    <w:rsid w:val="00667553"/>
    <w:rsid w:val="0067003C"/>
    <w:rsid w:val="00670073"/>
    <w:rsid w:val="00670A6A"/>
    <w:rsid w:val="00671485"/>
    <w:rsid w:val="00671508"/>
    <w:rsid w:val="00671B7E"/>
    <w:rsid w:val="00671DE5"/>
    <w:rsid w:val="00671E6A"/>
    <w:rsid w:val="006722F1"/>
    <w:rsid w:val="00672E8F"/>
    <w:rsid w:val="00673E4D"/>
    <w:rsid w:val="00674535"/>
    <w:rsid w:val="00674AC4"/>
    <w:rsid w:val="00674D80"/>
    <w:rsid w:val="00675D3B"/>
    <w:rsid w:val="00675E37"/>
    <w:rsid w:val="006766FB"/>
    <w:rsid w:val="00677268"/>
    <w:rsid w:val="006803C9"/>
    <w:rsid w:val="00680646"/>
    <w:rsid w:val="006807E0"/>
    <w:rsid w:val="00680909"/>
    <w:rsid w:val="006814A9"/>
    <w:rsid w:val="00682824"/>
    <w:rsid w:val="00682D3B"/>
    <w:rsid w:val="00682FB3"/>
    <w:rsid w:val="006830A7"/>
    <w:rsid w:val="00683926"/>
    <w:rsid w:val="00683BD2"/>
    <w:rsid w:val="00683DAC"/>
    <w:rsid w:val="00683F9C"/>
    <w:rsid w:val="00684471"/>
    <w:rsid w:val="006847C4"/>
    <w:rsid w:val="00684A52"/>
    <w:rsid w:val="00684A5C"/>
    <w:rsid w:val="00684B2C"/>
    <w:rsid w:val="00684EEB"/>
    <w:rsid w:val="00687257"/>
    <w:rsid w:val="006878E8"/>
    <w:rsid w:val="00687A54"/>
    <w:rsid w:val="0069010A"/>
    <w:rsid w:val="006901D5"/>
    <w:rsid w:val="00690BCA"/>
    <w:rsid w:val="00691D2D"/>
    <w:rsid w:val="006927AB"/>
    <w:rsid w:val="006928DB"/>
    <w:rsid w:val="00693438"/>
    <w:rsid w:val="00693A62"/>
    <w:rsid w:val="00693BD6"/>
    <w:rsid w:val="00693F91"/>
    <w:rsid w:val="00694249"/>
    <w:rsid w:val="006947B8"/>
    <w:rsid w:val="00694922"/>
    <w:rsid w:val="006949BB"/>
    <w:rsid w:val="00694C13"/>
    <w:rsid w:val="00694ECF"/>
    <w:rsid w:val="006955DB"/>
    <w:rsid w:val="00695709"/>
    <w:rsid w:val="00695769"/>
    <w:rsid w:val="00695FF0"/>
    <w:rsid w:val="00696556"/>
    <w:rsid w:val="006966FF"/>
    <w:rsid w:val="00697725"/>
    <w:rsid w:val="00697942"/>
    <w:rsid w:val="006A0697"/>
    <w:rsid w:val="006A0935"/>
    <w:rsid w:val="006A0A09"/>
    <w:rsid w:val="006A0BF7"/>
    <w:rsid w:val="006A111F"/>
    <w:rsid w:val="006A16CC"/>
    <w:rsid w:val="006A17D4"/>
    <w:rsid w:val="006A1CA3"/>
    <w:rsid w:val="006A1F39"/>
    <w:rsid w:val="006A243B"/>
    <w:rsid w:val="006A243F"/>
    <w:rsid w:val="006A250E"/>
    <w:rsid w:val="006A2717"/>
    <w:rsid w:val="006A27C5"/>
    <w:rsid w:val="006A3A5D"/>
    <w:rsid w:val="006A44F0"/>
    <w:rsid w:val="006A456E"/>
    <w:rsid w:val="006A471A"/>
    <w:rsid w:val="006A4C1D"/>
    <w:rsid w:val="006A4EEB"/>
    <w:rsid w:val="006A5307"/>
    <w:rsid w:val="006A5405"/>
    <w:rsid w:val="006A5702"/>
    <w:rsid w:val="006A58F4"/>
    <w:rsid w:val="006A5EF3"/>
    <w:rsid w:val="006A68D9"/>
    <w:rsid w:val="006A7510"/>
    <w:rsid w:val="006A7CF6"/>
    <w:rsid w:val="006A7DA8"/>
    <w:rsid w:val="006B0049"/>
    <w:rsid w:val="006B1E05"/>
    <w:rsid w:val="006B239F"/>
    <w:rsid w:val="006B25BD"/>
    <w:rsid w:val="006B2777"/>
    <w:rsid w:val="006B29F5"/>
    <w:rsid w:val="006B321A"/>
    <w:rsid w:val="006B3643"/>
    <w:rsid w:val="006B3CFD"/>
    <w:rsid w:val="006B3ECE"/>
    <w:rsid w:val="006B4126"/>
    <w:rsid w:val="006B456B"/>
    <w:rsid w:val="006B45BA"/>
    <w:rsid w:val="006B4999"/>
    <w:rsid w:val="006B4E83"/>
    <w:rsid w:val="006B51D2"/>
    <w:rsid w:val="006B551A"/>
    <w:rsid w:val="006B6338"/>
    <w:rsid w:val="006B6481"/>
    <w:rsid w:val="006B6707"/>
    <w:rsid w:val="006B6C3E"/>
    <w:rsid w:val="006B705E"/>
    <w:rsid w:val="006B7194"/>
    <w:rsid w:val="006B765A"/>
    <w:rsid w:val="006B76BB"/>
    <w:rsid w:val="006B7A5E"/>
    <w:rsid w:val="006C03A7"/>
    <w:rsid w:val="006C071D"/>
    <w:rsid w:val="006C0966"/>
    <w:rsid w:val="006C0A68"/>
    <w:rsid w:val="006C0E63"/>
    <w:rsid w:val="006C16BA"/>
    <w:rsid w:val="006C1F08"/>
    <w:rsid w:val="006C286C"/>
    <w:rsid w:val="006C2D1F"/>
    <w:rsid w:val="006C3843"/>
    <w:rsid w:val="006C3A06"/>
    <w:rsid w:val="006C4B09"/>
    <w:rsid w:val="006C4B9B"/>
    <w:rsid w:val="006C4F7D"/>
    <w:rsid w:val="006C4FBE"/>
    <w:rsid w:val="006C52D6"/>
    <w:rsid w:val="006C55F5"/>
    <w:rsid w:val="006C5E34"/>
    <w:rsid w:val="006C6ACB"/>
    <w:rsid w:val="006C6DE6"/>
    <w:rsid w:val="006C72F9"/>
    <w:rsid w:val="006C7543"/>
    <w:rsid w:val="006C7DAC"/>
    <w:rsid w:val="006D0914"/>
    <w:rsid w:val="006D0B96"/>
    <w:rsid w:val="006D11F8"/>
    <w:rsid w:val="006D142D"/>
    <w:rsid w:val="006D17E3"/>
    <w:rsid w:val="006D1D2E"/>
    <w:rsid w:val="006D1DB0"/>
    <w:rsid w:val="006D1FF2"/>
    <w:rsid w:val="006D20D2"/>
    <w:rsid w:val="006D225A"/>
    <w:rsid w:val="006D22AC"/>
    <w:rsid w:val="006D25DB"/>
    <w:rsid w:val="006D2810"/>
    <w:rsid w:val="006D2E64"/>
    <w:rsid w:val="006D38BD"/>
    <w:rsid w:val="006D4376"/>
    <w:rsid w:val="006D49C7"/>
    <w:rsid w:val="006D5617"/>
    <w:rsid w:val="006D562B"/>
    <w:rsid w:val="006D5661"/>
    <w:rsid w:val="006D570E"/>
    <w:rsid w:val="006D6383"/>
    <w:rsid w:val="006D671B"/>
    <w:rsid w:val="006D6982"/>
    <w:rsid w:val="006D74EA"/>
    <w:rsid w:val="006D7F2E"/>
    <w:rsid w:val="006E027C"/>
    <w:rsid w:val="006E0648"/>
    <w:rsid w:val="006E11F9"/>
    <w:rsid w:val="006E2335"/>
    <w:rsid w:val="006E4DCF"/>
    <w:rsid w:val="006E50E3"/>
    <w:rsid w:val="006E5663"/>
    <w:rsid w:val="006E598C"/>
    <w:rsid w:val="006E5BAF"/>
    <w:rsid w:val="006E5CA6"/>
    <w:rsid w:val="006E61CE"/>
    <w:rsid w:val="006E651D"/>
    <w:rsid w:val="006E661E"/>
    <w:rsid w:val="006E6857"/>
    <w:rsid w:val="006E79FF"/>
    <w:rsid w:val="006E7ECF"/>
    <w:rsid w:val="006F0293"/>
    <w:rsid w:val="006F0368"/>
    <w:rsid w:val="006F0459"/>
    <w:rsid w:val="006F04D1"/>
    <w:rsid w:val="006F05BE"/>
    <w:rsid w:val="006F074E"/>
    <w:rsid w:val="006F0EB7"/>
    <w:rsid w:val="006F1222"/>
    <w:rsid w:val="006F1810"/>
    <w:rsid w:val="006F1A6A"/>
    <w:rsid w:val="006F1A91"/>
    <w:rsid w:val="006F1C21"/>
    <w:rsid w:val="006F1F56"/>
    <w:rsid w:val="006F287C"/>
    <w:rsid w:val="006F3C1E"/>
    <w:rsid w:val="006F3C20"/>
    <w:rsid w:val="006F4775"/>
    <w:rsid w:val="006F4899"/>
    <w:rsid w:val="006F4E82"/>
    <w:rsid w:val="006F5154"/>
    <w:rsid w:val="006F52E0"/>
    <w:rsid w:val="006F54D3"/>
    <w:rsid w:val="006F629B"/>
    <w:rsid w:val="006F6494"/>
    <w:rsid w:val="007003F0"/>
    <w:rsid w:val="00700D4C"/>
    <w:rsid w:val="007014D1"/>
    <w:rsid w:val="0070183E"/>
    <w:rsid w:val="007023E6"/>
    <w:rsid w:val="0070298A"/>
    <w:rsid w:val="00705DD7"/>
    <w:rsid w:val="0070625D"/>
    <w:rsid w:val="007062C4"/>
    <w:rsid w:val="00706518"/>
    <w:rsid w:val="007069AB"/>
    <w:rsid w:val="0070702E"/>
    <w:rsid w:val="00707963"/>
    <w:rsid w:val="007101E4"/>
    <w:rsid w:val="0071038C"/>
    <w:rsid w:val="007105F3"/>
    <w:rsid w:val="00710A61"/>
    <w:rsid w:val="007110FF"/>
    <w:rsid w:val="0071136D"/>
    <w:rsid w:val="00711E26"/>
    <w:rsid w:val="007122EF"/>
    <w:rsid w:val="007125DC"/>
    <w:rsid w:val="007135F1"/>
    <w:rsid w:val="00714121"/>
    <w:rsid w:val="007151B2"/>
    <w:rsid w:val="00715810"/>
    <w:rsid w:val="00716958"/>
    <w:rsid w:val="007169B8"/>
    <w:rsid w:val="0071768F"/>
    <w:rsid w:val="00720CB0"/>
    <w:rsid w:val="00720D96"/>
    <w:rsid w:val="007210C1"/>
    <w:rsid w:val="0072169C"/>
    <w:rsid w:val="007218CF"/>
    <w:rsid w:val="00721E10"/>
    <w:rsid w:val="0072200B"/>
    <w:rsid w:val="007226C1"/>
    <w:rsid w:val="00722B19"/>
    <w:rsid w:val="0072306D"/>
    <w:rsid w:val="00723785"/>
    <w:rsid w:val="00723DD9"/>
    <w:rsid w:val="00724307"/>
    <w:rsid w:val="00724364"/>
    <w:rsid w:val="00724DA1"/>
    <w:rsid w:val="00725451"/>
    <w:rsid w:val="00725C0B"/>
    <w:rsid w:val="007264A7"/>
    <w:rsid w:val="00727FE1"/>
    <w:rsid w:val="0073006E"/>
    <w:rsid w:val="007302F5"/>
    <w:rsid w:val="007317DC"/>
    <w:rsid w:val="00732038"/>
    <w:rsid w:val="007324C2"/>
    <w:rsid w:val="00732834"/>
    <w:rsid w:val="00732CF0"/>
    <w:rsid w:val="00733494"/>
    <w:rsid w:val="00734034"/>
    <w:rsid w:val="00734089"/>
    <w:rsid w:val="0073460C"/>
    <w:rsid w:val="00734E91"/>
    <w:rsid w:val="00735054"/>
    <w:rsid w:val="00735064"/>
    <w:rsid w:val="007350F6"/>
    <w:rsid w:val="00735271"/>
    <w:rsid w:val="00735373"/>
    <w:rsid w:val="007365F9"/>
    <w:rsid w:val="007370B2"/>
    <w:rsid w:val="007376B2"/>
    <w:rsid w:val="007377D2"/>
    <w:rsid w:val="00737DAB"/>
    <w:rsid w:val="0074006A"/>
    <w:rsid w:val="007402A9"/>
    <w:rsid w:val="00740889"/>
    <w:rsid w:val="00740A8E"/>
    <w:rsid w:val="00740F1A"/>
    <w:rsid w:val="00741106"/>
    <w:rsid w:val="00741199"/>
    <w:rsid w:val="007414D1"/>
    <w:rsid w:val="007420B5"/>
    <w:rsid w:val="0074254F"/>
    <w:rsid w:val="007435DA"/>
    <w:rsid w:val="00743680"/>
    <w:rsid w:val="007436E6"/>
    <w:rsid w:val="00743C10"/>
    <w:rsid w:val="00743FBA"/>
    <w:rsid w:val="007441D1"/>
    <w:rsid w:val="00744A4E"/>
    <w:rsid w:val="00744F92"/>
    <w:rsid w:val="00745100"/>
    <w:rsid w:val="00745192"/>
    <w:rsid w:val="00745519"/>
    <w:rsid w:val="00745611"/>
    <w:rsid w:val="0074638C"/>
    <w:rsid w:val="0074642D"/>
    <w:rsid w:val="00746CC0"/>
    <w:rsid w:val="00747A0F"/>
    <w:rsid w:val="00750607"/>
    <w:rsid w:val="0075090E"/>
    <w:rsid w:val="007509A7"/>
    <w:rsid w:val="00750E74"/>
    <w:rsid w:val="007518DC"/>
    <w:rsid w:val="00751A31"/>
    <w:rsid w:val="00751F38"/>
    <w:rsid w:val="007525FF"/>
    <w:rsid w:val="007526E9"/>
    <w:rsid w:val="00752EE1"/>
    <w:rsid w:val="007536D8"/>
    <w:rsid w:val="00753C53"/>
    <w:rsid w:val="00754027"/>
    <w:rsid w:val="0075684D"/>
    <w:rsid w:val="00756D81"/>
    <w:rsid w:val="00756E6F"/>
    <w:rsid w:val="00757706"/>
    <w:rsid w:val="00757E40"/>
    <w:rsid w:val="00760011"/>
    <w:rsid w:val="007600CF"/>
    <w:rsid w:val="00760173"/>
    <w:rsid w:val="00760369"/>
    <w:rsid w:val="007607CD"/>
    <w:rsid w:val="00761CA0"/>
    <w:rsid w:val="00761DCA"/>
    <w:rsid w:val="00761E73"/>
    <w:rsid w:val="007622E1"/>
    <w:rsid w:val="00762EA4"/>
    <w:rsid w:val="0076317C"/>
    <w:rsid w:val="00763393"/>
    <w:rsid w:val="00763502"/>
    <w:rsid w:val="00763C14"/>
    <w:rsid w:val="00764446"/>
    <w:rsid w:val="007648E3"/>
    <w:rsid w:val="00765474"/>
    <w:rsid w:val="0076633E"/>
    <w:rsid w:val="007666FF"/>
    <w:rsid w:val="0076714D"/>
    <w:rsid w:val="00767A54"/>
    <w:rsid w:val="00770A5D"/>
    <w:rsid w:val="00770DC8"/>
    <w:rsid w:val="00770ED9"/>
    <w:rsid w:val="00772B27"/>
    <w:rsid w:val="00772CF2"/>
    <w:rsid w:val="00773FD2"/>
    <w:rsid w:val="00774719"/>
    <w:rsid w:val="00774900"/>
    <w:rsid w:val="00774BB3"/>
    <w:rsid w:val="00774E3F"/>
    <w:rsid w:val="007754FB"/>
    <w:rsid w:val="007759D2"/>
    <w:rsid w:val="007759D9"/>
    <w:rsid w:val="0077611F"/>
    <w:rsid w:val="0077633C"/>
    <w:rsid w:val="00776F41"/>
    <w:rsid w:val="00777B57"/>
    <w:rsid w:val="00777E57"/>
    <w:rsid w:val="00777EB3"/>
    <w:rsid w:val="00777EBF"/>
    <w:rsid w:val="00780BEC"/>
    <w:rsid w:val="007815E8"/>
    <w:rsid w:val="007817E6"/>
    <w:rsid w:val="00781B73"/>
    <w:rsid w:val="00781F88"/>
    <w:rsid w:val="0078277B"/>
    <w:rsid w:val="00782A58"/>
    <w:rsid w:val="00782D93"/>
    <w:rsid w:val="00783C83"/>
    <w:rsid w:val="00783FA8"/>
    <w:rsid w:val="00784223"/>
    <w:rsid w:val="00784D70"/>
    <w:rsid w:val="00785DB3"/>
    <w:rsid w:val="00786DBD"/>
    <w:rsid w:val="00787317"/>
    <w:rsid w:val="00787760"/>
    <w:rsid w:val="00787F16"/>
    <w:rsid w:val="00790DD2"/>
    <w:rsid w:val="00790EED"/>
    <w:rsid w:val="00791769"/>
    <w:rsid w:val="00791FF4"/>
    <w:rsid w:val="00792260"/>
    <w:rsid w:val="007926DC"/>
    <w:rsid w:val="00792994"/>
    <w:rsid w:val="0079325C"/>
    <w:rsid w:val="007949A4"/>
    <w:rsid w:val="00794B02"/>
    <w:rsid w:val="007954D6"/>
    <w:rsid w:val="007958AC"/>
    <w:rsid w:val="007959B1"/>
    <w:rsid w:val="00795DB0"/>
    <w:rsid w:val="00795E0D"/>
    <w:rsid w:val="00796A57"/>
    <w:rsid w:val="00796C7C"/>
    <w:rsid w:val="00797127"/>
    <w:rsid w:val="00797553"/>
    <w:rsid w:val="00797A4C"/>
    <w:rsid w:val="00797E09"/>
    <w:rsid w:val="00797E32"/>
    <w:rsid w:val="007A043F"/>
    <w:rsid w:val="007A0554"/>
    <w:rsid w:val="007A0D78"/>
    <w:rsid w:val="007A1FD0"/>
    <w:rsid w:val="007A2C6C"/>
    <w:rsid w:val="007A32A1"/>
    <w:rsid w:val="007A378A"/>
    <w:rsid w:val="007A3794"/>
    <w:rsid w:val="007A3A46"/>
    <w:rsid w:val="007A3DEB"/>
    <w:rsid w:val="007A3E64"/>
    <w:rsid w:val="007A4DC3"/>
    <w:rsid w:val="007A535F"/>
    <w:rsid w:val="007A5A1D"/>
    <w:rsid w:val="007A5EC7"/>
    <w:rsid w:val="007A68BE"/>
    <w:rsid w:val="007A6CEE"/>
    <w:rsid w:val="007A6EAE"/>
    <w:rsid w:val="007A7626"/>
    <w:rsid w:val="007A7955"/>
    <w:rsid w:val="007A7C10"/>
    <w:rsid w:val="007A7C4F"/>
    <w:rsid w:val="007A7CA6"/>
    <w:rsid w:val="007A7FF1"/>
    <w:rsid w:val="007B0806"/>
    <w:rsid w:val="007B0CE0"/>
    <w:rsid w:val="007B1A9C"/>
    <w:rsid w:val="007B1C33"/>
    <w:rsid w:val="007B1E33"/>
    <w:rsid w:val="007B1F00"/>
    <w:rsid w:val="007B2583"/>
    <w:rsid w:val="007B25A2"/>
    <w:rsid w:val="007B3354"/>
    <w:rsid w:val="007B3FFB"/>
    <w:rsid w:val="007B537C"/>
    <w:rsid w:val="007B563C"/>
    <w:rsid w:val="007B5ADC"/>
    <w:rsid w:val="007B5C96"/>
    <w:rsid w:val="007B6918"/>
    <w:rsid w:val="007B71A5"/>
    <w:rsid w:val="007B721F"/>
    <w:rsid w:val="007B74BE"/>
    <w:rsid w:val="007B7EB2"/>
    <w:rsid w:val="007C09FE"/>
    <w:rsid w:val="007C1D34"/>
    <w:rsid w:val="007C1EBA"/>
    <w:rsid w:val="007C25B9"/>
    <w:rsid w:val="007C27AE"/>
    <w:rsid w:val="007C28CF"/>
    <w:rsid w:val="007C2945"/>
    <w:rsid w:val="007C2E76"/>
    <w:rsid w:val="007C35F7"/>
    <w:rsid w:val="007C3BC7"/>
    <w:rsid w:val="007C3C94"/>
    <w:rsid w:val="007C4749"/>
    <w:rsid w:val="007C528F"/>
    <w:rsid w:val="007C5349"/>
    <w:rsid w:val="007C57E4"/>
    <w:rsid w:val="007C5AEE"/>
    <w:rsid w:val="007C63B7"/>
    <w:rsid w:val="007C7972"/>
    <w:rsid w:val="007D091D"/>
    <w:rsid w:val="007D107C"/>
    <w:rsid w:val="007D129F"/>
    <w:rsid w:val="007D1BDA"/>
    <w:rsid w:val="007D1DA8"/>
    <w:rsid w:val="007D1FA1"/>
    <w:rsid w:val="007D2058"/>
    <w:rsid w:val="007D25F4"/>
    <w:rsid w:val="007D2785"/>
    <w:rsid w:val="007D2AB0"/>
    <w:rsid w:val="007D3240"/>
    <w:rsid w:val="007D34BF"/>
    <w:rsid w:val="007D370D"/>
    <w:rsid w:val="007D4A5C"/>
    <w:rsid w:val="007D5927"/>
    <w:rsid w:val="007D6169"/>
    <w:rsid w:val="007D65E5"/>
    <w:rsid w:val="007D6656"/>
    <w:rsid w:val="007D6D8A"/>
    <w:rsid w:val="007D701F"/>
    <w:rsid w:val="007D72B1"/>
    <w:rsid w:val="007D7CE7"/>
    <w:rsid w:val="007E0A0A"/>
    <w:rsid w:val="007E0AC6"/>
    <w:rsid w:val="007E0B92"/>
    <w:rsid w:val="007E0C81"/>
    <w:rsid w:val="007E0E0B"/>
    <w:rsid w:val="007E1FDF"/>
    <w:rsid w:val="007E2070"/>
    <w:rsid w:val="007E21B7"/>
    <w:rsid w:val="007E2272"/>
    <w:rsid w:val="007E245C"/>
    <w:rsid w:val="007E2AD0"/>
    <w:rsid w:val="007E30AB"/>
    <w:rsid w:val="007E37A5"/>
    <w:rsid w:val="007E40F1"/>
    <w:rsid w:val="007E4229"/>
    <w:rsid w:val="007E42E1"/>
    <w:rsid w:val="007E43F1"/>
    <w:rsid w:val="007E445C"/>
    <w:rsid w:val="007E499D"/>
    <w:rsid w:val="007E5145"/>
    <w:rsid w:val="007E51AA"/>
    <w:rsid w:val="007E5759"/>
    <w:rsid w:val="007E5D04"/>
    <w:rsid w:val="007E6DDB"/>
    <w:rsid w:val="007E7732"/>
    <w:rsid w:val="007E7F4B"/>
    <w:rsid w:val="007F0A2E"/>
    <w:rsid w:val="007F0BA7"/>
    <w:rsid w:val="007F0BDC"/>
    <w:rsid w:val="007F182F"/>
    <w:rsid w:val="007F184B"/>
    <w:rsid w:val="007F1CBB"/>
    <w:rsid w:val="007F1E19"/>
    <w:rsid w:val="007F2EA5"/>
    <w:rsid w:val="007F3D47"/>
    <w:rsid w:val="007F4801"/>
    <w:rsid w:val="007F4BE4"/>
    <w:rsid w:val="007F509F"/>
    <w:rsid w:val="007F58C7"/>
    <w:rsid w:val="007F5C35"/>
    <w:rsid w:val="007F6002"/>
    <w:rsid w:val="007F60A1"/>
    <w:rsid w:val="007F7A0F"/>
    <w:rsid w:val="008001A1"/>
    <w:rsid w:val="00800839"/>
    <w:rsid w:val="00800CC6"/>
    <w:rsid w:val="008010B2"/>
    <w:rsid w:val="0080140D"/>
    <w:rsid w:val="00802A05"/>
    <w:rsid w:val="00802DDF"/>
    <w:rsid w:val="00803326"/>
    <w:rsid w:val="0080348B"/>
    <w:rsid w:val="00803AD7"/>
    <w:rsid w:val="00803C45"/>
    <w:rsid w:val="00804184"/>
    <w:rsid w:val="00804442"/>
    <w:rsid w:val="00805502"/>
    <w:rsid w:val="00805696"/>
    <w:rsid w:val="00805C45"/>
    <w:rsid w:val="00805E1A"/>
    <w:rsid w:val="00806DE5"/>
    <w:rsid w:val="008077AE"/>
    <w:rsid w:val="008100E6"/>
    <w:rsid w:val="008101A3"/>
    <w:rsid w:val="00810537"/>
    <w:rsid w:val="0081056C"/>
    <w:rsid w:val="0081082C"/>
    <w:rsid w:val="00810838"/>
    <w:rsid w:val="00811141"/>
    <w:rsid w:val="0081179C"/>
    <w:rsid w:val="008119A5"/>
    <w:rsid w:val="00811B7C"/>
    <w:rsid w:val="008123D4"/>
    <w:rsid w:val="00812445"/>
    <w:rsid w:val="00812B37"/>
    <w:rsid w:val="00812F69"/>
    <w:rsid w:val="00813285"/>
    <w:rsid w:val="008147F5"/>
    <w:rsid w:val="00814E54"/>
    <w:rsid w:val="00814FC8"/>
    <w:rsid w:val="00815566"/>
    <w:rsid w:val="00815584"/>
    <w:rsid w:val="00815D8F"/>
    <w:rsid w:val="00816B49"/>
    <w:rsid w:val="00816D92"/>
    <w:rsid w:val="008174E6"/>
    <w:rsid w:val="00817D6A"/>
    <w:rsid w:val="008207E0"/>
    <w:rsid w:val="00820EA3"/>
    <w:rsid w:val="0082229F"/>
    <w:rsid w:val="00822E24"/>
    <w:rsid w:val="00822F2E"/>
    <w:rsid w:val="00822F7C"/>
    <w:rsid w:val="0082323B"/>
    <w:rsid w:val="00823307"/>
    <w:rsid w:val="008234D6"/>
    <w:rsid w:val="0082397A"/>
    <w:rsid w:val="00823BC8"/>
    <w:rsid w:val="00823F0C"/>
    <w:rsid w:val="00824528"/>
    <w:rsid w:val="00824D18"/>
    <w:rsid w:val="008258BC"/>
    <w:rsid w:val="00826491"/>
    <w:rsid w:val="00826C34"/>
    <w:rsid w:val="00826D2F"/>
    <w:rsid w:val="0082753F"/>
    <w:rsid w:val="0082787A"/>
    <w:rsid w:val="00827F12"/>
    <w:rsid w:val="00830286"/>
    <w:rsid w:val="00830320"/>
    <w:rsid w:val="00830816"/>
    <w:rsid w:val="00830DE1"/>
    <w:rsid w:val="00831058"/>
    <w:rsid w:val="0083175D"/>
    <w:rsid w:val="00832493"/>
    <w:rsid w:val="0083291D"/>
    <w:rsid w:val="00832BB4"/>
    <w:rsid w:val="00832E35"/>
    <w:rsid w:val="00832F64"/>
    <w:rsid w:val="008331A2"/>
    <w:rsid w:val="00833D39"/>
    <w:rsid w:val="00835B2E"/>
    <w:rsid w:val="00835FC9"/>
    <w:rsid w:val="00836C9C"/>
    <w:rsid w:val="0083755E"/>
    <w:rsid w:val="00840426"/>
    <w:rsid w:val="00840C7C"/>
    <w:rsid w:val="008412AC"/>
    <w:rsid w:val="00842873"/>
    <w:rsid w:val="00842C77"/>
    <w:rsid w:val="00843801"/>
    <w:rsid w:val="00843B4A"/>
    <w:rsid w:val="0084434B"/>
    <w:rsid w:val="00844972"/>
    <w:rsid w:val="0084548B"/>
    <w:rsid w:val="008464E3"/>
    <w:rsid w:val="00846AB8"/>
    <w:rsid w:val="008471A8"/>
    <w:rsid w:val="008505A4"/>
    <w:rsid w:val="008506ED"/>
    <w:rsid w:val="00850CFC"/>
    <w:rsid w:val="00852590"/>
    <w:rsid w:val="00852865"/>
    <w:rsid w:val="0085358F"/>
    <w:rsid w:val="0085360D"/>
    <w:rsid w:val="00853CD7"/>
    <w:rsid w:val="00853F71"/>
    <w:rsid w:val="00854954"/>
    <w:rsid w:val="008549B0"/>
    <w:rsid w:val="00855016"/>
    <w:rsid w:val="008555E0"/>
    <w:rsid w:val="00856C67"/>
    <w:rsid w:val="0085768D"/>
    <w:rsid w:val="00857DEE"/>
    <w:rsid w:val="00857FB3"/>
    <w:rsid w:val="008606B9"/>
    <w:rsid w:val="00861110"/>
    <w:rsid w:val="00862551"/>
    <w:rsid w:val="00862ACC"/>
    <w:rsid w:val="00862E55"/>
    <w:rsid w:val="00863086"/>
    <w:rsid w:val="00863695"/>
    <w:rsid w:val="00864154"/>
    <w:rsid w:val="0086456F"/>
    <w:rsid w:val="00864B68"/>
    <w:rsid w:val="00865E52"/>
    <w:rsid w:val="00865ECB"/>
    <w:rsid w:val="00866041"/>
    <w:rsid w:val="008667F2"/>
    <w:rsid w:val="00866DFB"/>
    <w:rsid w:val="00866E48"/>
    <w:rsid w:val="00866FC5"/>
    <w:rsid w:val="00867767"/>
    <w:rsid w:val="00867A63"/>
    <w:rsid w:val="00870350"/>
    <w:rsid w:val="00870627"/>
    <w:rsid w:val="00870A88"/>
    <w:rsid w:val="008719FB"/>
    <w:rsid w:val="00872247"/>
    <w:rsid w:val="00872403"/>
    <w:rsid w:val="008724AA"/>
    <w:rsid w:val="0087304F"/>
    <w:rsid w:val="00873087"/>
    <w:rsid w:val="008733FE"/>
    <w:rsid w:val="00873F9D"/>
    <w:rsid w:val="008742A8"/>
    <w:rsid w:val="0087489E"/>
    <w:rsid w:val="00876143"/>
    <w:rsid w:val="008764DB"/>
    <w:rsid w:val="00877270"/>
    <w:rsid w:val="00877376"/>
    <w:rsid w:val="008775D0"/>
    <w:rsid w:val="00877DCB"/>
    <w:rsid w:val="00880A4F"/>
    <w:rsid w:val="00881228"/>
    <w:rsid w:val="00881999"/>
    <w:rsid w:val="00881DB6"/>
    <w:rsid w:val="008823D9"/>
    <w:rsid w:val="008826E8"/>
    <w:rsid w:val="00883240"/>
    <w:rsid w:val="00883478"/>
    <w:rsid w:val="00883AD0"/>
    <w:rsid w:val="00883D28"/>
    <w:rsid w:val="0088499A"/>
    <w:rsid w:val="00884DE8"/>
    <w:rsid w:val="0088502F"/>
    <w:rsid w:val="0088510F"/>
    <w:rsid w:val="008853CB"/>
    <w:rsid w:val="00885DE2"/>
    <w:rsid w:val="008863FA"/>
    <w:rsid w:val="008866D0"/>
    <w:rsid w:val="00887141"/>
    <w:rsid w:val="008878A5"/>
    <w:rsid w:val="00890014"/>
    <w:rsid w:val="0089063A"/>
    <w:rsid w:val="00892280"/>
    <w:rsid w:val="008922D3"/>
    <w:rsid w:val="00892D7B"/>
    <w:rsid w:val="00893202"/>
    <w:rsid w:val="008940BB"/>
    <w:rsid w:val="008941EC"/>
    <w:rsid w:val="00894504"/>
    <w:rsid w:val="00894E92"/>
    <w:rsid w:val="008952EC"/>
    <w:rsid w:val="00895D6B"/>
    <w:rsid w:val="00895F34"/>
    <w:rsid w:val="008963F8"/>
    <w:rsid w:val="008966B2"/>
    <w:rsid w:val="00896A2B"/>
    <w:rsid w:val="00896BA2"/>
    <w:rsid w:val="00897546"/>
    <w:rsid w:val="00897932"/>
    <w:rsid w:val="00897CA2"/>
    <w:rsid w:val="008A03FD"/>
    <w:rsid w:val="008A0B3C"/>
    <w:rsid w:val="008A0D90"/>
    <w:rsid w:val="008A15CB"/>
    <w:rsid w:val="008A29B7"/>
    <w:rsid w:val="008A2D89"/>
    <w:rsid w:val="008A2EAE"/>
    <w:rsid w:val="008A3206"/>
    <w:rsid w:val="008A3E56"/>
    <w:rsid w:val="008A5291"/>
    <w:rsid w:val="008A54CD"/>
    <w:rsid w:val="008A5B79"/>
    <w:rsid w:val="008A6189"/>
    <w:rsid w:val="008A677E"/>
    <w:rsid w:val="008A6F73"/>
    <w:rsid w:val="008A709C"/>
    <w:rsid w:val="008A7398"/>
    <w:rsid w:val="008A73C7"/>
    <w:rsid w:val="008A75BA"/>
    <w:rsid w:val="008A75CE"/>
    <w:rsid w:val="008B06D9"/>
    <w:rsid w:val="008B0BD3"/>
    <w:rsid w:val="008B0F28"/>
    <w:rsid w:val="008B2065"/>
    <w:rsid w:val="008B265B"/>
    <w:rsid w:val="008B2EF7"/>
    <w:rsid w:val="008B30E2"/>
    <w:rsid w:val="008B351B"/>
    <w:rsid w:val="008B36B9"/>
    <w:rsid w:val="008B3725"/>
    <w:rsid w:val="008B3852"/>
    <w:rsid w:val="008B3946"/>
    <w:rsid w:val="008B42DA"/>
    <w:rsid w:val="008B473C"/>
    <w:rsid w:val="008B4A9A"/>
    <w:rsid w:val="008B5BA2"/>
    <w:rsid w:val="008B5D1F"/>
    <w:rsid w:val="008B5E3B"/>
    <w:rsid w:val="008C05A0"/>
    <w:rsid w:val="008C085F"/>
    <w:rsid w:val="008C0D1A"/>
    <w:rsid w:val="008C0EB7"/>
    <w:rsid w:val="008C18E4"/>
    <w:rsid w:val="008C1A36"/>
    <w:rsid w:val="008C1A48"/>
    <w:rsid w:val="008C1D07"/>
    <w:rsid w:val="008C1D0B"/>
    <w:rsid w:val="008C1F31"/>
    <w:rsid w:val="008C1FBD"/>
    <w:rsid w:val="008C211F"/>
    <w:rsid w:val="008C228B"/>
    <w:rsid w:val="008C23F7"/>
    <w:rsid w:val="008C2994"/>
    <w:rsid w:val="008C2B9F"/>
    <w:rsid w:val="008C2C7E"/>
    <w:rsid w:val="008C2CF8"/>
    <w:rsid w:val="008C31A0"/>
    <w:rsid w:val="008C3ABE"/>
    <w:rsid w:val="008C3E1F"/>
    <w:rsid w:val="008C4570"/>
    <w:rsid w:val="008C49D3"/>
    <w:rsid w:val="008C49D8"/>
    <w:rsid w:val="008C501F"/>
    <w:rsid w:val="008C5794"/>
    <w:rsid w:val="008C5CFC"/>
    <w:rsid w:val="008C5D41"/>
    <w:rsid w:val="008C63EC"/>
    <w:rsid w:val="008C6844"/>
    <w:rsid w:val="008C6FDF"/>
    <w:rsid w:val="008C7582"/>
    <w:rsid w:val="008C795E"/>
    <w:rsid w:val="008D0BA8"/>
    <w:rsid w:val="008D18EC"/>
    <w:rsid w:val="008D1F9E"/>
    <w:rsid w:val="008D372A"/>
    <w:rsid w:val="008D3752"/>
    <w:rsid w:val="008D3C0B"/>
    <w:rsid w:val="008D4D7E"/>
    <w:rsid w:val="008D59BB"/>
    <w:rsid w:val="008D64F4"/>
    <w:rsid w:val="008D694B"/>
    <w:rsid w:val="008D6C9D"/>
    <w:rsid w:val="008D6EDB"/>
    <w:rsid w:val="008D71FB"/>
    <w:rsid w:val="008D7377"/>
    <w:rsid w:val="008D7524"/>
    <w:rsid w:val="008D78B0"/>
    <w:rsid w:val="008E1B1E"/>
    <w:rsid w:val="008E1FA5"/>
    <w:rsid w:val="008E20BA"/>
    <w:rsid w:val="008E27BD"/>
    <w:rsid w:val="008E2810"/>
    <w:rsid w:val="008E2DBB"/>
    <w:rsid w:val="008E364D"/>
    <w:rsid w:val="008E387A"/>
    <w:rsid w:val="008E3E83"/>
    <w:rsid w:val="008E438D"/>
    <w:rsid w:val="008E4E86"/>
    <w:rsid w:val="008E5013"/>
    <w:rsid w:val="008E550A"/>
    <w:rsid w:val="008E5959"/>
    <w:rsid w:val="008E5AB2"/>
    <w:rsid w:val="008E5BA5"/>
    <w:rsid w:val="008E5CB2"/>
    <w:rsid w:val="008E5FFD"/>
    <w:rsid w:val="008E706C"/>
    <w:rsid w:val="008E75C7"/>
    <w:rsid w:val="008E7777"/>
    <w:rsid w:val="008F0225"/>
    <w:rsid w:val="008F0342"/>
    <w:rsid w:val="008F0849"/>
    <w:rsid w:val="008F0D6A"/>
    <w:rsid w:val="008F12A5"/>
    <w:rsid w:val="008F14AA"/>
    <w:rsid w:val="008F1A64"/>
    <w:rsid w:val="008F1B3E"/>
    <w:rsid w:val="008F2375"/>
    <w:rsid w:val="008F404B"/>
    <w:rsid w:val="008F4880"/>
    <w:rsid w:val="008F4907"/>
    <w:rsid w:val="008F5E1F"/>
    <w:rsid w:val="008F5ED0"/>
    <w:rsid w:val="008F65EF"/>
    <w:rsid w:val="008F6A97"/>
    <w:rsid w:val="008F6C38"/>
    <w:rsid w:val="008F6D77"/>
    <w:rsid w:val="00900AFC"/>
    <w:rsid w:val="009011C3"/>
    <w:rsid w:val="009013FB"/>
    <w:rsid w:val="00901533"/>
    <w:rsid w:val="00901990"/>
    <w:rsid w:val="00901C22"/>
    <w:rsid w:val="009023D8"/>
    <w:rsid w:val="009028AD"/>
    <w:rsid w:val="0090298A"/>
    <w:rsid w:val="00902E49"/>
    <w:rsid w:val="00902E71"/>
    <w:rsid w:val="009035DD"/>
    <w:rsid w:val="00903CF7"/>
    <w:rsid w:val="00903FCE"/>
    <w:rsid w:val="009040CD"/>
    <w:rsid w:val="00904262"/>
    <w:rsid w:val="00904327"/>
    <w:rsid w:val="00904A85"/>
    <w:rsid w:val="0090534C"/>
    <w:rsid w:val="009056EF"/>
    <w:rsid w:val="00905B34"/>
    <w:rsid w:val="0090600E"/>
    <w:rsid w:val="00906EFA"/>
    <w:rsid w:val="00907091"/>
    <w:rsid w:val="00907B40"/>
    <w:rsid w:val="00910280"/>
    <w:rsid w:val="009104C8"/>
    <w:rsid w:val="0091068C"/>
    <w:rsid w:val="00910748"/>
    <w:rsid w:val="009120B0"/>
    <w:rsid w:val="0091223E"/>
    <w:rsid w:val="009126D4"/>
    <w:rsid w:val="00912B16"/>
    <w:rsid w:val="00912F30"/>
    <w:rsid w:val="00912FD7"/>
    <w:rsid w:val="009130F7"/>
    <w:rsid w:val="00913603"/>
    <w:rsid w:val="00914794"/>
    <w:rsid w:val="009152E0"/>
    <w:rsid w:val="00915371"/>
    <w:rsid w:val="00915620"/>
    <w:rsid w:val="00915753"/>
    <w:rsid w:val="00916610"/>
    <w:rsid w:val="009203B0"/>
    <w:rsid w:val="00920A1F"/>
    <w:rsid w:val="009212C0"/>
    <w:rsid w:val="0092142E"/>
    <w:rsid w:val="0092174A"/>
    <w:rsid w:val="009224C0"/>
    <w:rsid w:val="00922694"/>
    <w:rsid w:val="009226E4"/>
    <w:rsid w:val="00922770"/>
    <w:rsid w:val="00922F10"/>
    <w:rsid w:val="0092385C"/>
    <w:rsid w:val="00923ECD"/>
    <w:rsid w:val="00924214"/>
    <w:rsid w:val="00925046"/>
    <w:rsid w:val="0092542D"/>
    <w:rsid w:val="00925B28"/>
    <w:rsid w:val="00925C42"/>
    <w:rsid w:val="00925DCC"/>
    <w:rsid w:val="009261C7"/>
    <w:rsid w:val="00926229"/>
    <w:rsid w:val="009262E8"/>
    <w:rsid w:val="0092664B"/>
    <w:rsid w:val="00926747"/>
    <w:rsid w:val="00926D1A"/>
    <w:rsid w:val="0092720F"/>
    <w:rsid w:val="00927920"/>
    <w:rsid w:val="00927EF8"/>
    <w:rsid w:val="00931326"/>
    <w:rsid w:val="00931968"/>
    <w:rsid w:val="00932155"/>
    <w:rsid w:val="00932E7C"/>
    <w:rsid w:val="00932EFC"/>
    <w:rsid w:val="00933B23"/>
    <w:rsid w:val="00933C52"/>
    <w:rsid w:val="00934C59"/>
    <w:rsid w:val="00935C45"/>
    <w:rsid w:val="00935E1D"/>
    <w:rsid w:val="00935F8D"/>
    <w:rsid w:val="0093650C"/>
    <w:rsid w:val="00936AFF"/>
    <w:rsid w:val="00936BCB"/>
    <w:rsid w:val="00940520"/>
    <w:rsid w:val="00940C7F"/>
    <w:rsid w:val="00940FDA"/>
    <w:rsid w:val="0094182B"/>
    <w:rsid w:val="00941FD6"/>
    <w:rsid w:val="0094207D"/>
    <w:rsid w:val="00942336"/>
    <w:rsid w:val="0094255B"/>
    <w:rsid w:val="009425C3"/>
    <w:rsid w:val="00942897"/>
    <w:rsid w:val="00942A29"/>
    <w:rsid w:val="00943240"/>
    <w:rsid w:val="0094350D"/>
    <w:rsid w:val="00943552"/>
    <w:rsid w:val="00943AF4"/>
    <w:rsid w:val="00943FAD"/>
    <w:rsid w:val="009440A5"/>
    <w:rsid w:val="00945251"/>
    <w:rsid w:val="009452B7"/>
    <w:rsid w:val="009454E8"/>
    <w:rsid w:val="00945B05"/>
    <w:rsid w:val="00945F5C"/>
    <w:rsid w:val="00945FA4"/>
    <w:rsid w:val="0094656E"/>
    <w:rsid w:val="00947A6B"/>
    <w:rsid w:val="009500E0"/>
    <w:rsid w:val="0095048D"/>
    <w:rsid w:val="00950C89"/>
    <w:rsid w:val="00950CC0"/>
    <w:rsid w:val="009515D5"/>
    <w:rsid w:val="0095169C"/>
    <w:rsid w:val="00951847"/>
    <w:rsid w:val="00951CCF"/>
    <w:rsid w:val="00952318"/>
    <w:rsid w:val="009533C4"/>
    <w:rsid w:val="00953A9A"/>
    <w:rsid w:val="00953D36"/>
    <w:rsid w:val="009540AE"/>
    <w:rsid w:val="00954356"/>
    <w:rsid w:val="009546D9"/>
    <w:rsid w:val="00954912"/>
    <w:rsid w:val="00954BF9"/>
    <w:rsid w:val="00954ED2"/>
    <w:rsid w:val="0095556E"/>
    <w:rsid w:val="00956C29"/>
    <w:rsid w:val="00956EB0"/>
    <w:rsid w:val="00956EC5"/>
    <w:rsid w:val="00956F7E"/>
    <w:rsid w:val="00957461"/>
    <w:rsid w:val="009574AF"/>
    <w:rsid w:val="009574DD"/>
    <w:rsid w:val="00957677"/>
    <w:rsid w:val="00957C26"/>
    <w:rsid w:val="00957D13"/>
    <w:rsid w:val="00957FAB"/>
    <w:rsid w:val="0096009B"/>
    <w:rsid w:val="009601B4"/>
    <w:rsid w:val="00960AE8"/>
    <w:rsid w:val="009618A7"/>
    <w:rsid w:val="00962BB9"/>
    <w:rsid w:val="009633AD"/>
    <w:rsid w:val="00963DC6"/>
    <w:rsid w:val="0096452F"/>
    <w:rsid w:val="00964637"/>
    <w:rsid w:val="00964D10"/>
    <w:rsid w:val="00965220"/>
    <w:rsid w:val="009659C7"/>
    <w:rsid w:val="00966167"/>
    <w:rsid w:val="009662B4"/>
    <w:rsid w:val="00966936"/>
    <w:rsid w:val="009678ED"/>
    <w:rsid w:val="00967AB6"/>
    <w:rsid w:val="0097077B"/>
    <w:rsid w:val="009708B1"/>
    <w:rsid w:val="009708CC"/>
    <w:rsid w:val="00971164"/>
    <w:rsid w:val="00971BFC"/>
    <w:rsid w:val="00971ED5"/>
    <w:rsid w:val="009727D1"/>
    <w:rsid w:val="009733F4"/>
    <w:rsid w:val="00973907"/>
    <w:rsid w:val="00974058"/>
    <w:rsid w:val="009748CF"/>
    <w:rsid w:val="00974D8F"/>
    <w:rsid w:val="00975325"/>
    <w:rsid w:val="0097578B"/>
    <w:rsid w:val="00976028"/>
    <w:rsid w:val="00976628"/>
    <w:rsid w:val="00977669"/>
    <w:rsid w:val="00977B68"/>
    <w:rsid w:val="009803F2"/>
    <w:rsid w:val="00981824"/>
    <w:rsid w:val="00981BE0"/>
    <w:rsid w:val="0098223C"/>
    <w:rsid w:val="0098257B"/>
    <w:rsid w:val="00983A54"/>
    <w:rsid w:val="00983AA5"/>
    <w:rsid w:val="00983FCB"/>
    <w:rsid w:val="0098459F"/>
    <w:rsid w:val="009845F6"/>
    <w:rsid w:val="00984E98"/>
    <w:rsid w:val="00985B6E"/>
    <w:rsid w:val="00986542"/>
    <w:rsid w:val="00986AF8"/>
    <w:rsid w:val="00986BFD"/>
    <w:rsid w:val="00986FEB"/>
    <w:rsid w:val="009871BC"/>
    <w:rsid w:val="0099081C"/>
    <w:rsid w:val="00991556"/>
    <w:rsid w:val="00991698"/>
    <w:rsid w:val="00991833"/>
    <w:rsid w:val="0099183C"/>
    <w:rsid w:val="009918CF"/>
    <w:rsid w:val="00991A66"/>
    <w:rsid w:val="009921EB"/>
    <w:rsid w:val="0099329A"/>
    <w:rsid w:val="0099471F"/>
    <w:rsid w:val="009953D8"/>
    <w:rsid w:val="0099556E"/>
    <w:rsid w:val="00995FB7"/>
    <w:rsid w:val="0099675A"/>
    <w:rsid w:val="009967BB"/>
    <w:rsid w:val="009971CA"/>
    <w:rsid w:val="00997753"/>
    <w:rsid w:val="009A01EB"/>
    <w:rsid w:val="009A113E"/>
    <w:rsid w:val="009A14EC"/>
    <w:rsid w:val="009A2655"/>
    <w:rsid w:val="009A27B3"/>
    <w:rsid w:val="009A38EB"/>
    <w:rsid w:val="009A3CEE"/>
    <w:rsid w:val="009A4E72"/>
    <w:rsid w:val="009A5AC4"/>
    <w:rsid w:val="009A6EBD"/>
    <w:rsid w:val="009A6F48"/>
    <w:rsid w:val="009A7020"/>
    <w:rsid w:val="009A709A"/>
    <w:rsid w:val="009A749F"/>
    <w:rsid w:val="009B09E1"/>
    <w:rsid w:val="009B0F6E"/>
    <w:rsid w:val="009B18D9"/>
    <w:rsid w:val="009B1990"/>
    <w:rsid w:val="009B1B84"/>
    <w:rsid w:val="009B1D03"/>
    <w:rsid w:val="009B1D27"/>
    <w:rsid w:val="009B2891"/>
    <w:rsid w:val="009B30CE"/>
    <w:rsid w:val="009B4273"/>
    <w:rsid w:val="009B43CD"/>
    <w:rsid w:val="009B43F0"/>
    <w:rsid w:val="009B4487"/>
    <w:rsid w:val="009B4774"/>
    <w:rsid w:val="009B53BB"/>
    <w:rsid w:val="009B7454"/>
    <w:rsid w:val="009C000B"/>
    <w:rsid w:val="009C0626"/>
    <w:rsid w:val="009C0890"/>
    <w:rsid w:val="009C0933"/>
    <w:rsid w:val="009C0C1B"/>
    <w:rsid w:val="009C1809"/>
    <w:rsid w:val="009C1EE1"/>
    <w:rsid w:val="009C2169"/>
    <w:rsid w:val="009C26C3"/>
    <w:rsid w:val="009C27FD"/>
    <w:rsid w:val="009C2817"/>
    <w:rsid w:val="009C28A1"/>
    <w:rsid w:val="009C295F"/>
    <w:rsid w:val="009C3333"/>
    <w:rsid w:val="009C3C22"/>
    <w:rsid w:val="009C427B"/>
    <w:rsid w:val="009C4E48"/>
    <w:rsid w:val="009C4FD1"/>
    <w:rsid w:val="009C588F"/>
    <w:rsid w:val="009C5A2E"/>
    <w:rsid w:val="009C5D91"/>
    <w:rsid w:val="009C6095"/>
    <w:rsid w:val="009C61BD"/>
    <w:rsid w:val="009C62C1"/>
    <w:rsid w:val="009C63C5"/>
    <w:rsid w:val="009C677F"/>
    <w:rsid w:val="009C690A"/>
    <w:rsid w:val="009C7017"/>
    <w:rsid w:val="009D08F1"/>
    <w:rsid w:val="009D0AAF"/>
    <w:rsid w:val="009D0B60"/>
    <w:rsid w:val="009D1CC2"/>
    <w:rsid w:val="009D292E"/>
    <w:rsid w:val="009D2C64"/>
    <w:rsid w:val="009D3511"/>
    <w:rsid w:val="009D3668"/>
    <w:rsid w:val="009D4C4E"/>
    <w:rsid w:val="009D4F4A"/>
    <w:rsid w:val="009D5506"/>
    <w:rsid w:val="009D581F"/>
    <w:rsid w:val="009D5B06"/>
    <w:rsid w:val="009D6886"/>
    <w:rsid w:val="009D68FA"/>
    <w:rsid w:val="009D6EBC"/>
    <w:rsid w:val="009D7938"/>
    <w:rsid w:val="009D7EE6"/>
    <w:rsid w:val="009E053D"/>
    <w:rsid w:val="009E0FAA"/>
    <w:rsid w:val="009E1B24"/>
    <w:rsid w:val="009E21F0"/>
    <w:rsid w:val="009E2951"/>
    <w:rsid w:val="009E336F"/>
    <w:rsid w:val="009E33D1"/>
    <w:rsid w:val="009E3E5B"/>
    <w:rsid w:val="009E3FB0"/>
    <w:rsid w:val="009E3FFC"/>
    <w:rsid w:val="009E41B6"/>
    <w:rsid w:val="009E4B1B"/>
    <w:rsid w:val="009E4E89"/>
    <w:rsid w:val="009E5800"/>
    <w:rsid w:val="009E6361"/>
    <w:rsid w:val="009E6673"/>
    <w:rsid w:val="009E6949"/>
    <w:rsid w:val="009E72A8"/>
    <w:rsid w:val="009F027A"/>
    <w:rsid w:val="009F049F"/>
    <w:rsid w:val="009F04F2"/>
    <w:rsid w:val="009F0CB4"/>
    <w:rsid w:val="009F140A"/>
    <w:rsid w:val="009F1891"/>
    <w:rsid w:val="009F201E"/>
    <w:rsid w:val="009F2D64"/>
    <w:rsid w:val="009F3FD8"/>
    <w:rsid w:val="009F4162"/>
    <w:rsid w:val="009F4B61"/>
    <w:rsid w:val="009F4CA1"/>
    <w:rsid w:val="009F4ED6"/>
    <w:rsid w:val="009F4ED7"/>
    <w:rsid w:val="009F5187"/>
    <w:rsid w:val="009F53D9"/>
    <w:rsid w:val="009F5EB1"/>
    <w:rsid w:val="009F6517"/>
    <w:rsid w:val="009F7188"/>
    <w:rsid w:val="009F7CE1"/>
    <w:rsid w:val="00A00ABD"/>
    <w:rsid w:val="00A01554"/>
    <w:rsid w:val="00A01888"/>
    <w:rsid w:val="00A01E4D"/>
    <w:rsid w:val="00A02884"/>
    <w:rsid w:val="00A02BAA"/>
    <w:rsid w:val="00A03B95"/>
    <w:rsid w:val="00A03BD2"/>
    <w:rsid w:val="00A041F1"/>
    <w:rsid w:val="00A056E0"/>
    <w:rsid w:val="00A059AB"/>
    <w:rsid w:val="00A07A4E"/>
    <w:rsid w:val="00A07CD7"/>
    <w:rsid w:val="00A101A9"/>
    <w:rsid w:val="00A102A9"/>
    <w:rsid w:val="00A108BE"/>
    <w:rsid w:val="00A10AF8"/>
    <w:rsid w:val="00A10EF9"/>
    <w:rsid w:val="00A11B68"/>
    <w:rsid w:val="00A122EC"/>
    <w:rsid w:val="00A12E2A"/>
    <w:rsid w:val="00A13393"/>
    <w:rsid w:val="00A134FE"/>
    <w:rsid w:val="00A13941"/>
    <w:rsid w:val="00A14842"/>
    <w:rsid w:val="00A14ABC"/>
    <w:rsid w:val="00A16E22"/>
    <w:rsid w:val="00A16EDD"/>
    <w:rsid w:val="00A172E2"/>
    <w:rsid w:val="00A17C85"/>
    <w:rsid w:val="00A22582"/>
    <w:rsid w:val="00A23741"/>
    <w:rsid w:val="00A23CDD"/>
    <w:rsid w:val="00A23F8A"/>
    <w:rsid w:val="00A241D5"/>
    <w:rsid w:val="00A24B58"/>
    <w:rsid w:val="00A24F11"/>
    <w:rsid w:val="00A254D6"/>
    <w:rsid w:val="00A26069"/>
    <w:rsid w:val="00A26202"/>
    <w:rsid w:val="00A267B3"/>
    <w:rsid w:val="00A26988"/>
    <w:rsid w:val="00A27BA1"/>
    <w:rsid w:val="00A27D43"/>
    <w:rsid w:val="00A303F1"/>
    <w:rsid w:val="00A304CC"/>
    <w:rsid w:val="00A30860"/>
    <w:rsid w:val="00A318A6"/>
    <w:rsid w:val="00A327BB"/>
    <w:rsid w:val="00A32D89"/>
    <w:rsid w:val="00A3305C"/>
    <w:rsid w:val="00A33883"/>
    <w:rsid w:val="00A33E2B"/>
    <w:rsid w:val="00A343EB"/>
    <w:rsid w:val="00A34ABC"/>
    <w:rsid w:val="00A3529E"/>
    <w:rsid w:val="00A359BE"/>
    <w:rsid w:val="00A36154"/>
    <w:rsid w:val="00A3707E"/>
    <w:rsid w:val="00A3782D"/>
    <w:rsid w:val="00A4060E"/>
    <w:rsid w:val="00A40881"/>
    <w:rsid w:val="00A40D2A"/>
    <w:rsid w:val="00A413FE"/>
    <w:rsid w:val="00A41A01"/>
    <w:rsid w:val="00A41D2D"/>
    <w:rsid w:val="00A424D2"/>
    <w:rsid w:val="00A429C5"/>
    <w:rsid w:val="00A42AA2"/>
    <w:rsid w:val="00A42AAB"/>
    <w:rsid w:val="00A4313F"/>
    <w:rsid w:val="00A43A86"/>
    <w:rsid w:val="00A43B9A"/>
    <w:rsid w:val="00A4449F"/>
    <w:rsid w:val="00A44BA7"/>
    <w:rsid w:val="00A44C33"/>
    <w:rsid w:val="00A458FA"/>
    <w:rsid w:val="00A45FAF"/>
    <w:rsid w:val="00A4678A"/>
    <w:rsid w:val="00A46A00"/>
    <w:rsid w:val="00A46FC0"/>
    <w:rsid w:val="00A46FD5"/>
    <w:rsid w:val="00A4716C"/>
    <w:rsid w:val="00A47B1D"/>
    <w:rsid w:val="00A50185"/>
    <w:rsid w:val="00A5022C"/>
    <w:rsid w:val="00A5036B"/>
    <w:rsid w:val="00A50589"/>
    <w:rsid w:val="00A50669"/>
    <w:rsid w:val="00A506A9"/>
    <w:rsid w:val="00A5089E"/>
    <w:rsid w:val="00A50D05"/>
    <w:rsid w:val="00A511C4"/>
    <w:rsid w:val="00A51499"/>
    <w:rsid w:val="00A51BD9"/>
    <w:rsid w:val="00A51E9A"/>
    <w:rsid w:val="00A52748"/>
    <w:rsid w:val="00A527B1"/>
    <w:rsid w:val="00A52C9F"/>
    <w:rsid w:val="00A52E1E"/>
    <w:rsid w:val="00A52EE2"/>
    <w:rsid w:val="00A530A4"/>
    <w:rsid w:val="00A53443"/>
    <w:rsid w:val="00A53D4A"/>
    <w:rsid w:val="00A53D51"/>
    <w:rsid w:val="00A53F53"/>
    <w:rsid w:val="00A5404E"/>
    <w:rsid w:val="00A54108"/>
    <w:rsid w:val="00A54839"/>
    <w:rsid w:val="00A55CAC"/>
    <w:rsid w:val="00A55D46"/>
    <w:rsid w:val="00A56C1E"/>
    <w:rsid w:val="00A57022"/>
    <w:rsid w:val="00A57205"/>
    <w:rsid w:val="00A57ADD"/>
    <w:rsid w:val="00A57FA8"/>
    <w:rsid w:val="00A60521"/>
    <w:rsid w:val="00A60561"/>
    <w:rsid w:val="00A6115D"/>
    <w:rsid w:val="00A61531"/>
    <w:rsid w:val="00A61FC5"/>
    <w:rsid w:val="00A620E2"/>
    <w:rsid w:val="00A623A9"/>
    <w:rsid w:val="00A625E1"/>
    <w:rsid w:val="00A627FE"/>
    <w:rsid w:val="00A62A02"/>
    <w:rsid w:val="00A62A2E"/>
    <w:rsid w:val="00A63279"/>
    <w:rsid w:val="00A637F7"/>
    <w:rsid w:val="00A63826"/>
    <w:rsid w:val="00A639BE"/>
    <w:rsid w:val="00A63C3B"/>
    <w:rsid w:val="00A63F33"/>
    <w:rsid w:val="00A64D40"/>
    <w:rsid w:val="00A65AE0"/>
    <w:rsid w:val="00A6647B"/>
    <w:rsid w:val="00A665D4"/>
    <w:rsid w:val="00A70A3E"/>
    <w:rsid w:val="00A70F1F"/>
    <w:rsid w:val="00A7150C"/>
    <w:rsid w:val="00A71DC2"/>
    <w:rsid w:val="00A72E65"/>
    <w:rsid w:val="00A73296"/>
    <w:rsid w:val="00A73A52"/>
    <w:rsid w:val="00A73FF8"/>
    <w:rsid w:val="00A7408A"/>
    <w:rsid w:val="00A7416A"/>
    <w:rsid w:val="00A753B4"/>
    <w:rsid w:val="00A754F2"/>
    <w:rsid w:val="00A759FE"/>
    <w:rsid w:val="00A75F6A"/>
    <w:rsid w:val="00A76042"/>
    <w:rsid w:val="00A76C75"/>
    <w:rsid w:val="00A76DAB"/>
    <w:rsid w:val="00A76E7A"/>
    <w:rsid w:val="00A76EDB"/>
    <w:rsid w:val="00A77219"/>
    <w:rsid w:val="00A7743D"/>
    <w:rsid w:val="00A77452"/>
    <w:rsid w:val="00A7776C"/>
    <w:rsid w:val="00A80A37"/>
    <w:rsid w:val="00A81207"/>
    <w:rsid w:val="00A82516"/>
    <w:rsid w:val="00A82B4E"/>
    <w:rsid w:val="00A849D8"/>
    <w:rsid w:val="00A84D22"/>
    <w:rsid w:val="00A84FE7"/>
    <w:rsid w:val="00A85693"/>
    <w:rsid w:val="00A85A67"/>
    <w:rsid w:val="00A86161"/>
    <w:rsid w:val="00A8616C"/>
    <w:rsid w:val="00A862F5"/>
    <w:rsid w:val="00A86780"/>
    <w:rsid w:val="00A869AF"/>
    <w:rsid w:val="00A86CFF"/>
    <w:rsid w:val="00A8751C"/>
    <w:rsid w:val="00A8780F"/>
    <w:rsid w:val="00A87A79"/>
    <w:rsid w:val="00A87AB5"/>
    <w:rsid w:val="00A87E46"/>
    <w:rsid w:val="00A907F0"/>
    <w:rsid w:val="00A91168"/>
    <w:rsid w:val="00A9153E"/>
    <w:rsid w:val="00A9178B"/>
    <w:rsid w:val="00A918B2"/>
    <w:rsid w:val="00A92265"/>
    <w:rsid w:val="00A923C0"/>
    <w:rsid w:val="00A9245D"/>
    <w:rsid w:val="00A925F2"/>
    <w:rsid w:val="00A92AFF"/>
    <w:rsid w:val="00A930CA"/>
    <w:rsid w:val="00A937D8"/>
    <w:rsid w:val="00A93D41"/>
    <w:rsid w:val="00A943E0"/>
    <w:rsid w:val="00A94590"/>
    <w:rsid w:val="00A94B83"/>
    <w:rsid w:val="00A95769"/>
    <w:rsid w:val="00A9578C"/>
    <w:rsid w:val="00A95972"/>
    <w:rsid w:val="00A973FD"/>
    <w:rsid w:val="00A97AA5"/>
    <w:rsid w:val="00AA0042"/>
    <w:rsid w:val="00AA00DF"/>
    <w:rsid w:val="00AA01A2"/>
    <w:rsid w:val="00AA06DF"/>
    <w:rsid w:val="00AA0734"/>
    <w:rsid w:val="00AA07B8"/>
    <w:rsid w:val="00AA1245"/>
    <w:rsid w:val="00AA1267"/>
    <w:rsid w:val="00AA1469"/>
    <w:rsid w:val="00AA14A2"/>
    <w:rsid w:val="00AA1602"/>
    <w:rsid w:val="00AA1801"/>
    <w:rsid w:val="00AA1F36"/>
    <w:rsid w:val="00AA1FC8"/>
    <w:rsid w:val="00AA2675"/>
    <w:rsid w:val="00AA28B6"/>
    <w:rsid w:val="00AA2EE9"/>
    <w:rsid w:val="00AA30CD"/>
    <w:rsid w:val="00AA3A5B"/>
    <w:rsid w:val="00AA47C1"/>
    <w:rsid w:val="00AA4A5F"/>
    <w:rsid w:val="00AA52DB"/>
    <w:rsid w:val="00AA58E8"/>
    <w:rsid w:val="00AA590F"/>
    <w:rsid w:val="00AA5C3B"/>
    <w:rsid w:val="00AA5F72"/>
    <w:rsid w:val="00AA619C"/>
    <w:rsid w:val="00AA634F"/>
    <w:rsid w:val="00AA63C6"/>
    <w:rsid w:val="00AA677E"/>
    <w:rsid w:val="00AA6AF2"/>
    <w:rsid w:val="00AA6C01"/>
    <w:rsid w:val="00AA73C8"/>
    <w:rsid w:val="00AA75E8"/>
    <w:rsid w:val="00AA79F8"/>
    <w:rsid w:val="00AA7AC4"/>
    <w:rsid w:val="00AA7BB2"/>
    <w:rsid w:val="00AB0297"/>
    <w:rsid w:val="00AB0678"/>
    <w:rsid w:val="00AB0F26"/>
    <w:rsid w:val="00AB0F85"/>
    <w:rsid w:val="00AB2CAB"/>
    <w:rsid w:val="00AB4448"/>
    <w:rsid w:val="00AB4CED"/>
    <w:rsid w:val="00AB5729"/>
    <w:rsid w:val="00AB581D"/>
    <w:rsid w:val="00AB5E0F"/>
    <w:rsid w:val="00AB64F8"/>
    <w:rsid w:val="00AB6AB5"/>
    <w:rsid w:val="00AB6D5D"/>
    <w:rsid w:val="00AB7761"/>
    <w:rsid w:val="00AB7E3B"/>
    <w:rsid w:val="00AC019A"/>
    <w:rsid w:val="00AC0256"/>
    <w:rsid w:val="00AC0332"/>
    <w:rsid w:val="00AC059E"/>
    <w:rsid w:val="00AC0E68"/>
    <w:rsid w:val="00AC2598"/>
    <w:rsid w:val="00AC28C6"/>
    <w:rsid w:val="00AC2E18"/>
    <w:rsid w:val="00AC3492"/>
    <w:rsid w:val="00AC4742"/>
    <w:rsid w:val="00AC4CAE"/>
    <w:rsid w:val="00AC4E17"/>
    <w:rsid w:val="00AC55FA"/>
    <w:rsid w:val="00AC57E6"/>
    <w:rsid w:val="00AC5D09"/>
    <w:rsid w:val="00AC692F"/>
    <w:rsid w:val="00AC7634"/>
    <w:rsid w:val="00AC7B26"/>
    <w:rsid w:val="00AC7FB3"/>
    <w:rsid w:val="00AD0DB9"/>
    <w:rsid w:val="00AD0E4F"/>
    <w:rsid w:val="00AD15A2"/>
    <w:rsid w:val="00AD1B71"/>
    <w:rsid w:val="00AD246B"/>
    <w:rsid w:val="00AD3B54"/>
    <w:rsid w:val="00AD3C18"/>
    <w:rsid w:val="00AD42CC"/>
    <w:rsid w:val="00AD4319"/>
    <w:rsid w:val="00AD5049"/>
    <w:rsid w:val="00AD5266"/>
    <w:rsid w:val="00AD5401"/>
    <w:rsid w:val="00AD549A"/>
    <w:rsid w:val="00AD57FF"/>
    <w:rsid w:val="00AD5CE5"/>
    <w:rsid w:val="00AD5F91"/>
    <w:rsid w:val="00AD6801"/>
    <w:rsid w:val="00AD6C14"/>
    <w:rsid w:val="00AD6C2B"/>
    <w:rsid w:val="00AD7ED1"/>
    <w:rsid w:val="00AE0D53"/>
    <w:rsid w:val="00AE0FA7"/>
    <w:rsid w:val="00AE0FD7"/>
    <w:rsid w:val="00AE1BBA"/>
    <w:rsid w:val="00AE2211"/>
    <w:rsid w:val="00AE2BD1"/>
    <w:rsid w:val="00AE2C94"/>
    <w:rsid w:val="00AE2F55"/>
    <w:rsid w:val="00AE33DB"/>
    <w:rsid w:val="00AE3D8C"/>
    <w:rsid w:val="00AE43A1"/>
    <w:rsid w:val="00AE43DF"/>
    <w:rsid w:val="00AE467D"/>
    <w:rsid w:val="00AE5BC3"/>
    <w:rsid w:val="00AE6FBE"/>
    <w:rsid w:val="00AE7E19"/>
    <w:rsid w:val="00AF050E"/>
    <w:rsid w:val="00AF0A33"/>
    <w:rsid w:val="00AF0AA5"/>
    <w:rsid w:val="00AF14AC"/>
    <w:rsid w:val="00AF39D3"/>
    <w:rsid w:val="00AF4549"/>
    <w:rsid w:val="00AF4A35"/>
    <w:rsid w:val="00AF4B01"/>
    <w:rsid w:val="00AF4C15"/>
    <w:rsid w:val="00AF4D36"/>
    <w:rsid w:val="00AF5C01"/>
    <w:rsid w:val="00AF655F"/>
    <w:rsid w:val="00AF6724"/>
    <w:rsid w:val="00AF6830"/>
    <w:rsid w:val="00AF6E7D"/>
    <w:rsid w:val="00AF70E6"/>
    <w:rsid w:val="00AF78DE"/>
    <w:rsid w:val="00AF793C"/>
    <w:rsid w:val="00B00133"/>
    <w:rsid w:val="00B00270"/>
    <w:rsid w:val="00B00CB9"/>
    <w:rsid w:val="00B00D47"/>
    <w:rsid w:val="00B00EDB"/>
    <w:rsid w:val="00B01365"/>
    <w:rsid w:val="00B01A21"/>
    <w:rsid w:val="00B02444"/>
    <w:rsid w:val="00B02924"/>
    <w:rsid w:val="00B02961"/>
    <w:rsid w:val="00B034A3"/>
    <w:rsid w:val="00B0402A"/>
    <w:rsid w:val="00B040B1"/>
    <w:rsid w:val="00B04346"/>
    <w:rsid w:val="00B04758"/>
    <w:rsid w:val="00B0499C"/>
    <w:rsid w:val="00B05639"/>
    <w:rsid w:val="00B05980"/>
    <w:rsid w:val="00B06A12"/>
    <w:rsid w:val="00B06B98"/>
    <w:rsid w:val="00B1002F"/>
    <w:rsid w:val="00B1108C"/>
    <w:rsid w:val="00B11E7F"/>
    <w:rsid w:val="00B13646"/>
    <w:rsid w:val="00B13BF3"/>
    <w:rsid w:val="00B1439D"/>
    <w:rsid w:val="00B147EC"/>
    <w:rsid w:val="00B14BD8"/>
    <w:rsid w:val="00B16071"/>
    <w:rsid w:val="00B1623E"/>
    <w:rsid w:val="00B1644D"/>
    <w:rsid w:val="00B16853"/>
    <w:rsid w:val="00B169D9"/>
    <w:rsid w:val="00B16B60"/>
    <w:rsid w:val="00B16CBA"/>
    <w:rsid w:val="00B177F5"/>
    <w:rsid w:val="00B2012B"/>
    <w:rsid w:val="00B2099D"/>
    <w:rsid w:val="00B222AD"/>
    <w:rsid w:val="00B22D47"/>
    <w:rsid w:val="00B22E09"/>
    <w:rsid w:val="00B2307C"/>
    <w:rsid w:val="00B239ED"/>
    <w:rsid w:val="00B23BFE"/>
    <w:rsid w:val="00B24069"/>
    <w:rsid w:val="00B2414C"/>
    <w:rsid w:val="00B24F5B"/>
    <w:rsid w:val="00B2533A"/>
    <w:rsid w:val="00B2625A"/>
    <w:rsid w:val="00B263A5"/>
    <w:rsid w:val="00B26650"/>
    <w:rsid w:val="00B26873"/>
    <w:rsid w:val="00B26B24"/>
    <w:rsid w:val="00B276BC"/>
    <w:rsid w:val="00B30546"/>
    <w:rsid w:val="00B31107"/>
    <w:rsid w:val="00B31187"/>
    <w:rsid w:val="00B31800"/>
    <w:rsid w:val="00B31E47"/>
    <w:rsid w:val="00B3202F"/>
    <w:rsid w:val="00B3276C"/>
    <w:rsid w:val="00B33384"/>
    <w:rsid w:val="00B335AA"/>
    <w:rsid w:val="00B33B4E"/>
    <w:rsid w:val="00B34556"/>
    <w:rsid w:val="00B349F0"/>
    <w:rsid w:val="00B34A2E"/>
    <w:rsid w:val="00B34C5C"/>
    <w:rsid w:val="00B35F00"/>
    <w:rsid w:val="00B36FCA"/>
    <w:rsid w:val="00B37526"/>
    <w:rsid w:val="00B37745"/>
    <w:rsid w:val="00B37F4B"/>
    <w:rsid w:val="00B40A41"/>
    <w:rsid w:val="00B40C3E"/>
    <w:rsid w:val="00B40EBF"/>
    <w:rsid w:val="00B41D23"/>
    <w:rsid w:val="00B42046"/>
    <w:rsid w:val="00B4209B"/>
    <w:rsid w:val="00B431B7"/>
    <w:rsid w:val="00B431ED"/>
    <w:rsid w:val="00B441C6"/>
    <w:rsid w:val="00B446AA"/>
    <w:rsid w:val="00B456F7"/>
    <w:rsid w:val="00B459C0"/>
    <w:rsid w:val="00B46262"/>
    <w:rsid w:val="00B4729F"/>
    <w:rsid w:val="00B472B9"/>
    <w:rsid w:val="00B47626"/>
    <w:rsid w:val="00B50058"/>
    <w:rsid w:val="00B5095A"/>
    <w:rsid w:val="00B50BB3"/>
    <w:rsid w:val="00B51392"/>
    <w:rsid w:val="00B51A87"/>
    <w:rsid w:val="00B51CD2"/>
    <w:rsid w:val="00B5232B"/>
    <w:rsid w:val="00B5289B"/>
    <w:rsid w:val="00B52E39"/>
    <w:rsid w:val="00B530F1"/>
    <w:rsid w:val="00B532B3"/>
    <w:rsid w:val="00B53626"/>
    <w:rsid w:val="00B54123"/>
    <w:rsid w:val="00B54546"/>
    <w:rsid w:val="00B54AA2"/>
    <w:rsid w:val="00B558F8"/>
    <w:rsid w:val="00B55D69"/>
    <w:rsid w:val="00B55FD4"/>
    <w:rsid w:val="00B562EA"/>
    <w:rsid w:val="00B56308"/>
    <w:rsid w:val="00B5752E"/>
    <w:rsid w:val="00B577FB"/>
    <w:rsid w:val="00B609DF"/>
    <w:rsid w:val="00B609E3"/>
    <w:rsid w:val="00B61071"/>
    <w:rsid w:val="00B611E4"/>
    <w:rsid w:val="00B611E7"/>
    <w:rsid w:val="00B61225"/>
    <w:rsid w:val="00B61537"/>
    <w:rsid w:val="00B6291B"/>
    <w:rsid w:val="00B636C9"/>
    <w:rsid w:val="00B63C2B"/>
    <w:rsid w:val="00B63ED3"/>
    <w:rsid w:val="00B64203"/>
    <w:rsid w:val="00B64465"/>
    <w:rsid w:val="00B64C1F"/>
    <w:rsid w:val="00B650B4"/>
    <w:rsid w:val="00B6566A"/>
    <w:rsid w:val="00B6653C"/>
    <w:rsid w:val="00B66A0C"/>
    <w:rsid w:val="00B6776B"/>
    <w:rsid w:val="00B67CDD"/>
    <w:rsid w:val="00B67DF4"/>
    <w:rsid w:val="00B67F38"/>
    <w:rsid w:val="00B67F83"/>
    <w:rsid w:val="00B70055"/>
    <w:rsid w:val="00B7015C"/>
    <w:rsid w:val="00B701B4"/>
    <w:rsid w:val="00B7075B"/>
    <w:rsid w:val="00B7196A"/>
    <w:rsid w:val="00B71A79"/>
    <w:rsid w:val="00B71AAA"/>
    <w:rsid w:val="00B72154"/>
    <w:rsid w:val="00B72328"/>
    <w:rsid w:val="00B725A9"/>
    <w:rsid w:val="00B727E4"/>
    <w:rsid w:val="00B728EF"/>
    <w:rsid w:val="00B731F4"/>
    <w:rsid w:val="00B73461"/>
    <w:rsid w:val="00B73922"/>
    <w:rsid w:val="00B73B36"/>
    <w:rsid w:val="00B74889"/>
    <w:rsid w:val="00B748FD"/>
    <w:rsid w:val="00B74A3F"/>
    <w:rsid w:val="00B75114"/>
    <w:rsid w:val="00B7511D"/>
    <w:rsid w:val="00B7526D"/>
    <w:rsid w:val="00B754F5"/>
    <w:rsid w:val="00B75DE4"/>
    <w:rsid w:val="00B761BD"/>
    <w:rsid w:val="00B767CC"/>
    <w:rsid w:val="00B77618"/>
    <w:rsid w:val="00B8000A"/>
    <w:rsid w:val="00B802BE"/>
    <w:rsid w:val="00B80C51"/>
    <w:rsid w:val="00B80CC0"/>
    <w:rsid w:val="00B8155B"/>
    <w:rsid w:val="00B81D4E"/>
    <w:rsid w:val="00B81E45"/>
    <w:rsid w:val="00B82262"/>
    <w:rsid w:val="00B82C52"/>
    <w:rsid w:val="00B83B0B"/>
    <w:rsid w:val="00B847CB"/>
    <w:rsid w:val="00B84EF3"/>
    <w:rsid w:val="00B84F49"/>
    <w:rsid w:val="00B853A3"/>
    <w:rsid w:val="00B85514"/>
    <w:rsid w:val="00B85AD5"/>
    <w:rsid w:val="00B85BA4"/>
    <w:rsid w:val="00B85C59"/>
    <w:rsid w:val="00B86152"/>
    <w:rsid w:val="00B86403"/>
    <w:rsid w:val="00B864F9"/>
    <w:rsid w:val="00B86856"/>
    <w:rsid w:val="00B86FE3"/>
    <w:rsid w:val="00B874EA"/>
    <w:rsid w:val="00B876D7"/>
    <w:rsid w:val="00B912B5"/>
    <w:rsid w:val="00B91995"/>
    <w:rsid w:val="00B92688"/>
    <w:rsid w:val="00B927AC"/>
    <w:rsid w:val="00B92D45"/>
    <w:rsid w:val="00B92E34"/>
    <w:rsid w:val="00B9312B"/>
    <w:rsid w:val="00B933EE"/>
    <w:rsid w:val="00B93423"/>
    <w:rsid w:val="00B93A7B"/>
    <w:rsid w:val="00B9402B"/>
    <w:rsid w:val="00B94803"/>
    <w:rsid w:val="00B95F5D"/>
    <w:rsid w:val="00B96062"/>
    <w:rsid w:val="00B96120"/>
    <w:rsid w:val="00B96226"/>
    <w:rsid w:val="00B96953"/>
    <w:rsid w:val="00B974B7"/>
    <w:rsid w:val="00B97540"/>
    <w:rsid w:val="00B97707"/>
    <w:rsid w:val="00B97A3F"/>
    <w:rsid w:val="00B97B45"/>
    <w:rsid w:val="00BA020C"/>
    <w:rsid w:val="00BA0238"/>
    <w:rsid w:val="00BA031D"/>
    <w:rsid w:val="00BA06B0"/>
    <w:rsid w:val="00BA0CF0"/>
    <w:rsid w:val="00BA0EA9"/>
    <w:rsid w:val="00BA146F"/>
    <w:rsid w:val="00BA1472"/>
    <w:rsid w:val="00BA1570"/>
    <w:rsid w:val="00BA22FA"/>
    <w:rsid w:val="00BA3686"/>
    <w:rsid w:val="00BA3954"/>
    <w:rsid w:val="00BA3B36"/>
    <w:rsid w:val="00BA3E9D"/>
    <w:rsid w:val="00BA4265"/>
    <w:rsid w:val="00BA434D"/>
    <w:rsid w:val="00BA445F"/>
    <w:rsid w:val="00BA4777"/>
    <w:rsid w:val="00BA51A8"/>
    <w:rsid w:val="00BA5E81"/>
    <w:rsid w:val="00BA63BC"/>
    <w:rsid w:val="00BA6475"/>
    <w:rsid w:val="00BA65F5"/>
    <w:rsid w:val="00BA6946"/>
    <w:rsid w:val="00BA6A40"/>
    <w:rsid w:val="00BA6C72"/>
    <w:rsid w:val="00BA6DCA"/>
    <w:rsid w:val="00BA7B3A"/>
    <w:rsid w:val="00BB00FC"/>
    <w:rsid w:val="00BB0440"/>
    <w:rsid w:val="00BB0D2C"/>
    <w:rsid w:val="00BB1825"/>
    <w:rsid w:val="00BB190E"/>
    <w:rsid w:val="00BB199F"/>
    <w:rsid w:val="00BB1B64"/>
    <w:rsid w:val="00BB22DA"/>
    <w:rsid w:val="00BB25F7"/>
    <w:rsid w:val="00BB2BBA"/>
    <w:rsid w:val="00BB2DFE"/>
    <w:rsid w:val="00BB346C"/>
    <w:rsid w:val="00BB3BE0"/>
    <w:rsid w:val="00BB41C5"/>
    <w:rsid w:val="00BB4432"/>
    <w:rsid w:val="00BB4965"/>
    <w:rsid w:val="00BB4F9C"/>
    <w:rsid w:val="00BB50C1"/>
    <w:rsid w:val="00BB58A1"/>
    <w:rsid w:val="00BB5E57"/>
    <w:rsid w:val="00BB5E94"/>
    <w:rsid w:val="00BB5FF4"/>
    <w:rsid w:val="00BB794D"/>
    <w:rsid w:val="00BC019A"/>
    <w:rsid w:val="00BC0657"/>
    <w:rsid w:val="00BC0890"/>
    <w:rsid w:val="00BC0B3D"/>
    <w:rsid w:val="00BC0CD3"/>
    <w:rsid w:val="00BC1C2A"/>
    <w:rsid w:val="00BC2601"/>
    <w:rsid w:val="00BC353C"/>
    <w:rsid w:val="00BC43F6"/>
    <w:rsid w:val="00BC45C2"/>
    <w:rsid w:val="00BC4F14"/>
    <w:rsid w:val="00BC50A6"/>
    <w:rsid w:val="00BC52E1"/>
    <w:rsid w:val="00BC57A3"/>
    <w:rsid w:val="00BC5929"/>
    <w:rsid w:val="00BC5E3E"/>
    <w:rsid w:val="00BC5FA5"/>
    <w:rsid w:val="00BC6000"/>
    <w:rsid w:val="00BC6006"/>
    <w:rsid w:val="00BC6C77"/>
    <w:rsid w:val="00BC6EFD"/>
    <w:rsid w:val="00BC7BE5"/>
    <w:rsid w:val="00BC7E8B"/>
    <w:rsid w:val="00BD0052"/>
    <w:rsid w:val="00BD05DC"/>
    <w:rsid w:val="00BD0799"/>
    <w:rsid w:val="00BD0966"/>
    <w:rsid w:val="00BD0CE2"/>
    <w:rsid w:val="00BD0E57"/>
    <w:rsid w:val="00BD0EAA"/>
    <w:rsid w:val="00BD142B"/>
    <w:rsid w:val="00BD21CC"/>
    <w:rsid w:val="00BD2927"/>
    <w:rsid w:val="00BD29E6"/>
    <w:rsid w:val="00BD335A"/>
    <w:rsid w:val="00BD3D9A"/>
    <w:rsid w:val="00BD40A6"/>
    <w:rsid w:val="00BD4396"/>
    <w:rsid w:val="00BD45A3"/>
    <w:rsid w:val="00BD65CD"/>
    <w:rsid w:val="00BD668D"/>
    <w:rsid w:val="00BD6BF2"/>
    <w:rsid w:val="00BD7194"/>
    <w:rsid w:val="00BD7EEF"/>
    <w:rsid w:val="00BE00EF"/>
    <w:rsid w:val="00BE0781"/>
    <w:rsid w:val="00BE0808"/>
    <w:rsid w:val="00BE0918"/>
    <w:rsid w:val="00BE0B76"/>
    <w:rsid w:val="00BE1077"/>
    <w:rsid w:val="00BE1125"/>
    <w:rsid w:val="00BE19FF"/>
    <w:rsid w:val="00BE3298"/>
    <w:rsid w:val="00BE3772"/>
    <w:rsid w:val="00BE40A4"/>
    <w:rsid w:val="00BE4505"/>
    <w:rsid w:val="00BE4525"/>
    <w:rsid w:val="00BE4553"/>
    <w:rsid w:val="00BE4BDA"/>
    <w:rsid w:val="00BE52D8"/>
    <w:rsid w:val="00BE6376"/>
    <w:rsid w:val="00BE687B"/>
    <w:rsid w:val="00BE7450"/>
    <w:rsid w:val="00BE794A"/>
    <w:rsid w:val="00BF050D"/>
    <w:rsid w:val="00BF0963"/>
    <w:rsid w:val="00BF0A9C"/>
    <w:rsid w:val="00BF13D6"/>
    <w:rsid w:val="00BF1761"/>
    <w:rsid w:val="00BF1A8F"/>
    <w:rsid w:val="00BF1F79"/>
    <w:rsid w:val="00BF2116"/>
    <w:rsid w:val="00BF228D"/>
    <w:rsid w:val="00BF26A0"/>
    <w:rsid w:val="00BF2B87"/>
    <w:rsid w:val="00BF2F8F"/>
    <w:rsid w:val="00BF4314"/>
    <w:rsid w:val="00BF47DC"/>
    <w:rsid w:val="00BF48A5"/>
    <w:rsid w:val="00BF4C97"/>
    <w:rsid w:val="00BF5688"/>
    <w:rsid w:val="00BF62BD"/>
    <w:rsid w:val="00BF6303"/>
    <w:rsid w:val="00BF67F5"/>
    <w:rsid w:val="00BF6998"/>
    <w:rsid w:val="00BF6B96"/>
    <w:rsid w:val="00BF7532"/>
    <w:rsid w:val="00BF7C4F"/>
    <w:rsid w:val="00BF7D2E"/>
    <w:rsid w:val="00C00531"/>
    <w:rsid w:val="00C00564"/>
    <w:rsid w:val="00C02E8E"/>
    <w:rsid w:val="00C03AEF"/>
    <w:rsid w:val="00C048A2"/>
    <w:rsid w:val="00C04E2B"/>
    <w:rsid w:val="00C05240"/>
    <w:rsid w:val="00C05AEF"/>
    <w:rsid w:val="00C05FAA"/>
    <w:rsid w:val="00C066BE"/>
    <w:rsid w:val="00C06A76"/>
    <w:rsid w:val="00C071D0"/>
    <w:rsid w:val="00C0760B"/>
    <w:rsid w:val="00C1020B"/>
    <w:rsid w:val="00C102F9"/>
    <w:rsid w:val="00C10B9D"/>
    <w:rsid w:val="00C10CC8"/>
    <w:rsid w:val="00C1142A"/>
    <w:rsid w:val="00C119A5"/>
    <w:rsid w:val="00C12AB3"/>
    <w:rsid w:val="00C13126"/>
    <w:rsid w:val="00C132B5"/>
    <w:rsid w:val="00C135A5"/>
    <w:rsid w:val="00C13BCD"/>
    <w:rsid w:val="00C14601"/>
    <w:rsid w:val="00C1471D"/>
    <w:rsid w:val="00C151E7"/>
    <w:rsid w:val="00C159B1"/>
    <w:rsid w:val="00C15B0A"/>
    <w:rsid w:val="00C160F0"/>
    <w:rsid w:val="00C1623E"/>
    <w:rsid w:val="00C163AC"/>
    <w:rsid w:val="00C16B99"/>
    <w:rsid w:val="00C16BF7"/>
    <w:rsid w:val="00C1710D"/>
    <w:rsid w:val="00C17998"/>
    <w:rsid w:val="00C17CC9"/>
    <w:rsid w:val="00C17FA3"/>
    <w:rsid w:val="00C20C3E"/>
    <w:rsid w:val="00C20F82"/>
    <w:rsid w:val="00C210C8"/>
    <w:rsid w:val="00C21463"/>
    <w:rsid w:val="00C215FE"/>
    <w:rsid w:val="00C22648"/>
    <w:rsid w:val="00C22936"/>
    <w:rsid w:val="00C22AA4"/>
    <w:rsid w:val="00C237D5"/>
    <w:rsid w:val="00C2447C"/>
    <w:rsid w:val="00C2465F"/>
    <w:rsid w:val="00C24B34"/>
    <w:rsid w:val="00C25451"/>
    <w:rsid w:val="00C25C69"/>
    <w:rsid w:val="00C269B6"/>
    <w:rsid w:val="00C26E7A"/>
    <w:rsid w:val="00C27419"/>
    <w:rsid w:val="00C274F9"/>
    <w:rsid w:val="00C27C62"/>
    <w:rsid w:val="00C30354"/>
    <w:rsid w:val="00C30624"/>
    <w:rsid w:val="00C309EE"/>
    <w:rsid w:val="00C30C65"/>
    <w:rsid w:val="00C32DB5"/>
    <w:rsid w:val="00C33639"/>
    <w:rsid w:val="00C342EC"/>
    <w:rsid w:val="00C34839"/>
    <w:rsid w:val="00C35BB9"/>
    <w:rsid w:val="00C35F07"/>
    <w:rsid w:val="00C35FD1"/>
    <w:rsid w:val="00C360EA"/>
    <w:rsid w:val="00C3694E"/>
    <w:rsid w:val="00C36BC9"/>
    <w:rsid w:val="00C37C7C"/>
    <w:rsid w:val="00C4022F"/>
    <w:rsid w:val="00C405BE"/>
    <w:rsid w:val="00C4097C"/>
    <w:rsid w:val="00C417DD"/>
    <w:rsid w:val="00C418BC"/>
    <w:rsid w:val="00C41ECE"/>
    <w:rsid w:val="00C42339"/>
    <w:rsid w:val="00C42F33"/>
    <w:rsid w:val="00C4368A"/>
    <w:rsid w:val="00C439D6"/>
    <w:rsid w:val="00C43D77"/>
    <w:rsid w:val="00C43D78"/>
    <w:rsid w:val="00C44500"/>
    <w:rsid w:val="00C44BB4"/>
    <w:rsid w:val="00C453A5"/>
    <w:rsid w:val="00C45560"/>
    <w:rsid w:val="00C455FC"/>
    <w:rsid w:val="00C45762"/>
    <w:rsid w:val="00C4583D"/>
    <w:rsid w:val="00C46363"/>
    <w:rsid w:val="00C46DD7"/>
    <w:rsid w:val="00C46F70"/>
    <w:rsid w:val="00C46FA0"/>
    <w:rsid w:val="00C4706E"/>
    <w:rsid w:val="00C47692"/>
    <w:rsid w:val="00C47C8C"/>
    <w:rsid w:val="00C50025"/>
    <w:rsid w:val="00C50288"/>
    <w:rsid w:val="00C5032B"/>
    <w:rsid w:val="00C50A36"/>
    <w:rsid w:val="00C50E69"/>
    <w:rsid w:val="00C511CF"/>
    <w:rsid w:val="00C52038"/>
    <w:rsid w:val="00C523AB"/>
    <w:rsid w:val="00C52617"/>
    <w:rsid w:val="00C53214"/>
    <w:rsid w:val="00C53394"/>
    <w:rsid w:val="00C53B79"/>
    <w:rsid w:val="00C53D34"/>
    <w:rsid w:val="00C540F6"/>
    <w:rsid w:val="00C54A57"/>
    <w:rsid w:val="00C55A3D"/>
    <w:rsid w:val="00C55AD5"/>
    <w:rsid w:val="00C55E28"/>
    <w:rsid w:val="00C56006"/>
    <w:rsid w:val="00C56702"/>
    <w:rsid w:val="00C57480"/>
    <w:rsid w:val="00C57DF1"/>
    <w:rsid w:val="00C60089"/>
    <w:rsid w:val="00C604C1"/>
    <w:rsid w:val="00C60D66"/>
    <w:rsid w:val="00C61A1B"/>
    <w:rsid w:val="00C6327E"/>
    <w:rsid w:val="00C63C2D"/>
    <w:rsid w:val="00C643D1"/>
    <w:rsid w:val="00C6456C"/>
    <w:rsid w:val="00C6497D"/>
    <w:rsid w:val="00C6500C"/>
    <w:rsid w:val="00C6506E"/>
    <w:rsid w:val="00C65AC4"/>
    <w:rsid w:val="00C65D17"/>
    <w:rsid w:val="00C65FCD"/>
    <w:rsid w:val="00C6621A"/>
    <w:rsid w:val="00C667A6"/>
    <w:rsid w:val="00C66F1C"/>
    <w:rsid w:val="00C67031"/>
    <w:rsid w:val="00C67411"/>
    <w:rsid w:val="00C678BB"/>
    <w:rsid w:val="00C67B3F"/>
    <w:rsid w:val="00C714B9"/>
    <w:rsid w:val="00C719B2"/>
    <w:rsid w:val="00C72501"/>
    <w:rsid w:val="00C72C62"/>
    <w:rsid w:val="00C72D39"/>
    <w:rsid w:val="00C7303A"/>
    <w:rsid w:val="00C730D1"/>
    <w:rsid w:val="00C735C8"/>
    <w:rsid w:val="00C73E47"/>
    <w:rsid w:val="00C742E0"/>
    <w:rsid w:val="00C74839"/>
    <w:rsid w:val="00C74EBC"/>
    <w:rsid w:val="00C7501E"/>
    <w:rsid w:val="00C753DB"/>
    <w:rsid w:val="00C75A58"/>
    <w:rsid w:val="00C76F45"/>
    <w:rsid w:val="00C775A7"/>
    <w:rsid w:val="00C777A7"/>
    <w:rsid w:val="00C77B3B"/>
    <w:rsid w:val="00C80633"/>
    <w:rsid w:val="00C810BE"/>
    <w:rsid w:val="00C81354"/>
    <w:rsid w:val="00C81361"/>
    <w:rsid w:val="00C8150C"/>
    <w:rsid w:val="00C8176A"/>
    <w:rsid w:val="00C8180A"/>
    <w:rsid w:val="00C81C46"/>
    <w:rsid w:val="00C8228E"/>
    <w:rsid w:val="00C8297F"/>
    <w:rsid w:val="00C82A3E"/>
    <w:rsid w:val="00C82C61"/>
    <w:rsid w:val="00C8317F"/>
    <w:rsid w:val="00C831EE"/>
    <w:rsid w:val="00C83DD1"/>
    <w:rsid w:val="00C84F0D"/>
    <w:rsid w:val="00C85127"/>
    <w:rsid w:val="00C8682C"/>
    <w:rsid w:val="00C86895"/>
    <w:rsid w:val="00C86A19"/>
    <w:rsid w:val="00C86E03"/>
    <w:rsid w:val="00C86E61"/>
    <w:rsid w:val="00C8703C"/>
    <w:rsid w:val="00C874BA"/>
    <w:rsid w:val="00C903C0"/>
    <w:rsid w:val="00C904AF"/>
    <w:rsid w:val="00C90757"/>
    <w:rsid w:val="00C90AE2"/>
    <w:rsid w:val="00C90BB9"/>
    <w:rsid w:val="00C9152A"/>
    <w:rsid w:val="00C92998"/>
    <w:rsid w:val="00C92A40"/>
    <w:rsid w:val="00C92FC9"/>
    <w:rsid w:val="00C94061"/>
    <w:rsid w:val="00C950CA"/>
    <w:rsid w:val="00C95260"/>
    <w:rsid w:val="00C95762"/>
    <w:rsid w:val="00C95E35"/>
    <w:rsid w:val="00C96CAC"/>
    <w:rsid w:val="00C97456"/>
    <w:rsid w:val="00C97640"/>
    <w:rsid w:val="00C97669"/>
    <w:rsid w:val="00CA13EA"/>
    <w:rsid w:val="00CA159B"/>
    <w:rsid w:val="00CA1D0A"/>
    <w:rsid w:val="00CA2216"/>
    <w:rsid w:val="00CA2650"/>
    <w:rsid w:val="00CA2A37"/>
    <w:rsid w:val="00CA2B8C"/>
    <w:rsid w:val="00CA37A3"/>
    <w:rsid w:val="00CA3B51"/>
    <w:rsid w:val="00CA3D52"/>
    <w:rsid w:val="00CA560F"/>
    <w:rsid w:val="00CA571D"/>
    <w:rsid w:val="00CA5753"/>
    <w:rsid w:val="00CA68F2"/>
    <w:rsid w:val="00CA70E6"/>
    <w:rsid w:val="00CA7D31"/>
    <w:rsid w:val="00CA7D95"/>
    <w:rsid w:val="00CA7E33"/>
    <w:rsid w:val="00CB01F1"/>
    <w:rsid w:val="00CB0317"/>
    <w:rsid w:val="00CB0BD2"/>
    <w:rsid w:val="00CB0EF9"/>
    <w:rsid w:val="00CB1004"/>
    <w:rsid w:val="00CB14C5"/>
    <w:rsid w:val="00CB1D79"/>
    <w:rsid w:val="00CB2CBC"/>
    <w:rsid w:val="00CB35FF"/>
    <w:rsid w:val="00CB36FC"/>
    <w:rsid w:val="00CB394E"/>
    <w:rsid w:val="00CB3D7C"/>
    <w:rsid w:val="00CB4C5F"/>
    <w:rsid w:val="00CB583F"/>
    <w:rsid w:val="00CB6BA8"/>
    <w:rsid w:val="00CB7679"/>
    <w:rsid w:val="00CB772A"/>
    <w:rsid w:val="00CC0005"/>
    <w:rsid w:val="00CC0160"/>
    <w:rsid w:val="00CC0423"/>
    <w:rsid w:val="00CC0FCD"/>
    <w:rsid w:val="00CC11A6"/>
    <w:rsid w:val="00CC134B"/>
    <w:rsid w:val="00CC16C8"/>
    <w:rsid w:val="00CC1776"/>
    <w:rsid w:val="00CC2020"/>
    <w:rsid w:val="00CC3A55"/>
    <w:rsid w:val="00CC4615"/>
    <w:rsid w:val="00CC5011"/>
    <w:rsid w:val="00CC56E3"/>
    <w:rsid w:val="00CC5958"/>
    <w:rsid w:val="00CC5B16"/>
    <w:rsid w:val="00CC67E3"/>
    <w:rsid w:val="00CC6A5D"/>
    <w:rsid w:val="00CC747E"/>
    <w:rsid w:val="00CD050C"/>
    <w:rsid w:val="00CD0CCC"/>
    <w:rsid w:val="00CD11BD"/>
    <w:rsid w:val="00CD1F73"/>
    <w:rsid w:val="00CD2845"/>
    <w:rsid w:val="00CD2A20"/>
    <w:rsid w:val="00CD2D93"/>
    <w:rsid w:val="00CD2E58"/>
    <w:rsid w:val="00CD3367"/>
    <w:rsid w:val="00CD3B7E"/>
    <w:rsid w:val="00CD4B88"/>
    <w:rsid w:val="00CD4BA9"/>
    <w:rsid w:val="00CD4CAB"/>
    <w:rsid w:val="00CD4CFC"/>
    <w:rsid w:val="00CD585C"/>
    <w:rsid w:val="00CD5ADD"/>
    <w:rsid w:val="00CD5EB8"/>
    <w:rsid w:val="00CD60FA"/>
    <w:rsid w:val="00CD64FD"/>
    <w:rsid w:val="00CD66AF"/>
    <w:rsid w:val="00CD6DFF"/>
    <w:rsid w:val="00CD7307"/>
    <w:rsid w:val="00CD7A57"/>
    <w:rsid w:val="00CE08FB"/>
    <w:rsid w:val="00CE1149"/>
    <w:rsid w:val="00CE1248"/>
    <w:rsid w:val="00CE1297"/>
    <w:rsid w:val="00CE17DE"/>
    <w:rsid w:val="00CE2313"/>
    <w:rsid w:val="00CE3C51"/>
    <w:rsid w:val="00CE3EDC"/>
    <w:rsid w:val="00CE5120"/>
    <w:rsid w:val="00CE5414"/>
    <w:rsid w:val="00CE55C7"/>
    <w:rsid w:val="00CE5723"/>
    <w:rsid w:val="00CE5899"/>
    <w:rsid w:val="00CE5A14"/>
    <w:rsid w:val="00CE5AA8"/>
    <w:rsid w:val="00CE646E"/>
    <w:rsid w:val="00CE739A"/>
    <w:rsid w:val="00CE758B"/>
    <w:rsid w:val="00CE7953"/>
    <w:rsid w:val="00CE7F53"/>
    <w:rsid w:val="00CF0646"/>
    <w:rsid w:val="00CF119E"/>
    <w:rsid w:val="00CF11C4"/>
    <w:rsid w:val="00CF13C3"/>
    <w:rsid w:val="00CF1454"/>
    <w:rsid w:val="00CF2238"/>
    <w:rsid w:val="00CF22C7"/>
    <w:rsid w:val="00CF2324"/>
    <w:rsid w:val="00CF23C2"/>
    <w:rsid w:val="00CF3972"/>
    <w:rsid w:val="00CF3F71"/>
    <w:rsid w:val="00CF4A12"/>
    <w:rsid w:val="00CF4D4A"/>
    <w:rsid w:val="00CF69B6"/>
    <w:rsid w:val="00CF6D09"/>
    <w:rsid w:val="00CF7412"/>
    <w:rsid w:val="00CF74D7"/>
    <w:rsid w:val="00CF7C5E"/>
    <w:rsid w:val="00D00637"/>
    <w:rsid w:val="00D007C3"/>
    <w:rsid w:val="00D00926"/>
    <w:rsid w:val="00D00C47"/>
    <w:rsid w:val="00D0142F"/>
    <w:rsid w:val="00D01CD8"/>
    <w:rsid w:val="00D02631"/>
    <w:rsid w:val="00D02BB8"/>
    <w:rsid w:val="00D03456"/>
    <w:rsid w:val="00D0372B"/>
    <w:rsid w:val="00D038D5"/>
    <w:rsid w:val="00D03967"/>
    <w:rsid w:val="00D04ACD"/>
    <w:rsid w:val="00D04F57"/>
    <w:rsid w:val="00D05305"/>
    <w:rsid w:val="00D0563C"/>
    <w:rsid w:val="00D0652E"/>
    <w:rsid w:val="00D066D4"/>
    <w:rsid w:val="00D109C9"/>
    <w:rsid w:val="00D10E82"/>
    <w:rsid w:val="00D114B5"/>
    <w:rsid w:val="00D11911"/>
    <w:rsid w:val="00D12140"/>
    <w:rsid w:val="00D12EDA"/>
    <w:rsid w:val="00D12FB2"/>
    <w:rsid w:val="00D132F4"/>
    <w:rsid w:val="00D134B6"/>
    <w:rsid w:val="00D135D1"/>
    <w:rsid w:val="00D139A9"/>
    <w:rsid w:val="00D13D5E"/>
    <w:rsid w:val="00D1420E"/>
    <w:rsid w:val="00D1496D"/>
    <w:rsid w:val="00D15A05"/>
    <w:rsid w:val="00D15E45"/>
    <w:rsid w:val="00D16099"/>
    <w:rsid w:val="00D16E6D"/>
    <w:rsid w:val="00D1720F"/>
    <w:rsid w:val="00D1795D"/>
    <w:rsid w:val="00D206AF"/>
    <w:rsid w:val="00D206C6"/>
    <w:rsid w:val="00D2091C"/>
    <w:rsid w:val="00D20CE9"/>
    <w:rsid w:val="00D21A58"/>
    <w:rsid w:val="00D220D0"/>
    <w:rsid w:val="00D224B6"/>
    <w:rsid w:val="00D225E4"/>
    <w:rsid w:val="00D22A32"/>
    <w:rsid w:val="00D241F4"/>
    <w:rsid w:val="00D24756"/>
    <w:rsid w:val="00D24830"/>
    <w:rsid w:val="00D24BCD"/>
    <w:rsid w:val="00D25BEE"/>
    <w:rsid w:val="00D25DCA"/>
    <w:rsid w:val="00D26493"/>
    <w:rsid w:val="00D2697D"/>
    <w:rsid w:val="00D27123"/>
    <w:rsid w:val="00D27491"/>
    <w:rsid w:val="00D274ED"/>
    <w:rsid w:val="00D30147"/>
    <w:rsid w:val="00D304FD"/>
    <w:rsid w:val="00D305C2"/>
    <w:rsid w:val="00D309DF"/>
    <w:rsid w:val="00D30C42"/>
    <w:rsid w:val="00D30FB5"/>
    <w:rsid w:val="00D31070"/>
    <w:rsid w:val="00D311E9"/>
    <w:rsid w:val="00D31B72"/>
    <w:rsid w:val="00D320F6"/>
    <w:rsid w:val="00D3220C"/>
    <w:rsid w:val="00D323BB"/>
    <w:rsid w:val="00D325AB"/>
    <w:rsid w:val="00D32768"/>
    <w:rsid w:val="00D3284C"/>
    <w:rsid w:val="00D32AA1"/>
    <w:rsid w:val="00D34639"/>
    <w:rsid w:val="00D34C23"/>
    <w:rsid w:val="00D34D12"/>
    <w:rsid w:val="00D3560D"/>
    <w:rsid w:val="00D35678"/>
    <w:rsid w:val="00D358CC"/>
    <w:rsid w:val="00D35FDB"/>
    <w:rsid w:val="00D361B1"/>
    <w:rsid w:val="00D365A4"/>
    <w:rsid w:val="00D37EDE"/>
    <w:rsid w:val="00D37FEF"/>
    <w:rsid w:val="00D40801"/>
    <w:rsid w:val="00D40FB3"/>
    <w:rsid w:val="00D41733"/>
    <w:rsid w:val="00D41757"/>
    <w:rsid w:val="00D41828"/>
    <w:rsid w:val="00D423C4"/>
    <w:rsid w:val="00D42453"/>
    <w:rsid w:val="00D42DC4"/>
    <w:rsid w:val="00D43AB2"/>
    <w:rsid w:val="00D43DE4"/>
    <w:rsid w:val="00D44293"/>
    <w:rsid w:val="00D447BD"/>
    <w:rsid w:val="00D44C0A"/>
    <w:rsid w:val="00D464E1"/>
    <w:rsid w:val="00D46E93"/>
    <w:rsid w:val="00D46ED4"/>
    <w:rsid w:val="00D47144"/>
    <w:rsid w:val="00D471FA"/>
    <w:rsid w:val="00D477A8"/>
    <w:rsid w:val="00D477D8"/>
    <w:rsid w:val="00D47EF3"/>
    <w:rsid w:val="00D500E4"/>
    <w:rsid w:val="00D50585"/>
    <w:rsid w:val="00D50897"/>
    <w:rsid w:val="00D50CF9"/>
    <w:rsid w:val="00D5118B"/>
    <w:rsid w:val="00D5125D"/>
    <w:rsid w:val="00D5159A"/>
    <w:rsid w:val="00D51938"/>
    <w:rsid w:val="00D51A2B"/>
    <w:rsid w:val="00D52478"/>
    <w:rsid w:val="00D52E00"/>
    <w:rsid w:val="00D5338B"/>
    <w:rsid w:val="00D53545"/>
    <w:rsid w:val="00D537B0"/>
    <w:rsid w:val="00D537D4"/>
    <w:rsid w:val="00D53C13"/>
    <w:rsid w:val="00D544FC"/>
    <w:rsid w:val="00D5484F"/>
    <w:rsid w:val="00D550A8"/>
    <w:rsid w:val="00D5574B"/>
    <w:rsid w:val="00D55CEF"/>
    <w:rsid w:val="00D56525"/>
    <w:rsid w:val="00D5675E"/>
    <w:rsid w:val="00D56AD9"/>
    <w:rsid w:val="00D57009"/>
    <w:rsid w:val="00D570F4"/>
    <w:rsid w:val="00D57371"/>
    <w:rsid w:val="00D573C2"/>
    <w:rsid w:val="00D573EB"/>
    <w:rsid w:val="00D60C03"/>
    <w:rsid w:val="00D60C84"/>
    <w:rsid w:val="00D60FB9"/>
    <w:rsid w:val="00D61913"/>
    <w:rsid w:val="00D61DC0"/>
    <w:rsid w:val="00D620C6"/>
    <w:rsid w:val="00D6256F"/>
    <w:rsid w:val="00D62DDC"/>
    <w:rsid w:val="00D630A0"/>
    <w:rsid w:val="00D631EB"/>
    <w:rsid w:val="00D63782"/>
    <w:rsid w:val="00D6444A"/>
    <w:rsid w:val="00D64644"/>
    <w:rsid w:val="00D64830"/>
    <w:rsid w:val="00D648FF"/>
    <w:rsid w:val="00D64C59"/>
    <w:rsid w:val="00D65621"/>
    <w:rsid w:val="00D656A8"/>
    <w:rsid w:val="00D65CB7"/>
    <w:rsid w:val="00D6645C"/>
    <w:rsid w:val="00D67787"/>
    <w:rsid w:val="00D67F83"/>
    <w:rsid w:val="00D70CCE"/>
    <w:rsid w:val="00D70E20"/>
    <w:rsid w:val="00D71307"/>
    <w:rsid w:val="00D713E9"/>
    <w:rsid w:val="00D72C26"/>
    <w:rsid w:val="00D73351"/>
    <w:rsid w:val="00D7343C"/>
    <w:rsid w:val="00D73925"/>
    <w:rsid w:val="00D73BC6"/>
    <w:rsid w:val="00D74058"/>
    <w:rsid w:val="00D741B2"/>
    <w:rsid w:val="00D7423E"/>
    <w:rsid w:val="00D74662"/>
    <w:rsid w:val="00D74AF6"/>
    <w:rsid w:val="00D74EFD"/>
    <w:rsid w:val="00D756B1"/>
    <w:rsid w:val="00D759BA"/>
    <w:rsid w:val="00D75FE0"/>
    <w:rsid w:val="00D76656"/>
    <w:rsid w:val="00D76CB1"/>
    <w:rsid w:val="00D7763C"/>
    <w:rsid w:val="00D80563"/>
    <w:rsid w:val="00D81322"/>
    <w:rsid w:val="00D813E3"/>
    <w:rsid w:val="00D81C62"/>
    <w:rsid w:val="00D81FB8"/>
    <w:rsid w:val="00D8278D"/>
    <w:rsid w:val="00D83199"/>
    <w:rsid w:val="00D846CA"/>
    <w:rsid w:val="00D850CE"/>
    <w:rsid w:val="00D85AE5"/>
    <w:rsid w:val="00D85B8E"/>
    <w:rsid w:val="00D86482"/>
    <w:rsid w:val="00D86F47"/>
    <w:rsid w:val="00D87AC7"/>
    <w:rsid w:val="00D90F29"/>
    <w:rsid w:val="00D91731"/>
    <w:rsid w:val="00D91890"/>
    <w:rsid w:val="00D9224C"/>
    <w:rsid w:val="00D92384"/>
    <w:rsid w:val="00D924B6"/>
    <w:rsid w:val="00D925E3"/>
    <w:rsid w:val="00D93155"/>
    <w:rsid w:val="00D93728"/>
    <w:rsid w:val="00D93EF4"/>
    <w:rsid w:val="00D9410D"/>
    <w:rsid w:val="00D946B6"/>
    <w:rsid w:val="00D94A8B"/>
    <w:rsid w:val="00D95043"/>
    <w:rsid w:val="00D967E2"/>
    <w:rsid w:val="00D978E6"/>
    <w:rsid w:val="00DA0108"/>
    <w:rsid w:val="00DA091C"/>
    <w:rsid w:val="00DA214E"/>
    <w:rsid w:val="00DA2917"/>
    <w:rsid w:val="00DA2ECA"/>
    <w:rsid w:val="00DA3212"/>
    <w:rsid w:val="00DA3432"/>
    <w:rsid w:val="00DA38B4"/>
    <w:rsid w:val="00DA38C6"/>
    <w:rsid w:val="00DA3914"/>
    <w:rsid w:val="00DA3B04"/>
    <w:rsid w:val="00DA3BF8"/>
    <w:rsid w:val="00DA3D76"/>
    <w:rsid w:val="00DA40C8"/>
    <w:rsid w:val="00DA44A2"/>
    <w:rsid w:val="00DA464D"/>
    <w:rsid w:val="00DA4660"/>
    <w:rsid w:val="00DA512D"/>
    <w:rsid w:val="00DA59A0"/>
    <w:rsid w:val="00DA6ECD"/>
    <w:rsid w:val="00DA7578"/>
    <w:rsid w:val="00DA7D2B"/>
    <w:rsid w:val="00DA7E6D"/>
    <w:rsid w:val="00DB1117"/>
    <w:rsid w:val="00DB1232"/>
    <w:rsid w:val="00DB1D2A"/>
    <w:rsid w:val="00DB1DBF"/>
    <w:rsid w:val="00DB2CB7"/>
    <w:rsid w:val="00DB3FE9"/>
    <w:rsid w:val="00DB4377"/>
    <w:rsid w:val="00DB5465"/>
    <w:rsid w:val="00DB5F6A"/>
    <w:rsid w:val="00DB61E6"/>
    <w:rsid w:val="00DB6BED"/>
    <w:rsid w:val="00DB7109"/>
    <w:rsid w:val="00DB7114"/>
    <w:rsid w:val="00DB7DC7"/>
    <w:rsid w:val="00DC00D2"/>
    <w:rsid w:val="00DC108F"/>
    <w:rsid w:val="00DC123C"/>
    <w:rsid w:val="00DC1960"/>
    <w:rsid w:val="00DC246C"/>
    <w:rsid w:val="00DC3074"/>
    <w:rsid w:val="00DC4295"/>
    <w:rsid w:val="00DC4317"/>
    <w:rsid w:val="00DC516B"/>
    <w:rsid w:val="00DC52DC"/>
    <w:rsid w:val="00DC54F0"/>
    <w:rsid w:val="00DC5C73"/>
    <w:rsid w:val="00DC70C7"/>
    <w:rsid w:val="00DC714F"/>
    <w:rsid w:val="00DC7448"/>
    <w:rsid w:val="00DC7B68"/>
    <w:rsid w:val="00DC7DF8"/>
    <w:rsid w:val="00DC7E26"/>
    <w:rsid w:val="00DD0386"/>
    <w:rsid w:val="00DD0423"/>
    <w:rsid w:val="00DD0663"/>
    <w:rsid w:val="00DD07C1"/>
    <w:rsid w:val="00DD0E8B"/>
    <w:rsid w:val="00DD1381"/>
    <w:rsid w:val="00DD1917"/>
    <w:rsid w:val="00DD1FEA"/>
    <w:rsid w:val="00DD2C65"/>
    <w:rsid w:val="00DD332D"/>
    <w:rsid w:val="00DD3F10"/>
    <w:rsid w:val="00DD3F4C"/>
    <w:rsid w:val="00DD4392"/>
    <w:rsid w:val="00DD4708"/>
    <w:rsid w:val="00DD4B96"/>
    <w:rsid w:val="00DD63B4"/>
    <w:rsid w:val="00DD64EB"/>
    <w:rsid w:val="00DD65A6"/>
    <w:rsid w:val="00DD67B5"/>
    <w:rsid w:val="00DD7F97"/>
    <w:rsid w:val="00DE0220"/>
    <w:rsid w:val="00DE06AB"/>
    <w:rsid w:val="00DE08A9"/>
    <w:rsid w:val="00DE1203"/>
    <w:rsid w:val="00DE1809"/>
    <w:rsid w:val="00DE1C7E"/>
    <w:rsid w:val="00DE20DD"/>
    <w:rsid w:val="00DE240B"/>
    <w:rsid w:val="00DE2BEB"/>
    <w:rsid w:val="00DE32DE"/>
    <w:rsid w:val="00DE390E"/>
    <w:rsid w:val="00DE3993"/>
    <w:rsid w:val="00DE3C85"/>
    <w:rsid w:val="00DE3E04"/>
    <w:rsid w:val="00DE3FBF"/>
    <w:rsid w:val="00DE5F3C"/>
    <w:rsid w:val="00DE6496"/>
    <w:rsid w:val="00DE6B1F"/>
    <w:rsid w:val="00DE6B62"/>
    <w:rsid w:val="00DE6F20"/>
    <w:rsid w:val="00DE76E6"/>
    <w:rsid w:val="00DE7C21"/>
    <w:rsid w:val="00DF0BF6"/>
    <w:rsid w:val="00DF0FBA"/>
    <w:rsid w:val="00DF112B"/>
    <w:rsid w:val="00DF1550"/>
    <w:rsid w:val="00DF2B9A"/>
    <w:rsid w:val="00DF2C47"/>
    <w:rsid w:val="00DF2D95"/>
    <w:rsid w:val="00DF2EEC"/>
    <w:rsid w:val="00DF3614"/>
    <w:rsid w:val="00DF3F06"/>
    <w:rsid w:val="00DF4322"/>
    <w:rsid w:val="00DF4760"/>
    <w:rsid w:val="00DF4F52"/>
    <w:rsid w:val="00DF526F"/>
    <w:rsid w:val="00DF5978"/>
    <w:rsid w:val="00DF5A4A"/>
    <w:rsid w:val="00DF5CCC"/>
    <w:rsid w:val="00DF6152"/>
    <w:rsid w:val="00DF6442"/>
    <w:rsid w:val="00DF69FF"/>
    <w:rsid w:val="00DF729E"/>
    <w:rsid w:val="00DF72CA"/>
    <w:rsid w:val="00E00D83"/>
    <w:rsid w:val="00E00E0C"/>
    <w:rsid w:val="00E01A13"/>
    <w:rsid w:val="00E01CBE"/>
    <w:rsid w:val="00E02482"/>
    <w:rsid w:val="00E035E9"/>
    <w:rsid w:val="00E037E6"/>
    <w:rsid w:val="00E03F6B"/>
    <w:rsid w:val="00E0443E"/>
    <w:rsid w:val="00E04725"/>
    <w:rsid w:val="00E04856"/>
    <w:rsid w:val="00E04A3C"/>
    <w:rsid w:val="00E04D4E"/>
    <w:rsid w:val="00E060F7"/>
    <w:rsid w:val="00E06248"/>
    <w:rsid w:val="00E06756"/>
    <w:rsid w:val="00E06906"/>
    <w:rsid w:val="00E072B0"/>
    <w:rsid w:val="00E075B5"/>
    <w:rsid w:val="00E07A05"/>
    <w:rsid w:val="00E104B2"/>
    <w:rsid w:val="00E10B95"/>
    <w:rsid w:val="00E10F08"/>
    <w:rsid w:val="00E113B2"/>
    <w:rsid w:val="00E1194F"/>
    <w:rsid w:val="00E14536"/>
    <w:rsid w:val="00E14776"/>
    <w:rsid w:val="00E14986"/>
    <w:rsid w:val="00E14D54"/>
    <w:rsid w:val="00E15306"/>
    <w:rsid w:val="00E15489"/>
    <w:rsid w:val="00E15784"/>
    <w:rsid w:val="00E15B76"/>
    <w:rsid w:val="00E15EEB"/>
    <w:rsid w:val="00E1670F"/>
    <w:rsid w:val="00E167DC"/>
    <w:rsid w:val="00E171C0"/>
    <w:rsid w:val="00E175AF"/>
    <w:rsid w:val="00E201E9"/>
    <w:rsid w:val="00E205C0"/>
    <w:rsid w:val="00E21315"/>
    <w:rsid w:val="00E21AD3"/>
    <w:rsid w:val="00E21D7F"/>
    <w:rsid w:val="00E23329"/>
    <w:rsid w:val="00E23CDF"/>
    <w:rsid w:val="00E24665"/>
    <w:rsid w:val="00E24920"/>
    <w:rsid w:val="00E24D2F"/>
    <w:rsid w:val="00E25633"/>
    <w:rsid w:val="00E2583B"/>
    <w:rsid w:val="00E2660A"/>
    <w:rsid w:val="00E26883"/>
    <w:rsid w:val="00E26935"/>
    <w:rsid w:val="00E26AC8"/>
    <w:rsid w:val="00E26F7C"/>
    <w:rsid w:val="00E26FFB"/>
    <w:rsid w:val="00E270A7"/>
    <w:rsid w:val="00E302BC"/>
    <w:rsid w:val="00E30775"/>
    <w:rsid w:val="00E30B91"/>
    <w:rsid w:val="00E30E60"/>
    <w:rsid w:val="00E31E3C"/>
    <w:rsid w:val="00E3293F"/>
    <w:rsid w:val="00E32EC7"/>
    <w:rsid w:val="00E33458"/>
    <w:rsid w:val="00E3422D"/>
    <w:rsid w:val="00E35145"/>
    <w:rsid w:val="00E35500"/>
    <w:rsid w:val="00E36940"/>
    <w:rsid w:val="00E37B4B"/>
    <w:rsid w:val="00E37DD8"/>
    <w:rsid w:val="00E40CC5"/>
    <w:rsid w:val="00E40E9A"/>
    <w:rsid w:val="00E414F1"/>
    <w:rsid w:val="00E41700"/>
    <w:rsid w:val="00E419A3"/>
    <w:rsid w:val="00E41A3B"/>
    <w:rsid w:val="00E41AB2"/>
    <w:rsid w:val="00E41D4C"/>
    <w:rsid w:val="00E41FFF"/>
    <w:rsid w:val="00E42301"/>
    <w:rsid w:val="00E42CBF"/>
    <w:rsid w:val="00E431BD"/>
    <w:rsid w:val="00E434E9"/>
    <w:rsid w:val="00E4398E"/>
    <w:rsid w:val="00E43A25"/>
    <w:rsid w:val="00E440E5"/>
    <w:rsid w:val="00E4421D"/>
    <w:rsid w:val="00E44353"/>
    <w:rsid w:val="00E44ED2"/>
    <w:rsid w:val="00E454FD"/>
    <w:rsid w:val="00E455B6"/>
    <w:rsid w:val="00E46030"/>
    <w:rsid w:val="00E46A99"/>
    <w:rsid w:val="00E46F46"/>
    <w:rsid w:val="00E46FA8"/>
    <w:rsid w:val="00E47208"/>
    <w:rsid w:val="00E47839"/>
    <w:rsid w:val="00E50AC6"/>
    <w:rsid w:val="00E520D2"/>
    <w:rsid w:val="00E527FA"/>
    <w:rsid w:val="00E530E0"/>
    <w:rsid w:val="00E53861"/>
    <w:rsid w:val="00E53A46"/>
    <w:rsid w:val="00E53EBE"/>
    <w:rsid w:val="00E53F09"/>
    <w:rsid w:val="00E544E3"/>
    <w:rsid w:val="00E54C70"/>
    <w:rsid w:val="00E60B83"/>
    <w:rsid w:val="00E611B7"/>
    <w:rsid w:val="00E6135C"/>
    <w:rsid w:val="00E61647"/>
    <w:rsid w:val="00E619F3"/>
    <w:rsid w:val="00E637A4"/>
    <w:rsid w:val="00E63861"/>
    <w:rsid w:val="00E64597"/>
    <w:rsid w:val="00E64907"/>
    <w:rsid w:val="00E64C97"/>
    <w:rsid w:val="00E65281"/>
    <w:rsid w:val="00E65497"/>
    <w:rsid w:val="00E656F0"/>
    <w:rsid w:val="00E65E2D"/>
    <w:rsid w:val="00E65EB3"/>
    <w:rsid w:val="00E6781C"/>
    <w:rsid w:val="00E67D06"/>
    <w:rsid w:val="00E7017E"/>
    <w:rsid w:val="00E7027C"/>
    <w:rsid w:val="00E7053F"/>
    <w:rsid w:val="00E70577"/>
    <w:rsid w:val="00E709DB"/>
    <w:rsid w:val="00E70C09"/>
    <w:rsid w:val="00E715C9"/>
    <w:rsid w:val="00E71A4C"/>
    <w:rsid w:val="00E71AB1"/>
    <w:rsid w:val="00E71E2C"/>
    <w:rsid w:val="00E71EC2"/>
    <w:rsid w:val="00E720C1"/>
    <w:rsid w:val="00E7258E"/>
    <w:rsid w:val="00E72721"/>
    <w:rsid w:val="00E738E0"/>
    <w:rsid w:val="00E738F2"/>
    <w:rsid w:val="00E73985"/>
    <w:rsid w:val="00E74711"/>
    <w:rsid w:val="00E74B94"/>
    <w:rsid w:val="00E74F0A"/>
    <w:rsid w:val="00E7544A"/>
    <w:rsid w:val="00E754CC"/>
    <w:rsid w:val="00E775CC"/>
    <w:rsid w:val="00E776D6"/>
    <w:rsid w:val="00E7789F"/>
    <w:rsid w:val="00E804DE"/>
    <w:rsid w:val="00E80902"/>
    <w:rsid w:val="00E81007"/>
    <w:rsid w:val="00E810D4"/>
    <w:rsid w:val="00E811B2"/>
    <w:rsid w:val="00E81712"/>
    <w:rsid w:val="00E818D2"/>
    <w:rsid w:val="00E8196E"/>
    <w:rsid w:val="00E81CAD"/>
    <w:rsid w:val="00E82540"/>
    <w:rsid w:val="00E825E5"/>
    <w:rsid w:val="00E82975"/>
    <w:rsid w:val="00E82ADF"/>
    <w:rsid w:val="00E82B3D"/>
    <w:rsid w:val="00E82E88"/>
    <w:rsid w:val="00E83F2B"/>
    <w:rsid w:val="00E8469C"/>
    <w:rsid w:val="00E84894"/>
    <w:rsid w:val="00E84E89"/>
    <w:rsid w:val="00E858AC"/>
    <w:rsid w:val="00E8663A"/>
    <w:rsid w:val="00E86CEC"/>
    <w:rsid w:val="00E8741B"/>
    <w:rsid w:val="00E878BA"/>
    <w:rsid w:val="00E87AB8"/>
    <w:rsid w:val="00E87B3F"/>
    <w:rsid w:val="00E87C98"/>
    <w:rsid w:val="00E90596"/>
    <w:rsid w:val="00E90738"/>
    <w:rsid w:val="00E907B3"/>
    <w:rsid w:val="00E90D21"/>
    <w:rsid w:val="00E90F39"/>
    <w:rsid w:val="00E9164F"/>
    <w:rsid w:val="00E91AC6"/>
    <w:rsid w:val="00E922D1"/>
    <w:rsid w:val="00E92AB4"/>
    <w:rsid w:val="00E932D8"/>
    <w:rsid w:val="00E93762"/>
    <w:rsid w:val="00E93B5E"/>
    <w:rsid w:val="00E94130"/>
    <w:rsid w:val="00E94490"/>
    <w:rsid w:val="00E94872"/>
    <w:rsid w:val="00E95A7A"/>
    <w:rsid w:val="00E96291"/>
    <w:rsid w:val="00E963AE"/>
    <w:rsid w:val="00E96703"/>
    <w:rsid w:val="00E9674E"/>
    <w:rsid w:val="00E9676C"/>
    <w:rsid w:val="00E96A0C"/>
    <w:rsid w:val="00E97967"/>
    <w:rsid w:val="00E979BA"/>
    <w:rsid w:val="00EA121D"/>
    <w:rsid w:val="00EA13C4"/>
    <w:rsid w:val="00EA1421"/>
    <w:rsid w:val="00EA1A67"/>
    <w:rsid w:val="00EA1A6F"/>
    <w:rsid w:val="00EA2360"/>
    <w:rsid w:val="00EA2497"/>
    <w:rsid w:val="00EA2654"/>
    <w:rsid w:val="00EA2698"/>
    <w:rsid w:val="00EA2EF8"/>
    <w:rsid w:val="00EA3488"/>
    <w:rsid w:val="00EA36DB"/>
    <w:rsid w:val="00EA3F95"/>
    <w:rsid w:val="00EA4F7D"/>
    <w:rsid w:val="00EA5223"/>
    <w:rsid w:val="00EA5F38"/>
    <w:rsid w:val="00EA5FAD"/>
    <w:rsid w:val="00EA6128"/>
    <w:rsid w:val="00EA61DE"/>
    <w:rsid w:val="00EA63FA"/>
    <w:rsid w:val="00EA6699"/>
    <w:rsid w:val="00EA6BD6"/>
    <w:rsid w:val="00EA6F72"/>
    <w:rsid w:val="00EA79F7"/>
    <w:rsid w:val="00EA7F2C"/>
    <w:rsid w:val="00EB020D"/>
    <w:rsid w:val="00EB0C59"/>
    <w:rsid w:val="00EB0D28"/>
    <w:rsid w:val="00EB0E89"/>
    <w:rsid w:val="00EB162D"/>
    <w:rsid w:val="00EB173D"/>
    <w:rsid w:val="00EB1E13"/>
    <w:rsid w:val="00EB1FDA"/>
    <w:rsid w:val="00EB290D"/>
    <w:rsid w:val="00EB2E5A"/>
    <w:rsid w:val="00EB2FA2"/>
    <w:rsid w:val="00EB3189"/>
    <w:rsid w:val="00EB393C"/>
    <w:rsid w:val="00EB3C4F"/>
    <w:rsid w:val="00EB48FA"/>
    <w:rsid w:val="00EB49C4"/>
    <w:rsid w:val="00EB539C"/>
    <w:rsid w:val="00EB5657"/>
    <w:rsid w:val="00EB7469"/>
    <w:rsid w:val="00EC0E57"/>
    <w:rsid w:val="00EC11A9"/>
    <w:rsid w:val="00EC12E0"/>
    <w:rsid w:val="00EC14B1"/>
    <w:rsid w:val="00EC2142"/>
    <w:rsid w:val="00EC2488"/>
    <w:rsid w:val="00EC2E58"/>
    <w:rsid w:val="00EC41C5"/>
    <w:rsid w:val="00EC4521"/>
    <w:rsid w:val="00EC4B2E"/>
    <w:rsid w:val="00EC4D2C"/>
    <w:rsid w:val="00EC4F2C"/>
    <w:rsid w:val="00EC65FA"/>
    <w:rsid w:val="00EC6D0B"/>
    <w:rsid w:val="00EC6D19"/>
    <w:rsid w:val="00EC7E03"/>
    <w:rsid w:val="00EC7EC8"/>
    <w:rsid w:val="00EC7FB9"/>
    <w:rsid w:val="00ED0155"/>
    <w:rsid w:val="00ED0401"/>
    <w:rsid w:val="00ED1E77"/>
    <w:rsid w:val="00ED2C7D"/>
    <w:rsid w:val="00ED2DAE"/>
    <w:rsid w:val="00ED317B"/>
    <w:rsid w:val="00ED3A70"/>
    <w:rsid w:val="00ED4050"/>
    <w:rsid w:val="00ED44A5"/>
    <w:rsid w:val="00ED5271"/>
    <w:rsid w:val="00ED5402"/>
    <w:rsid w:val="00ED638C"/>
    <w:rsid w:val="00ED6724"/>
    <w:rsid w:val="00ED7120"/>
    <w:rsid w:val="00ED7123"/>
    <w:rsid w:val="00ED72E0"/>
    <w:rsid w:val="00ED73D2"/>
    <w:rsid w:val="00EE062A"/>
    <w:rsid w:val="00EE08B1"/>
    <w:rsid w:val="00EE0B9A"/>
    <w:rsid w:val="00EE15B8"/>
    <w:rsid w:val="00EE165B"/>
    <w:rsid w:val="00EE18E3"/>
    <w:rsid w:val="00EE1A96"/>
    <w:rsid w:val="00EE208A"/>
    <w:rsid w:val="00EE2152"/>
    <w:rsid w:val="00EE282C"/>
    <w:rsid w:val="00EE2A4E"/>
    <w:rsid w:val="00EE3561"/>
    <w:rsid w:val="00EE35CE"/>
    <w:rsid w:val="00EE395D"/>
    <w:rsid w:val="00EE3A4F"/>
    <w:rsid w:val="00EE3AEC"/>
    <w:rsid w:val="00EE4405"/>
    <w:rsid w:val="00EE4935"/>
    <w:rsid w:val="00EE522F"/>
    <w:rsid w:val="00EE6835"/>
    <w:rsid w:val="00EE6B60"/>
    <w:rsid w:val="00EE7E69"/>
    <w:rsid w:val="00EF312F"/>
    <w:rsid w:val="00EF379D"/>
    <w:rsid w:val="00EF394C"/>
    <w:rsid w:val="00EF3978"/>
    <w:rsid w:val="00EF3D27"/>
    <w:rsid w:val="00EF3D5E"/>
    <w:rsid w:val="00EF3DC4"/>
    <w:rsid w:val="00EF429E"/>
    <w:rsid w:val="00EF46B2"/>
    <w:rsid w:val="00EF4BC9"/>
    <w:rsid w:val="00EF58FC"/>
    <w:rsid w:val="00EF5910"/>
    <w:rsid w:val="00EF5EC0"/>
    <w:rsid w:val="00EF5FA0"/>
    <w:rsid w:val="00EF624E"/>
    <w:rsid w:val="00EF63A2"/>
    <w:rsid w:val="00EF6D96"/>
    <w:rsid w:val="00F0022E"/>
    <w:rsid w:val="00F0050C"/>
    <w:rsid w:val="00F00661"/>
    <w:rsid w:val="00F00E5B"/>
    <w:rsid w:val="00F00E63"/>
    <w:rsid w:val="00F01546"/>
    <w:rsid w:val="00F02362"/>
    <w:rsid w:val="00F025A7"/>
    <w:rsid w:val="00F02B4C"/>
    <w:rsid w:val="00F03061"/>
    <w:rsid w:val="00F03868"/>
    <w:rsid w:val="00F03E0D"/>
    <w:rsid w:val="00F044EE"/>
    <w:rsid w:val="00F05007"/>
    <w:rsid w:val="00F05AC5"/>
    <w:rsid w:val="00F05B02"/>
    <w:rsid w:val="00F05C55"/>
    <w:rsid w:val="00F06040"/>
    <w:rsid w:val="00F067C2"/>
    <w:rsid w:val="00F069E5"/>
    <w:rsid w:val="00F06D93"/>
    <w:rsid w:val="00F06FC0"/>
    <w:rsid w:val="00F07216"/>
    <w:rsid w:val="00F0782C"/>
    <w:rsid w:val="00F0789F"/>
    <w:rsid w:val="00F07B27"/>
    <w:rsid w:val="00F10323"/>
    <w:rsid w:val="00F10747"/>
    <w:rsid w:val="00F10B61"/>
    <w:rsid w:val="00F10D61"/>
    <w:rsid w:val="00F11267"/>
    <w:rsid w:val="00F11986"/>
    <w:rsid w:val="00F11CAF"/>
    <w:rsid w:val="00F1260D"/>
    <w:rsid w:val="00F1292B"/>
    <w:rsid w:val="00F13C23"/>
    <w:rsid w:val="00F1440E"/>
    <w:rsid w:val="00F14658"/>
    <w:rsid w:val="00F14800"/>
    <w:rsid w:val="00F148D5"/>
    <w:rsid w:val="00F14B92"/>
    <w:rsid w:val="00F14CD8"/>
    <w:rsid w:val="00F15233"/>
    <w:rsid w:val="00F152F9"/>
    <w:rsid w:val="00F163D6"/>
    <w:rsid w:val="00F164AE"/>
    <w:rsid w:val="00F1696B"/>
    <w:rsid w:val="00F1719A"/>
    <w:rsid w:val="00F17397"/>
    <w:rsid w:val="00F20066"/>
    <w:rsid w:val="00F2009B"/>
    <w:rsid w:val="00F20451"/>
    <w:rsid w:val="00F20DED"/>
    <w:rsid w:val="00F20FCF"/>
    <w:rsid w:val="00F217E2"/>
    <w:rsid w:val="00F21DF0"/>
    <w:rsid w:val="00F22129"/>
    <w:rsid w:val="00F224A0"/>
    <w:rsid w:val="00F224D8"/>
    <w:rsid w:val="00F227BE"/>
    <w:rsid w:val="00F2377F"/>
    <w:rsid w:val="00F23A41"/>
    <w:rsid w:val="00F23B64"/>
    <w:rsid w:val="00F243D1"/>
    <w:rsid w:val="00F24AA4"/>
    <w:rsid w:val="00F24D07"/>
    <w:rsid w:val="00F24E2F"/>
    <w:rsid w:val="00F25165"/>
    <w:rsid w:val="00F25CEE"/>
    <w:rsid w:val="00F26DC9"/>
    <w:rsid w:val="00F27447"/>
    <w:rsid w:val="00F27AEA"/>
    <w:rsid w:val="00F27CBA"/>
    <w:rsid w:val="00F27F0A"/>
    <w:rsid w:val="00F27FB9"/>
    <w:rsid w:val="00F3015B"/>
    <w:rsid w:val="00F30424"/>
    <w:rsid w:val="00F30CE6"/>
    <w:rsid w:val="00F30F92"/>
    <w:rsid w:val="00F312FF"/>
    <w:rsid w:val="00F3171C"/>
    <w:rsid w:val="00F31DA6"/>
    <w:rsid w:val="00F32F3D"/>
    <w:rsid w:val="00F335AB"/>
    <w:rsid w:val="00F33DB5"/>
    <w:rsid w:val="00F34D0D"/>
    <w:rsid w:val="00F34F22"/>
    <w:rsid w:val="00F354A2"/>
    <w:rsid w:val="00F35C11"/>
    <w:rsid w:val="00F35CE2"/>
    <w:rsid w:val="00F36238"/>
    <w:rsid w:val="00F36893"/>
    <w:rsid w:val="00F36FEE"/>
    <w:rsid w:val="00F3758E"/>
    <w:rsid w:val="00F37AD2"/>
    <w:rsid w:val="00F4001C"/>
    <w:rsid w:val="00F40557"/>
    <w:rsid w:val="00F408CC"/>
    <w:rsid w:val="00F40BC6"/>
    <w:rsid w:val="00F416E9"/>
    <w:rsid w:val="00F41C10"/>
    <w:rsid w:val="00F41F14"/>
    <w:rsid w:val="00F41F66"/>
    <w:rsid w:val="00F42051"/>
    <w:rsid w:val="00F42148"/>
    <w:rsid w:val="00F4335E"/>
    <w:rsid w:val="00F4344F"/>
    <w:rsid w:val="00F4362A"/>
    <w:rsid w:val="00F43D92"/>
    <w:rsid w:val="00F44EEC"/>
    <w:rsid w:val="00F44F20"/>
    <w:rsid w:val="00F450BB"/>
    <w:rsid w:val="00F4527D"/>
    <w:rsid w:val="00F455F1"/>
    <w:rsid w:val="00F45979"/>
    <w:rsid w:val="00F45A20"/>
    <w:rsid w:val="00F45E5F"/>
    <w:rsid w:val="00F461F0"/>
    <w:rsid w:val="00F46872"/>
    <w:rsid w:val="00F46B6C"/>
    <w:rsid w:val="00F46FDA"/>
    <w:rsid w:val="00F47BE1"/>
    <w:rsid w:val="00F50373"/>
    <w:rsid w:val="00F50455"/>
    <w:rsid w:val="00F50472"/>
    <w:rsid w:val="00F50F6F"/>
    <w:rsid w:val="00F51135"/>
    <w:rsid w:val="00F51145"/>
    <w:rsid w:val="00F53E3D"/>
    <w:rsid w:val="00F54605"/>
    <w:rsid w:val="00F5496E"/>
    <w:rsid w:val="00F54B61"/>
    <w:rsid w:val="00F54FF7"/>
    <w:rsid w:val="00F556E8"/>
    <w:rsid w:val="00F56268"/>
    <w:rsid w:val="00F56CAB"/>
    <w:rsid w:val="00F57AFF"/>
    <w:rsid w:val="00F60152"/>
    <w:rsid w:val="00F602A2"/>
    <w:rsid w:val="00F6099D"/>
    <w:rsid w:val="00F60A7A"/>
    <w:rsid w:val="00F60BE6"/>
    <w:rsid w:val="00F60E68"/>
    <w:rsid w:val="00F61248"/>
    <w:rsid w:val="00F62C59"/>
    <w:rsid w:val="00F63A96"/>
    <w:rsid w:val="00F63C1B"/>
    <w:rsid w:val="00F63F47"/>
    <w:rsid w:val="00F648FA"/>
    <w:rsid w:val="00F64AAF"/>
    <w:rsid w:val="00F65358"/>
    <w:rsid w:val="00F65478"/>
    <w:rsid w:val="00F65B91"/>
    <w:rsid w:val="00F65D75"/>
    <w:rsid w:val="00F6633F"/>
    <w:rsid w:val="00F66562"/>
    <w:rsid w:val="00F6712C"/>
    <w:rsid w:val="00F67484"/>
    <w:rsid w:val="00F674F8"/>
    <w:rsid w:val="00F679B3"/>
    <w:rsid w:val="00F67D88"/>
    <w:rsid w:val="00F67E65"/>
    <w:rsid w:val="00F70B7D"/>
    <w:rsid w:val="00F71223"/>
    <w:rsid w:val="00F71243"/>
    <w:rsid w:val="00F716E6"/>
    <w:rsid w:val="00F71F8B"/>
    <w:rsid w:val="00F72079"/>
    <w:rsid w:val="00F724C2"/>
    <w:rsid w:val="00F7302C"/>
    <w:rsid w:val="00F73282"/>
    <w:rsid w:val="00F73A8A"/>
    <w:rsid w:val="00F73EB6"/>
    <w:rsid w:val="00F74088"/>
    <w:rsid w:val="00F743E8"/>
    <w:rsid w:val="00F746E9"/>
    <w:rsid w:val="00F74AF1"/>
    <w:rsid w:val="00F74F5C"/>
    <w:rsid w:val="00F750CB"/>
    <w:rsid w:val="00F75615"/>
    <w:rsid w:val="00F75D50"/>
    <w:rsid w:val="00F75F22"/>
    <w:rsid w:val="00F76555"/>
    <w:rsid w:val="00F766C9"/>
    <w:rsid w:val="00F76817"/>
    <w:rsid w:val="00F77A87"/>
    <w:rsid w:val="00F77E1A"/>
    <w:rsid w:val="00F812B0"/>
    <w:rsid w:val="00F819AC"/>
    <w:rsid w:val="00F81AFD"/>
    <w:rsid w:val="00F827BB"/>
    <w:rsid w:val="00F82DCB"/>
    <w:rsid w:val="00F82F24"/>
    <w:rsid w:val="00F83E05"/>
    <w:rsid w:val="00F846E6"/>
    <w:rsid w:val="00F84CD5"/>
    <w:rsid w:val="00F85425"/>
    <w:rsid w:val="00F855B4"/>
    <w:rsid w:val="00F85AD6"/>
    <w:rsid w:val="00F85C47"/>
    <w:rsid w:val="00F86020"/>
    <w:rsid w:val="00F862B3"/>
    <w:rsid w:val="00F86643"/>
    <w:rsid w:val="00F86862"/>
    <w:rsid w:val="00F8759B"/>
    <w:rsid w:val="00F87964"/>
    <w:rsid w:val="00F901F1"/>
    <w:rsid w:val="00F90457"/>
    <w:rsid w:val="00F90868"/>
    <w:rsid w:val="00F91383"/>
    <w:rsid w:val="00F91ACA"/>
    <w:rsid w:val="00F91CE9"/>
    <w:rsid w:val="00F91E5C"/>
    <w:rsid w:val="00F927A0"/>
    <w:rsid w:val="00F94595"/>
    <w:rsid w:val="00F949FD"/>
    <w:rsid w:val="00F94AE1"/>
    <w:rsid w:val="00F9519E"/>
    <w:rsid w:val="00F9641F"/>
    <w:rsid w:val="00F96799"/>
    <w:rsid w:val="00F975C1"/>
    <w:rsid w:val="00F9794A"/>
    <w:rsid w:val="00FA018C"/>
    <w:rsid w:val="00FA03BA"/>
    <w:rsid w:val="00FA0F75"/>
    <w:rsid w:val="00FA0FF4"/>
    <w:rsid w:val="00FA14E4"/>
    <w:rsid w:val="00FA1B46"/>
    <w:rsid w:val="00FA1C45"/>
    <w:rsid w:val="00FA1CD3"/>
    <w:rsid w:val="00FA1F84"/>
    <w:rsid w:val="00FA26A9"/>
    <w:rsid w:val="00FA33B7"/>
    <w:rsid w:val="00FA3A37"/>
    <w:rsid w:val="00FA444D"/>
    <w:rsid w:val="00FA58A4"/>
    <w:rsid w:val="00FA58ED"/>
    <w:rsid w:val="00FA5C4D"/>
    <w:rsid w:val="00FA5C50"/>
    <w:rsid w:val="00FA60B2"/>
    <w:rsid w:val="00FA638C"/>
    <w:rsid w:val="00FA63A0"/>
    <w:rsid w:val="00FA6691"/>
    <w:rsid w:val="00FA68C5"/>
    <w:rsid w:val="00FA7A19"/>
    <w:rsid w:val="00FB02B5"/>
    <w:rsid w:val="00FB0A2D"/>
    <w:rsid w:val="00FB13CF"/>
    <w:rsid w:val="00FB1A66"/>
    <w:rsid w:val="00FB1B07"/>
    <w:rsid w:val="00FB1F98"/>
    <w:rsid w:val="00FB2D95"/>
    <w:rsid w:val="00FB31A4"/>
    <w:rsid w:val="00FB3F43"/>
    <w:rsid w:val="00FB3FFF"/>
    <w:rsid w:val="00FB4157"/>
    <w:rsid w:val="00FB4187"/>
    <w:rsid w:val="00FB43CE"/>
    <w:rsid w:val="00FB4859"/>
    <w:rsid w:val="00FB4CF7"/>
    <w:rsid w:val="00FB4EB8"/>
    <w:rsid w:val="00FB5F8F"/>
    <w:rsid w:val="00FB6380"/>
    <w:rsid w:val="00FB6D94"/>
    <w:rsid w:val="00FC0623"/>
    <w:rsid w:val="00FC06EF"/>
    <w:rsid w:val="00FC1078"/>
    <w:rsid w:val="00FC1265"/>
    <w:rsid w:val="00FC176A"/>
    <w:rsid w:val="00FC185E"/>
    <w:rsid w:val="00FC2006"/>
    <w:rsid w:val="00FC278A"/>
    <w:rsid w:val="00FC2CC5"/>
    <w:rsid w:val="00FC37BD"/>
    <w:rsid w:val="00FC37EF"/>
    <w:rsid w:val="00FC3EA2"/>
    <w:rsid w:val="00FC5443"/>
    <w:rsid w:val="00FC5DAE"/>
    <w:rsid w:val="00FC6139"/>
    <w:rsid w:val="00FC647D"/>
    <w:rsid w:val="00FC682B"/>
    <w:rsid w:val="00FC6A1D"/>
    <w:rsid w:val="00FC6FBC"/>
    <w:rsid w:val="00FC7E0D"/>
    <w:rsid w:val="00FD03CC"/>
    <w:rsid w:val="00FD0C1A"/>
    <w:rsid w:val="00FD1272"/>
    <w:rsid w:val="00FD1A43"/>
    <w:rsid w:val="00FD259A"/>
    <w:rsid w:val="00FD29ED"/>
    <w:rsid w:val="00FD2CA4"/>
    <w:rsid w:val="00FD3B27"/>
    <w:rsid w:val="00FD3E6E"/>
    <w:rsid w:val="00FD3FD7"/>
    <w:rsid w:val="00FD402F"/>
    <w:rsid w:val="00FD42B1"/>
    <w:rsid w:val="00FD43EC"/>
    <w:rsid w:val="00FD45C3"/>
    <w:rsid w:val="00FD52F3"/>
    <w:rsid w:val="00FD5489"/>
    <w:rsid w:val="00FD5F34"/>
    <w:rsid w:val="00FD5F49"/>
    <w:rsid w:val="00FD5FBA"/>
    <w:rsid w:val="00FE154F"/>
    <w:rsid w:val="00FE18CA"/>
    <w:rsid w:val="00FE1A6B"/>
    <w:rsid w:val="00FE1B19"/>
    <w:rsid w:val="00FE1C4C"/>
    <w:rsid w:val="00FE20EF"/>
    <w:rsid w:val="00FE263D"/>
    <w:rsid w:val="00FE2927"/>
    <w:rsid w:val="00FE33C7"/>
    <w:rsid w:val="00FE3402"/>
    <w:rsid w:val="00FE383B"/>
    <w:rsid w:val="00FE38D4"/>
    <w:rsid w:val="00FE3D62"/>
    <w:rsid w:val="00FE4C5D"/>
    <w:rsid w:val="00FE5228"/>
    <w:rsid w:val="00FE544C"/>
    <w:rsid w:val="00FE631B"/>
    <w:rsid w:val="00FE6500"/>
    <w:rsid w:val="00FE6724"/>
    <w:rsid w:val="00FE6789"/>
    <w:rsid w:val="00FE6841"/>
    <w:rsid w:val="00FE68CA"/>
    <w:rsid w:val="00FE6D5B"/>
    <w:rsid w:val="00FE6D67"/>
    <w:rsid w:val="00FE6FD2"/>
    <w:rsid w:val="00FE787E"/>
    <w:rsid w:val="00FE7CC1"/>
    <w:rsid w:val="00FF0024"/>
    <w:rsid w:val="00FF060D"/>
    <w:rsid w:val="00FF1689"/>
    <w:rsid w:val="00FF18C7"/>
    <w:rsid w:val="00FF197B"/>
    <w:rsid w:val="00FF2399"/>
    <w:rsid w:val="00FF2496"/>
    <w:rsid w:val="00FF249F"/>
    <w:rsid w:val="00FF309F"/>
    <w:rsid w:val="00FF3198"/>
    <w:rsid w:val="00FF32E0"/>
    <w:rsid w:val="00FF36DC"/>
    <w:rsid w:val="00FF3D94"/>
    <w:rsid w:val="00FF427A"/>
    <w:rsid w:val="00FF4A3E"/>
    <w:rsid w:val="00FF4CFC"/>
    <w:rsid w:val="00FF4E7F"/>
    <w:rsid w:val="00FF51FB"/>
    <w:rsid w:val="00FF5309"/>
    <w:rsid w:val="00FF55D7"/>
    <w:rsid w:val="00FF5756"/>
    <w:rsid w:val="00FF5802"/>
    <w:rsid w:val="00FF5B0C"/>
    <w:rsid w:val="00FF5CE9"/>
    <w:rsid w:val="00FF5EAB"/>
    <w:rsid w:val="00FF6470"/>
    <w:rsid w:val="00FF64BD"/>
    <w:rsid w:val="00FF66CC"/>
    <w:rsid w:val="00FF67B3"/>
    <w:rsid w:val="00FF694F"/>
    <w:rsid w:val="00FF6BB9"/>
    <w:rsid w:val="00FF6FF9"/>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699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62B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ind w:left="714" w:hanging="357"/>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uiPriority w:val="99"/>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uiPriority w:val="99"/>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footnote reference"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062BD"/>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47D49"/>
    <w:pPr>
      <w:keepNext/>
      <w:keepLines/>
      <w:numPr>
        <w:numId w:val="1"/>
      </w:numPr>
      <w:spacing w:before="360" w:after="240"/>
      <w:ind w:left="714" w:hanging="357"/>
      <w:jc w:val="center"/>
      <w:outlineLvl w:val="0"/>
    </w:pPr>
    <w:rPr>
      <w:rFonts w:asciiTheme="minorHAnsi" w:eastAsiaTheme="majorEastAsia" w:hAnsiTheme="minorHAnsi" w:cstheme="majorBidi"/>
      <w:b/>
      <w:bCs/>
      <w:color w:val="365F91" w:themeColor="accent1" w:themeShade="BF"/>
      <w:sz w:val="28"/>
      <w:szCs w:val="24"/>
      <w:lang w:eastAsia="lt-LT"/>
    </w:rPr>
  </w:style>
  <w:style w:type="paragraph" w:styleId="Antrat2">
    <w:name w:val="heading 2"/>
    <w:basedOn w:val="prastasis"/>
    <w:next w:val="prastasis"/>
    <w:link w:val="Antrat2Diagrama"/>
    <w:uiPriority w:val="9"/>
    <w:unhideWhenUsed/>
    <w:qFormat/>
    <w:rsid w:val="00B8640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1F7F6F"/>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DiagramaCharChar1">
    <w:name w:val="Char Diagrama Char Char1"/>
    <w:basedOn w:val="prastasis"/>
    <w:rsid w:val="002D6066"/>
    <w:pPr>
      <w:spacing w:after="160" w:line="240" w:lineRule="exact"/>
    </w:pPr>
    <w:rPr>
      <w:rFonts w:ascii="Tahoma" w:hAnsi="Tahoma"/>
      <w:sz w:val="20"/>
      <w:lang w:val="en-US"/>
    </w:rPr>
  </w:style>
  <w:style w:type="paragraph" w:styleId="Sraopastraipa">
    <w:name w:val="List Paragraph"/>
    <w:aliases w:val="List Paragraph (numbered (a)),References,WB List Paragraph,Akapit z listą,Dot pt,F5 List Paragraph,List Paragraph1,Recommendation,List Paragraph11,Numerowanie,Kolorowa lista — akcent 11,Akapit z listą1,Listaszerű bekezdés1,Bullet EY"/>
    <w:basedOn w:val="prastasis"/>
    <w:link w:val="SraopastraipaDiagrama"/>
    <w:uiPriority w:val="34"/>
    <w:qFormat/>
    <w:rsid w:val="002D6066"/>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uiPriority w:val="99"/>
    <w:semiHidden/>
    <w:unhideWhenUsed/>
    <w:rsid w:val="002D606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2D6066"/>
    <w:rPr>
      <w:rFonts w:ascii="Tahoma" w:eastAsia="Times New Roman" w:hAnsi="Tahoma" w:cs="Tahoma"/>
      <w:sz w:val="16"/>
      <w:szCs w:val="16"/>
    </w:rPr>
  </w:style>
  <w:style w:type="paragraph" w:customStyle="1" w:styleId="CharDiagramaCharChar">
    <w:name w:val="Char Diagrama Char Char"/>
    <w:basedOn w:val="prastasis"/>
    <w:rsid w:val="002E5B8A"/>
    <w:pPr>
      <w:spacing w:after="160" w:line="240" w:lineRule="exact"/>
    </w:pPr>
    <w:rPr>
      <w:rFonts w:ascii="Tahoma" w:hAnsi="Tahoma"/>
      <w:sz w:val="20"/>
      <w:lang w:val="en-US"/>
    </w:rPr>
  </w:style>
  <w:style w:type="character" w:styleId="Komentaronuoroda">
    <w:name w:val="annotation reference"/>
    <w:basedOn w:val="Numatytasispastraiposriftas"/>
    <w:uiPriority w:val="99"/>
    <w:semiHidden/>
    <w:unhideWhenUsed/>
    <w:rsid w:val="00C2465F"/>
    <w:rPr>
      <w:sz w:val="16"/>
      <w:szCs w:val="16"/>
    </w:rPr>
  </w:style>
  <w:style w:type="paragraph" w:styleId="Komentarotekstas">
    <w:name w:val="annotation text"/>
    <w:basedOn w:val="prastasis"/>
    <w:link w:val="KomentarotekstasDiagrama"/>
    <w:uiPriority w:val="99"/>
    <w:unhideWhenUsed/>
    <w:rsid w:val="00C2465F"/>
    <w:rPr>
      <w:sz w:val="20"/>
    </w:rPr>
  </w:style>
  <w:style w:type="character" w:customStyle="1" w:styleId="KomentarotekstasDiagrama">
    <w:name w:val="Komentaro tekstas Diagrama"/>
    <w:basedOn w:val="Numatytasispastraiposriftas"/>
    <w:link w:val="Komentarotekstas"/>
    <w:uiPriority w:val="99"/>
    <w:rsid w:val="00C246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2465F"/>
    <w:rPr>
      <w:b/>
      <w:bCs/>
    </w:rPr>
  </w:style>
  <w:style w:type="character" w:customStyle="1" w:styleId="KomentarotemaDiagrama">
    <w:name w:val="Komentaro tema Diagrama"/>
    <w:basedOn w:val="KomentarotekstasDiagrama"/>
    <w:link w:val="Komentarotema"/>
    <w:uiPriority w:val="99"/>
    <w:semiHidden/>
    <w:rsid w:val="00C2465F"/>
    <w:rPr>
      <w:rFonts w:ascii="Times New Roman" w:eastAsia="Times New Roman" w:hAnsi="Times New Roman" w:cs="Times New Roman"/>
      <w:b/>
      <w:bCs/>
      <w:sz w:val="20"/>
      <w:szCs w:val="20"/>
    </w:rPr>
  </w:style>
  <w:style w:type="paragraph" w:styleId="prastasistinklapis">
    <w:name w:val="Normal (Web)"/>
    <w:basedOn w:val="prastasis"/>
    <w:uiPriority w:val="99"/>
    <w:unhideWhenUsed/>
    <w:rsid w:val="00AE3D8C"/>
    <w:pPr>
      <w:spacing w:before="100" w:beforeAutospacing="1" w:after="100" w:afterAutospacing="1"/>
    </w:pPr>
    <w:rPr>
      <w:rFonts w:eastAsiaTheme="minorEastAsia"/>
      <w:szCs w:val="24"/>
      <w:lang w:eastAsia="lt-LT"/>
    </w:rPr>
  </w:style>
  <w:style w:type="paragraph" w:styleId="Antrats">
    <w:name w:val="header"/>
    <w:basedOn w:val="prastasis"/>
    <w:link w:val="AntratsDiagrama"/>
    <w:uiPriority w:val="99"/>
    <w:unhideWhenUsed/>
    <w:rsid w:val="00885DE2"/>
    <w:pPr>
      <w:tabs>
        <w:tab w:val="center" w:pos="4819"/>
        <w:tab w:val="right" w:pos="9638"/>
      </w:tabs>
    </w:pPr>
  </w:style>
  <w:style w:type="character" w:customStyle="1" w:styleId="AntratsDiagrama">
    <w:name w:val="Antraštės Diagrama"/>
    <w:basedOn w:val="Numatytasispastraiposriftas"/>
    <w:link w:val="Antrats"/>
    <w:uiPriority w:val="99"/>
    <w:rsid w:val="00885DE2"/>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885DE2"/>
    <w:pPr>
      <w:tabs>
        <w:tab w:val="center" w:pos="4819"/>
        <w:tab w:val="right" w:pos="9638"/>
      </w:tabs>
    </w:pPr>
  </w:style>
  <w:style w:type="character" w:customStyle="1" w:styleId="PoratDiagrama">
    <w:name w:val="Poraštė Diagrama"/>
    <w:basedOn w:val="Numatytasispastraiposriftas"/>
    <w:link w:val="Porat"/>
    <w:uiPriority w:val="99"/>
    <w:rsid w:val="00885DE2"/>
    <w:rPr>
      <w:rFonts w:ascii="Times New Roman" w:eastAsia="Times New Roman" w:hAnsi="Times New Roman" w:cs="Times New Roman"/>
      <w:sz w:val="24"/>
      <w:szCs w:val="20"/>
    </w:rPr>
  </w:style>
  <w:style w:type="table" w:styleId="Lentelstinklelis">
    <w:name w:val="Table Grid"/>
    <w:basedOn w:val="prastojilentel"/>
    <w:uiPriority w:val="59"/>
    <w:rsid w:val="009E33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3F2736"/>
    <w:pPr>
      <w:spacing w:after="0" w:line="240" w:lineRule="auto"/>
    </w:pPr>
    <w:rPr>
      <w:rFonts w:ascii="Times New Roman" w:eastAsia="Times New Roman" w:hAnsi="Times New Roman" w:cs="Times New Roman"/>
      <w:sz w:val="24"/>
      <w:szCs w:val="20"/>
    </w:rPr>
  </w:style>
  <w:style w:type="table" w:customStyle="1" w:styleId="Lentelstinklelis1">
    <w:name w:val="Lentelės tinklelis1"/>
    <w:basedOn w:val="prastojilentel"/>
    <w:next w:val="Lentelstinklelis"/>
    <w:uiPriority w:val="59"/>
    <w:rsid w:val="004333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qFormat/>
    <w:rsid w:val="00F76555"/>
    <w:pPr>
      <w:spacing w:after="240"/>
      <w:jc w:val="both"/>
    </w:pPr>
    <w:rPr>
      <w:rFonts w:eastAsia="SimSun"/>
      <w:szCs w:val="24"/>
      <w:lang w:eastAsia="lt-LT"/>
    </w:rPr>
  </w:style>
  <w:style w:type="character" w:customStyle="1" w:styleId="PagrindinistekstasDiagrama">
    <w:name w:val="Pagrindinis tekstas Diagrama"/>
    <w:basedOn w:val="Numatytasispastraiposriftas"/>
    <w:link w:val="Pagrindinistekstas"/>
    <w:rsid w:val="00F76555"/>
    <w:rPr>
      <w:rFonts w:ascii="Times New Roman" w:eastAsia="SimSun" w:hAnsi="Times New Roman" w:cs="Times New Roman"/>
      <w:sz w:val="24"/>
      <w:szCs w:val="24"/>
      <w:lang w:eastAsia="lt-LT"/>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o"/>
    <w:basedOn w:val="prastasis"/>
    <w:link w:val="PuslapioinaostekstasDiagrama"/>
    <w:uiPriority w:val="99"/>
    <w:unhideWhenUsed/>
    <w:qFormat/>
    <w:rsid w:val="004D3793"/>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4D3793"/>
    <w:rPr>
      <w:rFonts w:ascii="Times New Roman" w:eastAsia="Times New Roman" w:hAnsi="Times New Roman" w:cs="Times New Roman"/>
      <w:sz w:val="20"/>
      <w:szCs w:val="20"/>
    </w:rPr>
  </w:style>
  <w:style w:type="character" w:styleId="Puslapioinaosnuoroda">
    <w:name w:val="footnote reference"/>
    <w:aliases w:val="• Isnasos nuoroda,Footnotes refss,Appel note de bas de p,Footnote symbol,Voetnootverwijzing,Times 10 Point,Exposant 3 Point,BVI fnr,Footnote Reference Number,SUPERS,Footnote anchor,Footnote reference number,Footnote number,fr,FR"/>
    <w:basedOn w:val="Numatytasispastraiposriftas"/>
    <w:link w:val="SUPERSChar"/>
    <w:uiPriority w:val="99"/>
    <w:unhideWhenUsed/>
    <w:qFormat/>
    <w:rsid w:val="004D3793"/>
    <w:rPr>
      <w:vertAlign w:val="superscript"/>
    </w:rPr>
  </w:style>
  <w:style w:type="paragraph" w:styleId="prastojitrauka">
    <w:name w:val="Normal Indent"/>
    <w:basedOn w:val="prastasis"/>
    <w:uiPriority w:val="99"/>
    <w:semiHidden/>
    <w:unhideWhenUsed/>
    <w:rsid w:val="008C4570"/>
    <w:pPr>
      <w:ind w:left="1296"/>
    </w:pPr>
  </w:style>
  <w:style w:type="character" w:customStyle="1" w:styleId="Antrat1Diagrama">
    <w:name w:val="Antraštė 1 Diagrama"/>
    <w:basedOn w:val="Numatytasispastraiposriftas"/>
    <w:link w:val="Antrat1"/>
    <w:uiPriority w:val="9"/>
    <w:rsid w:val="00547D49"/>
    <w:rPr>
      <w:rFonts w:eastAsiaTheme="majorEastAsia" w:cstheme="majorBidi"/>
      <w:b/>
      <w:bCs/>
      <w:color w:val="365F91" w:themeColor="accent1" w:themeShade="BF"/>
      <w:sz w:val="28"/>
      <w:szCs w:val="24"/>
      <w:lang w:eastAsia="lt-LT"/>
    </w:rPr>
  </w:style>
  <w:style w:type="character" w:customStyle="1" w:styleId="Antrat2Diagrama">
    <w:name w:val="Antraštė 2 Diagrama"/>
    <w:basedOn w:val="Numatytasispastraiposriftas"/>
    <w:link w:val="Antrat2"/>
    <w:uiPriority w:val="9"/>
    <w:rsid w:val="00B86403"/>
    <w:rPr>
      <w:rFonts w:asciiTheme="majorHAnsi" w:eastAsiaTheme="majorEastAsia" w:hAnsiTheme="majorHAnsi" w:cstheme="majorBidi"/>
      <w:b/>
      <w:bCs/>
      <w:color w:val="4F81BD" w:themeColor="accent1"/>
      <w:sz w:val="26"/>
      <w:szCs w:val="26"/>
    </w:rPr>
  </w:style>
  <w:style w:type="paragraph" w:styleId="Turinioantrat">
    <w:name w:val="TOC Heading"/>
    <w:basedOn w:val="Antrat1"/>
    <w:next w:val="prastasis"/>
    <w:uiPriority w:val="39"/>
    <w:unhideWhenUsed/>
    <w:qFormat/>
    <w:rsid w:val="00B86403"/>
    <w:pPr>
      <w:spacing w:line="276" w:lineRule="auto"/>
      <w:outlineLvl w:val="9"/>
    </w:pPr>
  </w:style>
  <w:style w:type="paragraph" w:styleId="Turinys1">
    <w:name w:val="toc 1"/>
    <w:basedOn w:val="prastasis"/>
    <w:next w:val="prastasis"/>
    <w:autoRedefine/>
    <w:uiPriority w:val="39"/>
    <w:unhideWhenUsed/>
    <w:rsid w:val="00B86403"/>
    <w:pPr>
      <w:spacing w:after="100"/>
    </w:pPr>
  </w:style>
  <w:style w:type="paragraph" w:styleId="Turinys2">
    <w:name w:val="toc 2"/>
    <w:basedOn w:val="prastasis"/>
    <w:next w:val="prastasis"/>
    <w:autoRedefine/>
    <w:uiPriority w:val="39"/>
    <w:unhideWhenUsed/>
    <w:rsid w:val="00B86403"/>
    <w:pPr>
      <w:spacing w:after="100"/>
      <w:ind w:left="240"/>
    </w:pPr>
  </w:style>
  <w:style w:type="character" w:styleId="Hipersaitas">
    <w:name w:val="Hyperlink"/>
    <w:basedOn w:val="Numatytasispastraiposriftas"/>
    <w:uiPriority w:val="99"/>
    <w:unhideWhenUsed/>
    <w:rsid w:val="00B86403"/>
    <w:rPr>
      <w:color w:val="0000FF" w:themeColor="hyperlink"/>
      <w:u w:val="single"/>
    </w:rPr>
  </w:style>
  <w:style w:type="paragraph" w:customStyle="1" w:styleId="DiagramaDiagrama1DiagramaDiagramaDiagramaDiagramaDiagramaDiagramaDiagramaDiagramaDiagramaDiagramaDiagrama">
    <w:name w:val="Diagrama Diagrama1 Diagrama Diagrama Diagrama Diagrama Diagrama Diagrama Diagrama Diagrama Diagrama Diagrama Diagrama"/>
    <w:basedOn w:val="prastasis"/>
    <w:rsid w:val="00B86403"/>
    <w:pPr>
      <w:spacing w:after="160" w:line="240" w:lineRule="exact"/>
    </w:pPr>
    <w:rPr>
      <w:rFonts w:ascii="Tahoma" w:hAnsi="Tahoma"/>
      <w:sz w:val="20"/>
      <w:lang w:val="en-US"/>
    </w:rPr>
  </w:style>
  <w:style w:type="character" w:customStyle="1" w:styleId="SraopastraipaDiagrama">
    <w:name w:val="Sąrašo pastraipa Diagrama"/>
    <w:aliases w:val="List Paragraph (numbered (a)) Diagrama,References Diagrama,WB List Paragraph Diagrama,Akapit z listą Diagrama,Dot pt Diagrama,F5 List Paragraph Diagrama,List Paragraph1 Diagrama,Recommendation Diagrama,List Paragraph11 Diagrama"/>
    <w:link w:val="Sraopastraipa"/>
    <w:uiPriority w:val="34"/>
    <w:locked/>
    <w:rsid w:val="00433A9A"/>
    <w:rPr>
      <w:rFonts w:ascii="Calibri" w:eastAsia="Calibri" w:hAnsi="Calibri" w:cs="Times New Roman"/>
    </w:rPr>
  </w:style>
  <w:style w:type="paragraph" w:styleId="Antrat">
    <w:name w:val="caption"/>
    <w:aliases w:val="• Caption,Table caption,paveikslas,Paveikslo pavadinimas,TabelOverskrift"/>
    <w:basedOn w:val="prastasis"/>
    <w:next w:val="prastasis"/>
    <w:link w:val="AntratDiagrama"/>
    <w:uiPriority w:val="99"/>
    <w:unhideWhenUsed/>
    <w:qFormat/>
    <w:rsid w:val="00433A9A"/>
    <w:pPr>
      <w:spacing w:after="200"/>
    </w:pPr>
    <w:rPr>
      <w:rFonts w:ascii="Calibri" w:eastAsia="Calibri" w:hAnsi="Calibri"/>
      <w:b/>
      <w:bCs/>
      <w:color w:val="4F81BD"/>
      <w:sz w:val="18"/>
      <w:szCs w:val="18"/>
    </w:rPr>
  </w:style>
  <w:style w:type="paragraph" w:customStyle="1" w:styleId="antrat2ZZ">
    <w:name w:val="antraštė 2_ZZ"/>
    <w:basedOn w:val="prastasis"/>
    <w:link w:val="antrat2ZZDiagrama"/>
    <w:qFormat/>
    <w:rsid w:val="00547D49"/>
    <w:pPr>
      <w:keepNext/>
      <w:keepLines/>
      <w:spacing w:before="360" w:after="240"/>
      <w:jc w:val="center"/>
      <w:outlineLvl w:val="0"/>
    </w:pPr>
    <w:rPr>
      <w:rFonts w:asciiTheme="minorHAnsi" w:eastAsiaTheme="majorEastAsia" w:hAnsiTheme="minorHAnsi" w:cstheme="majorBidi"/>
      <w:b/>
      <w:bCs/>
      <w:color w:val="365F91" w:themeColor="accent1" w:themeShade="BF"/>
      <w:sz w:val="26"/>
      <w:szCs w:val="28"/>
      <w:lang w:eastAsia="lt-LT"/>
    </w:rPr>
  </w:style>
  <w:style w:type="paragraph" w:customStyle="1" w:styleId="antrat3zz">
    <w:name w:val="antraštė 3_zz"/>
    <w:basedOn w:val="Antrat2"/>
    <w:link w:val="antrat3zzDiagrama"/>
    <w:qFormat/>
    <w:rsid w:val="00547D49"/>
    <w:pPr>
      <w:spacing w:before="240" w:after="120"/>
    </w:pPr>
    <w:rPr>
      <w:rFonts w:asciiTheme="minorHAnsi" w:hAnsiTheme="minorHAnsi"/>
      <w:color w:val="595959" w:themeColor="text1" w:themeTint="A6"/>
      <w:sz w:val="24"/>
      <w:szCs w:val="24"/>
      <w:lang w:eastAsia="lt-LT"/>
    </w:rPr>
  </w:style>
  <w:style w:type="character" w:customStyle="1" w:styleId="antrat2ZZDiagrama">
    <w:name w:val="antraštė 2_ZZ Diagrama"/>
    <w:basedOn w:val="Numatytasispastraiposriftas"/>
    <w:link w:val="antrat2ZZ"/>
    <w:rsid w:val="00547D49"/>
    <w:rPr>
      <w:rFonts w:eastAsiaTheme="majorEastAsia" w:cstheme="majorBidi"/>
      <w:b/>
      <w:bCs/>
      <w:color w:val="365F91" w:themeColor="accent1" w:themeShade="BF"/>
      <w:sz w:val="26"/>
      <w:szCs w:val="28"/>
      <w:lang w:eastAsia="lt-LT"/>
    </w:rPr>
  </w:style>
  <w:style w:type="character" w:customStyle="1" w:styleId="antrat3zzDiagrama">
    <w:name w:val="antraštė 3_zz Diagrama"/>
    <w:basedOn w:val="Antrat2Diagrama"/>
    <w:link w:val="antrat3zz"/>
    <w:rsid w:val="00547D49"/>
    <w:rPr>
      <w:rFonts w:asciiTheme="majorHAnsi" w:eastAsiaTheme="majorEastAsia" w:hAnsiTheme="majorHAnsi" w:cstheme="majorBidi"/>
      <w:b/>
      <w:bCs/>
      <w:color w:val="595959" w:themeColor="text1" w:themeTint="A6"/>
      <w:sz w:val="24"/>
      <w:szCs w:val="24"/>
      <w:lang w:eastAsia="lt-LT"/>
    </w:rPr>
  </w:style>
  <w:style w:type="paragraph" w:styleId="Pavadinimas">
    <w:name w:val="Title"/>
    <w:basedOn w:val="prastasis"/>
    <w:next w:val="prastasis"/>
    <w:link w:val="PavadinimasDiagrama"/>
    <w:uiPriority w:val="10"/>
    <w:qFormat/>
    <w:rsid w:val="00FC613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PavadinimasDiagrama">
    <w:name w:val="Pavadinimas Diagrama"/>
    <w:basedOn w:val="Numatytasispastraiposriftas"/>
    <w:link w:val="Pavadinimas"/>
    <w:uiPriority w:val="10"/>
    <w:rsid w:val="00FC6139"/>
    <w:rPr>
      <w:rFonts w:asciiTheme="majorHAnsi" w:eastAsiaTheme="majorEastAsia" w:hAnsiTheme="majorHAnsi" w:cstheme="majorBidi"/>
      <w:color w:val="17365D" w:themeColor="text2" w:themeShade="BF"/>
      <w:spacing w:val="5"/>
      <w:kern w:val="28"/>
      <w:sz w:val="28"/>
      <w:szCs w:val="52"/>
    </w:rPr>
  </w:style>
  <w:style w:type="paragraph" w:customStyle="1" w:styleId="088095CB421E4E02BDC9682AFEE1723A">
    <w:name w:val="088095CB421E4E02BDC9682AFEE1723A"/>
    <w:rsid w:val="00866DFB"/>
    <w:rPr>
      <w:rFonts w:eastAsiaTheme="minorEastAsia"/>
      <w:lang w:eastAsia="lt-LT"/>
    </w:rPr>
  </w:style>
  <w:style w:type="paragraph" w:styleId="Pagrindiniotekstotrauka">
    <w:name w:val="Body Text Indent"/>
    <w:basedOn w:val="prastasis"/>
    <w:link w:val="PagrindiniotekstotraukaDiagrama"/>
    <w:uiPriority w:val="99"/>
    <w:unhideWhenUsed/>
    <w:rsid w:val="004F2F37"/>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4F2F37"/>
    <w:rPr>
      <w:rFonts w:ascii="Times New Roman" w:eastAsia="Times New Roman" w:hAnsi="Times New Roman" w:cs="Times New Roman"/>
      <w:sz w:val="24"/>
      <w:szCs w:val="20"/>
    </w:rPr>
  </w:style>
  <w:style w:type="paragraph" w:customStyle="1" w:styleId="SUPERSChar">
    <w:name w:val="SUPERS Char"/>
    <w:aliases w:val="EN Footnote Reference Char"/>
    <w:basedOn w:val="prastasis"/>
    <w:link w:val="Puslapioinaosnuoroda"/>
    <w:uiPriority w:val="99"/>
    <w:rsid w:val="004F2F37"/>
    <w:pPr>
      <w:spacing w:after="160" w:line="240" w:lineRule="exact"/>
    </w:pPr>
    <w:rPr>
      <w:rFonts w:asciiTheme="minorHAnsi" w:eastAsiaTheme="minorHAnsi" w:hAnsiTheme="minorHAnsi" w:cstheme="minorBidi"/>
      <w:sz w:val="22"/>
      <w:szCs w:val="22"/>
      <w:vertAlign w:val="superscript"/>
    </w:rPr>
  </w:style>
  <w:style w:type="character" w:customStyle="1" w:styleId="AntratDiagrama">
    <w:name w:val="Antraštė Diagrama"/>
    <w:aliases w:val="• Caption Diagrama,Table caption Diagrama,paveikslas Diagrama,Paveikslo pavadinimas Diagrama,TabelOverskrift Diagrama"/>
    <w:link w:val="Antrat"/>
    <w:uiPriority w:val="99"/>
    <w:locked/>
    <w:rsid w:val="004F2F37"/>
    <w:rPr>
      <w:rFonts w:ascii="Calibri" w:eastAsia="Calibri" w:hAnsi="Calibri" w:cs="Times New Roman"/>
      <w:b/>
      <w:bCs/>
      <w:color w:val="4F81BD"/>
      <w:sz w:val="18"/>
      <w:szCs w:val="18"/>
    </w:rPr>
  </w:style>
  <w:style w:type="paragraph" w:customStyle="1" w:styleId="Pagrindinispaprastastekstas">
    <w:name w:val="• Pagrindinis paprastas tekstas"/>
    <w:basedOn w:val="prastasis"/>
    <w:link w:val="PagrindinispaprastastekstasChar"/>
    <w:uiPriority w:val="99"/>
    <w:rsid w:val="004F2F37"/>
    <w:pPr>
      <w:jc w:val="both"/>
    </w:pPr>
    <w:rPr>
      <w:rFonts w:ascii="Cambria" w:eastAsia="Calibri" w:hAnsi="Cambria" w:cs="Cambria"/>
      <w:szCs w:val="24"/>
      <w:lang w:eastAsia="lt-LT"/>
    </w:rPr>
  </w:style>
  <w:style w:type="character" w:customStyle="1" w:styleId="PagrindinispaprastastekstasChar">
    <w:name w:val="• Pagrindinis paprastas tekstas Char"/>
    <w:link w:val="Pagrindinispaprastastekstas"/>
    <w:uiPriority w:val="99"/>
    <w:locked/>
    <w:rsid w:val="004F2F37"/>
    <w:rPr>
      <w:rFonts w:ascii="Cambria" w:eastAsia="Calibri" w:hAnsi="Cambria" w:cs="Cambria"/>
      <w:sz w:val="24"/>
      <w:szCs w:val="24"/>
      <w:lang w:eastAsia="lt-LT"/>
    </w:rPr>
  </w:style>
  <w:style w:type="paragraph" w:customStyle="1" w:styleId="tekstas">
    <w:name w:val="tekstas"/>
    <w:basedOn w:val="prastasis"/>
    <w:link w:val="tekstasDiagrama"/>
    <w:qFormat/>
    <w:rsid w:val="004F2F37"/>
    <w:pPr>
      <w:ind w:firstLine="426"/>
      <w:jc w:val="both"/>
    </w:pPr>
    <w:rPr>
      <w:rFonts w:asciiTheme="minorHAnsi" w:hAnsiTheme="minorHAnsi"/>
      <w:color w:val="666666"/>
      <w:szCs w:val="24"/>
    </w:rPr>
  </w:style>
  <w:style w:type="character" w:customStyle="1" w:styleId="tekstasDiagrama">
    <w:name w:val="tekstas Diagrama"/>
    <w:basedOn w:val="Numatytasispastraiposriftas"/>
    <w:link w:val="tekstas"/>
    <w:rsid w:val="004F2F37"/>
    <w:rPr>
      <w:rFonts w:eastAsia="Times New Roman" w:cs="Times New Roman"/>
      <w:color w:val="666666"/>
      <w:sz w:val="24"/>
      <w:szCs w:val="24"/>
    </w:rPr>
  </w:style>
  <w:style w:type="paragraph" w:customStyle="1" w:styleId="Textboxtekstas">
    <w:name w:val="• Text box tekstas"/>
    <w:basedOn w:val="prastasis"/>
    <w:uiPriority w:val="99"/>
    <w:rsid w:val="001F7F6F"/>
    <w:pPr>
      <w:jc w:val="both"/>
    </w:pPr>
    <w:rPr>
      <w:rFonts w:ascii="Cambria" w:hAnsi="Cambria" w:cs="Cambria"/>
      <w:color w:val="4181B6"/>
      <w:kern w:val="32"/>
      <w:sz w:val="20"/>
      <w:lang w:eastAsia="lt-LT"/>
    </w:rPr>
  </w:style>
  <w:style w:type="character" w:customStyle="1" w:styleId="Antrat3Diagrama">
    <w:name w:val="Antraštė 3 Diagrama"/>
    <w:basedOn w:val="Numatytasispastraiposriftas"/>
    <w:link w:val="Antrat3"/>
    <w:uiPriority w:val="9"/>
    <w:semiHidden/>
    <w:rsid w:val="001F7F6F"/>
    <w:rPr>
      <w:rFonts w:asciiTheme="majorHAnsi" w:eastAsiaTheme="majorEastAsia" w:hAnsiTheme="majorHAnsi" w:cstheme="majorBidi"/>
      <w:b/>
      <w:bCs/>
      <w:color w:val="4F81BD" w:themeColor="accent1"/>
      <w:sz w:val="24"/>
      <w:szCs w:val="20"/>
    </w:rPr>
  </w:style>
  <w:style w:type="character" w:customStyle="1" w:styleId="apple-converted-space">
    <w:name w:val="apple-converted-space"/>
    <w:basedOn w:val="Numatytasispastraiposriftas"/>
    <w:uiPriority w:val="99"/>
    <w:rsid w:val="001F7F6F"/>
  </w:style>
  <w:style w:type="paragraph" w:customStyle="1" w:styleId="Default">
    <w:name w:val="Default"/>
    <w:rsid w:val="0070625D"/>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etarp">
    <w:name w:val="No Spacing"/>
    <w:uiPriority w:val="1"/>
    <w:qFormat/>
    <w:rsid w:val="00E40E9A"/>
    <w:pPr>
      <w:spacing w:after="0" w:line="240" w:lineRule="auto"/>
    </w:pPr>
    <w:rPr>
      <w:rFonts w:ascii="Times New Roman" w:eastAsia="Times New Roman" w:hAnsi="Times New Roman" w:cs="Times New Roman"/>
      <w:sz w:val="24"/>
      <w:szCs w:val="20"/>
    </w:rPr>
  </w:style>
  <w:style w:type="table" w:styleId="viesussraas1parykinimas">
    <w:name w:val="Light List Accent 1"/>
    <w:basedOn w:val="prastojilentel"/>
    <w:uiPriority w:val="61"/>
    <w:rsid w:val="00007F90"/>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9900">
      <w:bodyDiv w:val="1"/>
      <w:marLeft w:val="0"/>
      <w:marRight w:val="0"/>
      <w:marTop w:val="0"/>
      <w:marBottom w:val="0"/>
      <w:divBdr>
        <w:top w:val="none" w:sz="0" w:space="0" w:color="auto"/>
        <w:left w:val="none" w:sz="0" w:space="0" w:color="auto"/>
        <w:bottom w:val="none" w:sz="0" w:space="0" w:color="auto"/>
        <w:right w:val="none" w:sz="0" w:space="0" w:color="auto"/>
      </w:divBdr>
    </w:div>
    <w:div w:id="155414527">
      <w:bodyDiv w:val="1"/>
      <w:marLeft w:val="0"/>
      <w:marRight w:val="0"/>
      <w:marTop w:val="0"/>
      <w:marBottom w:val="0"/>
      <w:divBdr>
        <w:top w:val="none" w:sz="0" w:space="0" w:color="auto"/>
        <w:left w:val="none" w:sz="0" w:space="0" w:color="auto"/>
        <w:bottom w:val="none" w:sz="0" w:space="0" w:color="auto"/>
        <w:right w:val="none" w:sz="0" w:space="0" w:color="auto"/>
      </w:divBdr>
    </w:div>
    <w:div w:id="163715740">
      <w:bodyDiv w:val="1"/>
      <w:marLeft w:val="0"/>
      <w:marRight w:val="0"/>
      <w:marTop w:val="0"/>
      <w:marBottom w:val="0"/>
      <w:divBdr>
        <w:top w:val="none" w:sz="0" w:space="0" w:color="auto"/>
        <w:left w:val="none" w:sz="0" w:space="0" w:color="auto"/>
        <w:bottom w:val="none" w:sz="0" w:space="0" w:color="auto"/>
        <w:right w:val="none" w:sz="0" w:space="0" w:color="auto"/>
      </w:divBdr>
    </w:div>
    <w:div w:id="221986623">
      <w:bodyDiv w:val="1"/>
      <w:marLeft w:val="0"/>
      <w:marRight w:val="0"/>
      <w:marTop w:val="0"/>
      <w:marBottom w:val="0"/>
      <w:divBdr>
        <w:top w:val="none" w:sz="0" w:space="0" w:color="auto"/>
        <w:left w:val="none" w:sz="0" w:space="0" w:color="auto"/>
        <w:bottom w:val="none" w:sz="0" w:space="0" w:color="auto"/>
        <w:right w:val="none" w:sz="0" w:space="0" w:color="auto"/>
      </w:divBdr>
    </w:div>
    <w:div w:id="284775129">
      <w:bodyDiv w:val="1"/>
      <w:marLeft w:val="0"/>
      <w:marRight w:val="0"/>
      <w:marTop w:val="0"/>
      <w:marBottom w:val="0"/>
      <w:divBdr>
        <w:top w:val="none" w:sz="0" w:space="0" w:color="auto"/>
        <w:left w:val="none" w:sz="0" w:space="0" w:color="auto"/>
        <w:bottom w:val="none" w:sz="0" w:space="0" w:color="auto"/>
        <w:right w:val="none" w:sz="0" w:space="0" w:color="auto"/>
      </w:divBdr>
    </w:div>
    <w:div w:id="291253484">
      <w:bodyDiv w:val="1"/>
      <w:marLeft w:val="0"/>
      <w:marRight w:val="0"/>
      <w:marTop w:val="0"/>
      <w:marBottom w:val="0"/>
      <w:divBdr>
        <w:top w:val="none" w:sz="0" w:space="0" w:color="auto"/>
        <w:left w:val="none" w:sz="0" w:space="0" w:color="auto"/>
        <w:bottom w:val="none" w:sz="0" w:space="0" w:color="auto"/>
        <w:right w:val="none" w:sz="0" w:space="0" w:color="auto"/>
      </w:divBdr>
    </w:div>
    <w:div w:id="391582831">
      <w:bodyDiv w:val="1"/>
      <w:marLeft w:val="0"/>
      <w:marRight w:val="0"/>
      <w:marTop w:val="0"/>
      <w:marBottom w:val="0"/>
      <w:divBdr>
        <w:top w:val="none" w:sz="0" w:space="0" w:color="auto"/>
        <w:left w:val="none" w:sz="0" w:space="0" w:color="auto"/>
        <w:bottom w:val="none" w:sz="0" w:space="0" w:color="auto"/>
        <w:right w:val="none" w:sz="0" w:space="0" w:color="auto"/>
      </w:divBdr>
    </w:div>
    <w:div w:id="488207009">
      <w:bodyDiv w:val="1"/>
      <w:marLeft w:val="0"/>
      <w:marRight w:val="0"/>
      <w:marTop w:val="0"/>
      <w:marBottom w:val="0"/>
      <w:divBdr>
        <w:top w:val="none" w:sz="0" w:space="0" w:color="auto"/>
        <w:left w:val="none" w:sz="0" w:space="0" w:color="auto"/>
        <w:bottom w:val="none" w:sz="0" w:space="0" w:color="auto"/>
        <w:right w:val="none" w:sz="0" w:space="0" w:color="auto"/>
      </w:divBdr>
    </w:div>
    <w:div w:id="537206612">
      <w:bodyDiv w:val="1"/>
      <w:marLeft w:val="0"/>
      <w:marRight w:val="0"/>
      <w:marTop w:val="0"/>
      <w:marBottom w:val="0"/>
      <w:divBdr>
        <w:top w:val="none" w:sz="0" w:space="0" w:color="auto"/>
        <w:left w:val="none" w:sz="0" w:space="0" w:color="auto"/>
        <w:bottom w:val="none" w:sz="0" w:space="0" w:color="auto"/>
        <w:right w:val="none" w:sz="0" w:space="0" w:color="auto"/>
      </w:divBdr>
    </w:div>
    <w:div w:id="571938157">
      <w:bodyDiv w:val="1"/>
      <w:marLeft w:val="0"/>
      <w:marRight w:val="0"/>
      <w:marTop w:val="0"/>
      <w:marBottom w:val="0"/>
      <w:divBdr>
        <w:top w:val="none" w:sz="0" w:space="0" w:color="auto"/>
        <w:left w:val="none" w:sz="0" w:space="0" w:color="auto"/>
        <w:bottom w:val="none" w:sz="0" w:space="0" w:color="auto"/>
        <w:right w:val="none" w:sz="0" w:space="0" w:color="auto"/>
      </w:divBdr>
    </w:div>
    <w:div w:id="609706730">
      <w:bodyDiv w:val="1"/>
      <w:marLeft w:val="0"/>
      <w:marRight w:val="0"/>
      <w:marTop w:val="0"/>
      <w:marBottom w:val="0"/>
      <w:divBdr>
        <w:top w:val="none" w:sz="0" w:space="0" w:color="auto"/>
        <w:left w:val="none" w:sz="0" w:space="0" w:color="auto"/>
        <w:bottom w:val="none" w:sz="0" w:space="0" w:color="auto"/>
        <w:right w:val="none" w:sz="0" w:space="0" w:color="auto"/>
      </w:divBdr>
      <w:divsChild>
        <w:div w:id="396052592">
          <w:marLeft w:val="1714"/>
          <w:marRight w:val="0"/>
          <w:marTop w:val="75"/>
          <w:marBottom w:val="0"/>
          <w:divBdr>
            <w:top w:val="none" w:sz="0" w:space="0" w:color="auto"/>
            <w:left w:val="none" w:sz="0" w:space="0" w:color="auto"/>
            <w:bottom w:val="none" w:sz="0" w:space="0" w:color="auto"/>
            <w:right w:val="none" w:sz="0" w:space="0" w:color="auto"/>
          </w:divBdr>
        </w:div>
        <w:div w:id="905215583">
          <w:marLeft w:val="1714"/>
          <w:marRight w:val="0"/>
          <w:marTop w:val="75"/>
          <w:marBottom w:val="0"/>
          <w:divBdr>
            <w:top w:val="none" w:sz="0" w:space="0" w:color="auto"/>
            <w:left w:val="none" w:sz="0" w:space="0" w:color="auto"/>
            <w:bottom w:val="none" w:sz="0" w:space="0" w:color="auto"/>
            <w:right w:val="none" w:sz="0" w:space="0" w:color="auto"/>
          </w:divBdr>
        </w:div>
        <w:div w:id="967510897">
          <w:marLeft w:val="1714"/>
          <w:marRight w:val="0"/>
          <w:marTop w:val="75"/>
          <w:marBottom w:val="0"/>
          <w:divBdr>
            <w:top w:val="none" w:sz="0" w:space="0" w:color="auto"/>
            <w:left w:val="none" w:sz="0" w:space="0" w:color="auto"/>
            <w:bottom w:val="none" w:sz="0" w:space="0" w:color="auto"/>
            <w:right w:val="none" w:sz="0" w:space="0" w:color="auto"/>
          </w:divBdr>
        </w:div>
        <w:div w:id="968781886">
          <w:marLeft w:val="1714"/>
          <w:marRight w:val="0"/>
          <w:marTop w:val="75"/>
          <w:marBottom w:val="0"/>
          <w:divBdr>
            <w:top w:val="none" w:sz="0" w:space="0" w:color="auto"/>
            <w:left w:val="none" w:sz="0" w:space="0" w:color="auto"/>
            <w:bottom w:val="none" w:sz="0" w:space="0" w:color="auto"/>
            <w:right w:val="none" w:sz="0" w:space="0" w:color="auto"/>
          </w:divBdr>
        </w:div>
        <w:div w:id="1092822886">
          <w:marLeft w:val="1714"/>
          <w:marRight w:val="0"/>
          <w:marTop w:val="75"/>
          <w:marBottom w:val="0"/>
          <w:divBdr>
            <w:top w:val="none" w:sz="0" w:space="0" w:color="auto"/>
            <w:left w:val="none" w:sz="0" w:space="0" w:color="auto"/>
            <w:bottom w:val="none" w:sz="0" w:space="0" w:color="auto"/>
            <w:right w:val="none" w:sz="0" w:space="0" w:color="auto"/>
          </w:divBdr>
        </w:div>
        <w:div w:id="1123118034">
          <w:marLeft w:val="1714"/>
          <w:marRight w:val="0"/>
          <w:marTop w:val="75"/>
          <w:marBottom w:val="0"/>
          <w:divBdr>
            <w:top w:val="none" w:sz="0" w:space="0" w:color="auto"/>
            <w:left w:val="none" w:sz="0" w:space="0" w:color="auto"/>
            <w:bottom w:val="none" w:sz="0" w:space="0" w:color="auto"/>
            <w:right w:val="none" w:sz="0" w:space="0" w:color="auto"/>
          </w:divBdr>
        </w:div>
        <w:div w:id="1359312501">
          <w:marLeft w:val="1714"/>
          <w:marRight w:val="0"/>
          <w:marTop w:val="75"/>
          <w:marBottom w:val="0"/>
          <w:divBdr>
            <w:top w:val="none" w:sz="0" w:space="0" w:color="auto"/>
            <w:left w:val="none" w:sz="0" w:space="0" w:color="auto"/>
            <w:bottom w:val="none" w:sz="0" w:space="0" w:color="auto"/>
            <w:right w:val="none" w:sz="0" w:space="0" w:color="auto"/>
          </w:divBdr>
        </w:div>
        <w:div w:id="1544361329">
          <w:marLeft w:val="1714"/>
          <w:marRight w:val="0"/>
          <w:marTop w:val="75"/>
          <w:marBottom w:val="0"/>
          <w:divBdr>
            <w:top w:val="none" w:sz="0" w:space="0" w:color="auto"/>
            <w:left w:val="none" w:sz="0" w:space="0" w:color="auto"/>
            <w:bottom w:val="none" w:sz="0" w:space="0" w:color="auto"/>
            <w:right w:val="none" w:sz="0" w:space="0" w:color="auto"/>
          </w:divBdr>
        </w:div>
        <w:div w:id="1598906246">
          <w:marLeft w:val="1714"/>
          <w:marRight w:val="0"/>
          <w:marTop w:val="75"/>
          <w:marBottom w:val="0"/>
          <w:divBdr>
            <w:top w:val="none" w:sz="0" w:space="0" w:color="auto"/>
            <w:left w:val="none" w:sz="0" w:space="0" w:color="auto"/>
            <w:bottom w:val="none" w:sz="0" w:space="0" w:color="auto"/>
            <w:right w:val="none" w:sz="0" w:space="0" w:color="auto"/>
          </w:divBdr>
        </w:div>
        <w:div w:id="1650475242">
          <w:marLeft w:val="907"/>
          <w:marRight w:val="0"/>
          <w:marTop w:val="0"/>
          <w:marBottom w:val="0"/>
          <w:divBdr>
            <w:top w:val="none" w:sz="0" w:space="0" w:color="auto"/>
            <w:left w:val="none" w:sz="0" w:space="0" w:color="auto"/>
            <w:bottom w:val="none" w:sz="0" w:space="0" w:color="auto"/>
            <w:right w:val="none" w:sz="0" w:space="0" w:color="auto"/>
          </w:divBdr>
        </w:div>
      </w:divsChild>
    </w:div>
    <w:div w:id="630941715">
      <w:bodyDiv w:val="1"/>
      <w:marLeft w:val="0"/>
      <w:marRight w:val="0"/>
      <w:marTop w:val="0"/>
      <w:marBottom w:val="0"/>
      <w:divBdr>
        <w:top w:val="none" w:sz="0" w:space="0" w:color="auto"/>
        <w:left w:val="none" w:sz="0" w:space="0" w:color="auto"/>
        <w:bottom w:val="none" w:sz="0" w:space="0" w:color="auto"/>
        <w:right w:val="none" w:sz="0" w:space="0" w:color="auto"/>
      </w:divBdr>
    </w:div>
    <w:div w:id="788399989">
      <w:bodyDiv w:val="1"/>
      <w:marLeft w:val="0"/>
      <w:marRight w:val="0"/>
      <w:marTop w:val="0"/>
      <w:marBottom w:val="0"/>
      <w:divBdr>
        <w:top w:val="none" w:sz="0" w:space="0" w:color="auto"/>
        <w:left w:val="none" w:sz="0" w:space="0" w:color="auto"/>
        <w:bottom w:val="none" w:sz="0" w:space="0" w:color="auto"/>
        <w:right w:val="none" w:sz="0" w:space="0" w:color="auto"/>
      </w:divBdr>
    </w:div>
    <w:div w:id="793907955">
      <w:bodyDiv w:val="1"/>
      <w:marLeft w:val="0"/>
      <w:marRight w:val="0"/>
      <w:marTop w:val="0"/>
      <w:marBottom w:val="0"/>
      <w:divBdr>
        <w:top w:val="none" w:sz="0" w:space="0" w:color="auto"/>
        <w:left w:val="none" w:sz="0" w:space="0" w:color="auto"/>
        <w:bottom w:val="none" w:sz="0" w:space="0" w:color="auto"/>
        <w:right w:val="none" w:sz="0" w:space="0" w:color="auto"/>
      </w:divBdr>
    </w:div>
    <w:div w:id="809596204">
      <w:bodyDiv w:val="1"/>
      <w:marLeft w:val="0"/>
      <w:marRight w:val="0"/>
      <w:marTop w:val="0"/>
      <w:marBottom w:val="0"/>
      <w:divBdr>
        <w:top w:val="none" w:sz="0" w:space="0" w:color="auto"/>
        <w:left w:val="none" w:sz="0" w:space="0" w:color="auto"/>
        <w:bottom w:val="none" w:sz="0" w:space="0" w:color="auto"/>
        <w:right w:val="none" w:sz="0" w:space="0" w:color="auto"/>
      </w:divBdr>
    </w:div>
    <w:div w:id="825323978">
      <w:bodyDiv w:val="1"/>
      <w:marLeft w:val="0"/>
      <w:marRight w:val="0"/>
      <w:marTop w:val="0"/>
      <w:marBottom w:val="0"/>
      <w:divBdr>
        <w:top w:val="none" w:sz="0" w:space="0" w:color="auto"/>
        <w:left w:val="none" w:sz="0" w:space="0" w:color="auto"/>
        <w:bottom w:val="none" w:sz="0" w:space="0" w:color="auto"/>
        <w:right w:val="none" w:sz="0" w:space="0" w:color="auto"/>
      </w:divBdr>
    </w:div>
    <w:div w:id="829828410">
      <w:bodyDiv w:val="1"/>
      <w:marLeft w:val="0"/>
      <w:marRight w:val="0"/>
      <w:marTop w:val="0"/>
      <w:marBottom w:val="0"/>
      <w:divBdr>
        <w:top w:val="none" w:sz="0" w:space="0" w:color="auto"/>
        <w:left w:val="none" w:sz="0" w:space="0" w:color="auto"/>
        <w:bottom w:val="none" w:sz="0" w:space="0" w:color="auto"/>
        <w:right w:val="none" w:sz="0" w:space="0" w:color="auto"/>
      </w:divBdr>
    </w:div>
    <w:div w:id="842476026">
      <w:bodyDiv w:val="1"/>
      <w:marLeft w:val="0"/>
      <w:marRight w:val="0"/>
      <w:marTop w:val="0"/>
      <w:marBottom w:val="0"/>
      <w:divBdr>
        <w:top w:val="none" w:sz="0" w:space="0" w:color="auto"/>
        <w:left w:val="none" w:sz="0" w:space="0" w:color="auto"/>
        <w:bottom w:val="none" w:sz="0" w:space="0" w:color="auto"/>
        <w:right w:val="none" w:sz="0" w:space="0" w:color="auto"/>
      </w:divBdr>
    </w:div>
    <w:div w:id="874661843">
      <w:bodyDiv w:val="1"/>
      <w:marLeft w:val="0"/>
      <w:marRight w:val="0"/>
      <w:marTop w:val="0"/>
      <w:marBottom w:val="0"/>
      <w:divBdr>
        <w:top w:val="none" w:sz="0" w:space="0" w:color="auto"/>
        <w:left w:val="none" w:sz="0" w:space="0" w:color="auto"/>
        <w:bottom w:val="none" w:sz="0" w:space="0" w:color="auto"/>
        <w:right w:val="none" w:sz="0" w:space="0" w:color="auto"/>
      </w:divBdr>
    </w:div>
    <w:div w:id="986125759">
      <w:bodyDiv w:val="1"/>
      <w:marLeft w:val="0"/>
      <w:marRight w:val="0"/>
      <w:marTop w:val="0"/>
      <w:marBottom w:val="0"/>
      <w:divBdr>
        <w:top w:val="none" w:sz="0" w:space="0" w:color="auto"/>
        <w:left w:val="none" w:sz="0" w:space="0" w:color="auto"/>
        <w:bottom w:val="none" w:sz="0" w:space="0" w:color="auto"/>
        <w:right w:val="none" w:sz="0" w:space="0" w:color="auto"/>
      </w:divBdr>
    </w:div>
    <w:div w:id="990986465">
      <w:bodyDiv w:val="1"/>
      <w:marLeft w:val="0"/>
      <w:marRight w:val="0"/>
      <w:marTop w:val="0"/>
      <w:marBottom w:val="0"/>
      <w:divBdr>
        <w:top w:val="none" w:sz="0" w:space="0" w:color="auto"/>
        <w:left w:val="none" w:sz="0" w:space="0" w:color="auto"/>
        <w:bottom w:val="none" w:sz="0" w:space="0" w:color="auto"/>
        <w:right w:val="none" w:sz="0" w:space="0" w:color="auto"/>
      </w:divBdr>
    </w:div>
    <w:div w:id="996542787">
      <w:bodyDiv w:val="1"/>
      <w:marLeft w:val="0"/>
      <w:marRight w:val="0"/>
      <w:marTop w:val="0"/>
      <w:marBottom w:val="0"/>
      <w:divBdr>
        <w:top w:val="none" w:sz="0" w:space="0" w:color="auto"/>
        <w:left w:val="none" w:sz="0" w:space="0" w:color="auto"/>
        <w:bottom w:val="none" w:sz="0" w:space="0" w:color="auto"/>
        <w:right w:val="none" w:sz="0" w:space="0" w:color="auto"/>
      </w:divBdr>
    </w:div>
    <w:div w:id="1004088443">
      <w:bodyDiv w:val="1"/>
      <w:marLeft w:val="0"/>
      <w:marRight w:val="0"/>
      <w:marTop w:val="0"/>
      <w:marBottom w:val="0"/>
      <w:divBdr>
        <w:top w:val="none" w:sz="0" w:space="0" w:color="auto"/>
        <w:left w:val="none" w:sz="0" w:space="0" w:color="auto"/>
        <w:bottom w:val="none" w:sz="0" w:space="0" w:color="auto"/>
        <w:right w:val="none" w:sz="0" w:space="0" w:color="auto"/>
      </w:divBdr>
    </w:div>
    <w:div w:id="1021081779">
      <w:bodyDiv w:val="1"/>
      <w:marLeft w:val="0"/>
      <w:marRight w:val="0"/>
      <w:marTop w:val="0"/>
      <w:marBottom w:val="0"/>
      <w:divBdr>
        <w:top w:val="none" w:sz="0" w:space="0" w:color="auto"/>
        <w:left w:val="none" w:sz="0" w:space="0" w:color="auto"/>
        <w:bottom w:val="none" w:sz="0" w:space="0" w:color="auto"/>
        <w:right w:val="none" w:sz="0" w:space="0" w:color="auto"/>
      </w:divBdr>
    </w:div>
    <w:div w:id="1065185875">
      <w:bodyDiv w:val="1"/>
      <w:marLeft w:val="0"/>
      <w:marRight w:val="0"/>
      <w:marTop w:val="0"/>
      <w:marBottom w:val="0"/>
      <w:divBdr>
        <w:top w:val="none" w:sz="0" w:space="0" w:color="auto"/>
        <w:left w:val="none" w:sz="0" w:space="0" w:color="auto"/>
        <w:bottom w:val="none" w:sz="0" w:space="0" w:color="auto"/>
        <w:right w:val="none" w:sz="0" w:space="0" w:color="auto"/>
      </w:divBdr>
    </w:div>
    <w:div w:id="1146049598">
      <w:bodyDiv w:val="1"/>
      <w:marLeft w:val="0"/>
      <w:marRight w:val="0"/>
      <w:marTop w:val="0"/>
      <w:marBottom w:val="0"/>
      <w:divBdr>
        <w:top w:val="none" w:sz="0" w:space="0" w:color="auto"/>
        <w:left w:val="none" w:sz="0" w:space="0" w:color="auto"/>
        <w:bottom w:val="none" w:sz="0" w:space="0" w:color="auto"/>
        <w:right w:val="none" w:sz="0" w:space="0" w:color="auto"/>
      </w:divBdr>
    </w:div>
    <w:div w:id="1179198039">
      <w:bodyDiv w:val="1"/>
      <w:marLeft w:val="0"/>
      <w:marRight w:val="0"/>
      <w:marTop w:val="0"/>
      <w:marBottom w:val="0"/>
      <w:divBdr>
        <w:top w:val="none" w:sz="0" w:space="0" w:color="auto"/>
        <w:left w:val="none" w:sz="0" w:space="0" w:color="auto"/>
        <w:bottom w:val="none" w:sz="0" w:space="0" w:color="auto"/>
        <w:right w:val="none" w:sz="0" w:space="0" w:color="auto"/>
      </w:divBdr>
    </w:div>
    <w:div w:id="1241064183">
      <w:bodyDiv w:val="1"/>
      <w:marLeft w:val="0"/>
      <w:marRight w:val="0"/>
      <w:marTop w:val="0"/>
      <w:marBottom w:val="0"/>
      <w:divBdr>
        <w:top w:val="none" w:sz="0" w:space="0" w:color="auto"/>
        <w:left w:val="none" w:sz="0" w:space="0" w:color="auto"/>
        <w:bottom w:val="none" w:sz="0" w:space="0" w:color="auto"/>
        <w:right w:val="none" w:sz="0" w:space="0" w:color="auto"/>
      </w:divBdr>
    </w:div>
    <w:div w:id="1273904846">
      <w:bodyDiv w:val="1"/>
      <w:marLeft w:val="0"/>
      <w:marRight w:val="0"/>
      <w:marTop w:val="0"/>
      <w:marBottom w:val="0"/>
      <w:divBdr>
        <w:top w:val="none" w:sz="0" w:space="0" w:color="auto"/>
        <w:left w:val="none" w:sz="0" w:space="0" w:color="auto"/>
        <w:bottom w:val="none" w:sz="0" w:space="0" w:color="auto"/>
        <w:right w:val="none" w:sz="0" w:space="0" w:color="auto"/>
      </w:divBdr>
    </w:div>
    <w:div w:id="1292050136">
      <w:bodyDiv w:val="1"/>
      <w:marLeft w:val="0"/>
      <w:marRight w:val="0"/>
      <w:marTop w:val="0"/>
      <w:marBottom w:val="0"/>
      <w:divBdr>
        <w:top w:val="none" w:sz="0" w:space="0" w:color="auto"/>
        <w:left w:val="none" w:sz="0" w:space="0" w:color="auto"/>
        <w:bottom w:val="none" w:sz="0" w:space="0" w:color="auto"/>
        <w:right w:val="none" w:sz="0" w:space="0" w:color="auto"/>
      </w:divBdr>
    </w:div>
    <w:div w:id="1318917887">
      <w:bodyDiv w:val="1"/>
      <w:marLeft w:val="0"/>
      <w:marRight w:val="0"/>
      <w:marTop w:val="0"/>
      <w:marBottom w:val="0"/>
      <w:divBdr>
        <w:top w:val="none" w:sz="0" w:space="0" w:color="auto"/>
        <w:left w:val="none" w:sz="0" w:space="0" w:color="auto"/>
        <w:bottom w:val="none" w:sz="0" w:space="0" w:color="auto"/>
        <w:right w:val="none" w:sz="0" w:space="0" w:color="auto"/>
      </w:divBdr>
    </w:div>
    <w:div w:id="1344748184">
      <w:bodyDiv w:val="1"/>
      <w:marLeft w:val="0"/>
      <w:marRight w:val="0"/>
      <w:marTop w:val="0"/>
      <w:marBottom w:val="0"/>
      <w:divBdr>
        <w:top w:val="none" w:sz="0" w:space="0" w:color="auto"/>
        <w:left w:val="none" w:sz="0" w:space="0" w:color="auto"/>
        <w:bottom w:val="none" w:sz="0" w:space="0" w:color="auto"/>
        <w:right w:val="none" w:sz="0" w:space="0" w:color="auto"/>
      </w:divBdr>
    </w:div>
    <w:div w:id="1364747160">
      <w:bodyDiv w:val="1"/>
      <w:marLeft w:val="0"/>
      <w:marRight w:val="0"/>
      <w:marTop w:val="0"/>
      <w:marBottom w:val="0"/>
      <w:divBdr>
        <w:top w:val="none" w:sz="0" w:space="0" w:color="auto"/>
        <w:left w:val="none" w:sz="0" w:space="0" w:color="auto"/>
        <w:bottom w:val="none" w:sz="0" w:space="0" w:color="auto"/>
        <w:right w:val="none" w:sz="0" w:space="0" w:color="auto"/>
      </w:divBdr>
    </w:div>
    <w:div w:id="1429232724">
      <w:bodyDiv w:val="1"/>
      <w:marLeft w:val="0"/>
      <w:marRight w:val="0"/>
      <w:marTop w:val="0"/>
      <w:marBottom w:val="0"/>
      <w:divBdr>
        <w:top w:val="none" w:sz="0" w:space="0" w:color="auto"/>
        <w:left w:val="none" w:sz="0" w:space="0" w:color="auto"/>
        <w:bottom w:val="none" w:sz="0" w:space="0" w:color="auto"/>
        <w:right w:val="none" w:sz="0" w:space="0" w:color="auto"/>
      </w:divBdr>
    </w:div>
    <w:div w:id="1440953067">
      <w:bodyDiv w:val="1"/>
      <w:marLeft w:val="0"/>
      <w:marRight w:val="0"/>
      <w:marTop w:val="0"/>
      <w:marBottom w:val="0"/>
      <w:divBdr>
        <w:top w:val="none" w:sz="0" w:space="0" w:color="auto"/>
        <w:left w:val="none" w:sz="0" w:space="0" w:color="auto"/>
        <w:bottom w:val="none" w:sz="0" w:space="0" w:color="auto"/>
        <w:right w:val="none" w:sz="0" w:space="0" w:color="auto"/>
      </w:divBdr>
    </w:div>
    <w:div w:id="1480725485">
      <w:bodyDiv w:val="1"/>
      <w:marLeft w:val="0"/>
      <w:marRight w:val="0"/>
      <w:marTop w:val="0"/>
      <w:marBottom w:val="0"/>
      <w:divBdr>
        <w:top w:val="none" w:sz="0" w:space="0" w:color="auto"/>
        <w:left w:val="none" w:sz="0" w:space="0" w:color="auto"/>
        <w:bottom w:val="none" w:sz="0" w:space="0" w:color="auto"/>
        <w:right w:val="none" w:sz="0" w:space="0" w:color="auto"/>
      </w:divBdr>
    </w:div>
    <w:div w:id="1521160118">
      <w:bodyDiv w:val="1"/>
      <w:marLeft w:val="0"/>
      <w:marRight w:val="0"/>
      <w:marTop w:val="0"/>
      <w:marBottom w:val="0"/>
      <w:divBdr>
        <w:top w:val="none" w:sz="0" w:space="0" w:color="auto"/>
        <w:left w:val="none" w:sz="0" w:space="0" w:color="auto"/>
        <w:bottom w:val="none" w:sz="0" w:space="0" w:color="auto"/>
        <w:right w:val="none" w:sz="0" w:space="0" w:color="auto"/>
      </w:divBdr>
    </w:div>
    <w:div w:id="1545369386">
      <w:bodyDiv w:val="1"/>
      <w:marLeft w:val="0"/>
      <w:marRight w:val="0"/>
      <w:marTop w:val="0"/>
      <w:marBottom w:val="0"/>
      <w:divBdr>
        <w:top w:val="none" w:sz="0" w:space="0" w:color="auto"/>
        <w:left w:val="none" w:sz="0" w:space="0" w:color="auto"/>
        <w:bottom w:val="none" w:sz="0" w:space="0" w:color="auto"/>
        <w:right w:val="none" w:sz="0" w:space="0" w:color="auto"/>
      </w:divBdr>
      <w:divsChild>
        <w:div w:id="1642616531">
          <w:marLeft w:val="547"/>
          <w:marRight w:val="0"/>
          <w:marTop w:val="0"/>
          <w:marBottom w:val="120"/>
          <w:divBdr>
            <w:top w:val="none" w:sz="0" w:space="0" w:color="auto"/>
            <w:left w:val="none" w:sz="0" w:space="0" w:color="auto"/>
            <w:bottom w:val="none" w:sz="0" w:space="0" w:color="auto"/>
            <w:right w:val="none" w:sz="0" w:space="0" w:color="auto"/>
          </w:divBdr>
        </w:div>
        <w:div w:id="1440030669">
          <w:marLeft w:val="547"/>
          <w:marRight w:val="0"/>
          <w:marTop w:val="0"/>
          <w:marBottom w:val="120"/>
          <w:divBdr>
            <w:top w:val="none" w:sz="0" w:space="0" w:color="auto"/>
            <w:left w:val="none" w:sz="0" w:space="0" w:color="auto"/>
            <w:bottom w:val="none" w:sz="0" w:space="0" w:color="auto"/>
            <w:right w:val="none" w:sz="0" w:space="0" w:color="auto"/>
          </w:divBdr>
        </w:div>
        <w:div w:id="773325959">
          <w:marLeft w:val="547"/>
          <w:marRight w:val="0"/>
          <w:marTop w:val="0"/>
          <w:marBottom w:val="120"/>
          <w:divBdr>
            <w:top w:val="none" w:sz="0" w:space="0" w:color="auto"/>
            <w:left w:val="none" w:sz="0" w:space="0" w:color="auto"/>
            <w:bottom w:val="none" w:sz="0" w:space="0" w:color="auto"/>
            <w:right w:val="none" w:sz="0" w:space="0" w:color="auto"/>
          </w:divBdr>
        </w:div>
        <w:div w:id="1025904838">
          <w:marLeft w:val="547"/>
          <w:marRight w:val="0"/>
          <w:marTop w:val="0"/>
          <w:marBottom w:val="120"/>
          <w:divBdr>
            <w:top w:val="none" w:sz="0" w:space="0" w:color="auto"/>
            <w:left w:val="none" w:sz="0" w:space="0" w:color="auto"/>
            <w:bottom w:val="none" w:sz="0" w:space="0" w:color="auto"/>
            <w:right w:val="none" w:sz="0" w:space="0" w:color="auto"/>
          </w:divBdr>
        </w:div>
        <w:div w:id="1679691509">
          <w:marLeft w:val="547"/>
          <w:marRight w:val="0"/>
          <w:marTop w:val="0"/>
          <w:marBottom w:val="120"/>
          <w:divBdr>
            <w:top w:val="none" w:sz="0" w:space="0" w:color="auto"/>
            <w:left w:val="none" w:sz="0" w:space="0" w:color="auto"/>
            <w:bottom w:val="none" w:sz="0" w:space="0" w:color="auto"/>
            <w:right w:val="none" w:sz="0" w:space="0" w:color="auto"/>
          </w:divBdr>
        </w:div>
      </w:divsChild>
    </w:div>
    <w:div w:id="1735276090">
      <w:bodyDiv w:val="1"/>
      <w:marLeft w:val="0"/>
      <w:marRight w:val="0"/>
      <w:marTop w:val="0"/>
      <w:marBottom w:val="0"/>
      <w:divBdr>
        <w:top w:val="none" w:sz="0" w:space="0" w:color="auto"/>
        <w:left w:val="none" w:sz="0" w:space="0" w:color="auto"/>
        <w:bottom w:val="none" w:sz="0" w:space="0" w:color="auto"/>
        <w:right w:val="none" w:sz="0" w:space="0" w:color="auto"/>
      </w:divBdr>
    </w:div>
    <w:div w:id="1743016621">
      <w:bodyDiv w:val="1"/>
      <w:marLeft w:val="0"/>
      <w:marRight w:val="0"/>
      <w:marTop w:val="0"/>
      <w:marBottom w:val="0"/>
      <w:divBdr>
        <w:top w:val="none" w:sz="0" w:space="0" w:color="auto"/>
        <w:left w:val="none" w:sz="0" w:space="0" w:color="auto"/>
        <w:bottom w:val="none" w:sz="0" w:space="0" w:color="auto"/>
        <w:right w:val="none" w:sz="0" w:space="0" w:color="auto"/>
      </w:divBdr>
    </w:div>
    <w:div w:id="1789742753">
      <w:bodyDiv w:val="1"/>
      <w:marLeft w:val="0"/>
      <w:marRight w:val="0"/>
      <w:marTop w:val="0"/>
      <w:marBottom w:val="0"/>
      <w:divBdr>
        <w:top w:val="none" w:sz="0" w:space="0" w:color="auto"/>
        <w:left w:val="none" w:sz="0" w:space="0" w:color="auto"/>
        <w:bottom w:val="none" w:sz="0" w:space="0" w:color="auto"/>
        <w:right w:val="none" w:sz="0" w:space="0" w:color="auto"/>
      </w:divBdr>
    </w:div>
    <w:div w:id="1863322403">
      <w:bodyDiv w:val="1"/>
      <w:marLeft w:val="0"/>
      <w:marRight w:val="0"/>
      <w:marTop w:val="0"/>
      <w:marBottom w:val="0"/>
      <w:divBdr>
        <w:top w:val="none" w:sz="0" w:space="0" w:color="auto"/>
        <w:left w:val="none" w:sz="0" w:space="0" w:color="auto"/>
        <w:bottom w:val="none" w:sz="0" w:space="0" w:color="auto"/>
        <w:right w:val="none" w:sz="0" w:space="0" w:color="auto"/>
      </w:divBdr>
      <w:divsChild>
        <w:div w:id="575359000">
          <w:marLeft w:val="1714"/>
          <w:marRight w:val="0"/>
          <w:marTop w:val="75"/>
          <w:marBottom w:val="0"/>
          <w:divBdr>
            <w:top w:val="none" w:sz="0" w:space="0" w:color="auto"/>
            <w:left w:val="none" w:sz="0" w:space="0" w:color="auto"/>
            <w:bottom w:val="none" w:sz="0" w:space="0" w:color="auto"/>
            <w:right w:val="none" w:sz="0" w:space="0" w:color="auto"/>
          </w:divBdr>
        </w:div>
        <w:div w:id="940408560">
          <w:marLeft w:val="1714"/>
          <w:marRight w:val="0"/>
          <w:marTop w:val="75"/>
          <w:marBottom w:val="0"/>
          <w:divBdr>
            <w:top w:val="none" w:sz="0" w:space="0" w:color="auto"/>
            <w:left w:val="none" w:sz="0" w:space="0" w:color="auto"/>
            <w:bottom w:val="none" w:sz="0" w:space="0" w:color="auto"/>
            <w:right w:val="none" w:sz="0" w:space="0" w:color="auto"/>
          </w:divBdr>
        </w:div>
        <w:div w:id="1194147734">
          <w:marLeft w:val="1714"/>
          <w:marRight w:val="0"/>
          <w:marTop w:val="75"/>
          <w:marBottom w:val="0"/>
          <w:divBdr>
            <w:top w:val="none" w:sz="0" w:space="0" w:color="auto"/>
            <w:left w:val="none" w:sz="0" w:space="0" w:color="auto"/>
            <w:bottom w:val="none" w:sz="0" w:space="0" w:color="auto"/>
            <w:right w:val="none" w:sz="0" w:space="0" w:color="auto"/>
          </w:divBdr>
        </w:div>
      </w:divsChild>
    </w:div>
    <w:div w:id="1916474860">
      <w:bodyDiv w:val="1"/>
      <w:marLeft w:val="0"/>
      <w:marRight w:val="0"/>
      <w:marTop w:val="0"/>
      <w:marBottom w:val="0"/>
      <w:divBdr>
        <w:top w:val="none" w:sz="0" w:space="0" w:color="auto"/>
        <w:left w:val="none" w:sz="0" w:space="0" w:color="auto"/>
        <w:bottom w:val="none" w:sz="0" w:space="0" w:color="auto"/>
        <w:right w:val="none" w:sz="0" w:space="0" w:color="auto"/>
      </w:divBdr>
    </w:div>
    <w:div w:id="1948734642">
      <w:bodyDiv w:val="1"/>
      <w:marLeft w:val="0"/>
      <w:marRight w:val="0"/>
      <w:marTop w:val="0"/>
      <w:marBottom w:val="0"/>
      <w:divBdr>
        <w:top w:val="none" w:sz="0" w:space="0" w:color="auto"/>
        <w:left w:val="none" w:sz="0" w:space="0" w:color="auto"/>
        <w:bottom w:val="none" w:sz="0" w:space="0" w:color="auto"/>
        <w:right w:val="none" w:sz="0" w:space="0" w:color="auto"/>
      </w:divBdr>
    </w:div>
    <w:div w:id="1970234001">
      <w:bodyDiv w:val="1"/>
      <w:marLeft w:val="0"/>
      <w:marRight w:val="0"/>
      <w:marTop w:val="0"/>
      <w:marBottom w:val="0"/>
      <w:divBdr>
        <w:top w:val="none" w:sz="0" w:space="0" w:color="auto"/>
        <w:left w:val="none" w:sz="0" w:space="0" w:color="auto"/>
        <w:bottom w:val="none" w:sz="0" w:space="0" w:color="auto"/>
        <w:right w:val="none" w:sz="0" w:space="0" w:color="auto"/>
      </w:divBdr>
    </w:div>
    <w:div w:id="1974407042">
      <w:bodyDiv w:val="1"/>
      <w:marLeft w:val="0"/>
      <w:marRight w:val="0"/>
      <w:marTop w:val="0"/>
      <w:marBottom w:val="0"/>
      <w:divBdr>
        <w:top w:val="none" w:sz="0" w:space="0" w:color="auto"/>
        <w:left w:val="none" w:sz="0" w:space="0" w:color="auto"/>
        <w:bottom w:val="none" w:sz="0" w:space="0" w:color="auto"/>
        <w:right w:val="none" w:sz="0" w:space="0" w:color="auto"/>
      </w:divBdr>
      <w:divsChild>
        <w:div w:id="925379446">
          <w:marLeft w:val="0"/>
          <w:marRight w:val="0"/>
          <w:marTop w:val="0"/>
          <w:marBottom w:val="0"/>
          <w:divBdr>
            <w:top w:val="none" w:sz="0" w:space="0" w:color="auto"/>
            <w:left w:val="none" w:sz="0" w:space="0" w:color="auto"/>
            <w:bottom w:val="none" w:sz="0" w:space="0" w:color="auto"/>
            <w:right w:val="none" w:sz="0" w:space="0" w:color="auto"/>
          </w:divBdr>
          <w:divsChild>
            <w:div w:id="1457067384">
              <w:marLeft w:val="0"/>
              <w:marRight w:val="0"/>
              <w:marTop w:val="0"/>
              <w:marBottom w:val="0"/>
              <w:divBdr>
                <w:top w:val="none" w:sz="0" w:space="0" w:color="auto"/>
                <w:left w:val="none" w:sz="0" w:space="0" w:color="auto"/>
                <w:bottom w:val="none" w:sz="0" w:space="0" w:color="auto"/>
                <w:right w:val="none" w:sz="0" w:space="0" w:color="auto"/>
              </w:divBdr>
              <w:divsChild>
                <w:div w:id="1386100382">
                  <w:marLeft w:val="0"/>
                  <w:marRight w:val="0"/>
                  <w:marTop w:val="0"/>
                  <w:marBottom w:val="0"/>
                  <w:divBdr>
                    <w:top w:val="none" w:sz="0" w:space="0" w:color="auto"/>
                    <w:left w:val="none" w:sz="0" w:space="0" w:color="auto"/>
                    <w:bottom w:val="none" w:sz="0" w:space="0" w:color="auto"/>
                    <w:right w:val="none" w:sz="0" w:space="0" w:color="auto"/>
                  </w:divBdr>
                  <w:divsChild>
                    <w:div w:id="2017415372">
                      <w:marLeft w:val="0"/>
                      <w:marRight w:val="0"/>
                      <w:marTop w:val="0"/>
                      <w:marBottom w:val="0"/>
                      <w:divBdr>
                        <w:top w:val="none" w:sz="0" w:space="0" w:color="auto"/>
                        <w:left w:val="none" w:sz="0" w:space="0" w:color="auto"/>
                        <w:bottom w:val="none" w:sz="0" w:space="0" w:color="auto"/>
                        <w:right w:val="none" w:sz="0" w:space="0" w:color="auto"/>
                      </w:divBdr>
                      <w:divsChild>
                        <w:div w:id="1879854719">
                          <w:marLeft w:val="0"/>
                          <w:marRight w:val="0"/>
                          <w:marTop w:val="0"/>
                          <w:marBottom w:val="0"/>
                          <w:divBdr>
                            <w:top w:val="none" w:sz="0" w:space="0" w:color="auto"/>
                            <w:left w:val="none" w:sz="0" w:space="0" w:color="auto"/>
                            <w:bottom w:val="none" w:sz="0" w:space="0" w:color="auto"/>
                            <w:right w:val="none" w:sz="0" w:space="0" w:color="auto"/>
                          </w:divBdr>
                          <w:divsChild>
                            <w:div w:id="1718121927">
                              <w:marLeft w:val="0"/>
                              <w:marRight w:val="0"/>
                              <w:marTop w:val="0"/>
                              <w:marBottom w:val="0"/>
                              <w:divBdr>
                                <w:top w:val="none" w:sz="0" w:space="0" w:color="auto"/>
                                <w:left w:val="none" w:sz="0" w:space="0" w:color="auto"/>
                                <w:bottom w:val="none" w:sz="0" w:space="0" w:color="auto"/>
                                <w:right w:val="none" w:sz="0" w:space="0" w:color="auto"/>
                              </w:divBdr>
                              <w:divsChild>
                                <w:div w:id="1015691624">
                                  <w:marLeft w:val="0"/>
                                  <w:marRight w:val="0"/>
                                  <w:marTop w:val="0"/>
                                  <w:marBottom w:val="0"/>
                                  <w:divBdr>
                                    <w:top w:val="none" w:sz="0" w:space="0" w:color="auto"/>
                                    <w:left w:val="none" w:sz="0" w:space="0" w:color="auto"/>
                                    <w:bottom w:val="none" w:sz="0" w:space="0" w:color="auto"/>
                                    <w:right w:val="none" w:sz="0" w:space="0" w:color="auto"/>
                                  </w:divBdr>
                                  <w:divsChild>
                                    <w:div w:id="273055534">
                                      <w:marLeft w:val="0"/>
                                      <w:marRight w:val="0"/>
                                      <w:marTop w:val="0"/>
                                      <w:marBottom w:val="0"/>
                                      <w:divBdr>
                                        <w:top w:val="none" w:sz="0" w:space="0" w:color="auto"/>
                                        <w:left w:val="none" w:sz="0" w:space="0" w:color="auto"/>
                                        <w:bottom w:val="none" w:sz="0" w:space="0" w:color="auto"/>
                                        <w:right w:val="none" w:sz="0" w:space="0" w:color="auto"/>
                                      </w:divBdr>
                                      <w:divsChild>
                                        <w:div w:id="316111951">
                                          <w:marLeft w:val="0"/>
                                          <w:marRight w:val="0"/>
                                          <w:marTop w:val="0"/>
                                          <w:marBottom w:val="0"/>
                                          <w:divBdr>
                                            <w:top w:val="none" w:sz="0" w:space="0" w:color="auto"/>
                                            <w:left w:val="none" w:sz="0" w:space="0" w:color="auto"/>
                                            <w:bottom w:val="none" w:sz="0" w:space="0" w:color="auto"/>
                                            <w:right w:val="none" w:sz="0" w:space="0" w:color="auto"/>
                                          </w:divBdr>
                                          <w:divsChild>
                                            <w:div w:id="1874223752">
                                              <w:marLeft w:val="0"/>
                                              <w:marRight w:val="0"/>
                                              <w:marTop w:val="0"/>
                                              <w:marBottom w:val="0"/>
                                              <w:divBdr>
                                                <w:top w:val="none" w:sz="0" w:space="0" w:color="auto"/>
                                                <w:left w:val="none" w:sz="0" w:space="0" w:color="auto"/>
                                                <w:bottom w:val="none" w:sz="0" w:space="0" w:color="auto"/>
                                                <w:right w:val="none" w:sz="0" w:space="0" w:color="auto"/>
                                              </w:divBdr>
                                              <w:divsChild>
                                                <w:div w:id="264770170">
                                                  <w:marLeft w:val="0"/>
                                                  <w:marRight w:val="0"/>
                                                  <w:marTop w:val="0"/>
                                                  <w:marBottom w:val="0"/>
                                                  <w:divBdr>
                                                    <w:top w:val="none" w:sz="0" w:space="0" w:color="auto"/>
                                                    <w:left w:val="none" w:sz="0" w:space="0" w:color="auto"/>
                                                    <w:bottom w:val="none" w:sz="0" w:space="0" w:color="auto"/>
                                                    <w:right w:val="none" w:sz="0" w:space="0" w:color="auto"/>
                                                  </w:divBdr>
                                                  <w:divsChild>
                                                    <w:div w:id="1511796723">
                                                      <w:marLeft w:val="0"/>
                                                      <w:marRight w:val="0"/>
                                                      <w:marTop w:val="0"/>
                                                      <w:marBottom w:val="0"/>
                                                      <w:divBdr>
                                                        <w:top w:val="none" w:sz="0" w:space="0" w:color="auto"/>
                                                        <w:left w:val="none" w:sz="0" w:space="0" w:color="auto"/>
                                                        <w:bottom w:val="none" w:sz="0" w:space="0" w:color="auto"/>
                                                        <w:right w:val="none" w:sz="0" w:space="0" w:color="auto"/>
                                                      </w:divBdr>
                                                      <w:divsChild>
                                                        <w:div w:id="1230506294">
                                                          <w:marLeft w:val="0"/>
                                                          <w:marRight w:val="0"/>
                                                          <w:marTop w:val="0"/>
                                                          <w:marBottom w:val="0"/>
                                                          <w:divBdr>
                                                            <w:top w:val="none" w:sz="0" w:space="0" w:color="auto"/>
                                                            <w:left w:val="none" w:sz="0" w:space="0" w:color="auto"/>
                                                            <w:bottom w:val="none" w:sz="0" w:space="0" w:color="auto"/>
                                                            <w:right w:val="none" w:sz="0" w:space="0" w:color="auto"/>
                                                          </w:divBdr>
                                                          <w:divsChild>
                                                            <w:div w:id="1548031106">
                                                              <w:marLeft w:val="0"/>
                                                              <w:marRight w:val="0"/>
                                                              <w:marTop w:val="0"/>
                                                              <w:marBottom w:val="0"/>
                                                              <w:divBdr>
                                                                <w:top w:val="none" w:sz="0" w:space="0" w:color="auto"/>
                                                                <w:left w:val="none" w:sz="0" w:space="0" w:color="auto"/>
                                                                <w:bottom w:val="none" w:sz="0" w:space="0" w:color="auto"/>
                                                                <w:right w:val="none" w:sz="0" w:space="0" w:color="auto"/>
                                                              </w:divBdr>
                                                              <w:divsChild>
                                                                <w:div w:id="367804266">
                                                                  <w:marLeft w:val="0"/>
                                                                  <w:marRight w:val="0"/>
                                                                  <w:marTop w:val="0"/>
                                                                  <w:marBottom w:val="0"/>
                                                                  <w:divBdr>
                                                                    <w:top w:val="none" w:sz="0" w:space="0" w:color="auto"/>
                                                                    <w:left w:val="none" w:sz="0" w:space="0" w:color="auto"/>
                                                                    <w:bottom w:val="none" w:sz="0" w:space="0" w:color="auto"/>
                                                                    <w:right w:val="none" w:sz="0" w:space="0" w:color="auto"/>
                                                                  </w:divBdr>
                                                                  <w:divsChild>
                                                                    <w:div w:id="217061428">
                                                                      <w:marLeft w:val="0"/>
                                                                      <w:marRight w:val="0"/>
                                                                      <w:marTop w:val="0"/>
                                                                      <w:marBottom w:val="0"/>
                                                                      <w:divBdr>
                                                                        <w:top w:val="none" w:sz="0" w:space="0" w:color="auto"/>
                                                                        <w:left w:val="none" w:sz="0" w:space="0" w:color="auto"/>
                                                                        <w:bottom w:val="none" w:sz="0" w:space="0" w:color="auto"/>
                                                                        <w:right w:val="none" w:sz="0" w:space="0" w:color="auto"/>
                                                                      </w:divBdr>
                                                                      <w:divsChild>
                                                                        <w:div w:id="722022671">
                                                                          <w:marLeft w:val="0"/>
                                                                          <w:marRight w:val="0"/>
                                                                          <w:marTop w:val="0"/>
                                                                          <w:marBottom w:val="0"/>
                                                                          <w:divBdr>
                                                                            <w:top w:val="none" w:sz="0" w:space="0" w:color="auto"/>
                                                                            <w:left w:val="none" w:sz="0" w:space="0" w:color="auto"/>
                                                                            <w:bottom w:val="none" w:sz="0" w:space="0" w:color="auto"/>
                                                                            <w:right w:val="none" w:sz="0" w:space="0" w:color="auto"/>
                                                                          </w:divBdr>
                                                                          <w:divsChild>
                                                                            <w:div w:id="69893904">
                                                                              <w:marLeft w:val="0"/>
                                                                              <w:marRight w:val="0"/>
                                                                              <w:marTop w:val="0"/>
                                                                              <w:marBottom w:val="0"/>
                                                                              <w:divBdr>
                                                                                <w:top w:val="none" w:sz="0" w:space="0" w:color="auto"/>
                                                                                <w:left w:val="none" w:sz="0" w:space="0" w:color="auto"/>
                                                                                <w:bottom w:val="none" w:sz="0" w:space="0" w:color="auto"/>
                                                                                <w:right w:val="none" w:sz="0" w:space="0" w:color="auto"/>
                                                                              </w:divBdr>
                                                                              <w:divsChild>
                                                                                <w:div w:id="1578901660">
                                                                                  <w:marLeft w:val="0"/>
                                                                                  <w:marRight w:val="0"/>
                                                                                  <w:marTop w:val="0"/>
                                                                                  <w:marBottom w:val="0"/>
                                                                                  <w:divBdr>
                                                                                    <w:top w:val="none" w:sz="0" w:space="0" w:color="auto"/>
                                                                                    <w:left w:val="none" w:sz="0" w:space="0" w:color="auto"/>
                                                                                    <w:bottom w:val="none" w:sz="0" w:space="0" w:color="auto"/>
                                                                                    <w:right w:val="none" w:sz="0" w:space="0" w:color="auto"/>
                                                                                  </w:divBdr>
                                                                                  <w:divsChild>
                                                                                    <w:div w:id="63988098">
                                                                                      <w:marLeft w:val="0"/>
                                                                                      <w:marRight w:val="0"/>
                                                                                      <w:marTop w:val="0"/>
                                                                                      <w:marBottom w:val="0"/>
                                                                                      <w:divBdr>
                                                                                        <w:top w:val="none" w:sz="0" w:space="0" w:color="auto"/>
                                                                                        <w:left w:val="none" w:sz="0" w:space="0" w:color="auto"/>
                                                                                        <w:bottom w:val="none" w:sz="0" w:space="0" w:color="auto"/>
                                                                                        <w:right w:val="none" w:sz="0" w:space="0" w:color="auto"/>
                                                                                      </w:divBdr>
                                                                                      <w:divsChild>
                                                                                        <w:div w:id="2115175538">
                                                                                          <w:marLeft w:val="0"/>
                                                                                          <w:marRight w:val="0"/>
                                                                                          <w:marTop w:val="0"/>
                                                                                          <w:marBottom w:val="0"/>
                                                                                          <w:divBdr>
                                                                                            <w:top w:val="none" w:sz="0" w:space="0" w:color="auto"/>
                                                                                            <w:left w:val="none" w:sz="0" w:space="0" w:color="auto"/>
                                                                                            <w:bottom w:val="none" w:sz="0" w:space="0" w:color="auto"/>
                                                                                            <w:right w:val="none" w:sz="0" w:space="0" w:color="auto"/>
                                                                                          </w:divBdr>
                                                                                          <w:divsChild>
                                                                                            <w:div w:id="1272938034">
                                                                                              <w:marLeft w:val="0"/>
                                                                                              <w:marRight w:val="120"/>
                                                                                              <w:marTop w:val="0"/>
                                                                                              <w:marBottom w:val="150"/>
                                                                                              <w:divBdr>
                                                                                                <w:top w:val="single" w:sz="2" w:space="0" w:color="EFEFEF"/>
                                                                                                <w:left w:val="single" w:sz="6" w:space="0" w:color="EFEFEF"/>
                                                                                                <w:bottom w:val="single" w:sz="6" w:space="0" w:color="E2E2E2"/>
                                                                                                <w:right w:val="single" w:sz="6" w:space="0" w:color="EFEFEF"/>
                                                                                              </w:divBdr>
                                                                                              <w:divsChild>
                                                                                                <w:div w:id="1857694728">
                                                                                                  <w:marLeft w:val="0"/>
                                                                                                  <w:marRight w:val="0"/>
                                                                                                  <w:marTop w:val="0"/>
                                                                                                  <w:marBottom w:val="0"/>
                                                                                                  <w:divBdr>
                                                                                                    <w:top w:val="none" w:sz="0" w:space="0" w:color="auto"/>
                                                                                                    <w:left w:val="none" w:sz="0" w:space="0" w:color="auto"/>
                                                                                                    <w:bottom w:val="none" w:sz="0" w:space="0" w:color="auto"/>
                                                                                                    <w:right w:val="none" w:sz="0" w:space="0" w:color="auto"/>
                                                                                                  </w:divBdr>
                                                                                                  <w:divsChild>
                                                                                                    <w:div w:id="1277643474">
                                                                                                      <w:marLeft w:val="0"/>
                                                                                                      <w:marRight w:val="0"/>
                                                                                                      <w:marTop w:val="0"/>
                                                                                                      <w:marBottom w:val="0"/>
                                                                                                      <w:divBdr>
                                                                                                        <w:top w:val="none" w:sz="0" w:space="0" w:color="auto"/>
                                                                                                        <w:left w:val="none" w:sz="0" w:space="0" w:color="auto"/>
                                                                                                        <w:bottom w:val="none" w:sz="0" w:space="0" w:color="auto"/>
                                                                                                        <w:right w:val="none" w:sz="0" w:space="0" w:color="auto"/>
                                                                                                      </w:divBdr>
                                                                                                      <w:divsChild>
                                                                                                        <w:div w:id="1755393663">
                                                                                                          <w:marLeft w:val="0"/>
                                                                                                          <w:marRight w:val="0"/>
                                                                                                          <w:marTop w:val="0"/>
                                                                                                          <w:marBottom w:val="0"/>
                                                                                                          <w:divBdr>
                                                                                                            <w:top w:val="none" w:sz="0" w:space="0" w:color="auto"/>
                                                                                                            <w:left w:val="none" w:sz="0" w:space="0" w:color="auto"/>
                                                                                                            <w:bottom w:val="none" w:sz="0" w:space="0" w:color="auto"/>
                                                                                                            <w:right w:val="none" w:sz="0" w:space="0" w:color="auto"/>
                                                                                                          </w:divBdr>
                                                                                                          <w:divsChild>
                                                                                                            <w:div w:id="1910572172">
                                                                                                              <w:marLeft w:val="0"/>
                                                                                                              <w:marRight w:val="0"/>
                                                                                                              <w:marTop w:val="0"/>
                                                                                                              <w:marBottom w:val="0"/>
                                                                                                              <w:divBdr>
                                                                                                                <w:top w:val="none" w:sz="0" w:space="0" w:color="auto"/>
                                                                                                                <w:left w:val="none" w:sz="0" w:space="0" w:color="auto"/>
                                                                                                                <w:bottom w:val="none" w:sz="0" w:space="0" w:color="auto"/>
                                                                                                                <w:right w:val="none" w:sz="0" w:space="0" w:color="auto"/>
                                                                                                              </w:divBdr>
                                                                                                              <w:divsChild>
                                                                                                                <w:div w:id="893783878">
                                                                                                                  <w:marLeft w:val="-570"/>
                                                                                                                  <w:marRight w:val="0"/>
                                                                                                                  <w:marTop w:val="150"/>
                                                                                                                  <w:marBottom w:val="225"/>
                                                                                                                  <w:divBdr>
                                                                                                                    <w:top w:val="single" w:sz="6" w:space="2" w:color="D8D8D8"/>
                                                                                                                    <w:left w:val="single" w:sz="6" w:space="2" w:color="D8D8D8"/>
                                                                                                                    <w:bottom w:val="single" w:sz="6" w:space="2" w:color="D8D8D8"/>
                                                                                                                    <w:right w:val="single" w:sz="6" w:space="2" w:color="D8D8D8"/>
                                                                                                                  </w:divBdr>
                                                                                                                  <w:divsChild>
                                                                                                                    <w:div w:id="1917737481">
                                                                                                                      <w:marLeft w:val="225"/>
                                                                                                                      <w:marRight w:val="225"/>
                                                                                                                      <w:marTop w:val="75"/>
                                                                                                                      <w:marBottom w:val="75"/>
                                                                                                                      <w:divBdr>
                                                                                                                        <w:top w:val="none" w:sz="0" w:space="0" w:color="auto"/>
                                                                                                                        <w:left w:val="none" w:sz="0" w:space="0" w:color="auto"/>
                                                                                                                        <w:bottom w:val="none" w:sz="0" w:space="0" w:color="auto"/>
                                                                                                                        <w:right w:val="none" w:sz="0" w:space="0" w:color="auto"/>
                                                                                                                      </w:divBdr>
                                                                                                                      <w:divsChild>
                                                                                                                        <w:div w:id="1098333278">
                                                                                                                          <w:marLeft w:val="0"/>
                                                                                                                          <w:marRight w:val="0"/>
                                                                                                                          <w:marTop w:val="0"/>
                                                                                                                          <w:marBottom w:val="0"/>
                                                                                                                          <w:divBdr>
                                                                                                                            <w:top w:val="single" w:sz="6" w:space="0" w:color="auto"/>
                                                                                                                            <w:left w:val="single" w:sz="6" w:space="0" w:color="auto"/>
                                                                                                                            <w:bottom w:val="single" w:sz="6" w:space="0" w:color="auto"/>
                                                                                                                            <w:right w:val="single" w:sz="6" w:space="0" w:color="auto"/>
                                                                                                                          </w:divBdr>
                                                                                                                          <w:divsChild>
                                                                                                                            <w:div w:id="839999963">
                                                                                                                              <w:marLeft w:val="0"/>
                                                                                                                              <w:marRight w:val="0"/>
                                                                                                                              <w:marTop w:val="0"/>
                                                                                                                              <w:marBottom w:val="0"/>
                                                                                                                              <w:divBdr>
                                                                                                                                <w:top w:val="none" w:sz="0" w:space="0" w:color="auto"/>
                                                                                                                                <w:left w:val="none" w:sz="0" w:space="0" w:color="auto"/>
                                                                                                                                <w:bottom w:val="none" w:sz="0" w:space="0" w:color="auto"/>
                                                                                                                                <w:right w:val="none" w:sz="0" w:space="0" w:color="auto"/>
                                                                                                                              </w:divBdr>
                                                                                                                              <w:divsChild>
                                                                                                                                <w:div w:id="2526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9625104">
      <w:bodyDiv w:val="1"/>
      <w:marLeft w:val="0"/>
      <w:marRight w:val="0"/>
      <w:marTop w:val="0"/>
      <w:marBottom w:val="0"/>
      <w:divBdr>
        <w:top w:val="none" w:sz="0" w:space="0" w:color="auto"/>
        <w:left w:val="none" w:sz="0" w:space="0" w:color="auto"/>
        <w:bottom w:val="none" w:sz="0" w:space="0" w:color="auto"/>
        <w:right w:val="none" w:sz="0" w:space="0" w:color="auto"/>
      </w:divBdr>
    </w:div>
    <w:div w:id="2023777950">
      <w:bodyDiv w:val="1"/>
      <w:marLeft w:val="0"/>
      <w:marRight w:val="0"/>
      <w:marTop w:val="0"/>
      <w:marBottom w:val="0"/>
      <w:divBdr>
        <w:top w:val="none" w:sz="0" w:space="0" w:color="auto"/>
        <w:left w:val="none" w:sz="0" w:space="0" w:color="auto"/>
        <w:bottom w:val="none" w:sz="0" w:space="0" w:color="auto"/>
        <w:right w:val="none" w:sz="0" w:space="0" w:color="auto"/>
      </w:divBdr>
    </w:div>
    <w:div w:id="206402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image" Target="media/image5.png"/><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chart" Target="charts/chart4.xml"/></Relationships>
</file>

<file path=word/_rels/footnotes.xml.rels><?xml version="1.0" encoding="UTF-8" standalone="yes"?>
<Relationships xmlns="http://schemas.openxmlformats.org/package/2006/relationships"><Relationship Id="rId1" Type="http://schemas.openxmlformats.org/officeDocument/2006/relationships/hyperlink" Target="http://www.wsipp.wa.gov"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8%20III%20ketv\IAS%20darbiniai\ESIF_2014-2020_EU_payments_2018-10-09.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fm000549.fm.lt\home\24_vp_dep\bendras\Master_planas%20(Paulius)\Ataskaita%20LRV\2018%20III%20ketv\IAS%20darbiniai\2018%20m.%20III%20ketv.%20finans%20duom.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8%20III%20ketv\IAS%20darbiniai\2018%20m.%20III%20ketv.%20finans%20duom.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fm000549.fm.lt\home\24_vp_dep\bendras\Master_planas%20(Paulius)\Ataskaita%20LRV\2018%20III%20ketv\IAS%20darbiniai\2018%20m.%20III%20ketv.%20finans%20duom.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clustered"/>
        <c:varyColors val="0"/>
        <c:ser>
          <c:idx val="0"/>
          <c:order val="0"/>
          <c:spPr>
            <a:solidFill>
              <a:schemeClr val="tx2">
                <a:lumMod val="60000"/>
                <a:lumOff val="40000"/>
              </a:schemeClr>
            </a:solidFill>
          </c:spPr>
          <c:invertIfNegative val="0"/>
          <c:dPt>
            <c:idx val="15"/>
            <c:invertIfNegative val="0"/>
            <c:bubble3D val="0"/>
          </c:dPt>
          <c:dPt>
            <c:idx val="16"/>
            <c:invertIfNegative val="0"/>
            <c:bubble3D val="0"/>
            <c:spPr>
              <a:solidFill>
                <a:schemeClr val="accent6">
                  <a:lumMod val="60000"/>
                  <a:lumOff val="40000"/>
                </a:schemeClr>
              </a:solidFill>
            </c:spPr>
          </c:dPt>
          <c:dPt>
            <c:idx val="20"/>
            <c:invertIfNegative val="0"/>
            <c:bubble3D val="0"/>
            <c:spPr>
              <a:solidFill>
                <a:srgbClr val="009900"/>
              </a:solidFill>
            </c:spPr>
          </c:dPt>
          <c:dPt>
            <c:idx val="21"/>
            <c:invertIfNegative val="0"/>
            <c:bubble3D val="0"/>
          </c:dPt>
          <c:dPt>
            <c:idx val="22"/>
            <c:invertIfNegative val="0"/>
            <c:bubble3D val="0"/>
          </c:dPt>
          <c:dLbls>
            <c:showLegendKey val="0"/>
            <c:showVal val="1"/>
            <c:showCatName val="0"/>
            <c:showSerName val="0"/>
            <c:showPercent val="0"/>
            <c:showBubbleSize val="0"/>
            <c:showLeaderLines val="0"/>
          </c:dLbls>
          <c:cat>
            <c:strRef>
              <c:f>'LT grafikas'!$G$4:$G$31</c:f>
              <c:strCache>
                <c:ptCount val="28"/>
                <c:pt idx="0">
                  <c:v>Kroatija</c:v>
                </c:pt>
                <c:pt idx="1">
                  <c:v>Malta</c:v>
                </c:pt>
                <c:pt idx="2">
                  <c:v>Italija</c:v>
                </c:pt>
                <c:pt idx="3">
                  <c:v>Austrija</c:v>
                </c:pt>
                <c:pt idx="4">
                  <c:v>Rumunija</c:v>
                </c:pt>
                <c:pt idx="5">
                  <c:v>Ispanija</c:v>
                </c:pt>
                <c:pt idx="6">
                  <c:v>Slovėnija</c:v>
                </c:pt>
                <c:pt idx="7">
                  <c:v>D. Britanija</c:v>
                </c:pt>
                <c:pt idx="8">
                  <c:v>Nyderlandai</c:v>
                </c:pt>
                <c:pt idx="9">
                  <c:v>Čekija</c:v>
                </c:pt>
                <c:pt idx="10">
                  <c:v>Slovakija</c:v>
                </c:pt>
                <c:pt idx="11">
                  <c:v>Vokietija</c:v>
                </c:pt>
                <c:pt idx="12">
                  <c:v>Belgija</c:v>
                </c:pt>
                <c:pt idx="13">
                  <c:v>Prancūzija</c:v>
                </c:pt>
                <c:pt idx="14">
                  <c:v>Danija</c:v>
                </c:pt>
                <c:pt idx="15">
                  <c:v>Latvija</c:v>
                </c:pt>
                <c:pt idx="16">
                  <c:v>ES vidurkis</c:v>
                </c:pt>
                <c:pt idx="17">
                  <c:v>Bulgarija</c:v>
                </c:pt>
                <c:pt idx="18">
                  <c:v>Vengrija</c:v>
                </c:pt>
                <c:pt idx="19">
                  <c:v>Lenkija</c:v>
                </c:pt>
                <c:pt idx="20">
                  <c:v>Lietuva</c:v>
                </c:pt>
                <c:pt idx="21">
                  <c:v>Kipras</c:v>
                </c:pt>
                <c:pt idx="22">
                  <c:v>Liuksemburgas</c:v>
                </c:pt>
                <c:pt idx="23">
                  <c:v>Estija</c:v>
                </c:pt>
                <c:pt idx="24">
                  <c:v>Švedija</c:v>
                </c:pt>
                <c:pt idx="25">
                  <c:v>Portugalija</c:v>
                </c:pt>
                <c:pt idx="26">
                  <c:v>Graikija</c:v>
                </c:pt>
                <c:pt idx="27">
                  <c:v>Suomija</c:v>
                </c:pt>
              </c:strCache>
            </c:strRef>
          </c:cat>
          <c:val>
            <c:numRef>
              <c:f>'LT grafikas'!$H$4:$H$31</c:f>
              <c:numCache>
                <c:formatCode>0%</c:formatCode>
                <c:ptCount val="28"/>
                <c:pt idx="0">
                  <c:v>0.10909957478093685</c:v>
                </c:pt>
                <c:pt idx="1">
                  <c:v>0.12644285789843729</c:v>
                </c:pt>
                <c:pt idx="2">
                  <c:v>0.13243320823228211</c:v>
                </c:pt>
                <c:pt idx="3">
                  <c:v>0.1319652070386238</c:v>
                </c:pt>
                <c:pt idx="4">
                  <c:v>0.13207251175326978</c:v>
                </c:pt>
                <c:pt idx="5">
                  <c:v>0.13733637862422354</c:v>
                </c:pt>
                <c:pt idx="6">
                  <c:v>0.14221842958885314</c:v>
                </c:pt>
                <c:pt idx="7">
                  <c:v>0.15237759636425074</c:v>
                </c:pt>
                <c:pt idx="8">
                  <c:v>0.16298689145455908</c:v>
                </c:pt>
                <c:pt idx="9">
                  <c:v>0.1697492127524671</c:v>
                </c:pt>
                <c:pt idx="10">
                  <c:v>0.1718863725153216</c:v>
                </c:pt>
                <c:pt idx="11">
                  <c:v>0.18499904967903694</c:v>
                </c:pt>
                <c:pt idx="12">
                  <c:v>0.18337094140924906</c:v>
                </c:pt>
                <c:pt idx="13">
                  <c:v>0.18642250005134536</c:v>
                </c:pt>
                <c:pt idx="14">
                  <c:v>0.18773886872004558</c:v>
                </c:pt>
                <c:pt idx="15">
                  <c:v>0.19245404011169973</c:v>
                </c:pt>
                <c:pt idx="16">
                  <c:v>0.19106110378131719</c:v>
                </c:pt>
                <c:pt idx="17">
                  <c:v>0.20833886031690924</c:v>
                </c:pt>
                <c:pt idx="18">
                  <c:v>0.21754085570188916</c:v>
                </c:pt>
                <c:pt idx="19">
                  <c:v>0.21896687554436961</c:v>
                </c:pt>
                <c:pt idx="20">
                  <c:v>0.23733616489268164</c:v>
                </c:pt>
                <c:pt idx="21">
                  <c:v>0.25573166788290763</c:v>
                </c:pt>
                <c:pt idx="22">
                  <c:v>0.27011119597531014</c:v>
                </c:pt>
                <c:pt idx="23">
                  <c:v>0.27305161553226343</c:v>
                </c:pt>
                <c:pt idx="24">
                  <c:v>0.27249965119196423</c:v>
                </c:pt>
                <c:pt idx="25">
                  <c:v>0.27918485669502724</c:v>
                </c:pt>
                <c:pt idx="26">
                  <c:v>0.29393063382853163</c:v>
                </c:pt>
                <c:pt idx="27">
                  <c:v>0.30473159684768103</c:v>
                </c:pt>
              </c:numCache>
            </c:numRef>
          </c:val>
        </c:ser>
        <c:dLbls>
          <c:showLegendKey val="0"/>
          <c:showVal val="0"/>
          <c:showCatName val="0"/>
          <c:showSerName val="0"/>
          <c:showPercent val="0"/>
          <c:showBubbleSize val="0"/>
        </c:dLbls>
        <c:gapWidth val="150"/>
        <c:axId val="152805760"/>
        <c:axId val="152807296"/>
      </c:barChart>
      <c:catAx>
        <c:axId val="152805760"/>
        <c:scaling>
          <c:orientation val="minMax"/>
        </c:scaling>
        <c:delete val="0"/>
        <c:axPos val="l"/>
        <c:numFmt formatCode="0%" sourceLinked="1"/>
        <c:majorTickMark val="out"/>
        <c:minorTickMark val="none"/>
        <c:tickLblPos val="nextTo"/>
        <c:txPr>
          <a:bodyPr/>
          <a:lstStyle/>
          <a:p>
            <a:pPr>
              <a:defRPr sz="900" baseline="0"/>
            </a:pPr>
            <a:endParaRPr lang="lt-LT"/>
          </a:p>
        </c:txPr>
        <c:crossAx val="152807296"/>
        <c:crosses val="autoZero"/>
        <c:auto val="1"/>
        <c:lblAlgn val="ctr"/>
        <c:lblOffset val="100"/>
        <c:noMultiLvlLbl val="0"/>
      </c:catAx>
      <c:valAx>
        <c:axId val="152807296"/>
        <c:scaling>
          <c:orientation val="minMax"/>
        </c:scaling>
        <c:delete val="1"/>
        <c:axPos val="b"/>
        <c:majorGridlines/>
        <c:numFmt formatCode="0%" sourceLinked="1"/>
        <c:majorTickMark val="out"/>
        <c:minorTickMark val="none"/>
        <c:tickLblPos val="nextTo"/>
        <c:crossAx val="152805760"/>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2469548890791"/>
          <c:y val="5.3807019571755287E-2"/>
          <c:w val="0.74997324658091302"/>
          <c:h val="0.82139688805506927"/>
        </c:manualLayout>
      </c:layout>
      <c:barChart>
        <c:barDir val="bar"/>
        <c:grouping val="stacked"/>
        <c:varyColors val="0"/>
        <c:ser>
          <c:idx val="0"/>
          <c:order val="0"/>
          <c:tx>
            <c:strRef>
              <c:f>'Bendr grafik'!$B$1</c:f>
              <c:strCache>
                <c:ptCount val="1"/>
                <c:pt idx="0">
                  <c:v>Iki 2018-06-30</c:v>
                </c:pt>
              </c:strCache>
            </c:strRef>
          </c:tx>
          <c:invertIfNegative val="0"/>
          <c:dPt>
            <c:idx val="4"/>
            <c:invertIfNegative val="0"/>
            <c:bubble3D val="0"/>
            <c:spPr>
              <a:pattFill prst="pct50">
                <a:fgClr>
                  <a:srgbClr val="0070C0"/>
                </a:fgClr>
                <a:bgClr>
                  <a:schemeClr val="bg1"/>
                </a:bgClr>
              </a:pattFill>
            </c:spPr>
          </c:dPt>
          <c:dLbls>
            <c:dLbl>
              <c:idx val="4"/>
              <c:layout>
                <c:manualLayout>
                  <c:x val="-3.6549877208490668E-3"/>
                  <c:y val="0"/>
                </c:manualLayout>
              </c:layout>
              <c:dLblPos val="ctr"/>
              <c:showLegendKey val="0"/>
              <c:showVal val="1"/>
              <c:showCatName val="0"/>
              <c:showSerName val="0"/>
              <c:showPercent val="0"/>
              <c:showBubbleSize val="0"/>
            </c:dLbl>
            <c:txPr>
              <a:bodyPr/>
              <a:lstStyle/>
              <a:p>
                <a:pPr>
                  <a:defRPr sz="900" b="1" baseline="0"/>
                </a:pPr>
                <a:endParaRPr lang="lt-LT"/>
              </a:p>
            </c:txPr>
            <c:dLblPos val="ctr"/>
            <c:showLegendKey val="0"/>
            <c:showVal val="1"/>
            <c:showCatName val="0"/>
            <c:showSerName val="0"/>
            <c:showPercent val="0"/>
            <c:showBubbleSize val="0"/>
            <c:showLeaderLines val="0"/>
          </c:dLbls>
          <c:cat>
            <c:strRef>
              <c:f>'Bendr grafik'!$A$2:$A$6</c:f>
              <c:strCache>
                <c:ptCount val="5"/>
                <c:pt idx="0">
                  <c:v>Deklaruota EK</c:v>
                </c:pt>
                <c:pt idx="1">
                  <c:v>Išmokėta </c:v>
                </c:pt>
                <c:pt idx="2">
                  <c:v>Sudaryta sutarčių</c:v>
                </c:pt>
                <c:pt idx="3">
                  <c:v>Paskelbti kvietimai arba sudaryti projektų sąrašai</c:v>
                </c:pt>
                <c:pt idx="4">
                  <c:v>Numatyta investuoti ES fondų lėšų</c:v>
                </c:pt>
              </c:strCache>
            </c:strRef>
          </c:cat>
          <c:val>
            <c:numRef>
              <c:f>'Bendr grafik'!$B$2:$B$6</c:f>
              <c:numCache>
                <c:formatCode>_-* #,##0\ _L_t_-;\-* #,##0\ _L_t_-;_-* "-"??\ _L_t_-;_-@_-</c:formatCode>
                <c:ptCount val="5"/>
                <c:pt idx="0">
                  <c:v>1218</c:v>
                </c:pt>
                <c:pt idx="1">
                  <c:v>1524</c:v>
                </c:pt>
                <c:pt idx="2">
                  <c:v>3693</c:v>
                </c:pt>
                <c:pt idx="3">
                  <c:v>4917</c:v>
                </c:pt>
                <c:pt idx="4" formatCode="#,##0">
                  <c:v>6709.3961300000001</c:v>
                </c:pt>
              </c:numCache>
            </c:numRef>
          </c:val>
        </c:ser>
        <c:ser>
          <c:idx val="1"/>
          <c:order val="1"/>
          <c:tx>
            <c:strRef>
              <c:f>'Bendr grafik'!$C$1</c:f>
              <c:strCache>
                <c:ptCount val="1"/>
                <c:pt idx="0">
                  <c:v>Per ataskaitinį laikotarpį (2018 m. III ketv.)</c:v>
                </c:pt>
              </c:strCache>
            </c:strRef>
          </c:tx>
          <c:spPr>
            <a:solidFill>
              <a:srgbClr val="92D050"/>
            </a:solidFill>
          </c:spPr>
          <c:invertIfNegative val="0"/>
          <c:dLbls>
            <c:dLbl>
              <c:idx val="0"/>
              <c:layout>
                <c:manualLayout>
                  <c:x val="5.5433210848643923E-2"/>
                  <c:y val="0"/>
                </c:manualLayout>
              </c:layout>
              <c:tx>
                <c:rich>
                  <a:bodyPr/>
                  <a:lstStyle/>
                  <a:p>
                    <a:r>
                      <a:rPr lang="en-US" sz="900" b="1"/>
                      <a:t> 283 (4,2%)    </a:t>
                    </a:r>
                    <a:endParaRPr lang="en-US"/>
                  </a:p>
                </c:rich>
              </c:tx>
              <c:dLblPos val="ctr"/>
              <c:showLegendKey val="0"/>
              <c:showVal val="1"/>
              <c:showCatName val="0"/>
              <c:showSerName val="0"/>
              <c:showPercent val="0"/>
              <c:showBubbleSize val="0"/>
            </c:dLbl>
            <c:dLbl>
              <c:idx val="1"/>
              <c:layout>
                <c:manualLayout>
                  <c:x val="4.959265091863517E-2"/>
                  <c:y val="0"/>
                </c:manualLayout>
              </c:layout>
              <c:tx>
                <c:rich>
                  <a:bodyPr/>
                  <a:lstStyle/>
                  <a:p>
                    <a:r>
                      <a:rPr lang="en-US" sz="900" b="1"/>
                      <a:t> 156 (2,3%)    </a:t>
                    </a:r>
                    <a:endParaRPr lang="en-US"/>
                  </a:p>
                </c:rich>
              </c:tx>
              <c:dLblPos val="ctr"/>
              <c:showLegendKey val="0"/>
              <c:showVal val="1"/>
              <c:showCatName val="0"/>
              <c:showSerName val="0"/>
              <c:showPercent val="0"/>
              <c:showBubbleSize val="0"/>
            </c:dLbl>
            <c:dLbl>
              <c:idx val="2"/>
              <c:layout>
                <c:manualLayout>
                  <c:x val="5.9245875439675084E-2"/>
                  <c:y val="3.8159933634898027E-3"/>
                </c:manualLayout>
              </c:layout>
              <c:tx>
                <c:rich>
                  <a:bodyPr/>
                  <a:lstStyle/>
                  <a:p>
                    <a:r>
                      <a:rPr lang="en-US" sz="900" b="1"/>
                      <a:t> 210 (3,1%)    </a:t>
                    </a:r>
                    <a:endParaRPr lang="en-US"/>
                  </a:p>
                </c:rich>
              </c:tx>
              <c:dLblPos val="ctr"/>
              <c:showLegendKey val="0"/>
              <c:showVal val="1"/>
              <c:showCatName val="0"/>
              <c:showSerName val="0"/>
              <c:showPercent val="0"/>
              <c:showBubbleSize val="0"/>
            </c:dLbl>
            <c:dLbl>
              <c:idx val="3"/>
              <c:layout>
                <c:manualLayout>
                  <c:x val="5.095006151830108E-2"/>
                  <c:y val="4.8133321244499001E-3"/>
                </c:manualLayout>
              </c:layout>
              <c:tx>
                <c:rich>
                  <a:bodyPr/>
                  <a:lstStyle/>
                  <a:p>
                    <a:r>
                      <a:rPr lang="en-US" sz="900" b="1"/>
                      <a:t> 302</a:t>
                    </a:r>
                    <a:r>
                      <a:rPr lang="lt-LT" sz="900" b="1"/>
                      <a:t> (4,5</a:t>
                    </a:r>
                    <a:r>
                      <a:rPr lang="en-US" sz="900" b="1"/>
                      <a:t>%)    </a:t>
                    </a:r>
                    <a:endParaRPr lang="en-US"/>
                  </a:p>
                </c:rich>
              </c:tx>
              <c:dLblPos val="ctr"/>
              <c:showLegendKey val="0"/>
              <c:showVal val="1"/>
              <c:showCatName val="0"/>
              <c:showSerName val="0"/>
              <c:showPercent val="0"/>
              <c:showBubbleSize val="0"/>
            </c:dLbl>
            <c:dLbl>
              <c:idx val="4"/>
              <c:delete val="1"/>
            </c:dLbl>
            <c:dLbl>
              <c:idx val="5"/>
              <c:delete val="1"/>
            </c:dLbl>
            <c:txPr>
              <a:bodyPr/>
              <a:lstStyle/>
              <a:p>
                <a:pPr>
                  <a:defRPr sz="900" b="1">
                    <a:solidFill>
                      <a:schemeClr val="accent3">
                        <a:lumMod val="50000"/>
                      </a:schemeClr>
                    </a:solidFill>
                  </a:defRPr>
                </a:pPr>
                <a:endParaRPr lang="lt-LT"/>
              </a:p>
            </c:txPr>
            <c:dLblPos val="inBase"/>
            <c:showLegendKey val="0"/>
            <c:showVal val="1"/>
            <c:showCatName val="0"/>
            <c:showSerName val="0"/>
            <c:showPercent val="0"/>
            <c:showBubbleSize val="0"/>
            <c:showLeaderLines val="0"/>
          </c:dLbls>
          <c:cat>
            <c:strRef>
              <c:f>'Bendr grafik'!$A$2:$A$6</c:f>
              <c:strCache>
                <c:ptCount val="5"/>
                <c:pt idx="0">
                  <c:v>Deklaruota EK</c:v>
                </c:pt>
                <c:pt idx="1">
                  <c:v>Išmokėta </c:v>
                </c:pt>
                <c:pt idx="2">
                  <c:v>Sudaryta sutarčių</c:v>
                </c:pt>
                <c:pt idx="3">
                  <c:v>Paskelbti kvietimai arba sudaryti projektų sąrašai</c:v>
                </c:pt>
                <c:pt idx="4">
                  <c:v>Numatyta investuoti ES fondų lėšų</c:v>
                </c:pt>
              </c:strCache>
            </c:strRef>
          </c:cat>
          <c:val>
            <c:numRef>
              <c:f>'Bendr grafik'!$C$2:$C$6</c:f>
              <c:numCache>
                <c:formatCode>_-* #,##0\ _L_t_-;\-* #,##0\ _L_t_-;_-* "-"??\ _L_t_-;_-@_-</c:formatCode>
                <c:ptCount val="5"/>
                <c:pt idx="0">
                  <c:v>283</c:v>
                </c:pt>
                <c:pt idx="1">
                  <c:v>156</c:v>
                </c:pt>
                <c:pt idx="2">
                  <c:v>210</c:v>
                </c:pt>
                <c:pt idx="3">
                  <c:v>302</c:v>
                </c:pt>
                <c:pt idx="4">
                  <c:v>0</c:v>
                </c:pt>
              </c:numCache>
            </c:numRef>
          </c:val>
        </c:ser>
        <c:dLbls>
          <c:showLegendKey val="0"/>
          <c:showVal val="0"/>
          <c:showCatName val="0"/>
          <c:showSerName val="0"/>
          <c:showPercent val="0"/>
          <c:showBubbleSize val="0"/>
        </c:dLbls>
        <c:gapWidth val="150"/>
        <c:overlap val="100"/>
        <c:axId val="151417984"/>
        <c:axId val="151419520"/>
      </c:barChart>
      <c:catAx>
        <c:axId val="151417984"/>
        <c:scaling>
          <c:orientation val="minMax"/>
        </c:scaling>
        <c:delete val="0"/>
        <c:axPos val="l"/>
        <c:majorTickMark val="out"/>
        <c:minorTickMark val="none"/>
        <c:tickLblPos val="nextTo"/>
        <c:txPr>
          <a:bodyPr anchor="t" anchorCtr="0"/>
          <a:lstStyle/>
          <a:p>
            <a:pPr>
              <a:defRPr sz="900" b="1"/>
            </a:pPr>
            <a:endParaRPr lang="lt-LT"/>
          </a:p>
        </c:txPr>
        <c:crossAx val="151419520"/>
        <c:crosses val="autoZero"/>
        <c:auto val="1"/>
        <c:lblAlgn val="ctr"/>
        <c:lblOffset val="100"/>
        <c:noMultiLvlLbl val="0"/>
      </c:catAx>
      <c:valAx>
        <c:axId val="151419520"/>
        <c:scaling>
          <c:orientation val="minMax"/>
        </c:scaling>
        <c:delete val="0"/>
        <c:axPos val="b"/>
        <c:majorGridlines>
          <c:spPr>
            <a:ln>
              <a:noFill/>
            </a:ln>
          </c:spPr>
        </c:majorGridlines>
        <c:numFmt formatCode="_-* #,##0\ _L_t_-;\-* #,##0\ _L_t_-;_-* &quot;-&quot;??\ _L_t_-;_-@_-" sourceLinked="1"/>
        <c:majorTickMark val="out"/>
        <c:minorTickMark val="none"/>
        <c:tickLblPos val="nextTo"/>
        <c:spPr>
          <a:ln>
            <a:noFill/>
          </a:ln>
        </c:spPr>
        <c:txPr>
          <a:bodyPr/>
          <a:lstStyle/>
          <a:p>
            <a:pPr>
              <a:defRPr>
                <a:solidFill>
                  <a:schemeClr val="bg1"/>
                </a:solidFill>
              </a:defRPr>
            </a:pPr>
            <a:endParaRPr lang="lt-LT"/>
          </a:p>
        </c:txPr>
        <c:crossAx val="151417984"/>
        <c:crosses val="autoZero"/>
        <c:crossBetween val="between"/>
      </c:valAx>
    </c:plotArea>
    <c:legend>
      <c:legendPos val="b"/>
      <c:layout>
        <c:manualLayout>
          <c:xMode val="edge"/>
          <c:yMode val="edge"/>
          <c:x val="0.16806260969922948"/>
          <c:y val="0.8856904235509091"/>
          <c:w val="0.82206781960264808"/>
          <c:h val="8.7843958806931466E-2"/>
        </c:manualLayout>
      </c:layout>
      <c:overlay val="0"/>
      <c:txPr>
        <a:bodyPr/>
        <a:lstStyle/>
        <a:p>
          <a:pPr>
            <a:defRPr sz="1000" b="1"/>
          </a:pPr>
          <a:endParaRPr lang="lt-LT"/>
        </a:p>
      </c:txPr>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588569073119933"/>
          <c:y val="5.9860570680708061E-2"/>
          <c:w val="0.78523927866638943"/>
          <c:h val="0.766068954449313"/>
        </c:manualLayout>
      </c:layout>
      <c:barChart>
        <c:barDir val="bar"/>
        <c:grouping val="percentStacked"/>
        <c:varyColors val="0"/>
        <c:ser>
          <c:idx val="0"/>
          <c:order val="0"/>
          <c:tx>
            <c:strRef>
              <c:f>'Pagal minist '!$D$16</c:f>
              <c:strCache>
                <c:ptCount val="1"/>
                <c:pt idx="0">
                  <c:v>Išmokėta</c:v>
                </c:pt>
              </c:strCache>
            </c:strRef>
          </c:tx>
          <c:spPr>
            <a:solidFill>
              <a:schemeClr val="tx2">
                <a:lumMod val="60000"/>
                <a:lumOff val="40000"/>
                <a:alpha val="89000"/>
              </a:schemeClr>
            </a:solidFill>
          </c:spPr>
          <c:invertIfNegative val="0"/>
          <c:dLbls>
            <c:spPr>
              <a:noFill/>
              <a:ln>
                <a:noFill/>
              </a:ln>
              <a:effectLst/>
            </c:spPr>
            <c:txPr>
              <a:bodyPr/>
              <a:lstStyle/>
              <a:p>
                <a:pPr>
                  <a:defRPr sz="1050" b="0">
                    <a:latin typeface="+mn-lt"/>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'Pagal minist '!$C$17:$C$27</c:f>
              <c:strCache>
                <c:ptCount val="11"/>
                <c:pt idx="0">
                  <c:v>SAM</c:v>
                </c:pt>
                <c:pt idx="1">
                  <c:v>KM</c:v>
                </c:pt>
                <c:pt idx="2">
                  <c:v>EM</c:v>
                </c:pt>
                <c:pt idx="3">
                  <c:v>VRM</c:v>
                </c:pt>
                <c:pt idx="4">
                  <c:v>ŠMM</c:v>
                </c:pt>
                <c:pt idx="5">
                  <c:v>ŪM</c:v>
                </c:pt>
                <c:pt idx="6">
                  <c:v>SM</c:v>
                </c:pt>
                <c:pt idx="7">
                  <c:v>AM</c:v>
                </c:pt>
                <c:pt idx="8">
                  <c:v>FM</c:v>
                </c:pt>
                <c:pt idx="9">
                  <c:v>SADM</c:v>
                </c:pt>
                <c:pt idx="10">
                  <c:v> VISO</c:v>
                </c:pt>
              </c:strCache>
            </c:strRef>
          </c:cat>
          <c:val>
            <c:numRef>
              <c:f>'Pagal minist '!$D$17:$D$27</c:f>
              <c:numCache>
                <c:formatCode>0%</c:formatCode>
                <c:ptCount val="11"/>
                <c:pt idx="0">
                  <c:v>9.9547511312217188E-2</c:v>
                </c:pt>
                <c:pt idx="1">
                  <c:v>0.11055276381909548</c:v>
                </c:pt>
                <c:pt idx="2">
                  <c:v>0.12588652482269502</c:v>
                </c:pt>
                <c:pt idx="3">
                  <c:v>0.13725490196078433</c:v>
                </c:pt>
                <c:pt idx="4">
                  <c:v>0.16348448687350836</c:v>
                </c:pt>
                <c:pt idx="5">
                  <c:v>0.15587967183226983</c:v>
                </c:pt>
                <c:pt idx="6">
                  <c:v>0.31359149582384205</c:v>
                </c:pt>
                <c:pt idx="7">
                  <c:v>0.37789203084832906</c:v>
                </c:pt>
                <c:pt idx="8">
                  <c:v>0.38967136150234744</c:v>
                </c:pt>
                <c:pt idx="9">
                  <c:v>0.42538593481989706</c:v>
                </c:pt>
                <c:pt idx="10">
                  <c:v>0.25011179013265761</c:v>
                </c:pt>
              </c:numCache>
            </c:numRef>
          </c:val>
          <c:extLst xmlns:c16r2="http://schemas.microsoft.com/office/drawing/2015/06/chart">
            <c:ext xmlns:c16="http://schemas.microsoft.com/office/drawing/2014/chart" uri="{C3380CC4-5D6E-409C-BE32-E72D297353CC}">
              <c16:uniqueId val="{00000000-7EDC-4460-A9EB-5A241377B780}"/>
            </c:ext>
          </c:extLst>
        </c:ser>
        <c:ser>
          <c:idx val="1"/>
          <c:order val="1"/>
          <c:tx>
            <c:strRef>
              <c:f>'Pagal minist '!$E$16</c:f>
              <c:strCache>
                <c:ptCount val="1"/>
                <c:pt idx="0">
                  <c:v>Skirta projektams</c:v>
                </c:pt>
              </c:strCache>
            </c:strRef>
          </c:tx>
          <c:spPr>
            <a:solidFill>
              <a:srgbClr val="99CCFF">
                <a:alpha val="69804"/>
              </a:srgbClr>
            </a:solidFill>
          </c:spPr>
          <c:invertIfNegative val="0"/>
          <c:dLbls>
            <c:dLbl>
              <c:idx val="7"/>
              <c:tx>
                <c:rich>
                  <a:bodyPr/>
                  <a:lstStyle/>
                  <a:p>
                    <a:r>
                      <a:rPr lang="en-US" b="0"/>
                      <a:t>3</a:t>
                    </a:r>
                    <a:r>
                      <a:rPr lang="lt-LT" b="0"/>
                      <a:t>1</a:t>
                    </a:r>
                    <a:r>
                      <a:rPr lang="en-US" b="0"/>
                      <a:t>%</a:t>
                    </a:r>
                    <a:endParaRPr lang="en-US"/>
                  </a:p>
                </c:rich>
              </c:tx>
              <c:showLegendKey val="0"/>
              <c:showVal val="1"/>
              <c:showCatName val="0"/>
              <c:showSerName val="0"/>
              <c:showPercent val="0"/>
              <c:showBubbleSize val="0"/>
            </c:dLbl>
            <c:dLbl>
              <c:idx val="8"/>
              <c:tx>
                <c:rich>
                  <a:bodyPr/>
                  <a:lstStyle/>
                  <a:p>
                    <a:r>
                      <a:rPr lang="lt-LT" b="0"/>
                      <a:t>7</a:t>
                    </a:r>
                    <a:r>
                      <a:rPr lang="en-US" b="0"/>
                      <a:t>%</a:t>
                    </a:r>
                    <a:endParaRPr lang="en-US"/>
                  </a:p>
                </c:rich>
              </c:tx>
              <c:showLegendKey val="0"/>
              <c:showVal val="1"/>
              <c:showCatName val="0"/>
              <c:showSerName val="0"/>
              <c:showPercent val="0"/>
              <c:showBubbleSize val="0"/>
            </c:dLbl>
            <c:spPr>
              <a:noFill/>
              <a:ln>
                <a:noFill/>
              </a:ln>
              <a:effectLst/>
            </c:spPr>
            <c:txPr>
              <a:bodyPr/>
              <a:lstStyle/>
              <a:p>
                <a:pPr>
                  <a:defRPr sz="1050" b="0">
                    <a:latin typeface="+mn-lt"/>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'Pagal minist '!$C$17:$C$27</c:f>
              <c:strCache>
                <c:ptCount val="11"/>
                <c:pt idx="0">
                  <c:v>SAM</c:v>
                </c:pt>
                <c:pt idx="1">
                  <c:v>KM</c:v>
                </c:pt>
                <c:pt idx="2">
                  <c:v>EM</c:v>
                </c:pt>
                <c:pt idx="3">
                  <c:v>VRM</c:v>
                </c:pt>
                <c:pt idx="4">
                  <c:v>ŠMM</c:v>
                </c:pt>
                <c:pt idx="5">
                  <c:v>ŪM</c:v>
                </c:pt>
                <c:pt idx="6">
                  <c:v>SM</c:v>
                </c:pt>
                <c:pt idx="7">
                  <c:v>AM</c:v>
                </c:pt>
                <c:pt idx="8">
                  <c:v>FM</c:v>
                </c:pt>
                <c:pt idx="9">
                  <c:v>SADM</c:v>
                </c:pt>
                <c:pt idx="10">
                  <c:v> VISO</c:v>
                </c:pt>
              </c:strCache>
            </c:strRef>
          </c:cat>
          <c:val>
            <c:numRef>
              <c:f>'Pagal minist '!$E$17:$E$27</c:f>
              <c:numCache>
                <c:formatCode>0%</c:formatCode>
                <c:ptCount val="11"/>
                <c:pt idx="0">
                  <c:v>0.38009049773755654</c:v>
                </c:pt>
                <c:pt idx="1">
                  <c:v>0.48743718592964824</c:v>
                </c:pt>
                <c:pt idx="2">
                  <c:v>0.46631205673758863</c:v>
                </c:pt>
                <c:pt idx="3">
                  <c:v>0.37058823529411766</c:v>
                </c:pt>
                <c:pt idx="4">
                  <c:v>0.41408114558472553</c:v>
                </c:pt>
                <c:pt idx="5">
                  <c:v>0.3837739288969918</c:v>
                </c:pt>
                <c:pt idx="6">
                  <c:v>0.21943811693242218</c:v>
                </c:pt>
                <c:pt idx="7">
                  <c:v>0.31533847472150817</c:v>
                </c:pt>
                <c:pt idx="8">
                  <c:v>7.5117370892018781E-2</c:v>
                </c:pt>
                <c:pt idx="9">
                  <c:v>0.25900514579759865</c:v>
                </c:pt>
                <c:pt idx="10">
                  <c:v>0.33164406021761811</c:v>
                </c:pt>
              </c:numCache>
            </c:numRef>
          </c:val>
          <c:extLst xmlns:c16r2="http://schemas.microsoft.com/office/drawing/2015/06/chart">
            <c:ext xmlns:c16="http://schemas.microsoft.com/office/drawing/2014/chart" uri="{C3380CC4-5D6E-409C-BE32-E72D297353CC}">
              <c16:uniqueId val="{00000001-7EDC-4460-A9EB-5A241377B780}"/>
            </c:ext>
          </c:extLst>
        </c:ser>
        <c:ser>
          <c:idx val="2"/>
          <c:order val="2"/>
          <c:tx>
            <c:strRef>
              <c:f>'Pagal minist '!$F$16</c:f>
              <c:strCache>
                <c:ptCount val="1"/>
                <c:pt idx="0">
                  <c:v>Paskelbti kvietimai
arba sudaryti projektų sąrašai</c:v>
                </c:pt>
              </c:strCache>
            </c:strRef>
          </c:tx>
          <c:spPr>
            <a:solidFill>
              <a:schemeClr val="accent3">
                <a:lumMod val="60000"/>
                <a:lumOff val="40000"/>
                <a:alpha val="80000"/>
              </a:schemeClr>
            </a:solidFill>
          </c:spPr>
          <c:invertIfNegative val="0"/>
          <c:dLbls>
            <c:spPr>
              <a:noFill/>
              <a:ln>
                <a:noFill/>
              </a:ln>
              <a:effectLst/>
            </c:spPr>
            <c:txPr>
              <a:bodyPr/>
              <a:lstStyle/>
              <a:p>
                <a:pPr>
                  <a:defRPr sz="1050" b="0">
                    <a:latin typeface="+mn-lt"/>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'Pagal minist '!$C$17:$C$27</c:f>
              <c:strCache>
                <c:ptCount val="11"/>
                <c:pt idx="0">
                  <c:v>SAM</c:v>
                </c:pt>
                <c:pt idx="1">
                  <c:v>KM</c:v>
                </c:pt>
                <c:pt idx="2">
                  <c:v>EM</c:v>
                </c:pt>
                <c:pt idx="3">
                  <c:v>VRM</c:v>
                </c:pt>
                <c:pt idx="4">
                  <c:v>ŠMM</c:v>
                </c:pt>
                <c:pt idx="5">
                  <c:v>ŪM</c:v>
                </c:pt>
                <c:pt idx="6">
                  <c:v>SM</c:v>
                </c:pt>
                <c:pt idx="7">
                  <c:v>AM</c:v>
                </c:pt>
                <c:pt idx="8">
                  <c:v>FM</c:v>
                </c:pt>
                <c:pt idx="9">
                  <c:v>SADM</c:v>
                </c:pt>
                <c:pt idx="10">
                  <c:v> VISO</c:v>
                </c:pt>
              </c:strCache>
            </c:strRef>
          </c:cat>
          <c:val>
            <c:numRef>
              <c:f>'Pagal minist '!$F$17:$F$27</c:f>
              <c:numCache>
                <c:formatCode>0%</c:formatCode>
                <c:ptCount val="11"/>
                <c:pt idx="0">
                  <c:v>0.19457013574660634</c:v>
                </c:pt>
                <c:pt idx="1">
                  <c:v>0.24623115577889448</c:v>
                </c:pt>
                <c:pt idx="2">
                  <c:v>9.9290780141843976E-2</c:v>
                </c:pt>
                <c:pt idx="3">
                  <c:v>0.28235294117647058</c:v>
                </c:pt>
                <c:pt idx="4">
                  <c:v>9.5465393794749401E-2</c:v>
                </c:pt>
                <c:pt idx="5">
                  <c:v>0.30537830446672742</c:v>
                </c:pt>
                <c:pt idx="6">
                  <c:v>0.24677296886864086</c:v>
                </c:pt>
                <c:pt idx="7">
                  <c:v>0.12853470437017994</c:v>
                </c:pt>
                <c:pt idx="8">
                  <c:v>0.53521126760563376</c:v>
                </c:pt>
                <c:pt idx="9">
                  <c:v>3.2590051457975985E-2</c:v>
                </c:pt>
                <c:pt idx="10">
                  <c:v>0.19600536592636755</c:v>
                </c:pt>
              </c:numCache>
            </c:numRef>
          </c:val>
          <c:extLst xmlns:c16r2="http://schemas.microsoft.com/office/drawing/2015/06/chart">
            <c:ext xmlns:c16="http://schemas.microsoft.com/office/drawing/2014/chart" uri="{C3380CC4-5D6E-409C-BE32-E72D297353CC}">
              <c16:uniqueId val="{00000002-7EDC-4460-A9EB-5A241377B780}"/>
            </c:ext>
          </c:extLst>
        </c:ser>
        <c:ser>
          <c:idx val="3"/>
          <c:order val="3"/>
          <c:tx>
            <c:strRef>
              <c:f>'Pagal minist '!$G$16</c:f>
              <c:strCache>
                <c:ptCount val="1"/>
                <c:pt idx="0">
                  <c:v>Lėšos planavimo etape</c:v>
                </c:pt>
              </c:strCache>
            </c:strRef>
          </c:tx>
          <c:spPr>
            <a:solidFill>
              <a:schemeClr val="accent4">
                <a:lumMod val="40000"/>
                <a:lumOff val="60000"/>
                <a:alpha val="55000"/>
              </a:schemeClr>
            </a:solidFill>
          </c:spPr>
          <c:invertIfNegative val="0"/>
          <c:dLbls>
            <c:dLbl>
              <c:idx val="1"/>
              <c:tx>
                <c:rich>
                  <a:bodyPr/>
                  <a:lstStyle/>
                  <a:p>
                    <a:r>
                      <a:rPr lang="en-US" b="0"/>
                      <a:t>1</a:t>
                    </a:r>
                    <a:r>
                      <a:rPr lang="lt-LT" b="0"/>
                      <a:t>5</a:t>
                    </a:r>
                    <a:r>
                      <a:rPr lang="en-US" b="0"/>
                      <a:t>%</a:t>
                    </a:r>
                    <a:endParaRPr lang="en-US"/>
                  </a:p>
                </c:rich>
              </c:tx>
              <c:showLegendKey val="0"/>
              <c:showVal val="1"/>
              <c:showCatName val="0"/>
              <c:showSerName val="0"/>
              <c:showPercent val="0"/>
              <c:showBubbleSize val="0"/>
            </c:dLbl>
            <c:dLbl>
              <c:idx val="2"/>
              <c:tx>
                <c:rich>
                  <a:bodyPr/>
                  <a:lstStyle/>
                  <a:p>
                    <a:r>
                      <a:rPr lang="en-US" b="0"/>
                      <a:t>3</a:t>
                    </a:r>
                    <a:r>
                      <a:rPr lang="lt-LT" b="0"/>
                      <a:t>0</a:t>
                    </a:r>
                    <a:r>
                      <a:rPr lang="en-US" b="0"/>
                      <a:t>%</a:t>
                    </a:r>
                    <a:endParaRPr lang="en-US"/>
                  </a:p>
                </c:rich>
              </c:tx>
              <c:showLegendKey val="0"/>
              <c:showVal val="1"/>
              <c:showCatName val="0"/>
              <c:showSerName val="0"/>
              <c:showPercent val="0"/>
              <c:showBubbleSize val="0"/>
            </c:dLbl>
            <c:spPr>
              <a:noFill/>
              <a:ln>
                <a:noFill/>
              </a:ln>
              <a:effectLst/>
            </c:spPr>
            <c:txPr>
              <a:bodyPr/>
              <a:lstStyle/>
              <a:p>
                <a:pPr>
                  <a:defRPr sz="1050" b="0">
                    <a:latin typeface="+mn-lt"/>
                  </a:defRPr>
                </a:pPr>
                <a:endParaRPr lang="lt-LT"/>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'Pagal minist '!$C$17:$C$27</c:f>
              <c:strCache>
                <c:ptCount val="11"/>
                <c:pt idx="0">
                  <c:v>SAM</c:v>
                </c:pt>
                <c:pt idx="1">
                  <c:v>KM</c:v>
                </c:pt>
                <c:pt idx="2">
                  <c:v>EM</c:v>
                </c:pt>
                <c:pt idx="3">
                  <c:v>VRM</c:v>
                </c:pt>
                <c:pt idx="4">
                  <c:v>ŠMM</c:v>
                </c:pt>
                <c:pt idx="5">
                  <c:v>ŪM</c:v>
                </c:pt>
                <c:pt idx="6">
                  <c:v>SM</c:v>
                </c:pt>
                <c:pt idx="7">
                  <c:v>AM</c:v>
                </c:pt>
                <c:pt idx="8">
                  <c:v>FM</c:v>
                </c:pt>
                <c:pt idx="9">
                  <c:v>SADM</c:v>
                </c:pt>
                <c:pt idx="10">
                  <c:v> VISO</c:v>
                </c:pt>
              </c:strCache>
            </c:strRef>
          </c:cat>
          <c:val>
            <c:numRef>
              <c:f>'Pagal minist '!$G$17:$G$27</c:f>
              <c:numCache>
                <c:formatCode>0%</c:formatCode>
                <c:ptCount val="11"/>
                <c:pt idx="0">
                  <c:v>0.32579185520361992</c:v>
                </c:pt>
                <c:pt idx="1">
                  <c:v>0.15577889447236182</c:v>
                </c:pt>
                <c:pt idx="2">
                  <c:v>0.30851063829787234</c:v>
                </c:pt>
                <c:pt idx="3">
                  <c:v>0.20980392156862746</c:v>
                </c:pt>
                <c:pt idx="4">
                  <c:v>0.32696897374701672</c:v>
                </c:pt>
                <c:pt idx="5">
                  <c:v>0.15496809480401094</c:v>
                </c:pt>
                <c:pt idx="6">
                  <c:v>0.22019741837509491</c:v>
                </c:pt>
                <c:pt idx="7">
                  <c:v>0.17823479005998286</c:v>
                </c:pt>
                <c:pt idx="8">
                  <c:v>0</c:v>
                </c:pt>
                <c:pt idx="9">
                  <c:v>0.28301886792452829</c:v>
                </c:pt>
                <c:pt idx="10">
                  <c:v>0.22223878372335668</c:v>
                </c:pt>
              </c:numCache>
            </c:numRef>
          </c:val>
          <c:extLst xmlns:c16r2="http://schemas.microsoft.com/office/drawing/2015/06/chart">
            <c:ext xmlns:c16="http://schemas.microsoft.com/office/drawing/2014/chart" uri="{C3380CC4-5D6E-409C-BE32-E72D297353CC}">
              <c16:uniqueId val="{00000003-7EDC-4460-A9EB-5A241377B780}"/>
            </c:ext>
          </c:extLst>
        </c:ser>
        <c:dLbls>
          <c:showLegendKey val="0"/>
          <c:showVal val="0"/>
          <c:showCatName val="0"/>
          <c:showSerName val="0"/>
          <c:showPercent val="0"/>
          <c:showBubbleSize val="0"/>
        </c:dLbls>
        <c:gapWidth val="76"/>
        <c:overlap val="100"/>
        <c:axId val="155228800"/>
        <c:axId val="155251072"/>
      </c:barChart>
      <c:catAx>
        <c:axId val="155228800"/>
        <c:scaling>
          <c:orientation val="minMax"/>
        </c:scaling>
        <c:delete val="0"/>
        <c:axPos val="l"/>
        <c:numFmt formatCode="General" sourceLinked="0"/>
        <c:majorTickMark val="out"/>
        <c:minorTickMark val="none"/>
        <c:tickLblPos val="nextTo"/>
        <c:txPr>
          <a:bodyPr/>
          <a:lstStyle/>
          <a:p>
            <a:pPr>
              <a:defRPr sz="900" b="1">
                <a:latin typeface="+mn-lt"/>
              </a:defRPr>
            </a:pPr>
            <a:endParaRPr lang="lt-LT"/>
          </a:p>
        </c:txPr>
        <c:crossAx val="155251072"/>
        <c:crosses val="autoZero"/>
        <c:auto val="1"/>
        <c:lblAlgn val="ctr"/>
        <c:lblOffset val="100"/>
        <c:noMultiLvlLbl val="0"/>
      </c:catAx>
      <c:valAx>
        <c:axId val="155251072"/>
        <c:scaling>
          <c:orientation val="minMax"/>
        </c:scaling>
        <c:delete val="0"/>
        <c:axPos val="b"/>
        <c:majorGridlines/>
        <c:numFmt formatCode="0%" sourceLinked="1"/>
        <c:majorTickMark val="out"/>
        <c:minorTickMark val="none"/>
        <c:tickLblPos val="nextTo"/>
        <c:spPr>
          <a:solidFill>
            <a:schemeClr val="bg1"/>
          </a:solidFill>
        </c:spPr>
        <c:txPr>
          <a:bodyPr/>
          <a:lstStyle/>
          <a:p>
            <a:pPr>
              <a:defRPr>
                <a:solidFill>
                  <a:schemeClr val="bg1"/>
                </a:solidFill>
              </a:defRPr>
            </a:pPr>
            <a:endParaRPr lang="lt-LT"/>
          </a:p>
        </c:txPr>
        <c:crossAx val="155228800"/>
        <c:crosses val="autoZero"/>
        <c:crossBetween val="between"/>
      </c:valAx>
    </c:plotArea>
    <c:legend>
      <c:legendPos val="r"/>
      <c:layout>
        <c:manualLayout>
          <c:xMode val="edge"/>
          <c:yMode val="edge"/>
          <c:x val="3.4536398303328789E-2"/>
          <c:y val="0.86489022068626409"/>
          <c:w val="0.93459255624018589"/>
          <c:h val="7.8993066448727611E-2"/>
        </c:manualLayout>
      </c:layout>
      <c:overlay val="0"/>
      <c:txPr>
        <a:bodyPr/>
        <a:lstStyle/>
        <a:p>
          <a:pPr>
            <a:defRPr sz="900" b="1">
              <a:latin typeface="+mn-lt"/>
            </a:defRPr>
          </a:pPr>
          <a:endParaRPr lang="lt-LT"/>
        </a:p>
      </c:txPr>
    </c:legend>
    <c:plotVisOnly val="1"/>
    <c:dispBlanksAs val="gap"/>
    <c:showDLblsOverMax val="0"/>
  </c:chart>
  <c:txPr>
    <a:bodyPr/>
    <a:lstStyle/>
    <a:p>
      <a:pPr>
        <a:defRPr b="1">
          <a:latin typeface="Times New Roman" panose="02020603050405020304" pitchFamily="18" charset="0"/>
          <a:cs typeface="Times New Roman" panose="02020603050405020304" pitchFamily="18" charset="0"/>
        </a:defRPr>
      </a:pPr>
      <a:endParaRPr lang="lt-LT"/>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bar"/>
        <c:grouping val="stacked"/>
        <c:varyColors val="0"/>
        <c:ser>
          <c:idx val="0"/>
          <c:order val="0"/>
          <c:tx>
            <c:strRef>
              <c:f>Asignavimai!$L$1:$L$2</c:f>
              <c:strCache>
                <c:ptCount val="1"/>
                <c:pt idx="0">
                  <c:v>Investuoti 2018 m. ES fondų asignavimai</c:v>
                </c:pt>
              </c:strCache>
            </c:strRef>
          </c:tx>
          <c:spPr>
            <a:solidFill>
              <a:schemeClr val="tx2">
                <a:lumMod val="40000"/>
                <a:lumOff val="60000"/>
              </a:schemeClr>
            </a:solidFill>
          </c:spPr>
          <c:invertIfNegative val="0"/>
          <c:dLbls>
            <c:dLbl>
              <c:idx val="0"/>
              <c:layout>
                <c:manualLayout>
                  <c:x val="1.8939393939393947E-2"/>
                  <c:y val="0"/>
                </c:manualLayout>
              </c:layout>
              <c:tx>
                <c:rich>
                  <a:bodyPr/>
                  <a:lstStyle/>
                  <a:p>
                    <a:r>
                      <a:rPr lang="en-US" sz="900" b="1"/>
                      <a:t>24% (11)</a:t>
                    </a:r>
                    <a:endParaRPr lang="en-US"/>
                  </a:p>
                </c:rich>
              </c:tx>
              <c:showLegendKey val="0"/>
              <c:showVal val="1"/>
              <c:showCatName val="0"/>
              <c:showSerName val="0"/>
              <c:showPercent val="0"/>
              <c:showBubbleSize val="0"/>
            </c:dLbl>
            <c:dLbl>
              <c:idx val="1"/>
              <c:layout>
                <c:manualLayout>
                  <c:x val="5.6818181818181733E-3"/>
                  <c:y val="0"/>
                </c:manualLayout>
              </c:layout>
              <c:tx>
                <c:rich>
                  <a:bodyPr/>
                  <a:lstStyle/>
                  <a:p>
                    <a:r>
                      <a:rPr lang="en-US" sz="900" b="1"/>
                      <a:t>28% (41)</a:t>
                    </a:r>
                    <a:endParaRPr lang="en-US"/>
                  </a:p>
                </c:rich>
              </c:tx>
              <c:showLegendKey val="0"/>
              <c:showVal val="1"/>
              <c:showCatName val="0"/>
              <c:showSerName val="0"/>
              <c:showPercent val="0"/>
              <c:showBubbleSize val="0"/>
            </c:dLbl>
            <c:dLbl>
              <c:idx val="2"/>
              <c:tx>
                <c:rich>
                  <a:bodyPr/>
                  <a:lstStyle/>
                  <a:p>
                    <a:r>
                      <a:rPr lang="en-US" sz="900" b="1"/>
                      <a:t>32% (18)</a:t>
                    </a:r>
                    <a:endParaRPr lang="en-US"/>
                  </a:p>
                </c:rich>
              </c:tx>
              <c:showLegendKey val="0"/>
              <c:showVal val="1"/>
              <c:showCatName val="0"/>
              <c:showSerName val="0"/>
              <c:showPercent val="0"/>
              <c:showBubbleSize val="0"/>
            </c:dLbl>
            <c:dLbl>
              <c:idx val="3"/>
              <c:tx>
                <c:rich>
                  <a:bodyPr/>
                  <a:lstStyle/>
                  <a:p>
                    <a:r>
                      <a:rPr lang="en-US" sz="900" b="1"/>
                      <a:t>35% (27)</a:t>
                    </a:r>
                    <a:endParaRPr lang="en-US"/>
                  </a:p>
                </c:rich>
              </c:tx>
              <c:showLegendKey val="0"/>
              <c:showVal val="1"/>
              <c:showCatName val="0"/>
              <c:showSerName val="0"/>
              <c:showPercent val="0"/>
              <c:showBubbleSize val="0"/>
            </c:dLbl>
            <c:dLbl>
              <c:idx val="4"/>
              <c:tx>
                <c:rich>
                  <a:bodyPr/>
                  <a:lstStyle/>
                  <a:p>
                    <a:r>
                      <a:rPr lang="en-US" sz="900" b="1"/>
                      <a:t>35% (58)</a:t>
                    </a:r>
                    <a:endParaRPr lang="en-US"/>
                  </a:p>
                </c:rich>
              </c:tx>
              <c:showLegendKey val="0"/>
              <c:showVal val="1"/>
              <c:showCatName val="0"/>
              <c:showSerName val="0"/>
              <c:showPercent val="0"/>
              <c:showBubbleSize val="0"/>
            </c:dLbl>
            <c:dLbl>
              <c:idx val="5"/>
              <c:tx>
                <c:rich>
                  <a:bodyPr/>
                  <a:lstStyle/>
                  <a:p>
                    <a:r>
                      <a:rPr lang="en-US" sz="900" b="1"/>
                      <a:t>36% (71)</a:t>
                    </a:r>
                    <a:endParaRPr lang="en-US"/>
                  </a:p>
                </c:rich>
              </c:tx>
              <c:showLegendKey val="0"/>
              <c:showVal val="1"/>
              <c:showCatName val="0"/>
              <c:showSerName val="0"/>
              <c:showPercent val="0"/>
              <c:showBubbleSize val="0"/>
            </c:dLbl>
            <c:dLbl>
              <c:idx val="6"/>
              <c:tx>
                <c:rich>
                  <a:bodyPr/>
                  <a:lstStyle/>
                  <a:p>
                    <a:r>
                      <a:rPr lang="en-US" sz="900" b="1"/>
                      <a:t>40% (31)</a:t>
                    </a:r>
                    <a:endParaRPr lang="en-US"/>
                  </a:p>
                </c:rich>
              </c:tx>
              <c:showLegendKey val="0"/>
              <c:showVal val="1"/>
              <c:showCatName val="0"/>
              <c:showSerName val="0"/>
              <c:showPercent val="0"/>
              <c:showBubbleSize val="0"/>
            </c:dLbl>
            <c:dLbl>
              <c:idx val="7"/>
              <c:tx>
                <c:rich>
                  <a:bodyPr/>
                  <a:lstStyle/>
                  <a:p>
                    <a:r>
                      <a:rPr lang="en-US" sz="900" b="1"/>
                      <a:t>54% (17)</a:t>
                    </a:r>
                    <a:endParaRPr lang="en-US"/>
                  </a:p>
                </c:rich>
              </c:tx>
              <c:showLegendKey val="0"/>
              <c:showVal val="1"/>
              <c:showCatName val="0"/>
              <c:showSerName val="0"/>
              <c:showPercent val="0"/>
              <c:showBubbleSize val="0"/>
            </c:dLbl>
            <c:dLbl>
              <c:idx val="8"/>
              <c:tx>
                <c:rich>
                  <a:bodyPr/>
                  <a:lstStyle/>
                  <a:p>
                    <a:r>
                      <a:rPr lang="en-US" sz="900" b="1"/>
                      <a:t>56% (63)</a:t>
                    </a:r>
                    <a:endParaRPr lang="en-US"/>
                  </a:p>
                </c:rich>
              </c:tx>
              <c:showLegendKey val="0"/>
              <c:showVal val="1"/>
              <c:showCatName val="0"/>
              <c:showSerName val="0"/>
              <c:showPercent val="0"/>
              <c:showBubbleSize val="0"/>
            </c:dLbl>
            <c:dLbl>
              <c:idx val="9"/>
              <c:tx>
                <c:rich>
                  <a:bodyPr/>
                  <a:lstStyle/>
                  <a:p>
                    <a:r>
                      <a:rPr lang="en-US" sz="900" b="1"/>
                      <a:t>64% (57)</a:t>
                    </a:r>
                    <a:endParaRPr lang="en-US"/>
                  </a:p>
                </c:rich>
              </c:tx>
              <c:showLegendKey val="0"/>
              <c:showVal val="1"/>
              <c:showCatName val="0"/>
              <c:showSerName val="0"/>
              <c:showPercent val="0"/>
              <c:showBubbleSize val="0"/>
            </c:dLbl>
            <c:dLbl>
              <c:idx val="10"/>
              <c:tx>
                <c:rich>
                  <a:bodyPr/>
                  <a:lstStyle/>
                  <a:p>
                    <a:r>
                      <a:rPr lang="en-US" sz="900" b="1"/>
                      <a:t>39% (392)</a:t>
                    </a:r>
                    <a:endParaRPr lang="en-US"/>
                  </a:p>
                </c:rich>
              </c:tx>
              <c:showLegendKey val="0"/>
              <c:showVal val="1"/>
              <c:showCatName val="0"/>
              <c:showSerName val="0"/>
              <c:showPercent val="0"/>
              <c:showBubbleSize val="0"/>
            </c:dLbl>
            <c:txPr>
              <a:bodyPr/>
              <a:lstStyle/>
              <a:p>
                <a:pPr>
                  <a:defRPr sz="900" b="1"/>
                </a:pPr>
                <a:endParaRPr lang="lt-LT"/>
              </a:p>
            </c:txPr>
            <c:showLegendKey val="0"/>
            <c:showVal val="1"/>
            <c:showCatName val="0"/>
            <c:showSerName val="0"/>
            <c:showPercent val="0"/>
            <c:showBubbleSize val="0"/>
            <c:showLeaderLines val="0"/>
          </c:dLbls>
          <c:cat>
            <c:strRef>
              <c:f>Asignavimai!$K$3:$K$13</c:f>
              <c:strCache>
                <c:ptCount val="11"/>
                <c:pt idx="0">
                  <c:v>KM</c:v>
                </c:pt>
                <c:pt idx="1">
                  <c:v>AM</c:v>
                </c:pt>
                <c:pt idx="2">
                  <c:v>SAM</c:v>
                </c:pt>
                <c:pt idx="3">
                  <c:v>EM</c:v>
                </c:pt>
                <c:pt idx="4">
                  <c:v>ŪM</c:v>
                </c:pt>
                <c:pt idx="5">
                  <c:v>SM</c:v>
                </c:pt>
                <c:pt idx="6">
                  <c:v>VRM</c:v>
                </c:pt>
                <c:pt idx="7">
                  <c:v>FM</c:v>
                </c:pt>
                <c:pt idx="8">
                  <c:v>ŠMM</c:v>
                </c:pt>
                <c:pt idx="9">
                  <c:v>SADM</c:v>
                </c:pt>
                <c:pt idx="10">
                  <c:v>Viso:</c:v>
                </c:pt>
              </c:strCache>
            </c:strRef>
          </c:cat>
          <c:val>
            <c:numRef>
              <c:f>Asignavimai!$L$3:$L$13</c:f>
              <c:numCache>
                <c:formatCode>0%</c:formatCode>
                <c:ptCount val="11"/>
                <c:pt idx="0">
                  <c:v>0.23849405524983491</c:v>
                </c:pt>
                <c:pt idx="1">
                  <c:v>0.28077170625859671</c:v>
                </c:pt>
                <c:pt idx="2">
                  <c:v>0.31514242594880848</c:v>
                </c:pt>
                <c:pt idx="3">
                  <c:v>0.35154023883928565</c:v>
                </c:pt>
                <c:pt idx="4">
                  <c:v>0.35197322822437899</c:v>
                </c:pt>
                <c:pt idx="5">
                  <c:v>0.35736885498474308</c:v>
                </c:pt>
                <c:pt idx="6">
                  <c:v>0.4</c:v>
                </c:pt>
                <c:pt idx="7">
                  <c:v>0.54275957965325294</c:v>
                </c:pt>
                <c:pt idx="8">
                  <c:v>0.56454026307733862</c:v>
                </c:pt>
                <c:pt idx="9">
                  <c:v>0.644914103765026</c:v>
                </c:pt>
                <c:pt idx="10">
                  <c:v>0.39325650848375443</c:v>
                </c:pt>
              </c:numCache>
            </c:numRef>
          </c:val>
        </c:ser>
        <c:ser>
          <c:idx val="1"/>
          <c:order val="1"/>
          <c:tx>
            <c:strRef>
              <c:f>Asignavimai!$M$1:$M$2</c:f>
              <c:strCache>
                <c:ptCount val="1"/>
                <c:pt idx="0">
                  <c:v>Neinvestuoti 2018 m. ES fondų asignavimai</c:v>
                </c:pt>
              </c:strCache>
            </c:strRef>
          </c:tx>
          <c:spPr>
            <a:solidFill>
              <a:schemeClr val="accent3">
                <a:lumMod val="60000"/>
                <a:lumOff val="40000"/>
              </a:schemeClr>
            </a:solidFill>
          </c:spPr>
          <c:invertIfNegative val="0"/>
          <c:dLbls>
            <c:dLbl>
              <c:idx val="0"/>
              <c:tx>
                <c:rich>
                  <a:bodyPr/>
                  <a:lstStyle/>
                  <a:p>
                    <a:r>
                      <a:rPr lang="en-US" sz="900" b="1"/>
                      <a:t>76% (35)</a:t>
                    </a:r>
                    <a:endParaRPr lang="en-US"/>
                  </a:p>
                </c:rich>
              </c:tx>
              <c:showLegendKey val="0"/>
              <c:showVal val="1"/>
              <c:showCatName val="0"/>
              <c:showSerName val="0"/>
              <c:showPercent val="0"/>
              <c:showBubbleSize val="0"/>
            </c:dLbl>
            <c:dLbl>
              <c:idx val="1"/>
              <c:tx>
                <c:rich>
                  <a:bodyPr/>
                  <a:lstStyle/>
                  <a:p>
                    <a:r>
                      <a:rPr lang="en-US" sz="900" b="1"/>
                      <a:t>72% (105)</a:t>
                    </a:r>
                    <a:endParaRPr lang="en-US"/>
                  </a:p>
                </c:rich>
              </c:tx>
              <c:showLegendKey val="0"/>
              <c:showVal val="1"/>
              <c:showCatName val="0"/>
              <c:showSerName val="0"/>
              <c:showPercent val="0"/>
              <c:showBubbleSize val="0"/>
            </c:dLbl>
            <c:dLbl>
              <c:idx val="2"/>
              <c:tx>
                <c:rich>
                  <a:bodyPr/>
                  <a:lstStyle/>
                  <a:p>
                    <a:r>
                      <a:rPr lang="en-US" sz="900" b="1"/>
                      <a:t>68% (39)</a:t>
                    </a:r>
                    <a:endParaRPr lang="en-US"/>
                  </a:p>
                </c:rich>
              </c:tx>
              <c:showLegendKey val="0"/>
              <c:showVal val="1"/>
              <c:showCatName val="0"/>
              <c:showSerName val="0"/>
              <c:showPercent val="0"/>
              <c:showBubbleSize val="0"/>
            </c:dLbl>
            <c:dLbl>
              <c:idx val="3"/>
              <c:tx>
                <c:rich>
                  <a:bodyPr/>
                  <a:lstStyle/>
                  <a:p>
                    <a:r>
                      <a:rPr lang="en-US" sz="900" b="1"/>
                      <a:t>65% (49)</a:t>
                    </a:r>
                    <a:endParaRPr lang="en-US"/>
                  </a:p>
                </c:rich>
              </c:tx>
              <c:showLegendKey val="0"/>
              <c:showVal val="1"/>
              <c:showCatName val="0"/>
              <c:showSerName val="0"/>
              <c:showPercent val="0"/>
              <c:showBubbleSize val="0"/>
            </c:dLbl>
            <c:dLbl>
              <c:idx val="4"/>
              <c:tx>
                <c:rich>
                  <a:bodyPr/>
                  <a:lstStyle/>
                  <a:p>
                    <a:r>
                      <a:rPr lang="en-US" sz="900" b="1"/>
                      <a:t>65% (106)</a:t>
                    </a:r>
                    <a:endParaRPr lang="en-US"/>
                  </a:p>
                </c:rich>
              </c:tx>
              <c:showLegendKey val="0"/>
              <c:showVal val="1"/>
              <c:showCatName val="0"/>
              <c:showSerName val="0"/>
              <c:showPercent val="0"/>
              <c:showBubbleSize val="0"/>
            </c:dLbl>
            <c:dLbl>
              <c:idx val="5"/>
              <c:tx>
                <c:rich>
                  <a:bodyPr/>
                  <a:lstStyle/>
                  <a:p>
                    <a:r>
                      <a:rPr lang="en-US" sz="900" b="1"/>
                      <a:t>64% (128)</a:t>
                    </a:r>
                    <a:endParaRPr lang="en-US"/>
                  </a:p>
                </c:rich>
              </c:tx>
              <c:showLegendKey val="0"/>
              <c:showVal val="1"/>
              <c:showCatName val="0"/>
              <c:showSerName val="0"/>
              <c:showPercent val="0"/>
              <c:showBubbleSize val="0"/>
            </c:dLbl>
            <c:dLbl>
              <c:idx val="6"/>
              <c:tx>
                <c:rich>
                  <a:bodyPr/>
                  <a:lstStyle/>
                  <a:p>
                    <a:r>
                      <a:rPr lang="en-US" sz="900" b="1"/>
                      <a:t>60% (49)</a:t>
                    </a:r>
                    <a:endParaRPr lang="en-US"/>
                  </a:p>
                </c:rich>
              </c:tx>
              <c:showLegendKey val="0"/>
              <c:showVal val="1"/>
              <c:showCatName val="0"/>
              <c:showSerName val="0"/>
              <c:showPercent val="0"/>
              <c:showBubbleSize val="0"/>
            </c:dLbl>
            <c:dLbl>
              <c:idx val="7"/>
              <c:tx>
                <c:rich>
                  <a:bodyPr/>
                  <a:lstStyle/>
                  <a:p>
                    <a:r>
                      <a:rPr lang="en-US" sz="900" b="1"/>
                      <a:t>46% (14)</a:t>
                    </a:r>
                    <a:endParaRPr lang="en-US"/>
                  </a:p>
                </c:rich>
              </c:tx>
              <c:showLegendKey val="0"/>
              <c:showVal val="1"/>
              <c:showCatName val="0"/>
              <c:showSerName val="0"/>
              <c:showPercent val="0"/>
              <c:showBubbleSize val="0"/>
            </c:dLbl>
            <c:dLbl>
              <c:idx val="8"/>
              <c:tx>
                <c:rich>
                  <a:bodyPr/>
                  <a:lstStyle/>
                  <a:p>
                    <a:r>
                      <a:rPr lang="en-US" sz="900" b="1"/>
                      <a:t>44% (48)</a:t>
                    </a:r>
                    <a:endParaRPr lang="en-US"/>
                  </a:p>
                </c:rich>
              </c:tx>
              <c:showLegendKey val="0"/>
              <c:showVal val="1"/>
              <c:showCatName val="0"/>
              <c:showSerName val="0"/>
              <c:showPercent val="0"/>
              <c:showBubbleSize val="0"/>
            </c:dLbl>
            <c:dLbl>
              <c:idx val="9"/>
              <c:tx>
                <c:rich>
                  <a:bodyPr/>
                  <a:lstStyle/>
                  <a:p>
                    <a:r>
                      <a:rPr lang="en-US" sz="900" b="1"/>
                      <a:t>36% (31)</a:t>
                    </a:r>
                    <a:endParaRPr lang="en-US"/>
                  </a:p>
                </c:rich>
              </c:tx>
              <c:showLegendKey val="0"/>
              <c:showVal val="1"/>
              <c:showCatName val="0"/>
              <c:showSerName val="0"/>
              <c:showPercent val="0"/>
              <c:showBubbleSize val="0"/>
            </c:dLbl>
            <c:dLbl>
              <c:idx val="10"/>
              <c:tx>
                <c:rich>
                  <a:bodyPr/>
                  <a:lstStyle/>
                  <a:p>
                    <a:r>
                      <a:rPr lang="en-US" sz="900" b="1"/>
                      <a:t>61% (605)</a:t>
                    </a:r>
                    <a:endParaRPr lang="en-US"/>
                  </a:p>
                </c:rich>
              </c:tx>
              <c:showLegendKey val="0"/>
              <c:showVal val="1"/>
              <c:showCatName val="0"/>
              <c:showSerName val="0"/>
              <c:showPercent val="0"/>
              <c:showBubbleSize val="0"/>
            </c:dLbl>
            <c:txPr>
              <a:bodyPr/>
              <a:lstStyle/>
              <a:p>
                <a:pPr>
                  <a:defRPr sz="900" b="1"/>
                </a:pPr>
                <a:endParaRPr lang="lt-LT"/>
              </a:p>
            </c:txPr>
            <c:showLegendKey val="0"/>
            <c:showVal val="1"/>
            <c:showCatName val="0"/>
            <c:showSerName val="0"/>
            <c:showPercent val="0"/>
            <c:showBubbleSize val="0"/>
            <c:showLeaderLines val="0"/>
          </c:dLbls>
          <c:cat>
            <c:strRef>
              <c:f>Asignavimai!$K$3:$K$13</c:f>
              <c:strCache>
                <c:ptCount val="11"/>
                <c:pt idx="0">
                  <c:v>KM</c:v>
                </c:pt>
                <c:pt idx="1">
                  <c:v>AM</c:v>
                </c:pt>
                <c:pt idx="2">
                  <c:v>SAM</c:v>
                </c:pt>
                <c:pt idx="3">
                  <c:v>EM</c:v>
                </c:pt>
                <c:pt idx="4">
                  <c:v>ŪM</c:v>
                </c:pt>
                <c:pt idx="5">
                  <c:v>SM</c:v>
                </c:pt>
                <c:pt idx="6">
                  <c:v>VRM</c:v>
                </c:pt>
                <c:pt idx="7">
                  <c:v>FM</c:v>
                </c:pt>
                <c:pt idx="8">
                  <c:v>ŠMM</c:v>
                </c:pt>
                <c:pt idx="9">
                  <c:v>SADM</c:v>
                </c:pt>
                <c:pt idx="10">
                  <c:v>Viso:</c:v>
                </c:pt>
              </c:strCache>
            </c:strRef>
          </c:cat>
          <c:val>
            <c:numRef>
              <c:f>Asignavimai!$M$3:$M$13</c:f>
              <c:numCache>
                <c:formatCode>0%</c:formatCode>
                <c:ptCount val="11"/>
                <c:pt idx="0">
                  <c:v>0.76150594475016509</c:v>
                </c:pt>
                <c:pt idx="1">
                  <c:v>0.71922829374140329</c:v>
                </c:pt>
                <c:pt idx="2">
                  <c:v>0.68485757405119152</c:v>
                </c:pt>
                <c:pt idx="3">
                  <c:v>0.64845976116071435</c:v>
                </c:pt>
                <c:pt idx="4">
                  <c:v>0.64802677177562096</c:v>
                </c:pt>
                <c:pt idx="5">
                  <c:v>0.64263114501525687</c:v>
                </c:pt>
                <c:pt idx="6">
                  <c:v>0.6</c:v>
                </c:pt>
                <c:pt idx="7">
                  <c:v>0.45724042034674706</c:v>
                </c:pt>
                <c:pt idx="8">
                  <c:v>0.43545973692266138</c:v>
                </c:pt>
                <c:pt idx="9">
                  <c:v>0.355085896234974</c:v>
                </c:pt>
                <c:pt idx="10">
                  <c:v>0.60674349151624551</c:v>
                </c:pt>
              </c:numCache>
            </c:numRef>
          </c:val>
        </c:ser>
        <c:dLbls>
          <c:showLegendKey val="0"/>
          <c:showVal val="0"/>
          <c:showCatName val="0"/>
          <c:showSerName val="0"/>
          <c:showPercent val="0"/>
          <c:showBubbleSize val="0"/>
        </c:dLbls>
        <c:gapWidth val="150"/>
        <c:overlap val="100"/>
        <c:axId val="158623232"/>
        <c:axId val="158624768"/>
      </c:barChart>
      <c:catAx>
        <c:axId val="158623232"/>
        <c:scaling>
          <c:orientation val="minMax"/>
        </c:scaling>
        <c:delete val="0"/>
        <c:axPos val="l"/>
        <c:majorTickMark val="out"/>
        <c:minorTickMark val="none"/>
        <c:tickLblPos val="nextTo"/>
        <c:crossAx val="158624768"/>
        <c:crosses val="autoZero"/>
        <c:auto val="1"/>
        <c:lblAlgn val="ctr"/>
        <c:lblOffset val="100"/>
        <c:noMultiLvlLbl val="0"/>
      </c:catAx>
      <c:valAx>
        <c:axId val="158624768"/>
        <c:scaling>
          <c:orientation val="minMax"/>
          <c:max val="1"/>
        </c:scaling>
        <c:delete val="0"/>
        <c:axPos val="b"/>
        <c:majorGridlines/>
        <c:numFmt formatCode="0%" sourceLinked="1"/>
        <c:majorTickMark val="out"/>
        <c:minorTickMark val="none"/>
        <c:tickLblPos val="nextTo"/>
        <c:crossAx val="158623232"/>
        <c:crosses val="autoZero"/>
        <c:crossBetween val="between"/>
      </c:valAx>
    </c:plotArea>
    <c:legend>
      <c:legendPos val="b"/>
      <c:overlay val="0"/>
    </c:legend>
    <c:plotVisOnly val="1"/>
    <c:dispBlanksAs val="gap"/>
    <c:showDLblsOverMax val="0"/>
  </c:chart>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0.83458</cdr:x>
      <cdr:y>0.06338</cdr:y>
    </cdr:from>
    <cdr:to>
      <cdr:x>0.91573</cdr:x>
      <cdr:y>0.15845</cdr:y>
    </cdr:to>
    <cdr:sp macro="" textlink="">
      <cdr:nvSpPr>
        <cdr:cNvPr id="2" name="TextBox 1"/>
        <cdr:cNvSpPr txBox="1"/>
      </cdr:nvSpPr>
      <cdr:spPr>
        <a:xfrm xmlns:a="http://schemas.openxmlformats.org/drawingml/2006/main">
          <a:off x="6367462" y="214313"/>
          <a:ext cx="619125" cy="32146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0.83054</cdr:x>
      <cdr:y>0.10705</cdr:y>
    </cdr:from>
    <cdr:to>
      <cdr:x>0.94758</cdr:x>
      <cdr:y>0.17747</cdr:y>
    </cdr:to>
    <cdr:sp macro="" textlink="">
      <cdr:nvSpPr>
        <cdr:cNvPr id="3" name="TextBox 2"/>
        <cdr:cNvSpPr txBox="1"/>
      </cdr:nvSpPr>
      <cdr:spPr>
        <a:xfrm xmlns:a="http://schemas.openxmlformats.org/drawingml/2006/main">
          <a:off x="7064435" y="361960"/>
          <a:ext cx="995521" cy="23811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lt-LT" sz="1100"/>
        </a:p>
      </cdr:txBody>
    </cdr:sp>
  </cdr:relSizeAnchor>
  <cdr:relSizeAnchor xmlns:cdr="http://schemas.openxmlformats.org/drawingml/2006/chartDrawing">
    <cdr:from>
      <cdr:x>0.87088</cdr:x>
      <cdr:y>0.0975</cdr:y>
    </cdr:from>
    <cdr:to>
      <cdr:x>0.9744</cdr:x>
      <cdr:y>0.182</cdr:y>
    </cdr:to>
    <cdr:sp macro="" textlink="">
      <cdr:nvSpPr>
        <cdr:cNvPr id="6" name="TextBox 1"/>
        <cdr:cNvSpPr txBox="1"/>
      </cdr:nvSpPr>
      <cdr:spPr>
        <a:xfrm xmlns:a="http://schemas.openxmlformats.org/drawingml/2006/main">
          <a:off x="5329922" y="279605"/>
          <a:ext cx="633556" cy="2423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t-LT" sz="800" b="1" baseline="0"/>
            <a:t>(</a:t>
          </a:r>
          <a:r>
            <a:rPr lang="en-US" sz="800" b="1" baseline="0"/>
            <a:t>100%)</a:t>
          </a:r>
          <a:endParaRPr lang="lt-LT" sz="800" b="1"/>
        </a:p>
      </cdr:txBody>
    </cdr:sp>
  </cdr:relSizeAnchor>
  <cdr:relSizeAnchor xmlns:cdr="http://schemas.openxmlformats.org/drawingml/2006/chartDrawing">
    <cdr:from>
      <cdr:x>0.71534</cdr:x>
      <cdr:y>0.43168</cdr:y>
    </cdr:from>
    <cdr:to>
      <cdr:x>0.93413</cdr:x>
      <cdr:y>0.50945</cdr:y>
    </cdr:to>
    <cdr:sp macro="" textlink="">
      <cdr:nvSpPr>
        <cdr:cNvPr id="7" name="TextBox 1"/>
        <cdr:cNvSpPr txBox="1"/>
      </cdr:nvSpPr>
      <cdr:spPr>
        <a:xfrm xmlns:a="http://schemas.openxmlformats.org/drawingml/2006/main">
          <a:off x="4377966" y="1237916"/>
          <a:ext cx="1339023" cy="2230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800" b="1">
              <a:effectLst/>
              <a:latin typeface="+mn-lt"/>
              <a:ea typeface="+mn-ea"/>
              <a:cs typeface="+mn-cs"/>
            </a:rPr>
            <a:t>Iš viso:</a:t>
          </a:r>
          <a:r>
            <a:rPr lang="lt-LT" sz="800" b="1" baseline="0">
              <a:effectLst/>
              <a:latin typeface="+mn-lt"/>
              <a:ea typeface="+mn-ea"/>
              <a:cs typeface="+mn-cs"/>
            </a:rPr>
            <a:t> </a:t>
          </a:r>
          <a:r>
            <a:rPr lang="en-US" sz="800" b="1"/>
            <a:t>3 903 </a:t>
          </a:r>
          <a:r>
            <a:rPr lang="lt-LT" sz="800" b="1" baseline="0"/>
            <a:t>(</a:t>
          </a:r>
          <a:r>
            <a:rPr lang="en-US" sz="800" b="1" baseline="0"/>
            <a:t>58%)</a:t>
          </a:r>
          <a:endParaRPr lang="lt-LT" sz="800" b="1"/>
        </a:p>
      </cdr:txBody>
    </cdr:sp>
  </cdr:relSizeAnchor>
  <cdr:relSizeAnchor xmlns:cdr="http://schemas.openxmlformats.org/drawingml/2006/chartDrawing">
    <cdr:from>
      <cdr:x>0.56786</cdr:x>
      <cdr:y>0.59291</cdr:y>
    </cdr:from>
    <cdr:to>
      <cdr:x>0.78633</cdr:x>
      <cdr:y>0.66593</cdr:y>
    </cdr:to>
    <cdr:sp macro="" textlink="">
      <cdr:nvSpPr>
        <cdr:cNvPr id="8" name="TextBox 1"/>
        <cdr:cNvSpPr txBox="1"/>
      </cdr:nvSpPr>
      <cdr:spPr>
        <a:xfrm xmlns:a="http://schemas.openxmlformats.org/drawingml/2006/main">
          <a:off x="3475377" y="1700270"/>
          <a:ext cx="1337064" cy="20939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800" b="1">
              <a:effectLst/>
              <a:latin typeface="+mn-lt"/>
              <a:ea typeface="+mn-ea"/>
              <a:cs typeface="+mn-cs"/>
            </a:rPr>
            <a:t>Iš viso:</a:t>
          </a:r>
          <a:r>
            <a:rPr lang="lt-LT" sz="800" b="1" baseline="0">
              <a:effectLst/>
              <a:latin typeface="+mn-lt"/>
              <a:ea typeface="+mn-ea"/>
              <a:cs typeface="+mn-cs"/>
            </a:rPr>
            <a:t> </a:t>
          </a:r>
          <a:r>
            <a:rPr lang="en-US" sz="800" b="1"/>
            <a:t>1 680 </a:t>
          </a:r>
          <a:r>
            <a:rPr lang="lt-LT" sz="800" b="1" baseline="0"/>
            <a:t>(</a:t>
          </a:r>
          <a:r>
            <a:rPr lang="en-US" sz="800" b="1" baseline="0"/>
            <a:t>25%)</a:t>
          </a:r>
          <a:endParaRPr lang="lt-LT" sz="800" b="1"/>
        </a:p>
      </cdr:txBody>
    </cdr:sp>
  </cdr:relSizeAnchor>
  <cdr:relSizeAnchor xmlns:cdr="http://schemas.openxmlformats.org/drawingml/2006/chartDrawing">
    <cdr:from>
      <cdr:x>0.55449</cdr:x>
      <cdr:y>0.75348</cdr:y>
    </cdr:from>
    <cdr:to>
      <cdr:x>0.797</cdr:x>
      <cdr:y>0.83233</cdr:y>
    </cdr:to>
    <cdr:sp macro="" textlink="">
      <cdr:nvSpPr>
        <cdr:cNvPr id="9" name="TextBox 1"/>
        <cdr:cNvSpPr txBox="1"/>
      </cdr:nvSpPr>
      <cdr:spPr>
        <a:xfrm xmlns:a="http://schemas.openxmlformats.org/drawingml/2006/main">
          <a:off x="3393523" y="2160720"/>
          <a:ext cx="1484192" cy="22611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r"/>
          <a:r>
            <a:rPr lang="lt-LT" sz="800" b="1">
              <a:effectLst/>
              <a:latin typeface="+mn-lt"/>
              <a:ea typeface="+mn-ea"/>
              <a:cs typeface="+mn-cs"/>
            </a:rPr>
            <a:t>Iš viso:</a:t>
          </a:r>
          <a:r>
            <a:rPr lang="lt-LT" sz="800" b="1" baseline="0">
              <a:effectLst/>
              <a:latin typeface="+mn-lt"/>
              <a:ea typeface="+mn-ea"/>
              <a:cs typeface="+mn-cs"/>
            </a:rPr>
            <a:t> </a:t>
          </a:r>
          <a:r>
            <a:rPr lang="en-US" sz="800" b="1" baseline="0"/>
            <a:t>1 501</a:t>
          </a:r>
          <a:r>
            <a:rPr lang="lt-LT" sz="800" b="1" baseline="0"/>
            <a:t> (</a:t>
          </a:r>
          <a:r>
            <a:rPr lang="en-US" sz="800" b="1" baseline="0"/>
            <a:t>22%)</a:t>
          </a:r>
          <a:endParaRPr lang="lt-LT" sz="800" b="1"/>
        </a:p>
      </cdr:txBody>
    </cdr:sp>
  </cdr:relSizeAnchor>
  <cdr:relSizeAnchor xmlns:cdr="http://schemas.openxmlformats.org/drawingml/2006/chartDrawing">
    <cdr:from>
      <cdr:x>0.83539</cdr:x>
      <cdr:y>0.26432</cdr:y>
    </cdr:from>
    <cdr:to>
      <cdr:x>0.99909</cdr:x>
      <cdr:y>0.35275</cdr:y>
    </cdr:to>
    <cdr:sp macro="" textlink="">
      <cdr:nvSpPr>
        <cdr:cNvPr id="4" name="TextBox 3"/>
        <cdr:cNvSpPr txBox="1"/>
      </cdr:nvSpPr>
      <cdr:spPr>
        <a:xfrm xmlns:a="http://schemas.openxmlformats.org/drawingml/2006/main">
          <a:off x="5112689" y="757980"/>
          <a:ext cx="1001864" cy="253587"/>
        </a:xfrm>
        <a:prstGeom xmlns:a="http://schemas.openxmlformats.org/drawingml/2006/main" prst="rect">
          <a:avLst/>
        </a:prstGeom>
      </cdr:spPr>
      <cdr:txBody>
        <a:bodyPr xmlns:a="http://schemas.openxmlformats.org/drawingml/2006/main" vertOverflow="clip" wrap="square" rtlCol="0" anchor="t"/>
        <a:lstStyle xmlns:a="http://schemas.openxmlformats.org/drawingml/2006/main"/>
        <a:p xmlns:a="http://schemas.openxmlformats.org/drawingml/2006/main">
          <a:pPr algn="l"/>
          <a:r>
            <a:rPr lang="lt-LT" sz="800" b="1"/>
            <a:t>Iš viso: </a:t>
          </a:r>
          <a:r>
            <a:rPr lang="en-US" sz="800" b="1"/>
            <a:t>5 219</a:t>
          </a:r>
          <a:r>
            <a:rPr lang="lt-LT" sz="800" b="1" baseline="0"/>
            <a:t> (</a:t>
          </a:r>
          <a:r>
            <a:rPr lang="en-US" sz="800" b="1" baseline="0"/>
            <a:t>78%)</a:t>
          </a:r>
          <a:endParaRPr lang="lt-LT" sz="800" b="1"/>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D45DE-C54B-4E63-AD17-C962D3026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4612</TotalTime>
  <Pages>28</Pages>
  <Words>44815</Words>
  <Characters>25546</Characters>
  <Application>Microsoft Office Word</Application>
  <DocSecurity>0</DocSecurity>
  <Lines>212</Lines>
  <Paragraphs>140</Paragraphs>
  <ScaleCrop>false</ScaleCrop>
  <HeadingPairs>
    <vt:vector size="6" baseType="variant">
      <vt:variant>
        <vt:lpstr>Pavadinimas</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FM</Company>
  <LinksUpToDate>false</LinksUpToDate>
  <CharactersWithSpaces>70221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Vilūnienė</dc:creator>
  <cp:lastModifiedBy>Žana Zimina</cp:lastModifiedBy>
  <cp:revision>350</cp:revision>
  <cp:lastPrinted>2018-10-25T07:24:00Z</cp:lastPrinted>
  <dcterms:created xsi:type="dcterms:W3CDTF">2018-04-26T06:20:00Z</dcterms:created>
  <dcterms:modified xsi:type="dcterms:W3CDTF">2018-10-31T13:05:00Z</dcterms:modified>
</cp:coreProperties>
</file>