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2.xml" ContentType="application/vnd.openxmlformats-officedocument.drawingml.chart+xml"/>
  <Override PartName="/word/charts/chart2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4.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A9F80" w14:textId="77777777" w:rsidR="00B254C3" w:rsidRPr="003A7E34" w:rsidRDefault="00B254C3">
      <w:pPr>
        <w:jc w:val="center"/>
        <w:rPr>
          <w:rFonts w:eastAsia="Times New Roman"/>
          <w:b/>
          <w:bCs/>
          <w:noProof/>
          <w:lang w:val="en-US" w:eastAsia="en-GB"/>
        </w:rPr>
      </w:pPr>
    </w:p>
    <w:p w14:paraId="60FE9200" w14:textId="77777777" w:rsidR="00B254C3" w:rsidRPr="003A7E34" w:rsidRDefault="00B254C3">
      <w:pPr>
        <w:jc w:val="center"/>
        <w:rPr>
          <w:rFonts w:eastAsia="Times New Roman"/>
          <w:b/>
          <w:bCs/>
          <w:noProof/>
          <w:lang w:val="en-US" w:eastAsia="en-GB"/>
        </w:rPr>
      </w:pPr>
    </w:p>
    <w:p w14:paraId="5F5F3946" w14:textId="77777777" w:rsidR="00B254C3" w:rsidRPr="003A7E34" w:rsidRDefault="00B254C3">
      <w:pPr>
        <w:jc w:val="center"/>
        <w:rPr>
          <w:rFonts w:eastAsia="Times New Roman"/>
          <w:b/>
          <w:bCs/>
          <w:noProof/>
          <w:lang w:val="en-US" w:eastAsia="en-GB"/>
        </w:rPr>
      </w:pPr>
    </w:p>
    <w:p w14:paraId="23AFD290" w14:textId="77777777" w:rsidR="00B254C3" w:rsidRPr="003A7E34" w:rsidRDefault="00B254C3">
      <w:pPr>
        <w:jc w:val="center"/>
        <w:rPr>
          <w:rFonts w:eastAsia="Times New Roman"/>
          <w:b/>
          <w:bCs/>
          <w:noProof/>
          <w:lang w:val="en-US" w:eastAsia="en-GB"/>
        </w:rPr>
      </w:pPr>
    </w:p>
    <w:p w14:paraId="1004EFA0" w14:textId="77777777" w:rsidR="00B254C3" w:rsidRPr="003A7E34" w:rsidRDefault="00B254C3">
      <w:pPr>
        <w:jc w:val="center"/>
        <w:rPr>
          <w:rFonts w:eastAsia="Times New Roman"/>
          <w:b/>
          <w:bCs/>
          <w:noProof/>
          <w:lang w:val="en-US" w:eastAsia="en-GB"/>
        </w:rPr>
      </w:pPr>
    </w:p>
    <w:p w14:paraId="759D9CB7" w14:textId="77777777" w:rsidR="00B254C3" w:rsidRPr="003A7E34" w:rsidRDefault="00B254C3">
      <w:pPr>
        <w:jc w:val="center"/>
        <w:rPr>
          <w:rFonts w:eastAsia="Times New Roman"/>
          <w:b/>
          <w:bCs/>
          <w:noProof/>
          <w:lang w:val="en-US" w:eastAsia="en-GB"/>
        </w:rPr>
      </w:pPr>
    </w:p>
    <w:p w14:paraId="0F657EF2" w14:textId="77777777" w:rsidR="00B254C3" w:rsidRPr="003A7E34" w:rsidRDefault="00B254C3">
      <w:pPr>
        <w:jc w:val="center"/>
        <w:rPr>
          <w:rFonts w:eastAsia="Times New Roman"/>
          <w:b/>
          <w:bCs/>
          <w:noProof/>
          <w:lang w:val="en-US" w:eastAsia="en-GB"/>
        </w:rPr>
      </w:pPr>
    </w:p>
    <w:p w14:paraId="489B879C" w14:textId="77777777" w:rsidR="00B254C3" w:rsidRPr="003A7E34" w:rsidRDefault="00B254C3">
      <w:pPr>
        <w:jc w:val="center"/>
        <w:rPr>
          <w:rFonts w:eastAsia="Times New Roman"/>
          <w:b/>
          <w:bCs/>
          <w:noProof/>
          <w:lang w:val="en-US" w:eastAsia="en-GB"/>
        </w:rPr>
      </w:pPr>
    </w:p>
    <w:p w14:paraId="66DB56AE" w14:textId="77777777" w:rsidR="00B254C3" w:rsidRPr="003A7E34" w:rsidRDefault="00B254C3">
      <w:pPr>
        <w:jc w:val="center"/>
        <w:rPr>
          <w:rFonts w:eastAsia="Times New Roman"/>
          <w:b/>
          <w:bCs/>
          <w:noProof/>
          <w:lang w:val="en-US" w:eastAsia="en-GB"/>
        </w:rPr>
      </w:pPr>
    </w:p>
    <w:p w14:paraId="44C28307" w14:textId="07994641" w:rsidR="00781980" w:rsidRPr="003A7E34" w:rsidRDefault="00781980">
      <w:pPr>
        <w:jc w:val="center"/>
        <w:rPr>
          <w:rFonts w:eastAsia="Times New Roman"/>
          <w:b/>
          <w:bCs/>
          <w:noProof/>
          <w:lang w:val="en-US" w:eastAsia="en-GB"/>
        </w:rPr>
      </w:pPr>
      <w:r w:rsidRPr="003A7E34">
        <w:rPr>
          <w:rFonts w:eastAsia="Times New Roman"/>
          <w:b/>
          <w:bCs/>
          <w:noProof/>
          <w:lang w:val="en-US" w:eastAsia="en-GB"/>
        </w:rPr>
        <w:t>INTEGRATED NATIONAL ENERGY AND CLIMATE PLAN OF THE REPUBLIC OF LITHUANIA</w:t>
      </w:r>
    </w:p>
    <w:p w14:paraId="1E28D474" w14:textId="1F6B1965" w:rsidR="00B254C3" w:rsidRPr="003A7E34" w:rsidRDefault="00B254C3">
      <w:pPr>
        <w:jc w:val="center"/>
        <w:rPr>
          <w:rFonts w:eastAsia="Times New Roman"/>
          <w:bCs/>
          <w:noProof/>
          <w:lang w:val="en-US"/>
        </w:rPr>
      </w:pPr>
    </w:p>
    <w:p w14:paraId="6AB9F475" w14:textId="7AE41241" w:rsidR="00B254C3" w:rsidRPr="003A7E34" w:rsidRDefault="00B254C3">
      <w:pPr>
        <w:jc w:val="center"/>
        <w:rPr>
          <w:rFonts w:eastAsia="Times New Roman"/>
          <w:bCs/>
          <w:noProof/>
          <w:lang w:val="en-US"/>
        </w:rPr>
      </w:pPr>
    </w:p>
    <w:p w14:paraId="1A9D3B15" w14:textId="77777777" w:rsidR="00B254C3" w:rsidRPr="003A7E34" w:rsidRDefault="00B254C3">
      <w:pPr>
        <w:jc w:val="center"/>
        <w:rPr>
          <w:rFonts w:eastAsia="Times New Roman"/>
          <w:bCs/>
          <w:noProof/>
          <w:lang w:val="en-US"/>
        </w:rPr>
      </w:pPr>
    </w:p>
    <w:p w14:paraId="5232856D" w14:textId="3D56FFA4" w:rsidR="00E00CDE" w:rsidRPr="003A7E34" w:rsidRDefault="59E44E8C" w:rsidP="59E44E8C">
      <w:pPr>
        <w:jc w:val="center"/>
        <w:rPr>
          <w:rFonts w:eastAsia="Times New Roman"/>
          <w:noProof/>
          <w:lang w:val="en-US" w:eastAsia="en-GB"/>
        </w:rPr>
      </w:pPr>
      <w:r w:rsidRPr="59E44E8C">
        <w:rPr>
          <w:rFonts w:eastAsia="Times New Roman"/>
          <w:noProof/>
          <w:lang w:val="en-US" w:eastAsia="en-GB"/>
        </w:rPr>
        <w:t>Draft version</w:t>
      </w:r>
    </w:p>
    <w:p w14:paraId="60ED4B73" w14:textId="4BE66361" w:rsidR="005E1D49" w:rsidRPr="003A7E34" w:rsidRDefault="005E1D49" w:rsidP="00A860F4">
      <w:pPr>
        <w:jc w:val="center"/>
        <w:rPr>
          <w:rFonts w:eastAsia="Times New Roman"/>
          <w:bCs/>
          <w:noProof/>
          <w:lang w:val="en-US" w:eastAsia="en-GB"/>
        </w:rPr>
      </w:pPr>
      <w:r w:rsidRPr="003A7E34">
        <w:rPr>
          <w:rFonts w:eastAsia="Times New Roman"/>
          <w:bCs/>
          <w:noProof/>
          <w:lang w:val="en-US" w:eastAsia="en-GB"/>
        </w:rPr>
        <w:t>20</w:t>
      </w:r>
      <w:r w:rsidRPr="003A7E34">
        <w:rPr>
          <w:rFonts w:eastAsia="Times New Roman"/>
          <w:bCs/>
          <w:noProof/>
          <w:vertAlign w:val="superscript"/>
          <w:lang w:val="en-US" w:eastAsia="en-GB"/>
        </w:rPr>
        <w:t>th</w:t>
      </w:r>
      <w:r w:rsidRPr="003A7E34">
        <w:rPr>
          <w:rFonts w:eastAsia="Times New Roman"/>
          <w:bCs/>
          <w:noProof/>
          <w:lang w:val="en-US" w:eastAsia="en-GB"/>
        </w:rPr>
        <w:t xml:space="preserve"> November 2018</w:t>
      </w:r>
    </w:p>
    <w:p w14:paraId="2015B6AB" w14:textId="77777777" w:rsidR="0064354B" w:rsidRPr="003A7E34" w:rsidRDefault="0064354B">
      <w:pPr>
        <w:spacing w:before="0" w:after="160" w:line="259" w:lineRule="auto"/>
        <w:jc w:val="left"/>
        <w:rPr>
          <w:rFonts w:eastAsia="Times New Roman"/>
          <w:b/>
          <w:bCs/>
          <w:noProof/>
          <w:lang w:val="en-US" w:eastAsia="en-GB"/>
        </w:rPr>
      </w:pPr>
      <w:r w:rsidRPr="003A7E34">
        <w:rPr>
          <w:rFonts w:eastAsia="Times New Roman"/>
          <w:b/>
          <w:bCs/>
          <w:noProof/>
          <w:lang w:val="en-US" w:eastAsia="en-GB"/>
        </w:rPr>
        <w:br w:type="page"/>
      </w:r>
    </w:p>
    <w:p w14:paraId="0BBFA93F" w14:textId="77777777" w:rsidR="00874DAE" w:rsidRPr="003A7E34" w:rsidRDefault="00874DAE" w:rsidP="00874DAE">
      <w:pPr>
        <w:pStyle w:val="Heading1"/>
        <w:rPr>
          <w:lang w:val="en-US"/>
        </w:rPr>
      </w:pPr>
      <w:bookmarkStart w:id="0" w:name="_Toc530405553"/>
      <w:bookmarkStart w:id="1" w:name="_Toc530411784"/>
      <w:bookmarkStart w:id="2" w:name="_Toc530414133"/>
      <w:r w:rsidRPr="003A7E34">
        <w:rPr>
          <w:lang w:val="en-US"/>
        </w:rPr>
        <w:lastRenderedPageBreak/>
        <w:t>Abbreviations</w:t>
      </w:r>
      <w:bookmarkEnd w:id="0"/>
      <w:bookmarkEnd w:id="1"/>
      <w:bookmarkEnd w:id="2"/>
      <w:r w:rsidRPr="003A7E34">
        <w:rPr>
          <w:lang w:val="en-US"/>
        </w:rPr>
        <w:t xml:space="preserve"> </w:t>
      </w:r>
    </w:p>
    <w:tbl>
      <w:tblPr>
        <w:tblStyle w:val="TableGrid"/>
        <w:tblW w:w="0" w:type="auto"/>
        <w:tblLook w:val="04A0" w:firstRow="1" w:lastRow="0" w:firstColumn="1" w:lastColumn="0" w:noHBand="0" w:noVBand="1"/>
      </w:tblPr>
      <w:tblGrid>
        <w:gridCol w:w="2518"/>
        <w:gridCol w:w="6179"/>
      </w:tblGrid>
      <w:tr w:rsidR="003A7E34" w:rsidRPr="003A7E34" w14:paraId="79ED4F9C" w14:textId="77777777" w:rsidTr="0C52D799">
        <w:tc>
          <w:tcPr>
            <w:tcW w:w="2518" w:type="dxa"/>
          </w:tcPr>
          <w:p w14:paraId="2DFA6F7E" w14:textId="62B13319" w:rsidR="00235EC1" w:rsidRPr="003A7E34" w:rsidRDefault="00235EC1" w:rsidP="00A1483D">
            <w:pPr>
              <w:spacing w:before="0" w:after="0"/>
              <w:rPr>
                <w:rFonts w:eastAsia="Times New Roman"/>
                <w:sz w:val="20"/>
                <w:lang w:val="en-US"/>
              </w:rPr>
            </w:pPr>
            <w:r w:rsidRPr="003A7E34">
              <w:rPr>
                <w:rFonts w:eastAsia="Times New Roman"/>
                <w:sz w:val="20"/>
                <w:lang w:val="en-US"/>
              </w:rPr>
              <w:t>AROPE</w:t>
            </w:r>
          </w:p>
        </w:tc>
        <w:tc>
          <w:tcPr>
            <w:tcW w:w="6179" w:type="dxa"/>
          </w:tcPr>
          <w:p w14:paraId="7B940E16" w14:textId="71E3DF61" w:rsidR="00235EC1" w:rsidRPr="003A7E34" w:rsidRDefault="00235EC1" w:rsidP="00A1483D">
            <w:pPr>
              <w:spacing w:before="0" w:after="0"/>
              <w:rPr>
                <w:rFonts w:eastAsia="Times New Roman"/>
                <w:sz w:val="20"/>
                <w:lang w:val="en-US"/>
              </w:rPr>
            </w:pPr>
            <w:r w:rsidRPr="003A7E34">
              <w:rPr>
                <w:rFonts w:eastAsia="Times New Roman"/>
                <w:sz w:val="20"/>
                <w:lang w:val="en-US"/>
              </w:rPr>
              <w:t>At Risk of Poverty or Social Exclusion</w:t>
            </w:r>
          </w:p>
        </w:tc>
      </w:tr>
      <w:tr w:rsidR="003A7E34" w:rsidRPr="003A7E34" w14:paraId="28196F19" w14:textId="77777777" w:rsidTr="0C52D799">
        <w:tc>
          <w:tcPr>
            <w:tcW w:w="2518" w:type="dxa"/>
          </w:tcPr>
          <w:p w14:paraId="62BAD08E" w14:textId="09BE9C44" w:rsidR="00620A86" w:rsidRPr="003A7E34" w:rsidRDefault="00620A86" w:rsidP="00A1483D">
            <w:pPr>
              <w:spacing w:before="0" w:after="0"/>
              <w:rPr>
                <w:rFonts w:eastAsia="Times New Roman"/>
                <w:sz w:val="20"/>
                <w:lang w:val="en-US"/>
              </w:rPr>
            </w:pPr>
            <w:r w:rsidRPr="003A7E34">
              <w:rPr>
                <w:rFonts w:eastAsia="Times New Roman"/>
                <w:sz w:val="20"/>
                <w:lang w:val="en-US"/>
              </w:rPr>
              <w:t>BEMIP</w:t>
            </w:r>
          </w:p>
        </w:tc>
        <w:tc>
          <w:tcPr>
            <w:tcW w:w="6179" w:type="dxa"/>
          </w:tcPr>
          <w:p w14:paraId="33DFB46C" w14:textId="24F1B2C6" w:rsidR="00620A86" w:rsidRPr="003A7E34" w:rsidRDefault="00620A86" w:rsidP="00A1483D">
            <w:pPr>
              <w:spacing w:before="0" w:after="0"/>
              <w:rPr>
                <w:rFonts w:eastAsia="Times New Roman"/>
                <w:sz w:val="20"/>
                <w:lang w:val="en-US"/>
              </w:rPr>
            </w:pPr>
            <w:r w:rsidRPr="003A7E34">
              <w:rPr>
                <w:rFonts w:eastAsia="Times New Roman"/>
                <w:sz w:val="20"/>
                <w:lang w:val="en-US"/>
              </w:rPr>
              <w:t>Baltic Energy Market Interconnection Plan</w:t>
            </w:r>
          </w:p>
        </w:tc>
      </w:tr>
      <w:tr w:rsidR="003A7E34" w:rsidRPr="003A7E34" w14:paraId="68DE4EB1" w14:textId="77777777" w:rsidTr="0C52D799">
        <w:tc>
          <w:tcPr>
            <w:tcW w:w="2518" w:type="dxa"/>
          </w:tcPr>
          <w:p w14:paraId="2C662A2B" w14:textId="4A8C5CBA" w:rsidR="00620A86" w:rsidRPr="003A7E34" w:rsidRDefault="00620A86" w:rsidP="00A1483D">
            <w:pPr>
              <w:spacing w:before="0" w:after="0"/>
              <w:rPr>
                <w:rFonts w:eastAsia="Times New Roman"/>
                <w:sz w:val="20"/>
                <w:lang w:val="en-US"/>
              </w:rPr>
            </w:pPr>
            <w:r w:rsidRPr="003A7E34">
              <w:rPr>
                <w:rFonts w:eastAsia="Times New Roman"/>
                <w:sz w:val="20"/>
                <w:lang w:val="en-US"/>
              </w:rPr>
              <w:t>BENTE</w:t>
            </w:r>
          </w:p>
        </w:tc>
        <w:tc>
          <w:tcPr>
            <w:tcW w:w="6179" w:type="dxa"/>
          </w:tcPr>
          <w:p w14:paraId="666C6EAA" w14:textId="03773742" w:rsidR="00620A86" w:rsidRPr="003A7E34" w:rsidRDefault="00620A86" w:rsidP="00A1483D">
            <w:pPr>
              <w:spacing w:before="0" w:after="0"/>
              <w:rPr>
                <w:rFonts w:eastAsia="Times New Roman"/>
                <w:sz w:val="20"/>
                <w:lang w:val="en-US"/>
              </w:rPr>
            </w:pPr>
            <w:r w:rsidRPr="003A7E34">
              <w:rPr>
                <w:rFonts w:eastAsia="Times New Roman"/>
                <w:sz w:val="20"/>
                <w:lang w:val="en-US"/>
              </w:rPr>
              <w:t>Baltic Energy Technology Scenario study</w:t>
            </w:r>
          </w:p>
        </w:tc>
      </w:tr>
      <w:tr w:rsidR="003A7E34" w:rsidRPr="003A7E34" w14:paraId="56BB5AC3" w14:textId="77777777" w:rsidTr="0C52D799">
        <w:tc>
          <w:tcPr>
            <w:tcW w:w="2518" w:type="dxa"/>
          </w:tcPr>
          <w:p w14:paraId="450DC533" w14:textId="2485F9B5" w:rsidR="005C2B81" w:rsidRPr="003A7E34" w:rsidRDefault="005C2B81" w:rsidP="00A1483D">
            <w:pPr>
              <w:spacing w:before="0" w:after="0"/>
              <w:rPr>
                <w:rFonts w:eastAsia="Times New Roman"/>
                <w:sz w:val="20"/>
                <w:lang w:val="en-US"/>
              </w:rPr>
            </w:pPr>
            <w:r w:rsidRPr="003A7E34">
              <w:rPr>
                <w:rFonts w:eastAsia="Times New Roman"/>
                <w:sz w:val="20"/>
                <w:lang w:val="en-US"/>
              </w:rPr>
              <w:t>Biomass CHP</w:t>
            </w:r>
          </w:p>
        </w:tc>
        <w:tc>
          <w:tcPr>
            <w:tcW w:w="6179" w:type="dxa"/>
          </w:tcPr>
          <w:p w14:paraId="3C52FCDC" w14:textId="69D676C0" w:rsidR="005C2B81" w:rsidRPr="003A7E34" w:rsidRDefault="005C2B81" w:rsidP="00A1483D">
            <w:pPr>
              <w:spacing w:before="0" w:after="0"/>
              <w:rPr>
                <w:rFonts w:eastAsia="Times New Roman"/>
                <w:sz w:val="20"/>
                <w:lang w:val="en-US"/>
              </w:rPr>
            </w:pPr>
            <w:r w:rsidRPr="003A7E34">
              <w:rPr>
                <w:rFonts w:eastAsia="Times New Roman"/>
                <w:sz w:val="20"/>
                <w:lang w:val="en-US"/>
              </w:rPr>
              <w:t xml:space="preserve">Biomass </w:t>
            </w:r>
            <w:r w:rsidR="00861069" w:rsidRPr="003A7E34">
              <w:rPr>
                <w:rFonts w:eastAsia="Times New Roman"/>
                <w:sz w:val="20"/>
                <w:lang w:val="en-US"/>
              </w:rPr>
              <w:t>Combined Heat and Power</w:t>
            </w:r>
          </w:p>
        </w:tc>
      </w:tr>
      <w:tr w:rsidR="003A7E34" w:rsidRPr="003A7E34" w14:paraId="05E03164" w14:textId="77777777" w:rsidTr="0C52D799">
        <w:tc>
          <w:tcPr>
            <w:tcW w:w="2518" w:type="dxa"/>
          </w:tcPr>
          <w:p w14:paraId="15E5470C" w14:textId="77777777" w:rsidR="00874DAE" w:rsidRPr="003A7E34" w:rsidRDefault="00874DAE" w:rsidP="00A1483D">
            <w:pPr>
              <w:spacing w:before="0" w:after="0"/>
              <w:rPr>
                <w:rFonts w:eastAsia="Times New Roman"/>
                <w:sz w:val="20"/>
                <w:lang w:val="en-US"/>
              </w:rPr>
            </w:pPr>
            <w:r w:rsidRPr="003A7E34">
              <w:rPr>
                <w:rFonts w:eastAsia="Times New Roman"/>
                <w:sz w:val="20"/>
                <w:lang w:val="en-US"/>
              </w:rPr>
              <w:t>BJVK</w:t>
            </w:r>
          </w:p>
        </w:tc>
        <w:tc>
          <w:tcPr>
            <w:tcW w:w="6179" w:type="dxa"/>
          </w:tcPr>
          <w:p w14:paraId="17E34BD0" w14:textId="77777777" w:rsidR="00874DAE" w:rsidRPr="003A7E34" w:rsidRDefault="00874DAE" w:rsidP="00A1483D">
            <w:pPr>
              <w:spacing w:before="0" w:after="0"/>
              <w:rPr>
                <w:rFonts w:eastAsia="Times New Roman"/>
                <w:sz w:val="20"/>
                <w:lang w:val="en-US"/>
              </w:rPr>
            </w:pPr>
            <w:r w:rsidRPr="003A7E34">
              <w:rPr>
                <w:rFonts w:eastAsia="Times New Roman"/>
                <w:sz w:val="20"/>
                <w:lang w:val="en-US"/>
              </w:rPr>
              <w:t>Bio generation development cluster</w:t>
            </w:r>
          </w:p>
        </w:tc>
      </w:tr>
      <w:tr w:rsidR="003A7E34" w:rsidRPr="003A7E34" w14:paraId="5DE4274F" w14:textId="77777777" w:rsidTr="0C52D799">
        <w:tc>
          <w:tcPr>
            <w:tcW w:w="2518" w:type="dxa"/>
          </w:tcPr>
          <w:p w14:paraId="61D94A45" w14:textId="498693C7" w:rsidR="003F564F" w:rsidRPr="003A7E34" w:rsidRDefault="003F564F" w:rsidP="00A1483D">
            <w:pPr>
              <w:spacing w:before="0" w:after="0"/>
              <w:rPr>
                <w:rFonts w:eastAsia="Times New Roman"/>
                <w:sz w:val="20"/>
                <w:lang w:val="en-US"/>
              </w:rPr>
            </w:pPr>
            <w:r w:rsidRPr="003A7E34">
              <w:rPr>
                <w:rFonts w:eastAsia="Times New Roman"/>
                <w:sz w:val="20"/>
                <w:lang w:val="en-US"/>
              </w:rPr>
              <w:t>CEF</w:t>
            </w:r>
          </w:p>
        </w:tc>
        <w:tc>
          <w:tcPr>
            <w:tcW w:w="6179" w:type="dxa"/>
          </w:tcPr>
          <w:p w14:paraId="680333B9" w14:textId="6B83B6E1" w:rsidR="003F564F" w:rsidRPr="003A7E34" w:rsidRDefault="003F564F" w:rsidP="00A1483D">
            <w:pPr>
              <w:spacing w:before="0" w:after="0"/>
              <w:rPr>
                <w:rFonts w:eastAsia="Times New Roman"/>
                <w:sz w:val="20"/>
                <w:lang w:val="en-US"/>
              </w:rPr>
            </w:pPr>
            <w:r w:rsidRPr="003A7E34">
              <w:rPr>
                <w:rFonts w:eastAsia="Times New Roman"/>
                <w:sz w:val="20"/>
                <w:lang w:val="en-US"/>
              </w:rPr>
              <w:t>Connecting Europe Facility</w:t>
            </w:r>
          </w:p>
        </w:tc>
      </w:tr>
      <w:tr w:rsidR="003A7E34" w:rsidRPr="003A7E34" w14:paraId="251FEAF5" w14:textId="77777777" w:rsidTr="0C52D799">
        <w:tc>
          <w:tcPr>
            <w:tcW w:w="2518" w:type="dxa"/>
          </w:tcPr>
          <w:p w14:paraId="51190208" w14:textId="291F03AF" w:rsidR="00111A17" w:rsidRPr="003A7E34" w:rsidRDefault="00111A17" w:rsidP="00A1483D">
            <w:pPr>
              <w:spacing w:before="0" w:after="0"/>
              <w:rPr>
                <w:rFonts w:eastAsia="Times New Roman"/>
                <w:sz w:val="20"/>
                <w:lang w:val="en-US"/>
              </w:rPr>
            </w:pPr>
            <w:r w:rsidRPr="003A7E34">
              <w:rPr>
                <w:rFonts w:eastAsia="Times New Roman"/>
                <w:sz w:val="20"/>
                <w:lang w:val="en-US"/>
              </w:rPr>
              <w:t>CO2</w:t>
            </w:r>
          </w:p>
        </w:tc>
        <w:tc>
          <w:tcPr>
            <w:tcW w:w="6179" w:type="dxa"/>
          </w:tcPr>
          <w:p w14:paraId="476FBFDA" w14:textId="63ADF53E" w:rsidR="00111A17" w:rsidRPr="003A7E34" w:rsidRDefault="00111A17" w:rsidP="00A1483D">
            <w:pPr>
              <w:spacing w:before="0" w:after="0"/>
              <w:rPr>
                <w:rFonts w:eastAsia="Times New Roman"/>
                <w:sz w:val="20"/>
                <w:lang w:val="en-US"/>
              </w:rPr>
            </w:pPr>
            <w:r w:rsidRPr="003A7E34">
              <w:rPr>
                <w:rFonts w:eastAsia="Times New Roman"/>
                <w:sz w:val="20"/>
                <w:lang w:val="en-US"/>
              </w:rPr>
              <w:t>Carbon Dioxide</w:t>
            </w:r>
          </w:p>
        </w:tc>
      </w:tr>
      <w:tr w:rsidR="003A7E34" w:rsidRPr="003A7E34" w14:paraId="11386A9E" w14:textId="77777777" w:rsidTr="0C52D799">
        <w:tc>
          <w:tcPr>
            <w:tcW w:w="2518" w:type="dxa"/>
          </w:tcPr>
          <w:p w14:paraId="01CF8F28" w14:textId="045BD171" w:rsidR="00643AF7" w:rsidRPr="003A7E34" w:rsidRDefault="00643AF7" w:rsidP="00A1483D">
            <w:pPr>
              <w:spacing w:before="0" w:after="0"/>
              <w:rPr>
                <w:rFonts w:eastAsia="Times New Roman"/>
                <w:sz w:val="20"/>
                <w:lang w:val="en-US"/>
              </w:rPr>
            </w:pPr>
            <w:r w:rsidRPr="003A7E34">
              <w:rPr>
                <w:rFonts w:eastAsia="Times New Roman"/>
                <w:sz w:val="20"/>
                <w:lang w:val="en-US"/>
              </w:rPr>
              <w:t>DHS</w:t>
            </w:r>
          </w:p>
        </w:tc>
        <w:tc>
          <w:tcPr>
            <w:tcW w:w="6179" w:type="dxa"/>
          </w:tcPr>
          <w:p w14:paraId="12B3A7C8" w14:textId="2E2D045D" w:rsidR="00643AF7" w:rsidRPr="003A7E34" w:rsidRDefault="00643AF7" w:rsidP="00A1483D">
            <w:pPr>
              <w:spacing w:before="0" w:after="0"/>
              <w:rPr>
                <w:rFonts w:eastAsia="Times New Roman"/>
                <w:sz w:val="20"/>
                <w:lang w:val="en-US"/>
              </w:rPr>
            </w:pPr>
            <w:r w:rsidRPr="003A7E34">
              <w:rPr>
                <w:rFonts w:eastAsia="Times New Roman"/>
                <w:sz w:val="20"/>
                <w:lang w:val="en-US"/>
              </w:rPr>
              <w:t>District Heat Supply</w:t>
            </w:r>
          </w:p>
        </w:tc>
      </w:tr>
      <w:tr w:rsidR="003A7E34" w:rsidRPr="003A7E34" w14:paraId="70F95589" w14:textId="77777777" w:rsidTr="0C52D799">
        <w:tc>
          <w:tcPr>
            <w:tcW w:w="2518" w:type="dxa"/>
          </w:tcPr>
          <w:p w14:paraId="3AAEEF88" w14:textId="3123313A" w:rsidR="008F6FC3" w:rsidRPr="003A7E34" w:rsidRDefault="008F6FC3" w:rsidP="00A1483D">
            <w:pPr>
              <w:spacing w:before="0" w:after="0"/>
              <w:rPr>
                <w:rFonts w:eastAsia="Times New Roman"/>
                <w:sz w:val="20"/>
                <w:szCs w:val="20"/>
                <w:lang w:val="en-US"/>
              </w:rPr>
            </w:pPr>
            <w:r w:rsidRPr="003A7E34">
              <w:rPr>
                <w:rFonts w:eastAsia="Times New Roman"/>
                <w:sz w:val="20"/>
                <w:szCs w:val="20"/>
                <w:lang w:val="en-US"/>
              </w:rPr>
              <w:t>DSO</w:t>
            </w:r>
          </w:p>
        </w:tc>
        <w:tc>
          <w:tcPr>
            <w:tcW w:w="6179" w:type="dxa"/>
          </w:tcPr>
          <w:p w14:paraId="642816A3" w14:textId="4018B675" w:rsidR="008F6FC3" w:rsidRPr="003A7E34" w:rsidRDefault="008F6FC3" w:rsidP="00A1483D">
            <w:pPr>
              <w:spacing w:before="0" w:after="0"/>
              <w:rPr>
                <w:rFonts w:eastAsia="Times New Roman"/>
                <w:sz w:val="20"/>
                <w:szCs w:val="20"/>
                <w:lang w:val="en-US"/>
              </w:rPr>
            </w:pPr>
            <w:r w:rsidRPr="003A7E34">
              <w:rPr>
                <w:rFonts w:eastAsia="Times New Roman"/>
                <w:sz w:val="20"/>
                <w:szCs w:val="20"/>
                <w:lang w:val="en-US"/>
              </w:rPr>
              <w:t>Distribution System Operator</w:t>
            </w:r>
          </w:p>
        </w:tc>
      </w:tr>
      <w:tr w:rsidR="003A7E34" w:rsidRPr="003A7E34" w14:paraId="64B82459" w14:textId="77777777" w:rsidTr="0C52D799">
        <w:tc>
          <w:tcPr>
            <w:tcW w:w="2518" w:type="dxa"/>
          </w:tcPr>
          <w:p w14:paraId="1554D792" w14:textId="77777777" w:rsidR="00874DAE" w:rsidRPr="003A7E34" w:rsidRDefault="00874DAE" w:rsidP="00A1483D">
            <w:pPr>
              <w:spacing w:before="0" w:after="0"/>
              <w:rPr>
                <w:rFonts w:eastAsia="Times New Roman"/>
                <w:sz w:val="20"/>
                <w:lang w:val="en-US"/>
              </w:rPr>
            </w:pPr>
            <w:r w:rsidRPr="003A7E34">
              <w:rPr>
                <w:rFonts w:eastAsia="Times New Roman"/>
                <w:sz w:val="20"/>
                <w:lang w:val="en-US"/>
              </w:rPr>
              <w:t>EE</w:t>
            </w:r>
          </w:p>
        </w:tc>
        <w:tc>
          <w:tcPr>
            <w:tcW w:w="6179" w:type="dxa"/>
          </w:tcPr>
          <w:p w14:paraId="72DEB44F" w14:textId="77777777" w:rsidR="00874DAE" w:rsidRPr="003A7E34" w:rsidRDefault="00874DAE" w:rsidP="00A1483D">
            <w:pPr>
              <w:spacing w:before="0" w:after="0"/>
              <w:rPr>
                <w:rFonts w:eastAsia="Times New Roman"/>
                <w:sz w:val="20"/>
                <w:lang w:val="en-US"/>
              </w:rPr>
            </w:pPr>
            <w:r w:rsidRPr="003A7E34">
              <w:rPr>
                <w:rFonts w:eastAsia="Times New Roman"/>
                <w:sz w:val="20"/>
                <w:lang w:val="en-US"/>
              </w:rPr>
              <w:t>Energy Efficiency</w:t>
            </w:r>
          </w:p>
        </w:tc>
      </w:tr>
      <w:tr w:rsidR="003A7E34" w:rsidRPr="003A7E34" w14:paraId="51659F3D" w14:textId="77777777" w:rsidTr="0C52D799">
        <w:tc>
          <w:tcPr>
            <w:tcW w:w="2518" w:type="dxa"/>
          </w:tcPr>
          <w:p w14:paraId="483802DC" w14:textId="52F45D81" w:rsidR="00060735" w:rsidRPr="003A7E34" w:rsidRDefault="00060735" w:rsidP="00A1483D">
            <w:pPr>
              <w:spacing w:before="0" w:after="0"/>
              <w:rPr>
                <w:rFonts w:eastAsia="Times New Roman"/>
                <w:sz w:val="20"/>
                <w:szCs w:val="20"/>
                <w:lang w:val="en-US"/>
              </w:rPr>
            </w:pPr>
            <w:r w:rsidRPr="003A7E34">
              <w:rPr>
                <w:rFonts w:eastAsia="Times New Roman"/>
                <w:sz w:val="20"/>
                <w:szCs w:val="20"/>
                <w:lang w:val="en-US"/>
              </w:rPr>
              <w:t>EIS</w:t>
            </w:r>
          </w:p>
        </w:tc>
        <w:tc>
          <w:tcPr>
            <w:tcW w:w="6179" w:type="dxa"/>
          </w:tcPr>
          <w:p w14:paraId="27D27F2D" w14:textId="25FFA8E5" w:rsidR="00060735" w:rsidRPr="003A7E34" w:rsidRDefault="00060735" w:rsidP="00A1483D">
            <w:pPr>
              <w:spacing w:before="0" w:after="0"/>
              <w:rPr>
                <w:rFonts w:eastAsia="Times New Roman"/>
                <w:sz w:val="20"/>
                <w:szCs w:val="20"/>
                <w:lang w:val="en-US"/>
              </w:rPr>
            </w:pPr>
            <w:r w:rsidRPr="003A7E34">
              <w:rPr>
                <w:rFonts w:eastAsia="Times New Roman"/>
                <w:sz w:val="20"/>
                <w:szCs w:val="20"/>
                <w:lang w:val="en-US"/>
              </w:rPr>
              <w:t>European Innovation Scoreboard</w:t>
            </w:r>
          </w:p>
        </w:tc>
      </w:tr>
      <w:tr w:rsidR="003A7E34" w:rsidRPr="003A7E34" w14:paraId="34C2DCB2" w14:textId="77777777" w:rsidTr="0C52D799">
        <w:tc>
          <w:tcPr>
            <w:tcW w:w="2518" w:type="dxa"/>
          </w:tcPr>
          <w:p w14:paraId="041ABAD0" w14:textId="31BA148E" w:rsidR="003F564F" w:rsidRPr="003A7E34" w:rsidRDefault="003F564F" w:rsidP="00A1483D">
            <w:pPr>
              <w:spacing w:before="0" w:after="0"/>
              <w:rPr>
                <w:rFonts w:eastAsia="Times New Roman"/>
                <w:sz w:val="20"/>
                <w:lang w:val="en-US"/>
              </w:rPr>
            </w:pPr>
            <w:r w:rsidRPr="003A7E34">
              <w:rPr>
                <w:rFonts w:eastAsia="Times New Roman"/>
                <w:sz w:val="20"/>
                <w:lang w:val="en-US"/>
              </w:rPr>
              <w:t>ENTSO-E</w:t>
            </w:r>
          </w:p>
        </w:tc>
        <w:tc>
          <w:tcPr>
            <w:tcW w:w="6179" w:type="dxa"/>
          </w:tcPr>
          <w:p w14:paraId="107D5F6F" w14:textId="379EFCAA" w:rsidR="003F564F" w:rsidRPr="003A7E34" w:rsidRDefault="009D0B46" w:rsidP="00A1483D">
            <w:pPr>
              <w:spacing w:before="0" w:after="0"/>
              <w:rPr>
                <w:rFonts w:eastAsia="Times New Roman"/>
                <w:sz w:val="20"/>
                <w:lang w:val="en-US"/>
              </w:rPr>
            </w:pPr>
            <w:r w:rsidRPr="003A7E34">
              <w:rPr>
                <w:rFonts w:eastAsia="Times New Roman"/>
                <w:sz w:val="20"/>
                <w:lang w:val="en-US"/>
              </w:rPr>
              <w:t>European Network of Transmission System Operators</w:t>
            </w:r>
            <w:r w:rsidR="001A7B9A" w:rsidRPr="003A7E34">
              <w:rPr>
                <w:rFonts w:eastAsia="Times New Roman"/>
                <w:sz w:val="20"/>
                <w:lang w:val="en-US"/>
              </w:rPr>
              <w:t xml:space="preserve"> (electricity)</w:t>
            </w:r>
          </w:p>
        </w:tc>
      </w:tr>
      <w:tr w:rsidR="003A7E34" w:rsidRPr="003A7E34" w14:paraId="36BC9DAB" w14:textId="77777777" w:rsidTr="0C52D799">
        <w:tc>
          <w:tcPr>
            <w:tcW w:w="2518" w:type="dxa"/>
          </w:tcPr>
          <w:p w14:paraId="5E8FB3B1" w14:textId="0F6FB71E" w:rsidR="00910A37" w:rsidRPr="003A7E34" w:rsidRDefault="00910A37" w:rsidP="00A1483D">
            <w:pPr>
              <w:spacing w:before="0" w:after="0"/>
              <w:rPr>
                <w:rFonts w:eastAsia="Times New Roman"/>
                <w:sz w:val="20"/>
                <w:szCs w:val="20"/>
                <w:lang w:val="en-US"/>
              </w:rPr>
            </w:pPr>
            <w:r w:rsidRPr="003A7E34">
              <w:rPr>
                <w:rFonts w:eastAsia="Times New Roman"/>
                <w:sz w:val="20"/>
                <w:szCs w:val="20"/>
                <w:lang w:val="en-US"/>
              </w:rPr>
              <w:t>ETS</w:t>
            </w:r>
          </w:p>
        </w:tc>
        <w:tc>
          <w:tcPr>
            <w:tcW w:w="6179" w:type="dxa"/>
          </w:tcPr>
          <w:p w14:paraId="49ED7C0B" w14:textId="5C5234BA" w:rsidR="00910A37" w:rsidRPr="003A7E34" w:rsidRDefault="00671F24" w:rsidP="00A1483D">
            <w:pPr>
              <w:spacing w:before="0" w:after="0"/>
              <w:rPr>
                <w:rFonts w:eastAsia="Times New Roman"/>
                <w:sz w:val="20"/>
                <w:szCs w:val="20"/>
                <w:lang w:val="en-US"/>
              </w:rPr>
            </w:pPr>
            <w:r w:rsidRPr="003A7E34">
              <w:rPr>
                <w:rFonts w:eastAsia="Times New Roman"/>
                <w:sz w:val="20"/>
                <w:szCs w:val="20"/>
                <w:lang w:val="en-US"/>
              </w:rPr>
              <w:t>Emissions Trading System</w:t>
            </w:r>
          </w:p>
        </w:tc>
      </w:tr>
      <w:tr w:rsidR="003A7E34" w:rsidRPr="003A7E34" w14:paraId="04EF8824" w14:textId="77777777" w:rsidTr="0C52D799">
        <w:tc>
          <w:tcPr>
            <w:tcW w:w="2518" w:type="dxa"/>
          </w:tcPr>
          <w:p w14:paraId="0F1316EF" w14:textId="1B65A28B" w:rsidR="00890A9B" w:rsidRPr="003A7E34" w:rsidRDefault="00890A9B" w:rsidP="00A1483D">
            <w:pPr>
              <w:spacing w:before="0" w:after="0"/>
              <w:rPr>
                <w:rFonts w:eastAsia="Times New Roman"/>
                <w:sz w:val="20"/>
                <w:lang w:val="en-US"/>
              </w:rPr>
            </w:pPr>
            <w:r w:rsidRPr="003A7E34">
              <w:rPr>
                <w:rFonts w:eastAsia="Times New Roman"/>
                <w:sz w:val="20"/>
                <w:lang w:val="en-US"/>
              </w:rPr>
              <w:t>EU</w:t>
            </w:r>
          </w:p>
        </w:tc>
        <w:tc>
          <w:tcPr>
            <w:tcW w:w="6179" w:type="dxa"/>
          </w:tcPr>
          <w:p w14:paraId="6A637795" w14:textId="22E3EDC7" w:rsidR="00890A9B" w:rsidRPr="003A7E34" w:rsidRDefault="00890A9B" w:rsidP="00A1483D">
            <w:pPr>
              <w:spacing w:before="0" w:after="0"/>
              <w:rPr>
                <w:rFonts w:eastAsia="Times New Roman"/>
                <w:sz w:val="20"/>
                <w:lang w:val="en-US"/>
              </w:rPr>
            </w:pPr>
            <w:r w:rsidRPr="003A7E34">
              <w:rPr>
                <w:rFonts w:eastAsia="Times New Roman"/>
                <w:sz w:val="20"/>
                <w:lang w:val="en-US"/>
              </w:rPr>
              <w:t>European Union</w:t>
            </w:r>
          </w:p>
        </w:tc>
      </w:tr>
      <w:tr w:rsidR="003A7E34" w:rsidRPr="003A7E34" w14:paraId="180260DD" w14:textId="77777777" w:rsidTr="0C52D799">
        <w:tc>
          <w:tcPr>
            <w:tcW w:w="2518" w:type="dxa"/>
          </w:tcPr>
          <w:p w14:paraId="075748AC" w14:textId="77777777" w:rsidR="00874DAE" w:rsidRPr="003A7E34" w:rsidRDefault="00874DAE" w:rsidP="00A1483D">
            <w:pPr>
              <w:spacing w:before="0" w:after="0"/>
              <w:rPr>
                <w:rFonts w:eastAsia="Times New Roman"/>
                <w:sz w:val="20"/>
                <w:lang w:val="en-US"/>
              </w:rPr>
            </w:pPr>
            <w:r w:rsidRPr="003A7E34">
              <w:rPr>
                <w:rFonts w:eastAsia="Times New Roman"/>
                <w:sz w:val="20"/>
                <w:lang w:val="en-US"/>
              </w:rPr>
              <w:t>EV</w:t>
            </w:r>
          </w:p>
        </w:tc>
        <w:tc>
          <w:tcPr>
            <w:tcW w:w="6179" w:type="dxa"/>
          </w:tcPr>
          <w:p w14:paraId="3A8B95E6" w14:textId="00802245" w:rsidR="00874DAE" w:rsidRPr="003A7E34" w:rsidRDefault="00874DAE" w:rsidP="00A1483D">
            <w:pPr>
              <w:spacing w:before="0" w:after="0"/>
              <w:rPr>
                <w:rFonts w:eastAsia="Times New Roman"/>
                <w:sz w:val="20"/>
                <w:lang w:val="en-US"/>
              </w:rPr>
            </w:pPr>
            <w:r w:rsidRPr="003A7E34">
              <w:rPr>
                <w:rFonts w:eastAsia="Times New Roman"/>
                <w:sz w:val="20"/>
                <w:lang w:val="en-US"/>
              </w:rPr>
              <w:t>Electric Vehicle</w:t>
            </w:r>
          </w:p>
        </w:tc>
      </w:tr>
      <w:tr w:rsidR="003A7E34" w:rsidRPr="003A7E34" w14:paraId="323BFFDF" w14:textId="77777777" w:rsidTr="0C52D799">
        <w:tc>
          <w:tcPr>
            <w:tcW w:w="2518" w:type="dxa"/>
          </w:tcPr>
          <w:p w14:paraId="294E30F0" w14:textId="1DACED22" w:rsidR="008E424B" w:rsidRPr="003A7E34" w:rsidRDefault="008E424B" w:rsidP="00A1483D">
            <w:pPr>
              <w:spacing w:before="0" w:after="0"/>
              <w:rPr>
                <w:rFonts w:eastAsia="Times New Roman"/>
                <w:sz w:val="20"/>
                <w:lang w:val="en-US"/>
              </w:rPr>
            </w:pPr>
            <w:r w:rsidRPr="003A7E34">
              <w:rPr>
                <w:rFonts w:eastAsia="Times New Roman"/>
                <w:sz w:val="20"/>
                <w:lang w:val="en-US"/>
              </w:rPr>
              <w:t>GDP</w:t>
            </w:r>
          </w:p>
        </w:tc>
        <w:tc>
          <w:tcPr>
            <w:tcW w:w="6179" w:type="dxa"/>
          </w:tcPr>
          <w:p w14:paraId="37B83E54" w14:textId="4398E8AD" w:rsidR="008E424B" w:rsidRPr="003A7E34" w:rsidRDefault="008E424B" w:rsidP="00A1483D">
            <w:pPr>
              <w:spacing w:before="0" w:after="0"/>
              <w:rPr>
                <w:rFonts w:eastAsia="Times New Roman"/>
                <w:sz w:val="20"/>
                <w:lang w:val="en-US"/>
              </w:rPr>
            </w:pPr>
            <w:r w:rsidRPr="003A7E34">
              <w:rPr>
                <w:rFonts w:eastAsia="Times New Roman"/>
                <w:sz w:val="20"/>
                <w:lang w:val="en-US"/>
              </w:rPr>
              <w:t>Gross Domestic Product</w:t>
            </w:r>
          </w:p>
        </w:tc>
      </w:tr>
      <w:tr w:rsidR="003A7E34" w:rsidRPr="003A7E34" w14:paraId="31D26D74" w14:textId="77777777" w:rsidTr="0C52D799">
        <w:tc>
          <w:tcPr>
            <w:tcW w:w="2518" w:type="dxa"/>
          </w:tcPr>
          <w:p w14:paraId="667367D8" w14:textId="344627C7" w:rsidR="00F821BC" w:rsidRPr="003A7E34" w:rsidRDefault="00F821BC" w:rsidP="00A1483D">
            <w:pPr>
              <w:spacing w:before="0" w:after="0"/>
              <w:rPr>
                <w:rFonts w:eastAsia="Times New Roman"/>
                <w:sz w:val="20"/>
                <w:lang w:val="en-US"/>
              </w:rPr>
            </w:pPr>
            <w:r w:rsidRPr="003A7E34">
              <w:rPr>
                <w:rFonts w:eastAsia="Times New Roman"/>
                <w:sz w:val="20"/>
                <w:lang w:val="en-US"/>
              </w:rPr>
              <w:t>GHG</w:t>
            </w:r>
          </w:p>
        </w:tc>
        <w:tc>
          <w:tcPr>
            <w:tcW w:w="6179" w:type="dxa"/>
          </w:tcPr>
          <w:p w14:paraId="7463C03A" w14:textId="11E87F66" w:rsidR="00F821BC" w:rsidRPr="003A7E34" w:rsidRDefault="00F821BC" w:rsidP="00A1483D">
            <w:pPr>
              <w:spacing w:before="0" w:after="0"/>
              <w:rPr>
                <w:rFonts w:eastAsia="Times New Roman"/>
                <w:sz w:val="20"/>
                <w:lang w:val="en-US"/>
              </w:rPr>
            </w:pPr>
            <w:r w:rsidRPr="003A7E34">
              <w:rPr>
                <w:rFonts w:eastAsia="Times New Roman"/>
                <w:sz w:val="20"/>
                <w:lang w:val="en-US"/>
              </w:rPr>
              <w:t>Greenhouse Gas</w:t>
            </w:r>
          </w:p>
        </w:tc>
      </w:tr>
      <w:tr w:rsidR="003A7E34" w:rsidRPr="003A7E34" w14:paraId="1E862E80" w14:textId="77777777" w:rsidTr="0C52D799">
        <w:tc>
          <w:tcPr>
            <w:tcW w:w="2518" w:type="dxa"/>
          </w:tcPr>
          <w:p w14:paraId="126D92F5" w14:textId="06EB5009" w:rsidR="00B13055" w:rsidRPr="003A7E34" w:rsidRDefault="00B13055" w:rsidP="00A1483D">
            <w:pPr>
              <w:spacing w:before="0" w:after="0"/>
              <w:rPr>
                <w:rFonts w:eastAsia="Times New Roman"/>
                <w:sz w:val="20"/>
                <w:szCs w:val="20"/>
                <w:lang w:val="en-US"/>
              </w:rPr>
            </w:pPr>
            <w:r w:rsidRPr="003A7E34">
              <w:rPr>
                <w:rFonts w:eastAsia="Times New Roman"/>
                <w:sz w:val="20"/>
                <w:szCs w:val="20"/>
                <w:lang w:val="en-US"/>
              </w:rPr>
              <w:t>GIPL</w:t>
            </w:r>
          </w:p>
        </w:tc>
        <w:tc>
          <w:tcPr>
            <w:tcW w:w="6179" w:type="dxa"/>
          </w:tcPr>
          <w:p w14:paraId="10AB8125" w14:textId="763CE09B" w:rsidR="00B13055" w:rsidRPr="003A7E34" w:rsidRDefault="00B13055" w:rsidP="00A1483D">
            <w:pPr>
              <w:spacing w:before="0" w:after="0"/>
              <w:rPr>
                <w:rFonts w:eastAsia="Times New Roman"/>
                <w:sz w:val="20"/>
                <w:szCs w:val="20"/>
                <w:lang w:val="en-US"/>
              </w:rPr>
            </w:pPr>
            <w:r w:rsidRPr="003A7E34">
              <w:rPr>
                <w:rFonts w:eastAsia="Times New Roman"/>
                <w:sz w:val="20"/>
                <w:szCs w:val="20"/>
                <w:lang w:val="en-US"/>
              </w:rPr>
              <w:t>Gas Interconnection Poland–Lithuania</w:t>
            </w:r>
          </w:p>
        </w:tc>
      </w:tr>
      <w:tr w:rsidR="003A7E34" w:rsidRPr="003A7E34" w14:paraId="2CC2F039" w14:textId="77777777" w:rsidTr="0C52D799">
        <w:tc>
          <w:tcPr>
            <w:tcW w:w="2518" w:type="dxa"/>
          </w:tcPr>
          <w:p w14:paraId="43F8026A" w14:textId="3C0BD2C7" w:rsidR="008C04CC" w:rsidRPr="003A7E34" w:rsidRDefault="008C04CC" w:rsidP="00A1483D">
            <w:pPr>
              <w:spacing w:before="0" w:after="0"/>
              <w:rPr>
                <w:rFonts w:eastAsia="Times New Roman"/>
                <w:sz w:val="20"/>
                <w:lang w:val="en-US"/>
              </w:rPr>
            </w:pPr>
            <w:r w:rsidRPr="003A7E34">
              <w:rPr>
                <w:rFonts w:eastAsia="Times New Roman"/>
                <w:sz w:val="20"/>
                <w:lang w:val="en-US"/>
              </w:rPr>
              <w:t>Ignalina NP</w:t>
            </w:r>
            <w:r w:rsidR="00C41EBB" w:rsidRPr="003A7E34">
              <w:rPr>
                <w:rFonts w:eastAsia="Times New Roman"/>
                <w:sz w:val="20"/>
                <w:lang w:val="en-US"/>
              </w:rPr>
              <w:t>P</w:t>
            </w:r>
          </w:p>
        </w:tc>
        <w:tc>
          <w:tcPr>
            <w:tcW w:w="6179" w:type="dxa"/>
          </w:tcPr>
          <w:p w14:paraId="1C81706E" w14:textId="47DF6FDB" w:rsidR="008C04CC" w:rsidRPr="003A7E34" w:rsidRDefault="008C04CC" w:rsidP="00A1483D">
            <w:pPr>
              <w:spacing w:before="0" w:after="0"/>
              <w:rPr>
                <w:rFonts w:eastAsia="Times New Roman"/>
                <w:sz w:val="20"/>
                <w:lang w:val="en-US"/>
              </w:rPr>
            </w:pPr>
            <w:r w:rsidRPr="003A7E34">
              <w:rPr>
                <w:rFonts w:eastAsia="Times New Roman"/>
                <w:sz w:val="20"/>
                <w:lang w:val="en-US"/>
              </w:rPr>
              <w:t>Ignalina Nuclear</w:t>
            </w:r>
            <w:r w:rsidR="00C41EBB" w:rsidRPr="003A7E34">
              <w:rPr>
                <w:rFonts w:eastAsia="Times New Roman"/>
                <w:sz w:val="20"/>
                <w:lang w:val="en-US"/>
              </w:rPr>
              <w:t xml:space="preserve"> Power Plant</w:t>
            </w:r>
          </w:p>
        </w:tc>
      </w:tr>
      <w:tr w:rsidR="003A7E34" w:rsidRPr="003A7E34" w14:paraId="16F807E6" w14:textId="77777777" w:rsidTr="0C52D799">
        <w:tc>
          <w:tcPr>
            <w:tcW w:w="2518" w:type="dxa"/>
          </w:tcPr>
          <w:p w14:paraId="20923641" w14:textId="3CB1FFB4" w:rsidR="001A7B9A" w:rsidRPr="003A7E34" w:rsidRDefault="001A7B9A" w:rsidP="00A1483D">
            <w:pPr>
              <w:spacing w:before="0" w:after="0"/>
              <w:rPr>
                <w:rFonts w:eastAsia="Times New Roman"/>
                <w:sz w:val="20"/>
                <w:lang w:val="en-US"/>
              </w:rPr>
            </w:pPr>
            <w:r w:rsidRPr="003A7E34">
              <w:rPr>
                <w:rFonts w:eastAsia="Times New Roman"/>
                <w:sz w:val="20"/>
                <w:lang w:val="en-US"/>
              </w:rPr>
              <w:t>Incukalns UGS</w:t>
            </w:r>
          </w:p>
        </w:tc>
        <w:tc>
          <w:tcPr>
            <w:tcW w:w="6179" w:type="dxa"/>
          </w:tcPr>
          <w:p w14:paraId="243817DC" w14:textId="776343EB" w:rsidR="001A7B9A" w:rsidRPr="003A7E34" w:rsidRDefault="001A7B9A" w:rsidP="00A1483D">
            <w:pPr>
              <w:spacing w:before="0" w:after="0"/>
              <w:rPr>
                <w:rFonts w:eastAsia="Times New Roman"/>
                <w:sz w:val="20"/>
                <w:lang w:val="en-US"/>
              </w:rPr>
            </w:pPr>
            <w:r w:rsidRPr="003A7E34">
              <w:rPr>
                <w:rFonts w:eastAsia="Times New Roman"/>
                <w:sz w:val="20"/>
                <w:lang w:val="en-US"/>
              </w:rPr>
              <w:t>Incukalns Underground Gas Storage</w:t>
            </w:r>
          </w:p>
        </w:tc>
      </w:tr>
      <w:tr w:rsidR="003A7E34" w:rsidRPr="003A7E34" w14:paraId="3AFAA133" w14:textId="77777777" w:rsidTr="0C52D799">
        <w:tc>
          <w:tcPr>
            <w:tcW w:w="2518" w:type="dxa"/>
          </w:tcPr>
          <w:p w14:paraId="3BB87E23" w14:textId="0F51C59A" w:rsidR="008C263C" w:rsidRPr="003A7E34" w:rsidRDefault="008C263C" w:rsidP="00A1483D">
            <w:pPr>
              <w:spacing w:before="0" w:after="0"/>
              <w:rPr>
                <w:rFonts w:eastAsia="Times New Roman"/>
                <w:sz w:val="20"/>
                <w:lang w:val="en-US"/>
              </w:rPr>
            </w:pPr>
            <w:r w:rsidRPr="003A7E34">
              <w:rPr>
                <w:rFonts w:eastAsia="Times New Roman"/>
                <w:sz w:val="20"/>
                <w:lang w:val="en-US"/>
              </w:rPr>
              <w:t>IT</w:t>
            </w:r>
          </w:p>
        </w:tc>
        <w:tc>
          <w:tcPr>
            <w:tcW w:w="6179" w:type="dxa"/>
          </w:tcPr>
          <w:p w14:paraId="2FCBDD6E" w14:textId="3EE59C41" w:rsidR="008C263C" w:rsidRPr="003A7E34" w:rsidRDefault="008C263C" w:rsidP="00A1483D">
            <w:pPr>
              <w:spacing w:before="0" w:after="0"/>
              <w:rPr>
                <w:rFonts w:eastAsia="Times New Roman"/>
                <w:sz w:val="20"/>
                <w:lang w:val="en-US"/>
              </w:rPr>
            </w:pPr>
            <w:r w:rsidRPr="003A7E34">
              <w:rPr>
                <w:rFonts w:eastAsia="Times New Roman"/>
                <w:sz w:val="20"/>
                <w:lang w:val="en-US"/>
              </w:rPr>
              <w:t>Information Technology</w:t>
            </w:r>
          </w:p>
        </w:tc>
      </w:tr>
      <w:tr w:rsidR="003A7E34" w:rsidRPr="003A7E34" w14:paraId="2436DC64" w14:textId="77777777" w:rsidTr="0C52D799">
        <w:tc>
          <w:tcPr>
            <w:tcW w:w="2518" w:type="dxa"/>
          </w:tcPr>
          <w:p w14:paraId="0B754FD5" w14:textId="16D79650" w:rsidR="002F6F33" w:rsidRPr="003A7E34" w:rsidRDefault="002F6F33" w:rsidP="00A1483D">
            <w:pPr>
              <w:spacing w:before="0" w:after="0"/>
              <w:rPr>
                <w:rFonts w:eastAsia="Times New Roman"/>
                <w:sz w:val="20"/>
                <w:szCs w:val="20"/>
                <w:lang w:val="en-US"/>
              </w:rPr>
            </w:pPr>
            <w:r w:rsidRPr="003A7E34">
              <w:rPr>
                <w:rFonts w:eastAsia="Times New Roman"/>
                <w:sz w:val="20"/>
                <w:szCs w:val="20"/>
                <w:lang w:val="en-US"/>
              </w:rPr>
              <w:t>JESSICA</w:t>
            </w:r>
          </w:p>
        </w:tc>
        <w:tc>
          <w:tcPr>
            <w:tcW w:w="6179" w:type="dxa"/>
          </w:tcPr>
          <w:p w14:paraId="2E844AD0" w14:textId="4C06CB4D" w:rsidR="002F6F33" w:rsidRPr="003A7E34" w:rsidRDefault="002F6F33" w:rsidP="00A1483D">
            <w:pPr>
              <w:spacing w:before="0" w:after="0"/>
              <w:rPr>
                <w:rFonts w:eastAsia="Times New Roman"/>
                <w:sz w:val="20"/>
                <w:szCs w:val="20"/>
                <w:lang w:val="en-US"/>
              </w:rPr>
            </w:pPr>
            <w:r w:rsidRPr="003A7E34">
              <w:rPr>
                <w:rFonts w:eastAsia="Times New Roman"/>
                <w:sz w:val="20"/>
                <w:szCs w:val="20"/>
                <w:lang w:val="en-US"/>
              </w:rPr>
              <w:t>Joint European Support for Sustainable Investment in City Areas</w:t>
            </w:r>
          </w:p>
        </w:tc>
      </w:tr>
      <w:tr w:rsidR="003A7E34" w:rsidRPr="003A7E34" w14:paraId="7F48BD6C" w14:textId="77777777" w:rsidTr="0C52D799">
        <w:tc>
          <w:tcPr>
            <w:tcW w:w="2518" w:type="dxa"/>
          </w:tcPr>
          <w:p w14:paraId="6CB78DF8" w14:textId="616DE520" w:rsidR="00F03B1A" w:rsidRPr="003A7E34" w:rsidRDefault="001567BA" w:rsidP="00A1483D">
            <w:pPr>
              <w:spacing w:before="0" w:after="0"/>
              <w:rPr>
                <w:rFonts w:eastAsia="Times New Roman"/>
                <w:sz w:val="20"/>
                <w:szCs w:val="20"/>
                <w:lang w:val="en-US"/>
              </w:rPr>
            </w:pPr>
            <w:r w:rsidRPr="003A7E34">
              <w:rPr>
                <w:rFonts w:eastAsia="Times New Roman"/>
                <w:sz w:val="20"/>
                <w:szCs w:val="20"/>
                <w:lang w:val="en-US"/>
              </w:rPr>
              <w:t>ktoe</w:t>
            </w:r>
          </w:p>
        </w:tc>
        <w:tc>
          <w:tcPr>
            <w:tcW w:w="6179" w:type="dxa"/>
          </w:tcPr>
          <w:p w14:paraId="58CE5968" w14:textId="0B8B4874" w:rsidR="00F03B1A" w:rsidRPr="003A7E34" w:rsidRDefault="001567BA" w:rsidP="00A1483D">
            <w:pPr>
              <w:spacing w:before="0" w:after="0"/>
              <w:rPr>
                <w:rFonts w:eastAsia="Times New Roman"/>
                <w:sz w:val="20"/>
                <w:szCs w:val="20"/>
                <w:lang w:val="en-US"/>
              </w:rPr>
            </w:pPr>
            <w:r w:rsidRPr="003A7E34">
              <w:rPr>
                <w:rFonts w:eastAsia="Times New Roman"/>
                <w:sz w:val="20"/>
                <w:szCs w:val="20"/>
                <w:lang w:val="en-US"/>
              </w:rPr>
              <w:t>Kilo Tons of Oil Equivalent</w:t>
            </w:r>
          </w:p>
        </w:tc>
      </w:tr>
      <w:tr w:rsidR="003A7E34" w:rsidRPr="003A7E34" w14:paraId="5AF64251" w14:textId="77777777" w:rsidTr="0C52D799">
        <w:tc>
          <w:tcPr>
            <w:tcW w:w="2518" w:type="dxa"/>
          </w:tcPr>
          <w:p w14:paraId="59ABEA5D" w14:textId="389F0608" w:rsidR="00AA0465" w:rsidRPr="003A7E34" w:rsidRDefault="00AA0465" w:rsidP="00A1483D">
            <w:pPr>
              <w:spacing w:before="0" w:after="0"/>
              <w:rPr>
                <w:rFonts w:eastAsia="Times New Roman"/>
                <w:sz w:val="20"/>
                <w:szCs w:val="20"/>
                <w:lang w:val="en-US"/>
              </w:rPr>
            </w:pPr>
            <w:r w:rsidRPr="003A7E34">
              <w:rPr>
                <w:rFonts w:eastAsia="Times New Roman"/>
                <w:sz w:val="20"/>
                <w:szCs w:val="20"/>
                <w:lang w:val="en-US"/>
              </w:rPr>
              <w:t>LitPol Link</w:t>
            </w:r>
          </w:p>
        </w:tc>
        <w:tc>
          <w:tcPr>
            <w:tcW w:w="6179" w:type="dxa"/>
          </w:tcPr>
          <w:p w14:paraId="334AE314" w14:textId="1028D40C" w:rsidR="00AA0465" w:rsidRPr="003A7E34" w:rsidRDefault="003B11EC" w:rsidP="00A1483D">
            <w:pPr>
              <w:spacing w:before="0" w:after="0"/>
              <w:rPr>
                <w:rFonts w:eastAsia="Times New Roman"/>
                <w:sz w:val="20"/>
                <w:szCs w:val="20"/>
                <w:lang w:val="en-US"/>
              </w:rPr>
            </w:pPr>
            <w:r w:rsidRPr="003A7E34">
              <w:rPr>
                <w:rFonts w:eastAsia="Times New Roman"/>
                <w:sz w:val="20"/>
                <w:szCs w:val="20"/>
                <w:lang w:val="en-US"/>
              </w:rPr>
              <w:t>Lithuania–Poland Electricity Interconnection</w:t>
            </w:r>
          </w:p>
        </w:tc>
      </w:tr>
      <w:tr w:rsidR="003A7E34" w:rsidRPr="003A7E34" w14:paraId="70DCF7F6" w14:textId="77777777" w:rsidTr="0C52D799">
        <w:tc>
          <w:tcPr>
            <w:tcW w:w="2518" w:type="dxa"/>
          </w:tcPr>
          <w:p w14:paraId="61C35457" w14:textId="48AB712D" w:rsidR="008C263C" w:rsidRPr="003A7E34" w:rsidRDefault="008C263C" w:rsidP="00A1483D">
            <w:pPr>
              <w:spacing w:before="0" w:after="0"/>
              <w:rPr>
                <w:rFonts w:eastAsia="Times New Roman"/>
                <w:sz w:val="20"/>
                <w:lang w:val="en-US"/>
              </w:rPr>
            </w:pPr>
            <w:r w:rsidRPr="003A7E34">
              <w:rPr>
                <w:rFonts w:eastAsia="Times New Roman"/>
                <w:sz w:val="20"/>
                <w:lang w:val="en-US"/>
              </w:rPr>
              <w:t>LNG</w:t>
            </w:r>
          </w:p>
        </w:tc>
        <w:tc>
          <w:tcPr>
            <w:tcW w:w="6179" w:type="dxa"/>
          </w:tcPr>
          <w:p w14:paraId="1D877695" w14:textId="794E4D38" w:rsidR="008C263C" w:rsidRPr="003A7E34" w:rsidRDefault="008C263C" w:rsidP="00A1483D">
            <w:pPr>
              <w:spacing w:before="0" w:after="0"/>
              <w:rPr>
                <w:rFonts w:eastAsia="Times New Roman"/>
                <w:sz w:val="20"/>
                <w:lang w:val="en-US"/>
              </w:rPr>
            </w:pPr>
            <w:r w:rsidRPr="003A7E34">
              <w:rPr>
                <w:rFonts w:eastAsia="Times New Roman"/>
                <w:sz w:val="20"/>
                <w:lang w:val="en-US"/>
              </w:rPr>
              <w:t>Liquefied Natural Gas</w:t>
            </w:r>
          </w:p>
        </w:tc>
      </w:tr>
      <w:tr w:rsidR="003A7E34" w:rsidRPr="003A7E34" w14:paraId="6386C1B0" w14:textId="77777777" w:rsidTr="0C52D799">
        <w:tc>
          <w:tcPr>
            <w:tcW w:w="2518" w:type="dxa"/>
          </w:tcPr>
          <w:p w14:paraId="20C2ABE0" w14:textId="32AD9627" w:rsidR="00200944" w:rsidRPr="003A7E34" w:rsidRDefault="00200944" w:rsidP="00A1483D">
            <w:pPr>
              <w:spacing w:before="0" w:after="0"/>
              <w:rPr>
                <w:rFonts w:eastAsia="Times New Roman"/>
                <w:sz w:val="20"/>
                <w:lang w:val="en-US"/>
              </w:rPr>
            </w:pPr>
            <w:r w:rsidRPr="003A7E34">
              <w:rPr>
                <w:rFonts w:eastAsia="Times New Roman"/>
                <w:sz w:val="20"/>
                <w:lang w:val="en-US"/>
              </w:rPr>
              <w:t>LRAs</w:t>
            </w:r>
          </w:p>
        </w:tc>
        <w:tc>
          <w:tcPr>
            <w:tcW w:w="6179" w:type="dxa"/>
          </w:tcPr>
          <w:p w14:paraId="674880EC" w14:textId="3C8C0047" w:rsidR="00200944" w:rsidRPr="003A7E34" w:rsidRDefault="00200944" w:rsidP="00A1483D">
            <w:pPr>
              <w:spacing w:before="0" w:after="0"/>
              <w:rPr>
                <w:rFonts w:eastAsia="Times New Roman"/>
                <w:sz w:val="20"/>
                <w:lang w:val="en-US"/>
              </w:rPr>
            </w:pPr>
            <w:r w:rsidRPr="003A7E34">
              <w:rPr>
                <w:rFonts w:eastAsia="Times New Roman"/>
                <w:sz w:val="20"/>
                <w:lang w:val="en-US"/>
              </w:rPr>
              <w:t>Local and Regional Authorities</w:t>
            </w:r>
          </w:p>
        </w:tc>
      </w:tr>
      <w:tr w:rsidR="003A7E34" w:rsidRPr="003A7E34" w14:paraId="2B14242D" w14:textId="77777777" w:rsidTr="0C52D799">
        <w:tc>
          <w:tcPr>
            <w:tcW w:w="2518" w:type="dxa"/>
          </w:tcPr>
          <w:p w14:paraId="183EA636" w14:textId="5983A638" w:rsidR="00A66BA9" w:rsidRPr="003A7E34" w:rsidRDefault="00A66BA9" w:rsidP="00A1483D">
            <w:pPr>
              <w:spacing w:before="0" w:after="0"/>
              <w:rPr>
                <w:rFonts w:eastAsia="Times New Roman"/>
                <w:sz w:val="20"/>
                <w:szCs w:val="20"/>
                <w:lang w:val="en-US"/>
              </w:rPr>
            </w:pPr>
            <w:r w:rsidRPr="003A7E34">
              <w:rPr>
                <w:rFonts w:eastAsia="Times New Roman"/>
                <w:sz w:val="20"/>
                <w:szCs w:val="20"/>
                <w:lang w:val="en-US"/>
              </w:rPr>
              <w:t>LULUFC</w:t>
            </w:r>
          </w:p>
        </w:tc>
        <w:tc>
          <w:tcPr>
            <w:tcW w:w="6179" w:type="dxa"/>
          </w:tcPr>
          <w:p w14:paraId="367B1652" w14:textId="4C83A1F4" w:rsidR="00A66BA9" w:rsidRPr="003A7E34" w:rsidRDefault="003D77B7" w:rsidP="00A1483D">
            <w:pPr>
              <w:spacing w:before="0" w:after="0"/>
              <w:rPr>
                <w:rFonts w:eastAsia="Times New Roman"/>
                <w:sz w:val="20"/>
                <w:szCs w:val="20"/>
                <w:lang w:val="en-US"/>
              </w:rPr>
            </w:pPr>
            <w:r w:rsidRPr="003A7E34">
              <w:rPr>
                <w:rFonts w:eastAsia="Times New Roman"/>
                <w:sz w:val="20"/>
                <w:szCs w:val="20"/>
                <w:lang w:val="en-US"/>
              </w:rPr>
              <w:t>Land Use, Land-use Change, and Forestry</w:t>
            </w:r>
          </w:p>
        </w:tc>
      </w:tr>
      <w:tr w:rsidR="003A7E34" w:rsidRPr="003A7E34" w14:paraId="67C61EF3" w14:textId="77777777" w:rsidTr="0C52D799">
        <w:tc>
          <w:tcPr>
            <w:tcW w:w="2518" w:type="dxa"/>
          </w:tcPr>
          <w:p w14:paraId="0F60AB5C" w14:textId="77777777" w:rsidR="00874DAE" w:rsidRPr="003A7E34" w:rsidRDefault="00874DAE" w:rsidP="00A1483D">
            <w:pPr>
              <w:spacing w:before="0" w:after="0"/>
              <w:rPr>
                <w:rFonts w:eastAsia="Times New Roman"/>
                <w:sz w:val="20"/>
                <w:lang w:val="en-US"/>
              </w:rPr>
            </w:pPr>
            <w:r w:rsidRPr="003A7E34">
              <w:rPr>
                <w:rFonts w:eastAsia="Times New Roman"/>
                <w:sz w:val="20"/>
                <w:lang w:val="en-US"/>
              </w:rPr>
              <w:t>mFRR</w:t>
            </w:r>
          </w:p>
        </w:tc>
        <w:tc>
          <w:tcPr>
            <w:tcW w:w="6179" w:type="dxa"/>
          </w:tcPr>
          <w:p w14:paraId="0A9A9801" w14:textId="77777777" w:rsidR="00874DAE" w:rsidRPr="003A7E34" w:rsidRDefault="00874DAE" w:rsidP="00A1483D">
            <w:pPr>
              <w:spacing w:before="0" w:after="0"/>
              <w:rPr>
                <w:rFonts w:eastAsia="Times New Roman"/>
                <w:sz w:val="20"/>
                <w:lang w:val="en-US"/>
              </w:rPr>
            </w:pPr>
            <w:r w:rsidRPr="003A7E34">
              <w:rPr>
                <w:rFonts w:eastAsia="Times New Roman"/>
                <w:sz w:val="20"/>
                <w:lang w:val="en-US"/>
              </w:rPr>
              <w:t xml:space="preserve">Manual Frequency Restoration Reserve </w:t>
            </w:r>
          </w:p>
        </w:tc>
      </w:tr>
      <w:tr w:rsidR="003A7E34" w:rsidRPr="003A7E34" w14:paraId="452FDC71" w14:textId="77777777" w:rsidTr="0C52D799">
        <w:tc>
          <w:tcPr>
            <w:tcW w:w="2518" w:type="dxa"/>
          </w:tcPr>
          <w:p w14:paraId="7A1196FD" w14:textId="0C0CC586" w:rsidR="0075019A" w:rsidRPr="003A7E34" w:rsidRDefault="0075019A" w:rsidP="00A1483D">
            <w:pPr>
              <w:spacing w:before="0" w:after="0"/>
              <w:rPr>
                <w:rFonts w:eastAsia="Times New Roman"/>
                <w:sz w:val="20"/>
                <w:lang w:val="en-US"/>
              </w:rPr>
            </w:pPr>
            <w:r w:rsidRPr="003A7E34">
              <w:rPr>
                <w:rFonts w:eastAsia="Times New Roman"/>
                <w:sz w:val="20"/>
                <w:lang w:val="en-US"/>
              </w:rPr>
              <w:t>Mtoe</w:t>
            </w:r>
          </w:p>
        </w:tc>
        <w:tc>
          <w:tcPr>
            <w:tcW w:w="6179" w:type="dxa"/>
          </w:tcPr>
          <w:p w14:paraId="0FDA4FB0" w14:textId="68244940" w:rsidR="0075019A" w:rsidRPr="003A7E34" w:rsidRDefault="0075019A" w:rsidP="00A1483D">
            <w:pPr>
              <w:spacing w:before="0" w:after="0"/>
              <w:rPr>
                <w:rFonts w:eastAsia="Times New Roman"/>
                <w:sz w:val="20"/>
                <w:lang w:val="en-US"/>
              </w:rPr>
            </w:pPr>
            <w:r w:rsidRPr="003A7E34">
              <w:rPr>
                <w:rFonts w:eastAsia="Times New Roman"/>
                <w:sz w:val="20"/>
                <w:lang w:val="en-US"/>
              </w:rPr>
              <w:t xml:space="preserve">Million Tons of Oil Equivalent </w:t>
            </w:r>
          </w:p>
        </w:tc>
      </w:tr>
      <w:tr w:rsidR="003A7E34" w:rsidRPr="003A7E34" w14:paraId="4EC8C87A" w14:textId="77777777" w:rsidTr="0C52D799">
        <w:tc>
          <w:tcPr>
            <w:tcW w:w="2518" w:type="dxa"/>
          </w:tcPr>
          <w:p w14:paraId="7F773C03" w14:textId="1A0023C4" w:rsidR="00871E48" w:rsidRPr="003A7E34" w:rsidRDefault="00871E48" w:rsidP="007877E9">
            <w:pPr>
              <w:spacing w:before="0" w:after="0"/>
              <w:rPr>
                <w:rFonts w:eastAsia="Times New Roman"/>
                <w:sz w:val="20"/>
                <w:szCs w:val="20"/>
                <w:lang w:val="en-US"/>
              </w:rPr>
            </w:pPr>
            <w:r w:rsidRPr="003A7E34">
              <w:rPr>
                <w:rFonts w:eastAsia="Times New Roman"/>
                <w:sz w:val="20"/>
                <w:szCs w:val="20"/>
                <w:lang w:val="en-US"/>
              </w:rPr>
              <w:t>MW</w:t>
            </w:r>
            <w:r w:rsidR="00237F15" w:rsidRPr="003A7E34">
              <w:rPr>
                <w:rFonts w:eastAsia="Times New Roman"/>
                <w:sz w:val="20"/>
                <w:szCs w:val="20"/>
                <w:lang w:val="en-US"/>
              </w:rPr>
              <w:t>h</w:t>
            </w:r>
          </w:p>
        </w:tc>
        <w:tc>
          <w:tcPr>
            <w:tcW w:w="6179" w:type="dxa"/>
          </w:tcPr>
          <w:p w14:paraId="1C4644C4" w14:textId="55FBCF5E" w:rsidR="00871E48" w:rsidRPr="003A7E34" w:rsidRDefault="00871E48" w:rsidP="007877E9">
            <w:pPr>
              <w:spacing w:before="0" w:after="0"/>
              <w:rPr>
                <w:rFonts w:eastAsia="Times New Roman"/>
                <w:noProof/>
                <w:sz w:val="20"/>
                <w:szCs w:val="20"/>
                <w:lang w:val="en-US"/>
              </w:rPr>
            </w:pPr>
            <w:r w:rsidRPr="003A7E34">
              <w:rPr>
                <w:rFonts w:eastAsia="Times New Roman"/>
                <w:noProof/>
                <w:sz w:val="20"/>
                <w:szCs w:val="20"/>
                <w:lang w:val="en-US"/>
              </w:rPr>
              <w:t>Megawatt</w:t>
            </w:r>
            <w:r w:rsidR="00237F15" w:rsidRPr="003A7E34">
              <w:rPr>
                <w:rFonts w:eastAsia="Times New Roman"/>
                <w:noProof/>
                <w:sz w:val="20"/>
                <w:szCs w:val="20"/>
                <w:lang w:val="en-US"/>
              </w:rPr>
              <w:t xml:space="preserve"> hour</w:t>
            </w:r>
          </w:p>
        </w:tc>
      </w:tr>
      <w:tr w:rsidR="003A7E34" w:rsidRPr="003A7E34" w14:paraId="4D6640AC" w14:textId="77777777" w:rsidTr="0C52D799">
        <w:tc>
          <w:tcPr>
            <w:tcW w:w="2518" w:type="dxa"/>
          </w:tcPr>
          <w:p w14:paraId="5D9CF671" w14:textId="16D82D7B" w:rsidR="007877E9" w:rsidRPr="003A7E34" w:rsidRDefault="007877E9" w:rsidP="007877E9">
            <w:pPr>
              <w:spacing w:before="0" w:after="0"/>
              <w:rPr>
                <w:rFonts w:eastAsia="Times New Roman"/>
                <w:sz w:val="20"/>
                <w:lang w:val="en-US"/>
              </w:rPr>
            </w:pPr>
            <w:r w:rsidRPr="003A7E34">
              <w:rPr>
                <w:rFonts w:eastAsia="Times New Roman"/>
                <w:sz w:val="20"/>
                <w:lang w:val="en-US"/>
              </w:rPr>
              <w:t>NECP</w:t>
            </w:r>
          </w:p>
        </w:tc>
        <w:tc>
          <w:tcPr>
            <w:tcW w:w="6179" w:type="dxa"/>
          </w:tcPr>
          <w:p w14:paraId="69A72C95" w14:textId="7E558CD7" w:rsidR="007877E9" w:rsidRPr="003A7E34" w:rsidRDefault="007877E9" w:rsidP="007877E9">
            <w:pPr>
              <w:spacing w:before="0" w:after="0"/>
              <w:rPr>
                <w:rFonts w:eastAsia="Times New Roman"/>
                <w:sz w:val="20"/>
                <w:lang w:val="en-US"/>
              </w:rPr>
            </w:pPr>
            <w:r w:rsidRPr="003A7E34">
              <w:rPr>
                <w:rFonts w:eastAsia="Times New Roman"/>
                <w:sz w:val="20"/>
                <w:lang w:val="en-US"/>
              </w:rPr>
              <w:t>Integrated National Energy and Climate Plan</w:t>
            </w:r>
          </w:p>
        </w:tc>
      </w:tr>
      <w:tr w:rsidR="003A7E34" w:rsidRPr="003A7E34" w14:paraId="61A5EB9B" w14:textId="77777777" w:rsidTr="0C52D799">
        <w:tc>
          <w:tcPr>
            <w:tcW w:w="2518" w:type="dxa"/>
          </w:tcPr>
          <w:p w14:paraId="4F46FD48" w14:textId="0B9F52EC" w:rsidR="007877E9" w:rsidRPr="003A7E34" w:rsidRDefault="007877E9" w:rsidP="007877E9">
            <w:pPr>
              <w:spacing w:before="0" w:after="0"/>
              <w:rPr>
                <w:rFonts w:eastAsia="Times New Roman"/>
                <w:sz w:val="20"/>
                <w:lang w:val="en-US"/>
              </w:rPr>
            </w:pPr>
            <w:r w:rsidRPr="003A7E34">
              <w:rPr>
                <w:rFonts w:eastAsia="Times New Roman"/>
                <w:sz w:val="20"/>
                <w:lang w:val="en-US"/>
              </w:rPr>
              <w:t>NEIS</w:t>
            </w:r>
          </w:p>
        </w:tc>
        <w:tc>
          <w:tcPr>
            <w:tcW w:w="6179" w:type="dxa"/>
          </w:tcPr>
          <w:p w14:paraId="716F9B4E" w14:textId="7A3CDB95" w:rsidR="007877E9" w:rsidRPr="003A7E34" w:rsidRDefault="007877E9" w:rsidP="007877E9">
            <w:pPr>
              <w:spacing w:before="0" w:after="0"/>
              <w:rPr>
                <w:rFonts w:eastAsia="Times New Roman"/>
                <w:sz w:val="20"/>
                <w:lang w:val="en-US"/>
              </w:rPr>
            </w:pPr>
            <w:r w:rsidRPr="003A7E34">
              <w:rPr>
                <w:rFonts w:eastAsia="Times New Roman"/>
                <w:sz w:val="20"/>
                <w:lang w:val="en-US"/>
              </w:rPr>
              <w:t>National Energy Independence Strategy</w:t>
            </w:r>
          </w:p>
        </w:tc>
      </w:tr>
      <w:tr w:rsidR="003A7E34" w:rsidRPr="003A7E34" w14:paraId="0FFAC45A" w14:textId="77777777" w:rsidTr="0C52D799">
        <w:tc>
          <w:tcPr>
            <w:tcW w:w="2518" w:type="dxa"/>
          </w:tcPr>
          <w:p w14:paraId="65EE382E" w14:textId="442628D7" w:rsidR="00546299" w:rsidRPr="003A7E34" w:rsidRDefault="00BB36BE" w:rsidP="007877E9">
            <w:pPr>
              <w:spacing w:before="0" w:after="0"/>
              <w:rPr>
                <w:rFonts w:eastAsia="Times New Roman"/>
                <w:sz w:val="20"/>
                <w:lang w:val="en-US"/>
              </w:rPr>
            </w:pPr>
            <w:r w:rsidRPr="003A7E34">
              <w:rPr>
                <w:rFonts w:eastAsia="Times New Roman"/>
                <w:sz w:val="20"/>
                <w:lang w:val="en-US"/>
              </w:rPr>
              <w:t>NETP</w:t>
            </w:r>
          </w:p>
        </w:tc>
        <w:tc>
          <w:tcPr>
            <w:tcW w:w="6179" w:type="dxa"/>
          </w:tcPr>
          <w:p w14:paraId="7EEE1DD1" w14:textId="51EB85FA" w:rsidR="00546299" w:rsidRPr="003A7E34" w:rsidRDefault="00BB36BE" w:rsidP="007877E9">
            <w:pPr>
              <w:spacing w:before="0" w:after="0"/>
              <w:rPr>
                <w:rFonts w:eastAsia="Times New Roman"/>
                <w:sz w:val="20"/>
                <w:lang w:val="en-US"/>
              </w:rPr>
            </w:pPr>
            <w:r w:rsidRPr="003A7E34">
              <w:rPr>
                <w:rFonts w:eastAsia="Times New Roman"/>
                <w:sz w:val="20"/>
                <w:lang w:val="en-US"/>
              </w:rPr>
              <w:t>Nordic Energy Technology Perspectives</w:t>
            </w:r>
          </w:p>
        </w:tc>
      </w:tr>
      <w:tr w:rsidR="003A7E34" w:rsidRPr="003A7E34" w14:paraId="20C3F908" w14:textId="77777777" w:rsidTr="0C52D799">
        <w:tc>
          <w:tcPr>
            <w:tcW w:w="2518" w:type="dxa"/>
          </w:tcPr>
          <w:p w14:paraId="67E0B487" w14:textId="30C8993A" w:rsidR="00AA0465" w:rsidRPr="003A7E34" w:rsidRDefault="00AA0465" w:rsidP="007877E9">
            <w:pPr>
              <w:spacing w:before="0" w:after="0"/>
              <w:rPr>
                <w:rFonts w:eastAsia="Times New Roman"/>
                <w:sz w:val="20"/>
                <w:szCs w:val="20"/>
                <w:lang w:val="en-US"/>
              </w:rPr>
            </w:pPr>
            <w:r w:rsidRPr="003A7E34">
              <w:rPr>
                <w:rFonts w:eastAsia="Times New Roman"/>
                <w:sz w:val="20"/>
                <w:szCs w:val="20"/>
                <w:lang w:val="en-US"/>
              </w:rPr>
              <w:t>NordBalt</w:t>
            </w:r>
          </w:p>
        </w:tc>
        <w:tc>
          <w:tcPr>
            <w:tcW w:w="6179" w:type="dxa"/>
          </w:tcPr>
          <w:p w14:paraId="327A816D" w14:textId="24C42305" w:rsidR="00AA0465" w:rsidRPr="003A7E34" w:rsidRDefault="000C5A92" w:rsidP="007877E9">
            <w:pPr>
              <w:spacing w:before="0" w:after="0"/>
              <w:rPr>
                <w:rFonts w:eastAsia="Times New Roman"/>
                <w:sz w:val="20"/>
                <w:szCs w:val="20"/>
                <w:lang w:val="en-US"/>
              </w:rPr>
            </w:pPr>
            <w:r w:rsidRPr="003A7E34">
              <w:rPr>
                <w:rFonts w:eastAsia="Times New Roman"/>
                <w:sz w:val="20"/>
                <w:szCs w:val="20"/>
                <w:lang w:val="en-US"/>
              </w:rPr>
              <w:t>Submarine Power Cable between Lithuania and Sweden</w:t>
            </w:r>
          </w:p>
        </w:tc>
      </w:tr>
      <w:tr w:rsidR="003A7E34" w:rsidRPr="003A7E34" w14:paraId="3DD8BF0F" w14:textId="77777777" w:rsidTr="0C52D799">
        <w:tc>
          <w:tcPr>
            <w:tcW w:w="2518" w:type="dxa"/>
          </w:tcPr>
          <w:p w14:paraId="60AFC921" w14:textId="0C070C42" w:rsidR="00296BFD" w:rsidRPr="003A7E34" w:rsidRDefault="00296BFD" w:rsidP="007877E9">
            <w:pPr>
              <w:spacing w:before="0" w:after="0"/>
              <w:rPr>
                <w:rFonts w:eastAsia="Times New Roman"/>
                <w:sz w:val="20"/>
                <w:szCs w:val="20"/>
                <w:lang w:val="en-US"/>
              </w:rPr>
            </w:pPr>
            <w:r w:rsidRPr="003A7E34">
              <w:rPr>
                <w:rFonts w:eastAsia="Times New Roman"/>
                <w:sz w:val="20"/>
                <w:szCs w:val="20"/>
                <w:lang w:val="en-US"/>
              </w:rPr>
              <w:t>NZEB</w:t>
            </w:r>
          </w:p>
        </w:tc>
        <w:tc>
          <w:tcPr>
            <w:tcW w:w="6179" w:type="dxa"/>
          </w:tcPr>
          <w:p w14:paraId="52C3D53F" w14:textId="56A5BAAE" w:rsidR="00296BFD" w:rsidRPr="003A7E34" w:rsidRDefault="00296BFD" w:rsidP="007877E9">
            <w:pPr>
              <w:spacing w:before="0" w:after="0"/>
              <w:rPr>
                <w:rFonts w:eastAsia="Times New Roman"/>
                <w:sz w:val="20"/>
                <w:szCs w:val="20"/>
                <w:lang w:val="en-US"/>
              </w:rPr>
            </w:pPr>
            <w:r w:rsidRPr="003A7E34">
              <w:rPr>
                <w:rFonts w:eastAsia="Times New Roman"/>
                <w:sz w:val="20"/>
                <w:szCs w:val="20"/>
                <w:lang w:val="en-US"/>
              </w:rPr>
              <w:t>Nearly Zero-energy Buildings</w:t>
            </w:r>
          </w:p>
        </w:tc>
      </w:tr>
      <w:tr w:rsidR="003A7E34" w:rsidRPr="003A7E34" w14:paraId="66D23B29" w14:textId="77777777" w:rsidTr="0C52D799">
        <w:tc>
          <w:tcPr>
            <w:tcW w:w="2518" w:type="dxa"/>
          </w:tcPr>
          <w:p w14:paraId="608999DF" w14:textId="77777777" w:rsidR="007877E9" w:rsidRPr="003A7E34" w:rsidRDefault="007877E9" w:rsidP="007877E9">
            <w:pPr>
              <w:spacing w:before="0" w:after="0"/>
              <w:rPr>
                <w:rFonts w:eastAsia="Times New Roman"/>
                <w:sz w:val="20"/>
                <w:lang w:val="en-US"/>
              </w:rPr>
            </w:pPr>
            <w:r w:rsidRPr="003A7E34">
              <w:rPr>
                <w:rFonts w:eastAsia="Times New Roman"/>
                <w:sz w:val="20"/>
                <w:lang w:val="en-US"/>
              </w:rPr>
              <w:t>PaMs</w:t>
            </w:r>
          </w:p>
        </w:tc>
        <w:tc>
          <w:tcPr>
            <w:tcW w:w="6179" w:type="dxa"/>
          </w:tcPr>
          <w:p w14:paraId="19E0F98C" w14:textId="682DE341" w:rsidR="007877E9" w:rsidRPr="003A7E34" w:rsidRDefault="007877E9" w:rsidP="007877E9">
            <w:pPr>
              <w:spacing w:before="0" w:after="0"/>
              <w:rPr>
                <w:rFonts w:eastAsia="Times New Roman"/>
                <w:sz w:val="20"/>
                <w:lang w:val="en-US"/>
              </w:rPr>
            </w:pPr>
            <w:r w:rsidRPr="003A7E34">
              <w:rPr>
                <w:rFonts w:eastAsia="Times New Roman"/>
                <w:sz w:val="20"/>
                <w:lang w:val="en-US"/>
              </w:rPr>
              <w:t xml:space="preserve">Policies and </w:t>
            </w:r>
            <w:r w:rsidR="00296BFD" w:rsidRPr="003A7E34">
              <w:rPr>
                <w:rFonts w:eastAsia="Times New Roman"/>
                <w:sz w:val="20"/>
                <w:szCs w:val="20"/>
                <w:lang w:val="en-US"/>
              </w:rPr>
              <w:t>M</w:t>
            </w:r>
            <w:r w:rsidRPr="003A7E34">
              <w:rPr>
                <w:rFonts w:eastAsia="Times New Roman"/>
                <w:sz w:val="20"/>
                <w:szCs w:val="20"/>
                <w:lang w:val="en-US"/>
              </w:rPr>
              <w:t>easures</w:t>
            </w:r>
          </w:p>
        </w:tc>
      </w:tr>
      <w:tr w:rsidR="003A7E34" w:rsidRPr="003A7E34" w14:paraId="17DDC746" w14:textId="77777777" w:rsidTr="0C52D799">
        <w:tc>
          <w:tcPr>
            <w:tcW w:w="2518" w:type="dxa"/>
          </w:tcPr>
          <w:p w14:paraId="61F31857" w14:textId="6557A058" w:rsidR="00A075AD" w:rsidRPr="003A7E34" w:rsidRDefault="00A075AD" w:rsidP="007877E9">
            <w:pPr>
              <w:spacing w:before="0" w:after="0"/>
              <w:rPr>
                <w:rFonts w:eastAsia="Times New Roman"/>
                <w:sz w:val="20"/>
                <w:szCs w:val="20"/>
                <w:lang w:val="en-US"/>
              </w:rPr>
            </w:pPr>
            <w:r w:rsidRPr="003A7E34">
              <w:rPr>
                <w:rFonts w:eastAsia="Times New Roman"/>
                <w:sz w:val="20"/>
                <w:szCs w:val="20"/>
                <w:lang w:val="en-US"/>
              </w:rPr>
              <w:t>PCI</w:t>
            </w:r>
          </w:p>
        </w:tc>
        <w:tc>
          <w:tcPr>
            <w:tcW w:w="6179" w:type="dxa"/>
          </w:tcPr>
          <w:p w14:paraId="45F9B692" w14:textId="1CD7F2DF" w:rsidR="00A075AD" w:rsidRPr="003A7E34" w:rsidRDefault="00A075AD" w:rsidP="007877E9">
            <w:pPr>
              <w:spacing w:before="0" w:after="0"/>
              <w:rPr>
                <w:rFonts w:eastAsia="Times New Roman"/>
                <w:sz w:val="20"/>
                <w:szCs w:val="20"/>
                <w:lang w:val="en-US"/>
              </w:rPr>
            </w:pPr>
            <w:r w:rsidRPr="003A7E34">
              <w:rPr>
                <w:rFonts w:eastAsia="Times New Roman"/>
                <w:sz w:val="20"/>
                <w:szCs w:val="20"/>
                <w:lang w:val="en-US"/>
              </w:rPr>
              <w:t xml:space="preserve">Project of Common </w:t>
            </w:r>
            <w:r w:rsidR="005B5A59" w:rsidRPr="003A7E34">
              <w:rPr>
                <w:rFonts w:eastAsia="Times New Roman"/>
                <w:sz w:val="20"/>
                <w:szCs w:val="20"/>
                <w:lang w:val="en-US"/>
              </w:rPr>
              <w:t>Interest</w:t>
            </w:r>
          </w:p>
        </w:tc>
      </w:tr>
      <w:tr w:rsidR="003A7E34" w:rsidRPr="003A7E34" w14:paraId="05EB19FF" w14:textId="77777777" w:rsidTr="0C52D799">
        <w:tc>
          <w:tcPr>
            <w:tcW w:w="2518" w:type="dxa"/>
          </w:tcPr>
          <w:p w14:paraId="2B58384E" w14:textId="2C7966F9" w:rsidR="00C93929" w:rsidRPr="003A7E34" w:rsidRDefault="00C93929" w:rsidP="007877E9">
            <w:pPr>
              <w:spacing w:before="0" w:after="0"/>
              <w:rPr>
                <w:rFonts w:eastAsia="Times New Roman"/>
                <w:sz w:val="20"/>
                <w:szCs w:val="20"/>
                <w:lang w:val="en-US"/>
              </w:rPr>
            </w:pPr>
            <w:r w:rsidRPr="003A7E34">
              <w:rPr>
                <w:rFonts w:eastAsia="Times New Roman"/>
                <w:sz w:val="20"/>
                <w:szCs w:val="20"/>
                <w:lang w:val="en-US"/>
              </w:rPr>
              <w:t>POTP</w:t>
            </w:r>
          </w:p>
        </w:tc>
        <w:tc>
          <w:tcPr>
            <w:tcW w:w="6179" w:type="dxa"/>
          </w:tcPr>
          <w:p w14:paraId="7274CD0B" w14:textId="4731B8CF" w:rsidR="00C93929" w:rsidRPr="003A7E34" w:rsidRDefault="0C52D799" w:rsidP="0C52D799">
            <w:pPr>
              <w:spacing w:before="0" w:after="0"/>
              <w:rPr>
                <w:rFonts w:eastAsia="Times New Roman"/>
                <w:sz w:val="20"/>
                <w:szCs w:val="20"/>
                <w:lang w:val="en-US"/>
              </w:rPr>
            </w:pPr>
            <w:r w:rsidRPr="0C52D799">
              <w:rPr>
                <w:rFonts w:eastAsia="Times New Roman"/>
                <w:sz w:val="20"/>
                <w:szCs w:val="20"/>
                <w:lang w:val="en-US"/>
              </w:rPr>
              <w:t>Post-taxes Total Price</w:t>
            </w:r>
          </w:p>
        </w:tc>
      </w:tr>
      <w:tr w:rsidR="003A7E34" w:rsidRPr="003A7E34" w14:paraId="0F14E4F4" w14:textId="77777777" w:rsidTr="0C52D799">
        <w:tc>
          <w:tcPr>
            <w:tcW w:w="2518" w:type="dxa"/>
          </w:tcPr>
          <w:p w14:paraId="5D4F3BDC" w14:textId="6AB3CFC3" w:rsidR="005B5A59" w:rsidRPr="003A7E34" w:rsidRDefault="005B5A59" w:rsidP="007877E9">
            <w:pPr>
              <w:spacing w:before="0" w:after="0"/>
              <w:rPr>
                <w:rFonts w:eastAsia="Times New Roman"/>
                <w:sz w:val="20"/>
                <w:szCs w:val="20"/>
                <w:lang w:val="en-US"/>
              </w:rPr>
            </w:pPr>
            <w:r w:rsidRPr="003A7E34">
              <w:rPr>
                <w:rFonts w:eastAsia="Times New Roman"/>
                <w:sz w:val="20"/>
                <w:szCs w:val="20"/>
                <w:lang w:val="en-US"/>
              </w:rPr>
              <w:t>RDI</w:t>
            </w:r>
          </w:p>
        </w:tc>
        <w:tc>
          <w:tcPr>
            <w:tcW w:w="6179" w:type="dxa"/>
          </w:tcPr>
          <w:p w14:paraId="43B843FC" w14:textId="70C1B777" w:rsidR="005B5A59" w:rsidRPr="003A7E34" w:rsidRDefault="005B5A59" w:rsidP="007877E9">
            <w:pPr>
              <w:spacing w:before="0" w:after="0"/>
              <w:rPr>
                <w:rFonts w:eastAsia="Times New Roman"/>
                <w:sz w:val="20"/>
                <w:szCs w:val="20"/>
                <w:lang w:val="en-US"/>
              </w:rPr>
            </w:pPr>
            <w:r w:rsidRPr="003A7E34">
              <w:rPr>
                <w:rFonts w:eastAsia="Times New Roman"/>
                <w:sz w:val="20"/>
                <w:szCs w:val="20"/>
                <w:lang w:val="en-US"/>
              </w:rPr>
              <w:t>Research, Development and Innovations</w:t>
            </w:r>
          </w:p>
        </w:tc>
      </w:tr>
      <w:tr w:rsidR="003A7E34" w:rsidRPr="003A7E34" w14:paraId="4490BCC2" w14:textId="77777777" w:rsidTr="0C52D799">
        <w:tc>
          <w:tcPr>
            <w:tcW w:w="2518" w:type="dxa"/>
          </w:tcPr>
          <w:p w14:paraId="2A3482CA" w14:textId="77777777" w:rsidR="007877E9" w:rsidRPr="003A7E34" w:rsidRDefault="007877E9" w:rsidP="007877E9">
            <w:pPr>
              <w:spacing w:before="0" w:after="0"/>
              <w:rPr>
                <w:rFonts w:eastAsia="Times New Roman"/>
                <w:sz w:val="20"/>
                <w:lang w:val="en-US"/>
              </w:rPr>
            </w:pPr>
            <w:r w:rsidRPr="003A7E34">
              <w:rPr>
                <w:rFonts w:eastAsia="Times New Roman"/>
                <w:sz w:val="20"/>
                <w:lang w:val="en-US"/>
              </w:rPr>
              <w:t>RES</w:t>
            </w:r>
          </w:p>
        </w:tc>
        <w:tc>
          <w:tcPr>
            <w:tcW w:w="6179" w:type="dxa"/>
          </w:tcPr>
          <w:p w14:paraId="3B8A52A1" w14:textId="77777777" w:rsidR="007877E9" w:rsidRPr="003A7E34" w:rsidRDefault="007877E9" w:rsidP="007877E9">
            <w:pPr>
              <w:spacing w:before="0" w:after="0"/>
              <w:rPr>
                <w:rFonts w:eastAsia="Times New Roman"/>
                <w:sz w:val="20"/>
                <w:lang w:val="en-US"/>
              </w:rPr>
            </w:pPr>
            <w:r w:rsidRPr="003A7E34">
              <w:rPr>
                <w:rFonts w:eastAsia="Times New Roman"/>
                <w:sz w:val="20"/>
                <w:lang w:val="en-US"/>
              </w:rPr>
              <w:t>Renewable Energy Sources</w:t>
            </w:r>
          </w:p>
        </w:tc>
      </w:tr>
      <w:tr w:rsidR="003A7E34" w:rsidRPr="003A7E34" w14:paraId="3A830CC3" w14:textId="77777777" w:rsidTr="0C52D799">
        <w:tc>
          <w:tcPr>
            <w:tcW w:w="2518" w:type="dxa"/>
          </w:tcPr>
          <w:p w14:paraId="7FA6493F" w14:textId="77777777" w:rsidR="007877E9" w:rsidRPr="003A7E34" w:rsidRDefault="007877E9" w:rsidP="007877E9">
            <w:pPr>
              <w:spacing w:before="0" w:after="0"/>
              <w:rPr>
                <w:rFonts w:eastAsia="Times New Roman"/>
                <w:sz w:val="20"/>
                <w:lang w:val="en-US"/>
              </w:rPr>
            </w:pPr>
            <w:r w:rsidRPr="003A7E34">
              <w:rPr>
                <w:rFonts w:eastAsia="Times New Roman"/>
                <w:sz w:val="20"/>
                <w:lang w:val="en-US"/>
              </w:rPr>
              <w:t>RES-district H&amp;C</w:t>
            </w:r>
          </w:p>
        </w:tc>
        <w:tc>
          <w:tcPr>
            <w:tcW w:w="6179" w:type="dxa"/>
          </w:tcPr>
          <w:p w14:paraId="2954EFDF" w14:textId="77777777" w:rsidR="007877E9" w:rsidRPr="003A7E34" w:rsidRDefault="007877E9" w:rsidP="007877E9">
            <w:pPr>
              <w:spacing w:before="0" w:after="0"/>
              <w:rPr>
                <w:rFonts w:eastAsia="Times New Roman"/>
                <w:sz w:val="20"/>
                <w:lang w:val="en-US"/>
              </w:rPr>
            </w:pPr>
            <w:r w:rsidRPr="003A7E34">
              <w:rPr>
                <w:rFonts w:eastAsia="Times New Roman"/>
                <w:sz w:val="20"/>
                <w:lang w:val="en-US"/>
              </w:rPr>
              <w:t>RES-district Heating and Cooling</w:t>
            </w:r>
          </w:p>
        </w:tc>
      </w:tr>
      <w:tr w:rsidR="003A7E34" w:rsidRPr="003A7E34" w14:paraId="5DEEA4D9" w14:textId="77777777" w:rsidTr="0C52D799">
        <w:tc>
          <w:tcPr>
            <w:tcW w:w="2518" w:type="dxa"/>
          </w:tcPr>
          <w:p w14:paraId="508D6B02" w14:textId="77777777" w:rsidR="007877E9" w:rsidRPr="003A7E34" w:rsidRDefault="007877E9" w:rsidP="007877E9">
            <w:pPr>
              <w:spacing w:before="0" w:after="0"/>
              <w:rPr>
                <w:rFonts w:eastAsia="Times New Roman"/>
                <w:sz w:val="20"/>
                <w:lang w:val="en-US"/>
              </w:rPr>
            </w:pPr>
            <w:r w:rsidRPr="003A7E34">
              <w:rPr>
                <w:rFonts w:eastAsia="Times New Roman"/>
                <w:sz w:val="20"/>
                <w:lang w:val="en-US"/>
              </w:rPr>
              <w:t>RES-households H&amp;C</w:t>
            </w:r>
          </w:p>
        </w:tc>
        <w:tc>
          <w:tcPr>
            <w:tcW w:w="6179" w:type="dxa"/>
          </w:tcPr>
          <w:p w14:paraId="5C4F0138" w14:textId="77777777" w:rsidR="007877E9" w:rsidRPr="003A7E34" w:rsidRDefault="007877E9" w:rsidP="007877E9">
            <w:pPr>
              <w:spacing w:before="0" w:after="0"/>
              <w:rPr>
                <w:rFonts w:eastAsia="Times New Roman"/>
                <w:sz w:val="20"/>
                <w:lang w:val="en-US"/>
              </w:rPr>
            </w:pPr>
            <w:r w:rsidRPr="003A7E34">
              <w:rPr>
                <w:rFonts w:eastAsia="Times New Roman"/>
                <w:sz w:val="20"/>
                <w:lang w:val="en-US"/>
              </w:rPr>
              <w:t>RES-households Heating and Cooling</w:t>
            </w:r>
          </w:p>
        </w:tc>
      </w:tr>
      <w:tr w:rsidR="003A7E34" w:rsidRPr="003A7E34" w14:paraId="5A4465AC" w14:textId="77777777" w:rsidTr="0C52D799">
        <w:tc>
          <w:tcPr>
            <w:tcW w:w="2518" w:type="dxa"/>
          </w:tcPr>
          <w:p w14:paraId="2736FB11" w14:textId="77777777" w:rsidR="007877E9" w:rsidRPr="003A7E34" w:rsidRDefault="007877E9" w:rsidP="007877E9">
            <w:pPr>
              <w:spacing w:before="0" w:after="0"/>
              <w:rPr>
                <w:rFonts w:eastAsia="Times New Roman"/>
                <w:sz w:val="20"/>
                <w:lang w:val="en-US"/>
              </w:rPr>
            </w:pPr>
            <w:r w:rsidRPr="003A7E34">
              <w:rPr>
                <w:rFonts w:eastAsia="Times New Roman"/>
                <w:sz w:val="20"/>
                <w:lang w:val="en-US"/>
              </w:rPr>
              <w:t>RES-E</w:t>
            </w:r>
          </w:p>
        </w:tc>
        <w:tc>
          <w:tcPr>
            <w:tcW w:w="6179" w:type="dxa"/>
          </w:tcPr>
          <w:p w14:paraId="034A73AD" w14:textId="77777777" w:rsidR="007877E9" w:rsidRPr="003A7E34" w:rsidRDefault="007877E9" w:rsidP="007877E9">
            <w:pPr>
              <w:spacing w:before="0" w:after="0"/>
              <w:rPr>
                <w:rFonts w:eastAsia="Times New Roman"/>
                <w:sz w:val="20"/>
                <w:lang w:val="en-US"/>
              </w:rPr>
            </w:pPr>
            <w:r w:rsidRPr="003A7E34">
              <w:rPr>
                <w:rFonts w:eastAsia="Times New Roman"/>
                <w:sz w:val="20"/>
                <w:lang w:val="en-US"/>
              </w:rPr>
              <w:t>RES-Electricity</w:t>
            </w:r>
          </w:p>
        </w:tc>
      </w:tr>
      <w:tr w:rsidR="003A7E34" w:rsidRPr="003A7E34" w14:paraId="5288AC0E" w14:textId="77777777" w:rsidTr="0C52D799">
        <w:tc>
          <w:tcPr>
            <w:tcW w:w="2518" w:type="dxa"/>
          </w:tcPr>
          <w:p w14:paraId="0CFD6FAD" w14:textId="77777777" w:rsidR="007877E9" w:rsidRPr="003A7E34" w:rsidRDefault="007877E9" w:rsidP="007877E9">
            <w:pPr>
              <w:spacing w:before="0" w:after="0"/>
              <w:rPr>
                <w:rFonts w:eastAsia="Times New Roman"/>
                <w:sz w:val="20"/>
                <w:lang w:val="en-US"/>
              </w:rPr>
            </w:pPr>
            <w:r w:rsidRPr="003A7E34">
              <w:rPr>
                <w:rFonts w:eastAsia="Times New Roman"/>
                <w:sz w:val="20"/>
                <w:lang w:val="en-US"/>
              </w:rPr>
              <w:t>RES-T</w:t>
            </w:r>
          </w:p>
        </w:tc>
        <w:tc>
          <w:tcPr>
            <w:tcW w:w="6179" w:type="dxa"/>
          </w:tcPr>
          <w:p w14:paraId="71B1F173" w14:textId="77777777" w:rsidR="007877E9" w:rsidRPr="003A7E34" w:rsidRDefault="007877E9" w:rsidP="007877E9">
            <w:pPr>
              <w:spacing w:before="0" w:after="0"/>
              <w:rPr>
                <w:rFonts w:eastAsia="Times New Roman"/>
                <w:sz w:val="20"/>
                <w:lang w:val="en-US"/>
              </w:rPr>
            </w:pPr>
            <w:r w:rsidRPr="003A7E34">
              <w:rPr>
                <w:rFonts w:eastAsia="Times New Roman"/>
                <w:sz w:val="20"/>
                <w:lang w:val="en-US"/>
              </w:rPr>
              <w:t>RES Transport</w:t>
            </w:r>
          </w:p>
        </w:tc>
      </w:tr>
      <w:tr w:rsidR="003A7E34" w:rsidRPr="003A7E34" w14:paraId="5F04FECD" w14:textId="77777777" w:rsidTr="0C52D799">
        <w:tc>
          <w:tcPr>
            <w:tcW w:w="2518" w:type="dxa"/>
          </w:tcPr>
          <w:p w14:paraId="4944EDEC" w14:textId="5CEFE59D" w:rsidR="00996C05" w:rsidRPr="003A7E34" w:rsidRDefault="00996C05" w:rsidP="007877E9">
            <w:pPr>
              <w:spacing w:before="0" w:after="0"/>
              <w:rPr>
                <w:rFonts w:eastAsia="Times New Roman"/>
                <w:sz w:val="20"/>
                <w:szCs w:val="20"/>
                <w:lang w:val="en-US"/>
              </w:rPr>
            </w:pPr>
            <w:r w:rsidRPr="003A7E34">
              <w:rPr>
                <w:rFonts w:eastAsia="Times New Roman"/>
                <w:sz w:val="20"/>
                <w:szCs w:val="20"/>
                <w:lang w:val="en-US"/>
              </w:rPr>
              <w:t>RGMCG</w:t>
            </w:r>
          </w:p>
        </w:tc>
        <w:tc>
          <w:tcPr>
            <w:tcW w:w="6179" w:type="dxa"/>
          </w:tcPr>
          <w:p w14:paraId="746843FC" w14:textId="76DB7A4D" w:rsidR="00996C05" w:rsidRPr="003A7E34" w:rsidRDefault="00996C05" w:rsidP="007877E9">
            <w:pPr>
              <w:spacing w:before="0" w:after="0"/>
              <w:rPr>
                <w:rFonts w:eastAsia="Times New Roman"/>
                <w:sz w:val="20"/>
                <w:szCs w:val="20"/>
                <w:lang w:val="en-US"/>
              </w:rPr>
            </w:pPr>
            <w:r w:rsidRPr="003A7E34">
              <w:rPr>
                <w:rFonts w:eastAsia="Times New Roman"/>
                <w:sz w:val="20"/>
                <w:szCs w:val="20"/>
                <w:lang w:val="en-US"/>
              </w:rPr>
              <w:t>Regional Gas Market Coordination Group</w:t>
            </w:r>
          </w:p>
        </w:tc>
      </w:tr>
      <w:tr w:rsidR="003A7E34" w:rsidRPr="003A7E34" w14:paraId="220ABCA6" w14:textId="77777777" w:rsidTr="0C52D799">
        <w:tc>
          <w:tcPr>
            <w:tcW w:w="2518" w:type="dxa"/>
          </w:tcPr>
          <w:p w14:paraId="16443529" w14:textId="6F8220B4" w:rsidR="006D5855" w:rsidRPr="003A7E34" w:rsidRDefault="006D5855" w:rsidP="007877E9">
            <w:pPr>
              <w:spacing w:before="0" w:after="0"/>
              <w:rPr>
                <w:rFonts w:eastAsia="Times New Roman"/>
                <w:sz w:val="20"/>
                <w:szCs w:val="20"/>
                <w:lang w:val="en-US"/>
              </w:rPr>
            </w:pPr>
            <w:r w:rsidRPr="003A7E34">
              <w:rPr>
                <w:rFonts w:eastAsia="Times New Roman"/>
                <w:sz w:val="20"/>
                <w:szCs w:val="20"/>
                <w:lang w:val="en-US"/>
              </w:rPr>
              <w:t>SPM</w:t>
            </w:r>
          </w:p>
        </w:tc>
        <w:tc>
          <w:tcPr>
            <w:tcW w:w="6179" w:type="dxa"/>
          </w:tcPr>
          <w:p w14:paraId="51B82FB3" w14:textId="71F8E0D4" w:rsidR="006D5855" w:rsidRPr="003A7E34" w:rsidRDefault="006D5855" w:rsidP="007877E9">
            <w:pPr>
              <w:spacing w:before="0" w:after="0"/>
              <w:rPr>
                <w:rFonts w:eastAsia="Times New Roman"/>
                <w:sz w:val="20"/>
                <w:szCs w:val="20"/>
                <w:lang w:val="en-US"/>
              </w:rPr>
            </w:pPr>
            <w:r w:rsidRPr="003A7E34">
              <w:rPr>
                <w:rFonts w:eastAsia="Times New Roman"/>
                <w:sz w:val="20"/>
                <w:szCs w:val="20"/>
                <w:lang w:val="en-US"/>
              </w:rPr>
              <w:t>Single-point Mooring</w:t>
            </w:r>
          </w:p>
        </w:tc>
      </w:tr>
      <w:tr w:rsidR="003A7E34" w:rsidRPr="003A7E34" w14:paraId="0AF186D8" w14:textId="77777777" w:rsidTr="0C52D799">
        <w:tc>
          <w:tcPr>
            <w:tcW w:w="2518" w:type="dxa"/>
          </w:tcPr>
          <w:p w14:paraId="7C7EA13B" w14:textId="7EB60FFA" w:rsidR="008F6FC3" w:rsidRPr="003A7E34" w:rsidRDefault="008F6FC3" w:rsidP="007877E9">
            <w:pPr>
              <w:spacing w:before="0" w:after="0"/>
              <w:rPr>
                <w:rFonts w:eastAsia="Times New Roman"/>
                <w:sz w:val="20"/>
                <w:szCs w:val="20"/>
                <w:lang w:val="en-US"/>
              </w:rPr>
            </w:pPr>
            <w:r w:rsidRPr="003A7E34">
              <w:rPr>
                <w:rFonts w:eastAsia="Times New Roman"/>
                <w:sz w:val="20"/>
                <w:szCs w:val="20"/>
                <w:lang w:val="en-US"/>
              </w:rPr>
              <w:t>TSO</w:t>
            </w:r>
          </w:p>
        </w:tc>
        <w:tc>
          <w:tcPr>
            <w:tcW w:w="6179" w:type="dxa"/>
          </w:tcPr>
          <w:p w14:paraId="20FC5264" w14:textId="7BCFF20C" w:rsidR="008F6FC3" w:rsidRPr="003A7E34" w:rsidRDefault="008F6FC3" w:rsidP="007877E9">
            <w:pPr>
              <w:spacing w:before="0" w:after="0"/>
              <w:rPr>
                <w:rFonts w:eastAsia="Times New Roman"/>
                <w:sz w:val="20"/>
                <w:szCs w:val="20"/>
                <w:lang w:val="en-US"/>
              </w:rPr>
            </w:pPr>
            <w:r w:rsidRPr="003A7E34">
              <w:rPr>
                <w:rFonts w:eastAsia="Times New Roman"/>
                <w:sz w:val="20"/>
                <w:szCs w:val="20"/>
                <w:lang w:val="en-US"/>
              </w:rPr>
              <w:t>Transmission System operator</w:t>
            </w:r>
          </w:p>
        </w:tc>
      </w:tr>
      <w:tr w:rsidR="003A7E34" w:rsidRPr="003A7E34" w14:paraId="64E37291" w14:textId="77777777" w:rsidTr="0C52D799">
        <w:tc>
          <w:tcPr>
            <w:tcW w:w="2518" w:type="dxa"/>
          </w:tcPr>
          <w:p w14:paraId="6D438498" w14:textId="647342B1" w:rsidR="005B5DBF" w:rsidRPr="003A7E34" w:rsidRDefault="005B5DBF" w:rsidP="007877E9">
            <w:pPr>
              <w:spacing w:before="0" w:after="0"/>
              <w:rPr>
                <w:rFonts w:eastAsia="Times New Roman"/>
                <w:sz w:val="20"/>
                <w:szCs w:val="20"/>
                <w:lang w:val="en-US"/>
              </w:rPr>
            </w:pPr>
            <w:r w:rsidRPr="003A7E34">
              <w:rPr>
                <w:rFonts w:eastAsia="Times New Roman"/>
                <w:sz w:val="20"/>
                <w:szCs w:val="20"/>
                <w:lang w:val="en-US"/>
              </w:rPr>
              <w:t>TWh</w:t>
            </w:r>
          </w:p>
        </w:tc>
        <w:tc>
          <w:tcPr>
            <w:tcW w:w="6179" w:type="dxa"/>
          </w:tcPr>
          <w:p w14:paraId="5242B9EC" w14:textId="6F04B0E5" w:rsidR="005B5DBF" w:rsidRPr="003A7E34" w:rsidRDefault="00F03B1A" w:rsidP="007877E9">
            <w:pPr>
              <w:spacing w:before="0" w:after="0"/>
              <w:rPr>
                <w:rFonts w:eastAsia="Times New Roman"/>
                <w:sz w:val="20"/>
                <w:szCs w:val="20"/>
                <w:lang w:val="en-US"/>
              </w:rPr>
            </w:pPr>
            <w:r w:rsidRPr="003A7E34">
              <w:rPr>
                <w:rFonts w:eastAsia="Times New Roman"/>
                <w:sz w:val="20"/>
                <w:szCs w:val="20"/>
                <w:lang w:val="en-US"/>
              </w:rPr>
              <w:t>Terawatt hour</w:t>
            </w:r>
          </w:p>
        </w:tc>
      </w:tr>
      <w:tr w:rsidR="003A7E34" w:rsidRPr="003A7E34" w14:paraId="39A89141" w14:textId="77777777" w:rsidTr="0C52D799">
        <w:tc>
          <w:tcPr>
            <w:tcW w:w="2518" w:type="dxa"/>
          </w:tcPr>
          <w:p w14:paraId="6BEF487A" w14:textId="49D232FF" w:rsidR="00FB13FB" w:rsidRPr="003A7E34" w:rsidRDefault="00FB13FB" w:rsidP="007877E9">
            <w:pPr>
              <w:spacing w:before="0" w:after="0"/>
              <w:rPr>
                <w:rFonts w:eastAsia="Times New Roman"/>
                <w:sz w:val="20"/>
                <w:lang w:val="en-US"/>
              </w:rPr>
            </w:pPr>
            <w:r w:rsidRPr="003A7E34">
              <w:rPr>
                <w:rFonts w:eastAsia="Times New Roman"/>
                <w:sz w:val="20"/>
                <w:lang w:val="en-US"/>
              </w:rPr>
              <w:t>UNFCCC</w:t>
            </w:r>
          </w:p>
        </w:tc>
        <w:tc>
          <w:tcPr>
            <w:tcW w:w="6179" w:type="dxa"/>
          </w:tcPr>
          <w:p w14:paraId="55BC7385" w14:textId="235D354B" w:rsidR="00FB13FB" w:rsidRPr="003A7E34" w:rsidRDefault="00FB13FB" w:rsidP="007877E9">
            <w:pPr>
              <w:spacing w:before="0" w:after="0"/>
              <w:rPr>
                <w:rFonts w:eastAsia="Times New Roman"/>
                <w:sz w:val="20"/>
                <w:lang w:val="en-US"/>
              </w:rPr>
            </w:pPr>
            <w:r w:rsidRPr="003A7E34">
              <w:rPr>
                <w:rFonts w:eastAsia="Times New Roman"/>
                <w:sz w:val="20"/>
                <w:lang w:val="en-US"/>
              </w:rPr>
              <w:t xml:space="preserve">United Nations Framework Convention on Climate Change </w:t>
            </w:r>
          </w:p>
        </w:tc>
      </w:tr>
      <w:tr w:rsidR="003A7E34" w:rsidRPr="003A7E34" w14:paraId="2FF3BC20" w14:textId="77777777" w:rsidTr="0C52D799">
        <w:tc>
          <w:tcPr>
            <w:tcW w:w="2518" w:type="dxa"/>
          </w:tcPr>
          <w:p w14:paraId="603D88D9" w14:textId="77777777" w:rsidR="007877E9" w:rsidRPr="003A7E34" w:rsidRDefault="007877E9" w:rsidP="007877E9">
            <w:pPr>
              <w:spacing w:before="0" w:after="0"/>
              <w:rPr>
                <w:rFonts w:eastAsia="Times New Roman"/>
                <w:sz w:val="20"/>
                <w:lang w:val="en-US"/>
              </w:rPr>
            </w:pPr>
            <w:r w:rsidRPr="003A7E34">
              <w:rPr>
                <w:rFonts w:eastAsia="Times New Roman"/>
                <w:sz w:val="20"/>
                <w:lang w:val="en-US"/>
              </w:rPr>
              <w:t>VESK</w:t>
            </w:r>
          </w:p>
        </w:tc>
        <w:tc>
          <w:tcPr>
            <w:tcW w:w="6179" w:type="dxa"/>
          </w:tcPr>
          <w:p w14:paraId="33B7DF06" w14:textId="77777777" w:rsidR="007877E9" w:rsidRPr="003A7E34" w:rsidRDefault="007877E9" w:rsidP="007877E9">
            <w:pPr>
              <w:spacing w:before="0" w:after="0"/>
              <w:rPr>
                <w:rFonts w:eastAsia="Times New Roman"/>
                <w:sz w:val="20"/>
                <w:lang w:val="en-US"/>
              </w:rPr>
            </w:pPr>
            <w:r w:rsidRPr="003A7E34">
              <w:rPr>
                <w:rFonts w:eastAsia="Times New Roman"/>
                <w:sz w:val="20"/>
                <w:lang w:val="en-US"/>
              </w:rPr>
              <w:t>Wind energy promotion cluster</w:t>
            </w:r>
          </w:p>
        </w:tc>
      </w:tr>
    </w:tbl>
    <w:p w14:paraId="0C565AE4" w14:textId="7A48ABCC" w:rsidR="00874DAE" w:rsidRPr="003A7E34" w:rsidRDefault="00874DAE">
      <w:pPr>
        <w:spacing w:before="0" w:after="160" w:line="259" w:lineRule="auto"/>
        <w:jc w:val="left"/>
        <w:rPr>
          <w:rFonts w:eastAsia="Times New Roman"/>
          <w:b/>
          <w:bCs/>
          <w:noProof/>
          <w:lang w:val="en-US" w:eastAsia="en-GB"/>
        </w:rPr>
      </w:pPr>
      <w:r w:rsidRPr="003A7E34">
        <w:rPr>
          <w:rFonts w:eastAsia="Times New Roman"/>
          <w:b/>
          <w:bCs/>
          <w:noProof/>
          <w:lang w:val="en-US" w:eastAsia="en-GB"/>
        </w:rPr>
        <w:br w:type="page"/>
      </w:r>
    </w:p>
    <w:p w14:paraId="432E4CA2" w14:textId="623EB9D7" w:rsidR="00735965" w:rsidRPr="003A7E34" w:rsidRDefault="00735965">
      <w:pPr>
        <w:jc w:val="center"/>
        <w:rPr>
          <w:rFonts w:eastAsia="Times New Roman"/>
          <w:lang w:val="en-US"/>
        </w:rPr>
      </w:pPr>
    </w:p>
    <w:p w14:paraId="1B6C68E4" w14:textId="17B50D31" w:rsidR="00735965" w:rsidRPr="003A7E34" w:rsidRDefault="372247B6">
      <w:pPr>
        <w:jc w:val="left"/>
        <w:rPr>
          <w:rFonts w:eastAsia="Times New Roman"/>
          <w:b/>
          <w:bCs/>
          <w:u w:val="single"/>
          <w:lang w:val="en-US"/>
        </w:rPr>
      </w:pPr>
      <w:r w:rsidRPr="003A7E34">
        <w:rPr>
          <w:rFonts w:eastAsia="Times New Roman"/>
          <w:b/>
          <w:bCs/>
          <w:u w:val="single"/>
          <w:lang w:val="en-US"/>
        </w:rPr>
        <w:t>OUTLINE:</w:t>
      </w:r>
    </w:p>
    <w:sdt>
      <w:sdtPr>
        <w:rPr>
          <w:rFonts w:ascii="Times New Roman" w:eastAsiaTheme="minorHAnsi" w:hAnsi="Times New Roman" w:cs="Times New Roman"/>
          <w:color w:val="auto"/>
          <w:sz w:val="22"/>
          <w:szCs w:val="22"/>
          <w:lang w:val="en-GB"/>
        </w:rPr>
        <w:id w:val="1797250518"/>
        <w:docPartObj>
          <w:docPartGallery w:val="Table of Contents"/>
          <w:docPartUnique/>
        </w:docPartObj>
      </w:sdtPr>
      <w:sdtEndPr>
        <w:rPr>
          <w:b/>
          <w:bCs/>
          <w:noProof/>
        </w:rPr>
      </w:sdtEndPr>
      <w:sdtContent>
        <w:p w14:paraId="7BD3A9BD" w14:textId="3AE4878A" w:rsidR="005F06FF" w:rsidRPr="003A7E34" w:rsidRDefault="005F06FF" w:rsidP="6172BFD2">
          <w:pPr>
            <w:pStyle w:val="TOCHeading"/>
            <w:rPr>
              <w:rFonts w:ascii="Times New Roman" w:hAnsi="Times New Roman" w:cs="Times New Roman"/>
              <w:color w:val="auto"/>
            </w:rPr>
          </w:pPr>
        </w:p>
        <w:p w14:paraId="05C9D27A" w14:textId="6CBB4961" w:rsidR="0090051C" w:rsidRPr="003A7E34" w:rsidRDefault="005F06FF">
          <w:pPr>
            <w:pStyle w:val="TOC1"/>
            <w:tabs>
              <w:tab w:val="right" w:leader="dot" w:pos="9627"/>
            </w:tabs>
            <w:rPr>
              <w:rFonts w:asciiTheme="minorHAnsi" w:eastAsiaTheme="minorEastAsia" w:hAnsiTheme="minorHAnsi" w:cstheme="minorBidi"/>
              <w:noProof/>
              <w:lang w:val="lt-LT" w:eastAsia="lt-LT"/>
            </w:rPr>
          </w:pPr>
          <w:r w:rsidRPr="003A7E34">
            <w:rPr>
              <w:lang w:val="en-US"/>
            </w:rPr>
            <w:fldChar w:fldCharType="begin"/>
          </w:r>
          <w:r w:rsidRPr="003A7E34">
            <w:rPr>
              <w:b/>
              <w:bCs/>
              <w:noProof/>
              <w:lang w:val="en-US"/>
            </w:rPr>
            <w:instrText xml:space="preserve"> TOC \o "1-3" \h \z \u </w:instrText>
          </w:r>
          <w:r w:rsidRPr="003A7E34">
            <w:rPr>
              <w:b/>
              <w:bCs/>
              <w:noProof/>
              <w:lang w:val="en-US"/>
            </w:rPr>
            <w:fldChar w:fldCharType="separate"/>
          </w:r>
          <w:hyperlink w:anchor="_Toc530414133" w:history="1">
            <w:r w:rsidR="0090051C" w:rsidRPr="003A7E34">
              <w:rPr>
                <w:rStyle w:val="Hyperlink"/>
                <w:noProof/>
                <w:color w:val="auto"/>
                <w:lang w:val="en-US"/>
              </w:rPr>
              <w:t>Abbreviations</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_Toc530414133 \h </w:instrText>
            </w:r>
            <w:r w:rsidR="0090051C" w:rsidRPr="003A7E34">
              <w:rPr>
                <w:noProof/>
                <w:webHidden/>
              </w:rPr>
            </w:r>
            <w:r w:rsidR="0090051C" w:rsidRPr="003A7E34">
              <w:rPr>
                <w:noProof/>
                <w:webHidden/>
              </w:rPr>
              <w:fldChar w:fldCharType="separate"/>
            </w:r>
            <w:r w:rsidR="00041500">
              <w:rPr>
                <w:noProof/>
                <w:webHidden/>
              </w:rPr>
              <w:t>2</w:t>
            </w:r>
            <w:r w:rsidR="0090051C" w:rsidRPr="003A7E34">
              <w:rPr>
                <w:noProof/>
                <w:webHidden/>
              </w:rPr>
              <w:fldChar w:fldCharType="end"/>
            </w:r>
          </w:hyperlink>
        </w:p>
        <w:p w14:paraId="2A9C38D6" w14:textId="318FE7A2" w:rsidR="0090051C" w:rsidRPr="003A7E34" w:rsidRDefault="008A1805">
          <w:pPr>
            <w:pStyle w:val="TOC1"/>
            <w:tabs>
              <w:tab w:val="right" w:leader="dot" w:pos="9627"/>
            </w:tabs>
            <w:rPr>
              <w:rFonts w:asciiTheme="minorHAnsi" w:eastAsiaTheme="minorEastAsia" w:hAnsiTheme="minorHAnsi" w:cstheme="minorBidi"/>
              <w:noProof/>
              <w:lang w:val="lt-LT" w:eastAsia="lt-LT"/>
            </w:rPr>
          </w:pPr>
          <w:hyperlink w:anchor="_Toc530414134" w:history="1">
            <w:r w:rsidR="0090051C" w:rsidRPr="003A7E34">
              <w:rPr>
                <w:rStyle w:val="Hyperlink"/>
                <w:rFonts w:eastAsia="Times New Roman"/>
                <w:noProof/>
                <w:color w:val="auto"/>
                <w:lang w:val="en-US"/>
              </w:rPr>
              <w:t>SECTION A: NATIONAL PLAN</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_Toc530414134 \h </w:instrText>
            </w:r>
            <w:r w:rsidR="0090051C" w:rsidRPr="003A7E34">
              <w:rPr>
                <w:noProof/>
                <w:webHidden/>
              </w:rPr>
            </w:r>
            <w:r w:rsidR="0090051C" w:rsidRPr="003A7E34">
              <w:rPr>
                <w:noProof/>
                <w:webHidden/>
              </w:rPr>
              <w:fldChar w:fldCharType="separate"/>
            </w:r>
            <w:r w:rsidR="00041500">
              <w:rPr>
                <w:noProof/>
                <w:webHidden/>
              </w:rPr>
              <w:t>5</w:t>
            </w:r>
            <w:r w:rsidR="0090051C" w:rsidRPr="003A7E34">
              <w:rPr>
                <w:noProof/>
                <w:webHidden/>
              </w:rPr>
              <w:fldChar w:fldCharType="end"/>
            </w:r>
          </w:hyperlink>
        </w:p>
        <w:p w14:paraId="463D2B28" w14:textId="047EC750" w:rsidR="0090051C" w:rsidRPr="003A7E34" w:rsidRDefault="008A1805">
          <w:pPr>
            <w:pStyle w:val="TOC1"/>
            <w:tabs>
              <w:tab w:val="left" w:pos="440"/>
              <w:tab w:val="right" w:leader="dot" w:pos="9627"/>
            </w:tabs>
            <w:rPr>
              <w:rFonts w:asciiTheme="minorHAnsi" w:eastAsiaTheme="minorEastAsia" w:hAnsiTheme="minorHAnsi" w:cstheme="minorBidi"/>
              <w:noProof/>
              <w:lang w:val="lt-LT" w:eastAsia="lt-LT"/>
            </w:rPr>
          </w:pPr>
          <w:hyperlink w:anchor="_Toc530414135" w:history="1">
            <w:r w:rsidR="0090051C" w:rsidRPr="003A7E34">
              <w:rPr>
                <w:rStyle w:val="Hyperlink"/>
                <w:rFonts w:eastAsia="Times New Roman"/>
                <w:noProof/>
                <w:color w:val="auto"/>
                <w:lang w:val="en-US"/>
              </w:rPr>
              <w:t>1.</w:t>
            </w:r>
            <w:r w:rsidR="0090051C" w:rsidRPr="003A7E34">
              <w:rPr>
                <w:rFonts w:asciiTheme="minorHAnsi" w:eastAsiaTheme="minorEastAsia" w:hAnsiTheme="minorHAnsi" w:cstheme="minorBidi"/>
                <w:noProof/>
                <w:lang w:val="lt-LT" w:eastAsia="lt-LT"/>
              </w:rPr>
              <w:tab/>
            </w:r>
            <w:r w:rsidR="0090051C" w:rsidRPr="003A7E34">
              <w:rPr>
                <w:rStyle w:val="Hyperlink"/>
                <w:noProof/>
                <w:color w:val="auto"/>
                <w:lang w:val="en-US"/>
              </w:rPr>
              <w:t>OVERVIEW AND PROCESS FOR ESTABLISHING THE PLAN</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_Toc530414135 \h </w:instrText>
            </w:r>
            <w:r w:rsidR="0090051C" w:rsidRPr="003A7E34">
              <w:rPr>
                <w:noProof/>
                <w:webHidden/>
              </w:rPr>
            </w:r>
            <w:r w:rsidR="0090051C" w:rsidRPr="003A7E34">
              <w:rPr>
                <w:noProof/>
                <w:webHidden/>
              </w:rPr>
              <w:fldChar w:fldCharType="separate"/>
            </w:r>
            <w:r w:rsidR="00041500">
              <w:rPr>
                <w:noProof/>
                <w:webHidden/>
              </w:rPr>
              <w:t>5</w:t>
            </w:r>
            <w:r w:rsidR="0090051C" w:rsidRPr="003A7E34">
              <w:rPr>
                <w:noProof/>
                <w:webHidden/>
              </w:rPr>
              <w:fldChar w:fldCharType="end"/>
            </w:r>
          </w:hyperlink>
        </w:p>
        <w:p w14:paraId="33AD66F6" w14:textId="48F4A869"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36" w:history="1">
            <w:r w:rsidR="0090051C" w:rsidRPr="003A7E34">
              <w:rPr>
                <w:rStyle w:val="Hyperlink"/>
                <w:noProof/>
                <w:color w:val="auto"/>
                <w:lang w:val="en-US"/>
              </w:rPr>
              <w:t>1.1.</w:t>
            </w:r>
            <w:r w:rsidR="0090051C" w:rsidRPr="003A7E34">
              <w:rPr>
                <w:rFonts w:asciiTheme="minorHAnsi" w:eastAsiaTheme="minorEastAsia" w:hAnsiTheme="minorHAnsi" w:cstheme="minorBidi"/>
                <w:noProof/>
                <w:lang w:val="lt-LT" w:eastAsia="lt-LT"/>
              </w:rPr>
              <w:tab/>
            </w:r>
            <w:r w:rsidR="0090051C" w:rsidRPr="003A7E34">
              <w:rPr>
                <w:rStyle w:val="Hyperlink"/>
                <w:noProof/>
                <w:color w:val="auto"/>
                <w:lang w:val="en-US"/>
              </w:rPr>
              <w:t>Executive summary</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_Toc530414136 \h </w:instrText>
            </w:r>
            <w:r w:rsidR="0090051C" w:rsidRPr="003A7E34">
              <w:rPr>
                <w:noProof/>
                <w:webHidden/>
              </w:rPr>
            </w:r>
            <w:r w:rsidR="0090051C" w:rsidRPr="003A7E34">
              <w:rPr>
                <w:noProof/>
                <w:webHidden/>
              </w:rPr>
              <w:fldChar w:fldCharType="separate"/>
            </w:r>
            <w:r w:rsidR="00041500">
              <w:rPr>
                <w:noProof/>
                <w:webHidden/>
              </w:rPr>
              <w:t>5</w:t>
            </w:r>
            <w:r w:rsidR="0090051C" w:rsidRPr="003A7E34">
              <w:rPr>
                <w:noProof/>
                <w:webHidden/>
              </w:rPr>
              <w:fldChar w:fldCharType="end"/>
            </w:r>
          </w:hyperlink>
        </w:p>
        <w:p w14:paraId="1E53C582" w14:textId="49BCF1B5"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37" w:history="1">
            <w:r w:rsidR="0090051C" w:rsidRPr="003A7E34">
              <w:rPr>
                <w:rStyle w:val="Hyperlink"/>
                <w:noProof/>
                <w:color w:val="auto"/>
                <w:lang w:val="en-US"/>
              </w:rPr>
              <w:t>1.2.</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Overview of current policy situation</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_Toc530414137 \h </w:instrText>
            </w:r>
            <w:r w:rsidR="0090051C" w:rsidRPr="003A7E34">
              <w:rPr>
                <w:noProof/>
                <w:webHidden/>
              </w:rPr>
            </w:r>
            <w:r w:rsidR="0090051C" w:rsidRPr="003A7E34">
              <w:rPr>
                <w:noProof/>
                <w:webHidden/>
              </w:rPr>
              <w:fldChar w:fldCharType="separate"/>
            </w:r>
            <w:r w:rsidR="00041500">
              <w:rPr>
                <w:noProof/>
                <w:webHidden/>
              </w:rPr>
              <w:t>9</w:t>
            </w:r>
            <w:r w:rsidR="0090051C" w:rsidRPr="003A7E34">
              <w:rPr>
                <w:noProof/>
                <w:webHidden/>
              </w:rPr>
              <w:fldChar w:fldCharType="end"/>
            </w:r>
          </w:hyperlink>
        </w:p>
        <w:p w14:paraId="0ECCD369" w14:textId="32E02C80"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38" w:history="1">
            <w:r w:rsidR="0090051C" w:rsidRPr="003A7E34">
              <w:rPr>
                <w:rStyle w:val="Hyperlink"/>
                <w:noProof/>
                <w:color w:val="auto"/>
                <w:lang w:val="en-US"/>
              </w:rPr>
              <w:t>1.3.</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Consultations and involvement of national and Union entities and their outcome</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_Toc530414138 \h </w:instrText>
            </w:r>
            <w:r w:rsidR="0090051C" w:rsidRPr="003A7E34">
              <w:rPr>
                <w:noProof/>
                <w:webHidden/>
              </w:rPr>
            </w:r>
            <w:r w:rsidR="0090051C" w:rsidRPr="003A7E34">
              <w:rPr>
                <w:noProof/>
                <w:webHidden/>
              </w:rPr>
              <w:fldChar w:fldCharType="separate"/>
            </w:r>
            <w:r w:rsidR="00041500">
              <w:rPr>
                <w:noProof/>
                <w:webHidden/>
              </w:rPr>
              <w:t>14</w:t>
            </w:r>
            <w:r w:rsidR="0090051C" w:rsidRPr="003A7E34">
              <w:rPr>
                <w:noProof/>
                <w:webHidden/>
              </w:rPr>
              <w:fldChar w:fldCharType="end"/>
            </w:r>
          </w:hyperlink>
        </w:p>
        <w:p w14:paraId="62D72C0C" w14:textId="1CBA156B"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39" w:history="1">
            <w:r w:rsidR="0090051C" w:rsidRPr="003A7E34">
              <w:rPr>
                <w:rStyle w:val="Hyperlink"/>
                <w:noProof/>
                <w:color w:val="auto"/>
                <w:lang w:val="en-US"/>
              </w:rPr>
              <w:t>1.4.</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Regional cooperation in preparing the plan</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_Toc530414139 \h </w:instrText>
            </w:r>
            <w:r w:rsidR="0090051C" w:rsidRPr="003A7E34">
              <w:rPr>
                <w:noProof/>
                <w:webHidden/>
              </w:rPr>
            </w:r>
            <w:r w:rsidR="0090051C" w:rsidRPr="003A7E34">
              <w:rPr>
                <w:noProof/>
                <w:webHidden/>
              </w:rPr>
              <w:fldChar w:fldCharType="separate"/>
            </w:r>
            <w:r w:rsidR="00041500">
              <w:rPr>
                <w:noProof/>
                <w:webHidden/>
              </w:rPr>
              <w:t>15</w:t>
            </w:r>
            <w:r w:rsidR="0090051C" w:rsidRPr="003A7E34">
              <w:rPr>
                <w:noProof/>
                <w:webHidden/>
              </w:rPr>
              <w:fldChar w:fldCharType="end"/>
            </w:r>
          </w:hyperlink>
        </w:p>
        <w:p w14:paraId="73C1BE72" w14:textId="34B5B1E5" w:rsidR="0090051C" w:rsidRPr="003A7E34" w:rsidRDefault="008A1805">
          <w:pPr>
            <w:pStyle w:val="TOC1"/>
            <w:tabs>
              <w:tab w:val="left" w:pos="440"/>
              <w:tab w:val="right" w:leader="dot" w:pos="9627"/>
            </w:tabs>
            <w:rPr>
              <w:rFonts w:asciiTheme="minorHAnsi" w:eastAsiaTheme="minorEastAsia" w:hAnsiTheme="minorHAnsi" w:cstheme="minorBidi"/>
              <w:noProof/>
              <w:lang w:val="lt-LT" w:eastAsia="lt-LT"/>
            </w:rPr>
          </w:pPr>
          <w:hyperlink w:anchor="_Toc530414140" w:history="1">
            <w:r w:rsidR="0090051C" w:rsidRPr="003A7E34">
              <w:rPr>
                <w:rStyle w:val="Hyperlink"/>
                <w:noProof/>
                <w:color w:val="auto"/>
                <w:lang w:val="en-US"/>
              </w:rPr>
              <w:t>2.</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NATIONAL OBJECTIVES AND TARGETS</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_Toc530414140 \h </w:instrText>
            </w:r>
            <w:r w:rsidR="0090051C" w:rsidRPr="003A7E34">
              <w:rPr>
                <w:noProof/>
                <w:webHidden/>
              </w:rPr>
            </w:r>
            <w:r w:rsidR="0090051C" w:rsidRPr="003A7E34">
              <w:rPr>
                <w:noProof/>
                <w:webHidden/>
              </w:rPr>
              <w:fldChar w:fldCharType="separate"/>
            </w:r>
            <w:r w:rsidR="00041500">
              <w:rPr>
                <w:noProof/>
                <w:webHidden/>
              </w:rPr>
              <w:t>16</w:t>
            </w:r>
            <w:r w:rsidR="0090051C" w:rsidRPr="003A7E34">
              <w:rPr>
                <w:noProof/>
                <w:webHidden/>
              </w:rPr>
              <w:fldChar w:fldCharType="end"/>
            </w:r>
          </w:hyperlink>
        </w:p>
        <w:p w14:paraId="6AB3FF71" w14:textId="73982FB9"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41" w:history="1">
            <w:r w:rsidR="0090051C" w:rsidRPr="003A7E34">
              <w:rPr>
                <w:rStyle w:val="Hyperlink"/>
                <w:rFonts w:eastAsia="Times New Roman"/>
                <w:noProof/>
                <w:color w:val="auto"/>
                <w:lang w:val="en-US"/>
              </w:rPr>
              <w:t>2.1.</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Dimension decarbonisation</w:t>
            </w:r>
            <w:bookmarkStart w:id="3" w:name="_GoBack"/>
            <w:bookmarkEnd w:id="3"/>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_Toc530414141 \h </w:instrText>
            </w:r>
            <w:r w:rsidR="0090051C" w:rsidRPr="003A7E34">
              <w:rPr>
                <w:noProof/>
                <w:webHidden/>
              </w:rPr>
            </w:r>
            <w:r w:rsidR="0090051C" w:rsidRPr="003A7E34">
              <w:rPr>
                <w:noProof/>
                <w:webHidden/>
              </w:rPr>
              <w:fldChar w:fldCharType="separate"/>
            </w:r>
            <w:r w:rsidR="00041500">
              <w:rPr>
                <w:noProof/>
                <w:webHidden/>
              </w:rPr>
              <w:t>16</w:t>
            </w:r>
            <w:r w:rsidR="0090051C" w:rsidRPr="003A7E34">
              <w:rPr>
                <w:noProof/>
                <w:webHidden/>
              </w:rPr>
              <w:fldChar w:fldCharType="end"/>
            </w:r>
          </w:hyperlink>
        </w:p>
        <w:p w14:paraId="165B7EC6" w14:textId="74905203" w:rsidR="0090051C" w:rsidRPr="003A7E34" w:rsidRDefault="008A1805">
          <w:pPr>
            <w:pStyle w:val="TOC3"/>
            <w:tabs>
              <w:tab w:val="left" w:pos="1320"/>
              <w:tab w:val="right" w:leader="dot" w:pos="9627"/>
            </w:tabs>
            <w:rPr>
              <w:rFonts w:asciiTheme="minorHAnsi" w:eastAsiaTheme="minorEastAsia" w:hAnsiTheme="minorHAnsi" w:cstheme="minorBidi"/>
              <w:noProof/>
              <w:lang w:val="lt-LT" w:eastAsia="lt-LT"/>
            </w:rPr>
          </w:pPr>
          <w:hyperlink w:anchor="_Toc530414142" w:history="1">
            <w:r w:rsidR="0090051C" w:rsidRPr="003A7E34">
              <w:rPr>
                <w:rStyle w:val="Hyperlink"/>
                <w:bCs/>
                <w:noProof/>
                <w:color w:val="auto"/>
                <w:lang w:val="en-US"/>
              </w:rPr>
              <w:t>2.1.1.</w:t>
            </w:r>
            <w:r w:rsidR="0090051C" w:rsidRPr="003A7E34">
              <w:rPr>
                <w:rFonts w:asciiTheme="minorHAnsi" w:eastAsiaTheme="minorEastAsia" w:hAnsiTheme="minorHAnsi" w:cstheme="minorBidi"/>
                <w:noProof/>
                <w:lang w:val="lt-LT" w:eastAsia="lt-LT"/>
              </w:rPr>
              <w:tab/>
            </w:r>
            <w:r w:rsidR="0090051C" w:rsidRPr="003A7E34">
              <w:rPr>
                <w:rStyle w:val="Hyperlink"/>
                <w:noProof/>
                <w:color w:val="auto"/>
                <w:lang w:val="en-US"/>
              </w:rPr>
              <w:t>GHG emissions and removals</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_Toc530414142 \h </w:instrText>
            </w:r>
            <w:r w:rsidR="0090051C" w:rsidRPr="003A7E34">
              <w:rPr>
                <w:noProof/>
                <w:webHidden/>
              </w:rPr>
            </w:r>
            <w:r w:rsidR="0090051C" w:rsidRPr="003A7E34">
              <w:rPr>
                <w:noProof/>
                <w:webHidden/>
              </w:rPr>
              <w:fldChar w:fldCharType="separate"/>
            </w:r>
            <w:r w:rsidR="00041500">
              <w:rPr>
                <w:noProof/>
                <w:webHidden/>
              </w:rPr>
              <w:t>17</w:t>
            </w:r>
            <w:r w:rsidR="0090051C" w:rsidRPr="003A7E34">
              <w:rPr>
                <w:noProof/>
                <w:webHidden/>
              </w:rPr>
              <w:fldChar w:fldCharType="end"/>
            </w:r>
          </w:hyperlink>
        </w:p>
        <w:p w14:paraId="4F1B3AE9" w14:textId="201097D3" w:rsidR="0090051C" w:rsidRPr="003A7E34" w:rsidRDefault="008A1805">
          <w:pPr>
            <w:pStyle w:val="TOC3"/>
            <w:tabs>
              <w:tab w:val="left" w:pos="1320"/>
              <w:tab w:val="right" w:leader="dot" w:pos="9627"/>
            </w:tabs>
            <w:rPr>
              <w:rFonts w:asciiTheme="minorHAnsi" w:eastAsiaTheme="minorEastAsia" w:hAnsiTheme="minorHAnsi" w:cstheme="minorBidi"/>
              <w:noProof/>
              <w:lang w:val="lt-LT" w:eastAsia="lt-LT"/>
            </w:rPr>
          </w:pPr>
          <w:hyperlink w:anchor="_Toc530414143" w:history="1">
            <w:r w:rsidR="0090051C" w:rsidRPr="003A7E34">
              <w:rPr>
                <w:rStyle w:val="Hyperlink"/>
                <w:rFonts w:eastAsia="Calibri"/>
                <w:noProof/>
                <w:color w:val="auto"/>
                <w:lang w:val="en-US"/>
              </w:rPr>
              <w:t>2.1.2.</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Renewable energy</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_Toc530414143 \h </w:instrText>
            </w:r>
            <w:r w:rsidR="0090051C" w:rsidRPr="003A7E34">
              <w:rPr>
                <w:noProof/>
                <w:webHidden/>
              </w:rPr>
            </w:r>
            <w:r w:rsidR="0090051C" w:rsidRPr="003A7E34">
              <w:rPr>
                <w:noProof/>
                <w:webHidden/>
              </w:rPr>
              <w:fldChar w:fldCharType="separate"/>
            </w:r>
            <w:r w:rsidR="00041500">
              <w:rPr>
                <w:noProof/>
                <w:webHidden/>
              </w:rPr>
              <w:t>17</w:t>
            </w:r>
            <w:r w:rsidR="0090051C" w:rsidRPr="003A7E34">
              <w:rPr>
                <w:noProof/>
                <w:webHidden/>
              </w:rPr>
              <w:fldChar w:fldCharType="end"/>
            </w:r>
          </w:hyperlink>
        </w:p>
        <w:p w14:paraId="62AFD356" w14:textId="01F1D8B5"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44" w:history="1">
            <w:r w:rsidR="0090051C" w:rsidRPr="003A7E34">
              <w:rPr>
                <w:rStyle w:val="Hyperlink"/>
                <w:noProof/>
                <w:color w:val="auto"/>
                <w:lang w:val="en-US"/>
              </w:rPr>
              <w:t>2.2.</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Dimension energy efficiency</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_Toc530414144 \h </w:instrText>
            </w:r>
            <w:r w:rsidR="0090051C" w:rsidRPr="003A7E34">
              <w:rPr>
                <w:noProof/>
                <w:webHidden/>
              </w:rPr>
            </w:r>
            <w:r w:rsidR="0090051C" w:rsidRPr="003A7E34">
              <w:rPr>
                <w:noProof/>
                <w:webHidden/>
              </w:rPr>
              <w:fldChar w:fldCharType="separate"/>
            </w:r>
            <w:r w:rsidR="00041500">
              <w:rPr>
                <w:noProof/>
                <w:webHidden/>
              </w:rPr>
              <w:t>23</w:t>
            </w:r>
            <w:r w:rsidR="0090051C" w:rsidRPr="003A7E34">
              <w:rPr>
                <w:noProof/>
                <w:webHidden/>
              </w:rPr>
              <w:fldChar w:fldCharType="end"/>
            </w:r>
          </w:hyperlink>
        </w:p>
        <w:p w14:paraId="0E4B6A27" w14:textId="28434EB0"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45" w:history="1">
            <w:r w:rsidR="0090051C" w:rsidRPr="003A7E34">
              <w:rPr>
                <w:rStyle w:val="Hyperlink"/>
                <w:noProof/>
                <w:color w:val="auto"/>
                <w:lang w:val="en-US"/>
              </w:rPr>
              <w:t>2.3.</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Dimension energy security</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_Toc530414145 \h </w:instrText>
            </w:r>
            <w:r w:rsidR="0090051C" w:rsidRPr="003A7E34">
              <w:rPr>
                <w:noProof/>
                <w:webHidden/>
              </w:rPr>
            </w:r>
            <w:r w:rsidR="0090051C" w:rsidRPr="003A7E34">
              <w:rPr>
                <w:noProof/>
                <w:webHidden/>
              </w:rPr>
              <w:fldChar w:fldCharType="separate"/>
            </w:r>
            <w:r w:rsidR="00041500">
              <w:rPr>
                <w:noProof/>
                <w:webHidden/>
              </w:rPr>
              <w:t>24</w:t>
            </w:r>
            <w:r w:rsidR="0090051C" w:rsidRPr="003A7E34">
              <w:rPr>
                <w:noProof/>
                <w:webHidden/>
              </w:rPr>
              <w:fldChar w:fldCharType="end"/>
            </w:r>
          </w:hyperlink>
        </w:p>
        <w:p w14:paraId="7E3420D2" w14:textId="11B565B7"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46" w:history="1">
            <w:r w:rsidR="0090051C" w:rsidRPr="003A7E34">
              <w:rPr>
                <w:rStyle w:val="Hyperlink"/>
                <w:noProof/>
                <w:color w:val="auto"/>
                <w:lang w:val="en-US"/>
              </w:rPr>
              <w:t>2.4.</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Dimension internal energy market</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_Toc530414146 \h </w:instrText>
            </w:r>
            <w:r w:rsidR="0090051C" w:rsidRPr="003A7E34">
              <w:rPr>
                <w:noProof/>
                <w:webHidden/>
              </w:rPr>
            </w:r>
            <w:r w:rsidR="0090051C" w:rsidRPr="003A7E34">
              <w:rPr>
                <w:noProof/>
                <w:webHidden/>
              </w:rPr>
              <w:fldChar w:fldCharType="separate"/>
            </w:r>
            <w:r w:rsidR="00041500">
              <w:rPr>
                <w:noProof/>
                <w:webHidden/>
              </w:rPr>
              <w:t>29</w:t>
            </w:r>
            <w:r w:rsidR="0090051C" w:rsidRPr="003A7E34">
              <w:rPr>
                <w:noProof/>
                <w:webHidden/>
              </w:rPr>
              <w:fldChar w:fldCharType="end"/>
            </w:r>
          </w:hyperlink>
        </w:p>
        <w:p w14:paraId="30DC2382" w14:textId="372B7E63" w:rsidR="0090051C" w:rsidRPr="003A7E34" w:rsidRDefault="008A1805">
          <w:pPr>
            <w:pStyle w:val="TOC3"/>
            <w:tabs>
              <w:tab w:val="left" w:pos="1320"/>
              <w:tab w:val="right" w:leader="dot" w:pos="9627"/>
            </w:tabs>
            <w:rPr>
              <w:rFonts w:asciiTheme="minorHAnsi" w:eastAsiaTheme="minorEastAsia" w:hAnsiTheme="minorHAnsi" w:cstheme="minorBidi"/>
              <w:noProof/>
              <w:lang w:val="lt-LT" w:eastAsia="lt-LT"/>
            </w:rPr>
          </w:pPr>
          <w:hyperlink w:anchor="_Toc530414147" w:history="1">
            <w:r w:rsidR="0090051C" w:rsidRPr="003A7E34">
              <w:rPr>
                <w:rStyle w:val="Hyperlink"/>
                <w:noProof/>
                <w:color w:val="auto"/>
                <w:lang w:val="en-US"/>
              </w:rPr>
              <w:t>2.4.1.</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Electricity interconnectivity</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_Toc530414147 \h </w:instrText>
            </w:r>
            <w:r w:rsidR="0090051C" w:rsidRPr="003A7E34">
              <w:rPr>
                <w:noProof/>
                <w:webHidden/>
              </w:rPr>
            </w:r>
            <w:r w:rsidR="0090051C" w:rsidRPr="003A7E34">
              <w:rPr>
                <w:noProof/>
                <w:webHidden/>
              </w:rPr>
              <w:fldChar w:fldCharType="separate"/>
            </w:r>
            <w:r w:rsidR="00041500">
              <w:rPr>
                <w:noProof/>
                <w:webHidden/>
              </w:rPr>
              <w:t>29</w:t>
            </w:r>
            <w:r w:rsidR="0090051C" w:rsidRPr="003A7E34">
              <w:rPr>
                <w:noProof/>
                <w:webHidden/>
              </w:rPr>
              <w:fldChar w:fldCharType="end"/>
            </w:r>
          </w:hyperlink>
        </w:p>
        <w:p w14:paraId="084AF897" w14:textId="02DEF43B" w:rsidR="0090051C" w:rsidRPr="003A7E34" w:rsidRDefault="008A1805">
          <w:pPr>
            <w:pStyle w:val="TOC3"/>
            <w:tabs>
              <w:tab w:val="left" w:pos="1320"/>
              <w:tab w:val="right" w:leader="dot" w:pos="9627"/>
            </w:tabs>
            <w:rPr>
              <w:rFonts w:asciiTheme="minorHAnsi" w:eastAsiaTheme="minorEastAsia" w:hAnsiTheme="minorHAnsi" w:cstheme="minorBidi"/>
              <w:noProof/>
              <w:lang w:val="lt-LT" w:eastAsia="lt-LT"/>
            </w:rPr>
          </w:pPr>
          <w:hyperlink w:anchor="_Toc530414148" w:history="1">
            <w:r w:rsidR="0090051C" w:rsidRPr="003A7E34">
              <w:rPr>
                <w:rStyle w:val="Hyperlink"/>
                <w:bCs/>
                <w:noProof/>
                <w:color w:val="auto"/>
                <w:lang w:val="en-US"/>
              </w:rPr>
              <w:t>2.4.2.</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bCs/>
                <w:noProof/>
                <w:color w:val="auto"/>
                <w:lang w:val="en-US"/>
              </w:rPr>
              <w:t>Energy transmission infrastructure</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_Toc530414148 \h </w:instrText>
            </w:r>
            <w:r w:rsidR="0090051C" w:rsidRPr="003A7E34">
              <w:rPr>
                <w:noProof/>
                <w:webHidden/>
              </w:rPr>
            </w:r>
            <w:r w:rsidR="0090051C" w:rsidRPr="003A7E34">
              <w:rPr>
                <w:noProof/>
                <w:webHidden/>
              </w:rPr>
              <w:fldChar w:fldCharType="separate"/>
            </w:r>
            <w:r w:rsidR="00041500">
              <w:rPr>
                <w:noProof/>
                <w:webHidden/>
              </w:rPr>
              <w:t>29</w:t>
            </w:r>
            <w:r w:rsidR="0090051C" w:rsidRPr="003A7E34">
              <w:rPr>
                <w:noProof/>
                <w:webHidden/>
              </w:rPr>
              <w:fldChar w:fldCharType="end"/>
            </w:r>
          </w:hyperlink>
        </w:p>
        <w:p w14:paraId="3F2F5B79" w14:textId="0B1E7DD2" w:rsidR="0090051C" w:rsidRPr="003A7E34" w:rsidRDefault="008A1805">
          <w:pPr>
            <w:pStyle w:val="TOC3"/>
            <w:tabs>
              <w:tab w:val="left" w:pos="1320"/>
              <w:tab w:val="right" w:leader="dot" w:pos="9627"/>
            </w:tabs>
            <w:rPr>
              <w:rFonts w:asciiTheme="minorHAnsi" w:eastAsiaTheme="minorEastAsia" w:hAnsiTheme="minorHAnsi" w:cstheme="minorBidi"/>
              <w:noProof/>
              <w:lang w:val="lt-LT" w:eastAsia="lt-LT"/>
            </w:rPr>
          </w:pPr>
          <w:hyperlink w:anchor="_Toc530414149" w:history="1">
            <w:r w:rsidR="0090051C" w:rsidRPr="003A7E34">
              <w:rPr>
                <w:rStyle w:val="Hyperlink"/>
                <w:noProof/>
                <w:color w:val="auto"/>
                <w:lang w:val="en-US"/>
              </w:rPr>
              <w:t>2.4.3.</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Market integration</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_Toc530414149 \h </w:instrText>
            </w:r>
            <w:r w:rsidR="0090051C" w:rsidRPr="003A7E34">
              <w:rPr>
                <w:noProof/>
                <w:webHidden/>
              </w:rPr>
            </w:r>
            <w:r w:rsidR="0090051C" w:rsidRPr="003A7E34">
              <w:rPr>
                <w:noProof/>
                <w:webHidden/>
              </w:rPr>
              <w:fldChar w:fldCharType="separate"/>
            </w:r>
            <w:r w:rsidR="00041500">
              <w:rPr>
                <w:noProof/>
                <w:webHidden/>
              </w:rPr>
              <w:t>31</w:t>
            </w:r>
            <w:r w:rsidR="0090051C" w:rsidRPr="003A7E34">
              <w:rPr>
                <w:noProof/>
                <w:webHidden/>
              </w:rPr>
              <w:fldChar w:fldCharType="end"/>
            </w:r>
          </w:hyperlink>
        </w:p>
        <w:p w14:paraId="16D507A7" w14:textId="7C38ACF5" w:rsidR="0090051C" w:rsidRPr="003A7E34" w:rsidRDefault="008A1805">
          <w:pPr>
            <w:pStyle w:val="TOC3"/>
            <w:tabs>
              <w:tab w:val="left" w:pos="1320"/>
              <w:tab w:val="right" w:leader="dot" w:pos="9627"/>
            </w:tabs>
            <w:rPr>
              <w:rFonts w:asciiTheme="minorHAnsi" w:eastAsiaTheme="minorEastAsia" w:hAnsiTheme="minorHAnsi" w:cstheme="minorBidi"/>
              <w:noProof/>
              <w:lang w:val="lt-LT" w:eastAsia="lt-LT"/>
            </w:rPr>
          </w:pPr>
          <w:hyperlink w:anchor="_Toc530414150" w:history="1">
            <w:r w:rsidR="0090051C" w:rsidRPr="003A7E34">
              <w:rPr>
                <w:rStyle w:val="Hyperlink"/>
                <w:noProof/>
                <w:color w:val="auto"/>
                <w:lang w:val="en-US"/>
              </w:rPr>
              <w:t>2.4.4.</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Energy poverty</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_Toc530414150 \h </w:instrText>
            </w:r>
            <w:r w:rsidR="0090051C" w:rsidRPr="003A7E34">
              <w:rPr>
                <w:noProof/>
                <w:webHidden/>
              </w:rPr>
            </w:r>
            <w:r w:rsidR="0090051C" w:rsidRPr="003A7E34">
              <w:rPr>
                <w:noProof/>
                <w:webHidden/>
              </w:rPr>
              <w:fldChar w:fldCharType="separate"/>
            </w:r>
            <w:r w:rsidR="00041500">
              <w:rPr>
                <w:noProof/>
                <w:webHidden/>
              </w:rPr>
              <w:t>33</w:t>
            </w:r>
            <w:r w:rsidR="0090051C" w:rsidRPr="003A7E34">
              <w:rPr>
                <w:noProof/>
                <w:webHidden/>
              </w:rPr>
              <w:fldChar w:fldCharType="end"/>
            </w:r>
          </w:hyperlink>
        </w:p>
        <w:p w14:paraId="05934B37" w14:textId="036C4C62"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51" w:history="1">
            <w:r w:rsidR="0090051C" w:rsidRPr="003A7E34">
              <w:rPr>
                <w:rStyle w:val="Hyperlink"/>
                <w:noProof/>
                <w:color w:val="auto"/>
                <w:lang w:val="en-US"/>
              </w:rPr>
              <w:t>2.5.</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Dimension research, innovation and competitiveness</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_Toc530414151 \h </w:instrText>
            </w:r>
            <w:r w:rsidR="0090051C" w:rsidRPr="003A7E34">
              <w:rPr>
                <w:noProof/>
                <w:webHidden/>
              </w:rPr>
            </w:r>
            <w:r w:rsidR="0090051C" w:rsidRPr="003A7E34">
              <w:rPr>
                <w:noProof/>
                <w:webHidden/>
              </w:rPr>
              <w:fldChar w:fldCharType="separate"/>
            </w:r>
            <w:r w:rsidR="00041500">
              <w:rPr>
                <w:noProof/>
                <w:webHidden/>
              </w:rPr>
              <w:t>34</w:t>
            </w:r>
            <w:r w:rsidR="0090051C" w:rsidRPr="003A7E34">
              <w:rPr>
                <w:noProof/>
                <w:webHidden/>
              </w:rPr>
              <w:fldChar w:fldCharType="end"/>
            </w:r>
          </w:hyperlink>
        </w:p>
        <w:p w14:paraId="7EB943A2" w14:textId="59A28BFA" w:rsidR="0090051C" w:rsidRPr="003A7E34" w:rsidRDefault="008A1805">
          <w:pPr>
            <w:pStyle w:val="TOC1"/>
            <w:tabs>
              <w:tab w:val="left" w:pos="440"/>
              <w:tab w:val="right" w:leader="dot" w:pos="9627"/>
            </w:tabs>
            <w:rPr>
              <w:rFonts w:asciiTheme="minorHAnsi" w:eastAsiaTheme="minorEastAsia" w:hAnsiTheme="minorHAnsi" w:cstheme="minorBidi"/>
              <w:noProof/>
              <w:lang w:val="lt-LT" w:eastAsia="lt-LT"/>
            </w:rPr>
          </w:pPr>
          <w:hyperlink w:anchor="_Toc530414152" w:history="1">
            <w:r w:rsidR="0090051C" w:rsidRPr="003A7E34">
              <w:rPr>
                <w:rStyle w:val="Hyperlink"/>
                <w:rFonts w:eastAsia="Times New Roman"/>
                <w:noProof/>
                <w:color w:val="auto"/>
                <w:lang w:val="en-US"/>
              </w:rPr>
              <w:t>3.</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POLICIES AND MEASURES</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_Toc530414152 \h </w:instrText>
            </w:r>
            <w:r w:rsidR="0090051C" w:rsidRPr="003A7E34">
              <w:rPr>
                <w:noProof/>
                <w:webHidden/>
              </w:rPr>
            </w:r>
            <w:r w:rsidR="0090051C" w:rsidRPr="003A7E34">
              <w:rPr>
                <w:noProof/>
                <w:webHidden/>
              </w:rPr>
              <w:fldChar w:fldCharType="separate"/>
            </w:r>
            <w:r w:rsidR="00041500">
              <w:rPr>
                <w:noProof/>
                <w:webHidden/>
              </w:rPr>
              <w:t>38</w:t>
            </w:r>
            <w:r w:rsidR="0090051C" w:rsidRPr="003A7E34">
              <w:rPr>
                <w:noProof/>
                <w:webHidden/>
              </w:rPr>
              <w:fldChar w:fldCharType="end"/>
            </w:r>
          </w:hyperlink>
        </w:p>
        <w:p w14:paraId="2464A912" w14:textId="6179968D"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53" w:history="1">
            <w:r w:rsidR="0090051C" w:rsidRPr="003A7E34">
              <w:rPr>
                <w:rStyle w:val="Hyperlink"/>
                <w:noProof/>
                <w:color w:val="auto"/>
                <w:lang w:val="en-US"/>
              </w:rPr>
              <w:t>3.1.</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Dimension decarbonisation</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_Toc530414153 \h </w:instrText>
            </w:r>
            <w:r w:rsidR="0090051C" w:rsidRPr="003A7E34">
              <w:rPr>
                <w:noProof/>
                <w:webHidden/>
              </w:rPr>
            </w:r>
            <w:r w:rsidR="0090051C" w:rsidRPr="003A7E34">
              <w:rPr>
                <w:noProof/>
                <w:webHidden/>
              </w:rPr>
              <w:fldChar w:fldCharType="separate"/>
            </w:r>
            <w:r w:rsidR="00041500">
              <w:rPr>
                <w:noProof/>
                <w:webHidden/>
              </w:rPr>
              <w:t>38</w:t>
            </w:r>
            <w:r w:rsidR="0090051C" w:rsidRPr="003A7E34">
              <w:rPr>
                <w:noProof/>
                <w:webHidden/>
              </w:rPr>
              <w:fldChar w:fldCharType="end"/>
            </w:r>
          </w:hyperlink>
        </w:p>
        <w:p w14:paraId="44B6DDE6" w14:textId="6A636A53" w:rsidR="0090051C" w:rsidRPr="003A7E34" w:rsidRDefault="008A1805">
          <w:pPr>
            <w:pStyle w:val="TOC3"/>
            <w:tabs>
              <w:tab w:val="left" w:pos="1320"/>
              <w:tab w:val="right" w:leader="dot" w:pos="9627"/>
            </w:tabs>
            <w:rPr>
              <w:rFonts w:asciiTheme="minorHAnsi" w:eastAsiaTheme="minorEastAsia" w:hAnsiTheme="minorHAnsi" w:cstheme="minorBidi"/>
              <w:noProof/>
              <w:lang w:val="lt-LT" w:eastAsia="lt-LT"/>
            </w:rPr>
          </w:pPr>
          <w:hyperlink w:anchor="_Toc530414154" w:history="1">
            <w:r w:rsidR="0090051C" w:rsidRPr="003A7E34">
              <w:rPr>
                <w:rStyle w:val="Hyperlink"/>
                <w:noProof/>
                <w:color w:val="auto"/>
                <w:lang w:val="en-US"/>
              </w:rPr>
              <w:t>3.1.1.</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GHG emissions and removals</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_Toc530414154 \h </w:instrText>
            </w:r>
            <w:r w:rsidR="0090051C" w:rsidRPr="003A7E34">
              <w:rPr>
                <w:noProof/>
                <w:webHidden/>
              </w:rPr>
            </w:r>
            <w:r w:rsidR="0090051C" w:rsidRPr="003A7E34">
              <w:rPr>
                <w:noProof/>
                <w:webHidden/>
              </w:rPr>
              <w:fldChar w:fldCharType="separate"/>
            </w:r>
            <w:r w:rsidR="00041500">
              <w:rPr>
                <w:noProof/>
                <w:webHidden/>
              </w:rPr>
              <w:t>38</w:t>
            </w:r>
            <w:r w:rsidR="0090051C" w:rsidRPr="003A7E34">
              <w:rPr>
                <w:noProof/>
                <w:webHidden/>
              </w:rPr>
              <w:fldChar w:fldCharType="end"/>
            </w:r>
          </w:hyperlink>
        </w:p>
        <w:p w14:paraId="366B8989" w14:textId="5193C7A7" w:rsidR="0090051C" w:rsidRPr="003A7E34" w:rsidRDefault="008A1805">
          <w:pPr>
            <w:pStyle w:val="TOC3"/>
            <w:tabs>
              <w:tab w:val="left" w:pos="1320"/>
              <w:tab w:val="right" w:leader="dot" w:pos="9627"/>
            </w:tabs>
            <w:rPr>
              <w:rFonts w:asciiTheme="minorHAnsi" w:eastAsiaTheme="minorEastAsia" w:hAnsiTheme="minorHAnsi" w:cstheme="minorBidi"/>
              <w:noProof/>
              <w:lang w:val="lt-LT" w:eastAsia="lt-LT"/>
            </w:rPr>
          </w:pPr>
          <w:hyperlink w:anchor="_Toc530414155" w:history="1">
            <w:r w:rsidR="0090051C" w:rsidRPr="003A7E34">
              <w:rPr>
                <w:rStyle w:val="Hyperlink"/>
                <w:noProof/>
                <w:color w:val="auto"/>
                <w:lang w:val="en-US"/>
              </w:rPr>
              <w:t>3.1.2.</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Renewable energy</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_Toc530414155 \h </w:instrText>
            </w:r>
            <w:r w:rsidR="0090051C" w:rsidRPr="003A7E34">
              <w:rPr>
                <w:noProof/>
                <w:webHidden/>
              </w:rPr>
            </w:r>
            <w:r w:rsidR="0090051C" w:rsidRPr="003A7E34">
              <w:rPr>
                <w:noProof/>
                <w:webHidden/>
              </w:rPr>
              <w:fldChar w:fldCharType="separate"/>
            </w:r>
            <w:r w:rsidR="00041500">
              <w:rPr>
                <w:noProof/>
                <w:webHidden/>
              </w:rPr>
              <w:t>49</w:t>
            </w:r>
            <w:r w:rsidR="0090051C" w:rsidRPr="003A7E34">
              <w:rPr>
                <w:noProof/>
                <w:webHidden/>
              </w:rPr>
              <w:fldChar w:fldCharType="end"/>
            </w:r>
          </w:hyperlink>
        </w:p>
        <w:p w14:paraId="56882376" w14:textId="3C595AF7" w:rsidR="0090051C" w:rsidRPr="003A7E34" w:rsidRDefault="008A1805">
          <w:pPr>
            <w:pStyle w:val="TOC3"/>
            <w:tabs>
              <w:tab w:val="left" w:pos="1320"/>
              <w:tab w:val="right" w:leader="dot" w:pos="9627"/>
            </w:tabs>
            <w:rPr>
              <w:rFonts w:asciiTheme="minorHAnsi" w:eastAsiaTheme="minorEastAsia" w:hAnsiTheme="minorHAnsi" w:cstheme="minorBidi"/>
              <w:noProof/>
              <w:lang w:val="lt-LT" w:eastAsia="lt-LT"/>
            </w:rPr>
          </w:pPr>
          <w:hyperlink w:anchor="_Toc530414156" w:history="1">
            <w:r w:rsidR="0090051C" w:rsidRPr="003A7E34">
              <w:rPr>
                <w:rStyle w:val="Hyperlink"/>
                <w:noProof/>
                <w:color w:val="auto"/>
                <w:lang w:val="en-US"/>
              </w:rPr>
              <w:t>3.1.3.</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Other elements of the dimension</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_Toc530414156 \h </w:instrText>
            </w:r>
            <w:r w:rsidR="0090051C" w:rsidRPr="003A7E34">
              <w:rPr>
                <w:noProof/>
                <w:webHidden/>
              </w:rPr>
            </w:r>
            <w:r w:rsidR="0090051C" w:rsidRPr="003A7E34">
              <w:rPr>
                <w:noProof/>
                <w:webHidden/>
              </w:rPr>
              <w:fldChar w:fldCharType="separate"/>
            </w:r>
            <w:r w:rsidR="00041500">
              <w:rPr>
                <w:noProof/>
                <w:webHidden/>
              </w:rPr>
              <w:t>54</w:t>
            </w:r>
            <w:r w:rsidR="0090051C" w:rsidRPr="003A7E34">
              <w:rPr>
                <w:noProof/>
                <w:webHidden/>
              </w:rPr>
              <w:fldChar w:fldCharType="end"/>
            </w:r>
          </w:hyperlink>
        </w:p>
        <w:p w14:paraId="3FC545C7" w14:textId="1580828B"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57" w:history="1">
            <w:r w:rsidR="0090051C" w:rsidRPr="003A7E34">
              <w:rPr>
                <w:rStyle w:val="Hyperlink"/>
                <w:noProof/>
                <w:color w:val="auto"/>
                <w:lang w:val="en-US"/>
              </w:rPr>
              <w:t>3.2.</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Dimension energy efficiency</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_Toc530414157 \h </w:instrText>
            </w:r>
            <w:r w:rsidR="0090051C" w:rsidRPr="003A7E34">
              <w:rPr>
                <w:noProof/>
                <w:webHidden/>
              </w:rPr>
            </w:r>
            <w:r w:rsidR="0090051C" w:rsidRPr="003A7E34">
              <w:rPr>
                <w:noProof/>
                <w:webHidden/>
              </w:rPr>
              <w:fldChar w:fldCharType="separate"/>
            </w:r>
            <w:r w:rsidR="00041500">
              <w:rPr>
                <w:noProof/>
                <w:webHidden/>
              </w:rPr>
              <w:t>60</w:t>
            </w:r>
            <w:r w:rsidR="0090051C" w:rsidRPr="003A7E34">
              <w:rPr>
                <w:noProof/>
                <w:webHidden/>
              </w:rPr>
              <w:fldChar w:fldCharType="end"/>
            </w:r>
          </w:hyperlink>
        </w:p>
        <w:p w14:paraId="0E12A9F4" w14:textId="2B83CB90"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58" w:history="1">
            <w:r w:rsidR="0090051C" w:rsidRPr="003A7E34">
              <w:rPr>
                <w:rStyle w:val="Hyperlink"/>
                <w:noProof/>
                <w:color w:val="auto"/>
                <w:lang w:val="en-US"/>
              </w:rPr>
              <w:t>3.3.</w:t>
            </w:r>
            <w:r w:rsidR="0090051C" w:rsidRPr="003A7E34">
              <w:rPr>
                <w:rFonts w:asciiTheme="minorHAnsi" w:eastAsiaTheme="minorEastAsia" w:hAnsiTheme="minorHAnsi" w:cstheme="minorBidi"/>
                <w:noProof/>
                <w:lang w:val="lt-LT" w:eastAsia="lt-LT"/>
              </w:rPr>
              <w:tab/>
            </w:r>
            <w:r w:rsidR="0090051C" w:rsidRPr="003A7E34">
              <w:rPr>
                <w:rStyle w:val="Hyperlink"/>
                <w:noProof/>
                <w:color w:val="auto"/>
                <w:lang w:val="en-US"/>
              </w:rPr>
              <w:t>Dimension energy security</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_Toc530414158 \h </w:instrText>
            </w:r>
            <w:r w:rsidR="0090051C" w:rsidRPr="003A7E34">
              <w:rPr>
                <w:noProof/>
                <w:webHidden/>
              </w:rPr>
            </w:r>
            <w:r w:rsidR="0090051C" w:rsidRPr="003A7E34">
              <w:rPr>
                <w:noProof/>
                <w:webHidden/>
              </w:rPr>
              <w:fldChar w:fldCharType="separate"/>
            </w:r>
            <w:r w:rsidR="00041500">
              <w:rPr>
                <w:noProof/>
                <w:webHidden/>
              </w:rPr>
              <w:t>66</w:t>
            </w:r>
            <w:r w:rsidR="0090051C" w:rsidRPr="003A7E34">
              <w:rPr>
                <w:noProof/>
                <w:webHidden/>
              </w:rPr>
              <w:fldChar w:fldCharType="end"/>
            </w:r>
          </w:hyperlink>
        </w:p>
        <w:p w14:paraId="7D0EB421" w14:textId="6E01B7E1"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59" w:history="1">
            <w:r w:rsidR="0090051C" w:rsidRPr="003A7E34">
              <w:rPr>
                <w:rStyle w:val="Hyperlink"/>
                <w:bCs/>
                <w:noProof/>
                <w:color w:val="auto"/>
                <w:lang w:val="en-US"/>
              </w:rPr>
              <w:t>3.4.</w:t>
            </w:r>
            <w:r w:rsidR="0090051C" w:rsidRPr="003A7E34">
              <w:rPr>
                <w:rFonts w:asciiTheme="minorHAnsi" w:eastAsiaTheme="minorEastAsia" w:hAnsiTheme="minorHAnsi" w:cstheme="minorBidi"/>
                <w:noProof/>
                <w:lang w:val="lt-LT" w:eastAsia="lt-LT"/>
              </w:rPr>
              <w:tab/>
            </w:r>
            <w:r w:rsidR="0090051C" w:rsidRPr="003A7E34">
              <w:rPr>
                <w:rStyle w:val="Hyperlink"/>
                <w:noProof/>
                <w:color w:val="auto"/>
                <w:lang w:val="en-US"/>
              </w:rPr>
              <w:t>Dimension internal energy market</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_Toc530414159 \h </w:instrText>
            </w:r>
            <w:r w:rsidR="0090051C" w:rsidRPr="003A7E34">
              <w:rPr>
                <w:noProof/>
                <w:webHidden/>
              </w:rPr>
            </w:r>
            <w:r w:rsidR="0090051C" w:rsidRPr="003A7E34">
              <w:rPr>
                <w:noProof/>
                <w:webHidden/>
              </w:rPr>
              <w:fldChar w:fldCharType="separate"/>
            </w:r>
            <w:r w:rsidR="00041500">
              <w:rPr>
                <w:noProof/>
                <w:webHidden/>
              </w:rPr>
              <w:t>67</w:t>
            </w:r>
            <w:r w:rsidR="0090051C" w:rsidRPr="003A7E34">
              <w:rPr>
                <w:noProof/>
                <w:webHidden/>
              </w:rPr>
              <w:fldChar w:fldCharType="end"/>
            </w:r>
          </w:hyperlink>
        </w:p>
        <w:p w14:paraId="3821428F" w14:textId="556FDB48" w:rsidR="0090051C" w:rsidRPr="003A7E34" w:rsidRDefault="008A1805">
          <w:pPr>
            <w:pStyle w:val="TOC3"/>
            <w:tabs>
              <w:tab w:val="left" w:pos="1320"/>
              <w:tab w:val="right" w:leader="dot" w:pos="9627"/>
            </w:tabs>
            <w:rPr>
              <w:rFonts w:asciiTheme="minorHAnsi" w:eastAsiaTheme="minorEastAsia" w:hAnsiTheme="minorHAnsi" w:cstheme="minorBidi"/>
              <w:noProof/>
              <w:lang w:val="lt-LT" w:eastAsia="lt-LT"/>
            </w:rPr>
          </w:pPr>
          <w:hyperlink w:anchor="_Toc530414160" w:history="1">
            <w:r w:rsidR="0090051C" w:rsidRPr="003A7E34">
              <w:rPr>
                <w:rStyle w:val="Hyperlink"/>
                <w:noProof/>
                <w:color w:val="auto"/>
                <w:lang w:val="en-US"/>
              </w:rPr>
              <w:t>3.4.1.</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Electricity infrastructure</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_Toc530414160 \h </w:instrText>
            </w:r>
            <w:r w:rsidR="0090051C" w:rsidRPr="003A7E34">
              <w:rPr>
                <w:noProof/>
                <w:webHidden/>
              </w:rPr>
            </w:r>
            <w:r w:rsidR="0090051C" w:rsidRPr="003A7E34">
              <w:rPr>
                <w:noProof/>
                <w:webHidden/>
              </w:rPr>
              <w:fldChar w:fldCharType="separate"/>
            </w:r>
            <w:r w:rsidR="00041500">
              <w:rPr>
                <w:noProof/>
                <w:webHidden/>
              </w:rPr>
              <w:t>67</w:t>
            </w:r>
            <w:r w:rsidR="0090051C" w:rsidRPr="003A7E34">
              <w:rPr>
                <w:noProof/>
                <w:webHidden/>
              </w:rPr>
              <w:fldChar w:fldCharType="end"/>
            </w:r>
          </w:hyperlink>
        </w:p>
        <w:p w14:paraId="6F03496E" w14:textId="7EC0889E" w:rsidR="0090051C" w:rsidRPr="003A7E34" w:rsidRDefault="008A1805">
          <w:pPr>
            <w:pStyle w:val="TOC3"/>
            <w:tabs>
              <w:tab w:val="left" w:pos="1320"/>
              <w:tab w:val="right" w:leader="dot" w:pos="9627"/>
            </w:tabs>
            <w:rPr>
              <w:rFonts w:asciiTheme="minorHAnsi" w:eastAsiaTheme="minorEastAsia" w:hAnsiTheme="minorHAnsi" w:cstheme="minorBidi"/>
              <w:noProof/>
              <w:lang w:val="lt-LT" w:eastAsia="lt-LT"/>
            </w:rPr>
          </w:pPr>
          <w:hyperlink w:anchor="_Toc530414161" w:history="1">
            <w:r w:rsidR="0090051C" w:rsidRPr="003A7E34">
              <w:rPr>
                <w:rStyle w:val="Hyperlink"/>
                <w:noProof/>
                <w:color w:val="auto"/>
                <w:lang w:val="en-US"/>
              </w:rPr>
              <w:t>3.4.2.</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Energy transmission infrastructure</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_Toc530414161 \h </w:instrText>
            </w:r>
            <w:r w:rsidR="0090051C" w:rsidRPr="003A7E34">
              <w:rPr>
                <w:noProof/>
                <w:webHidden/>
              </w:rPr>
            </w:r>
            <w:r w:rsidR="0090051C" w:rsidRPr="003A7E34">
              <w:rPr>
                <w:noProof/>
                <w:webHidden/>
              </w:rPr>
              <w:fldChar w:fldCharType="separate"/>
            </w:r>
            <w:r w:rsidR="00041500">
              <w:rPr>
                <w:noProof/>
                <w:webHidden/>
              </w:rPr>
              <w:t>68</w:t>
            </w:r>
            <w:r w:rsidR="0090051C" w:rsidRPr="003A7E34">
              <w:rPr>
                <w:noProof/>
                <w:webHidden/>
              </w:rPr>
              <w:fldChar w:fldCharType="end"/>
            </w:r>
          </w:hyperlink>
        </w:p>
        <w:p w14:paraId="6C24E6DC" w14:textId="29DB4025" w:rsidR="0090051C" w:rsidRPr="003A7E34" w:rsidRDefault="008A1805">
          <w:pPr>
            <w:pStyle w:val="TOC3"/>
            <w:tabs>
              <w:tab w:val="left" w:pos="1320"/>
              <w:tab w:val="right" w:leader="dot" w:pos="9627"/>
            </w:tabs>
            <w:rPr>
              <w:rFonts w:asciiTheme="minorHAnsi" w:eastAsiaTheme="minorEastAsia" w:hAnsiTheme="minorHAnsi" w:cstheme="minorBidi"/>
              <w:noProof/>
              <w:lang w:val="lt-LT" w:eastAsia="lt-LT"/>
            </w:rPr>
          </w:pPr>
          <w:hyperlink w:anchor="_Toc530414162" w:history="1">
            <w:r w:rsidR="0090051C" w:rsidRPr="003A7E34">
              <w:rPr>
                <w:rStyle w:val="Hyperlink"/>
                <w:noProof/>
                <w:color w:val="auto"/>
                <w:lang w:val="en-US"/>
              </w:rPr>
              <w:t>3.4.3.</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Market integration</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_Toc530414162 \h </w:instrText>
            </w:r>
            <w:r w:rsidR="0090051C" w:rsidRPr="003A7E34">
              <w:rPr>
                <w:noProof/>
                <w:webHidden/>
              </w:rPr>
            </w:r>
            <w:r w:rsidR="0090051C" w:rsidRPr="003A7E34">
              <w:rPr>
                <w:noProof/>
                <w:webHidden/>
              </w:rPr>
              <w:fldChar w:fldCharType="separate"/>
            </w:r>
            <w:r w:rsidR="00041500">
              <w:rPr>
                <w:noProof/>
                <w:webHidden/>
              </w:rPr>
              <w:t>69</w:t>
            </w:r>
            <w:r w:rsidR="0090051C" w:rsidRPr="003A7E34">
              <w:rPr>
                <w:noProof/>
                <w:webHidden/>
              </w:rPr>
              <w:fldChar w:fldCharType="end"/>
            </w:r>
          </w:hyperlink>
        </w:p>
        <w:p w14:paraId="5EB98752" w14:textId="68FB8F6C" w:rsidR="0090051C" w:rsidRPr="003A7E34" w:rsidRDefault="008A1805">
          <w:pPr>
            <w:pStyle w:val="TOC3"/>
            <w:tabs>
              <w:tab w:val="left" w:pos="1320"/>
              <w:tab w:val="right" w:leader="dot" w:pos="9627"/>
            </w:tabs>
            <w:rPr>
              <w:rFonts w:asciiTheme="minorHAnsi" w:eastAsiaTheme="minorEastAsia" w:hAnsiTheme="minorHAnsi" w:cstheme="minorBidi"/>
              <w:noProof/>
              <w:lang w:val="lt-LT" w:eastAsia="lt-LT"/>
            </w:rPr>
          </w:pPr>
          <w:hyperlink w:anchor="_Toc530414163" w:history="1">
            <w:r w:rsidR="0090051C" w:rsidRPr="003A7E34">
              <w:rPr>
                <w:rStyle w:val="Hyperlink"/>
                <w:noProof/>
                <w:color w:val="auto"/>
                <w:lang w:val="en-US"/>
              </w:rPr>
              <w:t>3.4.4.</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Energy poverty</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_Toc530414163 \h </w:instrText>
            </w:r>
            <w:r w:rsidR="0090051C" w:rsidRPr="003A7E34">
              <w:rPr>
                <w:noProof/>
                <w:webHidden/>
              </w:rPr>
            </w:r>
            <w:r w:rsidR="0090051C" w:rsidRPr="003A7E34">
              <w:rPr>
                <w:noProof/>
                <w:webHidden/>
              </w:rPr>
              <w:fldChar w:fldCharType="separate"/>
            </w:r>
            <w:r w:rsidR="00041500">
              <w:rPr>
                <w:noProof/>
                <w:webHidden/>
              </w:rPr>
              <w:t>71</w:t>
            </w:r>
            <w:r w:rsidR="0090051C" w:rsidRPr="003A7E34">
              <w:rPr>
                <w:noProof/>
                <w:webHidden/>
              </w:rPr>
              <w:fldChar w:fldCharType="end"/>
            </w:r>
          </w:hyperlink>
        </w:p>
        <w:p w14:paraId="0E89494E" w14:textId="207AEAEB"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64" w:history="1">
            <w:r w:rsidR="0090051C" w:rsidRPr="003A7E34">
              <w:rPr>
                <w:rStyle w:val="Hyperlink"/>
                <w:noProof/>
                <w:color w:val="auto"/>
                <w:lang w:val="en-US"/>
              </w:rPr>
              <w:t>3.5.</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Dimension research, innovation and competitiveness</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_Toc530414164 \h </w:instrText>
            </w:r>
            <w:r w:rsidR="0090051C" w:rsidRPr="003A7E34">
              <w:rPr>
                <w:noProof/>
                <w:webHidden/>
              </w:rPr>
            </w:r>
            <w:r w:rsidR="0090051C" w:rsidRPr="003A7E34">
              <w:rPr>
                <w:noProof/>
                <w:webHidden/>
              </w:rPr>
              <w:fldChar w:fldCharType="separate"/>
            </w:r>
            <w:r w:rsidR="00041500">
              <w:rPr>
                <w:noProof/>
                <w:webHidden/>
              </w:rPr>
              <w:t>71</w:t>
            </w:r>
            <w:r w:rsidR="0090051C" w:rsidRPr="003A7E34">
              <w:rPr>
                <w:noProof/>
                <w:webHidden/>
              </w:rPr>
              <w:fldChar w:fldCharType="end"/>
            </w:r>
          </w:hyperlink>
        </w:p>
        <w:p w14:paraId="43CDFA1F" w14:textId="08905FC4" w:rsidR="0090051C" w:rsidRPr="003A7E34" w:rsidRDefault="008A1805">
          <w:pPr>
            <w:pStyle w:val="TOC1"/>
            <w:tabs>
              <w:tab w:val="right" w:leader="dot" w:pos="9627"/>
            </w:tabs>
            <w:rPr>
              <w:rFonts w:asciiTheme="minorHAnsi" w:eastAsiaTheme="minorEastAsia" w:hAnsiTheme="minorHAnsi" w:cstheme="minorBidi"/>
              <w:noProof/>
              <w:lang w:val="lt-LT" w:eastAsia="lt-LT"/>
            </w:rPr>
          </w:pPr>
          <w:hyperlink w:anchor="_Toc530414165" w:history="1">
            <w:r w:rsidR="0090051C" w:rsidRPr="003A7E34">
              <w:rPr>
                <w:rStyle w:val="Hyperlink"/>
                <w:rFonts w:eastAsia="Times New Roman"/>
                <w:noProof/>
                <w:color w:val="auto"/>
                <w:lang w:val="en-US"/>
              </w:rPr>
              <w:t>SECTION B: ANALYTICAL BASIS</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_Toc530414165 \h </w:instrText>
            </w:r>
            <w:r w:rsidR="0090051C" w:rsidRPr="003A7E34">
              <w:rPr>
                <w:noProof/>
                <w:webHidden/>
              </w:rPr>
            </w:r>
            <w:r w:rsidR="0090051C" w:rsidRPr="003A7E34">
              <w:rPr>
                <w:noProof/>
                <w:webHidden/>
              </w:rPr>
              <w:fldChar w:fldCharType="separate"/>
            </w:r>
            <w:r w:rsidR="00041500">
              <w:rPr>
                <w:noProof/>
                <w:webHidden/>
              </w:rPr>
              <w:t>76</w:t>
            </w:r>
            <w:r w:rsidR="0090051C" w:rsidRPr="003A7E34">
              <w:rPr>
                <w:noProof/>
                <w:webHidden/>
              </w:rPr>
              <w:fldChar w:fldCharType="end"/>
            </w:r>
          </w:hyperlink>
        </w:p>
        <w:p w14:paraId="5001475C" w14:textId="558F8AD5" w:rsidR="0090051C" w:rsidRPr="003A7E34" w:rsidRDefault="008A1805">
          <w:pPr>
            <w:pStyle w:val="TOC1"/>
            <w:tabs>
              <w:tab w:val="left" w:pos="440"/>
              <w:tab w:val="right" w:leader="dot" w:pos="9627"/>
            </w:tabs>
            <w:rPr>
              <w:rFonts w:asciiTheme="minorHAnsi" w:eastAsiaTheme="minorEastAsia" w:hAnsiTheme="minorHAnsi" w:cstheme="minorBidi"/>
              <w:noProof/>
              <w:lang w:val="lt-LT" w:eastAsia="lt-LT"/>
            </w:rPr>
          </w:pPr>
          <w:hyperlink w:anchor="_Toc530414166" w:history="1">
            <w:r w:rsidR="0090051C" w:rsidRPr="003A7E34">
              <w:rPr>
                <w:rStyle w:val="Hyperlink"/>
                <w:rFonts w:eastAsia="Calibri"/>
                <w:noProof/>
                <w:color w:val="auto"/>
                <w:lang w:val="en-US"/>
              </w:rPr>
              <w:t>4.</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CURRENT SITUATION AND PROJECTIONS WITH EXISTING POLICIES AND MEASURES</w:t>
            </w:r>
            <w:r w:rsidR="0090051C" w:rsidRPr="003A7E34">
              <w:rPr>
                <w:rStyle w:val="Hyperlink"/>
                <w:rFonts w:eastAsia="Times New Roman"/>
                <w:noProof/>
                <w:color w:val="auto"/>
                <w:vertAlign w:val="superscript"/>
                <w:lang w:val="en-US"/>
              </w:rPr>
              <w:t>,</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_Toc530414166 \h </w:instrText>
            </w:r>
            <w:r w:rsidR="0090051C" w:rsidRPr="003A7E34">
              <w:rPr>
                <w:noProof/>
                <w:webHidden/>
              </w:rPr>
            </w:r>
            <w:r w:rsidR="0090051C" w:rsidRPr="003A7E34">
              <w:rPr>
                <w:noProof/>
                <w:webHidden/>
              </w:rPr>
              <w:fldChar w:fldCharType="separate"/>
            </w:r>
            <w:r w:rsidR="00041500">
              <w:rPr>
                <w:noProof/>
                <w:webHidden/>
              </w:rPr>
              <w:t>76</w:t>
            </w:r>
            <w:r w:rsidR="0090051C" w:rsidRPr="003A7E34">
              <w:rPr>
                <w:noProof/>
                <w:webHidden/>
              </w:rPr>
              <w:fldChar w:fldCharType="end"/>
            </w:r>
          </w:hyperlink>
        </w:p>
        <w:p w14:paraId="5C1B74EE" w14:textId="60692697"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67" w:history="1">
            <w:r w:rsidR="0090051C" w:rsidRPr="003A7E34">
              <w:rPr>
                <w:rStyle w:val="Hyperlink"/>
                <w:rFonts w:eastAsia="Calibri"/>
                <w:noProof/>
                <w:color w:val="auto"/>
                <w:lang w:val="en-US"/>
              </w:rPr>
              <w:t>4.1.</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Projected evolution of main exogenous factors influencing energy system and GHG emission developments</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_Toc530414167 \h </w:instrText>
            </w:r>
            <w:r w:rsidR="0090051C" w:rsidRPr="003A7E34">
              <w:rPr>
                <w:noProof/>
                <w:webHidden/>
              </w:rPr>
            </w:r>
            <w:r w:rsidR="0090051C" w:rsidRPr="003A7E34">
              <w:rPr>
                <w:noProof/>
                <w:webHidden/>
              </w:rPr>
              <w:fldChar w:fldCharType="separate"/>
            </w:r>
            <w:r w:rsidR="00041500">
              <w:rPr>
                <w:noProof/>
                <w:webHidden/>
              </w:rPr>
              <w:t>76</w:t>
            </w:r>
            <w:r w:rsidR="0090051C" w:rsidRPr="003A7E34">
              <w:rPr>
                <w:noProof/>
                <w:webHidden/>
              </w:rPr>
              <w:fldChar w:fldCharType="end"/>
            </w:r>
          </w:hyperlink>
        </w:p>
        <w:p w14:paraId="2461A681" w14:textId="4DE7F6C8"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68" w:history="1">
            <w:r w:rsidR="0090051C" w:rsidRPr="003A7E34">
              <w:rPr>
                <w:rStyle w:val="Hyperlink"/>
                <w:rFonts w:eastAsia="Calibri"/>
                <w:noProof/>
                <w:color w:val="auto"/>
                <w:lang w:val="en-US"/>
              </w:rPr>
              <w:t>4.2.</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Dimension Decarbonisation</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_Toc530414168 \h </w:instrText>
            </w:r>
            <w:r w:rsidR="0090051C" w:rsidRPr="003A7E34">
              <w:rPr>
                <w:noProof/>
                <w:webHidden/>
              </w:rPr>
            </w:r>
            <w:r w:rsidR="0090051C" w:rsidRPr="003A7E34">
              <w:rPr>
                <w:noProof/>
                <w:webHidden/>
              </w:rPr>
              <w:fldChar w:fldCharType="separate"/>
            </w:r>
            <w:r w:rsidR="00041500">
              <w:rPr>
                <w:noProof/>
                <w:webHidden/>
              </w:rPr>
              <w:t>78</w:t>
            </w:r>
            <w:r w:rsidR="0090051C" w:rsidRPr="003A7E34">
              <w:rPr>
                <w:noProof/>
                <w:webHidden/>
              </w:rPr>
              <w:fldChar w:fldCharType="end"/>
            </w:r>
          </w:hyperlink>
        </w:p>
        <w:p w14:paraId="513D66BF" w14:textId="4B0A2708" w:rsidR="0090051C" w:rsidRPr="003A7E34" w:rsidRDefault="008A1805">
          <w:pPr>
            <w:pStyle w:val="TOC3"/>
            <w:tabs>
              <w:tab w:val="left" w:pos="1320"/>
              <w:tab w:val="right" w:leader="dot" w:pos="9627"/>
            </w:tabs>
            <w:rPr>
              <w:rFonts w:asciiTheme="minorHAnsi" w:eastAsiaTheme="minorEastAsia" w:hAnsiTheme="minorHAnsi" w:cstheme="minorBidi"/>
              <w:noProof/>
              <w:lang w:val="lt-LT" w:eastAsia="lt-LT"/>
            </w:rPr>
          </w:pPr>
          <w:hyperlink w:anchor="_Toc530414169" w:history="1">
            <w:r w:rsidR="0090051C" w:rsidRPr="003A7E34">
              <w:rPr>
                <w:rStyle w:val="Hyperlink"/>
                <w:rFonts w:eastAsia="Calibri"/>
                <w:noProof/>
                <w:color w:val="auto"/>
                <w:lang w:val="en-US"/>
              </w:rPr>
              <w:t>4.2.1.</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GHG emissions and removals</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_Toc530414169 \h </w:instrText>
            </w:r>
            <w:r w:rsidR="0090051C" w:rsidRPr="003A7E34">
              <w:rPr>
                <w:noProof/>
                <w:webHidden/>
              </w:rPr>
            </w:r>
            <w:r w:rsidR="0090051C" w:rsidRPr="003A7E34">
              <w:rPr>
                <w:noProof/>
                <w:webHidden/>
              </w:rPr>
              <w:fldChar w:fldCharType="separate"/>
            </w:r>
            <w:r w:rsidR="00041500">
              <w:rPr>
                <w:noProof/>
                <w:webHidden/>
              </w:rPr>
              <w:t>78</w:t>
            </w:r>
            <w:r w:rsidR="0090051C" w:rsidRPr="003A7E34">
              <w:rPr>
                <w:noProof/>
                <w:webHidden/>
              </w:rPr>
              <w:fldChar w:fldCharType="end"/>
            </w:r>
          </w:hyperlink>
        </w:p>
        <w:p w14:paraId="3B9B9CF5" w14:textId="548840FD" w:rsidR="0090051C" w:rsidRPr="003A7E34" w:rsidRDefault="008A1805">
          <w:pPr>
            <w:pStyle w:val="TOC3"/>
            <w:tabs>
              <w:tab w:val="left" w:pos="1320"/>
              <w:tab w:val="right" w:leader="dot" w:pos="9627"/>
            </w:tabs>
            <w:rPr>
              <w:rFonts w:asciiTheme="minorHAnsi" w:eastAsiaTheme="minorEastAsia" w:hAnsiTheme="minorHAnsi" w:cstheme="minorBidi"/>
              <w:noProof/>
              <w:lang w:val="lt-LT" w:eastAsia="lt-LT"/>
            </w:rPr>
          </w:pPr>
          <w:hyperlink w:anchor="_Toc530414170" w:history="1">
            <w:r w:rsidR="0090051C" w:rsidRPr="003A7E34">
              <w:rPr>
                <w:rStyle w:val="Hyperlink"/>
                <w:rFonts w:eastAsia="Calibri"/>
                <w:noProof/>
                <w:color w:val="auto"/>
                <w:lang w:val="en-US"/>
              </w:rPr>
              <w:t>4.2.2.</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Renewable energy</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_Toc530414170 \h </w:instrText>
            </w:r>
            <w:r w:rsidR="0090051C" w:rsidRPr="003A7E34">
              <w:rPr>
                <w:noProof/>
                <w:webHidden/>
              </w:rPr>
            </w:r>
            <w:r w:rsidR="0090051C" w:rsidRPr="003A7E34">
              <w:rPr>
                <w:noProof/>
                <w:webHidden/>
              </w:rPr>
              <w:fldChar w:fldCharType="separate"/>
            </w:r>
            <w:r w:rsidR="00041500">
              <w:rPr>
                <w:noProof/>
                <w:webHidden/>
              </w:rPr>
              <w:t>87</w:t>
            </w:r>
            <w:r w:rsidR="0090051C" w:rsidRPr="003A7E34">
              <w:rPr>
                <w:noProof/>
                <w:webHidden/>
              </w:rPr>
              <w:fldChar w:fldCharType="end"/>
            </w:r>
          </w:hyperlink>
        </w:p>
        <w:p w14:paraId="5BE1283C" w14:textId="6F472E49"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71" w:history="1">
            <w:r w:rsidR="0090051C" w:rsidRPr="003A7E34">
              <w:rPr>
                <w:rStyle w:val="Hyperlink"/>
                <w:rFonts w:eastAsia="Calibri"/>
                <w:noProof/>
                <w:color w:val="auto"/>
                <w:lang w:val="en-US"/>
              </w:rPr>
              <w:t>4.3.</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Dimension Energy efficiency</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_Toc530414171 \h </w:instrText>
            </w:r>
            <w:r w:rsidR="0090051C" w:rsidRPr="003A7E34">
              <w:rPr>
                <w:noProof/>
                <w:webHidden/>
              </w:rPr>
            </w:r>
            <w:r w:rsidR="0090051C" w:rsidRPr="003A7E34">
              <w:rPr>
                <w:noProof/>
                <w:webHidden/>
              </w:rPr>
              <w:fldChar w:fldCharType="separate"/>
            </w:r>
            <w:r w:rsidR="00041500">
              <w:rPr>
                <w:noProof/>
                <w:webHidden/>
              </w:rPr>
              <w:t>90</w:t>
            </w:r>
            <w:r w:rsidR="0090051C" w:rsidRPr="003A7E34">
              <w:rPr>
                <w:noProof/>
                <w:webHidden/>
              </w:rPr>
              <w:fldChar w:fldCharType="end"/>
            </w:r>
          </w:hyperlink>
        </w:p>
        <w:p w14:paraId="67D17FB4" w14:textId="6F3CCA17"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72" w:history="1">
            <w:r w:rsidR="0090051C" w:rsidRPr="003A7E34">
              <w:rPr>
                <w:rStyle w:val="Hyperlink"/>
                <w:rFonts w:eastAsia="Calibri"/>
                <w:noProof/>
                <w:color w:val="auto"/>
                <w:lang w:val="en-US"/>
              </w:rPr>
              <w:t>4.4.</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Dimension energy security</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_Toc530414172 \h </w:instrText>
            </w:r>
            <w:r w:rsidR="0090051C" w:rsidRPr="003A7E34">
              <w:rPr>
                <w:noProof/>
                <w:webHidden/>
              </w:rPr>
            </w:r>
            <w:r w:rsidR="0090051C" w:rsidRPr="003A7E34">
              <w:rPr>
                <w:noProof/>
                <w:webHidden/>
              </w:rPr>
              <w:fldChar w:fldCharType="separate"/>
            </w:r>
            <w:r w:rsidR="00041500">
              <w:rPr>
                <w:noProof/>
                <w:webHidden/>
              </w:rPr>
              <w:t>91</w:t>
            </w:r>
            <w:r w:rsidR="0090051C" w:rsidRPr="003A7E34">
              <w:rPr>
                <w:noProof/>
                <w:webHidden/>
              </w:rPr>
              <w:fldChar w:fldCharType="end"/>
            </w:r>
          </w:hyperlink>
        </w:p>
        <w:p w14:paraId="6B1D0A88" w14:textId="592CA52E"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73" w:history="1">
            <w:r w:rsidR="0090051C" w:rsidRPr="003A7E34">
              <w:rPr>
                <w:rStyle w:val="Hyperlink"/>
                <w:rFonts w:eastAsia="Calibri"/>
                <w:noProof/>
                <w:color w:val="auto"/>
                <w:lang w:val="en-US"/>
              </w:rPr>
              <w:t>4.5.</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Dimension internal energy market</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_Toc530414173 \h </w:instrText>
            </w:r>
            <w:r w:rsidR="0090051C" w:rsidRPr="003A7E34">
              <w:rPr>
                <w:noProof/>
                <w:webHidden/>
              </w:rPr>
            </w:r>
            <w:r w:rsidR="0090051C" w:rsidRPr="003A7E34">
              <w:rPr>
                <w:noProof/>
                <w:webHidden/>
              </w:rPr>
              <w:fldChar w:fldCharType="separate"/>
            </w:r>
            <w:r w:rsidR="00041500">
              <w:rPr>
                <w:noProof/>
                <w:webHidden/>
              </w:rPr>
              <w:t>93</w:t>
            </w:r>
            <w:r w:rsidR="0090051C" w:rsidRPr="003A7E34">
              <w:rPr>
                <w:noProof/>
                <w:webHidden/>
              </w:rPr>
              <w:fldChar w:fldCharType="end"/>
            </w:r>
          </w:hyperlink>
        </w:p>
        <w:p w14:paraId="542A040F" w14:textId="3FFC6454" w:rsidR="0090051C" w:rsidRPr="003A7E34" w:rsidRDefault="008A1805">
          <w:pPr>
            <w:pStyle w:val="TOC3"/>
            <w:tabs>
              <w:tab w:val="left" w:pos="1320"/>
              <w:tab w:val="right" w:leader="dot" w:pos="9627"/>
            </w:tabs>
            <w:rPr>
              <w:rFonts w:asciiTheme="minorHAnsi" w:eastAsiaTheme="minorEastAsia" w:hAnsiTheme="minorHAnsi" w:cstheme="minorBidi"/>
              <w:noProof/>
              <w:lang w:val="lt-LT" w:eastAsia="lt-LT"/>
            </w:rPr>
          </w:pPr>
          <w:hyperlink w:anchor="_Toc530414174" w:history="1">
            <w:r w:rsidR="0090051C" w:rsidRPr="003A7E34">
              <w:rPr>
                <w:rStyle w:val="Hyperlink"/>
                <w:rFonts w:eastAsia="Calibri"/>
                <w:noProof/>
                <w:color w:val="auto"/>
                <w:lang w:val="en-US"/>
              </w:rPr>
              <w:t>4.5.1.</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Electricity interconnectivity</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_Toc530414174 \h </w:instrText>
            </w:r>
            <w:r w:rsidR="0090051C" w:rsidRPr="003A7E34">
              <w:rPr>
                <w:noProof/>
                <w:webHidden/>
              </w:rPr>
            </w:r>
            <w:r w:rsidR="0090051C" w:rsidRPr="003A7E34">
              <w:rPr>
                <w:noProof/>
                <w:webHidden/>
              </w:rPr>
              <w:fldChar w:fldCharType="separate"/>
            </w:r>
            <w:r w:rsidR="00041500">
              <w:rPr>
                <w:noProof/>
                <w:webHidden/>
              </w:rPr>
              <w:t>93</w:t>
            </w:r>
            <w:r w:rsidR="0090051C" w:rsidRPr="003A7E34">
              <w:rPr>
                <w:noProof/>
                <w:webHidden/>
              </w:rPr>
              <w:fldChar w:fldCharType="end"/>
            </w:r>
          </w:hyperlink>
        </w:p>
        <w:p w14:paraId="6AEA88A4" w14:textId="422687EA" w:rsidR="0090051C" w:rsidRPr="003A7E34" w:rsidRDefault="008A1805">
          <w:pPr>
            <w:pStyle w:val="TOC3"/>
            <w:tabs>
              <w:tab w:val="left" w:pos="1320"/>
              <w:tab w:val="right" w:leader="dot" w:pos="9627"/>
            </w:tabs>
            <w:rPr>
              <w:rFonts w:asciiTheme="minorHAnsi" w:eastAsiaTheme="minorEastAsia" w:hAnsiTheme="minorHAnsi" w:cstheme="minorBidi"/>
              <w:noProof/>
              <w:lang w:val="lt-LT" w:eastAsia="lt-LT"/>
            </w:rPr>
          </w:pPr>
          <w:hyperlink w:anchor="_Toc530414175" w:history="1">
            <w:r w:rsidR="0090051C" w:rsidRPr="003A7E34">
              <w:rPr>
                <w:rStyle w:val="Hyperlink"/>
                <w:rFonts w:eastAsia="Calibri"/>
                <w:noProof/>
                <w:color w:val="auto"/>
                <w:lang w:val="en-US"/>
              </w:rPr>
              <w:t>4.5.2.</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Energy transmission infrastructure</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_Toc530414175 \h </w:instrText>
            </w:r>
            <w:r w:rsidR="0090051C" w:rsidRPr="003A7E34">
              <w:rPr>
                <w:noProof/>
                <w:webHidden/>
              </w:rPr>
            </w:r>
            <w:r w:rsidR="0090051C" w:rsidRPr="003A7E34">
              <w:rPr>
                <w:noProof/>
                <w:webHidden/>
              </w:rPr>
              <w:fldChar w:fldCharType="separate"/>
            </w:r>
            <w:r w:rsidR="00041500">
              <w:rPr>
                <w:noProof/>
                <w:webHidden/>
              </w:rPr>
              <w:t>93</w:t>
            </w:r>
            <w:r w:rsidR="0090051C" w:rsidRPr="003A7E34">
              <w:rPr>
                <w:noProof/>
                <w:webHidden/>
              </w:rPr>
              <w:fldChar w:fldCharType="end"/>
            </w:r>
          </w:hyperlink>
        </w:p>
        <w:p w14:paraId="4288E993" w14:textId="7F64972D" w:rsidR="0090051C" w:rsidRPr="003A7E34" w:rsidRDefault="008A1805">
          <w:pPr>
            <w:pStyle w:val="TOC3"/>
            <w:tabs>
              <w:tab w:val="left" w:pos="1320"/>
              <w:tab w:val="right" w:leader="dot" w:pos="9627"/>
            </w:tabs>
            <w:rPr>
              <w:rFonts w:asciiTheme="minorHAnsi" w:eastAsiaTheme="minorEastAsia" w:hAnsiTheme="minorHAnsi" w:cstheme="minorBidi"/>
              <w:noProof/>
              <w:lang w:val="lt-LT" w:eastAsia="lt-LT"/>
            </w:rPr>
          </w:pPr>
          <w:hyperlink w:anchor="_Toc530414176" w:history="1">
            <w:r w:rsidR="0090051C" w:rsidRPr="003A7E34">
              <w:rPr>
                <w:rStyle w:val="Hyperlink"/>
                <w:rFonts w:eastAsia="Calibri"/>
                <w:noProof/>
                <w:color w:val="auto"/>
                <w:lang w:val="en-US"/>
              </w:rPr>
              <w:t>4.5.3.</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Electricity and gas markets, energy prices</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_Toc530414176 \h </w:instrText>
            </w:r>
            <w:r w:rsidR="0090051C" w:rsidRPr="003A7E34">
              <w:rPr>
                <w:noProof/>
                <w:webHidden/>
              </w:rPr>
            </w:r>
            <w:r w:rsidR="0090051C" w:rsidRPr="003A7E34">
              <w:rPr>
                <w:noProof/>
                <w:webHidden/>
              </w:rPr>
              <w:fldChar w:fldCharType="separate"/>
            </w:r>
            <w:r w:rsidR="00041500">
              <w:rPr>
                <w:noProof/>
                <w:webHidden/>
              </w:rPr>
              <w:t>95</w:t>
            </w:r>
            <w:r w:rsidR="0090051C" w:rsidRPr="003A7E34">
              <w:rPr>
                <w:noProof/>
                <w:webHidden/>
              </w:rPr>
              <w:fldChar w:fldCharType="end"/>
            </w:r>
          </w:hyperlink>
        </w:p>
        <w:p w14:paraId="197578C2" w14:textId="6ADC3604"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77" w:history="1">
            <w:r w:rsidR="0090051C" w:rsidRPr="003A7E34">
              <w:rPr>
                <w:rStyle w:val="Hyperlink"/>
                <w:rFonts w:eastAsia="Calibri"/>
                <w:noProof/>
                <w:color w:val="auto"/>
                <w:lang w:val="en-US"/>
              </w:rPr>
              <w:t>4.6.</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Dimension research, innovation and competitiveness</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_Toc530414177 \h </w:instrText>
            </w:r>
            <w:r w:rsidR="0090051C" w:rsidRPr="003A7E34">
              <w:rPr>
                <w:noProof/>
                <w:webHidden/>
              </w:rPr>
            </w:r>
            <w:r w:rsidR="0090051C" w:rsidRPr="003A7E34">
              <w:rPr>
                <w:noProof/>
                <w:webHidden/>
              </w:rPr>
              <w:fldChar w:fldCharType="separate"/>
            </w:r>
            <w:r w:rsidR="00041500">
              <w:rPr>
                <w:noProof/>
                <w:webHidden/>
              </w:rPr>
              <w:t>100</w:t>
            </w:r>
            <w:r w:rsidR="0090051C" w:rsidRPr="003A7E34">
              <w:rPr>
                <w:noProof/>
                <w:webHidden/>
              </w:rPr>
              <w:fldChar w:fldCharType="end"/>
            </w:r>
          </w:hyperlink>
        </w:p>
        <w:p w14:paraId="4AA66179" w14:textId="1FB9256B" w:rsidR="0090051C" w:rsidRPr="003A7E34" w:rsidRDefault="008A1805">
          <w:pPr>
            <w:pStyle w:val="TOC1"/>
            <w:tabs>
              <w:tab w:val="left" w:pos="440"/>
              <w:tab w:val="right" w:leader="dot" w:pos="9627"/>
            </w:tabs>
            <w:rPr>
              <w:rFonts w:asciiTheme="minorHAnsi" w:eastAsiaTheme="minorEastAsia" w:hAnsiTheme="minorHAnsi" w:cstheme="minorBidi"/>
              <w:noProof/>
              <w:lang w:val="lt-LT" w:eastAsia="lt-LT"/>
            </w:rPr>
          </w:pPr>
          <w:hyperlink w:anchor="_Toc530414178" w:history="1">
            <w:r w:rsidR="0090051C" w:rsidRPr="003A7E34">
              <w:rPr>
                <w:rStyle w:val="Hyperlink"/>
                <w:rFonts w:eastAsia="Calibri"/>
                <w:noProof/>
                <w:color w:val="auto"/>
                <w:lang w:val="en-US"/>
              </w:rPr>
              <w:t>5.</w:t>
            </w:r>
            <w:r w:rsidR="0090051C" w:rsidRPr="003A7E34">
              <w:rPr>
                <w:rFonts w:asciiTheme="minorHAnsi" w:eastAsiaTheme="minorEastAsia" w:hAnsiTheme="minorHAnsi" w:cstheme="minorBidi"/>
                <w:noProof/>
                <w:lang w:val="lt-LT" w:eastAsia="lt-LT"/>
              </w:rPr>
              <w:tab/>
            </w:r>
            <w:r w:rsidR="0090051C" w:rsidRPr="003A7E34">
              <w:rPr>
                <w:rStyle w:val="Hyperlink"/>
                <w:noProof/>
                <w:color w:val="auto"/>
                <w:lang w:val="en-US"/>
              </w:rPr>
              <w:t>IMPACT ASSESSMENT OF PLANNED POLICIES AND MEASURES</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_Toc530414178 \h </w:instrText>
            </w:r>
            <w:r w:rsidR="0090051C" w:rsidRPr="003A7E34">
              <w:rPr>
                <w:noProof/>
                <w:webHidden/>
              </w:rPr>
            </w:r>
            <w:r w:rsidR="0090051C" w:rsidRPr="003A7E34">
              <w:rPr>
                <w:noProof/>
                <w:webHidden/>
              </w:rPr>
              <w:fldChar w:fldCharType="separate"/>
            </w:r>
            <w:r w:rsidR="00041500">
              <w:rPr>
                <w:noProof/>
                <w:webHidden/>
              </w:rPr>
              <w:t>109</w:t>
            </w:r>
            <w:r w:rsidR="0090051C" w:rsidRPr="003A7E34">
              <w:rPr>
                <w:noProof/>
                <w:webHidden/>
              </w:rPr>
              <w:fldChar w:fldCharType="end"/>
            </w:r>
          </w:hyperlink>
        </w:p>
        <w:p w14:paraId="6BF6453B" w14:textId="6564DCA4"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79" w:history="1">
            <w:r w:rsidR="0090051C" w:rsidRPr="003A7E34">
              <w:rPr>
                <w:rStyle w:val="Hyperlink"/>
                <w:rFonts w:eastAsia="Calibri"/>
                <w:noProof/>
                <w:color w:val="auto"/>
                <w:lang w:val="en-US"/>
              </w:rPr>
              <w:t>5.1.</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Impacts of planned policies and measures described in section 3 on energy system and GHG emissions and removals including comparison to projections with existing policies and measures (as described in section 4).</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_Toc530414179 \h </w:instrText>
            </w:r>
            <w:r w:rsidR="0090051C" w:rsidRPr="003A7E34">
              <w:rPr>
                <w:noProof/>
                <w:webHidden/>
              </w:rPr>
            </w:r>
            <w:r w:rsidR="0090051C" w:rsidRPr="003A7E34">
              <w:rPr>
                <w:noProof/>
                <w:webHidden/>
              </w:rPr>
              <w:fldChar w:fldCharType="separate"/>
            </w:r>
            <w:r w:rsidR="00041500">
              <w:rPr>
                <w:noProof/>
                <w:webHidden/>
              </w:rPr>
              <w:t>109</w:t>
            </w:r>
            <w:r w:rsidR="0090051C" w:rsidRPr="003A7E34">
              <w:rPr>
                <w:noProof/>
                <w:webHidden/>
              </w:rPr>
              <w:fldChar w:fldCharType="end"/>
            </w:r>
          </w:hyperlink>
        </w:p>
        <w:p w14:paraId="61CAE650" w14:textId="4CF3B520"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80" w:history="1">
            <w:r w:rsidR="0090051C" w:rsidRPr="003A7E34">
              <w:rPr>
                <w:rStyle w:val="Hyperlink"/>
                <w:rFonts w:eastAsia="Calibri"/>
                <w:noProof/>
                <w:color w:val="auto"/>
                <w:lang w:val="en-US"/>
              </w:rPr>
              <w:t>5.2.</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 xml:space="preserve">Macroeconomic </w:t>
            </w:r>
            <w:r w:rsidR="0090051C" w:rsidRPr="003A7E34">
              <w:rPr>
                <w:rStyle w:val="Hyperlink"/>
                <w:rFonts w:eastAsia="Times New Roman"/>
                <w:i/>
                <w:iCs/>
                <w:noProof/>
                <w:color w:val="auto"/>
                <w:lang w:val="en-US"/>
              </w:rPr>
              <w:t>and, to the extent feasible, the health</w:t>
            </w:r>
            <w:r w:rsidR="0090051C" w:rsidRPr="003A7E34">
              <w:rPr>
                <w:rStyle w:val="Hyperlink"/>
                <w:rFonts w:eastAsia="Times New Roman"/>
                <w:noProof/>
                <w:color w:val="auto"/>
                <w:lang w:val="en-US"/>
              </w:rPr>
              <w:t xml:space="preserve">, environmental, </w:t>
            </w:r>
            <w:r w:rsidR="0090051C" w:rsidRPr="003A7E34">
              <w:rPr>
                <w:rStyle w:val="Hyperlink"/>
                <w:rFonts w:eastAsia="Times New Roman"/>
                <w:i/>
                <w:iCs/>
                <w:noProof/>
                <w:color w:val="auto"/>
                <w:lang w:val="en-US"/>
              </w:rPr>
              <w:t>employment and educatio</w:t>
            </w:r>
            <w:r w:rsidR="0090051C" w:rsidRPr="003A7E34">
              <w:rPr>
                <w:rStyle w:val="Hyperlink"/>
                <w:rFonts w:eastAsia="Times New Roman"/>
                <w:noProof/>
                <w:color w:val="auto"/>
                <w:lang w:val="en-US"/>
              </w:rPr>
              <w:t xml:space="preserve">n, skills and social impacts </w:t>
            </w:r>
            <w:r w:rsidR="0090051C" w:rsidRPr="003A7E34">
              <w:rPr>
                <w:rStyle w:val="Hyperlink"/>
                <w:rFonts w:eastAsia="Times New Roman"/>
                <w:i/>
                <w:iCs/>
                <w:noProof/>
                <w:color w:val="auto"/>
                <w:lang w:val="en-US"/>
              </w:rPr>
              <w:t>including just transition aspects</w:t>
            </w:r>
            <w:r w:rsidR="0090051C" w:rsidRPr="003A7E34">
              <w:rPr>
                <w:rStyle w:val="Hyperlink"/>
                <w:rFonts w:eastAsia="Times New Roman"/>
                <w:noProof/>
                <w:color w:val="auto"/>
                <w:lang w:val="en-US"/>
              </w:rPr>
              <w:t xml:space="preserve"> (in terms of costs and benefits as well as cost-effectiveness) of the planned policies and measures described in section 3 at least until the last year of the period covered by the plan, including comparison to projections with existing policies and measures</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_Toc530414180 \h </w:instrText>
            </w:r>
            <w:r w:rsidR="0090051C" w:rsidRPr="003A7E34">
              <w:rPr>
                <w:noProof/>
                <w:webHidden/>
              </w:rPr>
            </w:r>
            <w:r w:rsidR="0090051C" w:rsidRPr="003A7E34">
              <w:rPr>
                <w:noProof/>
                <w:webHidden/>
              </w:rPr>
              <w:fldChar w:fldCharType="separate"/>
            </w:r>
            <w:r w:rsidR="00041500">
              <w:rPr>
                <w:noProof/>
                <w:webHidden/>
              </w:rPr>
              <w:t>110</w:t>
            </w:r>
            <w:r w:rsidR="0090051C" w:rsidRPr="003A7E34">
              <w:rPr>
                <w:noProof/>
                <w:webHidden/>
              </w:rPr>
              <w:fldChar w:fldCharType="end"/>
            </w:r>
          </w:hyperlink>
        </w:p>
        <w:p w14:paraId="3FF26AE5" w14:textId="66699B59"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81" w:history="1">
            <w:r w:rsidR="0090051C" w:rsidRPr="003A7E34">
              <w:rPr>
                <w:rStyle w:val="Hyperlink"/>
                <w:rFonts w:eastAsia="Calibri"/>
                <w:noProof/>
                <w:color w:val="auto"/>
                <w:lang w:val="en-US"/>
              </w:rPr>
              <w:t>5.3.</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Overview of investment needs</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_Toc530414181 \h </w:instrText>
            </w:r>
            <w:r w:rsidR="0090051C" w:rsidRPr="003A7E34">
              <w:rPr>
                <w:noProof/>
                <w:webHidden/>
              </w:rPr>
            </w:r>
            <w:r w:rsidR="0090051C" w:rsidRPr="003A7E34">
              <w:rPr>
                <w:noProof/>
                <w:webHidden/>
              </w:rPr>
              <w:fldChar w:fldCharType="separate"/>
            </w:r>
            <w:r w:rsidR="00041500">
              <w:rPr>
                <w:noProof/>
                <w:webHidden/>
              </w:rPr>
              <w:t>110</w:t>
            </w:r>
            <w:r w:rsidR="0090051C" w:rsidRPr="003A7E34">
              <w:rPr>
                <w:noProof/>
                <w:webHidden/>
              </w:rPr>
              <w:fldChar w:fldCharType="end"/>
            </w:r>
          </w:hyperlink>
        </w:p>
        <w:p w14:paraId="51FBB93E" w14:textId="760B15C2" w:rsidR="0090051C" w:rsidRPr="003A7E34" w:rsidRDefault="008A1805">
          <w:pPr>
            <w:pStyle w:val="TOC2"/>
            <w:tabs>
              <w:tab w:val="left" w:pos="880"/>
              <w:tab w:val="right" w:leader="dot" w:pos="9627"/>
            </w:tabs>
            <w:rPr>
              <w:rFonts w:asciiTheme="minorHAnsi" w:eastAsiaTheme="minorEastAsia" w:hAnsiTheme="minorHAnsi" w:cstheme="minorBidi"/>
              <w:noProof/>
              <w:lang w:val="lt-LT" w:eastAsia="lt-LT"/>
            </w:rPr>
          </w:pPr>
          <w:hyperlink w:anchor="_Toc530414182" w:history="1">
            <w:r w:rsidR="0090051C" w:rsidRPr="003A7E34">
              <w:rPr>
                <w:rStyle w:val="Hyperlink"/>
                <w:rFonts w:eastAsia="Calibri"/>
                <w:noProof/>
                <w:color w:val="auto"/>
                <w:lang w:val="en-US"/>
              </w:rPr>
              <w:t>5.4.</w:t>
            </w:r>
            <w:r w:rsidR="0090051C" w:rsidRPr="003A7E34">
              <w:rPr>
                <w:rFonts w:asciiTheme="minorHAnsi" w:eastAsiaTheme="minorEastAsia" w:hAnsiTheme="minorHAnsi" w:cstheme="minorBidi"/>
                <w:noProof/>
                <w:lang w:val="lt-LT" w:eastAsia="lt-LT"/>
              </w:rPr>
              <w:tab/>
            </w:r>
            <w:r w:rsidR="0090051C" w:rsidRPr="003A7E34">
              <w:rPr>
                <w:rStyle w:val="Hyperlink"/>
                <w:rFonts w:eastAsia="Times New Roman"/>
                <w:noProof/>
                <w:color w:val="auto"/>
                <w:lang w:val="en-US"/>
              </w:rPr>
              <w:t>Impacts of planned policies and measures described in section 3 on other Member States and regional cooperation at least until the last year of the period covered by the plan, including comparison to projections with existing policies and measures</w:t>
            </w:r>
            <w:r w:rsidR="0090051C" w:rsidRPr="003A7E34">
              <w:rPr>
                <w:noProof/>
                <w:webHidden/>
              </w:rPr>
              <w:tab/>
            </w:r>
            <w:r w:rsidR="0090051C" w:rsidRPr="003A7E34">
              <w:rPr>
                <w:noProof/>
                <w:webHidden/>
              </w:rPr>
              <w:fldChar w:fldCharType="begin"/>
            </w:r>
            <w:r w:rsidR="0090051C" w:rsidRPr="003A7E34">
              <w:rPr>
                <w:noProof/>
                <w:webHidden/>
              </w:rPr>
              <w:instrText xml:space="preserve"> PAGEREF _Toc530414182 \h </w:instrText>
            </w:r>
            <w:r w:rsidR="0090051C" w:rsidRPr="003A7E34">
              <w:rPr>
                <w:noProof/>
                <w:webHidden/>
              </w:rPr>
            </w:r>
            <w:r w:rsidR="0090051C" w:rsidRPr="003A7E34">
              <w:rPr>
                <w:noProof/>
                <w:webHidden/>
              </w:rPr>
              <w:fldChar w:fldCharType="separate"/>
            </w:r>
            <w:r w:rsidR="00041500">
              <w:rPr>
                <w:noProof/>
                <w:webHidden/>
              </w:rPr>
              <w:t>110</w:t>
            </w:r>
            <w:r w:rsidR="0090051C" w:rsidRPr="003A7E34">
              <w:rPr>
                <w:noProof/>
                <w:webHidden/>
              </w:rPr>
              <w:fldChar w:fldCharType="end"/>
            </w:r>
          </w:hyperlink>
        </w:p>
        <w:p w14:paraId="711740B8" w14:textId="5CA9411C" w:rsidR="007255BA" w:rsidRPr="003A7E34" w:rsidRDefault="005F06FF" w:rsidP="6172BFD2">
          <w:pPr>
            <w:rPr>
              <w:lang w:val="en-US"/>
            </w:rPr>
          </w:pPr>
          <w:r w:rsidRPr="003A7E34">
            <w:rPr>
              <w:lang w:val="en-US"/>
            </w:rPr>
            <w:fldChar w:fldCharType="end"/>
          </w:r>
        </w:p>
      </w:sdtContent>
    </w:sdt>
    <w:p w14:paraId="63B8B4E0" w14:textId="7EB7C4E0" w:rsidR="00A61CC1" w:rsidRPr="003A7E34" w:rsidRDefault="00A61CC1" w:rsidP="6172BFD2">
      <w:pPr>
        <w:spacing w:before="0" w:after="160"/>
        <w:jc w:val="left"/>
        <w:rPr>
          <w:rFonts w:eastAsia="Times New Roman"/>
          <w:b/>
          <w:bCs/>
          <w:noProof/>
          <w:lang w:val="en-US"/>
        </w:rPr>
      </w:pPr>
      <w:r w:rsidRPr="003A7E34">
        <w:rPr>
          <w:rFonts w:eastAsia="Times New Roman"/>
          <w:b/>
          <w:bCs/>
          <w:noProof/>
          <w:lang w:val="en-US"/>
        </w:rPr>
        <w:br w:type="page"/>
      </w:r>
    </w:p>
    <w:p w14:paraId="3B4E72B7" w14:textId="7EB7C4E0" w:rsidR="00A61CC1" w:rsidRPr="003A7E34" w:rsidRDefault="6172BFD2" w:rsidP="6172BFD2">
      <w:pPr>
        <w:pStyle w:val="Heading1"/>
        <w:rPr>
          <w:rFonts w:eastAsia="Times New Roman" w:cs="Times New Roman"/>
          <w:noProof/>
          <w:lang w:val="en-US"/>
        </w:rPr>
      </w:pPr>
      <w:bookmarkStart w:id="4" w:name="_Toc530405554"/>
      <w:bookmarkStart w:id="5" w:name="_Toc530411785"/>
      <w:bookmarkStart w:id="6" w:name="_Toc530414134"/>
      <w:r w:rsidRPr="003A7E34">
        <w:rPr>
          <w:rFonts w:eastAsia="Times New Roman" w:cs="Times New Roman"/>
          <w:noProof/>
          <w:lang w:val="en-US"/>
        </w:rPr>
        <w:lastRenderedPageBreak/>
        <w:t>SECTION A: NATIONAL PLAN</w:t>
      </w:r>
      <w:bookmarkEnd w:id="4"/>
      <w:bookmarkEnd w:id="5"/>
      <w:bookmarkEnd w:id="6"/>
    </w:p>
    <w:p w14:paraId="4B939E30" w14:textId="7EB7C4E0" w:rsidR="00A61CC1" w:rsidRPr="003A7E34" w:rsidRDefault="6172BFD2" w:rsidP="00C42AAE">
      <w:pPr>
        <w:pStyle w:val="Heading1"/>
        <w:numPr>
          <w:ilvl w:val="0"/>
          <w:numId w:val="24"/>
        </w:numPr>
        <w:rPr>
          <w:rFonts w:cs="Times New Roman"/>
          <w:noProof/>
          <w:lang w:val="en-US"/>
        </w:rPr>
      </w:pPr>
      <w:bookmarkStart w:id="7" w:name="_Toc530405555"/>
      <w:bookmarkStart w:id="8" w:name="_Toc530411786"/>
      <w:bookmarkStart w:id="9" w:name="_Toc530414135"/>
      <w:r w:rsidRPr="003A7E34">
        <w:rPr>
          <w:rFonts w:cs="Times New Roman"/>
          <w:noProof/>
          <w:lang w:val="en-US"/>
        </w:rPr>
        <w:t>OVERVIEW AND PROCESS FOR ESTABLISHING THE PLAN</w:t>
      </w:r>
      <w:bookmarkEnd w:id="7"/>
      <w:bookmarkEnd w:id="8"/>
      <w:bookmarkEnd w:id="9"/>
    </w:p>
    <w:p w14:paraId="05595CCA" w14:textId="13AA3912" w:rsidR="004728D3" w:rsidRDefault="004728D3" w:rsidP="004728D3">
      <w:pPr>
        <w:rPr>
          <w:b/>
          <w:bCs/>
          <w:i/>
          <w:iCs/>
          <w:lang w:val="en-US"/>
        </w:rPr>
      </w:pPr>
      <w:r w:rsidRPr="003A7E34">
        <w:rPr>
          <w:b/>
          <w:i/>
          <w:lang w:val="en-US"/>
        </w:rPr>
        <w:t>NECP preparation and consultation process arrangements</w:t>
      </w:r>
      <w:r w:rsidR="3E771302" w:rsidRPr="003A7E34">
        <w:rPr>
          <w:b/>
          <w:bCs/>
          <w:i/>
          <w:iCs/>
          <w:lang w:val="en-US"/>
        </w:rPr>
        <w:t xml:space="preserve"> </w:t>
      </w:r>
    </w:p>
    <w:p w14:paraId="045C1C98" w14:textId="77777777" w:rsidR="00262517" w:rsidRPr="003A7E34" w:rsidRDefault="00262517" w:rsidP="004728D3">
      <w:pPr>
        <w:rPr>
          <w:b/>
          <w:i/>
          <w:lang w:val="en-US"/>
        </w:rPr>
      </w:pPr>
    </w:p>
    <w:p w14:paraId="4FAE80CB" w14:textId="33EE3E8A" w:rsidR="004728D3" w:rsidRPr="003A7E34" w:rsidRDefault="00723DA4" w:rsidP="003B63D5">
      <w:pPr>
        <w:jc w:val="center"/>
        <w:rPr>
          <w:lang w:val="en-US"/>
        </w:rPr>
      </w:pPr>
      <w:r>
        <w:rPr>
          <w:noProof/>
          <w:lang w:val="en-US"/>
        </w:rPr>
        <w:drawing>
          <wp:inline distT="0" distB="0" distL="0" distR="0" wp14:anchorId="6A1D0EFF" wp14:editId="2FF3B833">
            <wp:extent cx="6119495" cy="35953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495" cy="3595370"/>
                    </a:xfrm>
                    <a:prstGeom prst="rect">
                      <a:avLst/>
                    </a:prstGeom>
                    <a:noFill/>
                    <a:ln>
                      <a:noFill/>
                    </a:ln>
                  </pic:spPr>
                </pic:pic>
              </a:graphicData>
            </a:graphic>
          </wp:inline>
        </w:drawing>
      </w:r>
    </w:p>
    <w:p w14:paraId="2EC4C4DE" w14:textId="77777777" w:rsidR="009B073B" w:rsidRPr="003A7E34" w:rsidRDefault="009B073B" w:rsidP="004728D3">
      <w:pPr>
        <w:rPr>
          <w:lang w:val="en-US"/>
        </w:rPr>
      </w:pPr>
    </w:p>
    <w:p w14:paraId="79286AC1" w14:textId="77777777" w:rsidR="00A61CC1" w:rsidRPr="003A7E34" w:rsidRDefault="00A61CC1" w:rsidP="009B073B">
      <w:pPr>
        <w:pStyle w:val="Heading2"/>
        <w:spacing w:before="0" w:after="120"/>
        <w:rPr>
          <w:rFonts w:cs="Times New Roman"/>
          <w:noProof/>
          <w:lang w:val="en-US"/>
        </w:rPr>
      </w:pPr>
      <w:bookmarkStart w:id="10" w:name="_Toc530405556"/>
      <w:bookmarkStart w:id="11" w:name="_Toc530411787"/>
      <w:bookmarkStart w:id="12" w:name="_Toc530414136"/>
      <w:r w:rsidRPr="003A7E34">
        <w:rPr>
          <w:rFonts w:cs="Times New Roman"/>
          <w:noProof/>
          <w:lang w:val="en-US"/>
        </w:rPr>
        <w:t>1.1.</w:t>
      </w:r>
      <w:r w:rsidRPr="003A7E34">
        <w:rPr>
          <w:rFonts w:cs="Times New Roman"/>
          <w:noProof/>
          <w:lang w:val="en-US"/>
        </w:rPr>
        <w:tab/>
      </w:r>
      <w:r w:rsidRPr="003A7E34">
        <w:rPr>
          <w:rStyle w:val="Heading2Char"/>
          <w:rFonts w:cs="Times New Roman"/>
          <w:b/>
          <w:lang w:val="en-US"/>
        </w:rPr>
        <w:t>Executive summary</w:t>
      </w:r>
      <w:bookmarkEnd w:id="10"/>
      <w:bookmarkEnd w:id="11"/>
      <w:bookmarkEnd w:id="12"/>
    </w:p>
    <w:p w14:paraId="12774B8D" w14:textId="28F263F3" w:rsidR="379B3662" w:rsidRPr="003A7E34" w:rsidRDefault="0064706B" w:rsidP="00C42AAE">
      <w:pPr>
        <w:pStyle w:val="ListParagraph"/>
        <w:numPr>
          <w:ilvl w:val="3"/>
          <w:numId w:val="11"/>
        </w:numPr>
        <w:spacing w:after="120" w:line="240" w:lineRule="auto"/>
        <w:contextualSpacing w:val="0"/>
        <w:rPr>
          <w:rFonts w:ascii="Times New Roman" w:hAnsi="Times New Roman" w:cs="Times New Roman"/>
          <w:b/>
          <w:noProof/>
          <w:lang w:val="en-US"/>
        </w:rPr>
      </w:pPr>
      <w:r w:rsidRPr="003A7E34">
        <w:rPr>
          <w:rFonts w:ascii="Times New Roman" w:hAnsi="Times New Roman" w:cs="Times New Roman"/>
          <w:b/>
          <w:noProof/>
          <w:lang w:val="en-US"/>
        </w:rPr>
        <w:t>Political, economic, environmental, and social context of the plan</w:t>
      </w:r>
    </w:p>
    <w:p w14:paraId="6DD3B285" w14:textId="0FD734C1" w:rsidR="0064706B" w:rsidRPr="003A7E34" w:rsidRDefault="4EA93846" w:rsidP="4EA93846">
      <w:pPr>
        <w:rPr>
          <w:rFonts w:eastAsia="Times New Roman"/>
          <w:noProof/>
          <w:lang w:val="en-US"/>
        </w:rPr>
      </w:pPr>
      <w:r w:rsidRPr="003A7E34">
        <w:rPr>
          <w:rFonts w:eastAsia="Times New Roman"/>
          <w:noProof/>
          <w:lang w:val="en-US"/>
        </w:rPr>
        <w:t>Lithuania presents an integrated national energy and climate plan (hereinafter – the Plan) for the period of 2021–2030 developed in line with the requirements of Article 3 of the Governance of the Energy Union Regulation. In the Plan outlined policies and measures of different economy sectors according to five dimentions of the Energy Union will contribute Lithuania’s fair share towards the implementation of the EU climate and energy targets till 2030 and long term goals of the Paris Agreement.</w:t>
      </w:r>
    </w:p>
    <w:p w14:paraId="702B5687" w14:textId="1B220354" w:rsidR="00D871C8" w:rsidRPr="003A7E34" w:rsidRDefault="4EA93846" w:rsidP="4EA93846">
      <w:pPr>
        <w:rPr>
          <w:rFonts w:eastAsia="Times New Roman"/>
          <w:b/>
          <w:bCs/>
          <w:noProof/>
          <w:lang w:val="en-US"/>
        </w:rPr>
      </w:pPr>
      <w:r w:rsidRPr="003A7E34">
        <w:rPr>
          <w:rFonts w:eastAsia="Times New Roman"/>
          <w:b/>
          <w:bCs/>
          <w:sz w:val="20"/>
          <w:szCs w:val="20"/>
          <w:lang w:val="en-US"/>
        </w:rPr>
        <w:t xml:space="preserve">Table 1.1.1. </w:t>
      </w:r>
      <w:r w:rsidRPr="003A7E34">
        <w:rPr>
          <w:rFonts w:eastAsia="Times New Roman"/>
          <w:sz w:val="20"/>
          <w:szCs w:val="20"/>
          <w:lang w:val="en-US"/>
        </w:rPr>
        <w:t>Key country profile data</w:t>
      </w:r>
    </w:p>
    <w:tbl>
      <w:tblPr>
        <w:tblStyle w:val="TableGrid"/>
        <w:tblW w:w="9855" w:type="dxa"/>
        <w:tblLayout w:type="fixed"/>
        <w:tblLook w:val="04A0" w:firstRow="1" w:lastRow="0" w:firstColumn="1" w:lastColumn="0" w:noHBand="0" w:noVBand="1"/>
      </w:tblPr>
      <w:tblGrid>
        <w:gridCol w:w="2428"/>
        <w:gridCol w:w="7427"/>
      </w:tblGrid>
      <w:tr w:rsidR="003A7E34" w:rsidRPr="003A7E34" w14:paraId="207DBFD7" w14:textId="77777777" w:rsidTr="4EA93846">
        <w:tc>
          <w:tcPr>
            <w:tcW w:w="2428" w:type="dxa"/>
          </w:tcPr>
          <w:p w14:paraId="6519ABAC" w14:textId="77777777" w:rsidR="0064706B" w:rsidRPr="003A7E34" w:rsidRDefault="4EA93846" w:rsidP="4EA93846">
            <w:pPr>
              <w:spacing w:before="0" w:after="0"/>
              <w:rPr>
                <w:rFonts w:eastAsia="Times New Roman"/>
                <w:b/>
                <w:bCs/>
                <w:noProof/>
                <w:sz w:val="20"/>
                <w:szCs w:val="20"/>
                <w:lang w:val="en-US"/>
              </w:rPr>
            </w:pPr>
            <w:r w:rsidRPr="003A7E34">
              <w:rPr>
                <w:rFonts w:eastAsia="Times New Roman"/>
                <w:b/>
                <w:bCs/>
                <w:noProof/>
                <w:sz w:val="20"/>
                <w:szCs w:val="20"/>
                <w:lang w:val="en-US"/>
              </w:rPr>
              <w:t>Area:</w:t>
            </w:r>
          </w:p>
        </w:tc>
        <w:tc>
          <w:tcPr>
            <w:tcW w:w="7427" w:type="dxa"/>
          </w:tcPr>
          <w:p w14:paraId="24DBD4C1" w14:textId="465F53C0" w:rsidR="0064706B" w:rsidRPr="003A7E34" w:rsidRDefault="4EA93846" w:rsidP="4EA93846">
            <w:pPr>
              <w:spacing w:before="0" w:after="0"/>
              <w:rPr>
                <w:rFonts w:eastAsia="Times New Roman"/>
                <w:noProof/>
                <w:sz w:val="20"/>
                <w:szCs w:val="20"/>
                <w:lang w:val="en-US"/>
              </w:rPr>
            </w:pPr>
            <w:r w:rsidRPr="003A7E34">
              <w:rPr>
                <w:rFonts w:eastAsia="Times New Roman"/>
                <w:noProof/>
                <w:sz w:val="20"/>
                <w:szCs w:val="20"/>
                <w:lang w:val="en-US"/>
              </w:rPr>
              <w:t>65 300 km</w:t>
            </w:r>
            <w:r w:rsidRPr="003A7E34">
              <w:rPr>
                <w:rFonts w:eastAsia="Times New Roman"/>
                <w:noProof/>
                <w:sz w:val="20"/>
                <w:szCs w:val="20"/>
                <w:vertAlign w:val="superscript"/>
                <w:lang w:val="en-US"/>
              </w:rPr>
              <w:t>2</w:t>
            </w:r>
          </w:p>
        </w:tc>
      </w:tr>
      <w:tr w:rsidR="003A7E34" w:rsidRPr="003A7E34" w14:paraId="654681FE" w14:textId="77777777" w:rsidTr="4EA93846">
        <w:tc>
          <w:tcPr>
            <w:tcW w:w="2428" w:type="dxa"/>
          </w:tcPr>
          <w:p w14:paraId="133558C6" w14:textId="73766B0B" w:rsidR="0064706B" w:rsidRPr="003A7E34" w:rsidRDefault="4EA93846" w:rsidP="4EA93846">
            <w:pPr>
              <w:spacing w:before="0" w:after="0"/>
              <w:rPr>
                <w:rFonts w:eastAsia="Times New Roman"/>
                <w:b/>
                <w:bCs/>
                <w:noProof/>
                <w:sz w:val="20"/>
                <w:szCs w:val="20"/>
                <w:lang w:val="en-US"/>
              </w:rPr>
            </w:pPr>
            <w:r w:rsidRPr="003A7E34">
              <w:rPr>
                <w:rFonts w:eastAsia="Times New Roman"/>
                <w:b/>
                <w:bCs/>
                <w:noProof/>
                <w:sz w:val="20"/>
                <w:szCs w:val="20"/>
                <w:lang w:val="en-US"/>
              </w:rPr>
              <w:t>Population (2017):</w:t>
            </w:r>
          </w:p>
        </w:tc>
        <w:tc>
          <w:tcPr>
            <w:tcW w:w="7427" w:type="dxa"/>
          </w:tcPr>
          <w:p w14:paraId="009B6A37" w14:textId="59A1F2A3" w:rsidR="0064706B" w:rsidRPr="003A7E34" w:rsidRDefault="4EA93846" w:rsidP="4EA93846">
            <w:pPr>
              <w:spacing w:before="0" w:after="0"/>
              <w:rPr>
                <w:rFonts w:eastAsia="Times New Roman"/>
                <w:noProof/>
                <w:sz w:val="20"/>
                <w:szCs w:val="20"/>
                <w:lang w:val="en-US"/>
              </w:rPr>
            </w:pPr>
            <w:r w:rsidRPr="003A7E34">
              <w:rPr>
                <w:rFonts w:eastAsia="Times New Roman"/>
                <w:noProof/>
                <w:sz w:val="20"/>
                <w:szCs w:val="20"/>
                <w:lang w:val="en-US"/>
              </w:rPr>
              <w:t>2 921 262</w:t>
            </w:r>
          </w:p>
        </w:tc>
      </w:tr>
      <w:tr w:rsidR="003A7E34" w:rsidRPr="003A7E34" w14:paraId="5FCB2D6A" w14:textId="77777777" w:rsidTr="4EA93846">
        <w:tc>
          <w:tcPr>
            <w:tcW w:w="2428" w:type="dxa"/>
            <w:vAlign w:val="center"/>
          </w:tcPr>
          <w:p w14:paraId="6D31161C" w14:textId="77777777" w:rsidR="0064706B" w:rsidRPr="003A7E34" w:rsidRDefault="0064706B" w:rsidP="00D871C8">
            <w:pPr>
              <w:spacing w:before="0" w:after="0"/>
              <w:rPr>
                <w:rFonts w:eastAsia="Times New Roman"/>
                <w:b/>
                <w:bCs/>
                <w:noProof/>
                <w:sz w:val="20"/>
                <w:szCs w:val="20"/>
                <w:lang w:val="en-US"/>
              </w:rPr>
            </w:pPr>
            <w:r w:rsidRPr="003A7E34">
              <w:rPr>
                <w:rFonts w:eastAsia="Times New Roman"/>
                <w:b/>
                <w:bCs/>
                <w:noProof/>
                <w:sz w:val="20"/>
                <w:szCs w:val="20"/>
                <w:lang w:val="en-US"/>
              </w:rPr>
              <w:t>Forests:</w:t>
            </w:r>
          </w:p>
        </w:tc>
        <w:tc>
          <w:tcPr>
            <w:tcW w:w="7427" w:type="dxa"/>
          </w:tcPr>
          <w:p w14:paraId="0F2A2B48" w14:textId="426E65E9" w:rsidR="0064706B" w:rsidRPr="003A7E34" w:rsidRDefault="46DF7FC9" w:rsidP="46DF7FC9">
            <w:pPr>
              <w:spacing w:before="0" w:after="0"/>
              <w:rPr>
                <w:rFonts w:eastAsia="Times New Roman"/>
                <w:noProof/>
                <w:sz w:val="20"/>
                <w:szCs w:val="20"/>
                <w:lang w:val="en-US"/>
              </w:rPr>
            </w:pPr>
            <w:r w:rsidRPr="003A7E34">
              <w:rPr>
                <w:rFonts w:eastAsia="Times New Roman"/>
                <w:noProof/>
                <w:sz w:val="20"/>
                <w:szCs w:val="20"/>
                <w:lang w:val="en-US"/>
              </w:rPr>
              <w:t>Cover 33.4% territory</w:t>
            </w:r>
          </w:p>
        </w:tc>
      </w:tr>
      <w:tr w:rsidR="003A7E34" w:rsidRPr="003A7E34" w14:paraId="77CF882E" w14:textId="77777777" w:rsidTr="4EA93846">
        <w:tc>
          <w:tcPr>
            <w:tcW w:w="2428" w:type="dxa"/>
            <w:vAlign w:val="center"/>
          </w:tcPr>
          <w:p w14:paraId="109A278F" w14:textId="77777777" w:rsidR="0064706B" w:rsidRPr="003A7E34" w:rsidRDefault="0064706B" w:rsidP="00D871C8">
            <w:pPr>
              <w:spacing w:before="0" w:after="0"/>
              <w:rPr>
                <w:rFonts w:eastAsia="Times New Roman"/>
                <w:b/>
                <w:bCs/>
                <w:noProof/>
                <w:sz w:val="20"/>
                <w:szCs w:val="20"/>
                <w:lang w:val="en-US"/>
              </w:rPr>
            </w:pPr>
            <w:r w:rsidRPr="003A7E34">
              <w:rPr>
                <w:rFonts w:eastAsia="Times New Roman"/>
                <w:b/>
                <w:bCs/>
                <w:noProof/>
                <w:sz w:val="20"/>
                <w:szCs w:val="20"/>
                <w:lang w:val="en-US"/>
              </w:rPr>
              <w:t>Climate:</w:t>
            </w:r>
          </w:p>
        </w:tc>
        <w:tc>
          <w:tcPr>
            <w:tcW w:w="7427" w:type="dxa"/>
          </w:tcPr>
          <w:p w14:paraId="04EC4995" w14:textId="109A765B" w:rsidR="0064706B" w:rsidRPr="003A7E34" w:rsidRDefault="0064706B" w:rsidP="00D871C8">
            <w:pPr>
              <w:spacing w:before="0" w:after="0"/>
              <w:rPr>
                <w:rFonts w:eastAsia="Times New Roman"/>
                <w:noProof/>
                <w:sz w:val="20"/>
                <w:szCs w:val="20"/>
                <w:lang w:val="en-US"/>
              </w:rPr>
            </w:pPr>
            <w:r w:rsidRPr="003A7E34">
              <w:rPr>
                <w:rFonts w:eastAsia="Times New Roman"/>
                <w:noProof/>
                <w:sz w:val="20"/>
                <w:szCs w:val="20"/>
                <w:lang w:val="en-US"/>
              </w:rPr>
              <w:t>Ranges between maritime and continental. The average temperatures are +19°C in July and -3°C in January</w:t>
            </w:r>
          </w:p>
        </w:tc>
      </w:tr>
      <w:tr w:rsidR="003A7E34" w:rsidRPr="003A7E34" w14:paraId="3841769C" w14:textId="77777777" w:rsidTr="4EA93846">
        <w:tc>
          <w:tcPr>
            <w:tcW w:w="2428" w:type="dxa"/>
            <w:vAlign w:val="center"/>
          </w:tcPr>
          <w:p w14:paraId="6FA84F9C" w14:textId="77777777" w:rsidR="0064706B" w:rsidRPr="003A7E34" w:rsidRDefault="0064706B" w:rsidP="00D871C8">
            <w:pPr>
              <w:spacing w:before="0" w:after="0"/>
              <w:rPr>
                <w:rFonts w:eastAsia="Times New Roman"/>
                <w:b/>
                <w:bCs/>
                <w:noProof/>
                <w:sz w:val="20"/>
                <w:szCs w:val="20"/>
                <w:lang w:val="en-US"/>
              </w:rPr>
            </w:pPr>
            <w:r w:rsidRPr="003A7E34">
              <w:rPr>
                <w:rFonts w:eastAsia="Times New Roman"/>
                <w:b/>
                <w:bCs/>
                <w:noProof/>
                <w:sz w:val="20"/>
                <w:szCs w:val="20"/>
                <w:lang w:val="en-US"/>
              </w:rPr>
              <w:t>Lithuania's GDP growth</w:t>
            </w:r>
          </w:p>
        </w:tc>
        <w:tc>
          <w:tcPr>
            <w:tcW w:w="7427" w:type="dxa"/>
          </w:tcPr>
          <w:p w14:paraId="2702FA1A" w14:textId="77777777" w:rsidR="0064706B" w:rsidRPr="003A7E34" w:rsidRDefault="0064706B" w:rsidP="00D871C8">
            <w:pPr>
              <w:spacing w:before="0" w:after="0"/>
              <w:rPr>
                <w:rFonts w:eastAsia="Times New Roman"/>
                <w:noProof/>
                <w:sz w:val="20"/>
                <w:szCs w:val="20"/>
                <w:lang w:val="en-US"/>
              </w:rPr>
            </w:pPr>
            <w:r w:rsidRPr="003A7E34">
              <w:rPr>
                <w:rFonts w:eastAsia="Times New Roman"/>
                <w:noProof/>
                <w:sz w:val="20"/>
                <w:szCs w:val="20"/>
                <w:lang w:val="en-US"/>
              </w:rPr>
              <w:t>3.6% in 2017</w:t>
            </w:r>
          </w:p>
        </w:tc>
      </w:tr>
      <w:tr w:rsidR="0064706B" w:rsidRPr="003A7E34" w14:paraId="3E0191D7" w14:textId="77777777" w:rsidTr="4EA93846">
        <w:tc>
          <w:tcPr>
            <w:tcW w:w="2428" w:type="dxa"/>
            <w:vAlign w:val="center"/>
          </w:tcPr>
          <w:p w14:paraId="42701D3B" w14:textId="77777777" w:rsidR="0064706B" w:rsidRPr="003A7E34" w:rsidRDefault="0064706B" w:rsidP="00D871C8">
            <w:pPr>
              <w:spacing w:before="0" w:after="0"/>
              <w:rPr>
                <w:rFonts w:eastAsia="Times New Roman"/>
                <w:b/>
                <w:bCs/>
                <w:noProof/>
                <w:sz w:val="20"/>
                <w:szCs w:val="20"/>
                <w:lang w:val="en-US"/>
              </w:rPr>
            </w:pPr>
            <w:r w:rsidRPr="003A7E34">
              <w:rPr>
                <w:rFonts w:eastAsia="Times New Roman"/>
                <w:b/>
                <w:bCs/>
                <w:noProof/>
                <w:sz w:val="20"/>
                <w:szCs w:val="20"/>
                <w:lang w:val="en-US"/>
              </w:rPr>
              <w:t>GHG emissions</w:t>
            </w:r>
          </w:p>
        </w:tc>
        <w:tc>
          <w:tcPr>
            <w:tcW w:w="7427" w:type="dxa"/>
          </w:tcPr>
          <w:p w14:paraId="621E431D" w14:textId="77777777" w:rsidR="0064706B" w:rsidRPr="003A7E34" w:rsidRDefault="0064706B" w:rsidP="00D871C8">
            <w:pPr>
              <w:spacing w:before="0" w:after="0"/>
              <w:rPr>
                <w:rFonts w:eastAsia="Times New Roman"/>
                <w:noProof/>
                <w:sz w:val="20"/>
                <w:szCs w:val="20"/>
                <w:lang w:val="en-US"/>
              </w:rPr>
            </w:pPr>
            <w:r w:rsidRPr="003A7E34">
              <w:rPr>
                <w:rFonts w:eastAsia="Times New Roman"/>
                <w:noProof/>
                <w:sz w:val="20"/>
                <w:szCs w:val="20"/>
                <w:lang w:val="en-US"/>
              </w:rPr>
              <w:t>20.09 m t CO</w:t>
            </w:r>
            <w:r w:rsidRPr="003A7E34">
              <w:rPr>
                <w:rFonts w:eastAsia="Times New Roman"/>
                <w:noProof/>
                <w:sz w:val="20"/>
                <w:szCs w:val="20"/>
                <w:vertAlign w:val="subscript"/>
                <w:lang w:val="en-US"/>
              </w:rPr>
              <w:t>2</w:t>
            </w:r>
            <w:r w:rsidRPr="003A7E34">
              <w:rPr>
                <w:rFonts w:eastAsia="Times New Roman"/>
                <w:noProof/>
                <w:sz w:val="20"/>
                <w:szCs w:val="20"/>
                <w:lang w:val="en-US"/>
              </w:rPr>
              <w:t>eq; 6.9 t CO</w:t>
            </w:r>
            <w:r w:rsidRPr="003A7E34">
              <w:rPr>
                <w:rFonts w:eastAsia="Times New Roman"/>
                <w:noProof/>
                <w:sz w:val="20"/>
                <w:szCs w:val="20"/>
                <w:vertAlign w:val="subscript"/>
                <w:lang w:val="en-US"/>
              </w:rPr>
              <w:t>2</w:t>
            </w:r>
            <w:r w:rsidRPr="003A7E34">
              <w:rPr>
                <w:rFonts w:eastAsia="Times New Roman"/>
                <w:noProof/>
                <w:sz w:val="20"/>
                <w:szCs w:val="20"/>
                <w:lang w:val="en-US"/>
              </w:rPr>
              <w:t>eq GHG/capita</w:t>
            </w:r>
          </w:p>
        </w:tc>
      </w:tr>
    </w:tbl>
    <w:p w14:paraId="1C1F3DB6" w14:textId="77777777" w:rsidR="00D871C8" w:rsidRPr="003A7E34" w:rsidRDefault="00D871C8">
      <w:pPr>
        <w:jc w:val="left"/>
        <w:rPr>
          <w:rFonts w:eastAsia="Times New Roman"/>
          <w:noProof/>
          <w:lang w:val="en-US"/>
        </w:rPr>
      </w:pPr>
    </w:p>
    <w:p w14:paraId="37D68238" w14:textId="46CCE960" w:rsidR="00A44068" w:rsidRPr="003A7E34" w:rsidRDefault="46DF7FC9" w:rsidP="46DF7FC9">
      <w:pPr>
        <w:rPr>
          <w:rFonts w:eastAsia="Times New Roman"/>
          <w:noProof/>
          <w:lang w:val="en-US"/>
        </w:rPr>
      </w:pPr>
      <w:r w:rsidRPr="003A7E34">
        <w:rPr>
          <w:rFonts w:eastAsia="Times New Roman"/>
          <w:b/>
          <w:bCs/>
          <w:i/>
          <w:iCs/>
          <w:noProof/>
          <w:lang w:val="en-US"/>
        </w:rPr>
        <w:lastRenderedPageBreak/>
        <w:t>Environmental goals.</w:t>
      </w:r>
      <w:r w:rsidRPr="003A7E34">
        <w:rPr>
          <w:rFonts w:eastAsia="Times New Roman"/>
          <w:noProof/>
          <w:lang w:val="en-US"/>
        </w:rPr>
        <w:t xml:space="preserve"> Lithuania’s consistent and targeted actions in implementing the climate change targets are testified by reached decoupled emissions from economic growth. In 2015 greenhouse gas (GHG) emissions reduced by 58% while GDP grew by 38%, compared to 1990 levels, and constituted 20 100 kt of CO</w:t>
      </w:r>
      <w:r w:rsidRPr="003A7E34">
        <w:rPr>
          <w:rFonts w:eastAsia="Times New Roman"/>
          <w:noProof/>
          <w:vertAlign w:val="subscript"/>
          <w:lang w:val="en-US"/>
        </w:rPr>
        <w:t>2</w:t>
      </w:r>
      <w:r w:rsidRPr="003A7E34">
        <w:rPr>
          <w:rFonts w:eastAsia="Times New Roman"/>
          <w:noProof/>
          <w:lang w:val="en-US"/>
        </w:rPr>
        <w:t>eq. or 6.9 t of CO</w:t>
      </w:r>
      <w:r w:rsidRPr="003A7E34">
        <w:rPr>
          <w:rFonts w:eastAsia="Times New Roman"/>
          <w:noProof/>
          <w:vertAlign w:val="subscript"/>
          <w:lang w:val="en-US"/>
        </w:rPr>
        <w:t>2</w:t>
      </w:r>
      <w:r w:rsidRPr="003A7E34">
        <w:rPr>
          <w:rFonts w:eastAsia="Times New Roman"/>
          <w:noProof/>
          <w:lang w:val="en-US"/>
        </w:rPr>
        <w:t>eq. per capita, which accounted for 0.04% of the world GHG emissions or 0.55% of the EU total GHG emissions. It is expected to meet GHG emission reduction target under the Effort Sha</w:t>
      </w:r>
      <w:r w:rsidR="003C5BEC" w:rsidRPr="003A7E34">
        <w:rPr>
          <w:rFonts w:eastAsia="Times New Roman"/>
          <w:noProof/>
          <w:lang w:val="en-US"/>
        </w:rPr>
        <w:t>ring Decision by a margin of 13</w:t>
      </w:r>
      <w:r w:rsidR="00906CD3" w:rsidRPr="003A7E34">
        <w:rPr>
          <w:rFonts w:eastAsia="Times New Roman"/>
          <w:noProof/>
          <w:lang w:val="en-US"/>
        </w:rPr>
        <w:t>%</w:t>
      </w:r>
      <w:r w:rsidRPr="003A7E34">
        <w:rPr>
          <w:rFonts w:eastAsia="Times New Roman"/>
          <w:noProof/>
          <w:lang w:val="en-US"/>
        </w:rPr>
        <w:t xml:space="preserve"> points.</w:t>
      </w:r>
    </w:p>
    <w:p w14:paraId="43FB1E79" w14:textId="30C30740" w:rsidR="004A3E46" w:rsidRPr="003A7E34" w:rsidRDefault="46DF7FC9" w:rsidP="46DF7FC9">
      <w:pPr>
        <w:rPr>
          <w:rFonts w:eastAsia="Times New Roman"/>
          <w:noProof/>
          <w:lang w:val="en-US"/>
        </w:rPr>
      </w:pPr>
      <w:r w:rsidRPr="003A7E34">
        <w:rPr>
          <w:rFonts w:eastAsia="Times New Roman"/>
          <w:b/>
          <w:bCs/>
          <w:i/>
          <w:iCs/>
          <w:noProof/>
          <w:lang w:val="en-US"/>
        </w:rPr>
        <w:t xml:space="preserve">Labour market. </w:t>
      </w:r>
      <w:r w:rsidRPr="003A7E34">
        <w:rPr>
          <w:rFonts w:eastAsia="Times New Roman"/>
          <w:noProof/>
          <w:lang w:val="en-US"/>
        </w:rPr>
        <w:t xml:space="preserve">The Lithuanian population continues to decline. Since 2007 the working-age population (20-64) has decreased by more than 12% (from 1.81 m in 2007 to 1.59 m in 2017) and continues to shrink at a fast pace. These demographic trends negatively affect labour supply and increase the risks to the sustainability of the social security system. Ir also affects targeted climate sphere goals statistically, so far the impact can be considered as insignificant. </w:t>
      </w:r>
    </w:p>
    <w:p w14:paraId="13CCF0B6" w14:textId="6DBB38ED" w:rsidR="004A3E46" w:rsidRPr="003A7E34" w:rsidRDefault="46DF7FC9" w:rsidP="46DF7FC9">
      <w:pPr>
        <w:rPr>
          <w:rFonts w:eastAsia="Times New Roman"/>
          <w:noProof/>
          <w:lang w:val="en-US"/>
        </w:rPr>
      </w:pPr>
      <w:r w:rsidRPr="003A7E34">
        <w:rPr>
          <w:rFonts w:eastAsia="Times New Roman"/>
          <w:noProof/>
          <w:lang w:val="en-US"/>
        </w:rPr>
        <w:t>The labour market continued to perform well in 2017. Unemployment has been falling steadily since 2010, with rising activity and risingemployment rates. It is estimated to have reached 7.3% in 2017, below the EU average of 7.8%.</w:t>
      </w:r>
    </w:p>
    <w:p w14:paraId="6CD95D8C" w14:textId="7A674B03" w:rsidR="46DF7FC9" w:rsidRPr="003A7E34" w:rsidRDefault="46DF7FC9" w:rsidP="46DF7FC9">
      <w:pPr>
        <w:rPr>
          <w:rFonts w:eastAsia="Times New Roman"/>
          <w:noProof/>
          <w:lang w:val="en-US"/>
        </w:rPr>
      </w:pPr>
    </w:p>
    <w:p w14:paraId="73ED01D5" w14:textId="11B2282D" w:rsidR="46DF7FC9" w:rsidRPr="003A7E34" w:rsidRDefault="00B02B14" w:rsidP="003B63D5">
      <w:pPr>
        <w:jc w:val="center"/>
        <w:rPr>
          <w:lang w:val="en-US"/>
        </w:rPr>
      </w:pPr>
      <w:r>
        <w:rPr>
          <w:noProof/>
          <w:lang w:val="en-US"/>
        </w:rPr>
        <w:drawing>
          <wp:inline distT="0" distB="0" distL="0" distR="0" wp14:anchorId="13280D53" wp14:editId="683941FB">
            <wp:extent cx="3657600" cy="3749040"/>
            <wp:effectExtent l="0" t="0" r="0" b="3810"/>
            <wp:docPr id="13809203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3657600" cy="3749040"/>
                    </a:xfrm>
                    <a:prstGeom prst="rect">
                      <a:avLst/>
                    </a:prstGeom>
                  </pic:spPr>
                </pic:pic>
              </a:graphicData>
            </a:graphic>
          </wp:inline>
        </w:drawing>
      </w:r>
    </w:p>
    <w:p w14:paraId="60881BF3" w14:textId="6EC1F501" w:rsidR="46DF7FC9" w:rsidRPr="003A7E34" w:rsidRDefault="4EA93846" w:rsidP="003B63D5">
      <w:pPr>
        <w:jc w:val="center"/>
        <w:rPr>
          <w:b/>
          <w:bCs/>
          <w:sz w:val="20"/>
          <w:szCs w:val="20"/>
          <w:lang w:val="en-US"/>
        </w:rPr>
      </w:pPr>
      <w:r w:rsidRPr="003A7E34">
        <w:rPr>
          <w:b/>
          <w:bCs/>
          <w:sz w:val="20"/>
          <w:szCs w:val="20"/>
          <w:lang w:val="en-US"/>
        </w:rPr>
        <w:t xml:space="preserve">Figure 1.1.1. </w:t>
      </w:r>
      <w:r w:rsidRPr="003A7E34">
        <w:rPr>
          <w:sz w:val="20"/>
          <w:szCs w:val="20"/>
        </w:rPr>
        <w:t>Major labour market trends in Lithuania</w:t>
      </w:r>
    </w:p>
    <w:p w14:paraId="13443ED8" w14:textId="78BD80A7" w:rsidR="46DF7FC9" w:rsidRPr="003A7E34" w:rsidRDefault="46DF7FC9" w:rsidP="46DF7FC9">
      <w:pPr>
        <w:rPr>
          <w:b/>
          <w:bCs/>
          <w:sz w:val="20"/>
          <w:szCs w:val="20"/>
          <w:lang w:val="en-US"/>
        </w:rPr>
      </w:pPr>
    </w:p>
    <w:p w14:paraId="383B270C" w14:textId="22E2D770" w:rsidR="004A3E46" w:rsidRPr="003A7E34" w:rsidRDefault="46DF7FC9" w:rsidP="46DF7FC9">
      <w:pPr>
        <w:rPr>
          <w:rFonts w:eastAsia="Times New Roman"/>
          <w:noProof/>
          <w:lang w:val="en-US"/>
        </w:rPr>
      </w:pPr>
      <w:r w:rsidRPr="003A7E34">
        <w:rPr>
          <w:rFonts w:eastAsia="Times New Roman"/>
          <w:noProof/>
          <w:lang w:val="en-US"/>
        </w:rPr>
        <w:t>The benefits of economic growth have not been equally spread and the risk of poverty remains among the highest in the EU. The share of people at risk of poverty or social exclusion (AROPE) has increased compared to 2015, and is among the highest in the EU (30.1% in 2016, EU average 23.5%).</w:t>
      </w:r>
    </w:p>
    <w:p w14:paraId="050B5CF0" w14:textId="62C55D97" w:rsidR="004A3E46" w:rsidRPr="003A7E34" w:rsidRDefault="46DF7FC9" w:rsidP="46DF7FC9">
      <w:pPr>
        <w:rPr>
          <w:rFonts w:eastAsia="Times New Roman"/>
          <w:noProof/>
          <w:lang w:val="en-US"/>
        </w:rPr>
      </w:pPr>
      <w:r w:rsidRPr="003A7E34">
        <w:rPr>
          <w:rFonts w:eastAsia="Times New Roman"/>
          <w:noProof/>
          <w:lang w:val="en-US"/>
        </w:rPr>
        <w:t>Income inequality remains one of the highest in the EU. Over the period 2010 to 2017, growth in household income has failed to keep pace with GDP growth, raising questions about the inclusiveness of the recovery. Largely driven by a tightening labour market and a catching-up effect, wages have grown faster than productivity since 2012, leading to rising unit labour costs.</w:t>
      </w:r>
    </w:p>
    <w:p w14:paraId="6E6A06C3" w14:textId="01E40E0E" w:rsidR="46DF7FC9" w:rsidRPr="003A7E34" w:rsidRDefault="46DF7FC9" w:rsidP="46DF7FC9">
      <w:pPr>
        <w:rPr>
          <w:rFonts w:eastAsia="Times New Roman"/>
          <w:noProof/>
          <w:lang w:val="en-US"/>
        </w:rPr>
      </w:pPr>
    </w:p>
    <w:p w14:paraId="1FF924AD" w14:textId="0C84ADF2" w:rsidR="004A3E46" w:rsidRPr="003A7E34" w:rsidRDefault="46DF7FC9" w:rsidP="46DF7FC9">
      <w:pPr>
        <w:rPr>
          <w:rFonts w:eastAsia="Times New Roman"/>
          <w:noProof/>
          <w:lang w:val="en-US"/>
        </w:rPr>
      </w:pPr>
      <w:r w:rsidRPr="003A7E34">
        <w:rPr>
          <w:rFonts w:eastAsia="Times New Roman"/>
          <w:b/>
          <w:bCs/>
          <w:i/>
          <w:iCs/>
          <w:noProof/>
          <w:lang w:val="en-US"/>
        </w:rPr>
        <w:t>Economics.</w:t>
      </w:r>
      <w:r w:rsidRPr="003A7E34">
        <w:rPr>
          <w:rFonts w:eastAsia="Times New Roman"/>
          <w:noProof/>
          <w:lang w:val="en-US"/>
        </w:rPr>
        <w:t xml:space="preserve"> Lithuania's public finances remain sound. After achieving a budget surplus in 2016 of 0.3% of GDP, the general government balance is set to stay in surplus in 2017 and 2018, reaching 0.1% and 0.2% of GDP, respectively.</w:t>
      </w:r>
    </w:p>
    <w:p w14:paraId="081CA986" w14:textId="069FD6A2" w:rsidR="004A3E46" w:rsidRPr="003A7E34" w:rsidRDefault="004A3E46" w:rsidP="46DF7FC9">
      <w:pPr>
        <w:rPr>
          <w:rFonts w:eastAsia="Times New Roman"/>
          <w:noProof/>
          <w:lang w:val="en-US"/>
        </w:rPr>
      </w:pPr>
    </w:p>
    <w:p w14:paraId="0F3D858D" w14:textId="78D596D8" w:rsidR="004A3E46" w:rsidRPr="003A7E34" w:rsidRDefault="00A25833" w:rsidP="000420A3">
      <w:pPr>
        <w:jc w:val="center"/>
        <w:rPr>
          <w:lang w:val="en-US"/>
        </w:rPr>
      </w:pPr>
      <w:r>
        <w:rPr>
          <w:noProof/>
          <w:lang w:val="en-US"/>
        </w:rPr>
        <w:drawing>
          <wp:inline distT="0" distB="0" distL="0" distR="0" wp14:anchorId="3EE2027A" wp14:editId="6F5FBA18">
            <wp:extent cx="4114800" cy="4023360"/>
            <wp:effectExtent l="0" t="0" r="0" b="0"/>
            <wp:docPr id="3957119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a:extLst>
                        <a:ext uri="{28A0092B-C50C-407E-A947-70E740481C1C}">
                          <a14:useLocalDpi xmlns:a14="http://schemas.microsoft.com/office/drawing/2010/main" val="0"/>
                        </a:ext>
                      </a:extLst>
                    </a:blip>
                    <a:stretch>
                      <a:fillRect/>
                    </a:stretch>
                  </pic:blipFill>
                  <pic:spPr>
                    <a:xfrm>
                      <a:off x="0" y="0"/>
                      <a:ext cx="4114800" cy="4023360"/>
                    </a:xfrm>
                    <a:prstGeom prst="rect">
                      <a:avLst/>
                    </a:prstGeom>
                  </pic:spPr>
                </pic:pic>
              </a:graphicData>
            </a:graphic>
          </wp:inline>
        </w:drawing>
      </w:r>
    </w:p>
    <w:p w14:paraId="45E5DE50" w14:textId="4D8E9551" w:rsidR="004A3E46" w:rsidRPr="003A7E34" w:rsidRDefault="4EA93846" w:rsidP="000420A3">
      <w:pPr>
        <w:jc w:val="center"/>
        <w:rPr>
          <w:lang w:val="en-US"/>
        </w:rPr>
      </w:pPr>
      <w:r w:rsidRPr="003A7E34">
        <w:rPr>
          <w:b/>
          <w:bCs/>
          <w:sz w:val="20"/>
          <w:szCs w:val="20"/>
          <w:lang w:val="en-US"/>
        </w:rPr>
        <w:t xml:space="preserve">Figure 1.1.2. </w:t>
      </w:r>
      <w:r w:rsidRPr="003A7E34">
        <w:rPr>
          <w:sz w:val="20"/>
          <w:szCs w:val="20"/>
          <w:lang w:val="en-US"/>
        </w:rPr>
        <w:t>Real GDP growth and contributions</w:t>
      </w:r>
    </w:p>
    <w:p w14:paraId="259ECF6D" w14:textId="528513C6" w:rsidR="004A3E46" w:rsidRPr="003A7E34" w:rsidRDefault="004A3E46" w:rsidP="46DF7FC9">
      <w:pPr>
        <w:rPr>
          <w:lang w:val="en-US"/>
        </w:rPr>
      </w:pPr>
    </w:p>
    <w:p w14:paraId="262DF1AA" w14:textId="1E8D3F74" w:rsidR="004A3E46" w:rsidRPr="003A7E34" w:rsidRDefault="46DF7FC9" w:rsidP="46DF7FC9">
      <w:pPr>
        <w:rPr>
          <w:lang w:val="en-US"/>
        </w:rPr>
      </w:pPr>
      <w:r w:rsidRPr="003A7E34">
        <w:rPr>
          <w:rFonts w:eastAsia="Times New Roman"/>
          <w:noProof/>
          <w:lang w:val="en-US"/>
        </w:rPr>
        <w:t xml:space="preserve">GDP grew 2.2% in 2016, led by private consumption and recovering exports. Solid wage and employment growth combined with subdued inflation supported household disposable incomes which in turn fuelled private consumption growth. Exports </w:t>
      </w:r>
      <w:r w:rsidR="001E7581" w:rsidRPr="003A7E34">
        <w:rPr>
          <w:rFonts w:eastAsia="Times New Roman"/>
          <w:noProof/>
          <w:lang w:val="en-US"/>
        </w:rPr>
        <w:t>were</w:t>
      </w:r>
      <w:r w:rsidRPr="003A7E34">
        <w:rPr>
          <w:rFonts w:eastAsia="Times New Roman"/>
          <w:noProof/>
          <w:lang w:val="en-US"/>
        </w:rPr>
        <w:t xml:space="preserve"> forecast</w:t>
      </w:r>
      <w:r w:rsidR="00CA6F92" w:rsidRPr="003A7E34">
        <w:rPr>
          <w:rFonts w:eastAsia="Times New Roman"/>
          <w:noProof/>
          <w:lang w:val="en-US"/>
        </w:rPr>
        <w:t>ed</w:t>
      </w:r>
      <w:r w:rsidRPr="003A7E34">
        <w:rPr>
          <w:rFonts w:eastAsia="Times New Roman"/>
          <w:noProof/>
          <w:lang w:val="en-US"/>
        </w:rPr>
        <w:t xml:space="preserve"> to have grown by 2.6% following their disappointing performance in 2015. However, a decline in investments due to a temporary slowdown of EU fund disbursements weighed on overall growth.</w:t>
      </w:r>
    </w:p>
    <w:p w14:paraId="0DCD8AD2" w14:textId="70C3F2A7" w:rsidR="00EE5C4A" w:rsidRPr="003A7E34" w:rsidRDefault="46DF7FC9" w:rsidP="46DF7FC9">
      <w:pPr>
        <w:rPr>
          <w:rFonts w:eastAsia="Times New Roman"/>
          <w:noProof/>
          <w:lang w:val="en-US"/>
        </w:rPr>
      </w:pPr>
      <w:r w:rsidRPr="003A7E34">
        <w:rPr>
          <w:rFonts w:eastAsia="Times New Roman"/>
          <w:b/>
          <w:bCs/>
          <w:i/>
          <w:iCs/>
          <w:noProof/>
          <w:lang w:val="en-US"/>
        </w:rPr>
        <w:t xml:space="preserve">Energy consumption. </w:t>
      </w:r>
      <w:r w:rsidRPr="003A7E34">
        <w:rPr>
          <w:rFonts w:eastAsia="Times New Roman"/>
          <w:noProof/>
          <w:lang w:val="en-US"/>
        </w:rPr>
        <w:t>Primary energy consumption has been steadily decreasing in Lithuania. The current level (5.8 Mtoe in 2015) is already below the 2020 target for primary energy consumption (6.5 Mtoe). Lithuania's final energy consumption increased by 2% in 2015 (reached 4.9 Mtoe) and was above its 2020 target for final energy consumption</w:t>
      </w:r>
      <w:r w:rsidRPr="003A7E34">
        <w:rPr>
          <w:rFonts w:eastAsia="Times New Roman"/>
          <w:b/>
          <w:bCs/>
          <w:noProof/>
          <w:lang w:val="en-US"/>
        </w:rPr>
        <w:t xml:space="preserve"> </w:t>
      </w:r>
      <w:r w:rsidRPr="003A7E34">
        <w:rPr>
          <w:rFonts w:eastAsia="Times New Roman"/>
          <w:noProof/>
          <w:lang w:val="en-US"/>
        </w:rPr>
        <w:t xml:space="preserve">(4.3 Mtoe). Although primary energy intensity decreased over the 2005-2015 period, it remains above the EU average. </w:t>
      </w:r>
    </w:p>
    <w:p w14:paraId="215360CC" w14:textId="1B9C08BD" w:rsidR="00EE5C4A" w:rsidRPr="003A7E34" w:rsidRDefault="46DF7FC9" w:rsidP="46DF7FC9">
      <w:pPr>
        <w:rPr>
          <w:rFonts w:eastAsia="Times New Roman"/>
          <w:noProof/>
          <w:lang w:val="en-US"/>
        </w:rPr>
      </w:pPr>
      <w:r w:rsidRPr="003A7E34">
        <w:rPr>
          <w:rFonts w:eastAsia="Times New Roman"/>
          <w:b/>
          <w:bCs/>
          <w:i/>
          <w:iCs/>
          <w:noProof/>
          <w:lang w:val="en-US"/>
        </w:rPr>
        <w:t xml:space="preserve">Energy efficiency. </w:t>
      </w:r>
      <w:r w:rsidRPr="003A7E34">
        <w:rPr>
          <w:rFonts w:eastAsia="Times New Roman"/>
          <w:noProof/>
          <w:lang w:val="en-US"/>
        </w:rPr>
        <w:t xml:space="preserve">In terms of energy efficiency, some progress was observed in the final energy intensity in industry and in the services sector as well as in the final consumption per square meter for the residential sector. However, energy intensity in these sectors is still above the EU average and timely renovation of residential buildings remains a challenge. Conversely, the final energy consumption in transport is increasing faster than GDP despite a higher use of public transport. </w:t>
      </w:r>
    </w:p>
    <w:p w14:paraId="16B54907" w14:textId="096DEE59" w:rsidR="00EE5C4A" w:rsidRPr="003A7E34" w:rsidRDefault="46DF7FC9" w:rsidP="46DF7FC9">
      <w:pPr>
        <w:rPr>
          <w:rFonts w:eastAsia="Times New Roman"/>
          <w:noProof/>
          <w:lang w:val="en-US"/>
        </w:rPr>
      </w:pPr>
      <w:r w:rsidRPr="003A7E34">
        <w:rPr>
          <w:rFonts w:eastAsia="Times New Roman"/>
          <w:b/>
          <w:bCs/>
          <w:i/>
          <w:iCs/>
          <w:noProof/>
          <w:lang w:val="en-US"/>
        </w:rPr>
        <w:lastRenderedPageBreak/>
        <w:t>RES.</w:t>
      </w:r>
      <w:r w:rsidRPr="003A7E34">
        <w:rPr>
          <w:rFonts w:eastAsia="Times New Roman"/>
          <w:noProof/>
          <w:lang w:val="en-US"/>
        </w:rPr>
        <w:t xml:space="preserve"> Lithuania’s renewable energy share in gross final energy consumption was 25.8% in 2015, above its 2020 target of 23%. This good performance was driven mostly by the heating sector, where the share of renewables reached 46.1%. The renewables share in electricity production reached 16%. Lithuania is below the 2020 target of 10% for renewable energy share in transport, with 4.6% in 2015. Due to a consistent deployment of renewables since 2005, </w:t>
      </w:r>
      <w:r w:rsidR="003C5BEC" w:rsidRPr="003A7E34">
        <w:rPr>
          <w:rFonts w:eastAsia="Times New Roman"/>
          <w:noProof/>
          <w:lang w:val="en-US"/>
        </w:rPr>
        <w:t xml:space="preserve">it was </w:t>
      </w:r>
      <w:r w:rsidRPr="003A7E34">
        <w:rPr>
          <w:rFonts w:eastAsia="Times New Roman"/>
          <w:noProof/>
          <w:lang w:val="en-US"/>
        </w:rPr>
        <w:t xml:space="preserve">estimated that in 2015 Lithuania cut its consumption of fossil fuel by about 11.8% in gross inland consumption. </w:t>
      </w:r>
    </w:p>
    <w:p w14:paraId="5CCF6CA6" w14:textId="77777777" w:rsidR="00A05B28" w:rsidRPr="003A7E34" w:rsidRDefault="00A05B28" w:rsidP="00C42AAE">
      <w:pPr>
        <w:pStyle w:val="ListParagraph"/>
        <w:numPr>
          <w:ilvl w:val="3"/>
          <w:numId w:val="11"/>
        </w:numPr>
        <w:spacing w:after="120" w:line="240" w:lineRule="auto"/>
        <w:contextualSpacing w:val="0"/>
        <w:rPr>
          <w:rFonts w:ascii="Times New Roman" w:hAnsi="Times New Roman" w:cs="Times New Roman"/>
          <w:b/>
          <w:bCs/>
          <w:noProof/>
          <w:lang w:val="en-US"/>
        </w:rPr>
      </w:pPr>
      <w:r w:rsidRPr="003A7E34">
        <w:rPr>
          <w:rFonts w:ascii="Times New Roman" w:eastAsia="Times New Roman" w:hAnsi="Times New Roman" w:cs="Times New Roman"/>
          <w:b/>
          <w:bCs/>
          <w:noProof/>
          <w:lang w:val="en-US"/>
        </w:rPr>
        <w:t>Strategy relating to the five dimensions of the Energy Union</w:t>
      </w:r>
    </w:p>
    <w:p w14:paraId="1C880F19" w14:textId="2AFF8BD5" w:rsidR="00A05B28" w:rsidRPr="003A7E34" w:rsidRDefault="5E230566" w:rsidP="5E230566">
      <w:pPr>
        <w:rPr>
          <w:rFonts w:eastAsia="Times New Roman"/>
          <w:noProof/>
          <w:lang w:val="en-US"/>
        </w:rPr>
      </w:pPr>
      <w:r w:rsidRPr="003A7E34">
        <w:rPr>
          <w:rFonts w:eastAsia="Times New Roman"/>
          <w:noProof/>
          <w:lang w:val="en-US"/>
        </w:rPr>
        <w:t>Lithuania 2030 is a national strategy, which outlines the vision of Lithuania's future (it was adopted by Parliament in 2012).</w:t>
      </w:r>
    </w:p>
    <w:p w14:paraId="2AB7F00D" w14:textId="77777777" w:rsidR="00A05B28" w:rsidRPr="003A7E34" w:rsidRDefault="00A05B28">
      <w:pPr>
        <w:rPr>
          <w:rFonts w:eastAsia="Times New Roman"/>
          <w:noProof/>
          <w:lang w:val="en-US"/>
        </w:rPr>
      </w:pPr>
      <w:r w:rsidRPr="003A7E34">
        <w:rPr>
          <w:rFonts w:eastAsia="Times New Roman"/>
          <w:noProof/>
          <w:lang w:val="en-US"/>
        </w:rPr>
        <w:t>Lithuania 2030 has three priorities:</w:t>
      </w:r>
    </w:p>
    <w:p w14:paraId="6D80DE83" w14:textId="77777777" w:rsidR="00A05B28" w:rsidRPr="003A7E34" w:rsidRDefault="46DF7FC9" w:rsidP="00C42AAE">
      <w:pPr>
        <w:pStyle w:val="ListParagraph"/>
        <w:numPr>
          <w:ilvl w:val="0"/>
          <w:numId w:val="12"/>
        </w:numPr>
        <w:spacing w:line="240" w:lineRule="auto"/>
        <w:jc w:val="both"/>
        <w:rPr>
          <w:rFonts w:ascii="Times New Roman" w:hAnsi="Times New Roman" w:cs="Times New Roman"/>
          <w:noProof/>
          <w:lang w:val="en-US"/>
        </w:rPr>
      </w:pPr>
      <w:r w:rsidRPr="003A7E34">
        <w:rPr>
          <w:rFonts w:ascii="Times New Roman" w:eastAsia="Times New Roman" w:hAnsi="Times New Roman" w:cs="Times New Roman"/>
          <w:noProof/>
          <w:lang w:val="en-US"/>
        </w:rPr>
        <w:t>Smart Society</w:t>
      </w:r>
    </w:p>
    <w:p w14:paraId="4D7A2F3E" w14:textId="6CA6FCD8" w:rsidR="00234E62" w:rsidRPr="003A7E34" w:rsidRDefault="46DF7FC9" w:rsidP="00C42AAE">
      <w:pPr>
        <w:pStyle w:val="ListParagraph"/>
        <w:numPr>
          <w:ilvl w:val="0"/>
          <w:numId w:val="12"/>
        </w:numPr>
        <w:spacing w:line="240" w:lineRule="auto"/>
        <w:jc w:val="both"/>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Smart Economy: Flexible and competitive, it creates high added value rooted in knowledge, innovation and entrepreneurship. Competitive and environmentally sustainable energy sector will be of utmost importance for national economy: it is necessary to achieve energy independence and sustainable development of environment-friendly use of resources. </w:t>
      </w:r>
    </w:p>
    <w:p w14:paraId="03E545D9" w14:textId="3F94E0A0" w:rsidR="00A05B28" w:rsidRPr="003A7E34" w:rsidRDefault="46DF7FC9" w:rsidP="00C42AAE">
      <w:pPr>
        <w:pStyle w:val="ListParagraph"/>
        <w:numPr>
          <w:ilvl w:val="0"/>
          <w:numId w:val="12"/>
        </w:numPr>
        <w:spacing w:line="240" w:lineRule="auto"/>
        <w:jc w:val="both"/>
        <w:rPr>
          <w:rFonts w:ascii="Times New Roman" w:hAnsi="Times New Roman" w:cs="Times New Roman"/>
          <w:noProof/>
          <w:lang w:val="en-US"/>
        </w:rPr>
      </w:pPr>
      <w:r w:rsidRPr="003A7E34">
        <w:rPr>
          <w:rFonts w:ascii="Times New Roman" w:eastAsia="Times New Roman" w:hAnsi="Times New Roman" w:cs="Times New Roman"/>
          <w:noProof/>
          <w:lang w:val="en-US"/>
        </w:rPr>
        <w:t>Smart Governance.</w:t>
      </w:r>
    </w:p>
    <w:p w14:paraId="0DB54BDC" w14:textId="2AC14607" w:rsidR="00A05B28" w:rsidRPr="003A7E34" w:rsidRDefault="46DF7FC9" w:rsidP="46DF7FC9">
      <w:pPr>
        <w:rPr>
          <w:rFonts w:eastAsia="Times New Roman"/>
          <w:noProof/>
          <w:lang w:val="en-US"/>
        </w:rPr>
      </w:pPr>
      <w:r w:rsidRPr="003A7E34">
        <w:rPr>
          <w:rFonts w:eastAsia="Times New Roman"/>
          <w:noProof/>
          <w:lang w:val="en-US"/>
        </w:rPr>
        <w:t xml:space="preserve">The National Progress Program for 2014-2020 was prepared in order to implement the Strategy Lithuania 2030. The programme includes also the main provisions of EU strategy for smart, sustainable and inclusive growth Europe 2020. Under one of the Programme’s priorities </w:t>
      </w:r>
      <w:r w:rsidRPr="003A7E34">
        <w:rPr>
          <w:rFonts w:eastAsia="Times New Roman"/>
          <w:i/>
          <w:iCs/>
          <w:noProof/>
          <w:lang w:val="en-US"/>
        </w:rPr>
        <w:t xml:space="preserve">Favorable environment for economic growth </w:t>
      </w:r>
      <w:r w:rsidRPr="003A7E34">
        <w:rPr>
          <w:rFonts w:eastAsia="Times New Roman"/>
          <w:noProof/>
          <w:lang w:val="en-US"/>
        </w:rPr>
        <w:t>2 objectives are identified, that are directly linked with energy sector:</w:t>
      </w:r>
    </w:p>
    <w:p w14:paraId="7293E550" w14:textId="77777777" w:rsidR="000C11AA" w:rsidRPr="003A7E34" w:rsidRDefault="46DF7FC9" w:rsidP="00C42AAE">
      <w:pPr>
        <w:pStyle w:val="ListParagraph"/>
        <w:numPr>
          <w:ilvl w:val="0"/>
          <w:numId w:val="6"/>
        </w:numPr>
        <w:spacing w:line="240" w:lineRule="auto"/>
        <w:jc w:val="both"/>
        <w:rPr>
          <w:rFonts w:ascii="Times New Roman" w:hAnsi="Times New Roman" w:cs="Times New Roman"/>
          <w:noProof/>
          <w:lang w:val="en-US"/>
        </w:rPr>
      </w:pPr>
      <w:r w:rsidRPr="003A7E34">
        <w:rPr>
          <w:rFonts w:ascii="Times New Roman" w:eastAsia="Times New Roman" w:hAnsi="Times New Roman" w:cs="Times New Roman"/>
          <w:noProof/>
          <w:lang w:val="en-US"/>
        </w:rPr>
        <w:t>Create a sustainable and efficient economic infrastructure (the aim is to develop modern energy infrastructure in Lithuania and to ensure, first, the energy independence of the country from the influence of various monopolies (in particular on energy and gas prices); secondly, modern, competitive and environmentally friendly electricity (production and supply), gas, infrastructure, which would ensure the most favorable price and quality ratio of services to the residents of Lithuania);</w:t>
      </w:r>
    </w:p>
    <w:p w14:paraId="34BFF5F9" w14:textId="1599A64A" w:rsidR="00A05B28" w:rsidRPr="003A7E34" w:rsidRDefault="46DF7FC9" w:rsidP="00C42AAE">
      <w:pPr>
        <w:pStyle w:val="ListParagraph"/>
        <w:numPr>
          <w:ilvl w:val="0"/>
          <w:numId w:val="6"/>
        </w:numPr>
        <w:spacing w:line="240" w:lineRule="auto"/>
        <w:jc w:val="both"/>
        <w:rPr>
          <w:rFonts w:ascii="Times New Roman" w:hAnsi="Times New Roman" w:cs="Times New Roman"/>
          <w:noProof/>
          <w:lang w:val="en-US"/>
        </w:rPr>
      </w:pPr>
      <w:r w:rsidRPr="003A7E34">
        <w:rPr>
          <w:rFonts w:ascii="Times New Roman" w:eastAsia="Times New Roman" w:hAnsi="Times New Roman" w:cs="Times New Roman"/>
          <w:noProof/>
          <w:lang w:val="en-US"/>
        </w:rPr>
        <w:t>Ensure the sustainable use of energy resources (the goal is to move towards a low-carbon economy, which will help to prevent dangerous climate change, reduce air pollution, and increase energy independence of Lithuania. Increasing energy efficiency will focus on the housing sector and the use of renewable energy sources. Ensuring the sustainable use of energy resources will also be achieved through the use of modern and sustainable technologies, process management systems, promoting the use of alternative fuels in transport).</w:t>
      </w:r>
    </w:p>
    <w:p w14:paraId="428D2D73" w14:textId="77777777" w:rsidR="004D0944" w:rsidRPr="003A7E34" w:rsidRDefault="004D0944" w:rsidP="004D0944">
      <w:pPr>
        <w:rPr>
          <w:noProof/>
          <w:lang w:val="en-US"/>
        </w:rPr>
      </w:pPr>
    </w:p>
    <w:p w14:paraId="4270D0FD" w14:textId="43E0DD9F" w:rsidR="00FD1C2F" w:rsidRPr="003A7E34" w:rsidRDefault="00FD1C2F">
      <w:pPr>
        <w:rPr>
          <w:rFonts w:eastAsia="Times New Roman"/>
          <w:noProof/>
          <w:lang w:val="en-US"/>
        </w:rPr>
      </w:pPr>
      <w:r w:rsidRPr="003A7E34">
        <w:rPr>
          <w:rFonts w:eastAsia="Times New Roman"/>
          <w:noProof/>
          <w:lang w:val="en-US"/>
        </w:rPr>
        <w:t xml:space="preserve">National Sustainable Development Strategy was approved by Government in 2009. The document sets out sustainable development priorities, principles, objectives and tasks of Lithuania. The main sustainable development objective of Lithuania remains the same, namely to reach </w:t>
      </w:r>
      <w:r w:rsidR="003C5BEC" w:rsidRPr="003A7E34">
        <w:rPr>
          <w:rFonts w:eastAsia="Times New Roman"/>
          <w:noProof/>
          <w:lang w:val="en-US"/>
        </w:rPr>
        <w:t xml:space="preserve">the </w:t>
      </w:r>
      <w:r w:rsidRPr="003A7E34">
        <w:rPr>
          <w:rFonts w:eastAsia="Times New Roman"/>
          <w:noProof/>
          <w:lang w:val="en-US"/>
        </w:rPr>
        <w:t xml:space="preserve">EU average in terms of economic and social development and resource efficiency indicators by 2020, not to exceed permissible EU levels of environmental pollution, to meet the requirements of international conventions limiting environmental pollution and impacts on the global climate. It can only be achieved by introducing the latest </w:t>
      </w:r>
      <w:r w:rsidR="003C5BEC" w:rsidRPr="003A7E34">
        <w:rPr>
          <w:rFonts w:eastAsia="Times New Roman"/>
          <w:noProof/>
          <w:lang w:val="en-US"/>
        </w:rPr>
        <w:t xml:space="preserve">innovative </w:t>
      </w:r>
      <w:r w:rsidRPr="003A7E34">
        <w:rPr>
          <w:rFonts w:eastAsia="Times New Roman"/>
          <w:noProof/>
          <w:lang w:val="en-US"/>
        </w:rPr>
        <w:t>and more environmentally friendly technologies. The strategy gives particular attention to scientific progress and knowledge.</w:t>
      </w:r>
    </w:p>
    <w:p w14:paraId="24A2F6D4" w14:textId="77777777" w:rsidR="000420A3" w:rsidRPr="003A7E34" w:rsidRDefault="000420A3">
      <w:pPr>
        <w:rPr>
          <w:rFonts w:eastAsia="Times New Roman"/>
          <w:noProof/>
          <w:lang w:val="en-US"/>
        </w:rPr>
      </w:pPr>
    </w:p>
    <w:p w14:paraId="410C2A5E" w14:textId="77777777" w:rsidR="00CA50D0" w:rsidRPr="003A7E34" w:rsidRDefault="4EA93846" w:rsidP="4EA93846">
      <w:pPr>
        <w:pStyle w:val="ListParagraph"/>
        <w:numPr>
          <w:ilvl w:val="3"/>
          <w:numId w:val="11"/>
        </w:numPr>
        <w:spacing w:after="120" w:line="240" w:lineRule="auto"/>
        <w:contextualSpacing w:val="0"/>
        <w:rPr>
          <w:rFonts w:ascii="Times New Roman" w:hAnsi="Times New Roman" w:cs="Times New Roman"/>
          <w:b/>
          <w:bCs/>
          <w:noProof/>
          <w:lang w:val="en-US"/>
        </w:rPr>
      </w:pPr>
      <w:r w:rsidRPr="003A7E34">
        <w:rPr>
          <w:rFonts w:ascii="Times New Roman" w:eastAsia="Times New Roman" w:hAnsi="Times New Roman" w:cs="Times New Roman"/>
          <w:b/>
          <w:bCs/>
          <w:noProof/>
          <w:lang w:val="en-US"/>
        </w:rPr>
        <w:t>Overview table with key objectives, policies and measures of the plan</w:t>
      </w:r>
    </w:p>
    <w:p w14:paraId="03BBC00E" w14:textId="77777777" w:rsidR="003F2656" w:rsidRPr="003A7E34" w:rsidRDefault="003F2656" w:rsidP="4EA93846">
      <w:pPr>
        <w:pStyle w:val="Caption"/>
        <w:jc w:val="left"/>
        <w:rPr>
          <w:rFonts w:eastAsia="Times New Roman"/>
          <w:color w:val="auto"/>
          <w:sz w:val="20"/>
          <w:szCs w:val="20"/>
          <w:lang w:val="en-US"/>
        </w:rPr>
      </w:pPr>
    </w:p>
    <w:p w14:paraId="0AC21F8F" w14:textId="5917DE65" w:rsidR="00CA50D0" w:rsidRPr="003A7E34" w:rsidRDefault="4EA93846" w:rsidP="4EA93846">
      <w:pPr>
        <w:pStyle w:val="Caption"/>
        <w:jc w:val="left"/>
        <w:rPr>
          <w:rFonts w:eastAsia="Times New Roman"/>
          <w:noProof/>
          <w:color w:val="auto"/>
          <w:sz w:val="20"/>
          <w:szCs w:val="20"/>
          <w:lang w:val="en-US"/>
        </w:rPr>
      </w:pPr>
      <w:r w:rsidRPr="003A7E34">
        <w:rPr>
          <w:rFonts w:eastAsia="Times New Roman"/>
          <w:color w:val="auto"/>
          <w:sz w:val="20"/>
          <w:szCs w:val="20"/>
          <w:lang w:val="en-US"/>
        </w:rPr>
        <w:lastRenderedPageBreak/>
        <w:t xml:space="preserve">Table 1.1.2. </w:t>
      </w:r>
      <w:r w:rsidRPr="003A7E34">
        <w:rPr>
          <w:rFonts w:eastAsia="Times New Roman"/>
          <w:b w:val="0"/>
          <w:bCs w:val="0"/>
          <w:color w:val="auto"/>
          <w:sz w:val="20"/>
          <w:szCs w:val="20"/>
          <w:lang w:val="en-US"/>
        </w:rPr>
        <w:t>An overview of key climate and energy policy objectives</w:t>
      </w:r>
    </w:p>
    <w:tbl>
      <w:tblPr>
        <w:tblW w:w="9561" w:type="dxa"/>
        <w:tblLayout w:type="fixed"/>
        <w:tblCellMar>
          <w:left w:w="0" w:type="dxa"/>
          <w:right w:w="0" w:type="dxa"/>
        </w:tblCellMar>
        <w:tblLook w:val="0420" w:firstRow="1" w:lastRow="0" w:firstColumn="0" w:lastColumn="0" w:noHBand="0" w:noVBand="1"/>
      </w:tblPr>
      <w:tblGrid>
        <w:gridCol w:w="3773"/>
        <w:gridCol w:w="852"/>
        <w:gridCol w:w="990"/>
        <w:gridCol w:w="1192"/>
        <w:gridCol w:w="1076"/>
        <w:gridCol w:w="1678"/>
      </w:tblGrid>
      <w:tr w:rsidR="003A7E34" w:rsidRPr="003A7E34" w14:paraId="4AE4DA66" w14:textId="77777777" w:rsidTr="4EA93846">
        <w:trPr>
          <w:trHeight w:val="20"/>
        </w:trPr>
        <w:tc>
          <w:tcPr>
            <w:tcW w:w="3773" w:type="dxa"/>
            <w:vMerge w:val="restart"/>
            <w:tcBorders>
              <w:top w:val="single" w:sz="8" w:space="0" w:color="000000" w:themeColor="text1"/>
              <w:left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4417608" w14:textId="77777777" w:rsidR="00CA50D0" w:rsidRPr="003A7E34" w:rsidRDefault="372247B6" w:rsidP="00C07872">
            <w:pPr>
              <w:spacing w:before="0" w:after="0"/>
              <w:rPr>
                <w:rFonts w:eastAsia="Times New Roman"/>
                <w:sz w:val="20"/>
                <w:szCs w:val="20"/>
                <w:lang w:val="en-US"/>
              </w:rPr>
            </w:pPr>
            <w:r w:rsidRPr="003A7E34">
              <w:rPr>
                <w:rFonts w:eastAsia="Times New Roman"/>
                <w:sz w:val="20"/>
                <w:szCs w:val="20"/>
                <w:lang w:val="en-US"/>
              </w:rPr>
              <w:t>Target</w:t>
            </w:r>
          </w:p>
        </w:tc>
        <w:tc>
          <w:tcPr>
            <w:tcW w:w="184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E59FCE0" w14:textId="77777777" w:rsidR="00CA50D0" w:rsidRPr="003A7E34" w:rsidRDefault="00CA50D0" w:rsidP="00C10AC4">
            <w:pPr>
              <w:spacing w:before="0" w:after="0"/>
              <w:jc w:val="center"/>
              <w:rPr>
                <w:rFonts w:eastAsia="Times New Roman"/>
                <w:sz w:val="20"/>
                <w:szCs w:val="20"/>
                <w:lang w:val="en-US"/>
              </w:rPr>
            </w:pPr>
            <w:r w:rsidRPr="003A7E34">
              <w:rPr>
                <w:rFonts w:eastAsia="Times New Roman"/>
                <w:kern w:val="24"/>
                <w:sz w:val="20"/>
                <w:szCs w:val="20"/>
                <w:lang w:val="en-US"/>
                <w14:shadow w14:blurRad="38100" w14:dist="38100" w14:dir="2700000" w14:sx="100000" w14:sy="100000" w14:kx="0" w14:ky="0" w14:algn="tl">
                  <w14:srgbClr w14:val="000000">
                    <w14:alpha w14:val="57000"/>
                  </w14:srgbClr>
                </w14:shadow>
              </w:rPr>
              <w:t>EU</w:t>
            </w:r>
          </w:p>
        </w:tc>
        <w:tc>
          <w:tcPr>
            <w:tcW w:w="226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D4713C4" w14:textId="77777777" w:rsidR="00CA50D0" w:rsidRPr="003A7E34" w:rsidRDefault="00CA50D0" w:rsidP="00C10AC4">
            <w:pPr>
              <w:spacing w:before="0" w:after="0"/>
              <w:jc w:val="center"/>
              <w:rPr>
                <w:rFonts w:eastAsia="Times New Roman"/>
                <w:sz w:val="20"/>
                <w:szCs w:val="20"/>
                <w:lang w:val="en-US"/>
              </w:rPr>
            </w:pPr>
            <w:r w:rsidRPr="003A7E34">
              <w:rPr>
                <w:rFonts w:eastAsia="Times New Roman"/>
                <w:kern w:val="24"/>
                <w:sz w:val="20"/>
                <w:szCs w:val="20"/>
                <w:lang w:val="en-US"/>
                <w14:shadow w14:blurRad="38100" w14:dist="38100" w14:dir="2700000" w14:sx="100000" w14:sy="100000" w14:kx="0" w14:ky="0" w14:algn="tl">
                  <w14:srgbClr w14:val="000000">
                    <w14:alpha w14:val="57000"/>
                  </w14:srgbClr>
                </w14:shadow>
              </w:rPr>
              <w:t>Lithuania</w:t>
            </w:r>
          </w:p>
        </w:tc>
        <w:tc>
          <w:tcPr>
            <w:tcW w:w="1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ACDF960" w14:textId="77777777" w:rsidR="00CA50D0" w:rsidRPr="003A7E34" w:rsidRDefault="00CA50D0" w:rsidP="00C10AC4">
            <w:pPr>
              <w:spacing w:before="0" w:after="0"/>
              <w:jc w:val="center"/>
              <w:rPr>
                <w:rFonts w:eastAsia="Times New Roman"/>
                <w:sz w:val="20"/>
                <w:szCs w:val="20"/>
                <w:lang w:val="en-US"/>
              </w:rPr>
            </w:pPr>
            <w:r w:rsidRPr="003A7E34">
              <w:rPr>
                <w:rFonts w:eastAsia="Times New Roman"/>
                <w:kern w:val="24"/>
                <w:sz w:val="20"/>
                <w:szCs w:val="20"/>
                <w:lang w:val="en-US"/>
                <w14:shadow w14:blurRad="38100" w14:dist="38100" w14:dir="2700000" w14:sx="100000" w14:sy="100000" w14:kx="0" w14:ky="0" w14:algn="tl">
                  <w14:srgbClr w14:val="000000">
                    <w14:alpha w14:val="57000"/>
                  </w14:srgbClr>
                </w14:shadow>
              </w:rPr>
              <w:t>Implementation</w:t>
            </w:r>
          </w:p>
        </w:tc>
      </w:tr>
      <w:tr w:rsidR="003A7E34" w:rsidRPr="003A7E34" w14:paraId="687383F8" w14:textId="77777777" w:rsidTr="4EA93846">
        <w:trPr>
          <w:trHeight w:val="20"/>
        </w:trPr>
        <w:tc>
          <w:tcPr>
            <w:tcW w:w="3773"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9B6514" w14:textId="77777777" w:rsidR="00CA50D0" w:rsidRPr="003A7E34" w:rsidRDefault="00CA50D0" w:rsidP="00C07872">
            <w:pPr>
              <w:spacing w:before="0" w:after="0"/>
              <w:rPr>
                <w:rFonts w:eastAsia="Times New Roman"/>
                <w:sz w:val="20"/>
                <w:szCs w:val="20"/>
                <w:lang w:val="en-US"/>
              </w:rPr>
            </w:pPr>
          </w:p>
        </w:tc>
        <w:tc>
          <w:tcPr>
            <w:tcW w:w="8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C818AEF" w14:textId="77777777" w:rsidR="00CA50D0" w:rsidRPr="003A7E34" w:rsidRDefault="00CA50D0" w:rsidP="00C10AC4">
            <w:pPr>
              <w:spacing w:before="0" w:after="0"/>
              <w:jc w:val="center"/>
              <w:rPr>
                <w:rFonts w:eastAsia="Times New Roman"/>
                <w:sz w:val="20"/>
                <w:szCs w:val="20"/>
                <w:lang w:val="en-US"/>
              </w:rPr>
            </w:pPr>
            <w:r w:rsidRPr="003A7E34">
              <w:rPr>
                <w:rFonts w:eastAsia="Times New Roman"/>
                <w:kern w:val="24"/>
                <w:sz w:val="20"/>
                <w:szCs w:val="20"/>
                <w:lang w:val="en-US"/>
                <w14:shadow w14:blurRad="38100" w14:dist="38100" w14:dir="2700000" w14:sx="100000" w14:sy="100000" w14:kx="0" w14:ky="0" w14:algn="tl">
                  <w14:srgbClr w14:val="000000">
                    <w14:alpha w14:val="57000"/>
                  </w14:srgbClr>
                </w14:shadow>
              </w:rPr>
              <w:t>2020</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0BB9E0E" w14:textId="77777777" w:rsidR="00CA50D0" w:rsidRPr="003A7E34" w:rsidRDefault="00CA50D0" w:rsidP="00C10AC4">
            <w:pPr>
              <w:spacing w:before="0" w:after="0"/>
              <w:jc w:val="center"/>
              <w:rPr>
                <w:rFonts w:eastAsia="Times New Roman"/>
                <w:sz w:val="20"/>
                <w:szCs w:val="20"/>
                <w:lang w:val="en-US"/>
              </w:rPr>
            </w:pPr>
            <w:r w:rsidRPr="003A7E34">
              <w:rPr>
                <w:rFonts w:eastAsia="Times New Roman"/>
                <w:b/>
                <w:bCs/>
                <w:kern w:val="24"/>
                <w:sz w:val="20"/>
                <w:szCs w:val="20"/>
                <w:lang w:val="en-US"/>
                <w14:shadow w14:blurRad="38100" w14:dist="38100" w14:dir="2700000" w14:sx="100000" w14:sy="100000" w14:kx="0" w14:ky="0" w14:algn="tl">
                  <w14:srgbClr w14:val="000000">
                    <w14:alpha w14:val="57000"/>
                  </w14:srgbClr>
                </w14:shadow>
              </w:rPr>
              <w:t>2030</w:t>
            </w:r>
          </w:p>
        </w:tc>
        <w:tc>
          <w:tcPr>
            <w:tcW w:w="11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8AB77E0" w14:textId="77777777" w:rsidR="00CA50D0" w:rsidRPr="003A7E34" w:rsidRDefault="00CA50D0" w:rsidP="00C10AC4">
            <w:pPr>
              <w:spacing w:before="0" w:after="0"/>
              <w:jc w:val="center"/>
              <w:rPr>
                <w:rFonts w:eastAsia="Times New Roman"/>
                <w:sz w:val="20"/>
                <w:szCs w:val="20"/>
                <w:lang w:val="en-US"/>
              </w:rPr>
            </w:pPr>
            <w:r w:rsidRPr="003A7E34">
              <w:rPr>
                <w:rFonts w:eastAsia="Times New Roman"/>
                <w:kern w:val="24"/>
                <w:sz w:val="20"/>
                <w:szCs w:val="20"/>
                <w:lang w:val="en-US"/>
                <w14:shadow w14:blurRad="38100" w14:dist="38100" w14:dir="2700000" w14:sx="100000" w14:sy="100000" w14:kx="0" w14:ky="0" w14:algn="tl">
                  <w14:srgbClr w14:val="000000">
                    <w14:alpha w14:val="57000"/>
                  </w14:srgbClr>
                </w14:shadow>
              </w:rPr>
              <w:t>2020</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522785D" w14:textId="77777777" w:rsidR="00CA50D0" w:rsidRPr="003A7E34" w:rsidRDefault="00CA50D0" w:rsidP="00C10AC4">
            <w:pPr>
              <w:spacing w:before="0" w:after="0"/>
              <w:jc w:val="center"/>
              <w:rPr>
                <w:rFonts w:eastAsia="Times New Roman"/>
                <w:b/>
                <w:sz w:val="20"/>
                <w:szCs w:val="20"/>
                <w:lang w:val="en-US"/>
              </w:rPr>
            </w:pPr>
            <w:r w:rsidRPr="003A7E34">
              <w:rPr>
                <w:rFonts w:eastAsia="Times New Roman"/>
                <w:b/>
                <w:kern w:val="24"/>
                <w:sz w:val="20"/>
                <w:szCs w:val="20"/>
                <w:lang w:val="en-US"/>
                <w14:shadow w14:blurRad="38100" w14:dist="38100" w14:dir="2700000" w14:sx="100000" w14:sy="100000" w14:kx="0" w14:ky="0" w14:algn="tl">
                  <w14:srgbClr w14:val="000000">
                    <w14:alpha w14:val="57000"/>
                  </w14:srgbClr>
                </w14:shadow>
              </w:rPr>
              <w:t>2030</w:t>
            </w:r>
          </w:p>
        </w:tc>
        <w:tc>
          <w:tcPr>
            <w:tcW w:w="1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6702CCD" w14:textId="77777777" w:rsidR="00CA50D0" w:rsidRPr="003A7E34" w:rsidRDefault="00CA50D0" w:rsidP="00C10AC4">
            <w:pPr>
              <w:spacing w:before="0" w:after="0"/>
              <w:jc w:val="center"/>
              <w:rPr>
                <w:rFonts w:eastAsia="Times New Roman"/>
                <w:sz w:val="20"/>
                <w:szCs w:val="20"/>
                <w:lang w:val="en-US"/>
              </w:rPr>
            </w:pPr>
            <w:r w:rsidRPr="003A7E34">
              <w:rPr>
                <w:rFonts w:eastAsia="Times New Roman"/>
                <w:kern w:val="24"/>
                <w:sz w:val="20"/>
                <w:szCs w:val="20"/>
                <w:lang w:val="en-US"/>
                <w14:shadow w14:blurRad="38100" w14:dist="38100" w14:dir="2700000" w14:sx="100000" w14:sy="100000" w14:kx="0" w14:ky="0" w14:algn="tl">
                  <w14:srgbClr w14:val="000000">
                    <w14:alpha w14:val="57000"/>
                  </w14:srgbClr>
                </w14:shadow>
              </w:rPr>
              <w:t>2016</w:t>
            </w:r>
          </w:p>
        </w:tc>
      </w:tr>
      <w:tr w:rsidR="003A7E34" w:rsidRPr="003A7E34" w14:paraId="0AC15D08" w14:textId="77777777" w:rsidTr="4EA93846">
        <w:trPr>
          <w:trHeight w:val="18"/>
        </w:trPr>
        <w:tc>
          <w:tcPr>
            <w:tcW w:w="37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29AB695" w14:textId="25E24F31" w:rsidR="00CA50D0" w:rsidRPr="003A7E34" w:rsidRDefault="00CA50D0" w:rsidP="00C07872">
            <w:pPr>
              <w:spacing w:before="0" w:after="0"/>
              <w:rPr>
                <w:rFonts w:eastAsia="Times New Roman"/>
                <w:sz w:val="20"/>
                <w:szCs w:val="20"/>
                <w:lang w:val="en-US"/>
              </w:rPr>
            </w:pPr>
            <w:r w:rsidRPr="003A7E34">
              <w:rPr>
                <w:rFonts w:eastAsia="Times New Roman"/>
                <w:kern w:val="24"/>
                <w:sz w:val="20"/>
                <w:szCs w:val="20"/>
                <w:lang w:val="en-US"/>
              </w:rPr>
              <w:t>GHG reduction targets according to KP Doha amendment and Paris agreement compared to1990 level</w:t>
            </w:r>
          </w:p>
        </w:tc>
        <w:tc>
          <w:tcPr>
            <w:tcW w:w="8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45B44C6"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-20%</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C6A472E"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At least</w:t>
            </w:r>
          </w:p>
          <w:p w14:paraId="4439953D" w14:textId="2FF5BAEC"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-40%</w:t>
            </w:r>
          </w:p>
        </w:tc>
        <w:tc>
          <w:tcPr>
            <w:tcW w:w="226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01F23CB"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EU level target</w:t>
            </w:r>
          </w:p>
        </w:tc>
        <w:tc>
          <w:tcPr>
            <w:tcW w:w="1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5AD0C64"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-23% (EU)</w:t>
            </w:r>
          </w:p>
        </w:tc>
      </w:tr>
      <w:tr w:rsidR="003A7E34" w:rsidRPr="003A7E34" w14:paraId="508E79B3" w14:textId="77777777" w:rsidTr="4EA93846">
        <w:trPr>
          <w:trHeight w:val="18"/>
        </w:trPr>
        <w:tc>
          <w:tcPr>
            <w:tcW w:w="37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71AA365" w14:textId="7604C026" w:rsidR="00CA50D0" w:rsidRPr="003A7E34" w:rsidRDefault="00CA50D0" w:rsidP="00C07872">
            <w:pPr>
              <w:spacing w:before="0" w:after="0"/>
              <w:rPr>
                <w:rFonts w:eastAsia="Times New Roman"/>
                <w:sz w:val="20"/>
                <w:szCs w:val="20"/>
                <w:lang w:val="en-US"/>
              </w:rPr>
            </w:pPr>
            <w:r w:rsidRPr="003A7E34">
              <w:rPr>
                <w:rFonts w:eastAsia="Times New Roman"/>
                <w:kern w:val="24"/>
                <w:sz w:val="20"/>
                <w:szCs w:val="20"/>
                <w:lang w:val="en-US"/>
              </w:rPr>
              <w:t>GHG reduction</w:t>
            </w:r>
            <w:r w:rsidR="00D871C8" w:rsidRPr="003A7E34">
              <w:rPr>
                <w:rFonts w:eastAsia="Times New Roman"/>
                <w:kern w:val="24"/>
                <w:sz w:val="20"/>
                <w:szCs w:val="20"/>
                <w:lang w:val="en-US"/>
              </w:rPr>
              <w:t xml:space="preserve"> </w:t>
            </w:r>
            <w:r w:rsidRPr="003A7E34">
              <w:rPr>
                <w:rFonts w:eastAsia="Times New Roman"/>
                <w:kern w:val="24"/>
                <w:sz w:val="20"/>
                <w:szCs w:val="20"/>
                <w:lang w:val="en-US"/>
              </w:rPr>
              <w:t>targets in ETS sectors compared to 2005 level</w:t>
            </w:r>
          </w:p>
        </w:tc>
        <w:tc>
          <w:tcPr>
            <w:tcW w:w="8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3FB28F8"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-21%</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55F6C51"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-43%</w:t>
            </w:r>
          </w:p>
        </w:tc>
        <w:tc>
          <w:tcPr>
            <w:tcW w:w="226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8CB1812"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EU level target</w:t>
            </w:r>
          </w:p>
        </w:tc>
        <w:tc>
          <w:tcPr>
            <w:tcW w:w="1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26750AC"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-26% (EU)</w:t>
            </w:r>
          </w:p>
        </w:tc>
      </w:tr>
      <w:tr w:rsidR="003A7E34" w:rsidRPr="003A7E34" w14:paraId="058D10A1" w14:textId="77777777" w:rsidTr="4EA93846">
        <w:trPr>
          <w:trHeight w:val="18"/>
        </w:trPr>
        <w:tc>
          <w:tcPr>
            <w:tcW w:w="37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4DFB01C" w14:textId="2F4C583C" w:rsidR="00CA50D0" w:rsidRPr="003A7E34" w:rsidRDefault="00CA50D0" w:rsidP="00C07872">
            <w:pPr>
              <w:spacing w:before="0" w:after="0"/>
              <w:rPr>
                <w:rFonts w:eastAsia="Times New Roman"/>
                <w:sz w:val="20"/>
                <w:szCs w:val="20"/>
                <w:lang w:val="en-US"/>
              </w:rPr>
            </w:pPr>
            <w:r w:rsidRPr="003A7E34">
              <w:rPr>
                <w:rFonts w:eastAsia="Times New Roman"/>
                <w:kern w:val="24"/>
                <w:sz w:val="20"/>
                <w:szCs w:val="20"/>
                <w:lang w:val="en-US"/>
              </w:rPr>
              <w:t>GHG reduction targets in non-ETS sectors compared to 2005 level</w:t>
            </w:r>
          </w:p>
        </w:tc>
        <w:tc>
          <w:tcPr>
            <w:tcW w:w="8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473D1C1"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-10%</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A4299B4"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-30%</w:t>
            </w:r>
          </w:p>
        </w:tc>
        <w:tc>
          <w:tcPr>
            <w:tcW w:w="11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80F57E6"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+15%</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FABCD4C"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-9%</w:t>
            </w:r>
          </w:p>
        </w:tc>
        <w:tc>
          <w:tcPr>
            <w:tcW w:w="1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CEFC609" w14:textId="51F5F482" w:rsidR="00CA50D0" w:rsidRPr="003A7E34" w:rsidRDefault="0082365D" w:rsidP="0082365D">
            <w:pPr>
              <w:spacing w:before="0" w:after="0"/>
              <w:jc w:val="center"/>
              <w:rPr>
                <w:rFonts w:eastAsia="Times New Roman"/>
                <w:sz w:val="20"/>
                <w:szCs w:val="20"/>
                <w:lang w:val="en-US"/>
              </w:rPr>
            </w:pPr>
            <w:r>
              <w:rPr>
                <w:rFonts w:eastAsia="Times New Roman"/>
                <w:kern w:val="24"/>
                <w:sz w:val="20"/>
                <w:szCs w:val="20"/>
                <w:lang w:val="en-US"/>
              </w:rPr>
              <w:t>-0.7</w:t>
            </w:r>
            <w:r w:rsidR="00CA50D0" w:rsidRPr="003A7E34">
              <w:rPr>
                <w:rFonts w:eastAsia="Times New Roman"/>
                <w:kern w:val="24"/>
                <w:sz w:val="20"/>
                <w:szCs w:val="20"/>
                <w:lang w:val="en-US"/>
              </w:rPr>
              <w:t>% (LT)</w:t>
            </w:r>
          </w:p>
        </w:tc>
      </w:tr>
      <w:tr w:rsidR="003A7E34" w:rsidRPr="003A7E34" w14:paraId="52895783" w14:textId="77777777" w:rsidTr="4EA93846">
        <w:trPr>
          <w:trHeight w:val="18"/>
        </w:trPr>
        <w:tc>
          <w:tcPr>
            <w:tcW w:w="37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FC39D4C" w14:textId="37CC60EE" w:rsidR="00CA50D0" w:rsidRPr="003A7E34" w:rsidRDefault="00CA50D0" w:rsidP="00C07872">
            <w:pPr>
              <w:spacing w:before="0" w:after="0"/>
              <w:rPr>
                <w:rFonts w:eastAsia="Times New Roman"/>
                <w:sz w:val="20"/>
                <w:szCs w:val="20"/>
                <w:lang w:val="en-US"/>
              </w:rPr>
            </w:pPr>
            <w:r w:rsidRPr="003A7E34">
              <w:rPr>
                <w:rFonts w:eastAsia="Times New Roman"/>
                <w:kern w:val="24"/>
                <w:sz w:val="20"/>
                <w:szCs w:val="20"/>
                <w:lang w:val="en-US"/>
              </w:rPr>
              <w:t>RES utilization</w:t>
            </w:r>
            <w:r w:rsidR="00D871C8" w:rsidRPr="003A7E34">
              <w:rPr>
                <w:rFonts w:eastAsia="Times New Roman"/>
                <w:kern w:val="24"/>
                <w:sz w:val="20"/>
                <w:szCs w:val="20"/>
                <w:lang w:val="en-US"/>
              </w:rPr>
              <w:t xml:space="preserve"> </w:t>
            </w:r>
            <w:r w:rsidRPr="003A7E34">
              <w:rPr>
                <w:rFonts w:eastAsia="Times New Roman"/>
                <w:kern w:val="24"/>
                <w:sz w:val="20"/>
                <w:szCs w:val="20"/>
                <w:lang w:val="en-US"/>
              </w:rPr>
              <w:t>target in final energy</w:t>
            </w:r>
          </w:p>
        </w:tc>
        <w:tc>
          <w:tcPr>
            <w:tcW w:w="8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E7637E9"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20%</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84BD489"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27%</w:t>
            </w:r>
          </w:p>
        </w:tc>
        <w:tc>
          <w:tcPr>
            <w:tcW w:w="11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0258562"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23%</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A7AAC97"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45%</w:t>
            </w:r>
          </w:p>
        </w:tc>
        <w:tc>
          <w:tcPr>
            <w:tcW w:w="1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F3BC1DF"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25.6% (LT)</w:t>
            </w:r>
          </w:p>
        </w:tc>
      </w:tr>
      <w:tr w:rsidR="003A7E34" w:rsidRPr="003A7E34" w14:paraId="6B951A44" w14:textId="77777777" w:rsidTr="4EA93846">
        <w:trPr>
          <w:trHeight w:val="18"/>
        </w:trPr>
        <w:tc>
          <w:tcPr>
            <w:tcW w:w="37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9EF0BB6" w14:textId="4FCFDABA" w:rsidR="00CA50D0" w:rsidRPr="003A7E34" w:rsidRDefault="00CA50D0" w:rsidP="00C07872">
            <w:pPr>
              <w:spacing w:before="0" w:after="0"/>
              <w:rPr>
                <w:rFonts w:eastAsia="Times New Roman"/>
                <w:sz w:val="20"/>
                <w:szCs w:val="20"/>
                <w:lang w:val="en-US"/>
              </w:rPr>
            </w:pPr>
            <w:r w:rsidRPr="003A7E34">
              <w:rPr>
                <w:rFonts w:eastAsia="Times New Roman"/>
                <w:kern w:val="24"/>
                <w:sz w:val="20"/>
                <w:szCs w:val="20"/>
                <w:lang w:val="en-US"/>
              </w:rPr>
              <w:t>RES utilization</w:t>
            </w:r>
            <w:r w:rsidR="00D871C8" w:rsidRPr="003A7E34">
              <w:rPr>
                <w:rFonts w:eastAsia="Times New Roman"/>
                <w:kern w:val="24"/>
                <w:sz w:val="20"/>
                <w:szCs w:val="20"/>
                <w:lang w:val="en-US"/>
              </w:rPr>
              <w:t xml:space="preserve"> </w:t>
            </w:r>
            <w:r w:rsidRPr="003A7E34">
              <w:rPr>
                <w:rFonts w:eastAsia="Times New Roman"/>
                <w:kern w:val="24"/>
                <w:sz w:val="20"/>
                <w:szCs w:val="20"/>
                <w:lang w:val="en-US"/>
              </w:rPr>
              <w:t>target</w:t>
            </w:r>
            <w:r w:rsidR="00D871C8" w:rsidRPr="003A7E34">
              <w:rPr>
                <w:rFonts w:eastAsia="Times New Roman"/>
                <w:kern w:val="24"/>
                <w:sz w:val="20"/>
                <w:szCs w:val="20"/>
                <w:lang w:val="en-US"/>
              </w:rPr>
              <w:t xml:space="preserve"> </w:t>
            </w:r>
            <w:r w:rsidRPr="003A7E34">
              <w:rPr>
                <w:rFonts w:eastAsia="Times New Roman"/>
                <w:kern w:val="24"/>
                <w:sz w:val="20"/>
                <w:szCs w:val="20"/>
                <w:lang w:val="en-US"/>
              </w:rPr>
              <w:t>in transport</w:t>
            </w:r>
          </w:p>
        </w:tc>
        <w:tc>
          <w:tcPr>
            <w:tcW w:w="8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2A13E20"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10%</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ED938F3" w14:textId="1EE1B4F7" w:rsidR="00CA50D0" w:rsidRPr="003A7E34" w:rsidRDefault="00CA50D0" w:rsidP="4EA93846">
            <w:pPr>
              <w:spacing w:before="0" w:after="0"/>
              <w:jc w:val="center"/>
              <w:rPr>
                <w:rFonts w:eastAsia="Times New Roman"/>
                <w:sz w:val="20"/>
                <w:szCs w:val="20"/>
                <w:lang w:val="en-US"/>
              </w:rPr>
            </w:pPr>
            <w:r w:rsidRPr="003A7E34">
              <w:rPr>
                <w:rFonts w:eastAsia="Times New Roman"/>
                <w:kern w:val="24"/>
                <w:sz w:val="20"/>
                <w:szCs w:val="20"/>
                <w:lang w:val="en-US"/>
              </w:rPr>
              <w:t>14%</w:t>
            </w:r>
          </w:p>
        </w:tc>
        <w:tc>
          <w:tcPr>
            <w:tcW w:w="11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E6AAEA0"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10%</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DB9FCA0"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15%</w:t>
            </w:r>
          </w:p>
        </w:tc>
        <w:tc>
          <w:tcPr>
            <w:tcW w:w="1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31D716D"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3.6% (LT)</w:t>
            </w:r>
          </w:p>
        </w:tc>
      </w:tr>
      <w:tr w:rsidR="003A7E34" w:rsidRPr="003A7E34" w14:paraId="4754EE8F" w14:textId="77777777" w:rsidTr="00A1483D">
        <w:trPr>
          <w:trHeight w:val="321"/>
        </w:trPr>
        <w:tc>
          <w:tcPr>
            <w:tcW w:w="37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tcPr>
          <w:p w14:paraId="372C9F76" w14:textId="0DBDEB3B" w:rsidR="00E80868" w:rsidRPr="003A7E34" w:rsidRDefault="00E80868" w:rsidP="00E80868">
            <w:pPr>
              <w:spacing w:before="0" w:after="0"/>
              <w:rPr>
                <w:rFonts w:eastAsia="Times New Roman"/>
                <w:kern w:val="24"/>
                <w:sz w:val="20"/>
                <w:szCs w:val="20"/>
                <w:lang w:val="en-US"/>
              </w:rPr>
            </w:pPr>
            <w:r w:rsidRPr="003A7E34">
              <w:rPr>
                <w:rFonts w:eastAsia="Calibri"/>
                <w:bCs/>
                <w:kern w:val="24"/>
                <w:sz w:val="20"/>
                <w:szCs w:val="20"/>
                <w:lang w:val="en-US"/>
              </w:rPr>
              <w:t xml:space="preserve">Interconnectivity level </w:t>
            </w:r>
          </w:p>
        </w:tc>
        <w:tc>
          <w:tcPr>
            <w:tcW w:w="8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tcPr>
          <w:p w14:paraId="45EE53B9" w14:textId="649C9F6E" w:rsidR="00E80868" w:rsidRPr="003A7E34" w:rsidRDefault="00E80868" w:rsidP="00E80868">
            <w:pPr>
              <w:spacing w:before="0" w:after="0"/>
              <w:jc w:val="center"/>
              <w:rPr>
                <w:rFonts w:eastAsia="Times New Roman"/>
                <w:kern w:val="24"/>
                <w:sz w:val="20"/>
                <w:szCs w:val="20"/>
                <w:lang w:val="en-US"/>
              </w:rPr>
            </w:pPr>
            <w:r w:rsidRPr="003A7E34">
              <w:rPr>
                <w:rFonts w:eastAsia="Calibri"/>
                <w:bCs/>
                <w:kern w:val="24"/>
                <w:sz w:val="20"/>
                <w:szCs w:val="20"/>
                <w:lang w:val="en-US"/>
              </w:rPr>
              <w:t>10%</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tcPr>
          <w:p w14:paraId="630EC296" w14:textId="679D399E" w:rsidR="00E80868" w:rsidRPr="003A7E34" w:rsidRDefault="00E80868" w:rsidP="00E80868">
            <w:pPr>
              <w:spacing w:before="0" w:after="0"/>
              <w:jc w:val="center"/>
              <w:rPr>
                <w:rFonts w:eastAsia="Times New Roman"/>
                <w:kern w:val="24"/>
                <w:sz w:val="20"/>
                <w:szCs w:val="20"/>
                <w:lang w:val="en-US"/>
              </w:rPr>
            </w:pPr>
            <w:r w:rsidRPr="003A7E34">
              <w:rPr>
                <w:rFonts w:eastAsia="Calibri"/>
                <w:bCs/>
                <w:kern w:val="24"/>
                <w:sz w:val="20"/>
                <w:szCs w:val="20"/>
                <w:lang w:val="en-US"/>
              </w:rPr>
              <w:t>15%</w:t>
            </w:r>
          </w:p>
        </w:tc>
        <w:tc>
          <w:tcPr>
            <w:tcW w:w="226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tcPr>
          <w:p w14:paraId="220EA3D5" w14:textId="15B84981" w:rsidR="00E80868" w:rsidRPr="003A7E34" w:rsidRDefault="00E80868" w:rsidP="00E80868">
            <w:pPr>
              <w:spacing w:before="0" w:after="0"/>
              <w:jc w:val="center"/>
              <w:rPr>
                <w:rFonts w:eastAsia="Times New Roman"/>
                <w:kern w:val="24"/>
                <w:sz w:val="20"/>
                <w:szCs w:val="20"/>
                <w:lang w:val="en-US"/>
              </w:rPr>
            </w:pPr>
            <w:r w:rsidRPr="003A7E34">
              <w:rPr>
                <w:bCs/>
                <w:kern w:val="24"/>
                <w:sz w:val="20"/>
                <w:szCs w:val="20"/>
                <w:lang w:val="en-US"/>
              </w:rPr>
              <w:t>EU level target</w:t>
            </w:r>
          </w:p>
        </w:tc>
        <w:tc>
          <w:tcPr>
            <w:tcW w:w="1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tcPr>
          <w:p w14:paraId="26AFF4F4" w14:textId="64B421FE" w:rsidR="00E80868" w:rsidRPr="003A7E34" w:rsidRDefault="00F6796D" w:rsidP="00E80868">
            <w:pPr>
              <w:spacing w:before="0" w:after="0"/>
              <w:jc w:val="center"/>
              <w:rPr>
                <w:rFonts w:eastAsia="Times New Roman"/>
                <w:kern w:val="24"/>
                <w:sz w:val="20"/>
                <w:szCs w:val="20"/>
                <w:lang w:val="en-US"/>
              </w:rPr>
            </w:pPr>
            <w:r w:rsidRPr="003A7E34">
              <w:rPr>
                <w:rFonts w:eastAsia="Calibri"/>
                <w:bCs/>
                <w:kern w:val="24"/>
                <w:sz w:val="20"/>
                <w:szCs w:val="20"/>
                <w:lang w:val="en-US"/>
              </w:rPr>
              <w:t xml:space="preserve">23.0% </w:t>
            </w:r>
            <w:r w:rsidR="00A4324D" w:rsidRPr="003A7E34">
              <w:rPr>
                <w:rFonts w:eastAsia="Calibri"/>
                <w:bCs/>
                <w:kern w:val="24"/>
                <w:sz w:val="20"/>
                <w:szCs w:val="20"/>
                <w:lang w:val="en-US"/>
              </w:rPr>
              <w:t>(LT)</w:t>
            </w:r>
          </w:p>
        </w:tc>
      </w:tr>
      <w:tr w:rsidR="00CA50D0" w:rsidRPr="003A7E34" w14:paraId="3FB53379" w14:textId="77777777" w:rsidTr="4EA93846">
        <w:trPr>
          <w:trHeight w:val="321"/>
        </w:trPr>
        <w:tc>
          <w:tcPr>
            <w:tcW w:w="37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21DA155" w14:textId="776F4070" w:rsidR="00CA50D0" w:rsidRPr="003A7E34" w:rsidRDefault="00CA50D0" w:rsidP="00C07872">
            <w:pPr>
              <w:spacing w:before="0" w:after="0"/>
              <w:rPr>
                <w:rFonts w:eastAsia="Times New Roman"/>
                <w:sz w:val="20"/>
                <w:szCs w:val="20"/>
                <w:lang w:val="en-US"/>
              </w:rPr>
            </w:pPr>
            <w:r w:rsidRPr="003A7E34">
              <w:rPr>
                <w:rFonts w:eastAsia="Times New Roman"/>
                <w:kern w:val="24"/>
                <w:sz w:val="20"/>
                <w:szCs w:val="20"/>
                <w:lang w:val="en-US"/>
              </w:rPr>
              <w:t>E</w:t>
            </w:r>
            <w:r w:rsidR="00E80868" w:rsidRPr="003A7E34">
              <w:rPr>
                <w:rFonts w:eastAsia="Times New Roman"/>
                <w:kern w:val="24"/>
                <w:sz w:val="20"/>
                <w:szCs w:val="20"/>
                <w:lang w:val="en-US"/>
              </w:rPr>
              <w:t>ne</w:t>
            </w:r>
            <w:r w:rsidR="008C100D" w:rsidRPr="003A7E34">
              <w:rPr>
                <w:rFonts w:eastAsia="Times New Roman"/>
                <w:kern w:val="24"/>
                <w:sz w:val="20"/>
                <w:szCs w:val="20"/>
                <w:lang w:val="en-US"/>
              </w:rPr>
              <w:t>r</w:t>
            </w:r>
            <w:r w:rsidR="00E80868" w:rsidRPr="003A7E34">
              <w:rPr>
                <w:rFonts w:eastAsia="Times New Roman"/>
                <w:kern w:val="24"/>
                <w:sz w:val="20"/>
                <w:szCs w:val="20"/>
                <w:lang w:val="en-US"/>
              </w:rPr>
              <w:t>gy Efficiency</w:t>
            </w:r>
            <w:r w:rsidRPr="003A7E34">
              <w:rPr>
                <w:rFonts w:eastAsia="Times New Roman"/>
                <w:kern w:val="24"/>
                <w:sz w:val="20"/>
                <w:szCs w:val="20"/>
                <w:lang w:val="en-US"/>
              </w:rPr>
              <w:t xml:space="preserve"> targets</w:t>
            </w:r>
          </w:p>
        </w:tc>
        <w:tc>
          <w:tcPr>
            <w:tcW w:w="8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5C312D1"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20%</w:t>
            </w:r>
          </w:p>
        </w:tc>
        <w:tc>
          <w:tcPr>
            <w:tcW w:w="9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37B5CD11"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27/30%</w:t>
            </w:r>
          </w:p>
        </w:tc>
        <w:tc>
          <w:tcPr>
            <w:tcW w:w="11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488E9A7"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17%</w:t>
            </w:r>
          </w:p>
        </w:tc>
        <w:tc>
          <w:tcPr>
            <w:tcW w:w="10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3789BC3" w14:textId="6359A864"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 xml:space="preserve">Energy intensity 1.5 times lower than in </w:t>
            </w:r>
            <w:r w:rsidR="00102925" w:rsidRPr="003A7E34">
              <w:rPr>
                <w:rFonts w:eastAsia="Times New Roman"/>
                <w:kern w:val="24"/>
                <w:sz w:val="20"/>
                <w:szCs w:val="20"/>
                <w:lang w:val="en-US"/>
              </w:rPr>
              <w:t>2017</w:t>
            </w:r>
          </w:p>
        </w:tc>
        <w:tc>
          <w:tcPr>
            <w:tcW w:w="1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4FC577D" w14:textId="77777777" w:rsidR="00CA50D0" w:rsidRPr="003A7E34" w:rsidRDefault="00CA50D0" w:rsidP="00C07872">
            <w:pPr>
              <w:spacing w:before="0" w:after="0"/>
              <w:jc w:val="center"/>
              <w:rPr>
                <w:rFonts w:eastAsia="Times New Roman"/>
                <w:sz w:val="20"/>
                <w:szCs w:val="20"/>
                <w:lang w:val="en-US"/>
              </w:rPr>
            </w:pPr>
            <w:r w:rsidRPr="003A7E34">
              <w:rPr>
                <w:rFonts w:eastAsia="Times New Roman"/>
                <w:kern w:val="24"/>
                <w:sz w:val="20"/>
                <w:szCs w:val="20"/>
                <w:lang w:val="en-US"/>
              </w:rPr>
              <w:t>6.8% (LT)</w:t>
            </w:r>
          </w:p>
        </w:tc>
      </w:tr>
    </w:tbl>
    <w:p w14:paraId="0011AC50" w14:textId="05F1956B" w:rsidR="00CA50D0" w:rsidRPr="003A7E34" w:rsidRDefault="00CA50D0">
      <w:pPr>
        <w:rPr>
          <w:rFonts w:eastAsia="Times New Roman"/>
          <w:noProof/>
          <w:lang w:val="en-US"/>
        </w:rPr>
      </w:pPr>
    </w:p>
    <w:p w14:paraId="5B4FA8AF" w14:textId="4C62AE8A" w:rsidR="00107EB6" w:rsidRPr="003A7E34" w:rsidRDefault="5E230566" w:rsidP="5E230566">
      <w:pPr>
        <w:pStyle w:val="Heading2"/>
        <w:numPr>
          <w:ilvl w:val="1"/>
          <w:numId w:val="11"/>
        </w:numPr>
        <w:rPr>
          <w:rFonts w:cs="Times New Roman"/>
          <w:noProof/>
          <w:lang w:val="en-US"/>
        </w:rPr>
      </w:pPr>
      <w:bookmarkStart w:id="13" w:name="_Toc530405557"/>
      <w:bookmarkStart w:id="14" w:name="_Toc530411788"/>
      <w:bookmarkStart w:id="15" w:name="_Toc530414137"/>
      <w:r w:rsidRPr="003A7E34">
        <w:rPr>
          <w:rFonts w:eastAsia="Times New Roman" w:cs="Times New Roman"/>
          <w:noProof/>
          <w:lang w:val="en-US"/>
        </w:rPr>
        <w:t>Overview of current policy situation</w:t>
      </w:r>
      <w:bookmarkEnd w:id="13"/>
      <w:bookmarkEnd w:id="14"/>
      <w:bookmarkEnd w:id="15"/>
      <w:r w:rsidRPr="003A7E34">
        <w:rPr>
          <w:rFonts w:eastAsia="Times New Roman" w:cs="Times New Roman"/>
          <w:noProof/>
          <w:lang w:val="en-US"/>
        </w:rPr>
        <w:t xml:space="preserve"> </w:t>
      </w:r>
    </w:p>
    <w:p w14:paraId="1A0723F5" w14:textId="4B5E8FD3" w:rsidR="00107EB6" w:rsidRPr="003A7E34" w:rsidRDefault="00107EB6" w:rsidP="00C42AAE">
      <w:pPr>
        <w:pStyle w:val="ListParagraph"/>
        <w:numPr>
          <w:ilvl w:val="3"/>
          <w:numId w:val="11"/>
        </w:numPr>
        <w:tabs>
          <w:tab w:val="left" w:pos="709"/>
          <w:tab w:val="left" w:pos="993"/>
        </w:tabs>
        <w:spacing w:after="0" w:line="240" w:lineRule="auto"/>
        <w:contextualSpacing w:val="0"/>
        <w:jc w:val="both"/>
        <w:rPr>
          <w:rFonts w:ascii="Times New Roman" w:hAnsi="Times New Roman" w:cs="Times New Roman"/>
          <w:b/>
          <w:bCs/>
          <w:noProof/>
          <w:lang w:val="en-US"/>
        </w:rPr>
      </w:pPr>
      <w:r w:rsidRPr="003A7E34">
        <w:rPr>
          <w:rFonts w:ascii="Times New Roman" w:eastAsia="Times New Roman" w:hAnsi="Times New Roman" w:cs="Times New Roman"/>
          <w:b/>
          <w:bCs/>
          <w:noProof/>
          <w:lang w:val="en-US"/>
        </w:rPr>
        <w:t xml:space="preserve"> National</w:t>
      </w:r>
      <w:r w:rsidR="00D871C8" w:rsidRPr="003A7E34">
        <w:rPr>
          <w:rFonts w:ascii="Times New Roman" w:eastAsia="Times New Roman" w:hAnsi="Times New Roman" w:cs="Times New Roman"/>
          <w:b/>
          <w:bCs/>
          <w:noProof/>
          <w:lang w:val="en-US"/>
        </w:rPr>
        <w:t xml:space="preserve"> </w:t>
      </w:r>
      <w:r w:rsidRPr="003A7E34">
        <w:rPr>
          <w:rFonts w:ascii="Times New Roman" w:eastAsia="Times New Roman" w:hAnsi="Times New Roman" w:cs="Times New Roman"/>
          <w:b/>
          <w:bCs/>
          <w:noProof/>
          <w:lang w:val="en-US"/>
        </w:rPr>
        <w:t xml:space="preserve">and </w:t>
      </w:r>
      <w:r w:rsidR="008A5FFE" w:rsidRPr="003A7E34">
        <w:rPr>
          <w:rFonts w:ascii="Times New Roman" w:eastAsia="Times New Roman" w:hAnsi="Times New Roman" w:cs="Times New Roman"/>
          <w:b/>
          <w:bCs/>
          <w:noProof/>
          <w:lang w:val="en-US"/>
        </w:rPr>
        <w:t>Union</w:t>
      </w:r>
      <w:r w:rsidRPr="003A7E34">
        <w:rPr>
          <w:rFonts w:ascii="Times New Roman" w:eastAsia="Times New Roman" w:hAnsi="Times New Roman" w:cs="Times New Roman"/>
          <w:b/>
          <w:bCs/>
          <w:noProof/>
          <w:lang w:val="en-US"/>
        </w:rPr>
        <w:t xml:space="preserve"> energy system and policy context of the national plan</w:t>
      </w:r>
    </w:p>
    <w:p w14:paraId="1EFB3470" w14:textId="77777777" w:rsidR="00107EB6" w:rsidRPr="003A7E34" w:rsidRDefault="0185A49E" w:rsidP="0185A49E">
      <w:pPr>
        <w:tabs>
          <w:tab w:val="left" w:pos="851"/>
        </w:tabs>
        <w:spacing w:before="0" w:after="0"/>
        <w:contextualSpacing/>
        <w:rPr>
          <w:rFonts w:eastAsia="Times New Roman"/>
          <w:lang w:val="en-US" w:eastAsia="lt-LT"/>
        </w:rPr>
      </w:pPr>
      <w:r w:rsidRPr="003A7E34">
        <w:rPr>
          <w:rFonts w:eastAsia="Times New Roman"/>
          <w:lang w:val="en-US" w:eastAsia="lt-LT"/>
        </w:rPr>
        <w:t xml:space="preserve">The structural reforms and strategic projects of the energy sector, carried out in Lithuania as a result of implementing </w:t>
      </w:r>
      <w:r w:rsidRPr="003A7E34">
        <w:rPr>
          <w:rFonts w:eastAsia="Times New Roman"/>
          <w:b/>
          <w:bCs/>
          <w:i/>
          <w:iCs/>
          <w:lang w:val="en-US" w:eastAsia="lt-LT"/>
        </w:rPr>
        <w:t>the National Energy Independence Strategy</w:t>
      </w:r>
      <w:r w:rsidRPr="003A7E34">
        <w:rPr>
          <w:rFonts w:eastAsia="Times New Roman"/>
          <w:lang w:val="en-US" w:eastAsia="lt-LT"/>
        </w:rPr>
        <w:t xml:space="preserve"> approved by the Parliament in 2012, have diversified energy supply routes and sources, reduced energy resources prices for consumers, and opened new development opportunities for the country. Lithuanian energy sector has been substantially restructured in order to reduce and eventually eliminate the energy dependence on the Russian Federation that has resulted in unreasonably high resource prices and the use of energy as a political tool. </w:t>
      </w:r>
    </w:p>
    <w:p w14:paraId="26177CA3" w14:textId="164E7A48" w:rsidR="00107EB6" w:rsidRPr="003A7E34" w:rsidRDefault="46DF7FC9" w:rsidP="46DF7FC9">
      <w:pPr>
        <w:tabs>
          <w:tab w:val="left" w:pos="851"/>
        </w:tabs>
        <w:spacing w:before="0" w:after="0"/>
        <w:contextualSpacing/>
        <w:rPr>
          <w:rFonts w:eastAsia="Times New Roman"/>
          <w:lang w:val="en-US" w:eastAsia="lt-LT"/>
        </w:rPr>
      </w:pPr>
      <w:r w:rsidRPr="003A7E34">
        <w:rPr>
          <w:rFonts w:eastAsia="Times New Roman"/>
          <w:lang w:val="en-US" w:eastAsia="lt-LT"/>
        </w:rPr>
        <w:t xml:space="preserve">With regard to these results and the new EU energy and climate change targets that Lithuania has to achieve by 2030 by implementing the Paris Agreement and the new trends in the energy market and also targets of the EU Energy Union and the Baltic Energy Market Interconnection Plan, an </w:t>
      </w:r>
      <w:r w:rsidRPr="003A7E34">
        <w:rPr>
          <w:rFonts w:eastAsia="Times New Roman"/>
          <w:b/>
          <w:bCs/>
          <w:i/>
          <w:iCs/>
          <w:lang w:val="en-US" w:eastAsia="lt-LT"/>
        </w:rPr>
        <w:t>updated National Energy Independence Strategy</w:t>
      </w:r>
      <w:r w:rsidRPr="003A7E34">
        <w:rPr>
          <w:rFonts w:eastAsia="Times New Roman"/>
          <w:lang w:val="en-US" w:eastAsia="lt-LT"/>
        </w:rPr>
        <w:t xml:space="preserve"> </w:t>
      </w:r>
      <w:r w:rsidR="003C5BEC" w:rsidRPr="003A7E34">
        <w:rPr>
          <w:rFonts w:eastAsia="Times New Roman"/>
          <w:lang w:val="en-US" w:eastAsia="lt-LT"/>
        </w:rPr>
        <w:t>was</w:t>
      </w:r>
      <w:r w:rsidRPr="003A7E34">
        <w:rPr>
          <w:rFonts w:eastAsia="Times New Roman"/>
          <w:lang w:val="en-US" w:eastAsia="lt-LT"/>
        </w:rPr>
        <w:t xml:space="preserve"> approved by the Parliament in June 2018, including the state’s key energy policy tasks, directions and their implementation tasks up to 2030 and a vision up to 2050.</w:t>
      </w:r>
    </w:p>
    <w:p w14:paraId="6E154BC9" w14:textId="77777777" w:rsidR="00107EB6" w:rsidRPr="003A7E34" w:rsidRDefault="372247B6" w:rsidP="00533D56">
      <w:pPr>
        <w:tabs>
          <w:tab w:val="left" w:pos="851"/>
        </w:tabs>
        <w:spacing w:before="0"/>
        <w:contextualSpacing/>
        <w:rPr>
          <w:rFonts w:eastAsia="Times New Roman"/>
          <w:lang w:val="en-US" w:eastAsia="lt-LT"/>
        </w:rPr>
      </w:pPr>
      <w:r w:rsidRPr="003A7E34">
        <w:rPr>
          <w:rFonts w:eastAsia="Times New Roman"/>
          <w:lang w:val="en-US" w:eastAsia="lt-LT"/>
        </w:rPr>
        <w:t>According to the updated Strategy, the continuity of the pursued policy and directions will be maintained, the investment attractiveness of Lithuania will be improved, new zero GHG and zero pollutant technologies resilient to climate change will be implemented, innovations in the energy sector will be encouraged, and energy progress will be ensured.</w:t>
      </w:r>
    </w:p>
    <w:p w14:paraId="1858F82B" w14:textId="77777777" w:rsidR="003F2656" w:rsidRPr="003A7E34" w:rsidRDefault="003F2656" w:rsidP="00533D56">
      <w:pPr>
        <w:tabs>
          <w:tab w:val="left" w:pos="851"/>
        </w:tabs>
        <w:spacing w:before="0"/>
        <w:contextualSpacing/>
        <w:rPr>
          <w:rFonts w:eastAsia="Times New Roman"/>
          <w:lang w:val="en-US" w:eastAsia="lt-LT"/>
        </w:rPr>
      </w:pPr>
    </w:p>
    <w:p w14:paraId="0EFEDE04" w14:textId="36C5F52A" w:rsidR="00AC2F0F" w:rsidRPr="003A7E34" w:rsidRDefault="372247B6" w:rsidP="00C42AAE">
      <w:pPr>
        <w:pStyle w:val="ListParagraph"/>
        <w:numPr>
          <w:ilvl w:val="3"/>
          <w:numId w:val="11"/>
        </w:numPr>
        <w:tabs>
          <w:tab w:val="left" w:pos="709"/>
          <w:tab w:val="left" w:pos="993"/>
        </w:tabs>
        <w:spacing w:after="120" w:line="240" w:lineRule="auto"/>
        <w:ind w:left="993" w:hanging="223"/>
        <w:contextualSpacing w:val="0"/>
        <w:jc w:val="both"/>
        <w:rPr>
          <w:rFonts w:ascii="Times New Roman" w:hAnsi="Times New Roman" w:cs="Times New Roman"/>
          <w:b/>
          <w:bCs/>
          <w:lang w:val="en-US"/>
        </w:rPr>
      </w:pPr>
      <w:r w:rsidRPr="003A7E34">
        <w:rPr>
          <w:rFonts w:ascii="Times New Roman" w:eastAsia="Times New Roman" w:hAnsi="Times New Roman" w:cs="Times New Roman"/>
          <w:b/>
          <w:bCs/>
          <w:noProof/>
          <w:lang w:val="en-US"/>
        </w:rPr>
        <w:t xml:space="preserve"> Current energy and climate policies and measures</w:t>
      </w:r>
      <w:r w:rsidRPr="003A7E34">
        <w:rPr>
          <w:rFonts w:ascii="Times New Roman" w:eastAsia="Times New Roman" w:hAnsi="Times New Roman" w:cs="Times New Roman"/>
          <w:b/>
          <w:bCs/>
          <w:lang w:val="en-US"/>
        </w:rPr>
        <w:t xml:space="preserve"> relating to</w:t>
      </w:r>
      <w:r w:rsidRPr="003A7E34">
        <w:rPr>
          <w:rFonts w:ascii="Times New Roman" w:eastAsia="Times New Roman" w:hAnsi="Times New Roman" w:cs="Times New Roman"/>
          <w:lang w:val="en-US"/>
        </w:rPr>
        <w:t xml:space="preserve"> </w:t>
      </w:r>
      <w:r w:rsidRPr="003A7E34">
        <w:rPr>
          <w:rFonts w:ascii="Times New Roman" w:eastAsia="Times New Roman" w:hAnsi="Times New Roman" w:cs="Times New Roman"/>
          <w:b/>
          <w:bCs/>
          <w:noProof/>
          <w:lang w:val="en-US"/>
        </w:rPr>
        <w:t>the five dimensions of the Energy Union</w:t>
      </w:r>
    </w:p>
    <w:p w14:paraId="51F04310" w14:textId="77777777" w:rsidR="00F04236" w:rsidRPr="003A7E34" w:rsidRDefault="00F04236" w:rsidP="00533D56">
      <w:pPr>
        <w:spacing w:before="0"/>
        <w:rPr>
          <w:rFonts w:eastAsia="Times New Roman"/>
          <w:lang w:val="en-US"/>
        </w:rPr>
      </w:pPr>
      <w:r w:rsidRPr="003A7E34">
        <w:rPr>
          <w:rFonts w:eastAsia="Times New Roman"/>
          <w:b/>
          <w:bCs/>
          <w:i/>
          <w:iCs/>
          <w:lang w:val="en-US"/>
        </w:rPr>
        <w:lastRenderedPageBreak/>
        <w:t>The Lithuanian climate change policy</w:t>
      </w:r>
      <w:r w:rsidRPr="003A7E34">
        <w:rPr>
          <w:rStyle w:val="FootnoteReference"/>
          <w:rFonts w:eastAsia="Times New Roman"/>
          <w:b/>
          <w:bCs/>
          <w:lang w:val="en-US"/>
        </w:rPr>
        <w:footnoteReference w:id="2"/>
      </w:r>
      <w:r w:rsidRPr="003A7E34">
        <w:rPr>
          <w:rFonts w:eastAsia="Times New Roman"/>
          <w:noProof/>
          <w:lang w:val="en-US"/>
        </w:rPr>
        <w:t xml:space="preserve"> </w:t>
      </w:r>
      <w:r w:rsidRPr="003A7E34">
        <w:rPr>
          <w:rFonts w:eastAsia="Times New Roman"/>
          <w:lang w:val="en-US"/>
        </w:rPr>
        <w:t xml:space="preserve">is developed in line with the targets and objectives laid down in the international agreements under the United Nations Framework Convention on Climate Change (UNFCCC), the EU strategic documents and legislation. </w:t>
      </w:r>
    </w:p>
    <w:p w14:paraId="09499F1F" w14:textId="34490A46" w:rsidR="00F04236" w:rsidRPr="003A7E34" w:rsidRDefault="00F04236" w:rsidP="4EA93846">
      <w:pPr>
        <w:spacing w:before="0" w:after="0"/>
        <w:rPr>
          <w:rFonts w:eastAsia="Times New Roman"/>
          <w:lang w:val="en-US"/>
        </w:rPr>
      </w:pPr>
      <w:r w:rsidRPr="003A7E34">
        <w:rPr>
          <w:rFonts w:eastAsia="Times New Roman"/>
          <w:lang w:val="en-US"/>
        </w:rPr>
        <w:t>In order to ensure the implementation of the international agreements</w:t>
      </w:r>
      <w:r w:rsidRPr="003A7E34">
        <w:rPr>
          <w:rFonts w:eastAsia="Times New Roman"/>
          <w:vertAlign w:val="superscript"/>
          <w:lang w:val="en-US"/>
        </w:rPr>
        <w:footnoteReference w:id="3"/>
      </w:r>
      <w:r w:rsidRPr="003A7E34">
        <w:rPr>
          <w:rFonts w:eastAsia="Times New Roman"/>
          <w:vertAlign w:val="superscript"/>
          <w:lang w:val="en-US"/>
        </w:rPr>
        <w:t xml:space="preserve"> </w:t>
      </w:r>
      <w:r w:rsidRPr="003A7E34">
        <w:rPr>
          <w:rFonts w:eastAsia="Times New Roman"/>
          <w:lang w:val="en-US"/>
        </w:rPr>
        <w:t xml:space="preserve">on climate change and in the EU legal acts defined targets for Lithuania, the Parliament of the Republic of Lithuania in 2012 approved the National Strategy for Climate Change Management Policy which lays down the </w:t>
      </w:r>
      <w:r w:rsidR="00002868" w:rsidRPr="003A7E34">
        <w:rPr>
          <w:rFonts w:eastAsia="Times New Roman"/>
          <w:lang w:val="en-US"/>
        </w:rPr>
        <w:t>short-term</w:t>
      </w:r>
      <w:r w:rsidR="00A27CE5" w:rsidRPr="003A7E34">
        <w:rPr>
          <w:rFonts w:eastAsia="Times New Roman"/>
          <w:lang w:val="en-US"/>
        </w:rPr>
        <w:t xml:space="preserve"> </w:t>
      </w:r>
      <w:r w:rsidRPr="003A7E34">
        <w:rPr>
          <w:rFonts w:eastAsia="Times New Roman"/>
          <w:lang w:val="en-US"/>
        </w:rPr>
        <w:t xml:space="preserve">targets and objectives </w:t>
      </w:r>
      <w:r w:rsidR="00A27CE5" w:rsidRPr="003A7E34">
        <w:rPr>
          <w:rFonts w:eastAsia="Times New Roman"/>
          <w:lang w:val="en-US"/>
        </w:rPr>
        <w:t xml:space="preserve">for climate change mitigation and adaptation until </w:t>
      </w:r>
      <w:r w:rsidR="000D0C6D" w:rsidRPr="003A7E34">
        <w:rPr>
          <w:rFonts w:eastAsia="Times New Roman"/>
          <w:lang w:val="en-US"/>
        </w:rPr>
        <w:t>2020 and</w:t>
      </w:r>
      <w:r w:rsidR="00A27CE5" w:rsidRPr="003A7E34">
        <w:rPr>
          <w:rFonts w:eastAsia="Times New Roman"/>
          <w:lang w:val="en-US"/>
        </w:rPr>
        <w:t xml:space="preserve"> </w:t>
      </w:r>
      <w:r w:rsidR="000D0C6D" w:rsidRPr="003A7E34">
        <w:rPr>
          <w:rFonts w:eastAsia="Times New Roman"/>
          <w:lang w:val="en-US"/>
        </w:rPr>
        <w:t>long-term</w:t>
      </w:r>
      <w:r w:rsidR="00A27CE5" w:rsidRPr="003A7E34">
        <w:rPr>
          <w:rFonts w:eastAsia="Times New Roman"/>
          <w:lang w:val="en-US"/>
        </w:rPr>
        <w:t xml:space="preserve"> </w:t>
      </w:r>
      <w:r w:rsidR="000D0C6D" w:rsidRPr="003A7E34">
        <w:rPr>
          <w:rFonts w:eastAsia="Times New Roman"/>
          <w:lang w:val="en-US"/>
        </w:rPr>
        <w:t>indicative</w:t>
      </w:r>
      <w:r w:rsidR="00A27CE5" w:rsidRPr="003A7E34">
        <w:rPr>
          <w:rFonts w:eastAsia="Times New Roman"/>
          <w:lang w:val="en-US"/>
        </w:rPr>
        <w:t xml:space="preserve"> target for</w:t>
      </w:r>
      <w:r w:rsidRPr="003A7E34">
        <w:rPr>
          <w:rFonts w:eastAsia="Times New Roman"/>
          <w:lang w:val="en-US"/>
        </w:rPr>
        <w:t xml:space="preserve"> 2050. </w:t>
      </w:r>
    </w:p>
    <w:p w14:paraId="6EFC8A93" w14:textId="77777777" w:rsidR="003F2656" w:rsidRPr="003A7E34" w:rsidRDefault="003F2656" w:rsidP="4EA93846">
      <w:pPr>
        <w:spacing w:before="0" w:after="0"/>
        <w:rPr>
          <w:rFonts w:eastAsia="Times New Roman"/>
          <w:lang w:val="en-US"/>
        </w:rPr>
      </w:pPr>
    </w:p>
    <w:p w14:paraId="7D56ED7D" w14:textId="035CC93D" w:rsidR="00433A4E" w:rsidRPr="003A7E34" w:rsidRDefault="4EA93846" w:rsidP="4EA93846">
      <w:pPr>
        <w:spacing w:before="0"/>
        <w:rPr>
          <w:rFonts w:eastAsia="Times New Roman"/>
          <w:sz w:val="20"/>
          <w:szCs w:val="20"/>
          <w:lang w:val="en-US"/>
        </w:rPr>
      </w:pPr>
      <w:r w:rsidRPr="003A7E34">
        <w:rPr>
          <w:rFonts w:eastAsia="Times New Roman"/>
          <w:b/>
          <w:bCs/>
          <w:sz w:val="20"/>
          <w:szCs w:val="20"/>
          <w:lang w:val="en-US"/>
        </w:rPr>
        <w:t xml:space="preserve">Table 1.2.1. </w:t>
      </w:r>
      <w:r w:rsidRPr="003A7E34">
        <w:rPr>
          <w:rFonts w:eastAsia="Times New Roman"/>
          <w:sz w:val="20"/>
          <w:szCs w:val="20"/>
          <w:lang w:val="en-US"/>
        </w:rPr>
        <w:t>The Lithuania’s legally binding short-term and long-term climate change mitigation compared to 1990 and other targets</w:t>
      </w:r>
    </w:p>
    <w:tbl>
      <w:tblPr>
        <w:tblStyle w:val="TableGrid"/>
        <w:tblW w:w="0" w:type="auto"/>
        <w:tblLook w:val="04A0" w:firstRow="1" w:lastRow="0" w:firstColumn="1" w:lastColumn="0" w:noHBand="0" w:noVBand="1"/>
      </w:tblPr>
      <w:tblGrid>
        <w:gridCol w:w="3510"/>
        <w:gridCol w:w="3537"/>
        <w:gridCol w:w="2806"/>
      </w:tblGrid>
      <w:tr w:rsidR="003A7E34" w:rsidRPr="003A7E34" w14:paraId="51A8BECE" w14:textId="1714F396" w:rsidTr="4EA93846">
        <w:trPr>
          <w:trHeight w:val="70"/>
        </w:trPr>
        <w:tc>
          <w:tcPr>
            <w:tcW w:w="3510" w:type="dxa"/>
          </w:tcPr>
          <w:p w14:paraId="0AE1C1A9" w14:textId="13E5DD8D" w:rsidR="00102925" w:rsidRPr="003A7E34" w:rsidRDefault="4EA93846" w:rsidP="4EA93846">
            <w:pPr>
              <w:spacing w:before="0" w:after="0"/>
              <w:jc w:val="center"/>
              <w:rPr>
                <w:rFonts w:eastAsia="Times New Roman"/>
                <w:b/>
                <w:bCs/>
                <w:sz w:val="20"/>
                <w:szCs w:val="20"/>
                <w:lang w:val="en-US"/>
              </w:rPr>
            </w:pPr>
            <w:r w:rsidRPr="003A7E34">
              <w:rPr>
                <w:rFonts w:eastAsia="Times New Roman"/>
                <w:b/>
                <w:bCs/>
                <w:sz w:val="20"/>
                <w:szCs w:val="20"/>
                <w:lang w:val="en-US"/>
              </w:rPr>
              <w:t>Description</w:t>
            </w:r>
          </w:p>
        </w:tc>
        <w:tc>
          <w:tcPr>
            <w:tcW w:w="3538" w:type="dxa"/>
          </w:tcPr>
          <w:p w14:paraId="11CF1D6E" w14:textId="77777777" w:rsidR="00102925" w:rsidRPr="003A7E34" w:rsidRDefault="4EA93846" w:rsidP="4EA93846">
            <w:pPr>
              <w:spacing w:before="0" w:after="0"/>
              <w:jc w:val="center"/>
              <w:rPr>
                <w:rFonts w:eastAsia="Times New Roman"/>
                <w:b/>
                <w:bCs/>
                <w:sz w:val="20"/>
                <w:szCs w:val="20"/>
                <w:lang w:val="en-US"/>
              </w:rPr>
            </w:pPr>
            <w:r w:rsidRPr="003A7E34">
              <w:rPr>
                <w:rFonts w:eastAsia="Times New Roman"/>
                <w:b/>
                <w:bCs/>
                <w:sz w:val="20"/>
                <w:szCs w:val="20"/>
                <w:lang w:val="en-US"/>
              </w:rPr>
              <w:t>Target</w:t>
            </w:r>
          </w:p>
        </w:tc>
        <w:tc>
          <w:tcPr>
            <w:tcW w:w="2807" w:type="dxa"/>
          </w:tcPr>
          <w:p w14:paraId="19D1739F" w14:textId="3F0EE46A" w:rsidR="00102925" w:rsidRPr="003A7E34" w:rsidRDefault="4EA93846" w:rsidP="4EA93846">
            <w:pPr>
              <w:spacing w:before="0" w:after="0"/>
              <w:jc w:val="center"/>
              <w:rPr>
                <w:rFonts w:eastAsia="Times New Roman"/>
                <w:b/>
                <w:bCs/>
                <w:sz w:val="20"/>
                <w:szCs w:val="20"/>
                <w:lang w:val="en-US"/>
              </w:rPr>
            </w:pPr>
            <w:r w:rsidRPr="003A7E34">
              <w:rPr>
                <w:rFonts w:eastAsia="Times New Roman"/>
                <w:b/>
                <w:bCs/>
                <w:sz w:val="20"/>
                <w:szCs w:val="20"/>
                <w:lang w:val="en-US"/>
              </w:rPr>
              <w:t>2016</w:t>
            </w:r>
          </w:p>
        </w:tc>
      </w:tr>
      <w:tr w:rsidR="003A7E34" w:rsidRPr="003A7E34" w14:paraId="313A756B" w14:textId="77777777" w:rsidTr="4EA93846">
        <w:trPr>
          <w:trHeight w:val="70"/>
        </w:trPr>
        <w:tc>
          <w:tcPr>
            <w:tcW w:w="9855" w:type="dxa"/>
            <w:gridSpan w:val="3"/>
          </w:tcPr>
          <w:p w14:paraId="54A74CCF" w14:textId="5845BEC0" w:rsidR="000D0C6D" w:rsidRPr="003A7E34" w:rsidRDefault="00646E4E" w:rsidP="00894342">
            <w:pPr>
              <w:spacing w:before="0" w:after="0"/>
              <w:jc w:val="center"/>
              <w:rPr>
                <w:rFonts w:eastAsia="Times New Roman"/>
                <w:b/>
                <w:bCs/>
                <w:sz w:val="20"/>
                <w:szCs w:val="20"/>
                <w:lang w:val="en-US"/>
              </w:rPr>
            </w:pPr>
            <w:r w:rsidRPr="003A7E34">
              <w:rPr>
                <w:rFonts w:eastAsia="Times New Roman"/>
                <w:b/>
                <w:bCs/>
                <w:sz w:val="20"/>
                <w:szCs w:val="20"/>
                <w:lang w:val="en-US"/>
              </w:rPr>
              <w:t>Short-term targets</w:t>
            </w:r>
          </w:p>
        </w:tc>
      </w:tr>
      <w:tr w:rsidR="003A7E34" w:rsidRPr="003A7E34" w14:paraId="1B36F706" w14:textId="47B0A0CB" w:rsidTr="4EA93846">
        <w:trPr>
          <w:trHeight w:val="377"/>
        </w:trPr>
        <w:tc>
          <w:tcPr>
            <w:tcW w:w="3510" w:type="dxa"/>
          </w:tcPr>
          <w:p w14:paraId="51ACC75E" w14:textId="0F1A936C" w:rsidR="00102925" w:rsidRPr="003A7E34" w:rsidRDefault="00102925" w:rsidP="00894342">
            <w:pPr>
              <w:spacing w:before="0" w:after="0"/>
              <w:rPr>
                <w:rFonts w:eastAsia="Times New Roman"/>
                <w:sz w:val="20"/>
                <w:szCs w:val="20"/>
                <w:lang w:val="en-US"/>
              </w:rPr>
            </w:pPr>
            <w:r w:rsidRPr="003A7E34">
              <w:rPr>
                <w:rFonts w:eastAsia="Times New Roman"/>
                <w:sz w:val="20"/>
                <w:szCs w:val="20"/>
                <w:lang w:val="en-US" w:eastAsia="en-GB"/>
              </w:rPr>
              <w:t>GHG emission</w:t>
            </w:r>
            <w:r w:rsidR="00A27CE5" w:rsidRPr="003A7E34">
              <w:rPr>
                <w:rFonts w:eastAsia="Times New Roman"/>
                <w:sz w:val="20"/>
                <w:szCs w:val="20"/>
                <w:lang w:val="en-US" w:eastAsia="en-GB"/>
              </w:rPr>
              <w:t xml:space="preserve"> reduction</w:t>
            </w:r>
            <w:r w:rsidRPr="003A7E34">
              <w:rPr>
                <w:rFonts w:eastAsia="Times New Roman"/>
                <w:sz w:val="20"/>
                <w:szCs w:val="20"/>
                <w:lang w:val="en-US" w:eastAsia="en-GB"/>
              </w:rPr>
              <w:t xml:space="preserve"> in EU ETS sectors </w:t>
            </w:r>
          </w:p>
        </w:tc>
        <w:tc>
          <w:tcPr>
            <w:tcW w:w="3538" w:type="dxa"/>
          </w:tcPr>
          <w:p w14:paraId="6C693584" w14:textId="230DFE39" w:rsidR="00102925" w:rsidRPr="003A7E34" w:rsidRDefault="00102925" w:rsidP="00894342">
            <w:pPr>
              <w:spacing w:before="0" w:after="0"/>
              <w:jc w:val="center"/>
              <w:rPr>
                <w:rFonts w:eastAsia="Times New Roman"/>
                <w:sz w:val="20"/>
                <w:szCs w:val="20"/>
                <w:lang w:val="en-US"/>
              </w:rPr>
            </w:pPr>
            <w:r w:rsidRPr="003A7E34">
              <w:rPr>
                <w:rFonts w:eastAsia="Times New Roman"/>
                <w:sz w:val="20"/>
                <w:szCs w:val="20"/>
                <w:lang w:val="en-US" w:eastAsia="en-GB"/>
              </w:rPr>
              <w:t>8.5 Mt CO</w:t>
            </w:r>
            <w:r w:rsidRPr="003A7E34">
              <w:rPr>
                <w:rFonts w:eastAsia="Times New Roman"/>
                <w:sz w:val="20"/>
                <w:szCs w:val="20"/>
                <w:vertAlign w:val="subscript"/>
                <w:lang w:val="en-US" w:eastAsia="en-GB"/>
              </w:rPr>
              <w:t>2</w:t>
            </w:r>
            <w:r w:rsidRPr="003A7E34">
              <w:rPr>
                <w:rFonts w:eastAsia="Times New Roman"/>
                <w:sz w:val="20"/>
                <w:szCs w:val="20"/>
                <w:lang w:val="en-US" w:eastAsia="en-GB"/>
              </w:rPr>
              <w:t>eq.</w:t>
            </w:r>
          </w:p>
        </w:tc>
        <w:tc>
          <w:tcPr>
            <w:tcW w:w="2807" w:type="dxa"/>
          </w:tcPr>
          <w:p w14:paraId="5E157086" w14:textId="42F52507" w:rsidR="00102925" w:rsidRPr="003A7E34" w:rsidRDefault="00887096" w:rsidP="00894342">
            <w:pPr>
              <w:spacing w:before="0" w:after="0"/>
              <w:jc w:val="center"/>
              <w:rPr>
                <w:rFonts w:eastAsia="Times New Roman"/>
                <w:sz w:val="20"/>
                <w:szCs w:val="20"/>
                <w:lang w:val="en-US" w:eastAsia="en-GB"/>
              </w:rPr>
            </w:pPr>
            <w:r w:rsidRPr="003A7E34">
              <w:rPr>
                <w:rFonts w:eastAsia="Times New Roman"/>
                <w:sz w:val="20"/>
                <w:szCs w:val="20"/>
                <w:lang w:val="en-US" w:eastAsia="en-GB"/>
              </w:rPr>
              <w:t>6.1 Mt CO</w:t>
            </w:r>
            <w:r w:rsidRPr="003A7E34">
              <w:rPr>
                <w:rFonts w:eastAsia="Times New Roman"/>
                <w:sz w:val="20"/>
                <w:szCs w:val="20"/>
                <w:vertAlign w:val="subscript"/>
                <w:lang w:val="en-US" w:eastAsia="en-GB"/>
              </w:rPr>
              <w:t>2</w:t>
            </w:r>
            <w:r w:rsidRPr="003A7E34">
              <w:rPr>
                <w:rFonts w:eastAsia="Times New Roman"/>
                <w:sz w:val="20"/>
                <w:szCs w:val="20"/>
                <w:lang w:val="en-US" w:eastAsia="en-GB"/>
              </w:rPr>
              <w:t>eq.</w:t>
            </w:r>
          </w:p>
        </w:tc>
      </w:tr>
      <w:tr w:rsidR="003A7E34" w:rsidRPr="003A7E34" w14:paraId="19824235" w14:textId="081D2536" w:rsidTr="4EA93846">
        <w:trPr>
          <w:trHeight w:val="355"/>
        </w:trPr>
        <w:tc>
          <w:tcPr>
            <w:tcW w:w="3510" w:type="dxa"/>
          </w:tcPr>
          <w:p w14:paraId="26AF7494" w14:textId="0996401F" w:rsidR="00102925" w:rsidRPr="003A7E34" w:rsidRDefault="00102925" w:rsidP="00894342">
            <w:pPr>
              <w:spacing w:before="0" w:after="0"/>
              <w:rPr>
                <w:rFonts w:eastAsia="Times New Roman"/>
                <w:sz w:val="20"/>
                <w:szCs w:val="20"/>
                <w:lang w:val="en-US"/>
              </w:rPr>
            </w:pPr>
            <w:r w:rsidRPr="003A7E34">
              <w:rPr>
                <w:rFonts w:eastAsia="Times New Roman"/>
                <w:sz w:val="20"/>
                <w:szCs w:val="20"/>
                <w:lang w:val="en-US"/>
              </w:rPr>
              <w:t xml:space="preserve">GHG emissions </w:t>
            </w:r>
            <w:r w:rsidR="00A27CE5" w:rsidRPr="003A7E34">
              <w:rPr>
                <w:rFonts w:eastAsia="Times New Roman"/>
                <w:sz w:val="20"/>
                <w:szCs w:val="20"/>
                <w:lang w:val="en-US"/>
              </w:rPr>
              <w:t xml:space="preserve">reduction </w:t>
            </w:r>
            <w:r w:rsidRPr="003A7E34">
              <w:rPr>
                <w:rFonts w:eastAsia="Times New Roman"/>
                <w:sz w:val="20"/>
                <w:szCs w:val="20"/>
                <w:lang w:val="en-US"/>
              </w:rPr>
              <w:t>in non-ETS sectors</w:t>
            </w:r>
          </w:p>
        </w:tc>
        <w:tc>
          <w:tcPr>
            <w:tcW w:w="3538" w:type="dxa"/>
          </w:tcPr>
          <w:p w14:paraId="34180B9C" w14:textId="69F97BC4" w:rsidR="00102925" w:rsidRPr="003A7E34" w:rsidRDefault="00102925" w:rsidP="00894342">
            <w:pPr>
              <w:spacing w:before="0" w:after="0"/>
              <w:jc w:val="center"/>
              <w:rPr>
                <w:rFonts w:eastAsia="Times New Roman"/>
                <w:sz w:val="20"/>
                <w:szCs w:val="20"/>
                <w:lang w:val="en-US"/>
              </w:rPr>
            </w:pPr>
            <w:r w:rsidRPr="003A7E34">
              <w:rPr>
                <w:rFonts w:eastAsia="Times New Roman"/>
                <w:sz w:val="20"/>
                <w:szCs w:val="20"/>
                <w:lang w:val="en-US"/>
              </w:rPr>
              <w:t xml:space="preserve">15.2 Mt </w:t>
            </w:r>
            <w:r w:rsidRPr="003A7E34">
              <w:rPr>
                <w:rFonts w:eastAsia="Times New Roman"/>
                <w:sz w:val="20"/>
                <w:szCs w:val="20"/>
                <w:lang w:val="en-US" w:eastAsia="en-GB"/>
              </w:rPr>
              <w:t>CO</w:t>
            </w:r>
            <w:r w:rsidRPr="003A7E34">
              <w:rPr>
                <w:rFonts w:eastAsia="Times New Roman"/>
                <w:sz w:val="20"/>
                <w:szCs w:val="20"/>
                <w:vertAlign w:val="subscript"/>
                <w:lang w:val="en-US" w:eastAsia="en-GB"/>
              </w:rPr>
              <w:t>2</w:t>
            </w:r>
            <w:r w:rsidRPr="003A7E34">
              <w:rPr>
                <w:rFonts w:eastAsia="Times New Roman"/>
                <w:sz w:val="20"/>
                <w:szCs w:val="20"/>
                <w:lang w:val="en-US" w:eastAsia="en-GB"/>
              </w:rPr>
              <w:t>eq.</w:t>
            </w:r>
          </w:p>
        </w:tc>
        <w:tc>
          <w:tcPr>
            <w:tcW w:w="2807" w:type="dxa"/>
          </w:tcPr>
          <w:p w14:paraId="61294BE7" w14:textId="625CFD3B" w:rsidR="00102925" w:rsidRPr="003A7E34" w:rsidRDefault="00887096" w:rsidP="00894342">
            <w:pPr>
              <w:spacing w:before="0" w:after="0"/>
              <w:jc w:val="center"/>
              <w:rPr>
                <w:rFonts w:eastAsia="Times New Roman"/>
                <w:sz w:val="20"/>
                <w:szCs w:val="20"/>
                <w:lang w:val="en-US"/>
              </w:rPr>
            </w:pPr>
            <w:r w:rsidRPr="003A7E34">
              <w:rPr>
                <w:rFonts w:eastAsia="Times New Roman"/>
                <w:sz w:val="20"/>
                <w:szCs w:val="20"/>
                <w:lang w:val="en-US"/>
              </w:rPr>
              <w:t xml:space="preserve">13.9 Mt </w:t>
            </w:r>
            <w:r w:rsidRPr="003A7E34">
              <w:rPr>
                <w:rFonts w:eastAsia="Times New Roman"/>
                <w:sz w:val="20"/>
                <w:szCs w:val="20"/>
                <w:lang w:val="en-US" w:eastAsia="en-GB"/>
              </w:rPr>
              <w:t>CO</w:t>
            </w:r>
            <w:r w:rsidRPr="003A7E34">
              <w:rPr>
                <w:rFonts w:eastAsia="Times New Roman"/>
                <w:sz w:val="20"/>
                <w:szCs w:val="20"/>
                <w:vertAlign w:val="subscript"/>
                <w:lang w:val="en-US" w:eastAsia="en-GB"/>
              </w:rPr>
              <w:t>2</w:t>
            </w:r>
            <w:r w:rsidRPr="003A7E34">
              <w:rPr>
                <w:rFonts w:eastAsia="Times New Roman"/>
                <w:sz w:val="20"/>
                <w:szCs w:val="20"/>
                <w:lang w:val="en-US" w:eastAsia="en-GB"/>
              </w:rPr>
              <w:t>eq.</w:t>
            </w:r>
          </w:p>
        </w:tc>
      </w:tr>
      <w:tr w:rsidR="003A7E34" w:rsidRPr="003A7E34" w14:paraId="1C340AAF" w14:textId="529C42DA" w:rsidTr="4EA93846">
        <w:trPr>
          <w:trHeight w:val="70"/>
        </w:trPr>
        <w:tc>
          <w:tcPr>
            <w:tcW w:w="3510" w:type="dxa"/>
          </w:tcPr>
          <w:p w14:paraId="35329943" w14:textId="77777777" w:rsidR="00102925" w:rsidRPr="003A7E34" w:rsidRDefault="00102925" w:rsidP="00894342">
            <w:pPr>
              <w:spacing w:before="0" w:after="0"/>
              <w:rPr>
                <w:rFonts w:eastAsia="Times New Roman"/>
                <w:sz w:val="20"/>
                <w:szCs w:val="20"/>
                <w:lang w:val="en-US"/>
              </w:rPr>
            </w:pPr>
            <w:r w:rsidRPr="003A7E34">
              <w:rPr>
                <w:rFonts w:eastAsia="Times New Roman"/>
                <w:sz w:val="20"/>
                <w:szCs w:val="20"/>
                <w:lang w:val="en-US" w:eastAsia="en-GB"/>
              </w:rPr>
              <w:t>The share of renewable energy resources in final energy consumption</w:t>
            </w:r>
          </w:p>
        </w:tc>
        <w:tc>
          <w:tcPr>
            <w:tcW w:w="3538" w:type="dxa"/>
          </w:tcPr>
          <w:p w14:paraId="712E670B" w14:textId="77777777" w:rsidR="00102925" w:rsidRPr="003A7E34" w:rsidRDefault="00102925" w:rsidP="00894342">
            <w:pPr>
              <w:spacing w:before="0" w:after="0"/>
              <w:jc w:val="center"/>
              <w:rPr>
                <w:rFonts w:eastAsia="Times New Roman"/>
                <w:sz w:val="20"/>
                <w:szCs w:val="20"/>
                <w:lang w:val="en-US"/>
              </w:rPr>
            </w:pPr>
            <w:r w:rsidRPr="003A7E34">
              <w:rPr>
                <w:rFonts w:eastAsia="Times New Roman"/>
                <w:sz w:val="20"/>
                <w:szCs w:val="20"/>
                <w:lang w:val="en-US" w:eastAsia="en-GB"/>
              </w:rPr>
              <w:t>23%</w:t>
            </w:r>
          </w:p>
        </w:tc>
        <w:tc>
          <w:tcPr>
            <w:tcW w:w="2807" w:type="dxa"/>
          </w:tcPr>
          <w:p w14:paraId="4FBD8926" w14:textId="59D32217" w:rsidR="00102925" w:rsidRPr="003A7E34" w:rsidRDefault="00A27CE5" w:rsidP="00894342">
            <w:pPr>
              <w:spacing w:before="0" w:after="0"/>
              <w:jc w:val="center"/>
              <w:rPr>
                <w:rFonts w:eastAsia="Times New Roman"/>
                <w:sz w:val="20"/>
                <w:szCs w:val="20"/>
                <w:lang w:val="en-US" w:eastAsia="en-GB"/>
              </w:rPr>
            </w:pPr>
            <w:r w:rsidRPr="003A7E34">
              <w:rPr>
                <w:rFonts w:eastAsia="Times New Roman"/>
                <w:sz w:val="20"/>
                <w:szCs w:val="20"/>
                <w:lang w:val="en-US" w:eastAsia="en-GB"/>
              </w:rPr>
              <w:t>25.6%</w:t>
            </w:r>
          </w:p>
        </w:tc>
      </w:tr>
      <w:tr w:rsidR="003A7E34" w:rsidRPr="003A7E34" w14:paraId="02BB27F6" w14:textId="4DC90A26" w:rsidTr="4EA93846">
        <w:trPr>
          <w:trHeight w:val="70"/>
        </w:trPr>
        <w:tc>
          <w:tcPr>
            <w:tcW w:w="3510" w:type="dxa"/>
          </w:tcPr>
          <w:p w14:paraId="138A8E74" w14:textId="77777777" w:rsidR="00102925" w:rsidRPr="003A7E34" w:rsidRDefault="00102925" w:rsidP="00894342">
            <w:pPr>
              <w:spacing w:before="0" w:after="0"/>
              <w:rPr>
                <w:rFonts w:eastAsia="Times New Roman"/>
                <w:sz w:val="20"/>
                <w:szCs w:val="20"/>
                <w:lang w:val="en-US"/>
              </w:rPr>
            </w:pPr>
            <w:r w:rsidRPr="003A7E34">
              <w:rPr>
                <w:rFonts w:eastAsia="Times New Roman"/>
                <w:sz w:val="20"/>
                <w:szCs w:val="20"/>
                <w:lang w:val="en-US"/>
              </w:rPr>
              <w:t xml:space="preserve">Reduction of energy consumption </w:t>
            </w:r>
          </w:p>
        </w:tc>
        <w:tc>
          <w:tcPr>
            <w:tcW w:w="3538" w:type="dxa"/>
          </w:tcPr>
          <w:p w14:paraId="4587B86E" w14:textId="77777777" w:rsidR="00102925" w:rsidRPr="003A7E34" w:rsidRDefault="00102925" w:rsidP="00894342">
            <w:pPr>
              <w:spacing w:before="0" w:after="0"/>
              <w:jc w:val="center"/>
              <w:rPr>
                <w:rFonts w:eastAsia="Times New Roman"/>
                <w:sz w:val="20"/>
                <w:szCs w:val="20"/>
                <w:lang w:val="en-US"/>
              </w:rPr>
            </w:pPr>
            <w:r w:rsidRPr="003A7E34">
              <w:rPr>
                <w:rFonts w:eastAsia="Times New Roman"/>
                <w:sz w:val="20"/>
                <w:szCs w:val="20"/>
                <w:lang w:val="en-US"/>
              </w:rPr>
              <w:t>17% compared to 2009</w:t>
            </w:r>
          </w:p>
        </w:tc>
        <w:tc>
          <w:tcPr>
            <w:tcW w:w="2807" w:type="dxa"/>
          </w:tcPr>
          <w:p w14:paraId="349736F0" w14:textId="70667CF3" w:rsidR="00102925" w:rsidRPr="003A7E34" w:rsidRDefault="00A27CE5" w:rsidP="00894342">
            <w:pPr>
              <w:spacing w:before="0" w:after="0"/>
              <w:jc w:val="center"/>
              <w:rPr>
                <w:rFonts w:eastAsia="Times New Roman"/>
                <w:sz w:val="20"/>
                <w:szCs w:val="20"/>
                <w:lang w:val="en-US"/>
              </w:rPr>
            </w:pPr>
            <w:r w:rsidRPr="003A7E34">
              <w:rPr>
                <w:rFonts w:eastAsia="Times New Roman"/>
                <w:sz w:val="20"/>
                <w:szCs w:val="20"/>
                <w:lang w:val="en-US"/>
              </w:rPr>
              <w:t>6.8%</w:t>
            </w:r>
          </w:p>
        </w:tc>
      </w:tr>
      <w:tr w:rsidR="003A7E34" w:rsidRPr="003A7E34" w14:paraId="7A53EFCA" w14:textId="6CBFE0F7" w:rsidTr="4EA93846">
        <w:trPr>
          <w:trHeight w:val="176"/>
        </w:trPr>
        <w:tc>
          <w:tcPr>
            <w:tcW w:w="3510" w:type="dxa"/>
          </w:tcPr>
          <w:p w14:paraId="60F8AD3B" w14:textId="77777777" w:rsidR="00102925" w:rsidRPr="003A7E34" w:rsidRDefault="00102925" w:rsidP="00894342">
            <w:pPr>
              <w:spacing w:before="0" w:after="0"/>
              <w:rPr>
                <w:rFonts w:eastAsia="Times New Roman"/>
                <w:sz w:val="20"/>
                <w:szCs w:val="20"/>
                <w:lang w:val="en-US"/>
              </w:rPr>
            </w:pPr>
            <w:r w:rsidRPr="003A7E34">
              <w:rPr>
                <w:rFonts w:eastAsia="Times New Roman"/>
                <w:sz w:val="20"/>
                <w:szCs w:val="20"/>
                <w:lang w:val="en-US"/>
              </w:rPr>
              <w:t>Financial support</w:t>
            </w:r>
          </w:p>
        </w:tc>
        <w:tc>
          <w:tcPr>
            <w:tcW w:w="3538" w:type="dxa"/>
          </w:tcPr>
          <w:p w14:paraId="3F1A985D" w14:textId="72FB586E" w:rsidR="00102925" w:rsidRPr="003A7E34" w:rsidRDefault="00102925" w:rsidP="00894342">
            <w:pPr>
              <w:spacing w:before="0" w:after="0"/>
              <w:jc w:val="center"/>
              <w:rPr>
                <w:rFonts w:eastAsia="Times New Roman"/>
                <w:sz w:val="20"/>
                <w:szCs w:val="20"/>
                <w:lang w:val="en-US"/>
              </w:rPr>
            </w:pPr>
            <w:r w:rsidRPr="003A7E34">
              <w:rPr>
                <w:rFonts w:eastAsia="Times New Roman"/>
                <w:sz w:val="20"/>
                <w:szCs w:val="20"/>
                <w:lang w:val="en-US" w:eastAsia="en-GB"/>
              </w:rPr>
              <w:t>no less than 0.38% of the country’s GDP is assigned for the implementation of short-term climate change mitigation targets</w:t>
            </w:r>
          </w:p>
        </w:tc>
        <w:tc>
          <w:tcPr>
            <w:tcW w:w="2807" w:type="dxa"/>
          </w:tcPr>
          <w:p w14:paraId="1826472A" w14:textId="2D8E12A9" w:rsidR="00102925" w:rsidRPr="003A7E34" w:rsidRDefault="000853B9" w:rsidP="4EA93846">
            <w:pPr>
              <w:spacing w:before="0" w:after="0"/>
              <w:jc w:val="center"/>
              <w:rPr>
                <w:rFonts w:eastAsia="Times New Roman"/>
                <w:sz w:val="20"/>
                <w:szCs w:val="20"/>
                <w:lang w:val="en-US" w:eastAsia="en-GB"/>
              </w:rPr>
            </w:pPr>
            <w:r w:rsidRPr="003A7E34">
              <w:rPr>
                <w:rFonts w:eastAsia="Times New Roman"/>
                <w:sz w:val="20"/>
                <w:szCs w:val="20"/>
                <w:lang w:val="en-US" w:eastAsia="en-GB"/>
              </w:rPr>
              <w:t>n/a</w:t>
            </w:r>
          </w:p>
        </w:tc>
      </w:tr>
      <w:tr w:rsidR="003A7E34" w:rsidRPr="003A7E34" w14:paraId="6FFA6A0C" w14:textId="77777777" w:rsidTr="4EA93846">
        <w:trPr>
          <w:trHeight w:val="70"/>
        </w:trPr>
        <w:tc>
          <w:tcPr>
            <w:tcW w:w="9855" w:type="dxa"/>
            <w:gridSpan w:val="3"/>
          </w:tcPr>
          <w:p w14:paraId="53BC0AE2" w14:textId="3B59DE86" w:rsidR="000D0C6D" w:rsidRPr="003A7E34" w:rsidRDefault="000D0C6D" w:rsidP="00894342">
            <w:pPr>
              <w:spacing w:before="0" w:after="0"/>
              <w:jc w:val="center"/>
              <w:rPr>
                <w:rFonts w:eastAsia="Times New Roman"/>
                <w:b/>
                <w:bCs/>
                <w:sz w:val="20"/>
                <w:szCs w:val="20"/>
                <w:lang w:val="en-US" w:eastAsia="en-GB"/>
              </w:rPr>
            </w:pPr>
            <w:r w:rsidRPr="003A7E34">
              <w:rPr>
                <w:rFonts w:eastAsia="Times New Roman"/>
                <w:b/>
                <w:bCs/>
                <w:sz w:val="20"/>
                <w:szCs w:val="20"/>
                <w:lang w:val="en-US"/>
              </w:rPr>
              <w:t xml:space="preserve">Long – term targets </w:t>
            </w:r>
            <w:r w:rsidR="003C5BEC" w:rsidRPr="003A7E34">
              <w:rPr>
                <w:rFonts w:eastAsia="Times New Roman"/>
                <w:b/>
                <w:bCs/>
                <w:sz w:val="20"/>
                <w:szCs w:val="20"/>
              </w:rPr>
              <w:t>aiming to contribute to the implementation of the EU targets</w:t>
            </w:r>
          </w:p>
        </w:tc>
      </w:tr>
      <w:tr w:rsidR="003A7E34" w:rsidRPr="003A7E34" w14:paraId="3FF48340" w14:textId="77777777" w:rsidTr="4EA93846">
        <w:trPr>
          <w:trHeight w:val="70"/>
        </w:trPr>
        <w:tc>
          <w:tcPr>
            <w:tcW w:w="3510" w:type="dxa"/>
          </w:tcPr>
          <w:p w14:paraId="1867A393" w14:textId="0FE9CCD4" w:rsidR="000D0C6D" w:rsidRPr="003A7E34" w:rsidRDefault="000D0C6D" w:rsidP="00894342">
            <w:pPr>
              <w:spacing w:before="0" w:after="0"/>
              <w:jc w:val="center"/>
              <w:rPr>
                <w:rFonts w:eastAsia="Times New Roman"/>
                <w:b/>
                <w:bCs/>
                <w:sz w:val="20"/>
                <w:szCs w:val="20"/>
                <w:lang w:val="en-US"/>
              </w:rPr>
            </w:pPr>
            <w:r w:rsidRPr="003A7E34">
              <w:rPr>
                <w:rFonts w:eastAsia="Times New Roman"/>
                <w:b/>
                <w:bCs/>
                <w:sz w:val="20"/>
                <w:szCs w:val="20"/>
                <w:lang w:val="en-US"/>
              </w:rPr>
              <w:t>2030</w:t>
            </w:r>
          </w:p>
        </w:tc>
        <w:tc>
          <w:tcPr>
            <w:tcW w:w="6345" w:type="dxa"/>
            <w:gridSpan w:val="2"/>
          </w:tcPr>
          <w:p w14:paraId="67BC5ACE" w14:textId="3BB30C2C" w:rsidR="000D0C6D" w:rsidRPr="003A7E34" w:rsidRDefault="000D0C6D" w:rsidP="00894342">
            <w:pPr>
              <w:spacing w:before="0" w:after="0"/>
              <w:jc w:val="center"/>
              <w:rPr>
                <w:rFonts w:eastAsia="Times New Roman"/>
                <w:sz w:val="20"/>
                <w:szCs w:val="20"/>
                <w:lang w:val="en-US" w:eastAsia="en-GB"/>
              </w:rPr>
            </w:pPr>
            <w:r w:rsidRPr="003A7E34">
              <w:rPr>
                <w:rFonts w:eastAsia="Times New Roman"/>
                <w:sz w:val="20"/>
                <w:szCs w:val="20"/>
                <w:lang w:val="en-US" w:eastAsia="en-GB"/>
              </w:rPr>
              <w:t>40%</w:t>
            </w:r>
          </w:p>
        </w:tc>
      </w:tr>
      <w:tr w:rsidR="003A7E34" w:rsidRPr="003A7E34" w14:paraId="5114DBB8" w14:textId="77777777" w:rsidTr="4EA93846">
        <w:trPr>
          <w:trHeight w:val="70"/>
        </w:trPr>
        <w:tc>
          <w:tcPr>
            <w:tcW w:w="3510" w:type="dxa"/>
          </w:tcPr>
          <w:p w14:paraId="12BDC565" w14:textId="17638908" w:rsidR="000D0C6D" w:rsidRPr="003A7E34" w:rsidRDefault="000D0C6D" w:rsidP="00894342">
            <w:pPr>
              <w:spacing w:before="0" w:after="0"/>
              <w:jc w:val="center"/>
              <w:rPr>
                <w:rFonts w:eastAsia="Times New Roman"/>
                <w:b/>
                <w:bCs/>
                <w:sz w:val="20"/>
                <w:szCs w:val="20"/>
                <w:lang w:val="en-US"/>
              </w:rPr>
            </w:pPr>
            <w:r w:rsidRPr="003A7E34">
              <w:rPr>
                <w:rFonts w:eastAsia="Times New Roman"/>
                <w:b/>
                <w:bCs/>
                <w:sz w:val="20"/>
                <w:szCs w:val="20"/>
                <w:lang w:val="en-US"/>
              </w:rPr>
              <w:t>2040</w:t>
            </w:r>
          </w:p>
        </w:tc>
        <w:tc>
          <w:tcPr>
            <w:tcW w:w="6345" w:type="dxa"/>
            <w:gridSpan w:val="2"/>
          </w:tcPr>
          <w:p w14:paraId="6455F7EB" w14:textId="5EE6D5C4" w:rsidR="000D0C6D" w:rsidRPr="003A7E34" w:rsidRDefault="000D0C6D" w:rsidP="00894342">
            <w:pPr>
              <w:spacing w:before="0" w:after="0"/>
              <w:jc w:val="center"/>
              <w:rPr>
                <w:rFonts w:eastAsia="Times New Roman"/>
                <w:sz w:val="20"/>
                <w:szCs w:val="20"/>
                <w:lang w:val="en-US" w:eastAsia="en-GB"/>
              </w:rPr>
            </w:pPr>
            <w:r w:rsidRPr="003A7E34">
              <w:rPr>
                <w:rFonts w:eastAsia="Times New Roman"/>
                <w:sz w:val="20"/>
                <w:szCs w:val="20"/>
                <w:lang w:val="en-US" w:eastAsia="en-GB"/>
              </w:rPr>
              <w:t>60%</w:t>
            </w:r>
          </w:p>
        </w:tc>
      </w:tr>
      <w:tr w:rsidR="000D0C6D" w:rsidRPr="003A7E34" w14:paraId="6DC880C9" w14:textId="77777777" w:rsidTr="4EA93846">
        <w:trPr>
          <w:trHeight w:val="70"/>
        </w:trPr>
        <w:tc>
          <w:tcPr>
            <w:tcW w:w="3510" w:type="dxa"/>
          </w:tcPr>
          <w:p w14:paraId="47B06651" w14:textId="608CAB3B" w:rsidR="000D0C6D" w:rsidRPr="003A7E34" w:rsidRDefault="000D0C6D" w:rsidP="00894342">
            <w:pPr>
              <w:spacing w:before="0" w:after="0"/>
              <w:jc w:val="center"/>
              <w:rPr>
                <w:rFonts w:eastAsia="Times New Roman"/>
                <w:b/>
                <w:bCs/>
                <w:sz w:val="20"/>
                <w:szCs w:val="20"/>
                <w:lang w:val="en-US"/>
              </w:rPr>
            </w:pPr>
            <w:r w:rsidRPr="003A7E34">
              <w:rPr>
                <w:rFonts w:eastAsia="Times New Roman"/>
                <w:b/>
                <w:bCs/>
                <w:sz w:val="20"/>
                <w:szCs w:val="20"/>
                <w:lang w:val="en-US"/>
              </w:rPr>
              <w:t>2050</w:t>
            </w:r>
          </w:p>
        </w:tc>
        <w:tc>
          <w:tcPr>
            <w:tcW w:w="6345" w:type="dxa"/>
            <w:gridSpan w:val="2"/>
          </w:tcPr>
          <w:p w14:paraId="496CCB85" w14:textId="58A39B9D" w:rsidR="000D0C6D" w:rsidRPr="003A7E34" w:rsidRDefault="000D0C6D" w:rsidP="00894342">
            <w:pPr>
              <w:spacing w:before="0" w:after="0"/>
              <w:jc w:val="center"/>
              <w:rPr>
                <w:rFonts w:eastAsia="Times New Roman"/>
                <w:sz w:val="20"/>
                <w:szCs w:val="20"/>
                <w:lang w:val="en-US" w:eastAsia="en-GB"/>
              </w:rPr>
            </w:pPr>
            <w:r w:rsidRPr="003A7E34">
              <w:rPr>
                <w:rFonts w:eastAsia="Times New Roman"/>
                <w:sz w:val="20"/>
                <w:szCs w:val="20"/>
                <w:lang w:val="en-US" w:eastAsia="en-GB"/>
              </w:rPr>
              <w:t>80%</w:t>
            </w:r>
          </w:p>
        </w:tc>
      </w:tr>
    </w:tbl>
    <w:p w14:paraId="01230795" w14:textId="77777777" w:rsidR="00433A4E" w:rsidRPr="003A7E34" w:rsidRDefault="00433A4E" w:rsidP="00987EBA">
      <w:pPr>
        <w:spacing w:before="0"/>
        <w:rPr>
          <w:rFonts w:eastAsia="Times New Roman"/>
          <w:lang w:val="en-US"/>
        </w:rPr>
      </w:pPr>
    </w:p>
    <w:p w14:paraId="06E2666B" w14:textId="0AD8331D" w:rsidR="00F04236" w:rsidRPr="003A7E34" w:rsidRDefault="372247B6" w:rsidP="00987EBA">
      <w:pPr>
        <w:pStyle w:val="ListParagraph"/>
        <w:spacing w:after="120" w:line="240" w:lineRule="auto"/>
        <w:ind w:left="0"/>
        <w:jc w:val="both"/>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Update of the Strategy aiming to set legally biding adaptation to climate change goals and objetives for the period 2021</w:t>
      </w:r>
      <w:r w:rsidRPr="003A7E34">
        <w:rPr>
          <w:rFonts w:ascii="Times New Roman" w:eastAsia="Times New Roman" w:hAnsi="Times New Roman" w:cs="Times New Roman"/>
          <w:lang w:val="en-US"/>
        </w:rPr>
        <w:t>–</w:t>
      </w:r>
      <w:r w:rsidRPr="003A7E34">
        <w:rPr>
          <w:rFonts w:ascii="Times New Roman" w:eastAsia="Times New Roman" w:hAnsi="Times New Roman" w:cs="Times New Roman"/>
          <w:noProof/>
          <w:lang w:val="en-US"/>
        </w:rPr>
        <w:t xml:space="preserve">2030 </w:t>
      </w:r>
      <w:r w:rsidR="003C5BEC" w:rsidRPr="003A7E34">
        <w:rPr>
          <w:rFonts w:ascii="Times New Roman" w:eastAsia="Times New Roman" w:hAnsi="Times New Roman" w:cs="Times New Roman"/>
          <w:noProof/>
        </w:rPr>
        <w:t xml:space="preserve">and aspirational target and objectives till to 2050 and beyound </w:t>
      </w:r>
      <w:r w:rsidRPr="003A7E34">
        <w:rPr>
          <w:rFonts w:ascii="Times New Roman" w:eastAsia="Times New Roman" w:hAnsi="Times New Roman" w:cs="Times New Roman"/>
          <w:noProof/>
          <w:lang w:val="en-US"/>
        </w:rPr>
        <w:t>is planned by the end of 2019.</w:t>
      </w:r>
    </w:p>
    <w:p w14:paraId="367FDA9B" w14:textId="77777777" w:rsidR="00F04236" w:rsidRPr="003A7E34" w:rsidRDefault="00F04236" w:rsidP="00987EBA">
      <w:pPr>
        <w:spacing w:before="0"/>
        <w:rPr>
          <w:rFonts w:eastAsia="Times New Roman"/>
          <w:lang w:val="en-US"/>
        </w:rPr>
      </w:pPr>
    </w:p>
    <w:p w14:paraId="61F24DF0" w14:textId="6AD8AA8E" w:rsidR="00F04236" w:rsidRPr="003A7E34" w:rsidRDefault="372247B6" w:rsidP="00987EBA">
      <w:pPr>
        <w:pStyle w:val="ListParagraph"/>
        <w:tabs>
          <w:tab w:val="left" w:pos="709"/>
          <w:tab w:val="left" w:pos="993"/>
        </w:tabs>
        <w:spacing w:after="120" w:line="240" w:lineRule="auto"/>
        <w:ind w:left="0"/>
        <w:contextualSpacing w:val="0"/>
        <w:jc w:val="both"/>
        <w:rPr>
          <w:rFonts w:ascii="Times New Roman" w:eastAsia="Times New Roman" w:hAnsi="Times New Roman" w:cs="Times New Roman"/>
          <w:lang w:val="en-US"/>
        </w:rPr>
      </w:pPr>
      <w:r w:rsidRPr="003A7E34">
        <w:rPr>
          <w:rFonts w:ascii="Times New Roman" w:eastAsia="Times New Roman" w:hAnsi="Times New Roman" w:cs="Times New Roman"/>
          <w:lang w:val="en-US"/>
        </w:rPr>
        <w:t xml:space="preserve">To implement this Strategy, in 2013 the Government approved the </w:t>
      </w:r>
      <w:r w:rsidRPr="003A7E34">
        <w:rPr>
          <w:rFonts w:ascii="Times New Roman" w:eastAsia="Times New Roman" w:hAnsi="Times New Roman" w:cs="Times New Roman"/>
          <w:b/>
          <w:bCs/>
          <w:i/>
          <w:lang w:val="en-US"/>
        </w:rPr>
        <w:t>Interinstitutional Action Plan on the implementation of the targets and objectives for 2013–2020 of the National Strategy for Climate Change Management Policy</w:t>
      </w:r>
      <w:r w:rsidRPr="003A7E34">
        <w:rPr>
          <w:rFonts w:ascii="Times New Roman" w:eastAsia="Times New Roman" w:hAnsi="Times New Roman" w:cs="Times New Roman"/>
          <w:lang w:val="en-US"/>
        </w:rPr>
        <w:t>, which defines measures for the reduction of GHG emissions and adaptation to climate change in all the Lithuanian economy sectors</w:t>
      </w:r>
      <w:r w:rsidR="002F38D4" w:rsidRPr="003A7E34">
        <w:rPr>
          <w:rFonts w:ascii="Times New Roman" w:eastAsia="Times New Roman" w:hAnsi="Times New Roman" w:cs="Times New Roman"/>
          <w:lang w:val="en-US"/>
        </w:rPr>
        <w:t>, including</w:t>
      </w:r>
      <w:r w:rsidRPr="003A7E34">
        <w:rPr>
          <w:rFonts w:ascii="Times New Roman" w:eastAsia="Times New Roman" w:hAnsi="Times New Roman" w:cs="Times New Roman"/>
          <w:lang w:val="en-US"/>
        </w:rPr>
        <w:t>:</w:t>
      </w:r>
    </w:p>
    <w:p w14:paraId="27A4E407" w14:textId="1513F38A" w:rsidR="00F04236" w:rsidRPr="003A7E34" w:rsidRDefault="372247B6" w:rsidP="00C42AAE">
      <w:pPr>
        <w:pStyle w:val="ListParagraph"/>
        <w:numPr>
          <w:ilvl w:val="0"/>
          <w:numId w:val="25"/>
        </w:numPr>
        <w:tabs>
          <w:tab w:val="left" w:pos="709"/>
          <w:tab w:val="left" w:pos="993"/>
        </w:tabs>
        <w:spacing w:after="0" w:line="240" w:lineRule="auto"/>
        <w:contextualSpacing w:val="0"/>
        <w:jc w:val="both"/>
        <w:rPr>
          <w:rFonts w:ascii="Times New Roman" w:hAnsi="Times New Roman" w:cs="Times New Roman"/>
          <w:lang w:val="en-US"/>
        </w:rPr>
      </w:pPr>
      <w:r w:rsidRPr="003A7E34">
        <w:rPr>
          <w:rFonts w:ascii="Times New Roman" w:eastAsia="Times New Roman" w:hAnsi="Times New Roman" w:cs="Times New Roman"/>
          <w:lang w:val="en-US"/>
        </w:rPr>
        <w:t xml:space="preserve">industry, </w:t>
      </w:r>
    </w:p>
    <w:p w14:paraId="7BCCB356" w14:textId="77777777" w:rsidR="00F04236" w:rsidRPr="003A7E34" w:rsidRDefault="372247B6" w:rsidP="00C42AAE">
      <w:pPr>
        <w:pStyle w:val="ListParagraph"/>
        <w:numPr>
          <w:ilvl w:val="0"/>
          <w:numId w:val="25"/>
        </w:numPr>
        <w:tabs>
          <w:tab w:val="left" w:pos="709"/>
          <w:tab w:val="left" w:pos="993"/>
        </w:tabs>
        <w:spacing w:after="0" w:line="240" w:lineRule="auto"/>
        <w:contextualSpacing w:val="0"/>
        <w:jc w:val="both"/>
        <w:rPr>
          <w:rFonts w:ascii="Times New Roman" w:hAnsi="Times New Roman" w:cs="Times New Roman"/>
          <w:lang w:val="en-US"/>
        </w:rPr>
      </w:pPr>
      <w:r w:rsidRPr="003A7E34">
        <w:rPr>
          <w:rFonts w:ascii="Times New Roman" w:eastAsia="Times New Roman" w:hAnsi="Times New Roman" w:cs="Times New Roman"/>
          <w:lang w:val="en-US"/>
        </w:rPr>
        <w:t xml:space="preserve">energy, agriculture, </w:t>
      </w:r>
    </w:p>
    <w:p w14:paraId="7708DF6D" w14:textId="77777777" w:rsidR="00F04236" w:rsidRPr="003A7E34" w:rsidRDefault="372247B6" w:rsidP="00C42AAE">
      <w:pPr>
        <w:pStyle w:val="ListParagraph"/>
        <w:numPr>
          <w:ilvl w:val="0"/>
          <w:numId w:val="25"/>
        </w:numPr>
        <w:tabs>
          <w:tab w:val="left" w:pos="709"/>
          <w:tab w:val="left" w:pos="993"/>
        </w:tabs>
        <w:spacing w:after="0" w:line="240" w:lineRule="auto"/>
        <w:contextualSpacing w:val="0"/>
        <w:jc w:val="both"/>
        <w:rPr>
          <w:rFonts w:ascii="Times New Roman" w:hAnsi="Times New Roman" w:cs="Times New Roman"/>
          <w:lang w:val="en-US"/>
        </w:rPr>
      </w:pPr>
      <w:r w:rsidRPr="003A7E34">
        <w:rPr>
          <w:rFonts w:ascii="Times New Roman" w:eastAsia="Times New Roman" w:hAnsi="Times New Roman" w:cs="Times New Roman"/>
          <w:lang w:val="en-US"/>
        </w:rPr>
        <w:t xml:space="preserve">development of residential areas, </w:t>
      </w:r>
    </w:p>
    <w:p w14:paraId="2A705C19" w14:textId="77777777" w:rsidR="00F04236" w:rsidRPr="003A7E34" w:rsidRDefault="372247B6" w:rsidP="00C42AAE">
      <w:pPr>
        <w:pStyle w:val="ListParagraph"/>
        <w:numPr>
          <w:ilvl w:val="0"/>
          <w:numId w:val="25"/>
        </w:numPr>
        <w:tabs>
          <w:tab w:val="left" w:pos="709"/>
          <w:tab w:val="left" w:pos="993"/>
        </w:tabs>
        <w:spacing w:after="0" w:line="240" w:lineRule="auto"/>
        <w:contextualSpacing w:val="0"/>
        <w:jc w:val="both"/>
        <w:rPr>
          <w:rFonts w:ascii="Times New Roman" w:hAnsi="Times New Roman" w:cs="Times New Roman"/>
          <w:lang w:val="en-US"/>
        </w:rPr>
      </w:pPr>
      <w:r w:rsidRPr="003A7E34">
        <w:rPr>
          <w:rFonts w:ascii="Times New Roman" w:eastAsia="Times New Roman" w:hAnsi="Times New Roman" w:cs="Times New Roman"/>
          <w:lang w:val="en-US"/>
        </w:rPr>
        <w:t xml:space="preserve">transport, </w:t>
      </w:r>
    </w:p>
    <w:p w14:paraId="3389FC88" w14:textId="77777777" w:rsidR="00F04236" w:rsidRPr="003A7E34" w:rsidRDefault="372247B6" w:rsidP="00C42AAE">
      <w:pPr>
        <w:pStyle w:val="ListParagraph"/>
        <w:numPr>
          <w:ilvl w:val="0"/>
          <w:numId w:val="25"/>
        </w:numPr>
        <w:tabs>
          <w:tab w:val="left" w:pos="709"/>
          <w:tab w:val="left" w:pos="993"/>
        </w:tabs>
        <w:spacing w:after="0" w:line="240" w:lineRule="auto"/>
        <w:contextualSpacing w:val="0"/>
        <w:jc w:val="both"/>
        <w:rPr>
          <w:rFonts w:ascii="Times New Roman" w:hAnsi="Times New Roman" w:cs="Times New Roman"/>
          <w:lang w:val="en-US"/>
        </w:rPr>
      </w:pPr>
      <w:r w:rsidRPr="003A7E34">
        <w:rPr>
          <w:rFonts w:ascii="Times New Roman" w:eastAsia="Times New Roman" w:hAnsi="Times New Roman" w:cs="Times New Roman"/>
          <w:lang w:val="en-US"/>
        </w:rPr>
        <w:t xml:space="preserve">health care, </w:t>
      </w:r>
    </w:p>
    <w:p w14:paraId="4FA9B1E4" w14:textId="711BF72B" w:rsidR="00F04236" w:rsidRPr="003A7E34" w:rsidRDefault="372247B6" w:rsidP="00C42AAE">
      <w:pPr>
        <w:pStyle w:val="ListParagraph"/>
        <w:numPr>
          <w:ilvl w:val="0"/>
          <w:numId w:val="25"/>
        </w:numPr>
        <w:tabs>
          <w:tab w:val="left" w:pos="709"/>
          <w:tab w:val="left" w:pos="993"/>
        </w:tabs>
        <w:spacing w:after="0" w:line="240" w:lineRule="auto"/>
        <w:contextualSpacing w:val="0"/>
        <w:jc w:val="both"/>
        <w:rPr>
          <w:rFonts w:ascii="Times New Roman" w:hAnsi="Times New Roman" w:cs="Times New Roman"/>
          <w:lang w:val="en-US"/>
        </w:rPr>
      </w:pPr>
      <w:r w:rsidRPr="003A7E34">
        <w:rPr>
          <w:rFonts w:ascii="Times New Roman" w:eastAsia="Times New Roman" w:hAnsi="Times New Roman" w:cs="Times New Roman"/>
          <w:lang w:val="en-US"/>
        </w:rPr>
        <w:t xml:space="preserve">waste management, etc. </w:t>
      </w:r>
    </w:p>
    <w:p w14:paraId="58E6215C" w14:textId="77777777" w:rsidR="00002868" w:rsidRPr="003A7E34" w:rsidRDefault="00002868" w:rsidP="00002868">
      <w:pPr>
        <w:tabs>
          <w:tab w:val="left" w:pos="709"/>
          <w:tab w:val="left" w:pos="993"/>
        </w:tabs>
        <w:spacing w:after="0"/>
        <w:rPr>
          <w:lang w:val="en-US"/>
        </w:rPr>
      </w:pPr>
    </w:p>
    <w:p w14:paraId="5307469C" w14:textId="0476E867" w:rsidR="004D15BC" w:rsidRPr="003A7E34" w:rsidRDefault="007D48C1" w:rsidP="007D48C1">
      <w:pPr>
        <w:pStyle w:val="ListParagraph"/>
        <w:tabs>
          <w:tab w:val="left" w:pos="709"/>
          <w:tab w:val="left" w:pos="993"/>
        </w:tabs>
        <w:spacing w:after="120" w:line="240" w:lineRule="auto"/>
        <w:ind w:left="0"/>
        <w:contextualSpacing w:val="0"/>
        <w:jc w:val="both"/>
        <w:rPr>
          <w:rFonts w:ascii="Times New Roman" w:eastAsia="Times New Roman" w:hAnsi="Times New Roman" w:cs="Times New Roman"/>
          <w:lang w:val="en-US"/>
        </w:rPr>
      </w:pPr>
      <w:r w:rsidRPr="003A7E34">
        <w:rPr>
          <w:rFonts w:ascii="Times New Roman" w:eastAsia="Times New Roman" w:hAnsi="Times New Roman" w:cs="Times New Roman"/>
          <w:bCs/>
          <w:lang w:val="en-US"/>
        </w:rPr>
        <w:lastRenderedPageBreak/>
        <w:t xml:space="preserve">Interinstitutional </w:t>
      </w:r>
      <w:r w:rsidRPr="003A7E34">
        <w:rPr>
          <w:rFonts w:ascii="Times New Roman" w:eastAsia="Times New Roman" w:hAnsi="Times New Roman" w:cs="Times New Roman"/>
          <w:b/>
          <w:bCs/>
          <w:i/>
          <w:lang w:val="en-US"/>
        </w:rPr>
        <w:t>Action Plan</w:t>
      </w:r>
      <w:r w:rsidRPr="003A7E34">
        <w:rPr>
          <w:rFonts w:ascii="Times New Roman" w:eastAsia="Times New Roman" w:hAnsi="Times New Roman" w:cs="Times New Roman"/>
          <w:bCs/>
          <w:lang w:val="en-US"/>
        </w:rPr>
        <w:t xml:space="preserve"> on the implementation of the targets and objectives for 2013–2020 of the National Strategy for Climate Change Management Policy</w:t>
      </w:r>
      <w:r w:rsidRPr="003A7E34">
        <w:rPr>
          <w:rFonts w:ascii="Times New Roman" w:eastAsia="Times New Roman" w:hAnsi="Times New Roman" w:cs="Times New Roman"/>
          <w:b/>
          <w:bCs/>
          <w:i/>
          <w:lang w:val="en-US"/>
        </w:rPr>
        <w:t xml:space="preserve"> </w:t>
      </w:r>
      <w:r w:rsidR="372247B6" w:rsidRPr="003A7E34">
        <w:rPr>
          <w:rFonts w:ascii="Times New Roman" w:eastAsia="Times New Roman" w:hAnsi="Times New Roman" w:cs="Times New Roman"/>
          <w:b/>
          <w:bCs/>
          <w:i/>
          <w:lang w:val="en-US"/>
        </w:rPr>
        <w:t>is subject to annual updating</w:t>
      </w:r>
      <w:r w:rsidR="372247B6" w:rsidRPr="003A7E34">
        <w:rPr>
          <w:rFonts w:ascii="Times New Roman" w:eastAsia="Times New Roman" w:hAnsi="Times New Roman" w:cs="Times New Roman"/>
          <w:lang w:val="en-US"/>
        </w:rPr>
        <w:t>. As of 2020 the Plan will be incorporated in NECP.</w:t>
      </w:r>
      <w:r w:rsidR="00D871C8" w:rsidRPr="003A7E34">
        <w:rPr>
          <w:rFonts w:ascii="Times New Roman" w:eastAsia="Times New Roman" w:hAnsi="Times New Roman" w:cs="Times New Roman"/>
          <w:lang w:val="en-US"/>
        </w:rPr>
        <w:t xml:space="preserve"> </w:t>
      </w:r>
      <w:r w:rsidR="00953FB7" w:rsidRPr="003A7E34">
        <w:rPr>
          <w:rFonts w:ascii="Times New Roman" w:eastAsia="Times New Roman" w:hAnsi="Times New Roman" w:cs="Times New Roman"/>
          <w:lang w:val="en-US"/>
        </w:rPr>
        <w:t xml:space="preserve">Currently </w:t>
      </w:r>
      <w:r w:rsidR="372247B6" w:rsidRPr="003A7E34">
        <w:rPr>
          <w:rFonts w:ascii="Times New Roman" w:eastAsia="Times New Roman" w:hAnsi="Times New Roman" w:cs="Times New Roman"/>
          <w:lang w:val="en-US"/>
        </w:rPr>
        <w:t xml:space="preserve">implementation of the Plan is coordinated by the Ministry of Environment. The Ministries of Finance, Energy, Transport and Communications, Economy, Education and Science, Agriculture and the Interior, as well as municipalities, the Research Council of Lithuania, state research institutions and universities, companies, entities, </w:t>
      </w:r>
      <w:r w:rsidR="004452E5" w:rsidRPr="003A7E34">
        <w:rPr>
          <w:rFonts w:ascii="Times New Roman" w:eastAsia="Times New Roman" w:hAnsi="Times New Roman" w:cs="Times New Roman"/>
          <w:lang w:val="en-US"/>
        </w:rPr>
        <w:t>organizations</w:t>
      </w:r>
      <w:r w:rsidR="372247B6" w:rsidRPr="003A7E34">
        <w:rPr>
          <w:rFonts w:ascii="Times New Roman" w:eastAsia="Times New Roman" w:hAnsi="Times New Roman" w:cs="Times New Roman"/>
          <w:lang w:val="en-US"/>
        </w:rPr>
        <w:t xml:space="preserve"> and other persons participate in the implementation of the measures within their competence and allocating funds for their implementation of the measures. While drawing up sectorial development programs, interinstitutional action plans or other planning documents for their respective management areas, the ministries shall mainstream the targets and objectives for climate change mitigation and adaptation set out in the Strategy, in order to provide for specific measures to implement those targets and objectives and to ensure close interinstitutional cooperation. </w:t>
      </w:r>
    </w:p>
    <w:p w14:paraId="592CAF4A" w14:textId="571B36EC" w:rsidR="004D15BC" w:rsidRPr="003A7E34" w:rsidRDefault="372247B6" w:rsidP="00E97FC4">
      <w:pPr>
        <w:spacing w:before="0"/>
        <w:rPr>
          <w:rFonts w:eastAsia="Times New Roman"/>
          <w:lang w:val="en-US"/>
        </w:rPr>
      </w:pPr>
      <w:r w:rsidRPr="003A7E34">
        <w:rPr>
          <w:rFonts w:eastAsia="Times New Roman"/>
          <w:lang w:val="en-US"/>
        </w:rPr>
        <w:t>In general, implementing the Interinstitutional Action Plan on the implementation of the targets and objectives of this Strategy as well as other cross-sectorial and sectorial development programs from the EU Structural and investment funds for 2014–2020 and the state budget of the Climate Change Special Program around 2 billion EUR is planned to be invested in implementation of measures related to climate change mitigation and around 0.9</w:t>
      </w:r>
      <w:r w:rsidR="00D871C8" w:rsidRPr="003A7E34">
        <w:rPr>
          <w:rFonts w:eastAsia="Times New Roman"/>
          <w:lang w:val="en-US"/>
        </w:rPr>
        <w:t xml:space="preserve"> </w:t>
      </w:r>
      <w:r w:rsidRPr="003A7E34">
        <w:rPr>
          <w:rFonts w:eastAsia="Times New Roman"/>
          <w:lang w:val="en-US"/>
        </w:rPr>
        <w:t xml:space="preserve">billion EUR – to adaptation to climate change in all </w:t>
      </w:r>
      <w:r w:rsidR="00953FB7" w:rsidRPr="003A7E34">
        <w:rPr>
          <w:rFonts w:eastAsia="Times New Roman"/>
          <w:lang w:val="en-US"/>
        </w:rPr>
        <w:t>Lithuania’s</w:t>
      </w:r>
      <w:r w:rsidRPr="003A7E34">
        <w:rPr>
          <w:rFonts w:eastAsia="Times New Roman"/>
          <w:lang w:val="en-US"/>
        </w:rPr>
        <w:t xml:space="preserve"> economy sectors in the period of 2014-2020.</w:t>
      </w:r>
    </w:p>
    <w:p w14:paraId="224D9F86" w14:textId="77777777" w:rsidR="004D15BC" w:rsidRPr="003A7E34" w:rsidRDefault="004D15BC" w:rsidP="00EA50D6">
      <w:pPr>
        <w:spacing w:before="0" w:after="0"/>
        <w:rPr>
          <w:rFonts w:eastAsia="Times New Roman"/>
          <w:lang w:val="en-US"/>
        </w:rPr>
      </w:pPr>
    </w:p>
    <w:p w14:paraId="33030391" w14:textId="077DF00C" w:rsidR="004D15BC" w:rsidRPr="003A7E34" w:rsidRDefault="372247B6" w:rsidP="00E97FC4">
      <w:pPr>
        <w:spacing w:before="0"/>
        <w:rPr>
          <w:rFonts w:eastAsia="Times New Roman"/>
          <w:lang w:val="en-US"/>
        </w:rPr>
      </w:pPr>
      <w:r w:rsidRPr="003A7E34">
        <w:rPr>
          <w:rFonts w:eastAsia="Times New Roman"/>
          <w:b/>
          <w:bCs/>
          <w:i/>
          <w:lang w:val="en-US"/>
        </w:rPr>
        <w:t>The National Energy Independence Strategy</w:t>
      </w:r>
      <w:r w:rsidR="003C5BEC" w:rsidRPr="003A7E34">
        <w:rPr>
          <w:rFonts w:eastAsia="Times New Roman"/>
          <w:b/>
          <w:bCs/>
          <w:i/>
          <w:lang w:val="en-US"/>
        </w:rPr>
        <w:t>,</w:t>
      </w:r>
      <w:r w:rsidR="00556F6C" w:rsidRPr="003A7E34">
        <w:rPr>
          <w:rFonts w:eastAsia="Times New Roman"/>
          <w:bCs/>
          <w:lang w:val="en-US"/>
        </w:rPr>
        <w:t xml:space="preserve"> which is updated on the regular basis</w:t>
      </w:r>
      <w:r w:rsidR="0021426D" w:rsidRPr="003A7E34">
        <w:rPr>
          <w:rFonts w:eastAsia="Times New Roman"/>
          <w:b/>
          <w:bCs/>
          <w:lang w:val="en-US"/>
        </w:rPr>
        <w:t xml:space="preserve">. </w:t>
      </w:r>
      <w:r w:rsidRPr="003A7E34">
        <w:rPr>
          <w:rFonts w:eastAsia="Times New Roman"/>
          <w:lang w:val="en-US"/>
        </w:rPr>
        <w:t>From a country importing energy technologies, Lithuania needs to become a country creating and exporting energy technologies. Energy efficiency improvements by implementing building renovation programs and ameliorating the efficiency of industrial enterprises’ production, also RES development create a large market for such services and an opportunity to expand employment opportunities and to develop innovative zero GHG and zero pollutant technologies and human resources’ skills. The country’s business development will be supported by the following measures:</w:t>
      </w:r>
    </w:p>
    <w:p w14:paraId="15AC9171" w14:textId="77777777" w:rsidR="004D15BC" w:rsidRPr="003A7E34" w:rsidRDefault="46DF7FC9" w:rsidP="00C42AAE">
      <w:pPr>
        <w:pStyle w:val="ListParagraph"/>
        <w:numPr>
          <w:ilvl w:val="0"/>
          <w:numId w:val="6"/>
        </w:numPr>
        <w:tabs>
          <w:tab w:val="left" w:pos="426"/>
          <w:tab w:val="right" w:pos="851"/>
          <w:tab w:val="left" w:pos="1276"/>
        </w:tabs>
        <w:autoSpaceDN w:val="0"/>
        <w:spacing w:after="0" w:line="240" w:lineRule="auto"/>
        <w:contextualSpacing w:val="0"/>
        <w:jc w:val="both"/>
        <w:rPr>
          <w:rFonts w:ascii="Times New Roman" w:hAnsi="Times New Roman" w:cs="Times New Roman"/>
          <w:lang w:val="en-US"/>
        </w:rPr>
      </w:pPr>
      <w:r w:rsidRPr="003A7E34">
        <w:rPr>
          <w:rFonts w:ascii="Times New Roman" w:eastAsia="Times New Roman" w:hAnsi="Times New Roman" w:cs="Times New Roman"/>
          <w:lang w:val="en-US"/>
        </w:rPr>
        <w:t>By promoting the experimental and industrial development of the most promising energy technologies and innovation incubators, green, distributed energy generation, and digital solutions in the field of energy research;</w:t>
      </w:r>
    </w:p>
    <w:p w14:paraId="185465A2" w14:textId="3A0A2C4B" w:rsidR="004D15BC" w:rsidRPr="003A7E34" w:rsidRDefault="46DF7FC9" w:rsidP="00C42AAE">
      <w:pPr>
        <w:pStyle w:val="ListParagraph"/>
        <w:numPr>
          <w:ilvl w:val="0"/>
          <w:numId w:val="6"/>
        </w:numPr>
        <w:tabs>
          <w:tab w:val="left" w:pos="426"/>
          <w:tab w:val="right" w:pos="851"/>
          <w:tab w:val="left" w:pos="1276"/>
        </w:tabs>
        <w:autoSpaceDN w:val="0"/>
        <w:spacing w:after="0" w:line="240" w:lineRule="auto"/>
        <w:rPr>
          <w:rFonts w:ascii="Times New Roman" w:hAnsi="Times New Roman" w:cs="Times New Roman"/>
          <w:lang w:val="en-US"/>
        </w:rPr>
      </w:pPr>
      <w:r w:rsidRPr="003A7E34">
        <w:rPr>
          <w:rFonts w:ascii="Times New Roman" w:eastAsia="Times New Roman" w:hAnsi="Times New Roman" w:cs="Times New Roman"/>
          <w:lang w:val="en-US"/>
        </w:rPr>
        <w:t>By promoting information technology (IT) solutions for energy sector optimization to be tested in Lithuania and exported;</w:t>
      </w:r>
    </w:p>
    <w:p w14:paraId="78CBB98F" w14:textId="34E642FF" w:rsidR="004D15BC" w:rsidRPr="003A7E34" w:rsidRDefault="46DF7FC9" w:rsidP="00C42AAE">
      <w:pPr>
        <w:pStyle w:val="ListParagraph"/>
        <w:numPr>
          <w:ilvl w:val="0"/>
          <w:numId w:val="6"/>
        </w:numPr>
        <w:tabs>
          <w:tab w:val="left" w:pos="426"/>
          <w:tab w:val="right" w:pos="851"/>
          <w:tab w:val="left" w:pos="1276"/>
        </w:tabs>
        <w:autoSpaceDN w:val="0"/>
        <w:spacing w:after="0" w:line="240" w:lineRule="auto"/>
        <w:rPr>
          <w:rFonts w:ascii="Times New Roman" w:hAnsi="Times New Roman" w:cs="Times New Roman"/>
          <w:lang w:val="en-US"/>
        </w:rPr>
      </w:pPr>
      <w:r w:rsidRPr="003A7E34">
        <w:rPr>
          <w:rFonts w:ascii="Times New Roman" w:eastAsia="Times New Roman" w:hAnsi="Times New Roman" w:cs="Times New Roman"/>
          <w:lang w:val="en-US"/>
        </w:rPr>
        <w:t>Through cooperation between the LNG terminal, businesses, organizations and the country’s high and higher schools (including research institutes and universities), expanding the potential of the gas infrastructure of regional significance, LNG technologies, distribution, and excellence center.</w:t>
      </w:r>
    </w:p>
    <w:p w14:paraId="3A9AAE9E" w14:textId="77777777" w:rsidR="004D15BC" w:rsidRPr="003A7E34" w:rsidRDefault="46DF7FC9" w:rsidP="00C42AAE">
      <w:pPr>
        <w:pStyle w:val="ListParagraph"/>
        <w:numPr>
          <w:ilvl w:val="0"/>
          <w:numId w:val="6"/>
        </w:numPr>
        <w:tabs>
          <w:tab w:val="left" w:pos="426"/>
          <w:tab w:val="right" w:pos="851"/>
          <w:tab w:val="left" w:pos="1276"/>
        </w:tabs>
        <w:autoSpaceDN w:val="0"/>
        <w:spacing w:after="0" w:line="240" w:lineRule="auto"/>
        <w:contextualSpacing w:val="0"/>
        <w:jc w:val="both"/>
        <w:rPr>
          <w:rFonts w:ascii="Times New Roman" w:hAnsi="Times New Roman" w:cs="Times New Roman"/>
          <w:lang w:val="en-US"/>
        </w:rPr>
      </w:pPr>
      <w:r w:rsidRPr="003A7E34">
        <w:rPr>
          <w:rFonts w:ascii="Times New Roman" w:eastAsia="Times New Roman" w:hAnsi="Times New Roman" w:cs="Times New Roman"/>
          <w:lang w:val="en-US"/>
        </w:rPr>
        <w:t>The outcome of the implementation of changes in the energy sector and capacity building:</w:t>
      </w:r>
    </w:p>
    <w:p w14:paraId="5B29AD0D" w14:textId="77777777" w:rsidR="004D15BC" w:rsidRPr="003A7E34" w:rsidRDefault="46DF7FC9" w:rsidP="00C42AAE">
      <w:pPr>
        <w:pStyle w:val="ListParagraph"/>
        <w:numPr>
          <w:ilvl w:val="0"/>
          <w:numId w:val="6"/>
        </w:numPr>
        <w:tabs>
          <w:tab w:val="left" w:pos="426"/>
          <w:tab w:val="right" w:pos="851"/>
          <w:tab w:val="left" w:pos="1418"/>
        </w:tabs>
        <w:autoSpaceDN w:val="0"/>
        <w:spacing w:after="0" w:line="240" w:lineRule="auto"/>
        <w:contextualSpacing w:val="0"/>
        <w:jc w:val="both"/>
        <w:rPr>
          <w:rFonts w:ascii="Times New Roman" w:hAnsi="Times New Roman" w:cs="Times New Roman"/>
          <w:lang w:val="en-US"/>
        </w:rPr>
      </w:pPr>
      <w:r w:rsidRPr="003A7E34">
        <w:rPr>
          <w:rFonts w:ascii="Times New Roman" w:eastAsia="Times New Roman" w:hAnsi="Times New Roman" w:cs="Times New Roman"/>
          <w:lang w:val="en-US"/>
        </w:rPr>
        <w:t>The establishment of well-paid jobs and increase of high value-added exports of energy technologies and knowledge;</w:t>
      </w:r>
    </w:p>
    <w:p w14:paraId="68E0BAC4" w14:textId="3C0B6DD9" w:rsidR="004D15BC" w:rsidRPr="003A7E34" w:rsidRDefault="46DF7FC9" w:rsidP="00C42AAE">
      <w:pPr>
        <w:pStyle w:val="ListParagraph"/>
        <w:numPr>
          <w:ilvl w:val="0"/>
          <w:numId w:val="6"/>
        </w:numPr>
        <w:tabs>
          <w:tab w:val="left" w:pos="426"/>
          <w:tab w:val="right" w:pos="851"/>
          <w:tab w:val="left" w:pos="1418"/>
        </w:tabs>
        <w:autoSpaceDN w:val="0"/>
        <w:spacing w:after="0" w:line="240" w:lineRule="auto"/>
        <w:contextualSpacing w:val="0"/>
        <w:jc w:val="both"/>
        <w:rPr>
          <w:rFonts w:ascii="Times New Roman" w:hAnsi="Times New Roman" w:cs="Times New Roman"/>
          <w:lang w:val="en-US"/>
        </w:rPr>
      </w:pPr>
      <w:r w:rsidRPr="003A7E34">
        <w:rPr>
          <w:rFonts w:ascii="Times New Roman" w:eastAsia="Times New Roman" w:hAnsi="Times New Roman" w:cs="Times New Roman"/>
          <w:lang w:val="en-US"/>
        </w:rPr>
        <w:t>Lithuania is a center of information technology and cyber security solutions for energy, biomass and biofuel technology, solar and wind energy technology, geothermal technology, energy market development, improvement of electricity system operation, development of new electricity system management methods and implementation of energy projects.</w:t>
      </w:r>
    </w:p>
    <w:p w14:paraId="6429B734" w14:textId="2BD18D91" w:rsidR="009544B1" w:rsidRPr="003A7E34" w:rsidRDefault="009544B1" w:rsidP="00EA50D6">
      <w:pPr>
        <w:spacing w:before="0" w:after="160"/>
        <w:jc w:val="left"/>
        <w:rPr>
          <w:rFonts w:eastAsia="Times New Roman"/>
          <w:lang w:val="en-US"/>
        </w:rPr>
      </w:pPr>
    </w:p>
    <w:p w14:paraId="3A8A1E35" w14:textId="5B00015A" w:rsidR="00322CEA" w:rsidRPr="003A7E34" w:rsidRDefault="372247B6" w:rsidP="00B37699">
      <w:pPr>
        <w:spacing w:before="0"/>
        <w:rPr>
          <w:rFonts w:eastAsia="Times New Roman"/>
          <w:lang w:val="en-US"/>
        </w:rPr>
      </w:pPr>
      <w:r w:rsidRPr="003A7E34">
        <w:rPr>
          <w:rFonts w:eastAsia="Times New Roman"/>
          <w:b/>
          <w:bCs/>
          <w:i/>
          <w:lang w:val="en-US"/>
        </w:rPr>
        <w:t>Renewable energy</w:t>
      </w:r>
      <w:r w:rsidR="00B37699" w:rsidRPr="003A7E34">
        <w:rPr>
          <w:rFonts w:eastAsia="Times New Roman"/>
          <w:b/>
          <w:bCs/>
          <w:lang w:val="en-US"/>
        </w:rPr>
        <w:t xml:space="preserve">. </w:t>
      </w:r>
      <w:r w:rsidR="0768CEB1" w:rsidRPr="003A7E34">
        <w:rPr>
          <w:rFonts w:eastAsia="Times New Roman"/>
          <w:lang w:val="en-US"/>
        </w:rPr>
        <w:t>Lithuania is focused on reducing the environmental impact of its energy production and use.</w:t>
      </w:r>
      <w:r w:rsidR="00D871C8" w:rsidRPr="003A7E34">
        <w:rPr>
          <w:rFonts w:eastAsia="Times New Roman"/>
          <w:lang w:val="en-US"/>
        </w:rPr>
        <w:t xml:space="preserve"> </w:t>
      </w:r>
      <w:r w:rsidR="0768CEB1" w:rsidRPr="003A7E34">
        <w:rPr>
          <w:rFonts w:eastAsia="Times New Roman"/>
          <w:lang w:val="en-US"/>
        </w:rPr>
        <w:t>It is determined to move towards a sustainable and low‑carbon economy by modifying its energy mix and methods of generating energy. Lithuania has begun to shift towards more efficient energy production and greater use of renewable energy.</w:t>
      </w:r>
      <w:r w:rsidR="00D871C8" w:rsidRPr="003A7E34">
        <w:rPr>
          <w:rFonts w:eastAsia="Times New Roman"/>
          <w:lang w:val="en-US"/>
        </w:rPr>
        <w:t xml:space="preserve"> </w:t>
      </w:r>
    </w:p>
    <w:p w14:paraId="5DE9F511" w14:textId="26B666B4" w:rsidR="00322CEA" w:rsidRPr="003A7E34" w:rsidRDefault="0768CEB1" w:rsidP="00B37699">
      <w:pPr>
        <w:tabs>
          <w:tab w:val="right" w:pos="993"/>
        </w:tabs>
        <w:spacing w:before="0"/>
        <w:contextualSpacing/>
        <w:rPr>
          <w:rFonts w:eastAsia="Times New Roman"/>
          <w:lang w:val="en-US"/>
        </w:rPr>
      </w:pPr>
      <w:r w:rsidRPr="003A7E34">
        <w:rPr>
          <w:rFonts w:eastAsia="Times New Roman"/>
          <w:lang w:val="en-US"/>
        </w:rPr>
        <w:lastRenderedPageBreak/>
        <w:t xml:space="preserve">In the last decade, the use of cleaner energy sources in Lithuania has increased significantly. Lithuania has already </w:t>
      </w:r>
      <w:r w:rsidR="003C5BEC" w:rsidRPr="003A7E34">
        <w:rPr>
          <w:rFonts w:eastAsia="Times New Roman"/>
          <w:lang w:val="en-US"/>
        </w:rPr>
        <w:t>reached its goal of having a 23%</w:t>
      </w:r>
      <w:r w:rsidRPr="003A7E34">
        <w:rPr>
          <w:rFonts w:eastAsia="Times New Roman"/>
          <w:lang w:val="en-US"/>
        </w:rPr>
        <w:t xml:space="preserve"> share for renewable energy in its total energy consumption by 2020.</w:t>
      </w:r>
      <w:r w:rsidR="00D871C8" w:rsidRPr="003A7E34">
        <w:rPr>
          <w:rFonts w:eastAsia="Times New Roman"/>
          <w:lang w:val="en-US"/>
        </w:rPr>
        <w:t xml:space="preserve"> </w:t>
      </w:r>
      <w:r w:rsidRPr="003A7E34">
        <w:rPr>
          <w:rFonts w:eastAsia="Times New Roman"/>
          <w:lang w:val="en-US"/>
        </w:rPr>
        <w:t>In 2017, the share of renewable energy sources in the total consumption of energy was 25</w:t>
      </w:r>
      <w:r w:rsidR="003C5BEC" w:rsidRPr="003A7E34">
        <w:rPr>
          <w:rFonts w:eastAsia="Times New Roman"/>
          <w:lang w:val="en-US"/>
        </w:rPr>
        <w:t>.</w:t>
      </w:r>
      <w:r w:rsidRPr="003A7E34">
        <w:rPr>
          <w:rFonts w:eastAsia="Times New Roman"/>
          <w:lang w:val="en-US"/>
        </w:rPr>
        <w:t>8</w:t>
      </w:r>
      <w:r w:rsidR="003C5BEC" w:rsidRPr="003A7E34">
        <w:rPr>
          <w:rFonts w:eastAsia="Times New Roman"/>
          <w:lang w:val="en-US"/>
        </w:rPr>
        <w:t>%</w:t>
      </w:r>
      <w:r w:rsidRPr="003A7E34">
        <w:rPr>
          <w:rFonts w:eastAsia="Times New Roman"/>
          <w:lang w:val="en-US"/>
        </w:rPr>
        <w:t>.</w:t>
      </w:r>
    </w:p>
    <w:p w14:paraId="3AE4D62F" w14:textId="3ED12B39" w:rsidR="00322CEA" w:rsidRPr="003A7E34" w:rsidRDefault="0768CEB1" w:rsidP="00B37699">
      <w:pPr>
        <w:tabs>
          <w:tab w:val="right" w:pos="993"/>
        </w:tabs>
        <w:spacing w:before="0"/>
        <w:contextualSpacing/>
        <w:rPr>
          <w:rFonts w:eastAsia="Times New Roman"/>
          <w:lang w:val="en-US"/>
        </w:rPr>
      </w:pPr>
      <w:r w:rsidRPr="003A7E34">
        <w:rPr>
          <w:rFonts w:eastAsia="Times New Roman"/>
          <w:lang w:val="en-US"/>
        </w:rPr>
        <w:t>On 2017 October Lithuania was the first Member State to sign the Cooperation agreement with Luxembourg transferring renewable energy statistics.</w:t>
      </w:r>
    </w:p>
    <w:p w14:paraId="1664F212" w14:textId="25B0E0BE" w:rsidR="00322CEA" w:rsidRPr="003A7E34" w:rsidRDefault="0768CEB1" w:rsidP="00B37699">
      <w:pPr>
        <w:tabs>
          <w:tab w:val="right" w:pos="993"/>
        </w:tabs>
        <w:spacing w:before="0"/>
        <w:contextualSpacing/>
        <w:rPr>
          <w:rFonts w:eastAsia="Times New Roman"/>
          <w:lang w:val="en-US"/>
        </w:rPr>
      </w:pPr>
      <w:r w:rsidRPr="003A7E34">
        <w:rPr>
          <w:rFonts w:eastAsia="Times New Roman"/>
          <w:lang w:val="en-US"/>
        </w:rPr>
        <w:t xml:space="preserve">Accordingly, consumption of electricity from RES was about 17%, in total heat consumption – about 46%, and in the transport sector—about 4%. A significant share of resources in energy production comes from wind and biofuels. </w:t>
      </w:r>
    </w:p>
    <w:p w14:paraId="0DAA9319" w14:textId="63D9D0CA" w:rsidR="00647A5A" w:rsidRPr="003A7E34" w:rsidRDefault="00647A5A" w:rsidP="00B37699">
      <w:pPr>
        <w:tabs>
          <w:tab w:val="right" w:pos="993"/>
        </w:tabs>
        <w:spacing w:before="0"/>
        <w:contextualSpacing/>
        <w:rPr>
          <w:rFonts w:eastAsia="Times New Roman"/>
          <w:lang w:val="en-US"/>
        </w:rPr>
      </w:pPr>
    </w:p>
    <w:p w14:paraId="6298D32D" w14:textId="07A0B328" w:rsidR="00322CEA" w:rsidRPr="003A7E34" w:rsidRDefault="46DF7FC9" w:rsidP="46DF7FC9">
      <w:pPr>
        <w:tabs>
          <w:tab w:val="left" w:pos="426"/>
          <w:tab w:val="right" w:pos="993"/>
        </w:tabs>
        <w:spacing w:before="0" w:after="0"/>
        <w:contextualSpacing/>
        <w:rPr>
          <w:rFonts w:eastAsia="Times New Roman"/>
          <w:lang w:val="en-US" w:eastAsia="lt-LT"/>
        </w:rPr>
      </w:pPr>
      <w:r w:rsidRPr="003A7E34">
        <w:rPr>
          <w:rFonts w:eastAsia="Times New Roman"/>
          <w:b/>
          <w:bCs/>
          <w:i/>
          <w:iCs/>
          <w:noProof/>
          <w:lang w:val="en-US"/>
        </w:rPr>
        <w:t>Energy Efficiency</w:t>
      </w:r>
      <w:r w:rsidRPr="003A7E34">
        <w:rPr>
          <w:rFonts w:eastAsia="Times New Roman"/>
          <w:b/>
          <w:bCs/>
          <w:noProof/>
          <w:lang w:val="en-US"/>
        </w:rPr>
        <w:t xml:space="preserve">. </w:t>
      </w:r>
      <w:r w:rsidRPr="003A7E34">
        <w:rPr>
          <w:rFonts w:eastAsia="Times New Roman"/>
          <w:lang w:val="en-US" w:eastAsia="lt-LT"/>
        </w:rPr>
        <w:t>Energy efficiency is usually evaluated by the primary and final energy intensity, which indicates how much energy costs went into the production of a specific amount of goods and services in the country (the ratio of country’s energy consumption to its GDP). In 2010–2015, the energy intensity of the country’s economy consistently decreased (primary energy - 32%, final energy - 31%), and in 2015 was the smallest among the three Baltic States at 0.205 toe/1000 EUR (in Latvia – 0.207 toe/1000 EUR, Estonia – 0.358 toe/1000 EUR). Lithuania is still behind (by about 70%) the EU average (0.120 toe/1000 EUR).</w:t>
      </w:r>
    </w:p>
    <w:p w14:paraId="1BEA494E" w14:textId="77777777" w:rsidR="00322CEA" w:rsidRPr="003A7E34" w:rsidRDefault="372247B6" w:rsidP="00EA50D6">
      <w:pPr>
        <w:tabs>
          <w:tab w:val="left" w:pos="993"/>
          <w:tab w:val="left" w:pos="1134"/>
        </w:tabs>
        <w:spacing w:after="0"/>
        <w:rPr>
          <w:rFonts w:eastAsia="Times New Roman"/>
          <w:b/>
          <w:bCs/>
          <w:lang w:val="en-US"/>
        </w:rPr>
      </w:pPr>
      <w:r w:rsidRPr="003A7E34">
        <w:rPr>
          <w:rFonts w:eastAsia="Times New Roman"/>
          <w:lang w:val="en-US"/>
        </w:rPr>
        <w:t>In the long-term perspective, electricity consumers will become proactive participants in the market and will be given the opportunity to use energy generated from RES for their own needs to receive a reward for surplus energy supplied to the network in line with the market conditions. Such consumers will account for at least 30% of all consumers by 2030 and at least 50% by 2050. These customers will be able to participate in the market through service providers in the energy sector. The active participation of local energy communities in investing in co-owned RES equipment will be encouraged.</w:t>
      </w:r>
    </w:p>
    <w:p w14:paraId="1A00D007" w14:textId="77777777" w:rsidR="00BA1B66" w:rsidRPr="003A7E34" w:rsidRDefault="00BA1B66" w:rsidP="00BA1B66">
      <w:pPr>
        <w:pStyle w:val="ListParagraph"/>
        <w:tabs>
          <w:tab w:val="left" w:pos="709"/>
          <w:tab w:val="left" w:pos="993"/>
        </w:tabs>
        <w:spacing w:after="0" w:line="240" w:lineRule="auto"/>
        <w:ind w:left="0"/>
        <w:contextualSpacing w:val="0"/>
        <w:jc w:val="both"/>
        <w:rPr>
          <w:rFonts w:ascii="Times New Roman" w:eastAsia="Times New Roman" w:hAnsi="Times New Roman" w:cs="Times New Roman"/>
          <w:b/>
          <w:bCs/>
          <w:i/>
          <w:lang w:val="en-US"/>
        </w:rPr>
      </w:pPr>
    </w:p>
    <w:p w14:paraId="74EC42E9" w14:textId="2D2FB35D" w:rsidR="00322CEA" w:rsidRPr="003A7E34" w:rsidRDefault="372247B6" w:rsidP="00BA1B66">
      <w:pPr>
        <w:pStyle w:val="ListParagraph"/>
        <w:tabs>
          <w:tab w:val="left" w:pos="709"/>
          <w:tab w:val="left" w:pos="993"/>
        </w:tabs>
        <w:spacing w:after="0" w:line="240" w:lineRule="auto"/>
        <w:ind w:left="0"/>
        <w:contextualSpacing w:val="0"/>
        <w:jc w:val="both"/>
        <w:rPr>
          <w:rFonts w:ascii="Times New Roman" w:eastAsia="Times New Roman" w:hAnsi="Times New Roman" w:cs="Times New Roman"/>
          <w:lang w:val="en-US"/>
        </w:rPr>
      </w:pPr>
      <w:r w:rsidRPr="003A7E34">
        <w:rPr>
          <w:rFonts w:ascii="Times New Roman" w:eastAsia="Times New Roman" w:hAnsi="Times New Roman" w:cs="Times New Roman"/>
          <w:b/>
          <w:bCs/>
          <w:i/>
          <w:lang w:val="en-US"/>
        </w:rPr>
        <w:t>Transport</w:t>
      </w:r>
      <w:r w:rsidR="00BA1B66" w:rsidRPr="003A7E34">
        <w:rPr>
          <w:rFonts w:ascii="Times New Roman" w:eastAsia="Times New Roman" w:hAnsi="Times New Roman" w:cs="Times New Roman"/>
          <w:b/>
          <w:bCs/>
          <w:lang w:val="en-US"/>
        </w:rPr>
        <w:t xml:space="preserve">. </w:t>
      </w:r>
      <w:r w:rsidRPr="003A7E34">
        <w:rPr>
          <w:rFonts w:ascii="Times New Roman" w:eastAsia="Times New Roman" w:hAnsi="Times New Roman" w:cs="Times New Roman"/>
          <w:lang w:val="en-US"/>
        </w:rPr>
        <w:t>Petroleum products account for a large share (38.9%) of the country’s primary energy consumption. In 2016, the total consumption of petroleum products accounted for 1.7 million tons per year in road transport, of which 80.8% was diesel for road transport, 12.5%—petrol and 6.6%—liquefied petroleum gas. In 2016, biofuel consumption in road and rail transport was 4%.</w:t>
      </w:r>
    </w:p>
    <w:p w14:paraId="7174E986" w14:textId="77777777" w:rsidR="00BA1B66" w:rsidRPr="003A7E34" w:rsidRDefault="00BA1B66" w:rsidP="00BA1B66">
      <w:pPr>
        <w:pStyle w:val="ListParagraph"/>
        <w:tabs>
          <w:tab w:val="left" w:pos="709"/>
          <w:tab w:val="left" w:pos="993"/>
        </w:tabs>
        <w:spacing w:after="0" w:line="240" w:lineRule="auto"/>
        <w:ind w:left="0"/>
        <w:contextualSpacing w:val="0"/>
        <w:jc w:val="both"/>
        <w:rPr>
          <w:rFonts w:ascii="Times New Roman" w:eastAsia="Times New Roman" w:hAnsi="Times New Roman" w:cs="Times New Roman"/>
          <w:b/>
          <w:bCs/>
          <w:i/>
          <w:lang w:val="en-US"/>
        </w:rPr>
      </w:pPr>
    </w:p>
    <w:p w14:paraId="26CFC7C7" w14:textId="666CA7F9" w:rsidR="00322CEA" w:rsidRPr="003A7E34" w:rsidRDefault="372247B6" w:rsidP="00BA1B66">
      <w:pPr>
        <w:pStyle w:val="ListParagraph"/>
        <w:tabs>
          <w:tab w:val="left" w:pos="709"/>
          <w:tab w:val="left" w:pos="993"/>
        </w:tabs>
        <w:spacing w:after="0" w:line="240" w:lineRule="auto"/>
        <w:ind w:left="0"/>
        <w:contextualSpacing w:val="0"/>
        <w:jc w:val="both"/>
        <w:rPr>
          <w:rFonts w:ascii="Times New Roman" w:eastAsia="Times New Roman" w:hAnsi="Times New Roman" w:cs="Times New Roman"/>
          <w:b/>
          <w:bCs/>
          <w:lang w:val="en-US"/>
        </w:rPr>
      </w:pPr>
      <w:r w:rsidRPr="003A7E34">
        <w:rPr>
          <w:rFonts w:ascii="Times New Roman" w:eastAsia="Times New Roman" w:hAnsi="Times New Roman" w:cs="Times New Roman"/>
          <w:b/>
          <w:bCs/>
          <w:i/>
          <w:lang w:val="en-US"/>
        </w:rPr>
        <w:t>Heating</w:t>
      </w:r>
      <w:r w:rsidR="00BA1B66" w:rsidRPr="003A7E34">
        <w:rPr>
          <w:rFonts w:ascii="Times New Roman" w:eastAsia="Times New Roman" w:hAnsi="Times New Roman" w:cs="Times New Roman"/>
          <w:b/>
          <w:bCs/>
          <w:i/>
          <w:lang w:val="en-US"/>
        </w:rPr>
        <w:t>.</w:t>
      </w:r>
      <w:r w:rsidR="00BA1B66" w:rsidRPr="003A7E34">
        <w:rPr>
          <w:rFonts w:ascii="Times New Roman" w:eastAsia="Times New Roman" w:hAnsi="Times New Roman" w:cs="Times New Roman"/>
          <w:b/>
          <w:bCs/>
          <w:lang w:val="en-US"/>
        </w:rPr>
        <w:t xml:space="preserve"> </w:t>
      </w:r>
      <w:r w:rsidRPr="003A7E34">
        <w:rPr>
          <w:rFonts w:ascii="Times New Roman" w:eastAsia="Times New Roman" w:hAnsi="Times New Roman" w:cs="Times New Roman"/>
          <w:bCs/>
          <w:u w:val="single"/>
          <w:lang w:val="en-US"/>
        </w:rPr>
        <w:t xml:space="preserve">To </w:t>
      </w:r>
      <w:r w:rsidR="00BA1B66" w:rsidRPr="003A7E34">
        <w:rPr>
          <w:rFonts w:ascii="Times New Roman" w:eastAsia="Times New Roman" w:hAnsi="Times New Roman" w:cs="Times New Roman"/>
          <w:bCs/>
          <w:u w:val="single"/>
          <w:lang w:val="en-US"/>
        </w:rPr>
        <w:t>maximize</w:t>
      </w:r>
      <w:r w:rsidRPr="003A7E34">
        <w:rPr>
          <w:rFonts w:ascii="Times New Roman" w:eastAsia="Times New Roman" w:hAnsi="Times New Roman" w:cs="Times New Roman"/>
          <w:bCs/>
          <w:u w:val="single"/>
          <w:lang w:val="en-US"/>
        </w:rPr>
        <w:t xml:space="preserve"> the share of RES for district heat consumers, households with individual heating and non-household consumers with individual heating:</w:t>
      </w:r>
    </w:p>
    <w:p w14:paraId="0C2FDCC3" w14:textId="77777777" w:rsidR="00322CEA" w:rsidRPr="003A7E34" w:rsidRDefault="372247B6" w:rsidP="00C42AAE">
      <w:pPr>
        <w:pStyle w:val="ListParagraph"/>
        <w:numPr>
          <w:ilvl w:val="0"/>
          <w:numId w:val="19"/>
        </w:numPr>
        <w:tabs>
          <w:tab w:val="left" w:pos="851"/>
          <w:tab w:val="left" w:pos="1134"/>
        </w:tabs>
        <w:spacing w:after="0" w:line="240" w:lineRule="auto"/>
        <w:rPr>
          <w:rFonts w:ascii="Times New Roman" w:hAnsi="Times New Roman" w:cs="Times New Roman"/>
          <w:b/>
          <w:bCs/>
          <w:lang w:val="en-US"/>
        </w:rPr>
      </w:pPr>
      <w:r w:rsidRPr="003A7E34">
        <w:rPr>
          <w:rFonts w:ascii="Times New Roman" w:eastAsia="Times New Roman" w:hAnsi="Times New Roman" w:cs="Times New Roman"/>
          <w:lang w:val="en-US"/>
        </w:rPr>
        <w:t>Up until 2020, RES consumption will continue to increase as compared to district heat consumption and in individual heating in households.</w:t>
      </w:r>
    </w:p>
    <w:p w14:paraId="2334D28C" w14:textId="2D0EE546" w:rsidR="00322CEA" w:rsidRPr="003A7E34" w:rsidRDefault="372247B6" w:rsidP="00C42AAE">
      <w:pPr>
        <w:pStyle w:val="ListParagraph"/>
        <w:numPr>
          <w:ilvl w:val="0"/>
          <w:numId w:val="19"/>
        </w:numPr>
        <w:tabs>
          <w:tab w:val="left" w:pos="851"/>
          <w:tab w:val="left" w:pos="1134"/>
        </w:tabs>
        <w:spacing w:after="0" w:line="240" w:lineRule="auto"/>
        <w:rPr>
          <w:rFonts w:ascii="Times New Roman" w:hAnsi="Times New Roman" w:cs="Times New Roman"/>
          <w:b/>
          <w:bCs/>
          <w:lang w:val="en-US"/>
        </w:rPr>
      </w:pPr>
      <w:r w:rsidRPr="003A7E34">
        <w:rPr>
          <w:rFonts w:ascii="Times New Roman" w:eastAsia="Times New Roman" w:hAnsi="Times New Roman" w:cs="Times New Roman"/>
          <w:lang w:val="en-US"/>
        </w:rPr>
        <w:t>The share of DHS RES will be 70% by 2020 and 90% by 2030. The development of high-efficiency solid biomass CHP plants will continue, non-recyclable municipal waste non-hazardous industrial waste that have energy value will be effectively used for energy production.</w:t>
      </w:r>
      <w:r w:rsidR="00D871C8" w:rsidRPr="003A7E34">
        <w:rPr>
          <w:rFonts w:ascii="Times New Roman" w:eastAsia="Times New Roman" w:hAnsi="Times New Roman" w:cs="Times New Roman"/>
          <w:lang w:val="en-US"/>
        </w:rPr>
        <w:t xml:space="preserve"> </w:t>
      </w:r>
    </w:p>
    <w:p w14:paraId="418ACC55" w14:textId="2EBB25A6" w:rsidR="009544B1" w:rsidRPr="003A7E34" w:rsidRDefault="372247B6">
      <w:pPr>
        <w:rPr>
          <w:rFonts w:eastAsia="Times New Roman"/>
          <w:lang w:val="en-US"/>
        </w:rPr>
      </w:pPr>
      <w:r w:rsidRPr="003A7E34">
        <w:rPr>
          <w:rFonts w:eastAsia="Times New Roman"/>
          <w:lang w:val="en-US"/>
        </w:rPr>
        <w:t xml:space="preserve">After creating a </w:t>
      </w:r>
      <w:r w:rsidR="00BA1B66" w:rsidRPr="003A7E34">
        <w:rPr>
          <w:rFonts w:eastAsia="Times New Roman"/>
          <w:lang w:val="en-US"/>
        </w:rPr>
        <w:t>favorable</w:t>
      </w:r>
      <w:r w:rsidRPr="003A7E34">
        <w:rPr>
          <w:rFonts w:eastAsia="Times New Roman"/>
          <w:lang w:val="en-US"/>
        </w:rPr>
        <w:t xml:space="preserve"> regulatory environment, households with independent heating will gradually switch to clean, zero GHG technologies and the share of RES in households will reach 70% by 2020 and 80% by 2030. GHG producing technologies will be replaced by clean, clean-air technologies that do not impair the quality of air.</w:t>
      </w:r>
    </w:p>
    <w:p w14:paraId="140F1241" w14:textId="2A665151" w:rsidR="00BF258A" w:rsidRPr="003A7E34" w:rsidRDefault="00BF258A" w:rsidP="00C42AAE">
      <w:pPr>
        <w:pStyle w:val="ListParagraph"/>
        <w:numPr>
          <w:ilvl w:val="3"/>
          <w:numId w:val="11"/>
        </w:numPr>
        <w:tabs>
          <w:tab w:val="left" w:pos="709"/>
          <w:tab w:val="left" w:pos="993"/>
        </w:tabs>
        <w:spacing w:after="0" w:line="240" w:lineRule="auto"/>
        <w:ind w:left="993" w:hanging="223"/>
        <w:contextualSpacing w:val="0"/>
        <w:jc w:val="both"/>
        <w:rPr>
          <w:rFonts w:ascii="Times New Roman" w:hAnsi="Times New Roman" w:cs="Times New Roman"/>
          <w:noProof/>
          <w:lang w:val="en-US"/>
        </w:rPr>
      </w:pPr>
      <w:r w:rsidRPr="003A7E34">
        <w:rPr>
          <w:rFonts w:ascii="Times New Roman" w:eastAsia="Times New Roman" w:hAnsi="Times New Roman" w:cs="Times New Roman"/>
          <w:b/>
          <w:bCs/>
          <w:noProof/>
          <w:lang w:val="en-US"/>
        </w:rPr>
        <w:t>Key issues of cross-border relevance</w:t>
      </w:r>
    </w:p>
    <w:p w14:paraId="45A195E7" w14:textId="2784EFD4" w:rsidR="00B8092E" w:rsidRPr="003A7E34" w:rsidRDefault="36C90A9F" w:rsidP="00EA50D6">
      <w:pPr>
        <w:tabs>
          <w:tab w:val="left" w:pos="709"/>
          <w:tab w:val="left" w:pos="993"/>
        </w:tabs>
        <w:spacing w:after="0"/>
        <w:rPr>
          <w:rFonts w:eastAsia="Times New Roman"/>
          <w:noProof/>
          <w:lang w:val="en-US"/>
        </w:rPr>
      </w:pPr>
      <w:r w:rsidRPr="003A7E34">
        <w:rPr>
          <w:rFonts w:eastAsia="Times New Roman"/>
          <w:noProof/>
          <w:lang w:val="en-US"/>
        </w:rPr>
        <w:t xml:space="preserve">The key issues of cross border relevance on the local national level can be identified both on political and infrastructural level. </w:t>
      </w:r>
    </w:p>
    <w:p w14:paraId="5EE1E439" w14:textId="2B75AA1D" w:rsidR="00B8092E" w:rsidRPr="003A7E34" w:rsidRDefault="36C90A9F" w:rsidP="00EA50D6">
      <w:pPr>
        <w:tabs>
          <w:tab w:val="left" w:pos="709"/>
          <w:tab w:val="left" w:pos="993"/>
        </w:tabs>
        <w:spacing w:after="0"/>
        <w:rPr>
          <w:rFonts w:eastAsia="Times New Roman"/>
          <w:noProof/>
          <w:lang w:val="en-US"/>
        </w:rPr>
      </w:pPr>
      <w:r w:rsidRPr="003A7E34">
        <w:rPr>
          <w:rFonts w:eastAsia="Times New Roman"/>
          <w:noProof/>
          <w:lang w:val="en-US"/>
        </w:rPr>
        <w:t xml:space="preserve">Lithuania, Latvia and Estonia got the green light from European Commission on September 14, 2018 for the project of the Baltic power grids synchronization with the Continental European system. The decision put an end to several years of discussions on the synchronization scenario. The scenario calls for synchronizing the Baltic grids via the existing LitPol Link interconnection between Lithuania and Poland and a new sea cable between the two neighboring countries, as well as for installing synchronous compensators at hydro power plants in the three Baltic states. This scenario is technologically reliable and the most economically </w:t>
      </w:r>
      <w:r w:rsidRPr="003A7E34">
        <w:rPr>
          <w:rFonts w:eastAsia="Times New Roman"/>
          <w:noProof/>
          <w:lang w:val="en-US"/>
        </w:rPr>
        <w:lastRenderedPageBreak/>
        <w:t>advantageous. It will ensure the stable and reliable operation of the power systems and continuous supply of electricity to Baltic customers.</w:t>
      </w:r>
    </w:p>
    <w:p w14:paraId="435F7916" w14:textId="78D7F108" w:rsidR="00B8092E" w:rsidRPr="003A7E34" w:rsidRDefault="36C90A9F" w:rsidP="00EA50D6">
      <w:pPr>
        <w:tabs>
          <w:tab w:val="left" w:pos="709"/>
          <w:tab w:val="left" w:pos="993"/>
        </w:tabs>
        <w:spacing w:after="0"/>
        <w:rPr>
          <w:rFonts w:eastAsia="Times New Roman"/>
          <w:noProof/>
          <w:lang w:val="en-US"/>
        </w:rPr>
      </w:pPr>
      <w:r w:rsidRPr="003A7E34">
        <w:rPr>
          <w:rFonts w:eastAsia="Times New Roman"/>
          <w:noProof/>
          <w:lang w:val="en-US"/>
        </w:rPr>
        <w:t>Decision opened the way for the Baltic and Polish transmission system operators to submit an application to the European Network of Transmission System Operators (ENTSO-E) for the extension of the Continental Europe Synchronous Area, with a decision expected to be made in 2019. It is assumed that 432 million euros in funding under the Connecting Europe Facility (CEF) for the first stage of the project is needed. The total cost of the project, including additional technical solutions, such as synchronous compensators, is estimated at around 1.4 billion euros. The EU is expected to cover 75</w:t>
      </w:r>
      <w:r w:rsidR="00906CD3" w:rsidRPr="003A7E34">
        <w:rPr>
          <w:rFonts w:eastAsia="Times New Roman"/>
          <w:noProof/>
          <w:lang w:val="en-US"/>
        </w:rPr>
        <w:t>%</w:t>
      </w:r>
      <w:r w:rsidRPr="003A7E34">
        <w:rPr>
          <w:rFonts w:eastAsia="Times New Roman"/>
          <w:noProof/>
          <w:lang w:val="en-US"/>
        </w:rPr>
        <w:t xml:space="preserve"> of the cost. The synchronization project is expected to be completed in 2025</w:t>
      </w:r>
      <w:r w:rsidR="009A59BA" w:rsidRPr="003A7E34">
        <w:rPr>
          <w:rFonts w:eastAsia="Times New Roman"/>
          <w:noProof/>
          <w:lang w:val="en-US"/>
        </w:rPr>
        <w:t>.</w:t>
      </w:r>
    </w:p>
    <w:p w14:paraId="544066A4" w14:textId="61D30B5C" w:rsidR="00B8092E" w:rsidRPr="003A7E34" w:rsidRDefault="36C90A9F" w:rsidP="00EA50D6">
      <w:pPr>
        <w:tabs>
          <w:tab w:val="left" w:pos="709"/>
          <w:tab w:val="left" w:pos="993"/>
        </w:tabs>
        <w:spacing w:after="0"/>
        <w:rPr>
          <w:rFonts w:eastAsia="Times New Roman"/>
          <w:noProof/>
          <w:lang w:val="en-US"/>
        </w:rPr>
      </w:pPr>
      <w:r w:rsidRPr="003A7E34">
        <w:rPr>
          <w:rFonts w:eastAsia="Times New Roman"/>
          <w:noProof/>
          <w:lang w:val="en-US"/>
        </w:rPr>
        <w:t>Energy systems of three Baltic states are historically interconnected and designed to perform as one.Such infrastructure objects as Incukalns UGS or former Ignalina N</w:t>
      </w:r>
      <w:r w:rsidR="00C41EBB" w:rsidRPr="003A7E34">
        <w:rPr>
          <w:rFonts w:eastAsia="Times New Roman"/>
          <w:noProof/>
          <w:lang w:val="en-US"/>
        </w:rPr>
        <w:t>P</w:t>
      </w:r>
      <w:r w:rsidRPr="003A7E34">
        <w:rPr>
          <w:rFonts w:eastAsia="Times New Roman"/>
          <w:noProof/>
          <w:lang w:val="en-US"/>
        </w:rPr>
        <w:t xml:space="preserve">P were designed not for single country energy needs satisfaction. Lithuania continues same policy and Klaipeda’s LNG import terminal or interconnections with Sweden and Poland – current and under development – are of cross-border relevance. Being the biggest natural gas importer and consumer among three Baltic States, Lithuania’s political decisions significantly affect Incukalns UGS performance and future development plans. </w:t>
      </w:r>
    </w:p>
    <w:p w14:paraId="62961A74" w14:textId="3864B576" w:rsidR="00B8092E" w:rsidRPr="003A7E34" w:rsidRDefault="36C90A9F" w:rsidP="00B9311D">
      <w:pPr>
        <w:tabs>
          <w:tab w:val="left" w:pos="709"/>
          <w:tab w:val="left" w:pos="993"/>
        </w:tabs>
        <w:rPr>
          <w:rFonts w:eastAsia="Times New Roman"/>
          <w:noProof/>
          <w:lang w:val="en-US"/>
        </w:rPr>
      </w:pPr>
      <w:r w:rsidRPr="003A7E34">
        <w:rPr>
          <w:rFonts w:eastAsia="Times New Roman"/>
          <w:noProof/>
          <w:lang w:val="en-US"/>
        </w:rPr>
        <w:t xml:space="preserve">Another important issue of cross-border relevance is political decisions and international agreements. All three Baltic States still did not manage to agree on single LNG import terminal or how to develop locally based efficient electricity generation, keeping in mind that both Latvia and Lithuania consume more electricity than they produce. </w:t>
      </w:r>
    </w:p>
    <w:p w14:paraId="12344CFD" w14:textId="77777777" w:rsidR="00B8092E" w:rsidRPr="003A7E34" w:rsidRDefault="00B8092E" w:rsidP="00C42AAE">
      <w:pPr>
        <w:pStyle w:val="ListParagraph"/>
        <w:numPr>
          <w:ilvl w:val="3"/>
          <w:numId w:val="11"/>
        </w:numPr>
        <w:spacing w:after="120" w:line="240" w:lineRule="auto"/>
        <w:contextualSpacing w:val="0"/>
        <w:rPr>
          <w:rFonts w:ascii="Times New Roman" w:hAnsi="Times New Roman" w:cs="Times New Roman"/>
          <w:b/>
          <w:bCs/>
          <w:noProof/>
          <w:lang w:val="en-US"/>
        </w:rPr>
      </w:pPr>
      <w:r w:rsidRPr="003A7E34">
        <w:rPr>
          <w:rFonts w:ascii="Times New Roman" w:eastAsia="Times New Roman" w:hAnsi="Times New Roman" w:cs="Times New Roman"/>
          <w:b/>
          <w:bCs/>
          <w:noProof/>
          <w:lang w:val="en-US"/>
        </w:rPr>
        <w:t>Administrative structure of implementing national energy and climate policies</w:t>
      </w:r>
    </w:p>
    <w:p w14:paraId="7B7A3DCE" w14:textId="13B20434" w:rsidR="00B8092E" w:rsidRPr="003A7E34" w:rsidRDefault="372247B6" w:rsidP="00B9311D">
      <w:pPr>
        <w:spacing w:before="0"/>
        <w:rPr>
          <w:rFonts w:eastAsia="Times New Roman"/>
          <w:lang w:val="en-US"/>
        </w:rPr>
      </w:pPr>
      <w:r w:rsidRPr="003A7E34">
        <w:rPr>
          <w:rFonts w:eastAsia="Times New Roman"/>
          <w:lang w:val="en-US"/>
        </w:rPr>
        <w:t xml:space="preserve">The development and implementation of the Lithuania’s energy policy are being coordinated by the </w:t>
      </w:r>
      <w:r w:rsidRPr="003A7E34">
        <w:rPr>
          <w:rFonts w:eastAsia="Times New Roman"/>
          <w:b/>
          <w:i/>
          <w:lang w:val="en-US"/>
        </w:rPr>
        <w:t>Ministry of Energy</w:t>
      </w:r>
      <w:r w:rsidRPr="003A7E34">
        <w:rPr>
          <w:rFonts w:eastAsia="Times New Roman"/>
          <w:lang w:val="en-US"/>
        </w:rPr>
        <w:t xml:space="preserve">. The development and implementation of the Lithuania’s climate change mitigation and adaptation policy are being coordinated by the </w:t>
      </w:r>
      <w:r w:rsidRPr="003A7E34">
        <w:rPr>
          <w:rFonts w:eastAsia="Times New Roman"/>
          <w:b/>
          <w:i/>
          <w:lang w:val="en-US"/>
        </w:rPr>
        <w:t>Ministry of Environment</w:t>
      </w:r>
      <w:r w:rsidRPr="003A7E34">
        <w:rPr>
          <w:rFonts w:eastAsia="Times New Roman"/>
          <w:lang w:val="en-US"/>
        </w:rPr>
        <w:t xml:space="preserve">. The </w:t>
      </w:r>
      <w:r w:rsidR="00FD0275" w:rsidRPr="003A7E34">
        <w:rPr>
          <w:rFonts w:eastAsia="Times New Roman"/>
          <w:lang w:val="en-US"/>
        </w:rPr>
        <w:t>two ministries mentioned above actively interact with m</w:t>
      </w:r>
      <w:r w:rsidRPr="003A7E34">
        <w:rPr>
          <w:rFonts w:eastAsia="Times New Roman"/>
          <w:lang w:val="en-US"/>
        </w:rPr>
        <w:t xml:space="preserve">inistries of Finance, Energy, Transport and Communications, Economy, Education and Science, Agriculture and the Interior, as well as municipalities, the Research Council of Lithuania, state research institutions and universities, companies, entities, </w:t>
      </w:r>
      <w:r w:rsidR="00B9311D" w:rsidRPr="003A7E34">
        <w:rPr>
          <w:rFonts w:eastAsia="Times New Roman"/>
          <w:lang w:val="en-US"/>
        </w:rPr>
        <w:t>organizations</w:t>
      </w:r>
      <w:r w:rsidRPr="003A7E34">
        <w:rPr>
          <w:rFonts w:eastAsia="Times New Roman"/>
          <w:lang w:val="en-US"/>
        </w:rPr>
        <w:t xml:space="preserve"> and other persons participate in the implementation of the measures </w:t>
      </w:r>
      <w:r w:rsidR="00FD0275" w:rsidRPr="003A7E34">
        <w:rPr>
          <w:rFonts w:eastAsia="Times New Roman"/>
          <w:lang w:val="en-US"/>
        </w:rPr>
        <w:t xml:space="preserve">for energy and environment </w:t>
      </w:r>
      <w:r w:rsidRPr="003A7E34">
        <w:rPr>
          <w:rFonts w:eastAsia="Times New Roman"/>
          <w:lang w:val="en-US"/>
        </w:rPr>
        <w:t>within their competence</w:t>
      </w:r>
      <w:r w:rsidR="00FD0275" w:rsidRPr="003A7E34">
        <w:rPr>
          <w:rFonts w:eastAsia="Times New Roman"/>
          <w:lang w:val="en-US"/>
        </w:rPr>
        <w:t>. Each institution</w:t>
      </w:r>
      <w:r w:rsidRPr="003A7E34">
        <w:rPr>
          <w:rFonts w:eastAsia="Times New Roman"/>
          <w:lang w:val="en-US"/>
        </w:rPr>
        <w:t xml:space="preserve"> </w:t>
      </w:r>
      <w:r w:rsidR="00FD0275" w:rsidRPr="003A7E34">
        <w:rPr>
          <w:rFonts w:eastAsia="Times New Roman"/>
          <w:lang w:val="en-US"/>
        </w:rPr>
        <w:t>is</w:t>
      </w:r>
      <w:r w:rsidRPr="003A7E34">
        <w:rPr>
          <w:rFonts w:eastAsia="Times New Roman"/>
          <w:lang w:val="en-US"/>
        </w:rPr>
        <w:t xml:space="preserve"> allocating funds </w:t>
      </w:r>
      <w:r w:rsidR="00FD0275" w:rsidRPr="003A7E34">
        <w:rPr>
          <w:rFonts w:eastAsia="Times New Roman"/>
          <w:lang w:val="en-US"/>
        </w:rPr>
        <w:t xml:space="preserve">individually </w:t>
      </w:r>
      <w:r w:rsidRPr="003A7E34">
        <w:rPr>
          <w:rFonts w:eastAsia="Times New Roman"/>
          <w:lang w:val="en-US"/>
        </w:rPr>
        <w:t xml:space="preserve">for </w:t>
      </w:r>
      <w:r w:rsidR="00FD0275" w:rsidRPr="003A7E34">
        <w:rPr>
          <w:rFonts w:eastAsia="Times New Roman"/>
          <w:lang w:val="en-US"/>
        </w:rPr>
        <w:t xml:space="preserve">the annual implementation of </w:t>
      </w:r>
      <w:r w:rsidRPr="003A7E34">
        <w:rPr>
          <w:rFonts w:eastAsia="Times New Roman"/>
          <w:lang w:val="en-US"/>
        </w:rPr>
        <w:t>the implementation of the measures</w:t>
      </w:r>
      <w:r w:rsidR="00FD0275" w:rsidRPr="003A7E34">
        <w:rPr>
          <w:rFonts w:eastAsia="Times New Roman"/>
          <w:lang w:val="en-US"/>
        </w:rPr>
        <w:t xml:space="preserve"> assigned to them</w:t>
      </w:r>
      <w:r w:rsidRPr="003A7E34">
        <w:rPr>
          <w:rFonts w:eastAsia="Times New Roman"/>
          <w:lang w:val="en-US"/>
        </w:rPr>
        <w:t>.</w:t>
      </w:r>
      <w:r w:rsidR="00FD0275" w:rsidRPr="003A7E34">
        <w:rPr>
          <w:rFonts w:eastAsia="Times New Roman"/>
          <w:lang w:val="en-US"/>
        </w:rPr>
        <w:t xml:space="preserve"> </w:t>
      </w:r>
    </w:p>
    <w:p w14:paraId="1BA1F502" w14:textId="2AB52FC9" w:rsidR="00B8092E" w:rsidRPr="003A7E34" w:rsidRDefault="372247B6" w:rsidP="0074504A">
      <w:pPr>
        <w:spacing w:before="0"/>
        <w:rPr>
          <w:rFonts w:eastAsia="Times New Roman"/>
          <w:lang w:val="en-US"/>
        </w:rPr>
      </w:pPr>
      <w:r w:rsidRPr="003A7E34">
        <w:rPr>
          <w:rFonts w:eastAsia="Times New Roman"/>
          <w:lang w:val="en-US"/>
        </w:rPr>
        <w:t xml:space="preserve">While drawing up sectorial development programs, interinstitutional action plans or other planning documents for their respective management areas, the ministries shall mainstream the targets and objectives for climate and energy, in order to provide for specific measures to implement those targets and objectives and to ensure close interinstitutional cooperation. </w:t>
      </w:r>
      <w:r w:rsidR="009054F0" w:rsidRPr="003A7E34">
        <w:rPr>
          <w:rFonts w:eastAsia="Times New Roman"/>
          <w:lang w:val="en-US"/>
        </w:rPr>
        <w:t>These targets and objectives are detailed further in this document, and in case if such data is already available, quantified.</w:t>
      </w:r>
    </w:p>
    <w:p w14:paraId="2F411A3B" w14:textId="134C4ABF" w:rsidR="00B8092E" w:rsidRPr="003A7E34" w:rsidRDefault="00B8092E" w:rsidP="0074504A">
      <w:pPr>
        <w:spacing w:before="0"/>
        <w:rPr>
          <w:rFonts w:eastAsia="Times New Roman"/>
          <w:lang w:val="en-US"/>
        </w:rPr>
      </w:pPr>
      <w:r w:rsidRPr="003A7E34">
        <w:rPr>
          <w:rFonts w:eastAsia="Times New Roman"/>
          <w:lang w:val="en-US"/>
        </w:rPr>
        <w:t>A working group for the preparation of a draft integrated national energy and climate plan, coordination of its implementation and preparation of reports was</w:t>
      </w:r>
      <w:r w:rsidR="00537E15" w:rsidRPr="003A7E34">
        <w:rPr>
          <w:rFonts w:eastAsia="Times New Roman"/>
          <w:lang w:val="en-US"/>
        </w:rPr>
        <w:t xml:space="preserve"> formed in 2017</w:t>
      </w:r>
      <w:r w:rsidR="0062761D" w:rsidRPr="003A7E34">
        <w:rPr>
          <w:rStyle w:val="FootnoteReference"/>
          <w:rFonts w:eastAsia="Times New Roman"/>
          <w:lang w:val="en-US"/>
        </w:rPr>
        <w:footnoteReference w:id="4"/>
      </w:r>
      <w:r w:rsidRPr="003A7E34">
        <w:rPr>
          <w:rFonts w:eastAsia="Times New Roman"/>
          <w:lang w:val="en-US"/>
        </w:rPr>
        <w:t xml:space="preserve">. The working group includes 19 representatives of the Government Office, ministries, and Lithuania’s Statistic Department. </w:t>
      </w:r>
    </w:p>
    <w:p w14:paraId="5D33403D" w14:textId="6FF4AB9D" w:rsidR="00B8092E" w:rsidRPr="003A7E34" w:rsidRDefault="372247B6" w:rsidP="0074504A">
      <w:pPr>
        <w:spacing w:before="0"/>
        <w:rPr>
          <w:rFonts w:eastAsia="Times New Roman"/>
          <w:lang w:val="en-US"/>
        </w:rPr>
      </w:pPr>
      <w:r w:rsidRPr="003A7E34">
        <w:rPr>
          <w:rFonts w:eastAsia="Times New Roman"/>
          <w:lang w:val="en-US"/>
        </w:rPr>
        <w:t xml:space="preserve">Framework national energy and climate strategies are being approved by the Parliament of the Republic of Lithuania (Seimas) and their </w:t>
      </w:r>
      <w:r w:rsidR="003C5BEC" w:rsidRPr="003A7E34">
        <w:rPr>
          <w:rFonts w:eastAsia="Times New Roman"/>
        </w:rPr>
        <w:t>implementation</w:t>
      </w:r>
      <w:r w:rsidR="003C5BEC" w:rsidRPr="003A7E34">
        <w:rPr>
          <w:rFonts w:eastAsia="Times New Roman"/>
          <w:lang w:val="en-US"/>
        </w:rPr>
        <w:t xml:space="preserve"> </w:t>
      </w:r>
      <w:r w:rsidRPr="003A7E34">
        <w:rPr>
          <w:rFonts w:eastAsia="Times New Roman"/>
          <w:lang w:val="en-US"/>
        </w:rPr>
        <w:t>action plans as well as all economy sectors development programs by the Government.</w:t>
      </w:r>
      <w:r w:rsidR="00A61725" w:rsidRPr="003A7E34">
        <w:rPr>
          <w:rFonts w:eastAsia="Times New Roman"/>
          <w:lang w:val="en-US"/>
        </w:rPr>
        <w:t xml:space="preserve"> New plans are usually prepared every five years, if there is such need on the national level, more often. As an example, </w:t>
      </w:r>
      <w:r w:rsidR="00552CF4" w:rsidRPr="003A7E34">
        <w:rPr>
          <w:rFonts w:eastAsia="Times New Roman"/>
          <w:lang w:val="en-US"/>
        </w:rPr>
        <w:t xml:space="preserve">new </w:t>
      </w:r>
      <w:r w:rsidR="00A61725" w:rsidRPr="003A7E34">
        <w:rPr>
          <w:rFonts w:eastAsia="Times New Roman"/>
          <w:lang w:val="en-US"/>
        </w:rPr>
        <w:t xml:space="preserve">National Energy Strategy can be </w:t>
      </w:r>
      <w:r w:rsidR="00F12863" w:rsidRPr="003A7E34">
        <w:rPr>
          <w:rFonts w:eastAsia="Times New Roman"/>
        </w:rPr>
        <w:t>updated</w:t>
      </w:r>
      <w:r w:rsidR="00F12863" w:rsidRPr="003A7E34">
        <w:rPr>
          <w:rFonts w:eastAsia="Times New Roman"/>
          <w:lang w:val="en-US"/>
        </w:rPr>
        <w:t xml:space="preserve"> </w:t>
      </w:r>
      <w:r w:rsidR="00A61725" w:rsidRPr="003A7E34">
        <w:rPr>
          <w:rFonts w:eastAsia="Times New Roman"/>
          <w:lang w:val="en-US"/>
        </w:rPr>
        <w:t>earlier</w:t>
      </w:r>
      <w:r w:rsidR="00552CF4" w:rsidRPr="003A7E34">
        <w:rPr>
          <w:rFonts w:eastAsia="Times New Roman"/>
          <w:lang w:val="en-US"/>
        </w:rPr>
        <w:t xml:space="preserve"> than five years period expired</w:t>
      </w:r>
      <w:r w:rsidR="00A61725" w:rsidRPr="003A7E34">
        <w:rPr>
          <w:rFonts w:eastAsia="Times New Roman"/>
          <w:lang w:val="en-US"/>
        </w:rPr>
        <w:t xml:space="preserve">, which had to include the measures for Ignalina NPP closure after officially joining EU in May 2004. </w:t>
      </w:r>
      <w:r w:rsidR="00552CF4" w:rsidRPr="003A7E34">
        <w:rPr>
          <w:rFonts w:eastAsia="Times New Roman"/>
          <w:lang w:val="en-US"/>
        </w:rPr>
        <w:t xml:space="preserve">There is list of projects and measures with exact funding needed allocated on yearly basis. Funds for the projects and measures implementation are set in each year national and local budgets. </w:t>
      </w:r>
    </w:p>
    <w:p w14:paraId="4FA81EBE" w14:textId="5DBDA168" w:rsidR="00D25167" w:rsidRPr="003A7E34" w:rsidRDefault="00F12863" w:rsidP="008D6A28">
      <w:pPr>
        <w:spacing w:before="0"/>
        <w:rPr>
          <w:rFonts w:eastAsia="Times New Roman"/>
          <w:lang w:val="en-US"/>
        </w:rPr>
      </w:pPr>
      <w:r w:rsidRPr="003A7E34">
        <w:rPr>
          <w:rFonts w:eastAsia="Times New Roman"/>
          <w:lang w:val="en-US"/>
        </w:rPr>
        <w:lastRenderedPageBreak/>
        <w:t>T</w:t>
      </w:r>
      <w:r w:rsidR="372247B6" w:rsidRPr="003A7E34">
        <w:rPr>
          <w:rFonts w:eastAsia="Times New Roman"/>
          <w:lang w:val="en-US"/>
        </w:rPr>
        <w:t xml:space="preserve">he </w:t>
      </w:r>
      <w:r w:rsidR="372247B6" w:rsidRPr="003A7E34">
        <w:rPr>
          <w:rFonts w:eastAsia="Times New Roman"/>
          <w:b/>
          <w:i/>
          <w:lang w:val="en-US"/>
        </w:rPr>
        <w:t>National Climate Change Committee</w:t>
      </w:r>
      <w:r w:rsidR="372247B6" w:rsidRPr="003A7E34">
        <w:rPr>
          <w:rFonts w:eastAsia="Times New Roman"/>
          <w:lang w:val="en-US"/>
        </w:rPr>
        <w:t xml:space="preserve"> has been established for advisory purposes on the development of the Lithuanian climate change policy and coordination of its implementation. The Committee includes 21 representatives of ministries, municipal authorities, research and study, industrial and non-governmental </w:t>
      </w:r>
      <w:r w:rsidR="00552CF4" w:rsidRPr="003A7E34">
        <w:rPr>
          <w:rFonts w:eastAsia="Times New Roman"/>
          <w:lang w:val="en-US"/>
        </w:rPr>
        <w:t>organizations</w:t>
      </w:r>
      <w:r w:rsidR="00920875" w:rsidRPr="003A7E34">
        <w:rPr>
          <w:rFonts w:eastAsia="Times New Roman"/>
          <w:lang w:val="en-US"/>
        </w:rPr>
        <w:t xml:space="preserve"> and 20 observers</w:t>
      </w:r>
      <w:r w:rsidR="372247B6" w:rsidRPr="003A7E34">
        <w:rPr>
          <w:rFonts w:eastAsia="Times New Roman"/>
          <w:lang w:val="en-US"/>
        </w:rPr>
        <w:t>.</w:t>
      </w:r>
    </w:p>
    <w:p w14:paraId="3D0C0244" w14:textId="10BFC7EB" w:rsidR="00A80943" w:rsidRPr="003A7E34" w:rsidRDefault="00A80943" w:rsidP="008D6A28">
      <w:pPr>
        <w:spacing w:before="0"/>
        <w:rPr>
          <w:rFonts w:eastAsia="Times New Roman"/>
          <w:lang w:val="en-US"/>
        </w:rPr>
      </w:pPr>
    </w:p>
    <w:p w14:paraId="4D961A17" w14:textId="08C75459" w:rsidR="00A80943" w:rsidRPr="003A7E34" w:rsidRDefault="00A80943" w:rsidP="00C42AAE">
      <w:pPr>
        <w:pStyle w:val="Heading2"/>
        <w:numPr>
          <w:ilvl w:val="1"/>
          <w:numId w:val="11"/>
        </w:numPr>
        <w:spacing w:before="0" w:after="120"/>
        <w:rPr>
          <w:rFonts w:cs="Times New Roman"/>
          <w:noProof/>
          <w:lang w:val="en-US"/>
        </w:rPr>
      </w:pPr>
      <w:bookmarkStart w:id="16" w:name="_Toc530405558"/>
      <w:bookmarkStart w:id="17" w:name="_Toc530411789"/>
      <w:bookmarkStart w:id="18" w:name="_Toc530414138"/>
      <w:r w:rsidRPr="003A7E34">
        <w:rPr>
          <w:rFonts w:eastAsia="Times New Roman" w:cs="Times New Roman"/>
          <w:noProof/>
          <w:lang w:val="en-US"/>
        </w:rPr>
        <w:t>Consultations and involvement of national and Union entities and their outcome</w:t>
      </w:r>
      <w:bookmarkEnd w:id="16"/>
      <w:bookmarkEnd w:id="17"/>
      <w:bookmarkEnd w:id="18"/>
    </w:p>
    <w:p w14:paraId="5E4FB677" w14:textId="335D6B6F" w:rsidR="00A80943" w:rsidRPr="003A7E34" w:rsidRDefault="00A80943" w:rsidP="00C42AAE">
      <w:pPr>
        <w:pStyle w:val="ListParagraph"/>
        <w:numPr>
          <w:ilvl w:val="0"/>
          <w:numId w:val="20"/>
        </w:numPr>
        <w:spacing w:after="120" w:line="240" w:lineRule="auto"/>
        <w:ind w:left="993" w:hanging="142"/>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Involvement of the national parliament </w:t>
      </w:r>
    </w:p>
    <w:p w14:paraId="093C8EAA" w14:textId="0AEE638F" w:rsidR="69AC8393" w:rsidRPr="003A7E34" w:rsidRDefault="69AC8393" w:rsidP="008D6A28">
      <w:pPr>
        <w:spacing w:before="0"/>
        <w:rPr>
          <w:rFonts w:eastAsia="Times New Roman"/>
          <w:noProof/>
          <w:lang w:val="en-US"/>
        </w:rPr>
      </w:pPr>
      <w:r w:rsidRPr="003A7E34">
        <w:rPr>
          <w:rFonts w:eastAsia="Times New Roman"/>
          <w:noProof/>
          <w:lang w:val="en-US"/>
        </w:rPr>
        <w:t xml:space="preserve">Lithuanian Parliament (Seimas) is set to have presentation on </w:t>
      </w:r>
      <w:r w:rsidR="00F12863" w:rsidRPr="003A7E34">
        <w:rPr>
          <w:rFonts w:eastAsia="Times New Roman"/>
          <w:noProof/>
          <w:lang w:val="en-US"/>
        </w:rPr>
        <w:t xml:space="preserve">the </w:t>
      </w:r>
      <w:r w:rsidRPr="003A7E34">
        <w:rPr>
          <w:rFonts w:eastAsia="Times New Roman"/>
          <w:noProof/>
          <w:lang w:val="en-US"/>
        </w:rPr>
        <w:t xml:space="preserve">NECP draft until the end of 2018. It is involved directly on yearly basis by issuing legislative changes needed, allocating funds needed for policies and measures implementation required on a yearly basis by approving national budget. </w:t>
      </w:r>
    </w:p>
    <w:p w14:paraId="38DA8BBF" w14:textId="4698DD2F" w:rsidR="69AC8393" w:rsidRPr="003A7E34" w:rsidRDefault="69AC8393">
      <w:pPr>
        <w:rPr>
          <w:rFonts w:eastAsia="Times New Roman"/>
          <w:noProof/>
          <w:lang w:val="en-US"/>
        </w:rPr>
      </w:pPr>
      <w:r w:rsidRPr="003A7E34">
        <w:rPr>
          <w:rFonts w:eastAsia="Times New Roman"/>
          <w:noProof/>
          <w:lang w:val="en-US"/>
        </w:rPr>
        <w:t>According Statute of the Seimas of the Republic of Lithuania Article 58, it has Environmental Protection Committee. Fields of activity of the Environmental Protection Committee are as follows:</w:t>
      </w:r>
    </w:p>
    <w:p w14:paraId="315BD702" w14:textId="4698DD2F" w:rsidR="69AC8393" w:rsidRPr="003A7E34" w:rsidRDefault="69AC8393" w:rsidP="00E6713C">
      <w:pPr>
        <w:pStyle w:val="ListParagraph"/>
        <w:numPr>
          <w:ilvl w:val="0"/>
          <w:numId w:val="27"/>
        </w:numPr>
        <w:jc w:val="both"/>
        <w:rPr>
          <w:rFonts w:ascii="Times New Roman" w:hAnsi="Times New Roman" w:cs="Times New Roman"/>
          <w:lang w:val="en-US"/>
        </w:rPr>
      </w:pPr>
      <w:r w:rsidRPr="003A7E34">
        <w:rPr>
          <w:rFonts w:ascii="Times New Roman" w:eastAsia="Times New Roman" w:hAnsi="Times New Roman" w:cs="Times New Roman"/>
          <w:noProof/>
          <w:lang w:val="en-US"/>
        </w:rPr>
        <w:t xml:space="preserve">to prepare and consider draft laws, other legal acts and proposals on the issues of environmental quality, sustainable development, climate change, natural resources: forests, land, biodiversity, depths, water, protected areas use and protection, use of renewable and alternative energy sources, territories planning, construction and housing, urban planning and architecture, landscape, municipal economy and environmental impact assessment; </w:t>
      </w:r>
    </w:p>
    <w:p w14:paraId="383689DD" w14:textId="4698DD2F" w:rsidR="69AC8393" w:rsidRPr="003A7E34" w:rsidRDefault="69AC8393" w:rsidP="00E6713C">
      <w:pPr>
        <w:pStyle w:val="ListParagraph"/>
        <w:numPr>
          <w:ilvl w:val="0"/>
          <w:numId w:val="27"/>
        </w:numPr>
        <w:jc w:val="both"/>
        <w:rPr>
          <w:rFonts w:ascii="Times New Roman" w:hAnsi="Times New Roman" w:cs="Times New Roman"/>
          <w:lang w:val="en-US"/>
        </w:rPr>
      </w:pPr>
      <w:r w:rsidRPr="003A7E34">
        <w:rPr>
          <w:rFonts w:ascii="Times New Roman" w:eastAsia="Times New Roman" w:hAnsi="Times New Roman" w:cs="Times New Roman"/>
          <w:noProof/>
          <w:lang w:val="en-US"/>
        </w:rPr>
        <w:t xml:space="preserve">coordinate the work of interested state institutions and other organizations in drafting draft laws on issues falling within the competence of the Committee; </w:t>
      </w:r>
    </w:p>
    <w:p w14:paraId="46C64B28" w14:textId="4698DD2F" w:rsidR="69AC8393" w:rsidRPr="003A7E34" w:rsidRDefault="69AC8393" w:rsidP="00E6713C">
      <w:pPr>
        <w:pStyle w:val="ListParagraph"/>
        <w:numPr>
          <w:ilvl w:val="0"/>
          <w:numId w:val="27"/>
        </w:numPr>
        <w:jc w:val="both"/>
        <w:rPr>
          <w:rFonts w:ascii="Times New Roman" w:hAnsi="Times New Roman" w:cs="Times New Roman"/>
          <w:lang w:val="en-US"/>
        </w:rPr>
      </w:pPr>
      <w:r w:rsidRPr="003A7E34">
        <w:rPr>
          <w:rFonts w:ascii="Times New Roman" w:eastAsia="Times New Roman" w:hAnsi="Times New Roman" w:cs="Times New Roman"/>
          <w:noProof/>
          <w:lang w:val="en-US"/>
        </w:rPr>
        <w:t xml:space="preserve">to consider, from an environmental point of view, the draft laws and regulations transmitted to the committee; </w:t>
      </w:r>
    </w:p>
    <w:p w14:paraId="70CF6A72" w14:textId="4698DD2F" w:rsidR="69AC8393" w:rsidRPr="003A7E34" w:rsidRDefault="69AC8393" w:rsidP="00E6713C">
      <w:pPr>
        <w:pStyle w:val="ListParagraph"/>
        <w:numPr>
          <w:ilvl w:val="0"/>
          <w:numId w:val="27"/>
        </w:numPr>
        <w:jc w:val="both"/>
        <w:rPr>
          <w:rFonts w:ascii="Times New Roman" w:hAnsi="Times New Roman" w:cs="Times New Roman"/>
          <w:lang w:val="en-US"/>
        </w:rPr>
      </w:pPr>
      <w:r w:rsidRPr="003A7E34">
        <w:rPr>
          <w:rFonts w:ascii="Times New Roman" w:eastAsia="Times New Roman" w:hAnsi="Times New Roman" w:cs="Times New Roman"/>
          <w:noProof/>
          <w:lang w:val="en-US"/>
        </w:rPr>
        <w:t xml:space="preserve">to prepare and consider proposals for the formation of the Lithuanian environmental policy; </w:t>
      </w:r>
    </w:p>
    <w:p w14:paraId="5A85CC52" w14:textId="4698DD2F" w:rsidR="69AC8393" w:rsidRPr="003A7E34" w:rsidRDefault="69AC8393" w:rsidP="00E6713C">
      <w:pPr>
        <w:pStyle w:val="ListParagraph"/>
        <w:numPr>
          <w:ilvl w:val="0"/>
          <w:numId w:val="27"/>
        </w:numPr>
        <w:jc w:val="both"/>
        <w:rPr>
          <w:rFonts w:ascii="Times New Roman" w:hAnsi="Times New Roman" w:cs="Times New Roman"/>
          <w:lang w:val="en-US"/>
        </w:rPr>
      </w:pPr>
      <w:r w:rsidRPr="003A7E34">
        <w:rPr>
          <w:rFonts w:ascii="Times New Roman" w:eastAsia="Times New Roman" w:hAnsi="Times New Roman" w:cs="Times New Roman"/>
          <w:noProof/>
          <w:lang w:val="en-US"/>
        </w:rPr>
        <w:t xml:space="preserve">to exercise parliamentary control over issues falling within the competence of the Committee; </w:t>
      </w:r>
    </w:p>
    <w:p w14:paraId="5190BC11" w14:textId="5EBED83B" w:rsidR="69AC8393" w:rsidRPr="003A7E34" w:rsidRDefault="69AC8393" w:rsidP="00E6713C">
      <w:pPr>
        <w:pStyle w:val="ListParagraph"/>
        <w:numPr>
          <w:ilvl w:val="0"/>
          <w:numId w:val="27"/>
        </w:numPr>
        <w:jc w:val="both"/>
        <w:rPr>
          <w:rFonts w:ascii="Times New Roman" w:hAnsi="Times New Roman" w:cs="Times New Roman"/>
          <w:szCs w:val="24"/>
          <w:lang w:val="en-US"/>
        </w:rPr>
      </w:pPr>
      <w:r w:rsidRPr="003A7E34">
        <w:rPr>
          <w:rFonts w:ascii="Times New Roman" w:eastAsia="Times New Roman" w:hAnsi="Times New Roman" w:cs="Times New Roman"/>
          <w:noProof/>
          <w:lang w:val="en-US"/>
        </w:rPr>
        <w:t>to consider international environmental legislation and submit proposals and conclusions to the Seimas.</w:t>
      </w:r>
    </w:p>
    <w:p w14:paraId="0CFF6B30" w14:textId="3B7FB7EE" w:rsidR="4747ED17" w:rsidRPr="003A7E34" w:rsidRDefault="4747ED17" w:rsidP="008D6A28">
      <w:pPr>
        <w:spacing w:before="0"/>
        <w:rPr>
          <w:rFonts w:eastAsia="Times New Roman"/>
          <w:noProof/>
          <w:szCs w:val="24"/>
          <w:lang w:val="en-US"/>
        </w:rPr>
      </w:pPr>
    </w:p>
    <w:p w14:paraId="7E1D8CC8" w14:textId="19D40882" w:rsidR="00A80943" w:rsidRPr="003A7E34" w:rsidRDefault="00A80943" w:rsidP="00C42AAE">
      <w:pPr>
        <w:pStyle w:val="ListParagraph"/>
        <w:numPr>
          <w:ilvl w:val="0"/>
          <w:numId w:val="20"/>
        </w:numPr>
        <w:spacing w:after="120" w:line="240" w:lineRule="auto"/>
        <w:ind w:left="993" w:hanging="142"/>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Involvement of local and regional authorities </w:t>
      </w:r>
    </w:p>
    <w:p w14:paraId="0DA23FB8" w14:textId="62084939" w:rsidR="00202C1F" w:rsidRPr="003A7E34" w:rsidRDefault="00202C1F">
      <w:pPr>
        <w:rPr>
          <w:rFonts w:eastAsia="Times New Roman"/>
          <w:noProof/>
          <w:lang w:val="en-US"/>
        </w:rPr>
      </w:pPr>
      <w:r w:rsidRPr="003A7E34">
        <w:rPr>
          <w:rFonts w:eastAsia="Times New Roman"/>
          <w:noProof/>
          <w:lang w:val="en-US"/>
        </w:rPr>
        <w:t xml:space="preserve">For the last two decades Lithuania extensively involves local and regional authorities (LRAs) into RES development policy implementation, taking into account its importance for national heating and cooling sector. </w:t>
      </w:r>
    </w:p>
    <w:p w14:paraId="518125BC" w14:textId="1530B90C" w:rsidR="00202C1F" w:rsidRPr="003A7E34" w:rsidRDefault="00202C1F">
      <w:pPr>
        <w:rPr>
          <w:rFonts w:eastAsia="Times New Roman"/>
          <w:noProof/>
          <w:lang w:val="en-US"/>
        </w:rPr>
      </w:pPr>
      <w:r w:rsidRPr="003A7E34">
        <w:rPr>
          <w:rFonts w:eastAsia="Times New Roman"/>
          <w:noProof/>
          <w:lang w:val="en-US"/>
        </w:rPr>
        <w:t xml:space="preserve">Throughout NECP implementation period it is planned to have LRAs involved into other sectors policies and measures identification, development and implementation </w:t>
      </w:r>
      <w:r w:rsidR="00F12863" w:rsidRPr="003A7E34">
        <w:rPr>
          <w:rFonts w:eastAsia="Times New Roman"/>
          <w:noProof/>
          <w:lang w:val="en-US"/>
        </w:rPr>
        <w:t xml:space="preserve">policies and measures </w:t>
      </w:r>
      <w:r w:rsidRPr="003A7E34">
        <w:rPr>
          <w:rFonts w:eastAsia="Times New Roman"/>
          <w:noProof/>
          <w:lang w:val="en-US"/>
        </w:rPr>
        <w:t>for GHG emissions reduction</w:t>
      </w:r>
      <w:r w:rsidR="00F12863" w:rsidRPr="003A7E34">
        <w:rPr>
          <w:rFonts w:eastAsia="Times New Roman"/>
          <w:noProof/>
          <w:lang w:val="en-US"/>
        </w:rPr>
        <w:t xml:space="preserve"> and adaptation to climate change</w:t>
      </w:r>
      <w:r w:rsidRPr="003A7E34">
        <w:rPr>
          <w:rFonts w:eastAsia="Times New Roman"/>
          <w:noProof/>
          <w:lang w:val="en-US"/>
        </w:rPr>
        <w:t xml:space="preserve">, keeping in mind their importance and potencial influence on </w:t>
      </w:r>
      <w:r w:rsidR="00F12863" w:rsidRPr="003A7E34">
        <w:rPr>
          <w:rFonts w:eastAsia="Times New Roman"/>
          <w:noProof/>
          <w:lang w:val="en-US"/>
        </w:rPr>
        <w:t xml:space="preserve">waste management, </w:t>
      </w:r>
      <w:r w:rsidRPr="003A7E34">
        <w:rPr>
          <w:rFonts w:eastAsia="Times New Roman"/>
          <w:noProof/>
          <w:lang w:val="en-US"/>
        </w:rPr>
        <w:t xml:space="preserve">agriculture, industry and transport sectors on local regional level by </w:t>
      </w:r>
      <w:r w:rsidR="00F12863" w:rsidRPr="003A7E34">
        <w:rPr>
          <w:rFonts w:eastAsia="Times New Roman"/>
          <w:noProof/>
          <w:lang w:val="en-US"/>
        </w:rPr>
        <w:t xml:space="preserve">teritorial planing of infrasctrucure, </w:t>
      </w:r>
      <w:r w:rsidRPr="003A7E34">
        <w:rPr>
          <w:rFonts w:eastAsia="Times New Roman"/>
          <w:noProof/>
          <w:lang w:val="en-US"/>
        </w:rPr>
        <w:t xml:space="preserve">setting certain legislation, creating effectice taxing systems within municipalities and counties in the range of their autonomy legally given by the State. Another aspect is social policies which are conducted on LRAs level, such as enegy poverty reduction. </w:t>
      </w:r>
    </w:p>
    <w:p w14:paraId="28501FC4" w14:textId="19356B82" w:rsidR="00202C1F" w:rsidRPr="003A7E34" w:rsidRDefault="00202C1F">
      <w:pPr>
        <w:rPr>
          <w:rFonts w:eastAsia="Times New Roman"/>
          <w:noProof/>
          <w:lang w:val="en-US"/>
        </w:rPr>
      </w:pPr>
      <w:r w:rsidRPr="003A7E34">
        <w:rPr>
          <w:rFonts w:eastAsia="Times New Roman"/>
          <w:noProof/>
          <w:lang w:val="en-US"/>
        </w:rPr>
        <w:t>Promoting new energy and environnment policies and measures to reduce GHG emissions long-term, LRAs will face several challenges, which could be summarised as “doing more with fewer resources”. Therefore, Lithuania aims to reduce the administrative burden and make LRAs activities more effective and efficient. However, detailed plans for strengthening local and regional authorities’ capacities for NECP implementation are currently relatively scarce.</w:t>
      </w:r>
    </w:p>
    <w:p w14:paraId="4EAEC07A" w14:textId="64BC88E7" w:rsidR="00A80943" w:rsidRPr="003A7E34" w:rsidRDefault="00A80943" w:rsidP="00C42AAE">
      <w:pPr>
        <w:pStyle w:val="ListParagraph"/>
        <w:numPr>
          <w:ilvl w:val="0"/>
          <w:numId w:val="20"/>
        </w:numPr>
        <w:spacing w:line="240" w:lineRule="auto"/>
        <w:ind w:left="993" w:hanging="142"/>
        <w:rPr>
          <w:rFonts w:ascii="Times New Roman" w:hAnsi="Times New Roman" w:cs="Times New Roman"/>
          <w:b/>
          <w:bCs/>
          <w:i/>
          <w:iCs/>
          <w:noProof/>
          <w:lang w:val="en-US"/>
        </w:rPr>
      </w:pPr>
      <w:r w:rsidRPr="003A7E34">
        <w:rPr>
          <w:rFonts w:ascii="Times New Roman" w:eastAsia="Times New Roman" w:hAnsi="Times New Roman" w:cs="Times New Roman"/>
          <w:noProof/>
          <w:lang w:val="en-US"/>
        </w:rPr>
        <w:lastRenderedPageBreak/>
        <w:t xml:space="preserve">Consultations of stakeholders, including the social partners, and engagement of civil society </w:t>
      </w:r>
      <w:r w:rsidRPr="003A7E34">
        <w:rPr>
          <w:rFonts w:ascii="Times New Roman" w:eastAsia="Times New Roman" w:hAnsi="Times New Roman" w:cs="Times New Roman"/>
          <w:b/>
          <w:bCs/>
          <w:i/>
          <w:iCs/>
          <w:noProof/>
          <w:lang w:val="en-US"/>
        </w:rPr>
        <w:t>and the general public</w:t>
      </w:r>
    </w:p>
    <w:p w14:paraId="0304C57C" w14:textId="1C165BC8" w:rsidR="4E9EC415" w:rsidRPr="003A7E34" w:rsidRDefault="4EA93846" w:rsidP="4EA93846">
      <w:pPr>
        <w:rPr>
          <w:rFonts w:eastAsia="Times New Roman"/>
          <w:noProof/>
          <w:lang w:val="en-US"/>
        </w:rPr>
      </w:pPr>
      <w:r w:rsidRPr="003A7E34">
        <w:rPr>
          <w:rFonts w:eastAsia="Times New Roman"/>
          <w:noProof/>
          <w:lang w:val="en-US"/>
        </w:rPr>
        <w:t xml:space="preserve">Online platforms will be used to get feedback on policies and measures set in the 2018 draft version of NECP, as well as for its final in 2019 from the </w:t>
      </w:r>
      <w:r w:rsidRPr="003A7E34">
        <w:rPr>
          <w:rFonts w:eastAsia="Times New Roman"/>
          <w:b/>
          <w:bCs/>
          <w:i/>
          <w:iCs/>
          <w:noProof/>
          <w:lang w:val="en-US"/>
        </w:rPr>
        <w:t>general public</w:t>
      </w:r>
      <w:r w:rsidRPr="003A7E34">
        <w:rPr>
          <w:rFonts w:eastAsia="Times New Roman"/>
          <w:noProof/>
          <w:lang w:val="en-US"/>
        </w:rPr>
        <w:t xml:space="preserve">. </w:t>
      </w:r>
    </w:p>
    <w:p w14:paraId="3EA600F8" w14:textId="192B6B2B" w:rsidR="1469D09C" w:rsidRPr="003A7E34" w:rsidRDefault="4EA93846" w:rsidP="4EA93846">
      <w:pPr>
        <w:rPr>
          <w:rFonts w:eastAsia="Times New Roman"/>
          <w:noProof/>
          <w:lang w:val="en-US"/>
        </w:rPr>
      </w:pPr>
      <w:r w:rsidRPr="003A7E34">
        <w:rPr>
          <w:rFonts w:eastAsia="Times New Roman"/>
          <w:noProof/>
          <w:lang w:val="en-US"/>
        </w:rPr>
        <w:t xml:space="preserve">The </w:t>
      </w:r>
      <w:r w:rsidRPr="003A7E34">
        <w:rPr>
          <w:rFonts w:eastAsia="Times New Roman"/>
          <w:b/>
          <w:bCs/>
          <w:i/>
          <w:iCs/>
          <w:noProof/>
          <w:lang w:val="en-US"/>
        </w:rPr>
        <w:t>institutions</w:t>
      </w:r>
      <w:r w:rsidRPr="003A7E34">
        <w:rPr>
          <w:rFonts w:eastAsia="Times New Roman"/>
          <w:noProof/>
          <w:lang w:val="en-US"/>
        </w:rPr>
        <w:t xml:space="preserve"> planned to approach which will have their input can be named as: </w:t>
      </w:r>
    </w:p>
    <w:p w14:paraId="345A7848" w14:textId="23088318" w:rsidR="4EA93846" w:rsidRPr="003A7E34" w:rsidRDefault="1F603D79" w:rsidP="4EA93846">
      <w:pPr>
        <w:pStyle w:val="ListParagraph"/>
        <w:numPr>
          <w:ilvl w:val="0"/>
          <w:numId w:val="1"/>
        </w:numPr>
        <w:rPr>
          <w:rFonts w:ascii="Times New Roman" w:hAnsi="Times New Roman" w:cs="Times New Roman"/>
          <w:lang w:val="en-US"/>
        </w:rPr>
      </w:pPr>
      <w:r w:rsidRPr="003A7E34">
        <w:rPr>
          <w:rFonts w:ascii="Times New Roman" w:eastAsia="Times New Roman" w:hAnsi="Times New Roman" w:cs="Times New Roman"/>
          <w:lang w:val="en-US"/>
        </w:rPr>
        <w:t xml:space="preserve">Lithuanian Companies and Institutions, </w:t>
      </w:r>
    </w:p>
    <w:p w14:paraId="0006A038" w14:textId="250C3A9C" w:rsidR="4EA93846" w:rsidRPr="003A7E34" w:rsidRDefault="1F603D79" w:rsidP="4EA93846">
      <w:pPr>
        <w:pStyle w:val="ListParagraph"/>
        <w:numPr>
          <w:ilvl w:val="0"/>
          <w:numId w:val="1"/>
        </w:numPr>
        <w:rPr>
          <w:rFonts w:ascii="Times New Roman" w:hAnsi="Times New Roman" w:cs="Times New Roman"/>
          <w:lang w:val="en-US"/>
        </w:rPr>
      </w:pPr>
      <w:r w:rsidRPr="003A7E34">
        <w:rPr>
          <w:rFonts w:ascii="Times New Roman" w:eastAsia="Times New Roman" w:hAnsi="Times New Roman" w:cs="Times New Roman"/>
          <w:lang w:val="en-US"/>
        </w:rPr>
        <w:t xml:space="preserve">Public Authorities, </w:t>
      </w:r>
    </w:p>
    <w:p w14:paraId="7B12B9CA" w14:textId="76A3EF90" w:rsidR="4EA93846" w:rsidRPr="003A7E34" w:rsidRDefault="1F603D79" w:rsidP="4EA93846">
      <w:pPr>
        <w:pStyle w:val="ListParagraph"/>
        <w:numPr>
          <w:ilvl w:val="0"/>
          <w:numId w:val="1"/>
        </w:numPr>
        <w:rPr>
          <w:rFonts w:ascii="Times New Roman" w:hAnsi="Times New Roman" w:cs="Times New Roman"/>
          <w:lang w:val="en-US"/>
        </w:rPr>
      </w:pPr>
      <w:r w:rsidRPr="003A7E34">
        <w:rPr>
          <w:rFonts w:ascii="Times New Roman" w:eastAsia="Times New Roman" w:hAnsi="Times New Roman" w:cs="Times New Roman"/>
          <w:lang w:val="en-US"/>
        </w:rPr>
        <w:t xml:space="preserve">Associations &amp; Confederations, </w:t>
      </w:r>
    </w:p>
    <w:p w14:paraId="427D06FA" w14:textId="2CC7ABE5" w:rsidR="4EA93846" w:rsidRPr="003A7E34" w:rsidRDefault="1F603D79" w:rsidP="00F12863">
      <w:pPr>
        <w:pStyle w:val="ListParagraph"/>
        <w:numPr>
          <w:ilvl w:val="0"/>
          <w:numId w:val="1"/>
        </w:numPr>
        <w:rPr>
          <w:rFonts w:ascii="Times New Roman" w:hAnsi="Times New Roman" w:cs="Times New Roman"/>
          <w:lang w:val="en-US"/>
        </w:rPr>
      </w:pPr>
      <w:r w:rsidRPr="003A7E34">
        <w:rPr>
          <w:rFonts w:ascii="Times New Roman" w:eastAsia="Times New Roman" w:hAnsi="Times New Roman" w:cs="Times New Roman"/>
          <w:lang w:val="en-US"/>
        </w:rPr>
        <w:t xml:space="preserve">Other </w:t>
      </w:r>
      <w:r w:rsidR="00F12863" w:rsidRPr="003A7E34">
        <w:rPr>
          <w:rFonts w:ascii="Times New Roman" w:eastAsia="Times New Roman" w:hAnsi="Times New Roman" w:cs="Times New Roman"/>
        </w:rPr>
        <w:t xml:space="preserve">neighbouring </w:t>
      </w:r>
      <w:r w:rsidRPr="003A7E34">
        <w:rPr>
          <w:rFonts w:ascii="Times New Roman" w:eastAsia="Times New Roman" w:hAnsi="Times New Roman" w:cs="Times New Roman"/>
          <w:lang w:val="en-US"/>
        </w:rPr>
        <w:t xml:space="preserve">EU Member States ministries of Energy and/or Environment. </w:t>
      </w:r>
    </w:p>
    <w:p w14:paraId="50DB3378" w14:textId="1E7DC7C4" w:rsidR="1469D09C" w:rsidRPr="003A7E34" w:rsidRDefault="4EA93846" w:rsidP="4EA93846">
      <w:pPr>
        <w:rPr>
          <w:rFonts w:eastAsia="Times New Roman"/>
          <w:noProof/>
          <w:lang w:val="en-US"/>
        </w:rPr>
      </w:pPr>
      <w:r w:rsidRPr="003A7E34">
        <w:rPr>
          <w:rFonts w:eastAsia="Times New Roman"/>
          <w:noProof/>
          <w:lang w:val="en-US"/>
        </w:rPr>
        <w:t>The list provided is not a final one, but it helps to show extent to which Lithuania aims to implement NECP goals and objectices for 2021-2030 successfully. Consultations of stakeholders is considered as one of the most important stages</w:t>
      </w:r>
      <w:r w:rsidR="00FE0B07" w:rsidRPr="003A7E34">
        <w:rPr>
          <w:rFonts w:eastAsia="Times New Roman"/>
          <w:noProof/>
          <w:lang w:val="en-US"/>
        </w:rPr>
        <w:t xml:space="preserve"> and every citizen i</w:t>
      </w:r>
      <w:r w:rsidR="00D84395" w:rsidRPr="003A7E34">
        <w:rPr>
          <w:rFonts w:eastAsia="Times New Roman"/>
          <w:noProof/>
          <w:lang w:val="en-US"/>
        </w:rPr>
        <w:t>s</w:t>
      </w:r>
      <w:r w:rsidR="00FE0B07" w:rsidRPr="003A7E34">
        <w:rPr>
          <w:rFonts w:eastAsia="Times New Roman"/>
          <w:noProof/>
          <w:lang w:val="en-US"/>
        </w:rPr>
        <w:t xml:space="preserve"> given opportunity to express their </w:t>
      </w:r>
      <w:r w:rsidR="0092689A" w:rsidRPr="003A7E34">
        <w:rPr>
          <w:rFonts w:eastAsia="Times New Roman"/>
          <w:noProof/>
          <w:lang w:val="en-US"/>
        </w:rPr>
        <w:t>remarks online</w:t>
      </w:r>
      <w:r w:rsidR="00D84395" w:rsidRPr="003A7E34">
        <w:rPr>
          <w:rStyle w:val="FootnoteReference"/>
          <w:rFonts w:eastAsia="Times New Roman"/>
          <w:noProof/>
          <w:lang w:val="en-US"/>
        </w:rPr>
        <w:footnoteReference w:id="5"/>
      </w:r>
      <w:r w:rsidRPr="003A7E34">
        <w:rPr>
          <w:rFonts w:eastAsia="Times New Roman"/>
          <w:noProof/>
          <w:lang w:val="en-US"/>
        </w:rPr>
        <w:t xml:space="preserve">. </w:t>
      </w:r>
    </w:p>
    <w:p w14:paraId="08FBACFB" w14:textId="1505CD49" w:rsidR="00A80943" w:rsidRPr="003A7E34" w:rsidRDefault="00A80943" w:rsidP="00C42AAE">
      <w:pPr>
        <w:pStyle w:val="ListParagraph"/>
        <w:numPr>
          <w:ilvl w:val="0"/>
          <w:numId w:val="20"/>
        </w:numPr>
        <w:spacing w:line="240" w:lineRule="auto"/>
        <w:ind w:left="993" w:hanging="142"/>
        <w:rPr>
          <w:rFonts w:ascii="Times New Roman" w:hAnsi="Times New Roman" w:cs="Times New Roman"/>
          <w:noProof/>
          <w:lang w:val="en-US"/>
        </w:rPr>
      </w:pPr>
      <w:r w:rsidRPr="003A7E34">
        <w:rPr>
          <w:rFonts w:ascii="Times New Roman" w:eastAsia="Times New Roman" w:hAnsi="Times New Roman" w:cs="Times New Roman"/>
          <w:noProof/>
          <w:lang w:val="en-US"/>
        </w:rPr>
        <w:t>Consultations of other Member States</w:t>
      </w:r>
    </w:p>
    <w:p w14:paraId="19C44080" w14:textId="1BF1FECA" w:rsidR="4D946976" w:rsidRPr="003A7E34" w:rsidRDefault="4D946976">
      <w:pPr>
        <w:rPr>
          <w:rFonts w:eastAsia="Times New Roman"/>
          <w:noProof/>
          <w:lang w:val="en-US"/>
        </w:rPr>
      </w:pPr>
      <w:r w:rsidRPr="003A7E34">
        <w:rPr>
          <w:rFonts w:eastAsia="Times New Roman"/>
          <w:noProof/>
          <w:lang w:val="en-US"/>
        </w:rPr>
        <w:t xml:space="preserve">To take place until the end of 2018, as well as in 2019. </w:t>
      </w:r>
    </w:p>
    <w:p w14:paraId="2865345A" w14:textId="71FD012B" w:rsidR="00A80943" w:rsidRPr="003A7E34" w:rsidRDefault="00A80943" w:rsidP="00C42AAE">
      <w:pPr>
        <w:pStyle w:val="ListParagraph"/>
        <w:numPr>
          <w:ilvl w:val="0"/>
          <w:numId w:val="20"/>
        </w:numPr>
        <w:spacing w:line="240" w:lineRule="auto"/>
        <w:ind w:left="993" w:hanging="142"/>
        <w:rPr>
          <w:rFonts w:ascii="Times New Roman" w:hAnsi="Times New Roman" w:cs="Times New Roman"/>
          <w:noProof/>
          <w:lang w:val="en-US"/>
        </w:rPr>
      </w:pPr>
      <w:r w:rsidRPr="003A7E34">
        <w:rPr>
          <w:rFonts w:ascii="Times New Roman" w:eastAsia="Times New Roman" w:hAnsi="Times New Roman" w:cs="Times New Roman"/>
          <w:noProof/>
          <w:lang w:val="en-US"/>
        </w:rPr>
        <w:t>Iterative process with the Commission</w:t>
      </w:r>
      <w:r w:rsidR="006D1DA8" w:rsidRPr="003A7E34">
        <w:rPr>
          <w:rFonts w:ascii="Times New Roman" w:eastAsia="Times New Roman" w:hAnsi="Times New Roman" w:cs="Times New Roman"/>
          <w:noProof/>
          <w:lang w:val="en-US"/>
        </w:rPr>
        <w:t>.</w:t>
      </w:r>
    </w:p>
    <w:p w14:paraId="00DF0199" w14:textId="3364FE51" w:rsidR="025E7B43" w:rsidRPr="003A7E34" w:rsidRDefault="025E7B43" w:rsidP="003A3DBB">
      <w:pPr>
        <w:spacing w:before="0"/>
        <w:rPr>
          <w:rFonts w:eastAsia="Times New Roman"/>
          <w:noProof/>
          <w:lang w:val="en-US"/>
        </w:rPr>
      </w:pPr>
      <w:r w:rsidRPr="003A7E34">
        <w:rPr>
          <w:rFonts w:eastAsia="Times New Roman"/>
          <w:noProof/>
          <w:lang w:val="en-US"/>
        </w:rPr>
        <w:t>It is planned to involve the Commission on the iterative basis</w:t>
      </w:r>
      <w:r w:rsidR="00C656A2" w:rsidRPr="003A7E34">
        <w:rPr>
          <w:rFonts w:eastAsia="Times New Roman"/>
          <w:noProof/>
          <w:lang w:val="en-US"/>
        </w:rPr>
        <w:t xml:space="preserve"> according the national Lithuania’s needs</w:t>
      </w:r>
      <w:r w:rsidRPr="003A7E34">
        <w:rPr>
          <w:rFonts w:eastAsia="Times New Roman"/>
          <w:noProof/>
          <w:lang w:val="en-US"/>
        </w:rPr>
        <w:t>.</w:t>
      </w:r>
    </w:p>
    <w:p w14:paraId="3F86CAF5" w14:textId="5E3F16EF" w:rsidR="00E61446" w:rsidRPr="003A7E34" w:rsidRDefault="00E61446" w:rsidP="00C42AAE">
      <w:pPr>
        <w:pStyle w:val="Heading2"/>
        <w:numPr>
          <w:ilvl w:val="1"/>
          <w:numId w:val="11"/>
        </w:numPr>
        <w:spacing w:before="0" w:after="120"/>
        <w:rPr>
          <w:rFonts w:cs="Times New Roman"/>
          <w:noProof/>
          <w:lang w:val="en-US"/>
        </w:rPr>
      </w:pPr>
      <w:bookmarkStart w:id="19" w:name="_Toc530405559"/>
      <w:bookmarkStart w:id="20" w:name="_Toc530411790"/>
      <w:bookmarkStart w:id="21" w:name="_Toc530414139"/>
      <w:r w:rsidRPr="003A7E34">
        <w:rPr>
          <w:rFonts w:eastAsia="Times New Roman" w:cs="Times New Roman"/>
          <w:noProof/>
          <w:lang w:val="en-US"/>
        </w:rPr>
        <w:t>Regional cooperation in preparing the plan</w:t>
      </w:r>
      <w:bookmarkEnd w:id="19"/>
      <w:bookmarkEnd w:id="20"/>
      <w:bookmarkEnd w:id="21"/>
    </w:p>
    <w:p w14:paraId="3124F1F2" w14:textId="77777777" w:rsidR="00E61446" w:rsidRPr="003A7E34" w:rsidRDefault="00E61446" w:rsidP="00C42AAE">
      <w:pPr>
        <w:pStyle w:val="ListParagraph"/>
        <w:numPr>
          <w:ilvl w:val="3"/>
          <w:numId w:val="11"/>
        </w:numPr>
        <w:spacing w:after="120" w:line="240" w:lineRule="auto"/>
        <w:contextualSpacing w:val="0"/>
        <w:rPr>
          <w:rFonts w:ascii="Times New Roman" w:hAnsi="Times New Roman" w:cs="Times New Roman"/>
          <w:b/>
          <w:bCs/>
          <w:noProof/>
          <w:lang w:val="en-US"/>
        </w:rPr>
      </w:pPr>
      <w:r w:rsidRPr="003A7E34">
        <w:rPr>
          <w:rFonts w:ascii="Times New Roman" w:eastAsia="Times New Roman" w:hAnsi="Times New Roman" w:cs="Times New Roman"/>
          <w:b/>
          <w:bCs/>
          <w:noProof/>
          <w:lang w:val="en-US"/>
        </w:rPr>
        <w:t>Elements subject to joint or coordinated planning with other Member States</w:t>
      </w:r>
    </w:p>
    <w:p w14:paraId="78353DF7" w14:textId="2DDD65B5" w:rsidR="003A3DBB" w:rsidRPr="003A7E34" w:rsidRDefault="64D09C9C" w:rsidP="003A3DBB">
      <w:pPr>
        <w:spacing w:before="0"/>
        <w:rPr>
          <w:rFonts w:eastAsia="Times New Roman"/>
          <w:noProof/>
          <w:lang w:val="en-US"/>
        </w:rPr>
      </w:pPr>
      <w:r w:rsidRPr="003A7E34">
        <w:rPr>
          <w:rFonts w:eastAsia="Times New Roman"/>
          <w:noProof/>
          <w:lang w:val="en-US"/>
        </w:rPr>
        <w:t xml:space="preserve">To take place until the end of 2018, as well as in 2019. </w:t>
      </w:r>
      <w:r w:rsidR="00C656A2" w:rsidRPr="003A7E34">
        <w:rPr>
          <w:rFonts w:eastAsia="Times New Roman"/>
          <w:noProof/>
          <w:lang w:val="en-US"/>
        </w:rPr>
        <w:t xml:space="preserve">Lithuania intends to build on existing regional cooperation in the </w:t>
      </w:r>
      <w:r w:rsidR="00C656A2" w:rsidRPr="003A7E34">
        <w:rPr>
          <w:rFonts w:eastAsia="Times New Roman"/>
          <w:b/>
          <w:i/>
          <w:noProof/>
          <w:lang w:val="en-US"/>
        </w:rPr>
        <w:t>Baltic Energy Market Interconnection Plan</w:t>
      </w:r>
      <w:r w:rsidR="00C656A2" w:rsidRPr="003A7E34">
        <w:rPr>
          <w:rFonts w:eastAsia="Times New Roman"/>
          <w:noProof/>
          <w:lang w:val="en-US"/>
        </w:rPr>
        <w:t xml:space="preserve"> (BEMIP). The development of the analytical </w:t>
      </w:r>
      <w:r w:rsidR="003A3DBB" w:rsidRPr="003A7E34">
        <w:rPr>
          <w:rFonts w:eastAsia="Times New Roman"/>
          <w:noProof/>
          <w:lang w:val="en-US"/>
        </w:rPr>
        <w:t xml:space="preserve">NECP </w:t>
      </w:r>
      <w:r w:rsidR="00C656A2" w:rsidRPr="003A7E34">
        <w:rPr>
          <w:rFonts w:eastAsia="Times New Roman"/>
          <w:noProof/>
          <w:lang w:val="en-US"/>
        </w:rPr>
        <w:t xml:space="preserve">base is ongoing on the basis of the analysis prepared in 2015 for the update of National Energy Independence Strategy </w:t>
      </w:r>
      <w:r w:rsidR="003A3DBB" w:rsidRPr="003A7E34">
        <w:rPr>
          <w:rFonts w:eastAsia="Times New Roman"/>
          <w:noProof/>
          <w:lang w:val="en-US"/>
        </w:rPr>
        <w:t>which was adopte</w:t>
      </w:r>
      <w:r w:rsidR="00401CCA" w:rsidRPr="003A7E34">
        <w:rPr>
          <w:rFonts w:eastAsia="Times New Roman"/>
          <w:noProof/>
          <w:lang w:val="en-US"/>
        </w:rPr>
        <w:t>d</w:t>
      </w:r>
      <w:r w:rsidR="003A3DBB" w:rsidRPr="003A7E34">
        <w:rPr>
          <w:rFonts w:eastAsia="Times New Roman"/>
          <w:noProof/>
          <w:lang w:val="en-US"/>
        </w:rPr>
        <w:t xml:space="preserve"> in June 2018</w:t>
      </w:r>
      <w:r w:rsidR="00C656A2" w:rsidRPr="003A7E34">
        <w:rPr>
          <w:rFonts w:eastAsia="Times New Roman"/>
          <w:noProof/>
          <w:lang w:val="en-US"/>
        </w:rPr>
        <w:t xml:space="preserve">. </w:t>
      </w:r>
    </w:p>
    <w:p w14:paraId="3D68B75D" w14:textId="6A19BB59" w:rsidR="64D09C9C" w:rsidRPr="003A7E34" w:rsidRDefault="003A3DBB" w:rsidP="003A3DBB">
      <w:pPr>
        <w:rPr>
          <w:rFonts w:eastAsia="Times New Roman"/>
          <w:noProof/>
          <w:lang w:val="en-US"/>
        </w:rPr>
      </w:pPr>
      <w:r w:rsidRPr="003A7E34">
        <w:rPr>
          <w:rFonts w:eastAsia="Times New Roman"/>
          <w:noProof/>
          <w:lang w:val="en-US"/>
        </w:rPr>
        <w:t>T</w:t>
      </w:r>
      <w:r w:rsidR="00C656A2" w:rsidRPr="003A7E34">
        <w:rPr>
          <w:rFonts w:eastAsia="Times New Roman"/>
          <w:noProof/>
          <w:lang w:val="en-US"/>
        </w:rPr>
        <w:t xml:space="preserve">he </w:t>
      </w:r>
      <w:r w:rsidR="00C656A2" w:rsidRPr="003A7E34">
        <w:rPr>
          <w:rFonts w:eastAsia="Times New Roman"/>
          <w:b/>
          <w:i/>
          <w:noProof/>
          <w:lang w:val="en-US"/>
        </w:rPr>
        <w:t>Baltic Energy Technology Scenario study</w:t>
      </w:r>
      <w:r w:rsidRPr="003A7E34">
        <w:rPr>
          <w:rFonts w:eastAsia="Times New Roman"/>
          <w:b/>
          <w:i/>
          <w:noProof/>
          <w:lang w:val="en-US"/>
        </w:rPr>
        <w:t xml:space="preserve"> (BENTE)</w:t>
      </w:r>
      <w:r w:rsidR="00C656A2" w:rsidRPr="003A7E34">
        <w:rPr>
          <w:rFonts w:eastAsia="Times New Roman"/>
          <w:noProof/>
          <w:lang w:val="en-US"/>
        </w:rPr>
        <w:t xml:space="preserve"> support</w:t>
      </w:r>
      <w:r w:rsidRPr="003A7E34">
        <w:rPr>
          <w:rFonts w:eastAsia="Times New Roman"/>
          <w:noProof/>
          <w:lang w:val="en-US"/>
        </w:rPr>
        <w:t>s</w:t>
      </w:r>
      <w:r w:rsidR="00C656A2" w:rsidRPr="003A7E34">
        <w:rPr>
          <w:rFonts w:eastAsia="Times New Roman"/>
          <w:noProof/>
          <w:lang w:val="en-US"/>
        </w:rPr>
        <w:t xml:space="preserve"> the development of the NECP</w:t>
      </w:r>
      <w:r w:rsidRPr="003A7E34">
        <w:rPr>
          <w:rFonts w:eastAsia="Times New Roman"/>
          <w:noProof/>
          <w:lang w:val="en-US"/>
        </w:rPr>
        <w:t xml:space="preserve"> as well</w:t>
      </w:r>
      <w:r w:rsidR="00C656A2" w:rsidRPr="003A7E34">
        <w:rPr>
          <w:rFonts w:eastAsia="Times New Roman"/>
          <w:noProof/>
          <w:lang w:val="en-US"/>
        </w:rPr>
        <w:t>.</w:t>
      </w:r>
      <w:r w:rsidRPr="003A7E34">
        <w:rPr>
          <w:rFonts w:eastAsia="Times New Roman"/>
          <w:noProof/>
          <w:lang w:val="en-US"/>
        </w:rPr>
        <w:t xml:space="preserve"> Nordic Energy Technology Perspectives (NETP) has become a key point of reference for various subsequent analyses from Nordic governments, industry and civil society. It was a natural next step to conduct similar exercise for the Baltic countries. BENTE builds on the second edition of the report from 2016 and provides an analysis that explores the anticipated changes in the Baltic countries’ energy systems. It tries to identify what would be required for the Baltic countries to meet their climate and energy targets in 2030, and what development would lead the Baltics towards a 2-degree pathway.</w:t>
      </w:r>
    </w:p>
    <w:p w14:paraId="43C1208D" w14:textId="6CED9FB0" w:rsidR="00F12863" w:rsidRPr="003A7E34" w:rsidRDefault="00F12863" w:rsidP="00F12863">
      <w:pPr>
        <w:rPr>
          <w:rFonts w:eastAsia="Times New Roman"/>
          <w:noProof/>
        </w:rPr>
      </w:pPr>
      <w:r w:rsidRPr="003A7E34">
        <w:rPr>
          <w:rFonts w:eastAsia="Times New Roman"/>
          <w:noProof/>
        </w:rPr>
        <w:t>The issues of decarbonisation dimension of the NECPs has been disccused and to be continued to disscuss in the framework the Bal</w:t>
      </w:r>
      <w:r w:rsidR="00043196" w:rsidRPr="003A7E34">
        <w:rPr>
          <w:rFonts w:eastAsia="Times New Roman"/>
          <w:noProof/>
        </w:rPr>
        <w:t>t</w:t>
      </w:r>
      <w:r w:rsidRPr="003A7E34">
        <w:rPr>
          <w:rFonts w:eastAsia="Times New Roman"/>
          <w:noProof/>
        </w:rPr>
        <w:t>ic Environmental Ministers Council and it’s technical preparatory level in the meetings of senior official groups.</w:t>
      </w:r>
    </w:p>
    <w:p w14:paraId="23A0F8E7" w14:textId="77777777" w:rsidR="00F12863" w:rsidRPr="003A7E34" w:rsidRDefault="00F12863" w:rsidP="003A3DBB">
      <w:pPr>
        <w:rPr>
          <w:rFonts w:eastAsia="Times New Roman"/>
          <w:noProof/>
          <w:lang w:val="en-US"/>
        </w:rPr>
      </w:pPr>
    </w:p>
    <w:p w14:paraId="71629BB1" w14:textId="77777777" w:rsidR="00E61446" w:rsidRPr="003A7E34" w:rsidRDefault="00E61446" w:rsidP="00C42AAE">
      <w:pPr>
        <w:pStyle w:val="ListParagraph"/>
        <w:numPr>
          <w:ilvl w:val="3"/>
          <w:numId w:val="11"/>
        </w:numPr>
        <w:spacing w:after="120" w:line="240" w:lineRule="auto"/>
        <w:contextualSpacing w:val="0"/>
        <w:rPr>
          <w:rFonts w:ascii="Times New Roman" w:hAnsi="Times New Roman" w:cs="Times New Roman"/>
          <w:b/>
          <w:bCs/>
          <w:noProof/>
          <w:lang w:val="en-US"/>
        </w:rPr>
      </w:pPr>
      <w:r w:rsidRPr="003A7E34">
        <w:rPr>
          <w:rFonts w:ascii="Times New Roman" w:eastAsia="Times New Roman" w:hAnsi="Times New Roman" w:cs="Times New Roman"/>
          <w:b/>
          <w:bCs/>
          <w:noProof/>
          <w:lang w:val="en-US"/>
        </w:rPr>
        <w:t>Explanation of how regional cooperation is considered in the plan</w:t>
      </w:r>
    </w:p>
    <w:p w14:paraId="25A4C29A" w14:textId="287B6B88" w:rsidR="006D1DA8" w:rsidRPr="003A7E34" w:rsidRDefault="64D09C9C">
      <w:pPr>
        <w:rPr>
          <w:rFonts w:eastAsia="Times New Roman"/>
          <w:noProof/>
          <w:lang w:val="en-US"/>
        </w:rPr>
      </w:pPr>
      <w:r w:rsidRPr="003A7E34">
        <w:rPr>
          <w:rFonts w:eastAsia="Times New Roman"/>
          <w:noProof/>
          <w:lang w:val="en-US"/>
        </w:rPr>
        <w:t>There is the fact taken into account that energy systems are interconnected. Current d</w:t>
      </w:r>
      <w:r w:rsidR="00723242" w:rsidRPr="003A7E34">
        <w:rPr>
          <w:rFonts w:eastAsia="Times New Roman"/>
          <w:noProof/>
          <w:lang w:val="en-US"/>
        </w:rPr>
        <w:t>ra</w:t>
      </w:r>
      <w:r w:rsidRPr="003A7E34">
        <w:rPr>
          <w:rFonts w:eastAsia="Times New Roman"/>
          <w:noProof/>
          <w:lang w:val="en-US"/>
        </w:rPr>
        <w:t xml:space="preserve">ft version of the </w:t>
      </w:r>
      <w:r w:rsidR="00723242" w:rsidRPr="003A7E34">
        <w:rPr>
          <w:rFonts w:eastAsia="Times New Roman"/>
          <w:b/>
          <w:i/>
          <w:noProof/>
          <w:lang w:val="en-US"/>
        </w:rPr>
        <w:t>P</w:t>
      </w:r>
      <w:r w:rsidRPr="003A7E34">
        <w:rPr>
          <w:rFonts w:eastAsia="Times New Roman"/>
          <w:b/>
          <w:i/>
          <w:noProof/>
          <w:lang w:val="en-US"/>
        </w:rPr>
        <w:t>lan</w:t>
      </w:r>
      <w:r w:rsidRPr="003A7E34">
        <w:rPr>
          <w:rFonts w:eastAsia="Times New Roman"/>
          <w:noProof/>
          <w:lang w:val="en-US"/>
        </w:rPr>
        <w:t xml:space="preserve"> will be adjusted in 2019 when neighboring and other region countries NECP draft versions will be published. </w:t>
      </w:r>
    </w:p>
    <w:p w14:paraId="23B71326" w14:textId="56B0D659" w:rsidR="002A6A7C" w:rsidRPr="003A7E34" w:rsidRDefault="64D09C9C" w:rsidP="00723242">
      <w:pPr>
        <w:rPr>
          <w:rFonts w:eastAsia="Times New Roman"/>
          <w:b/>
          <w:bCs/>
          <w:noProof/>
          <w:lang w:val="en-US"/>
        </w:rPr>
      </w:pPr>
      <w:r w:rsidRPr="003A7E34">
        <w:rPr>
          <w:rFonts w:eastAsia="Times New Roman"/>
          <w:noProof/>
          <w:szCs w:val="24"/>
          <w:lang w:val="en-US"/>
        </w:rPr>
        <w:t xml:space="preserve">It will also be the stage in which regional cooperation model will be defined and set in motion. </w:t>
      </w:r>
      <w:r w:rsidR="002A6A7C" w:rsidRPr="003A7E34">
        <w:rPr>
          <w:rFonts w:eastAsia="Times New Roman"/>
          <w:b/>
          <w:bCs/>
          <w:noProof/>
          <w:lang w:val="en-US"/>
        </w:rPr>
        <w:br w:type="page"/>
      </w:r>
    </w:p>
    <w:p w14:paraId="0D4E7479" w14:textId="1BC07829" w:rsidR="00D82F7E" w:rsidRPr="003A7E34" w:rsidRDefault="002A6A7C" w:rsidP="00C42AAE">
      <w:pPr>
        <w:pStyle w:val="Heading1"/>
        <w:numPr>
          <w:ilvl w:val="0"/>
          <w:numId w:val="21"/>
        </w:numPr>
        <w:rPr>
          <w:rFonts w:cs="Times New Roman"/>
          <w:noProof/>
          <w:lang w:val="en-US"/>
        </w:rPr>
      </w:pPr>
      <w:bookmarkStart w:id="22" w:name="_Toc530405560"/>
      <w:bookmarkStart w:id="23" w:name="_Toc530411791"/>
      <w:bookmarkStart w:id="24" w:name="_Toc530414140"/>
      <w:r w:rsidRPr="003A7E34">
        <w:rPr>
          <w:rFonts w:eastAsia="Times New Roman" w:cs="Times New Roman"/>
          <w:noProof/>
          <w:lang w:val="en-US"/>
        </w:rPr>
        <w:lastRenderedPageBreak/>
        <w:t>NATIONAL OBJECTIVES AND TARGETS</w:t>
      </w:r>
      <w:bookmarkEnd w:id="22"/>
      <w:bookmarkEnd w:id="23"/>
      <w:bookmarkEnd w:id="24"/>
    </w:p>
    <w:p w14:paraId="0AAC654D" w14:textId="77777777" w:rsidR="00E97FC4" w:rsidRPr="003A7E34" w:rsidRDefault="00E97FC4" w:rsidP="00E97FC4">
      <w:pPr>
        <w:rPr>
          <w:rFonts w:eastAsia="Times New Roman"/>
          <w:lang w:val="en-US"/>
        </w:rPr>
      </w:pPr>
      <w:r w:rsidRPr="003A7E34">
        <w:rPr>
          <w:rFonts w:eastAsia="Times New Roman"/>
          <w:lang w:val="en-US"/>
        </w:rPr>
        <w:t>The strategic directions of the Lithuanian energy sector, which shall enjoy increased attention during certain periods, will be followed in implementing the outlined objectives and tasks:</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5"/>
        <w:gridCol w:w="300"/>
        <w:gridCol w:w="3437"/>
        <w:gridCol w:w="300"/>
        <w:gridCol w:w="2837"/>
      </w:tblGrid>
      <w:tr w:rsidR="003A7E34" w:rsidRPr="003A7E34" w14:paraId="12716A2D" w14:textId="77777777" w:rsidTr="0086184B">
        <w:trPr>
          <w:trHeight w:val="622"/>
        </w:trPr>
        <w:tc>
          <w:tcPr>
            <w:tcW w:w="1514" w:type="pct"/>
            <w:shd w:val="clear" w:color="auto" w:fill="B4936D" w:themeFill="accent4"/>
            <w:vAlign w:val="center"/>
          </w:tcPr>
          <w:p w14:paraId="12B6E443" w14:textId="77777777" w:rsidR="00E97FC4" w:rsidRPr="003A7E34" w:rsidRDefault="00E97FC4" w:rsidP="00274519">
            <w:pPr>
              <w:spacing w:after="0"/>
              <w:jc w:val="center"/>
              <w:rPr>
                <w:rFonts w:eastAsia="Times New Roman"/>
                <w:b/>
                <w:bCs/>
                <w:lang w:val="en-US"/>
              </w:rPr>
            </w:pPr>
            <w:r w:rsidRPr="003A7E34">
              <w:rPr>
                <w:b/>
                <w:noProof/>
                <w:lang w:val="en-US"/>
              </w:rPr>
              <mc:AlternateContent>
                <mc:Choice Requires="wps">
                  <w:drawing>
                    <wp:anchor distT="0" distB="0" distL="114300" distR="114300" simplePos="0" relativeHeight="251658240" behindDoc="0" locked="0" layoutInCell="1" allowOverlap="1" wp14:anchorId="5B4C883F" wp14:editId="5C9BE689">
                      <wp:simplePos x="0" y="0"/>
                      <wp:positionH relativeFrom="column">
                        <wp:posOffset>1261110</wp:posOffset>
                      </wp:positionH>
                      <wp:positionV relativeFrom="paragraph">
                        <wp:posOffset>-74295</wp:posOffset>
                      </wp:positionV>
                      <wp:extent cx="879475" cy="292735"/>
                      <wp:effectExtent l="19050" t="57150" r="34925" b="50165"/>
                      <wp:wrapNone/>
                      <wp:docPr id="3" name="Right Arrow 3"/>
                      <wp:cNvGraphicFramePr/>
                      <a:graphic xmlns:a="http://schemas.openxmlformats.org/drawingml/2006/main">
                        <a:graphicData uri="http://schemas.microsoft.com/office/word/2010/wordprocessingShape">
                          <wps:wsp>
                            <wps:cNvSpPr/>
                            <wps:spPr>
                              <a:xfrm>
                                <a:off x="0" y="0"/>
                                <a:ext cx="879475" cy="292735"/>
                              </a:xfrm>
                              <a:prstGeom prst="rightArrow">
                                <a:avLst/>
                              </a:prstGeom>
                              <a:ln w="28575">
                                <a:solidFill>
                                  <a:schemeClr val="accent4">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4632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99.3pt;margin-top:-5.85pt;width:69.25pt;height:2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" adj="18005" fillcolor="white [3201]" strokecolor="#5e4930 [1607]" strokeweight="2.25pt"/>
                  </w:pict>
                </mc:Fallback>
              </mc:AlternateContent>
            </w:r>
            <w:r w:rsidRPr="003A7E34">
              <w:rPr>
                <w:rFonts w:eastAsia="Times New Roman"/>
                <w:b/>
                <w:bCs/>
                <w:lang w:val="en-US"/>
              </w:rPr>
              <w:t>2020</w:t>
            </w:r>
          </w:p>
          <w:p w14:paraId="0D5F950A" w14:textId="77777777" w:rsidR="00E97FC4" w:rsidRPr="003A7E34" w:rsidRDefault="00E97FC4" w:rsidP="00274519">
            <w:pPr>
              <w:spacing w:after="0"/>
              <w:jc w:val="center"/>
              <w:rPr>
                <w:rFonts w:eastAsia="Times New Roman"/>
                <w:b/>
                <w:bCs/>
                <w:lang w:val="en-US"/>
              </w:rPr>
            </w:pPr>
            <w:r w:rsidRPr="003A7E34">
              <w:rPr>
                <w:rFonts w:eastAsia="Times New Roman"/>
                <w:b/>
                <w:bCs/>
                <w:lang w:val="en-US"/>
              </w:rPr>
              <w:t>ENERGY-SECURE STATE</w:t>
            </w:r>
          </w:p>
        </w:tc>
        <w:tc>
          <w:tcPr>
            <w:tcW w:w="152" w:type="pct"/>
            <w:vMerge w:val="restart"/>
          </w:tcPr>
          <w:p w14:paraId="26E56B0A" w14:textId="77777777" w:rsidR="00E97FC4" w:rsidRPr="003A7E34" w:rsidRDefault="00E97FC4" w:rsidP="00274519">
            <w:pPr>
              <w:spacing w:after="0"/>
              <w:jc w:val="center"/>
              <w:rPr>
                <w:rFonts w:eastAsia="Times New Roman"/>
                <w:b/>
                <w:bCs/>
                <w:lang w:val="en-US"/>
              </w:rPr>
            </w:pPr>
          </w:p>
        </w:tc>
        <w:tc>
          <w:tcPr>
            <w:tcW w:w="1743" w:type="pct"/>
            <w:shd w:val="clear" w:color="auto" w:fill="B4936D" w:themeFill="accent4"/>
            <w:vAlign w:val="center"/>
          </w:tcPr>
          <w:p w14:paraId="4A482045" w14:textId="77777777" w:rsidR="00E97FC4" w:rsidRPr="003A7E34" w:rsidDel="06BBA0AF" w:rsidRDefault="00E97FC4" w:rsidP="00274519">
            <w:pPr>
              <w:spacing w:after="0"/>
              <w:jc w:val="center"/>
              <w:rPr>
                <w:rFonts w:eastAsia="Times New Roman"/>
                <w:b/>
                <w:bCs/>
                <w:lang w:val="en-US"/>
              </w:rPr>
            </w:pPr>
            <w:r w:rsidRPr="003A7E34">
              <w:rPr>
                <w:rFonts w:eastAsia="Times New Roman"/>
                <w:b/>
                <w:bCs/>
                <w:lang w:val="en-US"/>
              </w:rPr>
              <w:t>2030</w:t>
            </w:r>
          </w:p>
          <w:p w14:paraId="4C0AD567" w14:textId="77777777" w:rsidR="00E97FC4" w:rsidRPr="003A7E34" w:rsidRDefault="00E97FC4" w:rsidP="00274519">
            <w:pPr>
              <w:spacing w:after="0"/>
              <w:jc w:val="center"/>
              <w:rPr>
                <w:rFonts w:eastAsia="Times New Roman"/>
                <w:b/>
                <w:bCs/>
                <w:lang w:val="en-US"/>
              </w:rPr>
            </w:pPr>
            <w:r w:rsidRPr="003A7E34">
              <w:rPr>
                <w:rFonts w:eastAsia="Times New Roman"/>
                <w:b/>
                <w:bCs/>
                <w:lang w:val="en-US"/>
              </w:rPr>
              <w:t xml:space="preserve">COMPETITIVE ENERGY </w:t>
            </w:r>
          </w:p>
        </w:tc>
        <w:tc>
          <w:tcPr>
            <w:tcW w:w="152" w:type="pct"/>
            <w:vMerge w:val="restart"/>
          </w:tcPr>
          <w:p w14:paraId="56A99E31" w14:textId="77777777" w:rsidR="00E97FC4" w:rsidRPr="003A7E34" w:rsidRDefault="00E97FC4" w:rsidP="00274519">
            <w:pPr>
              <w:spacing w:after="0"/>
              <w:jc w:val="center"/>
              <w:rPr>
                <w:rFonts w:eastAsia="Times New Roman"/>
                <w:b/>
                <w:bCs/>
                <w:lang w:val="en-US"/>
              </w:rPr>
            </w:pPr>
            <w:r w:rsidRPr="003A7E34">
              <w:rPr>
                <w:b/>
                <w:noProof/>
                <w:lang w:val="en-US"/>
              </w:rPr>
              <mc:AlternateContent>
                <mc:Choice Requires="wps">
                  <w:drawing>
                    <wp:anchor distT="0" distB="0" distL="114300" distR="114300" simplePos="0" relativeHeight="251658241" behindDoc="0" locked="0" layoutInCell="1" allowOverlap="1" wp14:anchorId="684F2028" wp14:editId="4B7B84A1">
                      <wp:simplePos x="0" y="0"/>
                      <wp:positionH relativeFrom="column">
                        <wp:posOffset>-526607</wp:posOffset>
                      </wp:positionH>
                      <wp:positionV relativeFrom="paragraph">
                        <wp:posOffset>86648</wp:posOffset>
                      </wp:positionV>
                      <wp:extent cx="879475" cy="292735"/>
                      <wp:effectExtent l="19050" t="57150" r="34925" b="50165"/>
                      <wp:wrapNone/>
                      <wp:docPr id="2" name="Right Arrow 6"/>
                      <wp:cNvGraphicFramePr/>
                      <a:graphic xmlns:a="http://schemas.openxmlformats.org/drawingml/2006/main">
                        <a:graphicData uri="http://schemas.microsoft.com/office/word/2010/wordprocessingShape">
                          <wps:wsp>
                            <wps:cNvSpPr/>
                            <wps:spPr>
                              <a:xfrm>
                                <a:off x="0" y="0"/>
                                <a:ext cx="879475" cy="292735"/>
                              </a:xfrm>
                              <a:prstGeom prst="rightArrow">
                                <a:avLst/>
                              </a:prstGeom>
                              <a:ln w="28575">
                                <a:solidFill>
                                  <a:schemeClr val="accent4">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E0555" id="Right Arrow 6" o:spid="_x0000_s1026" type="#_x0000_t13" style="position:absolute;margin-left:-41.45pt;margin-top:6.8pt;width:69.25pt;height:23.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" adj="18005" fillcolor="white [3201]" strokecolor="#5e4930 [1607]" strokeweight="2.25pt"/>
                  </w:pict>
                </mc:Fallback>
              </mc:AlternateContent>
            </w:r>
          </w:p>
        </w:tc>
        <w:tc>
          <w:tcPr>
            <w:tcW w:w="1439" w:type="pct"/>
            <w:shd w:val="clear" w:color="auto" w:fill="B4936D" w:themeFill="accent4"/>
            <w:vAlign w:val="center"/>
          </w:tcPr>
          <w:p w14:paraId="4426AC78" w14:textId="77777777" w:rsidR="00E97FC4" w:rsidRPr="003A7E34" w:rsidRDefault="00E97FC4" w:rsidP="00274519">
            <w:pPr>
              <w:spacing w:after="0"/>
              <w:jc w:val="center"/>
              <w:rPr>
                <w:rFonts w:eastAsia="Times New Roman"/>
                <w:b/>
                <w:bCs/>
                <w:sz w:val="4"/>
                <w:szCs w:val="4"/>
                <w:lang w:val="en-US"/>
              </w:rPr>
            </w:pPr>
          </w:p>
          <w:p w14:paraId="1AB35C4D" w14:textId="77777777" w:rsidR="00E97FC4" w:rsidRPr="003A7E34" w:rsidRDefault="00E97FC4" w:rsidP="00274519">
            <w:pPr>
              <w:spacing w:after="0"/>
              <w:jc w:val="center"/>
              <w:rPr>
                <w:rFonts w:eastAsia="Times New Roman"/>
                <w:b/>
                <w:bCs/>
                <w:lang w:val="en-US"/>
              </w:rPr>
            </w:pPr>
            <w:r w:rsidRPr="003A7E34">
              <w:rPr>
                <w:rFonts w:eastAsia="Times New Roman"/>
                <w:b/>
                <w:bCs/>
                <w:lang w:val="en-US"/>
              </w:rPr>
              <w:t>2050</w:t>
            </w:r>
          </w:p>
          <w:p w14:paraId="6DE8AE3E" w14:textId="77777777" w:rsidR="00E97FC4" w:rsidRPr="003A7E34" w:rsidRDefault="00E97FC4" w:rsidP="00274519">
            <w:pPr>
              <w:spacing w:after="0"/>
              <w:jc w:val="center"/>
              <w:rPr>
                <w:rFonts w:eastAsia="Times New Roman"/>
                <w:b/>
                <w:bCs/>
                <w:lang w:val="en-US"/>
              </w:rPr>
            </w:pPr>
            <w:r w:rsidRPr="003A7E34">
              <w:rPr>
                <w:rFonts w:eastAsia="Times New Roman"/>
                <w:b/>
                <w:bCs/>
                <w:lang w:val="en-US"/>
              </w:rPr>
              <w:t>ENERGETICALLY SUSTAINABLE AND INDEPENDENT STATE</w:t>
            </w:r>
          </w:p>
        </w:tc>
      </w:tr>
      <w:tr w:rsidR="003A7E34" w:rsidRPr="003A7E34" w14:paraId="3C062B47" w14:textId="77777777" w:rsidTr="00274519">
        <w:trPr>
          <w:trHeight w:val="2293"/>
        </w:trPr>
        <w:tc>
          <w:tcPr>
            <w:tcW w:w="1514" w:type="pct"/>
          </w:tcPr>
          <w:p w14:paraId="2402F852" w14:textId="77777777" w:rsidR="00E97FC4" w:rsidRPr="003A7E34" w:rsidRDefault="00E97FC4" w:rsidP="00274519">
            <w:pPr>
              <w:spacing w:after="0"/>
              <w:rPr>
                <w:rFonts w:eastAsia="Times New Roman"/>
                <w:b/>
                <w:bCs/>
                <w:sz w:val="20"/>
                <w:szCs w:val="20"/>
                <w:lang w:val="en-US"/>
              </w:rPr>
            </w:pPr>
            <w:r w:rsidRPr="003A7E34">
              <w:rPr>
                <w:rFonts w:eastAsia="Times New Roman"/>
                <w:b/>
                <w:bCs/>
                <w:sz w:val="20"/>
                <w:szCs w:val="20"/>
                <w:lang w:val="en-US"/>
              </w:rPr>
              <w:t>Objectives</w:t>
            </w:r>
          </w:p>
          <w:p w14:paraId="20FD2F91" w14:textId="77777777" w:rsidR="00E97FC4" w:rsidRPr="003A7E34" w:rsidRDefault="00E97FC4" w:rsidP="00C42AAE">
            <w:pPr>
              <w:numPr>
                <w:ilvl w:val="0"/>
                <w:numId w:val="14"/>
              </w:numPr>
              <w:tabs>
                <w:tab w:val="clear" w:pos="360"/>
                <w:tab w:val="num" w:pos="28"/>
              </w:tabs>
              <w:spacing w:before="0" w:after="0"/>
              <w:jc w:val="left"/>
              <w:rPr>
                <w:sz w:val="20"/>
                <w:szCs w:val="20"/>
                <w:lang w:val="en-US"/>
              </w:rPr>
            </w:pPr>
            <w:r w:rsidRPr="003A7E34">
              <w:rPr>
                <w:rFonts w:eastAsia="Times New Roman"/>
                <w:sz w:val="20"/>
                <w:szCs w:val="20"/>
                <w:lang w:val="en-US"/>
              </w:rPr>
              <w:t>Integration of the energy system in the EU energy system</w:t>
            </w:r>
          </w:p>
          <w:p w14:paraId="2C1695FC" w14:textId="77777777" w:rsidR="00E97FC4" w:rsidRPr="003A7E34" w:rsidRDefault="00E97FC4" w:rsidP="00C42AAE">
            <w:pPr>
              <w:numPr>
                <w:ilvl w:val="0"/>
                <w:numId w:val="14"/>
              </w:numPr>
              <w:spacing w:before="0" w:after="0"/>
              <w:jc w:val="left"/>
              <w:rPr>
                <w:sz w:val="20"/>
                <w:szCs w:val="20"/>
                <w:lang w:val="en-US"/>
              </w:rPr>
            </w:pPr>
            <w:r w:rsidRPr="003A7E34">
              <w:rPr>
                <w:rFonts w:eastAsia="Times New Roman"/>
                <w:sz w:val="20"/>
                <w:szCs w:val="20"/>
                <w:lang w:val="en-US"/>
              </w:rPr>
              <w:t>Improvement of energy efficiency of energy consumption</w:t>
            </w:r>
          </w:p>
          <w:p w14:paraId="7984A2E2" w14:textId="77777777" w:rsidR="00E97FC4" w:rsidRPr="003A7E34" w:rsidRDefault="00E97FC4" w:rsidP="00C42AAE">
            <w:pPr>
              <w:numPr>
                <w:ilvl w:val="0"/>
                <w:numId w:val="14"/>
              </w:numPr>
              <w:spacing w:before="0" w:after="0"/>
              <w:jc w:val="left"/>
              <w:rPr>
                <w:sz w:val="20"/>
                <w:szCs w:val="20"/>
                <w:lang w:val="en-US"/>
              </w:rPr>
            </w:pPr>
            <w:r w:rsidRPr="003A7E34">
              <w:rPr>
                <w:rFonts w:eastAsia="Times New Roman"/>
                <w:sz w:val="20"/>
                <w:szCs w:val="20"/>
                <w:lang w:val="en-US"/>
              </w:rPr>
              <w:t xml:space="preserve">Balanced and sustainable RES development </w:t>
            </w:r>
          </w:p>
          <w:p w14:paraId="7069BD19" w14:textId="77777777" w:rsidR="00E97FC4" w:rsidRPr="003A7E34" w:rsidRDefault="00E97FC4" w:rsidP="00C42AAE">
            <w:pPr>
              <w:numPr>
                <w:ilvl w:val="0"/>
                <w:numId w:val="14"/>
              </w:numPr>
              <w:spacing w:before="0" w:after="0"/>
              <w:jc w:val="left"/>
              <w:rPr>
                <w:sz w:val="20"/>
                <w:szCs w:val="20"/>
                <w:lang w:val="en-US"/>
              </w:rPr>
            </w:pPr>
            <w:r w:rsidRPr="003A7E34">
              <w:rPr>
                <w:rFonts w:eastAsia="Times New Roman"/>
                <w:sz w:val="20"/>
                <w:szCs w:val="20"/>
                <w:lang w:val="en-US"/>
              </w:rPr>
              <w:t>Optimization and modernization of energy infrastructure</w:t>
            </w:r>
          </w:p>
        </w:tc>
        <w:tc>
          <w:tcPr>
            <w:tcW w:w="152" w:type="pct"/>
            <w:vMerge/>
          </w:tcPr>
          <w:p w14:paraId="238851CF" w14:textId="77777777" w:rsidR="00E97FC4" w:rsidRPr="003A7E34" w:rsidRDefault="00E97FC4" w:rsidP="00274519">
            <w:pPr>
              <w:spacing w:after="0"/>
              <w:rPr>
                <w:lang w:val="en-US"/>
              </w:rPr>
            </w:pPr>
          </w:p>
        </w:tc>
        <w:tc>
          <w:tcPr>
            <w:tcW w:w="1743" w:type="pct"/>
          </w:tcPr>
          <w:p w14:paraId="3FB73110" w14:textId="77777777" w:rsidR="00E97FC4" w:rsidRPr="003A7E34" w:rsidRDefault="00E97FC4" w:rsidP="00274519">
            <w:pPr>
              <w:spacing w:after="0"/>
              <w:rPr>
                <w:rFonts w:eastAsia="Times New Roman"/>
                <w:b/>
                <w:bCs/>
                <w:sz w:val="20"/>
                <w:szCs w:val="20"/>
                <w:lang w:val="en-US"/>
              </w:rPr>
            </w:pPr>
            <w:r w:rsidRPr="003A7E34">
              <w:rPr>
                <w:rFonts w:eastAsia="Times New Roman"/>
                <w:b/>
                <w:bCs/>
                <w:sz w:val="20"/>
                <w:szCs w:val="20"/>
                <w:lang w:val="en-US"/>
              </w:rPr>
              <w:t>Objectives</w:t>
            </w:r>
          </w:p>
          <w:p w14:paraId="71E21BDC" w14:textId="2F22DA08" w:rsidR="00E97FC4" w:rsidRPr="003A7E34" w:rsidRDefault="00E97FC4" w:rsidP="00C42AAE">
            <w:pPr>
              <w:numPr>
                <w:ilvl w:val="0"/>
                <w:numId w:val="13"/>
              </w:numPr>
              <w:spacing w:before="0" w:after="0"/>
              <w:jc w:val="left"/>
              <w:rPr>
                <w:sz w:val="20"/>
                <w:szCs w:val="20"/>
                <w:lang w:val="en-US"/>
              </w:rPr>
            </w:pPr>
            <w:r w:rsidRPr="003A7E34">
              <w:rPr>
                <w:rFonts w:eastAsia="Times New Roman"/>
                <w:sz w:val="20"/>
                <w:szCs w:val="20"/>
                <w:lang w:val="en-US"/>
              </w:rPr>
              <w:t>Energy price in the industry sector will be the lowest in the region (compared to other Baltic, Scandinavian and Central and Eastern European countries); for citizens – a decreasing share of energy expenditure compared to average income</w:t>
            </w:r>
          </w:p>
          <w:p w14:paraId="0A53BA17" w14:textId="77777777" w:rsidR="00E97FC4" w:rsidRPr="003A7E34" w:rsidRDefault="00E97FC4" w:rsidP="00C42AAE">
            <w:pPr>
              <w:numPr>
                <w:ilvl w:val="0"/>
                <w:numId w:val="13"/>
              </w:numPr>
              <w:spacing w:before="0" w:after="0"/>
              <w:jc w:val="left"/>
              <w:rPr>
                <w:sz w:val="20"/>
                <w:szCs w:val="20"/>
                <w:lang w:val="en-US"/>
              </w:rPr>
            </w:pPr>
            <w:r w:rsidRPr="003A7E34">
              <w:rPr>
                <w:rFonts w:eastAsia="Times New Roman"/>
                <w:sz w:val="20"/>
                <w:szCs w:val="20"/>
                <w:lang w:val="en-US"/>
              </w:rPr>
              <w:t xml:space="preserve">Smooth transition from fossil-based energy sources to RES </w:t>
            </w:r>
          </w:p>
        </w:tc>
        <w:tc>
          <w:tcPr>
            <w:tcW w:w="152" w:type="pct"/>
            <w:vMerge/>
          </w:tcPr>
          <w:p w14:paraId="4916BEE0" w14:textId="77777777" w:rsidR="00E97FC4" w:rsidRPr="003A7E34" w:rsidRDefault="00E97FC4" w:rsidP="00274519">
            <w:pPr>
              <w:spacing w:after="0"/>
              <w:rPr>
                <w:lang w:val="en-US"/>
              </w:rPr>
            </w:pPr>
          </w:p>
        </w:tc>
        <w:tc>
          <w:tcPr>
            <w:tcW w:w="1439" w:type="pct"/>
          </w:tcPr>
          <w:p w14:paraId="08A56BE6" w14:textId="77777777" w:rsidR="00E97FC4" w:rsidRPr="003A7E34" w:rsidRDefault="00E97FC4" w:rsidP="00274519">
            <w:pPr>
              <w:spacing w:after="0"/>
              <w:rPr>
                <w:rFonts w:eastAsia="Times New Roman"/>
                <w:b/>
                <w:bCs/>
                <w:sz w:val="20"/>
                <w:szCs w:val="20"/>
                <w:lang w:val="en-US"/>
              </w:rPr>
            </w:pPr>
            <w:r w:rsidRPr="003A7E34">
              <w:rPr>
                <w:rFonts w:eastAsia="Times New Roman"/>
                <w:b/>
                <w:bCs/>
                <w:sz w:val="20"/>
                <w:szCs w:val="20"/>
                <w:lang w:val="en-US"/>
              </w:rPr>
              <w:t>Objectives</w:t>
            </w:r>
          </w:p>
          <w:p w14:paraId="4D2905D5" w14:textId="5384F6BF" w:rsidR="00E97FC4" w:rsidRPr="003A7E34" w:rsidRDefault="00E97FC4" w:rsidP="00C42AAE">
            <w:pPr>
              <w:pStyle w:val="ListParagraph"/>
              <w:numPr>
                <w:ilvl w:val="0"/>
                <w:numId w:val="18"/>
              </w:numPr>
              <w:spacing w:after="0" w:line="240" w:lineRule="auto"/>
              <w:ind w:left="306" w:hanging="283"/>
              <w:contextualSpacing w:val="0"/>
              <w:rPr>
                <w:rFonts w:ascii="Times New Roman" w:hAnsi="Times New Roman" w:cs="Times New Roman"/>
                <w:sz w:val="20"/>
                <w:szCs w:val="20"/>
                <w:lang w:val="en-US"/>
              </w:rPr>
            </w:pPr>
            <w:r w:rsidRPr="003A7E34">
              <w:rPr>
                <w:rFonts w:ascii="Times New Roman" w:eastAsia="Times New Roman" w:hAnsi="Times New Roman" w:cs="Times New Roman"/>
                <w:sz w:val="20"/>
                <w:szCs w:val="20"/>
                <w:lang w:val="en-US"/>
              </w:rPr>
              <w:t xml:space="preserve">80% of the country’s energy needs </w:t>
            </w:r>
            <w:r w:rsidR="00103589" w:rsidRPr="003A7E34">
              <w:rPr>
                <w:rFonts w:ascii="Times New Roman" w:eastAsia="Times New Roman" w:hAnsi="Times New Roman" w:cs="Times New Roman"/>
                <w:sz w:val="20"/>
                <w:szCs w:val="20"/>
                <w:lang w:val="en-US"/>
              </w:rPr>
              <w:t xml:space="preserve">are </w:t>
            </w:r>
            <w:r w:rsidRPr="003A7E34">
              <w:rPr>
                <w:rFonts w:ascii="Times New Roman" w:eastAsia="Times New Roman" w:hAnsi="Times New Roman" w:cs="Times New Roman"/>
                <w:sz w:val="20"/>
                <w:szCs w:val="20"/>
                <w:lang w:val="en-US"/>
              </w:rPr>
              <w:t>generated from non-polluting (zero emissions of GHG and air pollutants) sources</w:t>
            </w:r>
          </w:p>
          <w:p w14:paraId="39D1ADD2" w14:textId="77777777" w:rsidR="00E97FC4" w:rsidRPr="003A7E34" w:rsidRDefault="00E97FC4" w:rsidP="00C42AAE">
            <w:pPr>
              <w:pStyle w:val="ListParagraph"/>
              <w:numPr>
                <w:ilvl w:val="0"/>
                <w:numId w:val="18"/>
              </w:numPr>
              <w:spacing w:after="0" w:line="240" w:lineRule="auto"/>
              <w:ind w:left="306" w:hanging="283"/>
              <w:contextualSpacing w:val="0"/>
              <w:rPr>
                <w:rFonts w:ascii="Times New Roman" w:hAnsi="Times New Roman" w:cs="Times New Roman"/>
                <w:sz w:val="20"/>
                <w:szCs w:val="20"/>
                <w:lang w:val="en-US"/>
              </w:rPr>
            </w:pPr>
            <w:r w:rsidRPr="003A7E34">
              <w:rPr>
                <w:rFonts w:ascii="Times New Roman" w:eastAsia="Times New Roman" w:hAnsi="Times New Roman" w:cs="Times New Roman"/>
                <w:sz w:val="20"/>
                <w:szCs w:val="20"/>
                <w:lang w:val="en-US"/>
              </w:rPr>
              <w:t>100% of local electricity production in the country’s gross electricity consumption</w:t>
            </w:r>
          </w:p>
        </w:tc>
      </w:tr>
      <w:tr w:rsidR="00E97FC4" w:rsidRPr="003A7E34" w14:paraId="37970AF1" w14:textId="77777777" w:rsidTr="00274519">
        <w:trPr>
          <w:trHeight w:val="1215"/>
        </w:trPr>
        <w:tc>
          <w:tcPr>
            <w:tcW w:w="1514" w:type="pct"/>
          </w:tcPr>
          <w:p w14:paraId="53B72267" w14:textId="77777777" w:rsidR="00E97FC4" w:rsidRPr="003A7E34" w:rsidRDefault="00E97FC4" w:rsidP="00274519">
            <w:pPr>
              <w:spacing w:after="0"/>
              <w:rPr>
                <w:rFonts w:eastAsia="Times New Roman"/>
                <w:b/>
                <w:bCs/>
                <w:sz w:val="20"/>
                <w:szCs w:val="20"/>
                <w:lang w:val="en-US"/>
              </w:rPr>
            </w:pPr>
            <w:r w:rsidRPr="003A7E34">
              <w:rPr>
                <w:rFonts w:eastAsia="Times New Roman"/>
                <w:b/>
                <w:bCs/>
                <w:sz w:val="20"/>
                <w:szCs w:val="20"/>
                <w:lang w:val="en-US"/>
              </w:rPr>
              <w:t>Tasks</w:t>
            </w:r>
          </w:p>
          <w:p w14:paraId="33AF9A91" w14:textId="6511ECE4" w:rsidR="00E97FC4" w:rsidRPr="003A7E34" w:rsidRDefault="00E97FC4" w:rsidP="00C42AAE">
            <w:pPr>
              <w:numPr>
                <w:ilvl w:val="0"/>
                <w:numId w:val="17"/>
              </w:numPr>
              <w:spacing w:before="0" w:after="0"/>
              <w:jc w:val="left"/>
              <w:rPr>
                <w:sz w:val="20"/>
                <w:szCs w:val="20"/>
                <w:lang w:val="en-US"/>
              </w:rPr>
            </w:pPr>
            <w:r w:rsidRPr="003A7E34">
              <w:rPr>
                <w:rFonts w:eastAsia="Times New Roman"/>
                <w:sz w:val="20"/>
                <w:szCs w:val="20"/>
                <w:lang w:val="en-US"/>
              </w:rPr>
              <w:t>Synchronization of the Lithuanian energy system with the energy system of continental Europe</w:t>
            </w:r>
          </w:p>
          <w:p w14:paraId="72C97BA6" w14:textId="77777777" w:rsidR="00E97FC4" w:rsidRPr="003A7E34" w:rsidRDefault="00E97FC4" w:rsidP="00C42AAE">
            <w:pPr>
              <w:numPr>
                <w:ilvl w:val="0"/>
                <w:numId w:val="17"/>
              </w:numPr>
              <w:spacing w:before="0" w:after="0"/>
              <w:jc w:val="left"/>
              <w:rPr>
                <w:sz w:val="20"/>
                <w:szCs w:val="20"/>
                <w:lang w:val="en-US"/>
              </w:rPr>
            </w:pPr>
            <w:r w:rsidRPr="003A7E34">
              <w:rPr>
                <w:rFonts w:eastAsia="Times New Roman"/>
                <w:sz w:val="20"/>
                <w:szCs w:val="20"/>
                <w:lang w:val="en-US"/>
              </w:rPr>
              <w:t>Improvements of energy efficiency of energy consumption (targets established by the EU are implemented)</w:t>
            </w:r>
          </w:p>
          <w:p w14:paraId="36997A61" w14:textId="77777777" w:rsidR="00E97FC4" w:rsidRPr="003A7E34" w:rsidRDefault="00E97FC4" w:rsidP="00C42AAE">
            <w:pPr>
              <w:numPr>
                <w:ilvl w:val="0"/>
                <w:numId w:val="17"/>
              </w:numPr>
              <w:spacing w:before="0" w:after="0"/>
              <w:jc w:val="left"/>
              <w:rPr>
                <w:sz w:val="20"/>
                <w:szCs w:val="20"/>
                <w:lang w:val="en-US"/>
              </w:rPr>
            </w:pPr>
            <w:r w:rsidRPr="003A7E34">
              <w:rPr>
                <w:rFonts w:eastAsia="Times New Roman"/>
                <w:sz w:val="20"/>
                <w:szCs w:val="20"/>
                <w:lang w:val="en-US"/>
              </w:rPr>
              <w:t xml:space="preserve">RES development – focus on development of prosumers and biomass and wind energy, use of RES for the production of district heating and household heating </w:t>
            </w:r>
          </w:p>
          <w:p w14:paraId="38F8A472" w14:textId="77777777" w:rsidR="00E97FC4" w:rsidRPr="003A7E34" w:rsidRDefault="00E97FC4" w:rsidP="00C42AAE">
            <w:pPr>
              <w:numPr>
                <w:ilvl w:val="0"/>
                <w:numId w:val="17"/>
              </w:numPr>
              <w:spacing w:before="0" w:after="0"/>
              <w:jc w:val="left"/>
              <w:rPr>
                <w:sz w:val="20"/>
                <w:szCs w:val="20"/>
                <w:lang w:val="en-US"/>
              </w:rPr>
            </w:pPr>
            <w:r w:rsidRPr="003A7E34">
              <w:rPr>
                <w:rFonts w:eastAsia="Times New Roman"/>
                <w:sz w:val="20"/>
                <w:szCs w:val="20"/>
                <w:lang w:val="en-US"/>
              </w:rPr>
              <w:t>Construction of interconnections (GIPL) and decision on the long-term LNG imports to Lithuania</w:t>
            </w:r>
          </w:p>
          <w:p w14:paraId="35C96EA6" w14:textId="77777777" w:rsidR="00E97FC4" w:rsidRPr="003A7E34" w:rsidRDefault="00E97FC4" w:rsidP="00C42AAE">
            <w:pPr>
              <w:numPr>
                <w:ilvl w:val="0"/>
                <w:numId w:val="17"/>
              </w:numPr>
              <w:spacing w:before="0" w:after="0"/>
              <w:jc w:val="left"/>
              <w:rPr>
                <w:sz w:val="20"/>
                <w:szCs w:val="20"/>
                <w:lang w:val="en-US"/>
              </w:rPr>
            </w:pPr>
            <w:r w:rsidRPr="003A7E34">
              <w:rPr>
                <w:rFonts w:eastAsia="Times New Roman"/>
                <w:sz w:val="20"/>
                <w:szCs w:val="20"/>
                <w:lang w:val="en-US"/>
              </w:rPr>
              <w:t>Ensuring balanced local capacities in production, reservation and balancing; following a cost-benefit analysis, the development of Kruonis Pumped Storage Power Plant</w:t>
            </w:r>
          </w:p>
        </w:tc>
        <w:tc>
          <w:tcPr>
            <w:tcW w:w="152" w:type="pct"/>
            <w:vMerge/>
          </w:tcPr>
          <w:p w14:paraId="0BA6A9DA" w14:textId="77777777" w:rsidR="00E97FC4" w:rsidRPr="003A7E34" w:rsidRDefault="00E97FC4" w:rsidP="00274519">
            <w:pPr>
              <w:spacing w:after="0"/>
              <w:rPr>
                <w:lang w:val="en-US"/>
              </w:rPr>
            </w:pPr>
          </w:p>
        </w:tc>
        <w:tc>
          <w:tcPr>
            <w:tcW w:w="1743" w:type="pct"/>
          </w:tcPr>
          <w:p w14:paraId="13CED7FB" w14:textId="77777777" w:rsidR="00E97FC4" w:rsidRPr="003A7E34" w:rsidRDefault="00E97FC4" w:rsidP="00274519">
            <w:pPr>
              <w:spacing w:after="0"/>
              <w:rPr>
                <w:rFonts w:eastAsia="Times New Roman"/>
                <w:b/>
                <w:bCs/>
                <w:sz w:val="20"/>
                <w:szCs w:val="20"/>
                <w:lang w:val="en-US"/>
              </w:rPr>
            </w:pPr>
            <w:r w:rsidRPr="003A7E34">
              <w:rPr>
                <w:rFonts w:eastAsia="Times New Roman"/>
                <w:b/>
                <w:bCs/>
                <w:sz w:val="20"/>
                <w:szCs w:val="20"/>
                <w:lang w:val="en-US"/>
              </w:rPr>
              <w:t>Tasks</w:t>
            </w:r>
          </w:p>
          <w:p w14:paraId="01406C1D" w14:textId="18C1571E" w:rsidR="00E97FC4" w:rsidRPr="003A7E34" w:rsidRDefault="00E97FC4" w:rsidP="00C42AAE">
            <w:pPr>
              <w:numPr>
                <w:ilvl w:val="0"/>
                <w:numId w:val="15"/>
              </w:numPr>
              <w:spacing w:before="0" w:after="0"/>
              <w:jc w:val="left"/>
              <w:rPr>
                <w:sz w:val="20"/>
                <w:szCs w:val="20"/>
                <w:lang w:val="en-US"/>
              </w:rPr>
            </w:pPr>
            <w:r w:rsidRPr="003A7E34">
              <w:rPr>
                <w:rFonts w:eastAsia="Times New Roman"/>
                <w:sz w:val="20"/>
                <w:szCs w:val="20"/>
                <w:lang w:val="en-US"/>
              </w:rPr>
              <w:t>Improvement</w:t>
            </w:r>
            <w:r w:rsidR="00920875" w:rsidRPr="003A7E34">
              <w:rPr>
                <w:rFonts w:eastAsia="Times New Roman"/>
                <w:sz w:val="20"/>
                <w:szCs w:val="20"/>
                <w:lang w:val="en-US"/>
              </w:rPr>
              <w:t xml:space="preserve"> </w:t>
            </w:r>
            <w:r w:rsidRPr="003A7E34">
              <w:rPr>
                <w:rFonts w:eastAsia="Times New Roman"/>
                <w:sz w:val="20"/>
                <w:szCs w:val="20"/>
                <w:lang w:val="en-US"/>
              </w:rPr>
              <w:t xml:space="preserve">of energy efficiency of energy consumption (energy intensity will not exceed the EU average) </w:t>
            </w:r>
          </w:p>
          <w:p w14:paraId="1F80434B" w14:textId="77777777" w:rsidR="00E97FC4" w:rsidRPr="003A7E34" w:rsidRDefault="00E97FC4" w:rsidP="00C42AAE">
            <w:pPr>
              <w:numPr>
                <w:ilvl w:val="0"/>
                <w:numId w:val="15"/>
              </w:numPr>
              <w:spacing w:before="0" w:after="0"/>
              <w:jc w:val="left"/>
              <w:rPr>
                <w:sz w:val="20"/>
                <w:szCs w:val="20"/>
                <w:lang w:val="en-US"/>
              </w:rPr>
            </w:pPr>
            <w:r w:rsidRPr="003A7E34">
              <w:rPr>
                <w:rFonts w:eastAsia="Times New Roman"/>
                <w:sz w:val="20"/>
                <w:szCs w:val="20"/>
                <w:lang w:val="en-US"/>
              </w:rPr>
              <w:t xml:space="preserve">RES development – focus on development of prosumers and wind energy as well as further use of RES for the production of district heating by installing effective biomass cogeneration plants and for household heating </w:t>
            </w:r>
          </w:p>
          <w:p w14:paraId="16A254EA" w14:textId="77777777" w:rsidR="00E97FC4" w:rsidRPr="003A7E34" w:rsidRDefault="00E97FC4" w:rsidP="00C42AAE">
            <w:pPr>
              <w:numPr>
                <w:ilvl w:val="0"/>
                <w:numId w:val="15"/>
              </w:numPr>
              <w:spacing w:before="0" w:after="0"/>
              <w:jc w:val="left"/>
              <w:rPr>
                <w:sz w:val="20"/>
                <w:szCs w:val="20"/>
                <w:lang w:val="en-US"/>
              </w:rPr>
            </w:pPr>
            <w:r w:rsidRPr="003A7E34">
              <w:rPr>
                <w:rFonts w:eastAsia="Times New Roman"/>
                <w:sz w:val="20"/>
                <w:szCs w:val="20"/>
                <w:lang w:val="en-US"/>
              </w:rPr>
              <w:t>Use of alternative fuels in the transport sector and its electrification</w:t>
            </w:r>
          </w:p>
          <w:p w14:paraId="6CA04A9E" w14:textId="77777777" w:rsidR="00E97FC4" w:rsidRPr="003A7E34" w:rsidRDefault="00E97FC4" w:rsidP="00C42AAE">
            <w:pPr>
              <w:numPr>
                <w:ilvl w:val="0"/>
                <w:numId w:val="15"/>
              </w:numPr>
              <w:spacing w:before="0" w:after="0"/>
              <w:jc w:val="left"/>
              <w:rPr>
                <w:sz w:val="20"/>
                <w:szCs w:val="20"/>
                <w:lang w:val="en-US"/>
              </w:rPr>
            </w:pPr>
            <w:r w:rsidRPr="003A7E34">
              <w:rPr>
                <w:rFonts w:eastAsia="Times New Roman"/>
                <w:sz w:val="20"/>
                <w:szCs w:val="20"/>
                <w:lang w:val="en-US"/>
              </w:rPr>
              <w:t>Establishment of necessary conditions for the development of non-polluting energy production methods. Development of small and flexible local energy generation units</w:t>
            </w:r>
          </w:p>
        </w:tc>
        <w:tc>
          <w:tcPr>
            <w:tcW w:w="152" w:type="pct"/>
            <w:vMerge/>
          </w:tcPr>
          <w:p w14:paraId="5C5B7B08" w14:textId="77777777" w:rsidR="00E97FC4" w:rsidRPr="003A7E34" w:rsidRDefault="00E97FC4" w:rsidP="00274519">
            <w:pPr>
              <w:spacing w:after="0"/>
              <w:rPr>
                <w:lang w:val="en-US"/>
              </w:rPr>
            </w:pPr>
          </w:p>
        </w:tc>
        <w:tc>
          <w:tcPr>
            <w:tcW w:w="1439" w:type="pct"/>
          </w:tcPr>
          <w:p w14:paraId="3C8BCC3B" w14:textId="77777777" w:rsidR="00E97FC4" w:rsidRPr="003A7E34" w:rsidRDefault="00E97FC4" w:rsidP="00274519">
            <w:pPr>
              <w:spacing w:after="0"/>
              <w:rPr>
                <w:rFonts w:eastAsia="Times New Roman"/>
                <w:b/>
                <w:bCs/>
                <w:sz w:val="20"/>
                <w:szCs w:val="20"/>
                <w:lang w:val="en-US"/>
              </w:rPr>
            </w:pPr>
            <w:r w:rsidRPr="003A7E34">
              <w:rPr>
                <w:rFonts w:eastAsia="Times New Roman"/>
                <w:b/>
                <w:bCs/>
                <w:sz w:val="20"/>
                <w:szCs w:val="20"/>
                <w:lang w:val="en-US"/>
              </w:rPr>
              <w:t>Tasks</w:t>
            </w:r>
          </w:p>
          <w:p w14:paraId="5A26C39B" w14:textId="77777777" w:rsidR="00E97FC4" w:rsidRPr="003A7E34" w:rsidRDefault="00E97FC4" w:rsidP="00C42AAE">
            <w:pPr>
              <w:pStyle w:val="ListParagraph"/>
              <w:numPr>
                <w:ilvl w:val="0"/>
                <w:numId w:val="16"/>
              </w:numPr>
              <w:spacing w:after="0" w:line="240" w:lineRule="auto"/>
              <w:contextualSpacing w:val="0"/>
              <w:rPr>
                <w:rFonts w:ascii="Times New Roman" w:hAnsi="Times New Roman" w:cs="Times New Roman"/>
                <w:sz w:val="20"/>
                <w:szCs w:val="20"/>
                <w:lang w:val="en-US"/>
              </w:rPr>
            </w:pPr>
            <w:r w:rsidRPr="003A7E34">
              <w:rPr>
                <w:rFonts w:ascii="Times New Roman" w:eastAsia="Times New Roman" w:hAnsi="Times New Roman" w:cs="Times New Roman"/>
                <w:sz w:val="20"/>
                <w:szCs w:val="20"/>
                <w:lang w:val="en-US"/>
              </w:rPr>
              <w:t>Completion of necessary conditions for the development of non-polluting energy production methods</w:t>
            </w:r>
          </w:p>
          <w:p w14:paraId="1C2AF8C9" w14:textId="77777777" w:rsidR="00E97FC4" w:rsidRPr="003A7E34" w:rsidRDefault="00E97FC4" w:rsidP="00C42AAE">
            <w:pPr>
              <w:pStyle w:val="ListParagraph"/>
              <w:numPr>
                <w:ilvl w:val="0"/>
                <w:numId w:val="16"/>
              </w:numPr>
              <w:spacing w:after="0" w:line="240" w:lineRule="auto"/>
              <w:contextualSpacing w:val="0"/>
              <w:rPr>
                <w:rFonts w:ascii="Times New Roman" w:hAnsi="Times New Roman" w:cs="Times New Roman"/>
                <w:sz w:val="20"/>
                <w:szCs w:val="20"/>
                <w:lang w:val="en-US"/>
              </w:rPr>
            </w:pPr>
            <w:r w:rsidRPr="003A7E34">
              <w:rPr>
                <w:rFonts w:ascii="Times New Roman" w:eastAsia="Times New Roman" w:hAnsi="Times New Roman" w:cs="Times New Roman"/>
                <w:sz w:val="20"/>
                <w:szCs w:val="20"/>
                <w:lang w:val="en-US"/>
              </w:rPr>
              <w:t>Development of effective and non-polluting energy production, supply, storage/accumulation, and consumption technologies</w:t>
            </w:r>
          </w:p>
        </w:tc>
      </w:tr>
    </w:tbl>
    <w:p w14:paraId="68EF992D" w14:textId="77777777" w:rsidR="0020368A" w:rsidRPr="003A7E34" w:rsidRDefault="0020368A" w:rsidP="0020368A">
      <w:pPr>
        <w:rPr>
          <w:noProof/>
          <w:lang w:val="en-US"/>
        </w:rPr>
      </w:pPr>
    </w:p>
    <w:p w14:paraId="4178C062" w14:textId="103F56BF" w:rsidR="0020368A" w:rsidRPr="003A7E34" w:rsidRDefault="0020368A" w:rsidP="0020368A">
      <w:pPr>
        <w:pStyle w:val="Heading2"/>
        <w:numPr>
          <w:ilvl w:val="1"/>
          <w:numId w:val="21"/>
        </w:numPr>
        <w:rPr>
          <w:rFonts w:eastAsia="Times New Roman" w:cs="Times New Roman"/>
          <w:noProof/>
          <w:lang w:val="en-US"/>
        </w:rPr>
      </w:pPr>
      <w:bookmarkStart w:id="25" w:name="_Toc530405561"/>
      <w:bookmarkStart w:id="26" w:name="_Toc530411792"/>
      <w:bookmarkStart w:id="27" w:name="_Toc530414141"/>
      <w:r w:rsidRPr="003A7E34">
        <w:rPr>
          <w:rFonts w:eastAsia="Times New Roman" w:cs="Times New Roman"/>
          <w:noProof/>
          <w:lang w:val="en-US"/>
        </w:rPr>
        <w:t>Dimension decarbonisation</w:t>
      </w:r>
      <w:bookmarkEnd w:id="25"/>
      <w:bookmarkEnd w:id="26"/>
      <w:bookmarkEnd w:id="27"/>
    </w:p>
    <w:p w14:paraId="5A7D0EC4" w14:textId="77777777" w:rsidR="00E97FC4" w:rsidRPr="003A7E34" w:rsidRDefault="00E97FC4" w:rsidP="00E97FC4">
      <w:pPr>
        <w:rPr>
          <w:lang w:val="en-US"/>
        </w:rPr>
      </w:pPr>
    </w:p>
    <w:p w14:paraId="1AB89AB8" w14:textId="25AD5364" w:rsidR="00734696" w:rsidRPr="003A7E34" w:rsidRDefault="00F83CFC" w:rsidP="00C42AAE">
      <w:pPr>
        <w:pStyle w:val="ListParagraph"/>
        <w:numPr>
          <w:ilvl w:val="2"/>
          <w:numId w:val="21"/>
        </w:numPr>
        <w:rPr>
          <w:rFonts w:ascii="Times New Roman" w:hAnsi="Times New Roman" w:cs="Times New Roman"/>
          <w:b/>
          <w:bCs/>
          <w:noProof/>
          <w:lang w:val="en-US"/>
        </w:rPr>
      </w:pPr>
      <w:bookmarkStart w:id="28" w:name="_Toc530405562"/>
      <w:bookmarkStart w:id="29" w:name="_Toc530411793"/>
      <w:bookmarkStart w:id="30" w:name="_Toc530414142"/>
      <w:r w:rsidRPr="003A7E34">
        <w:rPr>
          <w:rStyle w:val="Heading3Char"/>
          <w:rFonts w:cs="Times New Roman"/>
          <w:lang w:val="en-US"/>
        </w:rPr>
        <w:lastRenderedPageBreak/>
        <w:t>GHG emissions and removals</w:t>
      </w:r>
      <w:bookmarkEnd w:id="28"/>
      <w:bookmarkEnd w:id="29"/>
      <w:bookmarkEnd w:id="30"/>
      <w:r w:rsidRPr="003A7E34">
        <w:rPr>
          <w:rFonts w:ascii="Times New Roman" w:eastAsia="Times New Roman" w:hAnsi="Times New Roman" w:cs="Times New Roman"/>
          <w:noProof/>
          <w:vertAlign w:val="superscript"/>
          <w:lang w:val="en-US"/>
        </w:rPr>
        <w:footnoteReference w:id="6"/>
      </w:r>
    </w:p>
    <w:p w14:paraId="6FD8BA1E" w14:textId="79C87400" w:rsidR="00F83CFC" w:rsidRPr="003A7E34" w:rsidRDefault="00AD2C74" w:rsidP="00C42AAE">
      <w:pPr>
        <w:pStyle w:val="ListParagraph"/>
        <w:numPr>
          <w:ilvl w:val="3"/>
          <w:numId w:val="21"/>
        </w:numPr>
        <w:spacing w:line="240" w:lineRule="auto"/>
        <w:ind w:left="1560" w:hanging="284"/>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The </w:t>
      </w:r>
      <w:r w:rsidRPr="003A7E34">
        <w:rPr>
          <w:rFonts w:ascii="Times New Roman" w:eastAsia="Times New Roman" w:hAnsi="Times New Roman" w:cs="Times New Roman"/>
          <w:b/>
          <w:bCs/>
          <w:i/>
          <w:iCs/>
          <w:noProof/>
          <w:lang w:val="en-US"/>
        </w:rPr>
        <w:t>elements set out in point (a)(1) of Article 4</w:t>
      </w:r>
      <w:r w:rsidR="00F83CFC" w:rsidRPr="003A7E34">
        <w:rPr>
          <w:rFonts w:ascii="Times New Roman" w:eastAsia="Times New Roman" w:hAnsi="Times New Roman" w:cs="Times New Roman"/>
          <w:noProof/>
          <w:lang w:val="en-US"/>
        </w:rPr>
        <w:t xml:space="preserve"> </w:t>
      </w:r>
    </w:p>
    <w:p w14:paraId="51FC8AD0" w14:textId="50922206" w:rsidR="006E58DE" w:rsidRPr="003A7E34" w:rsidRDefault="006E58DE">
      <w:pPr>
        <w:rPr>
          <w:rFonts w:eastAsia="Times New Roman"/>
          <w:lang w:val="en-US"/>
        </w:rPr>
      </w:pPr>
    </w:p>
    <w:p w14:paraId="798F7C16" w14:textId="77777777" w:rsidR="00F12863" w:rsidRPr="003A7E34" w:rsidRDefault="002D6824" w:rsidP="4EA93846">
      <w:pPr>
        <w:spacing w:before="0"/>
        <w:rPr>
          <w:rFonts w:eastAsia="Times New Roman"/>
          <w:noProof/>
        </w:rPr>
      </w:pPr>
      <w:r w:rsidRPr="003A7E34">
        <w:rPr>
          <w:noProof/>
          <w:lang w:val="en-US"/>
        </w:rPr>
        <w:drawing>
          <wp:anchor distT="0" distB="0" distL="114300" distR="114300" simplePos="0" relativeHeight="251658243" behindDoc="0" locked="0" layoutInCell="1" allowOverlap="1" wp14:anchorId="0D44D2C3" wp14:editId="308BE694">
            <wp:simplePos x="0" y="0"/>
            <wp:positionH relativeFrom="margin">
              <wp:posOffset>62865</wp:posOffset>
            </wp:positionH>
            <wp:positionV relativeFrom="margin">
              <wp:posOffset>729615</wp:posOffset>
            </wp:positionV>
            <wp:extent cx="3209925" cy="2126615"/>
            <wp:effectExtent l="0" t="0" r="9525" b="6985"/>
            <wp:wrapSquare wrapText="bothSides"/>
            <wp:docPr id="15858680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9925" cy="2126615"/>
                    </a:xfrm>
                    <a:prstGeom prst="rect">
                      <a:avLst/>
                    </a:prstGeom>
                  </pic:spPr>
                </pic:pic>
              </a:graphicData>
            </a:graphic>
            <wp14:sizeRelH relativeFrom="margin">
              <wp14:pctWidth>0</wp14:pctWidth>
            </wp14:sizeRelH>
            <wp14:sizeRelV relativeFrom="margin">
              <wp14:pctHeight>0</wp14:pctHeight>
            </wp14:sizeRelV>
          </wp:anchor>
        </w:drawing>
      </w:r>
      <w:r w:rsidR="00AA4D1D" w:rsidRPr="003A7E34">
        <w:rPr>
          <w:rFonts w:eastAsia="Times New Roman"/>
          <w:lang w:val="en-US"/>
        </w:rPr>
        <w:t>Lithuania</w:t>
      </w:r>
      <w:r w:rsidR="00086AEB" w:rsidRPr="003A7E34">
        <w:rPr>
          <w:rFonts w:eastAsia="Times New Roman"/>
          <w:lang w:val="en-US"/>
        </w:rPr>
        <w:t xml:space="preserve"> signed and ratified the Paris Agreement in 2016. Under the Paris </w:t>
      </w:r>
      <w:r w:rsidR="00103589" w:rsidRPr="003A7E34">
        <w:rPr>
          <w:rFonts w:eastAsia="Times New Roman"/>
          <w:lang w:val="en-US"/>
        </w:rPr>
        <w:t xml:space="preserve">Agreement, Lithuania, jointly with the EU and its Member States, made a binding commitment to meet the target of at least a 40% domestic reduction in economy-wide GHG emissions by 2030 compared to 1990. Lithuania’s stationary installations (around 90 installations) and 1 aircraft operator, jointly with the EU Member States operators participating in the EU ETS, will deliver a reduction of GHG emissions by 43% compared to 2005 levels. Lithuania’s binding national 2030 target for GHG emissions reduction in the non-ETS sectors is 9% compared to 2005, whereas the annual binding limits will be set under Efforts Sharing Regulation. </w:t>
      </w:r>
      <w:r w:rsidR="4EA93846" w:rsidRPr="003A7E34">
        <w:rPr>
          <w:rFonts w:eastAsia="Times New Roman"/>
          <w:noProof/>
          <w:lang w:val="en-US"/>
        </w:rPr>
        <w:t xml:space="preserve">Where applicable, other national objectives and targets consistent with </w:t>
      </w:r>
      <w:r w:rsidR="4EA93846" w:rsidRPr="003A7E34">
        <w:rPr>
          <w:rFonts w:eastAsia="Times New Roman"/>
          <w:b/>
          <w:bCs/>
          <w:i/>
          <w:iCs/>
          <w:noProof/>
          <w:lang w:val="en-US"/>
        </w:rPr>
        <w:t>the Paris Agreement and the</w:t>
      </w:r>
      <w:r w:rsidR="4EA93846" w:rsidRPr="003A7E34">
        <w:rPr>
          <w:rFonts w:eastAsia="Times New Roman"/>
          <w:noProof/>
          <w:lang w:val="en-US"/>
        </w:rPr>
        <w:t xml:space="preserve"> existing long-term strategies</w:t>
      </w:r>
      <w:r w:rsidR="00F12863" w:rsidRPr="003A7E34">
        <w:rPr>
          <w:rFonts w:eastAsia="Times New Roman"/>
          <w:noProof/>
        </w:rPr>
        <w:t xml:space="preserve"> will be set in the updated Strategy for the National Climate Change Management Policy (national long-term low carbon development strategy) to be approved by 2020. </w:t>
      </w:r>
    </w:p>
    <w:p w14:paraId="1AFEA530" w14:textId="109860E4" w:rsidR="002434DA" w:rsidRPr="003A7E34" w:rsidRDefault="00CC005D" w:rsidP="4EA93846">
      <w:pPr>
        <w:spacing w:before="0"/>
        <w:rPr>
          <w:rFonts w:eastAsia="Times New Roman"/>
          <w:noProof/>
          <w:lang w:val="en-US"/>
        </w:rPr>
      </w:pPr>
      <w:r w:rsidRPr="003A7E34">
        <w:rPr>
          <w:rFonts w:eastAsia="Times New Roman"/>
          <w:noProof/>
          <w:lang w:val="en-US"/>
        </w:rPr>
        <w:t xml:space="preserve">The </w:t>
      </w:r>
      <w:r w:rsidRPr="003A7E34">
        <w:rPr>
          <w:rFonts w:eastAsia="Times New Roman"/>
          <w:b/>
          <w:bCs/>
          <w:i/>
          <w:iCs/>
          <w:noProof/>
          <w:lang w:val="en-US"/>
        </w:rPr>
        <w:t>Strategy for the National Climate Change Management Policy</w:t>
      </w:r>
      <w:r w:rsidRPr="003A7E34">
        <w:rPr>
          <w:rFonts w:eastAsia="Times New Roman"/>
          <w:noProof/>
          <w:lang w:val="en-US"/>
        </w:rPr>
        <w:t xml:space="preserve"> by 2050</w:t>
      </w:r>
      <w:r w:rsidR="007607AA" w:rsidRPr="003A7E34">
        <w:rPr>
          <w:rStyle w:val="FootnoteReference"/>
          <w:rFonts w:eastAsia="Times New Roman"/>
          <w:noProof/>
          <w:lang w:val="en-US"/>
        </w:rPr>
        <w:footnoteReference w:id="7"/>
      </w:r>
      <w:r w:rsidRPr="003A7E34">
        <w:rPr>
          <w:rFonts w:eastAsia="Times New Roman"/>
          <w:noProof/>
          <w:lang w:val="en-US"/>
        </w:rPr>
        <w:t xml:space="preserve"> covers adaptation and mitigation policies and sets binding short-term (by 2020), indicative medium-term (by 2030 and 2040) and long-term (by 2050) climate change mitigation and adaptation goals and objectives in the following </w:t>
      </w:r>
      <w:r w:rsidR="00103589" w:rsidRPr="003A7E34">
        <w:rPr>
          <w:rFonts w:eastAsia="Times New Roman"/>
          <w:noProof/>
          <w:lang w:val="en-US"/>
        </w:rPr>
        <w:t>economy sectors of Lithuania: energy, industry, transport, agriculture, households, environmental protection and rational use of national resources (forestry, ecosystems, biodiversity, landscape), spatial planning and regional policy, health care, research and development, education and provision of information to the public, and international co-operation. The results of the measures implemented in accordance with the Inter-institutional Action plan will form the basis for the updates of the targets and objectives of the Strategy for the National Climate Change Management Policy. The Strategy is planned to be updated, in line with the approved EU legal acts on the implementation of the EU climate and energy targets till 2030 and the long term goals of the Paris Agreement, by the end of 2019.</w:t>
      </w:r>
    </w:p>
    <w:p w14:paraId="1B129C06" w14:textId="0F384A45" w:rsidR="00AA1652" w:rsidRPr="003A7E34" w:rsidRDefault="4EA93846" w:rsidP="4EA93846">
      <w:pPr>
        <w:pStyle w:val="Heading3"/>
        <w:numPr>
          <w:ilvl w:val="2"/>
          <w:numId w:val="21"/>
        </w:numPr>
        <w:spacing w:before="0" w:after="120"/>
        <w:rPr>
          <w:rFonts w:eastAsia="Calibri" w:cs="Times New Roman"/>
          <w:noProof/>
          <w:lang w:val="en-US"/>
        </w:rPr>
      </w:pPr>
      <w:bookmarkStart w:id="31" w:name="_Toc530405563"/>
      <w:bookmarkStart w:id="32" w:name="_Toc530411794"/>
      <w:bookmarkStart w:id="33" w:name="_Toc530414143"/>
      <w:r w:rsidRPr="003A7E34">
        <w:rPr>
          <w:rFonts w:eastAsia="Times New Roman" w:cs="Times New Roman"/>
          <w:noProof/>
          <w:lang w:val="en-US"/>
        </w:rPr>
        <w:t>Renewable energy</w:t>
      </w:r>
      <w:bookmarkEnd w:id="31"/>
      <w:bookmarkEnd w:id="32"/>
      <w:bookmarkEnd w:id="33"/>
    </w:p>
    <w:p w14:paraId="1F4D243F" w14:textId="0199BC64" w:rsidR="005B76CF" w:rsidRPr="003A7E34" w:rsidRDefault="4EA93846" w:rsidP="4EA93846">
      <w:pPr>
        <w:pStyle w:val="ListParagraph"/>
        <w:numPr>
          <w:ilvl w:val="3"/>
          <w:numId w:val="21"/>
        </w:numPr>
        <w:spacing w:after="120" w:line="240" w:lineRule="auto"/>
        <w:ind w:left="1560" w:hanging="284"/>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The </w:t>
      </w:r>
      <w:r w:rsidRPr="003A7E34">
        <w:rPr>
          <w:rFonts w:ascii="Times New Roman" w:eastAsia="Times New Roman" w:hAnsi="Times New Roman" w:cs="Times New Roman"/>
          <w:b/>
          <w:bCs/>
          <w:i/>
          <w:iCs/>
          <w:noProof/>
          <w:lang w:val="en-US"/>
        </w:rPr>
        <w:t>elements set out in point (a)(2) of Article 4</w:t>
      </w:r>
    </w:p>
    <w:p w14:paraId="5D3AAFC7" w14:textId="4640AAA0" w:rsidR="008D37FE" w:rsidRPr="003A7E34" w:rsidRDefault="4EA93846" w:rsidP="4EA93846">
      <w:pPr>
        <w:tabs>
          <w:tab w:val="left" w:pos="567"/>
          <w:tab w:val="left" w:pos="993"/>
        </w:tabs>
        <w:spacing w:before="0"/>
        <w:rPr>
          <w:rFonts w:eastAsia="Times New Roman"/>
          <w:lang w:val="en-US"/>
        </w:rPr>
      </w:pPr>
      <w:r w:rsidRPr="003A7E34">
        <w:rPr>
          <w:rFonts w:eastAsia="Times New Roman"/>
          <w:lang w:val="en-US"/>
        </w:rPr>
        <w:t xml:space="preserve">According to point (a)(2) of Article 4 the indicative trajectory of </w:t>
      </w:r>
      <w:r w:rsidR="00103589" w:rsidRPr="003A7E34">
        <w:rPr>
          <w:rFonts w:eastAsia="Times New Roman"/>
          <w:lang w:val="en-US"/>
        </w:rPr>
        <w:t xml:space="preserve">the </w:t>
      </w:r>
      <w:r w:rsidRPr="003A7E34">
        <w:rPr>
          <w:rFonts w:eastAsia="Times New Roman"/>
          <w:lang w:val="en-US"/>
        </w:rPr>
        <w:t xml:space="preserve">share of energy from renewable sources in </w:t>
      </w:r>
      <w:r w:rsidR="00103589" w:rsidRPr="003A7E34">
        <w:rPr>
          <w:rFonts w:eastAsia="Times New Roman"/>
          <w:lang w:val="en-US"/>
        </w:rPr>
        <w:t xml:space="preserve">the </w:t>
      </w:r>
      <w:r w:rsidRPr="003A7E34">
        <w:rPr>
          <w:rFonts w:eastAsia="Times New Roman"/>
          <w:lang w:val="en-US"/>
        </w:rPr>
        <w:t>gross final consumption of energy in 2030:</w:t>
      </w:r>
    </w:p>
    <w:p w14:paraId="0E1437E0" w14:textId="6B5776E8" w:rsidR="4EA93846" w:rsidRPr="003A7E34" w:rsidRDefault="4EA93846" w:rsidP="4EA93846">
      <w:pPr>
        <w:spacing w:before="0"/>
        <w:rPr>
          <w:rFonts w:eastAsia="Times New Roman"/>
          <w:sz w:val="20"/>
          <w:szCs w:val="20"/>
          <w:lang w:val="en-US"/>
        </w:rPr>
      </w:pPr>
      <w:r w:rsidRPr="003A7E34">
        <w:rPr>
          <w:rFonts w:eastAsia="Times New Roman"/>
          <w:b/>
          <w:bCs/>
          <w:noProof/>
          <w:sz w:val="20"/>
          <w:szCs w:val="20"/>
          <w:lang w:val="en-US"/>
        </w:rPr>
        <w:t xml:space="preserve">Table 2.1.2.1.  </w:t>
      </w:r>
      <w:r w:rsidRPr="003A7E34">
        <w:rPr>
          <w:rFonts w:eastAsia="Times New Roman"/>
          <w:sz w:val="20"/>
          <w:szCs w:val="20"/>
          <w:lang w:val="en-US"/>
        </w:rPr>
        <w:t xml:space="preserve">RES share in gross final consumption </w:t>
      </w:r>
    </w:p>
    <w:tbl>
      <w:tblPr>
        <w:tblStyle w:val="TableGrid"/>
        <w:tblW w:w="9855" w:type="dxa"/>
        <w:tblLayout w:type="fixed"/>
        <w:tblLook w:val="06A0" w:firstRow="1" w:lastRow="0" w:firstColumn="1" w:lastColumn="0" w:noHBand="1" w:noVBand="1"/>
      </w:tblPr>
      <w:tblGrid>
        <w:gridCol w:w="6275"/>
        <w:gridCol w:w="716"/>
        <w:gridCol w:w="716"/>
        <w:gridCol w:w="716"/>
        <w:gridCol w:w="716"/>
        <w:gridCol w:w="716"/>
      </w:tblGrid>
      <w:tr w:rsidR="003A7E34" w:rsidRPr="003A7E34" w14:paraId="6AEA9D52" w14:textId="77777777" w:rsidTr="4EA93846">
        <w:tc>
          <w:tcPr>
            <w:tcW w:w="6275" w:type="dxa"/>
          </w:tcPr>
          <w:p w14:paraId="734B5194" w14:textId="5D534492" w:rsidR="3333ED9C" w:rsidRPr="003A7E34" w:rsidRDefault="4EA93846" w:rsidP="4EA93846">
            <w:pPr>
              <w:spacing w:before="0" w:after="0"/>
              <w:rPr>
                <w:rFonts w:eastAsia="Times New Roman"/>
                <w:b/>
                <w:bCs/>
                <w:sz w:val="20"/>
                <w:szCs w:val="20"/>
                <w:lang w:val="en-US"/>
              </w:rPr>
            </w:pPr>
            <w:r w:rsidRPr="003A7E34">
              <w:rPr>
                <w:rFonts w:eastAsia="Times New Roman"/>
                <w:b/>
                <w:bCs/>
                <w:sz w:val="20"/>
                <w:szCs w:val="20"/>
                <w:lang w:val="en-US"/>
              </w:rPr>
              <w:t xml:space="preserve"> </w:t>
            </w:r>
          </w:p>
        </w:tc>
        <w:tc>
          <w:tcPr>
            <w:tcW w:w="716" w:type="dxa"/>
          </w:tcPr>
          <w:p w14:paraId="4282ED13" w14:textId="7EB37AB5" w:rsidR="3333ED9C" w:rsidRPr="003A7E34" w:rsidRDefault="4EA93846" w:rsidP="4EA93846">
            <w:pPr>
              <w:spacing w:before="0" w:after="0"/>
              <w:jc w:val="center"/>
              <w:rPr>
                <w:rFonts w:eastAsia="Times New Roman"/>
                <w:b/>
                <w:bCs/>
                <w:sz w:val="20"/>
                <w:szCs w:val="20"/>
                <w:lang w:val="en-US"/>
              </w:rPr>
            </w:pPr>
            <w:r w:rsidRPr="003A7E34">
              <w:rPr>
                <w:rFonts w:eastAsia="Times New Roman"/>
                <w:b/>
                <w:bCs/>
                <w:sz w:val="20"/>
                <w:szCs w:val="20"/>
                <w:lang w:val="en-US"/>
              </w:rPr>
              <w:t>2020</w:t>
            </w:r>
          </w:p>
        </w:tc>
        <w:tc>
          <w:tcPr>
            <w:tcW w:w="716" w:type="dxa"/>
          </w:tcPr>
          <w:p w14:paraId="41DB91EC" w14:textId="7B0CE8D4" w:rsidR="3333ED9C" w:rsidRPr="003A7E34" w:rsidRDefault="4EA93846" w:rsidP="4EA93846">
            <w:pPr>
              <w:spacing w:before="0" w:after="0"/>
              <w:jc w:val="center"/>
              <w:rPr>
                <w:rFonts w:eastAsia="Times New Roman"/>
                <w:b/>
                <w:bCs/>
                <w:sz w:val="20"/>
                <w:szCs w:val="20"/>
                <w:lang w:val="en-US"/>
              </w:rPr>
            </w:pPr>
            <w:r w:rsidRPr="003A7E34">
              <w:rPr>
                <w:rFonts w:eastAsia="Times New Roman"/>
                <w:b/>
                <w:bCs/>
                <w:sz w:val="20"/>
                <w:szCs w:val="20"/>
                <w:lang w:val="en-US"/>
              </w:rPr>
              <w:t>2022</w:t>
            </w:r>
          </w:p>
        </w:tc>
        <w:tc>
          <w:tcPr>
            <w:tcW w:w="716" w:type="dxa"/>
          </w:tcPr>
          <w:p w14:paraId="1B64D74A" w14:textId="0CBF08AA" w:rsidR="3333ED9C" w:rsidRPr="003A7E34" w:rsidRDefault="4EA93846" w:rsidP="4EA93846">
            <w:pPr>
              <w:spacing w:before="0" w:after="0"/>
              <w:jc w:val="center"/>
              <w:rPr>
                <w:rFonts w:eastAsia="Times New Roman"/>
                <w:b/>
                <w:bCs/>
                <w:sz w:val="20"/>
                <w:szCs w:val="20"/>
                <w:lang w:val="en-US"/>
              </w:rPr>
            </w:pPr>
            <w:r w:rsidRPr="003A7E34">
              <w:rPr>
                <w:rFonts w:eastAsia="Times New Roman"/>
                <w:b/>
                <w:bCs/>
                <w:sz w:val="20"/>
                <w:szCs w:val="20"/>
                <w:lang w:val="en-US"/>
              </w:rPr>
              <w:t>2025</w:t>
            </w:r>
          </w:p>
        </w:tc>
        <w:tc>
          <w:tcPr>
            <w:tcW w:w="716" w:type="dxa"/>
          </w:tcPr>
          <w:p w14:paraId="1215180F" w14:textId="0D210A5F" w:rsidR="3333ED9C" w:rsidRPr="003A7E34" w:rsidRDefault="4EA93846" w:rsidP="4EA93846">
            <w:pPr>
              <w:spacing w:before="0" w:after="0"/>
              <w:jc w:val="center"/>
              <w:rPr>
                <w:rFonts w:eastAsia="Times New Roman"/>
                <w:b/>
                <w:bCs/>
                <w:sz w:val="20"/>
                <w:szCs w:val="20"/>
                <w:lang w:val="en-US"/>
              </w:rPr>
            </w:pPr>
            <w:r w:rsidRPr="003A7E34">
              <w:rPr>
                <w:rFonts w:eastAsia="Times New Roman"/>
                <w:b/>
                <w:bCs/>
                <w:sz w:val="20"/>
                <w:szCs w:val="20"/>
                <w:lang w:val="en-US"/>
              </w:rPr>
              <w:t>2027</w:t>
            </w:r>
          </w:p>
        </w:tc>
        <w:tc>
          <w:tcPr>
            <w:tcW w:w="716" w:type="dxa"/>
          </w:tcPr>
          <w:p w14:paraId="5D608C07" w14:textId="0F322465" w:rsidR="3333ED9C" w:rsidRPr="003A7E34" w:rsidRDefault="4EA93846" w:rsidP="4EA93846">
            <w:pPr>
              <w:spacing w:before="0" w:after="0"/>
              <w:jc w:val="center"/>
              <w:rPr>
                <w:rFonts w:eastAsia="Times New Roman"/>
                <w:b/>
                <w:bCs/>
                <w:sz w:val="20"/>
                <w:szCs w:val="20"/>
                <w:lang w:val="en-US"/>
              </w:rPr>
            </w:pPr>
            <w:r w:rsidRPr="003A7E34">
              <w:rPr>
                <w:rFonts w:eastAsia="Times New Roman"/>
                <w:b/>
                <w:bCs/>
                <w:sz w:val="20"/>
                <w:szCs w:val="20"/>
                <w:lang w:val="en-US"/>
              </w:rPr>
              <w:t>2030</w:t>
            </w:r>
          </w:p>
        </w:tc>
      </w:tr>
      <w:tr w:rsidR="003A7E34" w:rsidRPr="003A7E34" w14:paraId="6D2A5A56" w14:textId="77777777" w:rsidTr="4EA93846">
        <w:tc>
          <w:tcPr>
            <w:tcW w:w="6275" w:type="dxa"/>
          </w:tcPr>
          <w:p w14:paraId="36A248F2" w14:textId="08AB7E05" w:rsidR="3333ED9C" w:rsidRPr="003A7E34" w:rsidRDefault="4EA93846" w:rsidP="4EA93846">
            <w:pPr>
              <w:spacing w:before="0" w:after="0"/>
              <w:rPr>
                <w:rFonts w:eastAsia="Times New Roman"/>
                <w:sz w:val="20"/>
                <w:szCs w:val="20"/>
                <w:lang w:val="en-US"/>
              </w:rPr>
            </w:pPr>
            <w:r w:rsidRPr="003A7E34">
              <w:rPr>
                <w:rFonts w:eastAsia="Times New Roman"/>
                <w:sz w:val="20"/>
                <w:szCs w:val="20"/>
                <w:lang w:val="en-US"/>
              </w:rPr>
              <w:t>RES share in gross final consumption, % (pessimistic case)</w:t>
            </w:r>
          </w:p>
        </w:tc>
        <w:tc>
          <w:tcPr>
            <w:tcW w:w="716" w:type="dxa"/>
          </w:tcPr>
          <w:p w14:paraId="39AC2C1A" w14:textId="54080CC6" w:rsidR="3333ED9C" w:rsidRPr="003A7E34" w:rsidRDefault="0185A49E" w:rsidP="0185A49E">
            <w:pPr>
              <w:spacing w:before="0" w:after="0"/>
              <w:jc w:val="center"/>
              <w:rPr>
                <w:rFonts w:eastAsia="Times New Roman"/>
                <w:sz w:val="20"/>
                <w:szCs w:val="20"/>
                <w:lang w:val="en-US"/>
              </w:rPr>
            </w:pPr>
            <w:r w:rsidRPr="003A7E34">
              <w:rPr>
                <w:rFonts w:eastAsia="Times New Roman"/>
                <w:sz w:val="20"/>
                <w:szCs w:val="20"/>
                <w:lang w:val="en-US"/>
              </w:rPr>
              <w:t>23</w:t>
            </w:r>
          </w:p>
        </w:tc>
        <w:tc>
          <w:tcPr>
            <w:tcW w:w="716" w:type="dxa"/>
          </w:tcPr>
          <w:p w14:paraId="2F72AB3E" w14:textId="6F195F46" w:rsidR="3333ED9C" w:rsidRPr="003A7E34" w:rsidRDefault="0185A49E" w:rsidP="0185A49E">
            <w:pPr>
              <w:spacing w:before="0" w:after="0"/>
              <w:jc w:val="center"/>
              <w:rPr>
                <w:rFonts w:eastAsia="Times New Roman"/>
                <w:sz w:val="20"/>
                <w:szCs w:val="20"/>
                <w:lang w:val="en-US"/>
              </w:rPr>
            </w:pPr>
            <w:r w:rsidRPr="003A7E34">
              <w:rPr>
                <w:rFonts w:eastAsia="Times New Roman"/>
                <w:sz w:val="20"/>
                <w:szCs w:val="20"/>
                <w:lang w:val="en-US"/>
              </w:rPr>
              <w:t>27</w:t>
            </w:r>
          </w:p>
        </w:tc>
        <w:tc>
          <w:tcPr>
            <w:tcW w:w="716" w:type="dxa"/>
          </w:tcPr>
          <w:p w14:paraId="63698DF9" w14:textId="759B08F5" w:rsidR="3333ED9C" w:rsidRPr="003A7E34" w:rsidRDefault="0185A49E" w:rsidP="0185A49E">
            <w:pPr>
              <w:spacing w:before="0" w:after="0"/>
              <w:jc w:val="center"/>
              <w:rPr>
                <w:rFonts w:eastAsia="Times New Roman"/>
                <w:sz w:val="20"/>
                <w:szCs w:val="20"/>
                <w:lang w:val="en-US"/>
              </w:rPr>
            </w:pPr>
            <w:r w:rsidRPr="003A7E34">
              <w:rPr>
                <w:rFonts w:eastAsia="Times New Roman"/>
                <w:sz w:val="20"/>
                <w:szCs w:val="20"/>
                <w:lang w:val="en-US"/>
              </w:rPr>
              <w:t>28</w:t>
            </w:r>
          </w:p>
        </w:tc>
        <w:tc>
          <w:tcPr>
            <w:tcW w:w="716" w:type="dxa"/>
          </w:tcPr>
          <w:p w14:paraId="41C68F03" w14:textId="50CCFB45" w:rsidR="3333ED9C" w:rsidRPr="003A7E34" w:rsidRDefault="0185A49E" w:rsidP="0185A49E">
            <w:pPr>
              <w:spacing w:before="0" w:after="0"/>
              <w:jc w:val="center"/>
              <w:rPr>
                <w:rFonts w:eastAsia="Times New Roman"/>
                <w:sz w:val="20"/>
                <w:szCs w:val="20"/>
                <w:lang w:val="en-US"/>
              </w:rPr>
            </w:pPr>
            <w:r w:rsidRPr="003A7E34">
              <w:rPr>
                <w:rFonts w:eastAsia="Times New Roman"/>
                <w:sz w:val="20"/>
                <w:szCs w:val="20"/>
                <w:lang w:val="en-US"/>
              </w:rPr>
              <w:t>38</w:t>
            </w:r>
          </w:p>
        </w:tc>
        <w:tc>
          <w:tcPr>
            <w:tcW w:w="716" w:type="dxa"/>
          </w:tcPr>
          <w:p w14:paraId="2E7EE589" w14:textId="18F7D103" w:rsidR="3333ED9C" w:rsidRPr="003A7E34" w:rsidRDefault="0185A49E" w:rsidP="0185A49E">
            <w:pPr>
              <w:spacing w:before="0" w:after="0"/>
              <w:jc w:val="center"/>
              <w:rPr>
                <w:rFonts w:eastAsia="Times New Roman"/>
                <w:sz w:val="20"/>
                <w:szCs w:val="20"/>
                <w:lang w:val="en-US"/>
              </w:rPr>
            </w:pPr>
            <w:r w:rsidRPr="003A7E34">
              <w:rPr>
                <w:rFonts w:eastAsia="Times New Roman"/>
                <w:sz w:val="20"/>
                <w:szCs w:val="20"/>
                <w:lang w:val="en-US"/>
              </w:rPr>
              <w:t>45</w:t>
            </w:r>
          </w:p>
        </w:tc>
      </w:tr>
      <w:tr w:rsidR="003A7E34" w:rsidRPr="003A7E34" w14:paraId="167DA928" w14:textId="77777777" w:rsidTr="4EA93846">
        <w:tc>
          <w:tcPr>
            <w:tcW w:w="6275" w:type="dxa"/>
          </w:tcPr>
          <w:p w14:paraId="4A74B636" w14:textId="476A92B6" w:rsidR="3333ED9C" w:rsidRPr="003A7E34" w:rsidRDefault="4EA93846" w:rsidP="4EA93846">
            <w:pPr>
              <w:spacing w:before="0" w:after="0"/>
              <w:rPr>
                <w:rFonts w:eastAsia="Times New Roman"/>
                <w:sz w:val="20"/>
                <w:szCs w:val="20"/>
                <w:lang w:val="en-US"/>
              </w:rPr>
            </w:pPr>
            <w:r w:rsidRPr="003A7E34">
              <w:rPr>
                <w:rFonts w:eastAsia="Times New Roman"/>
                <w:sz w:val="20"/>
                <w:szCs w:val="20"/>
                <w:lang w:val="en-US"/>
              </w:rPr>
              <w:t>RES share in gross final consumption, % (optimistic case)</w:t>
            </w:r>
          </w:p>
        </w:tc>
        <w:tc>
          <w:tcPr>
            <w:tcW w:w="716" w:type="dxa"/>
          </w:tcPr>
          <w:p w14:paraId="35E96C8C" w14:textId="07DAF554" w:rsidR="3333ED9C" w:rsidRPr="003A7E34" w:rsidRDefault="0185A49E" w:rsidP="0185A49E">
            <w:pPr>
              <w:spacing w:before="0" w:after="0"/>
              <w:jc w:val="center"/>
              <w:rPr>
                <w:rFonts w:eastAsia="Times New Roman"/>
                <w:sz w:val="20"/>
                <w:szCs w:val="20"/>
                <w:lang w:val="en-US"/>
              </w:rPr>
            </w:pPr>
            <w:r w:rsidRPr="003A7E34">
              <w:rPr>
                <w:rFonts w:eastAsia="Times New Roman"/>
                <w:sz w:val="20"/>
                <w:szCs w:val="20"/>
                <w:lang w:val="en-US"/>
              </w:rPr>
              <w:t>26</w:t>
            </w:r>
          </w:p>
        </w:tc>
        <w:tc>
          <w:tcPr>
            <w:tcW w:w="716" w:type="dxa"/>
          </w:tcPr>
          <w:p w14:paraId="4CE9FC24" w14:textId="2E2432A8" w:rsidR="3333ED9C" w:rsidRPr="003A7E34" w:rsidRDefault="0185A49E" w:rsidP="0185A49E">
            <w:pPr>
              <w:spacing w:before="0" w:after="0"/>
              <w:jc w:val="center"/>
              <w:rPr>
                <w:rFonts w:eastAsia="Times New Roman"/>
                <w:sz w:val="20"/>
                <w:szCs w:val="20"/>
                <w:lang w:val="en-US"/>
              </w:rPr>
            </w:pPr>
            <w:r w:rsidRPr="003A7E34">
              <w:rPr>
                <w:rFonts w:eastAsia="Times New Roman"/>
                <w:sz w:val="20"/>
                <w:szCs w:val="20"/>
                <w:lang w:val="en-US"/>
              </w:rPr>
              <w:t>33</w:t>
            </w:r>
          </w:p>
        </w:tc>
        <w:tc>
          <w:tcPr>
            <w:tcW w:w="716" w:type="dxa"/>
          </w:tcPr>
          <w:p w14:paraId="5C0A0A2B" w14:textId="64D8474E" w:rsidR="3333ED9C" w:rsidRPr="003A7E34" w:rsidRDefault="0185A49E" w:rsidP="0185A49E">
            <w:pPr>
              <w:spacing w:before="0" w:after="0"/>
              <w:jc w:val="center"/>
              <w:rPr>
                <w:rFonts w:eastAsia="Times New Roman"/>
                <w:sz w:val="20"/>
                <w:szCs w:val="20"/>
                <w:lang w:val="en-US"/>
              </w:rPr>
            </w:pPr>
            <w:r w:rsidRPr="003A7E34">
              <w:rPr>
                <w:rFonts w:eastAsia="Times New Roman"/>
                <w:sz w:val="20"/>
                <w:szCs w:val="20"/>
                <w:lang w:val="en-US"/>
              </w:rPr>
              <w:t>34</w:t>
            </w:r>
          </w:p>
        </w:tc>
        <w:tc>
          <w:tcPr>
            <w:tcW w:w="716" w:type="dxa"/>
          </w:tcPr>
          <w:p w14:paraId="6162FE01" w14:textId="1029CA6A" w:rsidR="3333ED9C" w:rsidRPr="003A7E34" w:rsidRDefault="0185A49E" w:rsidP="0185A49E">
            <w:pPr>
              <w:spacing w:before="0" w:after="0"/>
              <w:jc w:val="center"/>
              <w:rPr>
                <w:rFonts w:eastAsia="Times New Roman"/>
                <w:sz w:val="20"/>
                <w:szCs w:val="20"/>
                <w:lang w:val="en-US"/>
              </w:rPr>
            </w:pPr>
            <w:r w:rsidRPr="003A7E34">
              <w:rPr>
                <w:rFonts w:eastAsia="Times New Roman"/>
                <w:sz w:val="20"/>
                <w:szCs w:val="20"/>
                <w:lang w:val="en-US"/>
              </w:rPr>
              <w:t>39</w:t>
            </w:r>
          </w:p>
        </w:tc>
        <w:tc>
          <w:tcPr>
            <w:tcW w:w="716" w:type="dxa"/>
          </w:tcPr>
          <w:p w14:paraId="176BFB5C" w14:textId="582C407E" w:rsidR="3333ED9C" w:rsidRPr="003A7E34" w:rsidRDefault="0185A49E" w:rsidP="0185A49E">
            <w:pPr>
              <w:spacing w:before="0" w:after="0"/>
              <w:jc w:val="center"/>
              <w:rPr>
                <w:rFonts w:eastAsia="Times New Roman"/>
                <w:sz w:val="20"/>
                <w:szCs w:val="20"/>
                <w:lang w:val="en-US"/>
              </w:rPr>
            </w:pPr>
            <w:r w:rsidRPr="003A7E34">
              <w:rPr>
                <w:rFonts w:eastAsia="Times New Roman"/>
                <w:sz w:val="20"/>
                <w:szCs w:val="20"/>
                <w:lang w:val="en-US"/>
              </w:rPr>
              <w:t>45</w:t>
            </w:r>
          </w:p>
        </w:tc>
      </w:tr>
      <w:tr w:rsidR="3333ED9C" w:rsidRPr="003A7E34" w14:paraId="3861535E" w14:textId="77777777" w:rsidTr="4EA93846">
        <w:tc>
          <w:tcPr>
            <w:tcW w:w="6275" w:type="dxa"/>
          </w:tcPr>
          <w:p w14:paraId="44DFC28B" w14:textId="776E73AB" w:rsidR="3333ED9C" w:rsidRPr="003A7E34" w:rsidRDefault="4EA93846" w:rsidP="00103589">
            <w:pPr>
              <w:spacing w:before="0" w:after="0"/>
              <w:rPr>
                <w:rFonts w:eastAsia="Times New Roman"/>
                <w:sz w:val="20"/>
                <w:szCs w:val="20"/>
                <w:lang w:val="en-US"/>
              </w:rPr>
            </w:pPr>
            <w:r w:rsidRPr="003A7E34">
              <w:rPr>
                <w:rFonts w:eastAsia="Times New Roman"/>
                <w:sz w:val="20"/>
                <w:szCs w:val="20"/>
                <w:lang w:val="en-US"/>
              </w:rPr>
              <w:t xml:space="preserve">A reference point of the total increase in the share of energy from renewable sources between </w:t>
            </w:r>
            <w:r w:rsidR="00103589" w:rsidRPr="003A7E34">
              <w:rPr>
                <w:rFonts w:eastAsia="Times New Roman"/>
                <w:sz w:val="20"/>
                <w:szCs w:val="20"/>
                <w:lang w:val="en-US"/>
              </w:rPr>
              <w:t xml:space="preserve">the respective </w:t>
            </w:r>
            <w:r w:rsidRPr="003A7E34">
              <w:rPr>
                <w:rFonts w:eastAsia="Times New Roman"/>
                <w:sz w:val="20"/>
                <w:szCs w:val="20"/>
                <w:lang w:val="en-US"/>
              </w:rPr>
              <w:t>Member State's binding 2020 national target, and its contribution to the 2030 target, %</w:t>
            </w:r>
          </w:p>
        </w:tc>
        <w:tc>
          <w:tcPr>
            <w:tcW w:w="716" w:type="dxa"/>
          </w:tcPr>
          <w:p w14:paraId="56F27638" w14:textId="00E3AEA9" w:rsidR="3333ED9C" w:rsidRPr="003A7E34" w:rsidRDefault="3333ED9C" w:rsidP="006E58DE">
            <w:pPr>
              <w:spacing w:before="0" w:after="0"/>
              <w:jc w:val="center"/>
              <w:rPr>
                <w:rFonts w:eastAsia="Times New Roman"/>
                <w:sz w:val="20"/>
                <w:szCs w:val="20"/>
                <w:lang w:val="en-US"/>
              </w:rPr>
            </w:pPr>
            <w:r w:rsidRPr="003A7E34">
              <w:rPr>
                <w:rFonts w:eastAsia="Times New Roman"/>
                <w:sz w:val="20"/>
                <w:szCs w:val="20"/>
                <w:lang w:val="en-US"/>
              </w:rPr>
              <w:t xml:space="preserve"> </w:t>
            </w:r>
          </w:p>
        </w:tc>
        <w:tc>
          <w:tcPr>
            <w:tcW w:w="716" w:type="dxa"/>
          </w:tcPr>
          <w:p w14:paraId="39293760" w14:textId="413098E2" w:rsidR="3333ED9C" w:rsidRPr="003A7E34" w:rsidRDefault="3333ED9C" w:rsidP="006E58DE">
            <w:pPr>
              <w:spacing w:before="0" w:after="0"/>
              <w:jc w:val="center"/>
              <w:rPr>
                <w:rFonts w:eastAsia="Times New Roman"/>
                <w:sz w:val="20"/>
                <w:szCs w:val="20"/>
                <w:lang w:val="en-US"/>
              </w:rPr>
            </w:pPr>
            <w:r w:rsidRPr="003A7E34">
              <w:rPr>
                <w:rFonts w:eastAsia="Times New Roman"/>
                <w:sz w:val="20"/>
                <w:szCs w:val="20"/>
                <w:lang w:val="en-US"/>
              </w:rPr>
              <w:t>18</w:t>
            </w:r>
          </w:p>
        </w:tc>
        <w:tc>
          <w:tcPr>
            <w:tcW w:w="716" w:type="dxa"/>
          </w:tcPr>
          <w:p w14:paraId="4BDD1B88" w14:textId="0072B8CC" w:rsidR="3333ED9C" w:rsidRPr="003A7E34" w:rsidRDefault="3333ED9C" w:rsidP="006E58DE">
            <w:pPr>
              <w:spacing w:before="0" w:after="0"/>
              <w:jc w:val="center"/>
              <w:rPr>
                <w:rFonts w:eastAsia="Times New Roman"/>
                <w:sz w:val="20"/>
                <w:szCs w:val="20"/>
                <w:lang w:val="en-US"/>
              </w:rPr>
            </w:pPr>
            <w:r w:rsidRPr="003A7E34">
              <w:rPr>
                <w:rFonts w:eastAsia="Times New Roman"/>
                <w:sz w:val="20"/>
                <w:szCs w:val="20"/>
                <w:lang w:val="en-US"/>
              </w:rPr>
              <w:t>43</w:t>
            </w:r>
          </w:p>
        </w:tc>
        <w:tc>
          <w:tcPr>
            <w:tcW w:w="716" w:type="dxa"/>
          </w:tcPr>
          <w:p w14:paraId="6B7DA422" w14:textId="47A6987B" w:rsidR="3333ED9C" w:rsidRPr="003A7E34" w:rsidRDefault="3333ED9C" w:rsidP="006E58DE">
            <w:pPr>
              <w:spacing w:before="0" w:after="0"/>
              <w:jc w:val="center"/>
              <w:rPr>
                <w:rFonts w:eastAsia="Times New Roman"/>
                <w:sz w:val="20"/>
                <w:szCs w:val="20"/>
                <w:lang w:val="en-US"/>
              </w:rPr>
            </w:pPr>
            <w:r w:rsidRPr="003A7E34">
              <w:rPr>
                <w:rFonts w:eastAsia="Times New Roman"/>
                <w:sz w:val="20"/>
                <w:szCs w:val="20"/>
                <w:lang w:val="en-US"/>
              </w:rPr>
              <w:t>67</w:t>
            </w:r>
          </w:p>
        </w:tc>
        <w:tc>
          <w:tcPr>
            <w:tcW w:w="716" w:type="dxa"/>
          </w:tcPr>
          <w:p w14:paraId="723309BE" w14:textId="4B19D15B" w:rsidR="3333ED9C" w:rsidRPr="003A7E34" w:rsidRDefault="3333ED9C" w:rsidP="006E58DE">
            <w:pPr>
              <w:spacing w:before="0" w:after="0"/>
              <w:jc w:val="center"/>
              <w:rPr>
                <w:rFonts w:eastAsia="Times New Roman"/>
                <w:sz w:val="20"/>
                <w:szCs w:val="20"/>
                <w:lang w:val="en-US"/>
              </w:rPr>
            </w:pPr>
            <w:r w:rsidRPr="003A7E34">
              <w:rPr>
                <w:rFonts w:eastAsia="Times New Roman"/>
                <w:sz w:val="20"/>
                <w:szCs w:val="20"/>
                <w:lang w:val="en-US"/>
              </w:rPr>
              <w:t xml:space="preserve"> </w:t>
            </w:r>
          </w:p>
        </w:tc>
      </w:tr>
    </w:tbl>
    <w:p w14:paraId="3AE780FA" w14:textId="350CED54" w:rsidR="008D37FE" w:rsidRPr="003A7E34" w:rsidRDefault="008D37FE" w:rsidP="00EA50D6">
      <w:pPr>
        <w:tabs>
          <w:tab w:val="left" w:pos="567"/>
          <w:tab w:val="left" w:pos="993"/>
        </w:tabs>
        <w:spacing w:after="0"/>
        <w:rPr>
          <w:rFonts w:eastAsia="Times New Roman"/>
          <w:lang w:val="en-US"/>
        </w:rPr>
      </w:pPr>
    </w:p>
    <w:p w14:paraId="0E8051AC" w14:textId="79621F5B" w:rsidR="008D37FE" w:rsidRPr="003A7E34" w:rsidRDefault="008D37FE"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b/>
          <w:bCs/>
          <w:i/>
          <w:iCs/>
          <w:noProof/>
          <w:lang w:val="en-US"/>
        </w:rPr>
        <w:t>Estimated</w:t>
      </w:r>
      <w:r w:rsidRPr="003A7E34">
        <w:rPr>
          <w:rFonts w:ascii="Times New Roman" w:eastAsia="Times New Roman" w:hAnsi="Times New Roman" w:cs="Times New Roman"/>
          <w:noProof/>
          <w:lang w:val="en-US"/>
        </w:rPr>
        <w:t xml:space="preserve"> trajectories for the sectoral share of renewable energy in final energy consumption from 2021 to 2030 in the electricity, heating and cooling, and transport </w:t>
      </w:r>
      <w:r w:rsidR="7146CCFA" w:rsidRPr="003A7E34">
        <w:rPr>
          <w:rFonts w:ascii="Times New Roman" w:eastAsia="Times New Roman" w:hAnsi="Times New Roman" w:cs="Times New Roman"/>
          <w:noProof/>
          <w:lang w:val="en-US"/>
        </w:rPr>
        <w:t>sector</w:t>
      </w:r>
    </w:p>
    <w:p w14:paraId="4240BCBB" w14:textId="1E20874A" w:rsidR="2F641882" w:rsidRPr="003A7E34" w:rsidRDefault="2F641882">
      <w:pPr>
        <w:rPr>
          <w:rFonts w:eastAsia="Times New Roman"/>
          <w:noProof/>
          <w:lang w:val="en-US"/>
        </w:rPr>
      </w:pPr>
      <w:r w:rsidRPr="003A7E34">
        <w:rPr>
          <w:rFonts w:eastAsia="Times New Roman"/>
          <w:noProof/>
          <w:lang w:val="en-US"/>
        </w:rPr>
        <w:t xml:space="preserve">The final energy consumption of 2016 for electricity was 16.4%, DHS supply - 16.3%, and direct fuel consumption - 67.3%. In the forecast period, the growth of electricity needs in all sectors is projected to be relatively high, based on the goal </w:t>
      </w:r>
      <w:r w:rsidR="00A254B2" w:rsidRPr="003A7E34">
        <w:rPr>
          <w:rFonts w:eastAsia="Times New Roman"/>
          <w:noProof/>
          <w:lang w:val="en-US"/>
        </w:rPr>
        <w:t xml:space="preserve">to modernize </w:t>
      </w:r>
      <w:r w:rsidRPr="003A7E34">
        <w:rPr>
          <w:rFonts w:eastAsia="Times New Roman"/>
          <w:noProof/>
          <w:lang w:val="en-US"/>
        </w:rPr>
        <w:t xml:space="preserve">the country's economy and </w:t>
      </w:r>
      <w:r w:rsidR="00A254B2" w:rsidRPr="003A7E34">
        <w:rPr>
          <w:rFonts w:eastAsia="Times New Roman"/>
          <w:noProof/>
          <w:lang w:val="en-US"/>
        </w:rPr>
        <w:t xml:space="preserve">simultaneously to reduce </w:t>
      </w:r>
      <w:r w:rsidRPr="003A7E34">
        <w:rPr>
          <w:rFonts w:eastAsia="Times New Roman"/>
          <w:noProof/>
          <w:lang w:val="en-US"/>
        </w:rPr>
        <w:t>the gap between Lithuania and developed EU countries. The share of electricity in the period up to 2030 will increase to 19</w:t>
      </w:r>
      <w:r w:rsidR="00FD5F58" w:rsidRPr="003A7E34">
        <w:rPr>
          <w:rFonts w:eastAsia="Times New Roman"/>
          <w:noProof/>
          <w:lang w:val="en-US"/>
        </w:rPr>
        <w:t>.</w:t>
      </w:r>
      <w:r w:rsidRPr="003A7E34">
        <w:rPr>
          <w:rFonts w:eastAsia="Times New Roman"/>
          <w:noProof/>
          <w:lang w:val="en-US"/>
        </w:rPr>
        <w:t>8%, the share of DHS supply will decrease to 13</w:t>
      </w:r>
      <w:r w:rsidR="00FD5F58" w:rsidRPr="003A7E34">
        <w:rPr>
          <w:rFonts w:eastAsia="Times New Roman"/>
          <w:noProof/>
          <w:lang w:val="en-US"/>
        </w:rPr>
        <w:t>.</w:t>
      </w:r>
      <w:r w:rsidRPr="003A7E34">
        <w:rPr>
          <w:rFonts w:eastAsia="Times New Roman"/>
          <w:noProof/>
          <w:lang w:val="en-US"/>
        </w:rPr>
        <w:t xml:space="preserve">7%, and the share of direct consumption of fuel will </w:t>
      </w:r>
      <w:r w:rsidR="00FD5F58" w:rsidRPr="003A7E34">
        <w:rPr>
          <w:rFonts w:eastAsia="Times New Roman"/>
          <w:noProof/>
          <w:lang w:val="en-US"/>
        </w:rPr>
        <w:t xml:space="preserve">hardly </w:t>
      </w:r>
      <w:r w:rsidRPr="003A7E34">
        <w:rPr>
          <w:rFonts w:eastAsia="Times New Roman"/>
          <w:noProof/>
          <w:lang w:val="en-US"/>
        </w:rPr>
        <w:t xml:space="preserve">change and in 2030 it will </w:t>
      </w:r>
      <w:r w:rsidR="00FD5F58" w:rsidRPr="003A7E34">
        <w:rPr>
          <w:rFonts w:eastAsia="Times New Roman"/>
          <w:noProof/>
          <w:lang w:val="en-US"/>
        </w:rPr>
        <w:t>increase to</w:t>
      </w:r>
      <w:r w:rsidRPr="003A7E34">
        <w:rPr>
          <w:rFonts w:eastAsia="Times New Roman"/>
          <w:noProof/>
          <w:lang w:val="en-US"/>
        </w:rPr>
        <w:t xml:space="preserve"> 66</w:t>
      </w:r>
      <w:r w:rsidR="00FD5F58" w:rsidRPr="003A7E34">
        <w:rPr>
          <w:rFonts w:eastAsia="Times New Roman"/>
          <w:noProof/>
          <w:lang w:val="en-US"/>
        </w:rPr>
        <w:t>.</w:t>
      </w:r>
      <w:r w:rsidRPr="003A7E34">
        <w:rPr>
          <w:rFonts w:eastAsia="Times New Roman"/>
          <w:noProof/>
          <w:lang w:val="en-US"/>
        </w:rPr>
        <w:t>5%</w:t>
      </w:r>
      <w:r w:rsidR="00D871C8" w:rsidRPr="003A7E34">
        <w:rPr>
          <w:rFonts w:eastAsia="Times New Roman"/>
          <w:noProof/>
          <w:lang w:val="en-US"/>
        </w:rPr>
        <w:t xml:space="preserve"> </w:t>
      </w:r>
    </w:p>
    <w:p w14:paraId="14D9481B" w14:textId="515AA13A" w:rsidR="2F641882" w:rsidRPr="003A7E34" w:rsidRDefault="4EA93846" w:rsidP="4EA93846">
      <w:pPr>
        <w:rPr>
          <w:rFonts w:eastAsia="Times New Roman"/>
          <w:noProof/>
          <w:lang w:val="en-US"/>
        </w:rPr>
      </w:pPr>
      <w:r w:rsidRPr="003A7E34">
        <w:rPr>
          <w:rFonts w:eastAsia="Times New Roman"/>
          <w:b/>
          <w:bCs/>
          <w:i/>
          <w:iCs/>
          <w:noProof/>
          <w:lang w:val="en-US"/>
        </w:rPr>
        <w:t xml:space="preserve">Heating. </w:t>
      </w:r>
      <w:r w:rsidRPr="003A7E34">
        <w:rPr>
          <w:rFonts w:eastAsia="Times New Roman"/>
          <w:noProof/>
          <w:lang w:val="en-US"/>
        </w:rPr>
        <w:t xml:space="preserve">The share of DHS RES (including waste) will be 70% by 2020 and 90% by 2030. The development of high-efficiency solid biomass CHP plants will continue, </w:t>
      </w:r>
      <w:r w:rsidR="00FD5F58" w:rsidRPr="003A7E34">
        <w:rPr>
          <w:rFonts w:eastAsia="Times New Roman"/>
          <w:noProof/>
          <w:lang w:val="en-US"/>
        </w:rPr>
        <w:t xml:space="preserve">and both </w:t>
      </w:r>
      <w:r w:rsidRPr="003A7E34">
        <w:rPr>
          <w:rFonts w:eastAsia="Times New Roman"/>
          <w:noProof/>
          <w:lang w:val="en-US"/>
        </w:rPr>
        <w:t xml:space="preserve">non-recyclable municipal waste non-hazardous industrial waste that have </w:t>
      </w:r>
      <w:r w:rsidR="00FD5F58" w:rsidRPr="003A7E34">
        <w:rPr>
          <w:rFonts w:eastAsia="Times New Roman"/>
          <w:noProof/>
          <w:lang w:val="en-US"/>
        </w:rPr>
        <w:t xml:space="preserve">an </w:t>
      </w:r>
      <w:r w:rsidRPr="003A7E34">
        <w:rPr>
          <w:rFonts w:eastAsia="Times New Roman"/>
          <w:noProof/>
          <w:lang w:val="en-US"/>
        </w:rPr>
        <w:t>energy value will be effectively used for energy production.</w:t>
      </w:r>
    </w:p>
    <w:p w14:paraId="25691302" w14:textId="7929443D" w:rsidR="2F641882" w:rsidRPr="003A7E34" w:rsidRDefault="4EA93846" w:rsidP="4EA93846">
      <w:pPr>
        <w:rPr>
          <w:rFonts w:eastAsia="Times New Roman"/>
          <w:noProof/>
          <w:lang w:val="en-US"/>
        </w:rPr>
      </w:pPr>
      <w:r w:rsidRPr="003A7E34">
        <w:rPr>
          <w:rFonts w:eastAsia="Times New Roman"/>
          <w:noProof/>
          <w:lang w:val="en-US"/>
        </w:rPr>
        <w:t>After creating a favourable regulatory environment, households with independent heating will gradually switch to clean, zero GHG technologies and the share of RES in households will reach 70% by 2020 and 80% by 2030.</w:t>
      </w:r>
    </w:p>
    <w:p w14:paraId="62B70669" w14:textId="583D237A" w:rsidR="002D3F00" w:rsidRPr="003A7E34" w:rsidRDefault="4EA93846" w:rsidP="4EA93846">
      <w:pPr>
        <w:rPr>
          <w:rFonts w:eastAsia="Times New Roman"/>
          <w:noProof/>
          <w:lang w:val="en-US"/>
        </w:rPr>
      </w:pPr>
      <w:r w:rsidRPr="003A7E34">
        <w:rPr>
          <w:rFonts w:eastAsia="Times New Roman"/>
          <w:b/>
          <w:bCs/>
          <w:noProof/>
          <w:sz w:val="20"/>
          <w:szCs w:val="20"/>
          <w:lang w:val="en-US"/>
        </w:rPr>
        <w:t xml:space="preserve">Table 2.1.2.2. </w:t>
      </w:r>
      <w:r w:rsidRPr="003A7E34">
        <w:rPr>
          <w:rFonts w:eastAsia="Times New Roman"/>
          <w:noProof/>
          <w:sz w:val="20"/>
          <w:szCs w:val="20"/>
          <w:lang w:val="en-US"/>
        </w:rPr>
        <w:t xml:space="preserve"> RES by sectors</w:t>
      </w:r>
    </w:p>
    <w:tbl>
      <w:tblPr>
        <w:tblStyle w:val="TableGrid"/>
        <w:tblW w:w="0" w:type="auto"/>
        <w:tblLook w:val="06A0" w:firstRow="1" w:lastRow="0" w:firstColumn="1" w:lastColumn="0" w:noHBand="1" w:noVBand="1"/>
      </w:tblPr>
      <w:tblGrid>
        <w:gridCol w:w="3857"/>
        <w:gridCol w:w="1151"/>
        <w:gridCol w:w="1151"/>
        <w:gridCol w:w="1151"/>
        <w:gridCol w:w="990"/>
        <w:gridCol w:w="1308"/>
      </w:tblGrid>
      <w:tr w:rsidR="003A7E34" w:rsidRPr="003A7E34" w14:paraId="16FE05BF" w14:textId="77777777" w:rsidTr="4EA93846">
        <w:trPr>
          <w:trHeight w:val="253"/>
        </w:trPr>
        <w:tc>
          <w:tcPr>
            <w:tcW w:w="3857" w:type="dxa"/>
          </w:tcPr>
          <w:p w14:paraId="6A805250" w14:textId="595CEA81" w:rsidR="2FF9D604" w:rsidRPr="003A7E34" w:rsidRDefault="4EA93846" w:rsidP="4EA93846">
            <w:pPr>
              <w:spacing w:before="0" w:after="0"/>
              <w:rPr>
                <w:rFonts w:eastAsia="Times New Roman"/>
                <w:sz w:val="20"/>
                <w:szCs w:val="20"/>
                <w:lang w:val="en-US"/>
              </w:rPr>
            </w:pPr>
            <w:r w:rsidRPr="003A7E34">
              <w:rPr>
                <w:rFonts w:eastAsia="Times New Roman"/>
                <w:sz w:val="20"/>
                <w:szCs w:val="20"/>
                <w:lang w:val="en-US"/>
              </w:rPr>
              <w:t xml:space="preserve"> </w:t>
            </w:r>
          </w:p>
        </w:tc>
        <w:tc>
          <w:tcPr>
            <w:tcW w:w="1151" w:type="dxa"/>
          </w:tcPr>
          <w:p w14:paraId="60931F24" w14:textId="66187765" w:rsidR="2FF9D604" w:rsidRPr="003A7E34" w:rsidRDefault="4EA93846" w:rsidP="4EA93846">
            <w:pPr>
              <w:spacing w:before="0" w:after="0"/>
              <w:jc w:val="center"/>
              <w:rPr>
                <w:rFonts w:eastAsia="Times New Roman"/>
                <w:sz w:val="20"/>
                <w:szCs w:val="20"/>
                <w:lang w:val="en-US"/>
              </w:rPr>
            </w:pPr>
            <w:r w:rsidRPr="003A7E34">
              <w:rPr>
                <w:rFonts w:eastAsia="Times New Roman"/>
                <w:sz w:val="20"/>
                <w:szCs w:val="20"/>
                <w:lang w:val="en-US"/>
              </w:rPr>
              <w:t>2021</w:t>
            </w:r>
          </w:p>
        </w:tc>
        <w:tc>
          <w:tcPr>
            <w:tcW w:w="1151" w:type="dxa"/>
          </w:tcPr>
          <w:p w14:paraId="10138220" w14:textId="68F481C5" w:rsidR="2FF9D604" w:rsidRPr="003A7E34" w:rsidRDefault="4EA93846" w:rsidP="4EA93846">
            <w:pPr>
              <w:spacing w:before="0" w:after="0"/>
              <w:jc w:val="center"/>
              <w:rPr>
                <w:rFonts w:eastAsia="Times New Roman"/>
                <w:sz w:val="20"/>
                <w:szCs w:val="20"/>
                <w:lang w:val="en-US"/>
              </w:rPr>
            </w:pPr>
            <w:r w:rsidRPr="003A7E34">
              <w:rPr>
                <w:rFonts w:eastAsia="Times New Roman"/>
                <w:sz w:val="20"/>
                <w:szCs w:val="20"/>
                <w:lang w:val="en-US"/>
              </w:rPr>
              <w:t>2022</w:t>
            </w:r>
          </w:p>
        </w:tc>
        <w:tc>
          <w:tcPr>
            <w:tcW w:w="1151" w:type="dxa"/>
          </w:tcPr>
          <w:p w14:paraId="541B69E5" w14:textId="674E15E0" w:rsidR="2FF9D604" w:rsidRPr="003A7E34" w:rsidRDefault="4EA93846" w:rsidP="4EA93846">
            <w:pPr>
              <w:spacing w:before="0" w:after="0"/>
              <w:jc w:val="center"/>
              <w:rPr>
                <w:rFonts w:eastAsia="Times New Roman"/>
                <w:sz w:val="20"/>
                <w:szCs w:val="20"/>
                <w:lang w:val="en-US"/>
              </w:rPr>
            </w:pPr>
            <w:r w:rsidRPr="003A7E34">
              <w:rPr>
                <w:rFonts w:eastAsia="Times New Roman"/>
                <w:sz w:val="20"/>
                <w:szCs w:val="20"/>
                <w:lang w:val="en-US"/>
              </w:rPr>
              <w:t>2025</w:t>
            </w:r>
          </w:p>
        </w:tc>
        <w:tc>
          <w:tcPr>
            <w:tcW w:w="990" w:type="dxa"/>
          </w:tcPr>
          <w:p w14:paraId="7FD6C314" w14:textId="097EBF70" w:rsidR="2FF9D604" w:rsidRPr="003A7E34" w:rsidRDefault="4EA93846" w:rsidP="4EA93846">
            <w:pPr>
              <w:spacing w:before="0" w:after="0"/>
              <w:jc w:val="center"/>
              <w:rPr>
                <w:rFonts w:eastAsia="Times New Roman"/>
                <w:sz w:val="20"/>
                <w:szCs w:val="20"/>
                <w:lang w:val="en-US"/>
              </w:rPr>
            </w:pPr>
            <w:r w:rsidRPr="003A7E34">
              <w:rPr>
                <w:rFonts w:eastAsia="Times New Roman"/>
                <w:sz w:val="20"/>
                <w:szCs w:val="20"/>
                <w:lang w:val="en-US"/>
              </w:rPr>
              <w:t>2027</w:t>
            </w:r>
          </w:p>
        </w:tc>
        <w:tc>
          <w:tcPr>
            <w:tcW w:w="1308" w:type="dxa"/>
          </w:tcPr>
          <w:p w14:paraId="32E03C8D" w14:textId="36D37636" w:rsidR="2FF9D604" w:rsidRPr="003A7E34" w:rsidRDefault="4EA93846" w:rsidP="4EA93846">
            <w:pPr>
              <w:spacing w:before="0" w:after="0"/>
              <w:jc w:val="center"/>
              <w:rPr>
                <w:rFonts w:eastAsia="Times New Roman"/>
                <w:sz w:val="20"/>
                <w:szCs w:val="20"/>
                <w:lang w:val="en-US"/>
              </w:rPr>
            </w:pPr>
            <w:r w:rsidRPr="003A7E34">
              <w:rPr>
                <w:rFonts w:eastAsia="Times New Roman"/>
                <w:sz w:val="20"/>
                <w:szCs w:val="20"/>
                <w:lang w:val="en-US"/>
              </w:rPr>
              <w:t>2030</w:t>
            </w:r>
          </w:p>
        </w:tc>
      </w:tr>
      <w:tr w:rsidR="003A7E34" w:rsidRPr="003A7E34" w14:paraId="5B774C62" w14:textId="77777777" w:rsidTr="4EA93846">
        <w:trPr>
          <w:trHeight w:val="253"/>
        </w:trPr>
        <w:tc>
          <w:tcPr>
            <w:tcW w:w="3857" w:type="dxa"/>
          </w:tcPr>
          <w:p w14:paraId="2EE1A645" w14:textId="2E21A3DA" w:rsidR="2FF9D604" w:rsidRPr="003A7E34" w:rsidRDefault="4EA93846" w:rsidP="4EA93846">
            <w:pPr>
              <w:spacing w:before="0" w:after="0"/>
              <w:rPr>
                <w:rFonts w:eastAsia="Times New Roman"/>
                <w:sz w:val="20"/>
                <w:szCs w:val="20"/>
                <w:lang w:val="en-US"/>
              </w:rPr>
            </w:pPr>
            <w:r w:rsidRPr="003A7E34">
              <w:rPr>
                <w:rFonts w:eastAsia="Times New Roman"/>
                <w:sz w:val="20"/>
                <w:szCs w:val="20"/>
                <w:lang w:val="en-US"/>
              </w:rPr>
              <w:t>RES-district H&amp;C, %</w:t>
            </w:r>
          </w:p>
        </w:tc>
        <w:tc>
          <w:tcPr>
            <w:tcW w:w="1151" w:type="dxa"/>
          </w:tcPr>
          <w:p w14:paraId="6EBCC7C4" w14:textId="1F9771CE" w:rsidR="2FF9D604" w:rsidRPr="003A7E34" w:rsidRDefault="4EA93846" w:rsidP="4EA93846">
            <w:pPr>
              <w:spacing w:before="0" w:after="0"/>
              <w:jc w:val="center"/>
              <w:rPr>
                <w:rFonts w:eastAsia="Times New Roman"/>
                <w:sz w:val="20"/>
                <w:szCs w:val="20"/>
                <w:lang w:val="en-US"/>
              </w:rPr>
            </w:pPr>
            <w:r w:rsidRPr="003A7E34">
              <w:rPr>
                <w:rFonts w:eastAsia="Times New Roman"/>
                <w:sz w:val="20"/>
                <w:szCs w:val="20"/>
                <w:lang w:val="en-US"/>
              </w:rPr>
              <w:t>70</w:t>
            </w:r>
          </w:p>
        </w:tc>
        <w:tc>
          <w:tcPr>
            <w:tcW w:w="1151" w:type="dxa"/>
          </w:tcPr>
          <w:p w14:paraId="698BE3E2" w14:textId="2823CC21" w:rsidR="2FF9D604" w:rsidRPr="003A7E34" w:rsidRDefault="4EA93846" w:rsidP="4EA93846">
            <w:pPr>
              <w:spacing w:before="0" w:after="0"/>
              <w:jc w:val="center"/>
              <w:rPr>
                <w:rFonts w:eastAsia="Times New Roman"/>
                <w:sz w:val="20"/>
                <w:szCs w:val="20"/>
                <w:lang w:val="en-US"/>
              </w:rPr>
            </w:pPr>
            <w:r w:rsidRPr="003A7E34">
              <w:rPr>
                <w:rFonts w:eastAsia="Times New Roman"/>
                <w:sz w:val="20"/>
                <w:szCs w:val="20"/>
                <w:lang w:val="en-US"/>
              </w:rPr>
              <w:t>74</w:t>
            </w:r>
          </w:p>
        </w:tc>
        <w:tc>
          <w:tcPr>
            <w:tcW w:w="1151" w:type="dxa"/>
          </w:tcPr>
          <w:p w14:paraId="214B87A0" w14:textId="7A341199" w:rsidR="2FF9D604" w:rsidRPr="003A7E34" w:rsidRDefault="4EA93846" w:rsidP="4EA93846">
            <w:pPr>
              <w:spacing w:before="0" w:after="0"/>
              <w:jc w:val="center"/>
              <w:rPr>
                <w:rFonts w:eastAsia="Times New Roman"/>
                <w:sz w:val="20"/>
                <w:szCs w:val="20"/>
                <w:lang w:val="en-US"/>
              </w:rPr>
            </w:pPr>
            <w:r w:rsidRPr="003A7E34">
              <w:rPr>
                <w:rFonts w:eastAsia="Times New Roman"/>
                <w:sz w:val="20"/>
                <w:szCs w:val="20"/>
                <w:lang w:val="en-US"/>
              </w:rPr>
              <w:t>79</w:t>
            </w:r>
          </w:p>
        </w:tc>
        <w:tc>
          <w:tcPr>
            <w:tcW w:w="990" w:type="dxa"/>
          </w:tcPr>
          <w:p w14:paraId="25A18641" w14:textId="25737741" w:rsidR="2FF9D604" w:rsidRPr="003A7E34" w:rsidRDefault="4EA93846" w:rsidP="4EA93846">
            <w:pPr>
              <w:spacing w:before="0" w:after="0"/>
              <w:jc w:val="center"/>
              <w:rPr>
                <w:rFonts w:eastAsia="Times New Roman"/>
                <w:sz w:val="20"/>
                <w:szCs w:val="20"/>
                <w:lang w:val="en-US"/>
              </w:rPr>
            </w:pPr>
            <w:r w:rsidRPr="003A7E34">
              <w:rPr>
                <w:rFonts w:eastAsia="Times New Roman"/>
                <w:sz w:val="20"/>
                <w:szCs w:val="20"/>
                <w:lang w:val="en-US"/>
              </w:rPr>
              <w:t>83</w:t>
            </w:r>
          </w:p>
        </w:tc>
        <w:tc>
          <w:tcPr>
            <w:tcW w:w="1308" w:type="dxa"/>
          </w:tcPr>
          <w:p w14:paraId="3073CDAA" w14:textId="0299B65A" w:rsidR="2FF9D604" w:rsidRPr="003A7E34" w:rsidRDefault="4EA93846" w:rsidP="4EA93846">
            <w:pPr>
              <w:spacing w:before="0" w:after="0"/>
              <w:jc w:val="center"/>
              <w:rPr>
                <w:rFonts w:eastAsia="Times New Roman"/>
                <w:sz w:val="20"/>
                <w:szCs w:val="20"/>
                <w:lang w:val="en-US"/>
              </w:rPr>
            </w:pPr>
            <w:r w:rsidRPr="003A7E34">
              <w:rPr>
                <w:rFonts w:eastAsia="Times New Roman"/>
                <w:sz w:val="20"/>
                <w:szCs w:val="20"/>
                <w:lang w:val="en-US"/>
              </w:rPr>
              <w:t>90</w:t>
            </w:r>
          </w:p>
        </w:tc>
      </w:tr>
      <w:tr w:rsidR="003A7E34" w:rsidRPr="003A7E34" w14:paraId="55666CE7" w14:textId="77777777" w:rsidTr="4EA93846">
        <w:trPr>
          <w:trHeight w:val="253"/>
        </w:trPr>
        <w:tc>
          <w:tcPr>
            <w:tcW w:w="3857" w:type="dxa"/>
          </w:tcPr>
          <w:p w14:paraId="37B8E5F7" w14:textId="40D56AF3" w:rsidR="2FF9D604" w:rsidRPr="003A7E34" w:rsidRDefault="4EA93846" w:rsidP="4EA93846">
            <w:pPr>
              <w:spacing w:before="0" w:after="0"/>
              <w:rPr>
                <w:rFonts w:eastAsia="Times New Roman"/>
                <w:sz w:val="20"/>
                <w:szCs w:val="20"/>
                <w:lang w:val="en-US"/>
              </w:rPr>
            </w:pPr>
            <w:r w:rsidRPr="003A7E34">
              <w:rPr>
                <w:rFonts w:eastAsia="Times New Roman"/>
                <w:sz w:val="20"/>
                <w:szCs w:val="20"/>
                <w:lang w:val="en-US"/>
              </w:rPr>
              <w:t>RES-households H&amp;C, %</w:t>
            </w:r>
          </w:p>
        </w:tc>
        <w:tc>
          <w:tcPr>
            <w:tcW w:w="1151" w:type="dxa"/>
          </w:tcPr>
          <w:p w14:paraId="2D0EE670" w14:textId="0ED44042" w:rsidR="2FF9D604" w:rsidRPr="003A7E34" w:rsidRDefault="4EA93846" w:rsidP="4EA93846">
            <w:pPr>
              <w:spacing w:before="0" w:after="0"/>
              <w:jc w:val="center"/>
              <w:rPr>
                <w:rFonts w:eastAsia="Times New Roman"/>
                <w:sz w:val="20"/>
                <w:szCs w:val="20"/>
                <w:lang w:val="en-US"/>
              </w:rPr>
            </w:pPr>
            <w:r w:rsidRPr="003A7E34">
              <w:rPr>
                <w:rFonts w:eastAsia="Times New Roman"/>
                <w:sz w:val="20"/>
                <w:szCs w:val="20"/>
                <w:lang w:val="en-US"/>
              </w:rPr>
              <w:t>70</w:t>
            </w:r>
          </w:p>
        </w:tc>
        <w:tc>
          <w:tcPr>
            <w:tcW w:w="1151" w:type="dxa"/>
          </w:tcPr>
          <w:p w14:paraId="773C20C3" w14:textId="3C25889B" w:rsidR="2FF9D604" w:rsidRPr="003A7E34" w:rsidRDefault="4EA93846" w:rsidP="4EA93846">
            <w:pPr>
              <w:spacing w:before="0" w:after="0"/>
              <w:jc w:val="center"/>
              <w:rPr>
                <w:rFonts w:eastAsia="Times New Roman"/>
                <w:sz w:val="20"/>
                <w:szCs w:val="20"/>
                <w:lang w:val="en-US"/>
              </w:rPr>
            </w:pPr>
            <w:r w:rsidRPr="003A7E34">
              <w:rPr>
                <w:rFonts w:eastAsia="Times New Roman"/>
                <w:sz w:val="20"/>
                <w:szCs w:val="20"/>
                <w:lang w:val="en-US"/>
              </w:rPr>
              <w:t>72</w:t>
            </w:r>
          </w:p>
        </w:tc>
        <w:tc>
          <w:tcPr>
            <w:tcW w:w="1151" w:type="dxa"/>
          </w:tcPr>
          <w:p w14:paraId="64831B57" w14:textId="216A3766" w:rsidR="2FF9D604" w:rsidRPr="003A7E34" w:rsidRDefault="4EA93846" w:rsidP="4EA93846">
            <w:pPr>
              <w:spacing w:before="0" w:after="0"/>
              <w:jc w:val="center"/>
              <w:rPr>
                <w:rFonts w:eastAsia="Times New Roman"/>
                <w:sz w:val="20"/>
                <w:szCs w:val="20"/>
                <w:lang w:val="en-US"/>
              </w:rPr>
            </w:pPr>
            <w:r w:rsidRPr="003A7E34">
              <w:rPr>
                <w:rFonts w:eastAsia="Times New Roman"/>
                <w:sz w:val="20"/>
                <w:szCs w:val="20"/>
                <w:lang w:val="en-US"/>
              </w:rPr>
              <w:t>75</w:t>
            </w:r>
          </w:p>
        </w:tc>
        <w:tc>
          <w:tcPr>
            <w:tcW w:w="990" w:type="dxa"/>
          </w:tcPr>
          <w:p w14:paraId="6DFA4A84" w14:textId="29C9488B" w:rsidR="2FF9D604" w:rsidRPr="003A7E34" w:rsidRDefault="4EA93846" w:rsidP="4EA93846">
            <w:pPr>
              <w:spacing w:before="0" w:after="0"/>
              <w:jc w:val="center"/>
              <w:rPr>
                <w:rFonts w:eastAsia="Times New Roman"/>
                <w:sz w:val="20"/>
                <w:szCs w:val="20"/>
                <w:lang w:val="en-US"/>
              </w:rPr>
            </w:pPr>
            <w:r w:rsidRPr="003A7E34">
              <w:rPr>
                <w:rFonts w:eastAsia="Times New Roman"/>
                <w:sz w:val="20"/>
                <w:szCs w:val="20"/>
                <w:lang w:val="en-US"/>
              </w:rPr>
              <w:t>77</w:t>
            </w:r>
          </w:p>
        </w:tc>
        <w:tc>
          <w:tcPr>
            <w:tcW w:w="1308" w:type="dxa"/>
          </w:tcPr>
          <w:p w14:paraId="53F64DE2" w14:textId="71D5F321" w:rsidR="2FF9D604" w:rsidRPr="003A7E34" w:rsidRDefault="4EA93846" w:rsidP="4EA93846">
            <w:pPr>
              <w:spacing w:before="0" w:after="0"/>
              <w:jc w:val="center"/>
              <w:rPr>
                <w:rFonts w:eastAsia="Times New Roman"/>
                <w:sz w:val="20"/>
                <w:szCs w:val="20"/>
                <w:lang w:val="en-US"/>
              </w:rPr>
            </w:pPr>
            <w:r w:rsidRPr="003A7E34">
              <w:rPr>
                <w:rFonts w:eastAsia="Times New Roman"/>
                <w:sz w:val="20"/>
                <w:szCs w:val="20"/>
                <w:lang w:val="en-US"/>
              </w:rPr>
              <w:t>80</w:t>
            </w:r>
          </w:p>
        </w:tc>
      </w:tr>
      <w:tr w:rsidR="003A7E34" w:rsidRPr="003A7E34" w14:paraId="14B50DB0" w14:textId="77777777" w:rsidTr="4EA93846">
        <w:trPr>
          <w:trHeight w:val="253"/>
        </w:trPr>
        <w:tc>
          <w:tcPr>
            <w:tcW w:w="3857" w:type="dxa"/>
          </w:tcPr>
          <w:p w14:paraId="686BD06A" w14:textId="35C51667" w:rsidR="2FF9D604" w:rsidRPr="003A7E34" w:rsidRDefault="4EA93846" w:rsidP="4EA93846">
            <w:pPr>
              <w:spacing w:before="0" w:after="0"/>
              <w:rPr>
                <w:rFonts w:eastAsia="Times New Roman"/>
                <w:sz w:val="20"/>
                <w:szCs w:val="20"/>
                <w:lang w:val="en-US"/>
              </w:rPr>
            </w:pPr>
            <w:r w:rsidRPr="003A7E34">
              <w:rPr>
                <w:rFonts w:eastAsia="Times New Roman"/>
                <w:sz w:val="20"/>
                <w:szCs w:val="20"/>
                <w:lang w:val="en-US"/>
              </w:rPr>
              <w:t>RES-E, %</w:t>
            </w:r>
          </w:p>
        </w:tc>
        <w:tc>
          <w:tcPr>
            <w:tcW w:w="1151" w:type="dxa"/>
          </w:tcPr>
          <w:p w14:paraId="77D636F0" w14:textId="2598C2C3" w:rsidR="2FF9D604" w:rsidRPr="003A7E34" w:rsidRDefault="2FF9D604" w:rsidP="003D5F08">
            <w:pPr>
              <w:spacing w:before="0" w:after="0"/>
              <w:jc w:val="center"/>
              <w:rPr>
                <w:rFonts w:eastAsia="Times New Roman"/>
                <w:sz w:val="20"/>
                <w:szCs w:val="20"/>
                <w:lang w:val="en-US"/>
              </w:rPr>
            </w:pPr>
            <w:r w:rsidRPr="003A7E34">
              <w:rPr>
                <w:rFonts w:eastAsia="Times New Roman"/>
                <w:sz w:val="20"/>
                <w:szCs w:val="20"/>
                <w:lang w:val="en-US"/>
              </w:rPr>
              <w:t>26</w:t>
            </w:r>
          </w:p>
        </w:tc>
        <w:tc>
          <w:tcPr>
            <w:tcW w:w="1151" w:type="dxa"/>
          </w:tcPr>
          <w:p w14:paraId="0F502E1B" w14:textId="614266D5" w:rsidR="2FF9D604" w:rsidRPr="003A7E34" w:rsidRDefault="2FF9D604" w:rsidP="003D5F08">
            <w:pPr>
              <w:spacing w:before="0" w:after="0"/>
              <w:jc w:val="center"/>
              <w:rPr>
                <w:rFonts w:eastAsia="Times New Roman"/>
                <w:sz w:val="20"/>
                <w:szCs w:val="20"/>
                <w:lang w:val="en-US"/>
              </w:rPr>
            </w:pPr>
            <w:r w:rsidRPr="003A7E34">
              <w:rPr>
                <w:rFonts w:eastAsia="Times New Roman"/>
                <w:sz w:val="20"/>
                <w:szCs w:val="20"/>
                <w:lang w:val="en-US"/>
              </w:rPr>
              <w:t>33</w:t>
            </w:r>
          </w:p>
        </w:tc>
        <w:tc>
          <w:tcPr>
            <w:tcW w:w="1151" w:type="dxa"/>
          </w:tcPr>
          <w:p w14:paraId="3655EFB7" w14:textId="1468151E" w:rsidR="2FF9D604" w:rsidRPr="003A7E34" w:rsidRDefault="2FF9D604" w:rsidP="003D5F08">
            <w:pPr>
              <w:spacing w:before="0" w:after="0"/>
              <w:jc w:val="center"/>
              <w:rPr>
                <w:rFonts w:eastAsia="Times New Roman"/>
                <w:sz w:val="20"/>
                <w:szCs w:val="20"/>
                <w:lang w:val="en-US"/>
              </w:rPr>
            </w:pPr>
            <w:r w:rsidRPr="003A7E34">
              <w:rPr>
                <w:rFonts w:eastAsia="Times New Roman"/>
                <w:sz w:val="20"/>
                <w:szCs w:val="20"/>
                <w:lang w:val="en-US"/>
              </w:rPr>
              <w:t>34</w:t>
            </w:r>
          </w:p>
        </w:tc>
        <w:tc>
          <w:tcPr>
            <w:tcW w:w="990" w:type="dxa"/>
          </w:tcPr>
          <w:p w14:paraId="472C1AFD" w14:textId="6E8A6CCE" w:rsidR="2FF9D604" w:rsidRPr="003A7E34" w:rsidRDefault="2FF9D604" w:rsidP="003D5F08">
            <w:pPr>
              <w:spacing w:before="0" w:after="0"/>
              <w:jc w:val="center"/>
              <w:rPr>
                <w:rFonts w:eastAsia="Times New Roman"/>
                <w:sz w:val="20"/>
                <w:szCs w:val="20"/>
                <w:lang w:val="en-US"/>
              </w:rPr>
            </w:pPr>
            <w:r w:rsidRPr="003A7E34">
              <w:rPr>
                <w:rFonts w:eastAsia="Times New Roman"/>
                <w:sz w:val="20"/>
                <w:szCs w:val="20"/>
                <w:lang w:val="en-US"/>
              </w:rPr>
              <w:t>39</w:t>
            </w:r>
          </w:p>
        </w:tc>
        <w:tc>
          <w:tcPr>
            <w:tcW w:w="1308" w:type="dxa"/>
          </w:tcPr>
          <w:p w14:paraId="0D584059" w14:textId="11F4A070" w:rsidR="2FF9D604" w:rsidRPr="003A7E34" w:rsidRDefault="2FF9D604" w:rsidP="003D5F08">
            <w:pPr>
              <w:spacing w:before="0" w:after="0"/>
              <w:jc w:val="center"/>
              <w:rPr>
                <w:rFonts w:eastAsia="Times New Roman"/>
                <w:sz w:val="20"/>
                <w:szCs w:val="20"/>
                <w:lang w:val="en-US"/>
              </w:rPr>
            </w:pPr>
            <w:r w:rsidRPr="003A7E34">
              <w:rPr>
                <w:rFonts w:eastAsia="Times New Roman"/>
                <w:sz w:val="20"/>
                <w:szCs w:val="20"/>
                <w:lang w:val="en-US"/>
              </w:rPr>
              <w:t>45</w:t>
            </w:r>
          </w:p>
        </w:tc>
      </w:tr>
      <w:tr w:rsidR="2FF9D604" w:rsidRPr="003A7E34" w14:paraId="0436EFDA" w14:textId="77777777" w:rsidTr="4EA93846">
        <w:trPr>
          <w:trHeight w:val="270"/>
        </w:trPr>
        <w:tc>
          <w:tcPr>
            <w:tcW w:w="3857" w:type="dxa"/>
          </w:tcPr>
          <w:p w14:paraId="23F02E95" w14:textId="505E3856" w:rsidR="2FF9D604" w:rsidRPr="003A7E34" w:rsidRDefault="4EA93846" w:rsidP="4EA93846">
            <w:pPr>
              <w:spacing w:before="0" w:after="0"/>
              <w:rPr>
                <w:rFonts w:eastAsia="Times New Roman"/>
                <w:sz w:val="20"/>
                <w:szCs w:val="20"/>
                <w:lang w:val="en-US"/>
              </w:rPr>
            </w:pPr>
            <w:r w:rsidRPr="003A7E34">
              <w:rPr>
                <w:rFonts w:eastAsia="Times New Roman"/>
                <w:sz w:val="20"/>
                <w:szCs w:val="20"/>
                <w:lang w:val="en-US"/>
              </w:rPr>
              <w:t>RES-T, %</w:t>
            </w:r>
          </w:p>
        </w:tc>
        <w:tc>
          <w:tcPr>
            <w:tcW w:w="1151" w:type="dxa"/>
          </w:tcPr>
          <w:p w14:paraId="6F603167" w14:textId="77E85C67" w:rsidR="2FF9D604" w:rsidRPr="003A7E34" w:rsidRDefault="2FF9D604" w:rsidP="003D5F08">
            <w:pPr>
              <w:spacing w:before="0" w:after="0"/>
              <w:jc w:val="center"/>
              <w:rPr>
                <w:rFonts w:eastAsia="Times New Roman"/>
                <w:sz w:val="20"/>
                <w:szCs w:val="20"/>
                <w:lang w:val="en-US"/>
              </w:rPr>
            </w:pPr>
            <w:r w:rsidRPr="003A7E34">
              <w:rPr>
                <w:rFonts w:eastAsia="Times New Roman"/>
                <w:sz w:val="20"/>
                <w:szCs w:val="20"/>
                <w:lang w:val="en-US"/>
              </w:rPr>
              <w:t>7</w:t>
            </w:r>
          </w:p>
        </w:tc>
        <w:tc>
          <w:tcPr>
            <w:tcW w:w="1151" w:type="dxa"/>
          </w:tcPr>
          <w:p w14:paraId="19519014" w14:textId="49D191FE" w:rsidR="2FF9D604" w:rsidRPr="003A7E34" w:rsidRDefault="2FF9D604" w:rsidP="003D5F08">
            <w:pPr>
              <w:spacing w:before="0" w:after="0"/>
              <w:jc w:val="center"/>
              <w:rPr>
                <w:rFonts w:eastAsia="Times New Roman"/>
                <w:sz w:val="20"/>
                <w:szCs w:val="20"/>
                <w:lang w:val="en-US"/>
              </w:rPr>
            </w:pPr>
            <w:r w:rsidRPr="003A7E34">
              <w:rPr>
                <w:rFonts w:eastAsia="Times New Roman"/>
                <w:sz w:val="20"/>
                <w:szCs w:val="20"/>
                <w:lang w:val="en-US"/>
              </w:rPr>
              <w:t>8</w:t>
            </w:r>
          </w:p>
        </w:tc>
        <w:tc>
          <w:tcPr>
            <w:tcW w:w="1151" w:type="dxa"/>
          </w:tcPr>
          <w:p w14:paraId="24E007A3" w14:textId="28EC95E8" w:rsidR="2FF9D604" w:rsidRPr="003A7E34" w:rsidRDefault="2FF9D604" w:rsidP="003D5F08">
            <w:pPr>
              <w:spacing w:before="0" w:after="0"/>
              <w:jc w:val="center"/>
              <w:rPr>
                <w:rFonts w:eastAsia="Times New Roman"/>
                <w:sz w:val="20"/>
                <w:szCs w:val="20"/>
                <w:lang w:val="en-US"/>
              </w:rPr>
            </w:pPr>
            <w:r w:rsidRPr="003A7E34">
              <w:rPr>
                <w:rFonts w:eastAsia="Times New Roman"/>
                <w:sz w:val="20"/>
                <w:szCs w:val="20"/>
                <w:lang w:val="en-US"/>
              </w:rPr>
              <w:t>10</w:t>
            </w:r>
          </w:p>
        </w:tc>
        <w:tc>
          <w:tcPr>
            <w:tcW w:w="990" w:type="dxa"/>
          </w:tcPr>
          <w:p w14:paraId="13D34A00" w14:textId="6FD83328" w:rsidR="2FF9D604" w:rsidRPr="003A7E34" w:rsidRDefault="2FF9D604" w:rsidP="003D5F08">
            <w:pPr>
              <w:spacing w:before="0" w:after="0"/>
              <w:jc w:val="center"/>
              <w:rPr>
                <w:rFonts w:eastAsia="Times New Roman"/>
                <w:sz w:val="20"/>
                <w:szCs w:val="20"/>
                <w:lang w:val="en-US"/>
              </w:rPr>
            </w:pPr>
            <w:r w:rsidRPr="003A7E34">
              <w:rPr>
                <w:rFonts w:eastAsia="Times New Roman"/>
                <w:sz w:val="20"/>
                <w:szCs w:val="20"/>
                <w:lang w:val="en-US"/>
              </w:rPr>
              <w:t>12</w:t>
            </w:r>
          </w:p>
        </w:tc>
        <w:tc>
          <w:tcPr>
            <w:tcW w:w="1308" w:type="dxa"/>
          </w:tcPr>
          <w:p w14:paraId="590AE954" w14:textId="4BA1137C" w:rsidR="2FF9D604" w:rsidRPr="003A7E34" w:rsidRDefault="2FF9D604" w:rsidP="003D5F08">
            <w:pPr>
              <w:spacing w:before="0" w:after="0"/>
              <w:jc w:val="center"/>
              <w:rPr>
                <w:rFonts w:eastAsia="Times New Roman"/>
                <w:sz w:val="20"/>
                <w:szCs w:val="20"/>
                <w:lang w:val="en-US"/>
              </w:rPr>
            </w:pPr>
            <w:r w:rsidRPr="003A7E34">
              <w:rPr>
                <w:rFonts w:eastAsia="Times New Roman"/>
                <w:sz w:val="20"/>
                <w:szCs w:val="20"/>
                <w:lang w:val="en-US"/>
              </w:rPr>
              <w:t>15</w:t>
            </w:r>
          </w:p>
        </w:tc>
      </w:tr>
    </w:tbl>
    <w:p w14:paraId="66322DE8" w14:textId="3F3033D7" w:rsidR="46C901DF" w:rsidRPr="003A7E34" w:rsidDel="71359DB6" w:rsidRDefault="46C901DF">
      <w:pPr>
        <w:rPr>
          <w:rFonts w:eastAsia="Times New Roman"/>
          <w:noProof/>
          <w:lang w:val="en-US"/>
        </w:rPr>
      </w:pPr>
    </w:p>
    <w:p w14:paraId="7A74C71C" w14:textId="080419AB" w:rsidR="15FBD3C2" w:rsidRPr="003A7E34" w:rsidRDefault="00221D16" w:rsidP="003C41B9">
      <w:pPr>
        <w:jc w:val="center"/>
        <w:rPr>
          <w:rFonts w:eastAsia="Times New Roman"/>
          <w:lang w:val="en-US"/>
        </w:rPr>
      </w:pPr>
      <w:r w:rsidRPr="003A7E34">
        <w:rPr>
          <w:noProof/>
          <w:lang w:val="en-US"/>
        </w:rPr>
        <w:drawing>
          <wp:inline distT="0" distB="0" distL="0" distR="0" wp14:anchorId="4DBB6AD7" wp14:editId="63CAC9ED">
            <wp:extent cx="5872164" cy="2743200"/>
            <wp:effectExtent l="0" t="0" r="14605" b="0"/>
            <wp:docPr id="6" name="Chart 6">
              <a:extLst xmlns:a="http://schemas.openxmlformats.org/drawingml/2006/main">
                <a:ext uri="{FF2B5EF4-FFF2-40B4-BE49-F238E27FC236}">
                  <a16:creationId xmlns:a16="http://schemas.microsoft.com/office/drawing/2014/main" id="{D99849BD-1AC4-4EDD-8356-F1C91AEB09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DF8D563" w14:textId="541F16E0" w:rsidR="67452D63" w:rsidRPr="003A7E34" w:rsidRDefault="4EA93846" w:rsidP="00991322">
      <w:pPr>
        <w:jc w:val="center"/>
        <w:rPr>
          <w:rFonts w:eastAsia="Times New Roman"/>
          <w:noProof/>
          <w:sz w:val="20"/>
          <w:szCs w:val="20"/>
          <w:lang w:val="en-US"/>
        </w:rPr>
      </w:pPr>
      <w:r w:rsidRPr="003A7E34">
        <w:rPr>
          <w:rFonts w:eastAsia="Times New Roman"/>
          <w:b/>
          <w:bCs/>
          <w:noProof/>
          <w:sz w:val="20"/>
          <w:szCs w:val="20"/>
          <w:lang w:val="en-US"/>
        </w:rPr>
        <w:t>Figure 2.1.2.1.</w:t>
      </w:r>
      <w:r w:rsidRPr="003A7E34">
        <w:rPr>
          <w:rFonts w:eastAsia="Times New Roman"/>
          <w:noProof/>
          <w:sz w:val="20"/>
          <w:szCs w:val="20"/>
          <w:lang w:val="en-US"/>
        </w:rPr>
        <w:t xml:space="preserve"> Estimated trajectories for the sectoral share of renewable energy in </w:t>
      </w:r>
      <w:r w:rsidR="00FD5F58" w:rsidRPr="003A7E34">
        <w:rPr>
          <w:rFonts w:eastAsia="Times New Roman"/>
          <w:noProof/>
          <w:sz w:val="20"/>
          <w:szCs w:val="20"/>
          <w:lang w:val="en-US"/>
        </w:rPr>
        <w:t xml:space="preserve">the </w:t>
      </w:r>
      <w:r w:rsidRPr="003A7E34">
        <w:rPr>
          <w:rFonts w:eastAsia="Times New Roman"/>
          <w:noProof/>
          <w:sz w:val="20"/>
          <w:szCs w:val="20"/>
          <w:lang w:val="en-US"/>
        </w:rPr>
        <w:t>final energy consumption,%</w:t>
      </w:r>
    </w:p>
    <w:p w14:paraId="0A0DEDFC" w14:textId="4A85EAFC" w:rsidR="67452D63" w:rsidRPr="003A7E34" w:rsidRDefault="67452D63" w:rsidP="4EA93846">
      <w:pPr>
        <w:rPr>
          <w:rFonts w:eastAsia="Times New Roman"/>
          <w:lang w:val="en-US"/>
        </w:rPr>
      </w:pPr>
    </w:p>
    <w:p w14:paraId="7FDD6CF8" w14:textId="5641822C" w:rsidR="15FBD3C2" w:rsidRPr="003A7E34" w:rsidRDefault="15FBD3C2" w:rsidP="003C41B9">
      <w:pPr>
        <w:jc w:val="center"/>
        <w:rPr>
          <w:rFonts w:eastAsia="Times New Roman"/>
          <w:lang w:val="en-US"/>
        </w:rPr>
      </w:pPr>
    </w:p>
    <w:p w14:paraId="42290843" w14:textId="298F188C" w:rsidR="002F0D2D" w:rsidRPr="003A7E34" w:rsidRDefault="002F0D2D" w:rsidP="4EA93846">
      <w:pPr>
        <w:jc w:val="center"/>
        <w:rPr>
          <w:rFonts w:eastAsia="Times New Roman"/>
          <w:b/>
          <w:bCs/>
          <w:noProof/>
          <w:sz w:val="20"/>
          <w:szCs w:val="20"/>
          <w:lang w:val="en-US"/>
        </w:rPr>
      </w:pPr>
      <w:r w:rsidRPr="003A7E34">
        <w:rPr>
          <w:noProof/>
          <w:lang w:val="en-US"/>
        </w:rPr>
        <w:lastRenderedPageBreak/>
        <w:drawing>
          <wp:inline distT="0" distB="0" distL="0" distR="0" wp14:anchorId="71AD84E7" wp14:editId="28D08E27">
            <wp:extent cx="5810250" cy="2914650"/>
            <wp:effectExtent l="0" t="0" r="0" b="0"/>
            <wp:docPr id="10" name="Chart 10">
              <a:extLst xmlns:a="http://schemas.openxmlformats.org/drawingml/2006/main">
                <a:ext uri="{FF2B5EF4-FFF2-40B4-BE49-F238E27FC236}">
                  <a16:creationId xmlns:a16="http://schemas.microsoft.com/office/drawing/2014/main" id="{BD0C9A2F-2807-42B6-9294-2A2E271C00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7F273A" w14:textId="46CA2E35" w:rsidR="71359DB6" w:rsidRPr="003A7E34" w:rsidRDefault="4EA93846" w:rsidP="4EA93846">
      <w:pPr>
        <w:jc w:val="center"/>
        <w:rPr>
          <w:rFonts w:eastAsia="Times New Roman"/>
          <w:noProof/>
          <w:sz w:val="20"/>
          <w:szCs w:val="20"/>
          <w:lang w:val="en-US"/>
        </w:rPr>
      </w:pPr>
      <w:r w:rsidRPr="003A7E34">
        <w:rPr>
          <w:rFonts w:eastAsia="Times New Roman"/>
          <w:b/>
          <w:bCs/>
          <w:noProof/>
          <w:sz w:val="20"/>
          <w:szCs w:val="20"/>
          <w:lang w:val="en-US"/>
        </w:rPr>
        <w:t>Figure 2.1.2.2.</w:t>
      </w:r>
      <w:r w:rsidRPr="003A7E34">
        <w:rPr>
          <w:rFonts w:eastAsia="Times New Roman"/>
          <w:noProof/>
          <w:sz w:val="20"/>
          <w:szCs w:val="20"/>
          <w:lang w:val="en-US"/>
        </w:rPr>
        <w:t xml:space="preserve"> Estimated trajectories for the sectoral share of renewable energy in </w:t>
      </w:r>
      <w:r w:rsidR="00FD5F58" w:rsidRPr="003A7E34">
        <w:rPr>
          <w:rFonts w:eastAsia="Times New Roman"/>
          <w:noProof/>
          <w:sz w:val="20"/>
          <w:szCs w:val="20"/>
          <w:lang w:val="en-US"/>
        </w:rPr>
        <w:t xml:space="preserve">the </w:t>
      </w:r>
      <w:r w:rsidRPr="003A7E34">
        <w:rPr>
          <w:rFonts w:eastAsia="Times New Roman"/>
          <w:noProof/>
          <w:sz w:val="20"/>
          <w:szCs w:val="20"/>
          <w:lang w:val="en-US"/>
        </w:rPr>
        <w:t>final energy consumption,%</w:t>
      </w:r>
    </w:p>
    <w:p w14:paraId="1EC69008" w14:textId="2EAC86F5" w:rsidR="71359DB6" w:rsidRPr="003A7E34" w:rsidRDefault="71359DB6" w:rsidP="00EA50D6">
      <w:pPr>
        <w:ind w:left="284"/>
        <w:rPr>
          <w:rFonts w:eastAsia="Times New Roman"/>
          <w:noProof/>
          <w:lang w:val="en-US"/>
        </w:rPr>
      </w:pPr>
    </w:p>
    <w:p w14:paraId="170B4E91" w14:textId="25B75484" w:rsidR="008D37FE" w:rsidRPr="003A7E34" w:rsidRDefault="67452D63"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b/>
          <w:bCs/>
          <w:i/>
          <w:iCs/>
          <w:noProof/>
          <w:lang w:val="en-US"/>
        </w:rPr>
        <w:t>Estimated</w:t>
      </w:r>
      <w:r w:rsidRPr="003A7E34">
        <w:rPr>
          <w:rFonts w:ascii="Times New Roman" w:eastAsia="Times New Roman" w:hAnsi="Times New Roman" w:cs="Times New Roman"/>
          <w:noProof/>
          <w:lang w:val="en-US"/>
        </w:rPr>
        <w:t xml:space="preserve"> trajectories by renewable energy technology that the Member State projects to use to achieve the overall and sectoral trajectories for renewable energy from 2021 to 2030 including expected total gross final energy consumption per technology and sector in Mtoe and total planned installed capacity (divided by new capacity and repowering) per technology and sector in MW</w:t>
      </w:r>
    </w:p>
    <w:p w14:paraId="3A2548D7" w14:textId="0AD35AAE" w:rsidR="02384B0C" w:rsidRPr="003A7E34" w:rsidRDefault="1F603D79" w:rsidP="1F603D79">
      <w:pPr>
        <w:rPr>
          <w:rFonts w:eastAsia="Times New Roman"/>
          <w:noProof/>
          <w:lang w:val="en-US"/>
        </w:rPr>
      </w:pPr>
      <w:r w:rsidRPr="003A7E34">
        <w:rPr>
          <w:rFonts w:eastAsia="Times New Roman"/>
          <w:b/>
          <w:bCs/>
          <w:noProof/>
          <w:sz w:val="20"/>
          <w:szCs w:val="20"/>
          <w:lang w:val="en-US"/>
        </w:rPr>
        <w:t xml:space="preserve">Table 2.1.2.3. </w:t>
      </w:r>
      <w:r w:rsidRPr="003A7E34">
        <w:rPr>
          <w:rFonts w:eastAsia="Times New Roman"/>
          <w:b/>
          <w:bCs/>
          <w:noProof/>
          <w:lang w:val="en-US"/>
        </w:rPr>
        <w:t xml:space="preserve"> </w:t>
      </w:r>
      <w:r w:rsidRPr="003A7E34">
        <w:rPr>
          <w:rFonts w:eastAsia="Times New Roman"/>
          <w:noProof/>
          <w:lang w:val="en-US"/>
        </w:rPr>
        <w:t xml:space="preserve">Estimated trajectories </w:t>
      </w:r>
      <w:r w:rsidR="00FD5F58" w:rsidRPr="003A7E34">
        <w:rPr>
          <w:rFonts w:eastAsia="Times New Roman"/>
          <w:noProof/>
          <w:lang w:val="en-US"/>
        </w:rPr>
        <w:t xml:space="preserve">for the </w:t>
      </w:r>
      <w:r w:rsidRPr="003A7E34">
        <w:rPr>
          <w:rFonts w:eastAsia="Times New Roman"/>
          <w:noProof/>
          <w:lang w:val="en-US"/>
        </w:rPr>
        <w:t xml:space="preserve">renewable energy </w:t>
      </w:r>
      <w:r w:rsidR="0074435D" w:rsidRPr="003A7E34">
        <w:rPr>
          <w:rFonts w:eastAsia="Times New Roman"/>
          <w:noProof/>
          <w:lang w:val="en-US"/>
        </w:rPr>
        <w:t xml:space="preserve">technologies </w:t>
      </w:r>
      <w:r w:rsidRPr="003A7E34">
        <w:rPr>
          <w:rFonts w:eastAsia="Times New Roman"/>
          <w:noProof/>
          <w:lang w:val="en-US"/>
        </w:rPr>
        <w:t xml:space="preserve">in </w:t>
      </w:r>
      <w:r w:rsidR="00FD5F58" w:rsidRPr="003A7E34">
        <w:rPr>
          <w:rFonts w:eastAsia="Times New Roman"/>
          <w:noProof/>
          <w:lang w:val="en-US"/>
        </w:rPr>
        <w:t xml:space="preserve">the </w:t>
      </w:r>
      <w:r w:rsidRPr="003A7E34">
        <w:rPr>
          <w:rFonts w:eastAsia="Times New Roman"/>
          <w:noProof/>
          <w:lang w:val="en-US"/>
        </w:rPr>
        <w:t>electricity sector:</w:t>
      </w:r>
    </w:p>
    <w:tbl>
      <w:tblPr>
        <w:tblStyle w:val="TableGrid"/>
        <w:tblW w:w="9531" w:type="dxa"/>
        <w:tblLayout w:type="fixed"/>
        <w:tblLook w:val="06A0" w:firstRow="1" w:lastRow="0" w:firstColumn="1" w:lastColumn="0" w:noHBand="1" w:noVBand="1"/>
      </w:tblPr>
      <w:tblGrid>
        <w:gridCol w:w="4751"/>
        <w:gridCol w:w="956"/>
        <w:gridCol w:w="956"/>
        <w:gridCol w:w="956"/>
        <w:gridCol w:w="956"/>
        <w:gridCol w:w="956"/>
      </w:tblGrid>
      <w:tr w:rsidR="003A7E34" w:rsidRPr="003A7E34" w14:paraId="2D5A49AE" w14:textId="77777777" w:rsidTr="002D3F00">
        <w:trPr>
          <w:trHeight w:val="254"/>
        </w:trPr>
        <w:tc>
          <w:tcPr>
            <w:tcW w:w="4751" w:type="dxa"/>
          </w:tcPr>
          <w:p w14:paraId="1440B98D" w14:textId="5D0C3EB8" w:rsidR="3863BD23" w:rsidRPr="003A7E34" w:rsidRDefault="3863BD23" w:rsidP="003C41B9">
            <w:pPr>
              <w:spacing w:before="0" w:after="0"/>
              <w:rPr>
                <w:rFonts w:eastAsia="Times New Roman"/>
                <w:sz w:val="20"/>
                <w:szCs w:val="20"/>
                <w:lang w:val="en-US"/>
              </w:rPr>
            </w:pPr>
            <w:r w:rsidRPr="003A7E34">
              <w:rPr>
                <w:rFonts w:eastAsia="Times New Roman"/>
                <w:sz w:val="20"/>
                <w:szCs w:val="20"/>
                <w:lang w:val="en-US"/>
              </w:rPr>
              <w:t xml:space="preserve"> </w:t>
            </w:r>
          </w:p>
        </w:tc>
        <w:tc>
          <w:tcPr>
            <w:tcW w:w="956" w:type="dxa"/>
          </w:tcPr>
          <w:p w14:paraId="79752FD7" w14:textId="6E824153"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2021</w:t>
            </w:r>
          </w:p>
        </w:tc>
        <w:tc>
          <w:tcPr>
            <w:tcW w:w="956" w:type="dxa"/>
          </w:tcPr>
          <w:p w14:paraId="4F6CF00A" w14:textId="06C9A2FD"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2022</w:t>
            </w:r>
          </w:p>
        </w:tc>
        <w:tc>
          <w:tcPr>
            <w:tcW w:w="956" w:type="dxa"/>
          </w:tcPr>
          <w:p w14:paraId="763575D9" w14:textId="3F5EAA3B"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2025</w:t>
            </w:r>
          </w:p>
        </w:tc>
        <w:tc>
          <w:tcPr>
            <w:tcW w:w="956" w:type="dxa"/>
          </w:tcPr>
          <w:p w14:paraId="1F67D280" w14:textId="5B6916FF"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2027</w:t>
            </w:r>
          </w:p>
        </w:tc>
        <w:tc>
          <w:tcPr>
            <w:tcW w:w="956" w:type="dxa"/>
          </w:tcPr>
          <w:p w14:paraId="046E1402" w14:textId="08D84F82"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2030</w:t>
            </w:r>
          </w:p>
        </w:tc>
      </w:tr>
      <w:tr w:rsidR="003A7E34" w:rsidRPr="003A7E34" w14:paraId="5A04FE4B" w14:textId="77777777" w:rsidTr="00C3272E">
        <w:trPr>
          <w:trHeight w:val="254"/>
        </w:trPr>
        <w:tc>
          <w:tcPr>
            <w:tcW w:w="4751" w:type="dxa"/>
            <w:shd w:val="clear" w:color="auto" w:fill="F0E9E1" w:themeFill="accent4" w:themeFillTint="33"/>
          </w:tcPr>
          <w:p w14:paraId="2CD65471" w14:textId="09C07134" w:rsidR="3863BD23" w:rsidRPr="003A7E34" w:rsidRDefault="3863BD23" w:rsidP="003C41B9">
            <w:pPr>
              <w:spacing w:before="0" w:after="0"/>
              <w:rPr>
                <w:rFonts w:eastAsia="Times New Roman"/>
                <w:sz w:val="20"/>
                <w:szCs w:val="20"/>
                <w:lang w:val="en-US"/>
              </w:rPr>
            </w:pPr>
            <w:r w:rsidRPr="003A7E34">
              <w:rPr>
                <w:rFonts w:eastAsia="Times New Roman"/>
                <w:sz w:val="20"/>
                <w:szCs w:val="20"/>
                <w:lang w:val="en-US"/>
              </w:rPr>
              <w:t>RES-E, ktoe</w:t>
            </w:r>
          </w:p>
        </w:tc>
        <w:tc>
          <w:tcPr>
            <w:tcW w:w="956" w:type="dxa"/>
            <w:shd w:val="clear" w:color="auto" w:fill="F0E9E1" w:themeFill="accent4" w:themeFillTint="33"/>
          </w:tcPr>
          <w:p w14:paraId="64C58351" w14:textId="60136A20"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248</w:t>
            </w:r>
          </w:p>
        </w:tc>
        <w:tc>
          <w:tcPr>
            <w:tcW w:w="956" w:type="dxa"/>
            <w:shd w:val="clear" w:color="auto" w:fill="F0E9E1" w:themeFill="accent4" w:themeFillTint="33"/>
          </w:tcPr>
          <w:p w14:paraId="463EAF85" w14:textId="23C768F7"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304</w:t>
            </w:r>
          </w:p>
        </w:tc>
        <w:tc>
          <w:tcPr>
            <w:tcW w:w="956" w:type="dxa"/>
            <w:shd w:val="clear" w:color="auto" w:fill="F0E9E1" w:themeFill="accent4" w:themeFillTint="33"/>
          </w:tcPr>
          <w:p w14:paraId="7CA9E0D9" w14:textId="03317055"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402</w:t>
            </w:r>
          </w:p>
        </w:tc>
        <w:tc>
          <w:tcPr>
            <w:tcW w:w="956" w:type="dxa"/>
            <w:shd w:val="clear" w:color="auto" w:fill="F0E9E1" w:themeFill="accent4" w:themeFillTint="33"/>
          </w:tcPr>
          <w:p w14:paraId="528E6D3E" w14:textId="71DDB35E"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454</w:t>
            </w:r>
          </w:p>
        </w:tc>
        <w:tc>
          <w:tcPr>
            <w:tcW w:w="956" w:type="dxa"/>
            <w:shd w:val="clear" w:color="auto" w:fill="F0E9E1" w:themeFill="accent4" w:themeFillTint="33"/>
          </w:tcPr>
          <w:p w14:paraId="41B95CF3" w14:textId="0725947E"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555</w:t>
            </w:r>
          </w:p>
        </w:tc>
      </w:tr>
      <w:tr w:rsidR="003A7E34" w:rsidRPr="003A7E34" w14:paraId="1637AD7C" w14:textId="77777777" w:rsidTr="002D3F00">
        <w:trPr>
          <w:trHeight w:val="254"/>
        </w:trPr>
        <w:tc>
          <w:tcPr>
            <w:tcW w:w="4751" w:type="dxa"/>
          </w:tcPr>
          <w:p w14:paraId="52BB9BE3" w14:textId="3D772122" w:rsidR="3863BD23" w:rsidRPr="003A7E34" w:rsidRDefault="00DF2D9B" w:rsidP="003C41B9">
            <w:pPr>
              <w:spacing w:before="0" w:after="0"/>
              <w:rPr>
                <w:rFonts w:eastAsia="Times New Roman"/>
                <w:sz w:val="20"/>
                <w:szCs w:val="20"/>
                <w:lang w:val="en-US"/>
              </w:rPr>
            </w:pPr>
            <w:r w:rsidRPr="003A7E34">
              <w:rPr>
                <w:rFonts w:eastAsia="Times New Roman"/>
                <w:sz w:val="20"/>
                <w:szCs w:val="20"/>
                <w:lang w:val="en-US"/>
              </w:rPr>
              <w:t>W</w:t>
            </w:r>
            <w:r w:rsidR="3863BD23" w:rsidRPr="003A7E34">
              <w:rPr>
                <w:rFonts w:eastAsia="Times New Roman"/>
                <w:sz w:val="20"/>
                <w:szCs w:val="20"/>
                <w:lang w:val="en-US"/>
              </w:rPr>
              <w:t>ind power plant, ktoe</w:t>
            </w:r>
          </w:p>
        </w:tc>
        <w:tc>
          <w:tcPr>
            <w:tcW w:w="956" w:type="dxa"/>
          </w:tcPr>
          <w:p w14:paraId="2B0512CD" w14:textId="0A9D3C9E"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130</w:t>
            </w:r>
          </w:p>
        </w:tc>
        <w:tc>
          <w:tcPr>
            <w:tcW w:w="956" w:type="dxa"/>
          </w:tcPr>
          <w:p w14:paraId="1951A878" w14:textId="2E6EDFA8"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148</w:t>
            </w:r>
          </w:p>
        </w:tc>
        <w:tc>
          <w:tcPr>
            <w:tcW w:w="956" w:type="dxa"/>
          </w:tcPr>
          <w:p w14:paraId="51BD2B2E" w14:textId="60FD6F6C"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211</w:t>
            </w:r>
          </w:p>
        </w:tc>
        <w:tc>
          <w:tcPr>
            <w:tcW w:w="956" w:type="dxa"/>
          </w:tcPr>
          <w:p w14:paraId="0073218B" w14:textId="5D2428E3"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245</w:t>
            </w:r>
          </w:p>
        </w:tc>
        <w:tc>
          <w:tcPr>
            <w:tcW w:w="956" w:type="dxa"/>
          </w:tcPr>
          <w:p w14:paraId="638F845A" w14:textId="780C3C34"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310</w:t>
            </w:r>
          </w:p>
        </w:tc>
      </w:tr>
      <w:tr w:rsidR="003A7E34" w:rsidRPr="003A7E34" w14:paraId="0AA3CF1B" w14:textId="77777777" w:rsidTr="00764E6B">
        <w:trPr>
          <w:trHeight w:val="254"/>
        </w:trPr>
        <w:tc>
          <w:tcPr>
            <w:tcW w:w="4751" w:type="dxa"/>
            <w:shd w:val="clear" w:color="auto" w:fill="F0E9E1" w:themeFill="accent4" w:themeFillTint="33"/>
          </w:tcPr>
          <w:p w14:paraId="3A655F34" w14:textId="6E7F4713" w:rsidR="3863BD23" w:rsidRPr="003A7E34" w:rsidRDefault="00DF2D9B" w:rsidP="003C41B9">
            <w:pPr>
              <w:spacing w:before="0" w:after="0"/>
              <w:jc w:val="left"/>
              <w:rPr>
                <w:rFonts w:eastAsia="Times New Roman"/>
                <w:sz w:val="20"/>
                <w:szCs w:val="20"/>
                <w:lang w:val="en-US"/>
              </w:rPr>
            </w:pPr>
            <w:r w:rsidRPr="003A7E34">
              <w:rPr>
                <w:rFonts w:eastAsia="Times New Roman"/>
                <w:sz w:val="20"/>
                <w:szCs w:val="20"/>
                <w:lang w:val="en-US"/>
              </w:rPr>
              <w:t>W</w:t>
            </w:r>
            <w:r w:rsidR="3863BD23" w:rsidRPr="003A7E34">
              <w:rPr>
                <w:rFonts w:eastAsia="Times New Roman"/>
                <w:sz w:val="20"/>
                <w:szCs w:val="20"/>
                <w:lang w:val="en-US"/>
              </w:rPr>
              <w:t>ind power plant total capacity, MW</w:t>
            </w:r>
          </w:p>
        </w:tc>
        <w:tc>
          <w:tcPr>
            <w:tcW w:w="956" w:type="dxa"/>
            <w:shd w:val="clear" w:color="auto" w:fill="F0E9E1" w:themeFill="accent4" w:themeFillTint="33"/>
          </w:tcPr>
          <w:p w14:paraId="0A005A61" w14:textId="1AC422F0"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602</w:t>
            </w:r>
          </w:p>
        </w:tc>
        <w:tc>
          <w:tcPr>
            <w:tcW w:w="956" w:type="dxa"/>
            <w:shd w:val="clear" w:color="auto" w:fill="F0E9E1" w:themeFill="accent4" w:themeFillTint="33"/>
          </w:tcPr>
          <w:p w14:paraId="7C562B80" w14:textId="77ABAED6"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684</w:t>
            </w:r>
          </w:p>
        </w:tc>
        <w:tc>
          <w:tcPr>
            <w:tcW w:w="956" w:type="dxa"/>
            <w:shd w:val="clear" w:color="auto" w:fill="F0E9E1" w:themeFill="accent4" w:themeFillTint="33"/>
          </w:tcPr>
          <w:p w14:paraId="793CEEFA" w14:textId="2FD17C16"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947</w:t>
            </w:r>
          </w:p>
        </w:tc>
        <w:tc>
          <w:tcPr>
            <w:tcW w:w="956" w:type="dxa"/>
            <w:shd w:val="clear" w:color="auto" w:fill="F0E9E1" w:themeFill="accent4" w:themeFillTint="33"/>
          </w:tcPr>
          <w:p w14:paraId="05DB6997" w14:textId="578676AD"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1046</w:t>
            </w:r>
          </w:p>
        </w:tc>
        <w:tc>
          <w:tcPr>
            <w:tcW w:w="956" w:type="dxa"/>
            <w:shd w:val="clear" w:color="auto" w:fill="F0E9E1" w:themeFill="accent4" w:themeFillTint="33"/>
          </w:tcPr>
          <w:p w14:paraId="78E8315A" w14:textId="3239E0F5"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1182</w:t>
            </w:r>
          </w:p>
        </w:tc>
      </w:tr>
      <w:tr w:rsidR="003A7E34" w:rsidRPr="003A7E34" w14:paraId="0C023F65" w14:textId="77777777" w:rsidTr="002D3F00">
        <w:trPr>
          <w:trHeight w:val="254"/>
        </w:trPr>
        <w:tc>
          <w:tcPr>
            <w:tcW w:w="4751" w:type="dxa"/>
          </w:tcPr>
          <w:p w14:paraId="27ACBEB9" w14:textId="571A5D14" w:rsidR="3863BD23" w:rsidRPr="003A7E34" w:rsidRDefault="00DF2D9B" w:rsidP="003C41B9">
            <w:pPr>
              <w:spacing w:before="0" w:after="0"/>
              <w:jc w:val="left"/>
              <w:rPr>
                <w:rFonts w:eastAsia="Times New Roman"/>
                <w:sz w:val="20"/>
                <w:szCs w:val="20"/>
                <w:lang w:val="en-US"/>
              </w:rPr>
            </w:pPr>
            <w:r w:rsidRPr="003A7E34">
              <w:rPr>
                <w:rFonts w:eastAsia="Times New Roman"/>
                <w:sz w:val="20"/>
                <w:szCs w:val="20"/>
                <w:lang w:val="en-US"/>
              </w:rPr>
              <w:t>H</w:t>
            </w:r>
            <w:r w:rsidR="3863BD23" w:rsidRPr="003A7E34">
              <w:rPr>
                <w:rFonts w:eastAsia="Times New Roman"/>
                <w:sz w:val="20"/>
                <w:szCs w:val="20"/>
                <w:lang w:val="en-US"/>
              </w:rPr>
              <w:t>ydro power plant, ktoe</w:t>
            </w:r>
          </w:p>
        </w:tc>
        <w:tc>
          <w:tcPr>
            <w:tcW w:w="956" w:type="dxa"/>
          </w:tcPr>
          <w:p w14:paraId="5961665A" w14:textId="42AD934E"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50</w:t>
            </w:r>
          </w:p>
        </w:tc>
        <w:tc>
          <w:tcPr>
            <w:tcW w:w="956" w:type="dxa"/>
          </w:tcPr>
          <w:p w14:paraId="0C17399A" w14:textId="56EA1A37"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50</w:t>
            </w:r>
          </w:p>
        </w:tc>
        <w:tc>
          <w:tcPr>
            <w:tcW w:w="956" w:type="dxa"/>
          </w:tcPr>
          <w:p w14:paraId="6804D073" w14:textId="5002E572"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50</w:t>
            </w:r>
          </w:p>
        </w:tc>
        <w:tc>
          <w:tcPr>
            <w:tcW w:w="956" w:type="dxa"/>
          </w:tcPr>
          <w:p w14:paraId="23AAFA83" w14:textId="5CAEF4EA"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50</w:t>
            </w:r>
          </w:p>
        </w:tc>
        <w:tc>
          <w:tcPr>
            <w:tcW w:w="956" w:type="dxa"/>
          </w:tcPr>
          <w:p w14:paraId="14E657F5" w14:textId="755BA298"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50</w:t>
            </w:r>
          </w:p>
        </w:tc>
      </w:tr>
      <w:tr w:rsidR="003A7E34" w:rsidRPr="003A7E34" w14:paraId="68605FF3" w14:textId="77777777" w:rsidTr="00764E6B">
        <w:trPr>
          <w:trHeight w:val="254"/>
        </w:trPr>
        <w:tc>
          <w:tcPr>
            <w:tcW w:w="4751" w:type="dxa"/>
            <w:shd w:val="clear" w:color="auto" w:fill="F0E9E1" w:themeFill="accent4" w:themeFillTint="33"/>
          </w:tcPr>
          <w:p w14:paraId="38A2DB69" w14:textId="0A9232E3" w:rsidR="3863BD23" w:rsidRPr="003A7E34" w:rsidRDefault="00DF2D9B" w:rsidP="003C41B9">
            <w:pPr>
              <w:spacing w:before="0" w:after="0"/>
              <w:jc w:val="left"/>
              <w:rPr>
                <w:rFonts w:eastAsia="Times New Roman"/>
                <w:sz w:val="20"/>
                <w:szCs w:val="20"/>
                <w:lang w:val="en-US"/>
              </w:rPr>
            </w:pPr>
            <w:r w:rsidRPr="003A7E34">
              <w:rPr>
                <w:rFonts w:eastAsia="Times New Roman"/>
                <w:sz w:val="20"/>
                <w:szCs w:val="20"/>
                <w:lang w:val="en-US"/>
              </w:rPr>
              <w:t>H</w:t>
            </w:r>
            <w:r w:rsidR="3863BD23" w:rsidRPr="003A7E34">
              <w:rPr>
                <w:rFonts w:eastAsia="Times New Roman"/>
                <w:sz w:val="20"/>
                <w:szCs w:val="20"/>
                <w:lang w:val="en-US"/>
              </w:rPr>
              <w:t>ydro power plant total capacity, MW</w:t>
            </w:r>
          </w:p>
        </w:tc>
        <w:tc>
          <w:tcPr>
            <w:tcW w:w="956" w:type="dxa"/>
            <w:shd w:val="clear" w:color="auto" w:fill="F0E9E1" w:themeFill="accent4" w:themeFillTint="33"/>
          </w:tcPr>
          <w:p w14:paraId="1C863286" w14:textId="4C747662"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128</w:t>
            </w:r>
          </w:p>
        </w:tc>
        <w:tc>
          <w:tcPr>
            <w:tcW w:w="956" w:type="dxa"/>
            <w:shd w:val="clear" w:color="auto" w:fill="F0E9E1" w:themeFill="accent4" w:themeFillTint="33"/>
          </w:tcPr>
          <w:p w14:paraId="4B8617C2" w14:textId="1D8B8BF3"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128</w:t>
            </w:r>
          </w:p>
        </w:tc>
        <w:tc>
          <w:tcPr>
            <w:tcW w:w="956" w:type="dxa"/>
            <w:shd w:val="clear" w:color="auto" w:fill="F0E9E1" w:themeFill="accent4" w:themeFillTint="33"/>
          </w:tcPr>
          <w:p w14:paraId="27FF8B71" w14:textId="129E5514"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128</w:t>
            </w:r>
          </w:p>
        </w:tc>
        <w:tc>
          <w:tcPr>
            <w:tcW w:w="956" w:type="dxa"/>
            <w:shd w:val="clear" w:color="auto" w:fill="F0E9E1" w:themeFill="accent4" w:themeFillTint="33"/>
          </w:tcPr>
          <w:p w14:paraId="7B83F4F9" w14:textId="4A540AE0"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128</w:t>
            </w:r>
          </w:p>
        </w:tc>
        <w:tc>
          <w:tcPr>
            <w:tcW w:w="956" w:type="dxa"/>
            <w:shd w:val="clear" w:color="auto" w:fill="F0E9E1" w:themeFill="accent4" w:themeFillTint="33"/>
          </w:tcPr>
          <w:p w14:paraId="76312BF2" w14:textId="1EE1E3B3"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128</w:t>
            </w:r>
          </w:p>
        </w:tc>
      </w:tr>
      <w:tr w:rsidR="003A7E34" w:rsidRPr="003A7E34" w14:paraId="036ED8BB" w14:textId="77777777" w:rsidTr="002D3F00">
        <w:trPr>
          <w:trHeight w:val="254"/>
        </w:trPr>
        <w:tc>
          <w:tcPr>
            <w:tcW w:w="4751" w:type="dxa"/>
          </w:tcPr>
          <w:p w14:paraId="5D0969B4" w14:textId="23357AEE" w:rsidR="3863BD23" w:rsidRPr="003A7E34" w:rsidRDefault="3863BD23" w:rsidP="003C41B9">
            <w:pPr>
              <w:spacing w:before="0" w:after="0"/>
              <w:jc w:val="left"/>
              <w:rPr>
                <w:rFonts w:eastAsia="Times New Roman"/>
                <w:sz w:val="20"/>
                <w:szCs w:val="20"/>
                <w:lang w:val="en-US"/>
              </w:rPr>
            </w:pPr>
            <w:r w:rsidRPr="003A7E34">
              <w:rPr>
                <w:rFonts w:eastAsia="Times New Roman"/>
                <w:sz w:val="20"/>
                <w:szCs w:val="20"/>
                <w:lang w:val="en-US"/>
              </w:rPr>
              <w:t>solar power plant, ktoe</w:t>
            </w:r>
          </w:p>
        </w:tc>
        <w:tc>
          <w:tcPr>
            <w:tcW w:w="956" w:type="dxa"/>
          </w:tcPr>
          <w:p w14:paraId="40602274" w14:textId="47CCDFC0"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27</w:t>
            </w:r>
          </w:p>
        </w:tc>
        <w:tc>
          <w:tcPr>
            <w:tcW w:w="956" w:type="dxa"/>
          </w:tcPr>
          <w:p w14:paraId="4110C67D" w14:textId="40494CDF"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38</w:t>
            </w:r>
          </w:p>
        </w:tc>
        <w:tc>
          <w:tcPr>
            <w:tcW w:w="956" w:type="dxa"/>
          </w:tcPr>
          <w:p w14:paraId="2CD46B5E" w14:textId="7769875C"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76</w:t>
            </w:r>
          </w:p>
        </w:tc>
        <w:tc>
          <w:tcPr>
            <w:tcW w:w="956" w:type="dxa"/>
          </w:tcPr>
          <w:p w14:paraId="0FAB5D56" w14:textId="07B8E632"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96</w:t>
            </w:r>
          </w:p>
        </w:tc>
        <w:tc>
          <w:tcPr>
            <w:tcW w:w="956" w:type="dxa"/>
          </w:tcPr>
          <w:p w14:paraId="41EF9879" w14:textId="4BE0016F"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135</w:t>
            </w:r>
          </w:p>
        </w:tc>
      </w:tr>
      <w:tr w:rsidR="003A7E34" w:rsidRPr="003A7E34" w14:paraId="3034061B" w14:textId="77777777" w:rsidTr="00764E6B">
        <w:trPr>
          <w:trHeight w:val="254"/>
        </w:trPr>
        <w:tc>
          <w:tcPr>
            <w:tcW w:w="4751" w:type="dxa"/>
            <w:shd w:val="clear" w:color="auto" w:fill="F0E9E1" w:themeFill="accent4" w:themeFillTint="33"/>
          </w:tcPr>
          <w:p w14:paraId="784529F0" w14:textId="71A82782" w:rsidR="3863BD23" w:rsidRPr="003A7E34" w:rsidRDefault="00DF2D9B" w:rsidP="003C41B9">
            <w:pPr>
              <w:spacing w:before="0" w:after="0"/>
              <w:jc w:val="left"/>
              <w:rPr>
                <w:rFonts w:eastAsia="Times New Roman"/>
                <w:sz w:val="20"/>
                <w:szCs w:val="20"/>
                <w:lang w:val="en-US"/>
              </w:rPr>
            </w:pPr>
            <w:r w:rsidRPr="003A7E34">
              <w:rPr>
                <w:rFonts w:eastAsia="Times New Roman"/>
                <w:sz w:val="20"/>
                <w:szCs w:val="20"/>
                <w:lang w:val="en-US"/>
              </w:rPr>
              <w:t>S</w:t>
            </w:r>
            <w:r w:rsidR="3863BD23" w:rsidRPr="003A7E34">
              <w:rPr>
                <w:rFonts w:eastAsia="Times New Roman"/>
                <w:sz w:val="20"/>
                <w:szCs w:val="20"/>
                <w:lang w:val="en-US"/>
              </w:rPr>
              <w:t>olar power plant total capacity, MW</w:t>
            </w:r>
          </w:p>
        </w:tc>
        <w:tc>
          <w:tcPr>
            <w:tcW w:w="956" w:type="dxa"/>
            <w:shd w:val="clear" w:color="auto" w:fill="F0E9E1" w:themeFill="accent4" w:themeFillTint="33"/>
          </w:tcPr>
          <w:p w14:paraId="6C3D795D" w14:textId="4341C543"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310</w:t>
            </w:r>
          </w:p>
        </w:tc>
        <w:tc>
          <w:tcPr>
            <w:tcW w:w="956" w:type="dxa"/>
            <w:shd w:val="clear" w:color="auto" w:fill="F0E9E1" w:themeFill="accent4" w:themeFillTint="33"/>
          </w:tcPr>
          <w:p w14:paraId="5A2279B4" w14:textId="25713C60"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431</w:t>
            </w:r>
          </w:p>
        </w:tc>
        <w:tc>
          <w:tcPr>
            <w:tcW w:w="956" w:type="dxa"/>
            <w:shd w:val="clear" w:color="auto" w:fill="F0E9E1" w:themeFill="accent4" w:themeFillTint="33"/>
          </w:tcPr>
          <w:p w14:paraId="49FEC318" w14:textId="10FF031A"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860</w:t>
            </w:r>
          </w:p>
        </w:tc>
        <w:tc>
          <w:tcPr>
            <w:tcW w:w="956" w:type="dxa"/>
            <w:shd w:val="clear" w:color="auto" w:fill="F0E9E1" w:themeFill="accent4" w:themeFillTint="33"/>
          </w:tcPr>
          <w:p w14:paraId="6797938D" w14:textId="3C88335E"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1088</w:t>
            </w:r>
          </w:p>
        </w:tc>
        <w:tc>
          <w:tcPr>
            <w:tcW w:w="956" w:type="dxa"/>
            <w:shd w:val="clear" w:color="auto" w:fill="F0E9E1" w:themeFill="accent4" w:themeFillTint="33"/>
          </w:tcPr>
          <w:p w14:paraId="0EADB87B" w14:textId="5B860B78"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1530</w:t>
            </w:r>
          </w:p>
        </w:tc>
      </w:tr>
      <w:tr w:rsidR="003A7E34" w:rsidRPr="003A7E34" w14:paraId="784AA6E1" w14:textId="77777777" w:rsidTr="002D3F00">
        <w:trPr>
          <w:trHeight w:val="254"/>
        </w:trPr>
        <w:tc>
          <w:tcPr>
            <w:tcW w:w="4751" w:type="dxa"/>
          </w:tcPr>
          <w:p w14:paraId="267A5FFE" w14:textId="4100D2AC" w:rsidR="3863BD23" w:rsidRPr="003A7E34" w:rsidRDefault="00DF2D9B" w:rsidP="003C41B9">
            <w:pPr>
              <w:spacing w:before="0" w:after="0"/>
              <w:jc w:val="left"/>
              <w:rPr>
                <w:rFonts w:eastAsia="Times New Roman"/>
                <w:sz w:val="20"/>
                <w:szCs w:val="20"/>
                <w:lang w:val="en-US"/>
              </w:rPr>
            </w:pPr>
            <w:r w:rsidRPr="003A7E34">
              <w:rPr>
                <w:rFonts w:eastAsia="Times New Roman"/>
                <w:sz w:val="20"/>
                <w:szCs w:val="20"/>
                <w:lang w:val="en-US"/>
              </w:rPr>
              <w:t>B</w:t>
            </w:r>
            <w:r w:rsidR="3863BD23" w:rsidRPr="003A7E34">
              <w:rPr>
                <w:rFonts w:eastAsia="Times New Roman"/>
                <w:sz w:val="20"/>
                <w:szCs w:val="20"/>
                <w:lang w:val="en-US"/>
              </w:rPr>
              <w:t>iomass power plant, ktoe</w:t>
            </w:r>
          </w:p>
        </w:tc>
        <w:tc>
          <w:tcPr>
            <w:tcW w:w="956" w:type="dxa"/>
          </w:tcPr>
          <w:p w14:paraId="70FCD1D4" w14:textId="408CB7CD"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56</w:t>
            </w:r>
          </w:p>
        </w:tc>
        <w:tc>
          <w:tcPr>
            <w:tcW w:w="956" w:type="dxa"/>
          </w:tcPr>
          <w:p w14:paraId="104E113D" w14:textId="377C88BA"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56</w:t>
            </w:r>
          </w:p>
        </w:tc>
        <w:tc>
          <w:tcPr>
            <w:tcW w:w="956" w:type="dxa"/>
          </w:tcPr>
          <w:p w14:paraId="35CF6546" w14:textId="1E83D1D9"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54</w:t>
            </w:r>
          </w:p>
        </w:tc>
        <w:tc>
          <w:tcPr>
            <w:tcW w:w="956" w:type="dxa"/>
          </w:tcPr>
          <w:p w14:paraId="34A8CB1C" w14:textId="1688D518"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53</w:t>
            </w:r>
          </w:p>
        </w:tc>
        <w:tc>
          <w:tcPr>
            <w:tcW w:w="956" w:type="dxa"/>
          </w:tcPr>
          <w:p w14:paraId="0AAC4E6F" w14:textId="41B47C50"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51</w:t>
            </w:r>
          </w:p>
        </w:tc>
      </w:tr>
      <w:tr w:rsidR="003A7E34" w:rsidRPr="003A7E34" w14:paraId="7899A858" w14:textId="77777777" w:rsidTr="00764E6B">
        <w:trPr>
          <w:trHeight w:val="254"/>
        </w:trPr>
        <w:tc>
          <w:tcPr>
            <w:tcW w:w="4751" w:type="dxa"/>
            <w:shd w:val="clear" w:color="auto" w:fill="F0E9E1" w:themeFill="accent4" w:themeFillTint="33"/>
          </w:tcPr>
          <w:p w14:paraId="60534B1B" w14:textId="08A9CBA5" w:rsidR="3863BD23" w:rsidRPr="003A7E34" w:rsidRDefault="00DF2D9B" w:rsidP="003C41B9">
            <w:pPr>
              <w:spacing w:before="0" w:after="0"/>
              <w:jc w:val="left"/>
              <w:rPr>
                <w:rFonts w:eastAsia="Times New Roman"/>
                <w:sz w:val="20"/>
                <w:szCs w:val="20"/>
                <w:lang w:val="en-US"/>
              </w:rPr>
            </w:pPr>
            <w:r w:rsidRPr="003A7E34">
              <w:rPr>
                <w:rFonts w:eastAsia="Times New Roman"/>
                <w:sz w:val="20"/>
                <w:szCs w:val="20"/>
                <w:lang w:val="en-US"/>
              </w:rPr>
              <w:t>B</w:t>
            </w:r>
            <w:r w:rsidR="3863BD23" w:rsidRPr="003A7E34">
              <w:rPr>
                <w:rFonts w:eastAsia="Times New Roman"/>
                <w:sz w:val="20"/>
                <w:szCs w:val="20"/>
                <w:lang w:val="en-US"/>
              </w:rPr>
              <w:t>iomass power plant total capacity, MW</w:t>
            </w:r>
          </w:p>
        </w:tc>
        <w:tc>
          <w:tcPr>
            <w:tcW w:w="956" w:type="dxa"/>
            <w:shd w:val="clear" w:color="auto" w:fill="F0E9E1" w:themeFill="accent4" w:themeFillTint="33"/>
          </w:tcPr>
          <w:p w14:paraId="022A9679" w14:textId="33879A62"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150</w:t>
            </w:r>
          </w:p>
        </w:tc>
        <w:tc>
          <w:tcPr>
            <w:tcW w:w="956" w:type="dxa"/>
            <w:shd w:val="clear" w:color="auto" w:fill="F0E9E1" w:themeFill="accent4" w:themeFillTint="33"/>
          </w:tcPr>
          <w:p w14:paraId="6BA29041" w14:textId="7B806689"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149</w:t>
            </w:r>
          </w:p>
        </w:tc>
        <w:tc>
          <w:tcPr>
            <w:tcW w:w="956" w:type="dxa"/>
            <w:shd w:val="clear" w:color="auto" w:fill="F0E9E1" w:themeFill="accent4" w:themeFillTint="33"/>
          </w:tcPr>
          <w:p w14:paraId="24D81C43" w14:textId="0A7737C5"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144</w:t>
            </w:r>
          </w:p>
        </w:tc>
        <w:tc>
          <w:tcPr>
            <w:tcW w:w="956" w:type="dxa"/>
            <w:shd w:val="clear" w:color="auto" w:fill="F0E9E1" w:themeFill="accent4" w:themeFillTint="33"/>
          </w:tcPr>
          <w:p w14:paraId="728B8354" w14:textId="3DAC9D29"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142</w:t>
            </w:r>
          </w:p>
        </w:tc>
        <w:tc>
          <w:tcPr>
            <w:tcW w:w="956" w:type="dxa"/>
            <w:shd w:val="clear" w:color="auto" w:fill="F0E9E1" w:themeFill="accent4" w:themeFillTint="33"/>
          </w:tcPr>
          <w:p w14:paraId="291A3C73" w14:textId="3929F108"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137</w:t>
            </w:r>
          </w:p>
        </w:tc>
      </w:tr>
      <w:tr w:rsidR="003A7E34" w:rsidRPr="003A7E34" w14:paraId="61D4600B" w14:textId="77777777" w:rsidTr="002D3F00">
        <w:trPr>
          <w:trHeight w:val="254"/>
        </w:trPr>
        <w:tc>
          <w:tcPr>
            <w:tcW w:w="4751" w:type="dxa"/>
          </w:tcPr>
          <w:p w14:paraId="58F09E8F" w14:textId="22803D24" w:rsidR="3863BD23" w:rsidRPr="003A7E34" w:rsidRDefault="00DF2D9B" w:rsidP="003C41B9">
            <w:pPr>
              <w:spacing w:before="0" w:after="0"/>
              <w:jc w:val="left"/>
              <w:rPr>
                <w:rFonts w:eastAsia="Times New Roman"/>
                <w:sz w:val="20"/>
                <w:szCs w:val="20"/>
                <w:lang w:val="en-US"/>
              </w:rPr>
            </w:pPr>
            <w:r w:rsidRPr="003A7E34">
              <w:rPr>
                <w:rFonts w:eastAsia="Times New Roman"/>
                <w:sz w:val="20"/>
                <w:szCs w:val="20"/>
                <w:lang w:val="en-US"/>
              </w:rPr>
              <w:t>B</w:t>
            </w:r>
            <w:r w:rsidR="3863BD23" w:rsidRPr="003A7E34">
              <w:rPr>
                <w:rFonts w:eastAsia="Times New Roman"/>
                <w:sz w:val="20"/>
                <w:szCs w:val="20"/>
                <w:lang w:val="en-US"/>
              </w:rPr>
              <w:t>iogas power plant, ktoe</w:t>
            </w:r>
          </w:p>
        </w:tc>
        <w:tc>
          <w:tcPr>
            <w:tcW w:w="956" w:type="dxa"/>
          </w:tcPr>
          <w:p w14:paraId="0488791D" w14:textId="7B385B1C"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13</w:t>
            </w:r>
          </w:p>
        </w:tc>
        <w:tc>
          <w:tcPr>
            <w:tcW w:w="956" w:type="dxa"/>
          </w:tcPr>
          <w:p w14:paraId="1DA995E1" w14:textId="0AF8C91D"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12</w:t>
            </w:r>
          </w:p>
        </w:tc>
        <w:tc>
          <w:tcPr>
            <w:tcW w:w="956" w:type="dxa"/>
          </w:tcPr>
          <w:p w14:paraId="294121FF" w14:textId="1E1C6BAD"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11</w:t>
            </w:r>
          </w:p>
        </w:tc>
        <w:tc>
          <w:tcPr>
            <w:tcW w:w="956" w:type="dxa"/>
          </w:tcPr>
          <w:p w14:paraId="1EC4FEFD" w14:textId="35F903B5"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10</w:t>
            </w:r>
          </w:p>
        </w:tc>
        <w:tc>
          <w:tcPr>
            <w:tcW w:w="956" w:type="dxa"/>
          </w:tcPr>
          <w:p w14:paraId="61B7FC6D" w14:textId="04CAE12B"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9</w:t>
            </w:r>
          </w:p>
        </w:tc>
      </w:tr>
      <w:tr w:rsidR="003A7E34" w:rsidRPr="003A7E34" w14:paraId="7DEDC867" w14:textId="77777777" w:rsidTr="00764E6B">
        <w:trPr>
          <w:trHeight w:val="254"/>
        </w:trPr>
        <w:tc>
          <w:tcPr>
            <w:tcW w:w="4751" w:type="dxa"/>
            <w:shd w:val="clear" w:color="auto" w:fill="F0E9E1" w:themeFill="accent4" w:themeFillTint="33"/>
          </w:tcPr>
          <w:p w14:paraId="1183F8E9" w14:textId="69AF9738" w:rsidR="3863BD23" w:rsidRPr="003A7E34" w:rsidRDefault="00DF2D9B" w:rsidP="003C41B9">
            <w:pPr>
              <w:spacing w:before="0" w:after="0"/>
              <w:jc w:val="left"/>
              <w:rPr>
                <w:rFonts w:eastAsia="Times New Roman"/>
                <w:sz w:val="20"/>
                <w:szCs w:val="20"/>
                <w:lang w:val="en-US"/>
              </w:rPr>
            </w:pPr>
            <w:r w:rsidRPr="003A7E34">
              <w:rPr>
                <w:rFonts w:eastAsia="Times New Roman"/>
                <w:sz w:val="20"/>
                <w:szCs w:val="20"/>
                <w:lang w:val="en-US"/>
              </w:rPr>
              <w:t>B</w:t>
            </w:r>
            <w:r w:rsidR="3863BD23" w:rsidRPr="003A7E34">
              <w:rPr>
                <w:rFonts w:eastAsia="Times New Roman"/>
                <w:sz w:val="20"/>
                <w:szCs w:val="20"/>
                <w:lang w:val="en-US"/>
              </w:rPr>
              <w:t>iogas power plant total capacity, MW</w:t>
            </w:r>
          </w:p>
        </w:tc>
        <w:tc>
          <w:tcPr>
            <w:tcW w:w="956" w:type="dxa"/>
            <w:shd w:val="clear" w:color="auto" w:fill="F0E9E1" w:themeFill="accent4" w:themeFillTint="33"/>
          </w:tcPr>
          <w:p w14:paraId="5D7EEB71" w14:textId="6476AA55"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34</w:t>
            </w:r>
          </w:p>
        </w:tc>
        <w:tc>
          <w:tcPr>
            <w:tcW w:w="956" w:type="dxa"/>
            <w:shd w:val="clear" w:color="auto" w:fill="F0E9E1" w:themeFill="accent4" w:themeFillTint="33"/>
          </w:tcPr>
          <w:p w14:paraId="108FD498" w14:textId="706D1A72"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33</w:t>
            </w:r>
          </w:p>
        </w:tc>
        <w:tc>
          <w:tcPr>
            <w:tcW w:w="956" w:type="dxa"/>
            <w:shd w:val="clear" w:color="auto" w:fill="F0E9E1" w:themeFill="accent4" w:themeFillTint="33"/>
          </w:tcPr>
          <w:p w14:paraId="218897CA" w14:textId="58FE4EE8"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29</w:t>
            </w:r>
          </w:p>
        </w:tc>
        <w:tc>
          <w:tcPr>
            <w:tcW w:w="956" w:type="dxa"/>
            <w:shd w:val="clear" w:color="auto" w:fill="F0E9E1" w:themeFill="accent4" w:themeFillTint="33"/>
          </w:tcPr>
          <w:p w14:paraId="42E9BC7B" w14:textId="0EC9DFAC"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28</w:t>
            </w:r>
          </w:p>
        </w:tc>
        <w:tc>
          <w:tcPr>
            <w:tcW w:w="956" w:type="dxa"/>
            <w:shd w:val="clear" w:color="auto" w:fill="F0E9E1" w:themeFill="accent4" w:themeFillTint="33"/>
          </w:tcPr>
          <w:p w14:paraId="2E651794" w14:textId="0F83570A" w:rsidR="3863BD23" w:rsidRPr="003A7E34" w:rsidRDefault="3863BD23" w:rsidP="003C41B9">
            <w:pPr>
              <w:spacing w:before="0" w:after="0"/>
              <w:jc w:val="center"/>
              <w:rPr>
                <w:rFonts w:eastAsia="Times New Roman"/>
                <w:sz w:val="20"/>
                <w:szCs w:val="20"/>
                <w:lang w:val="en-US"/>
              </w:rPr>
            </w:pPr>
            <w:r w:rsidRPr="003A7E34">
              <w:rPr>
                <w:rFonts w:eastAsia="Times New Roman"/>
                <w:sz w:val="20"/>
                <w:szCs w:val="20"/>
                <w:lang w:val="en-US"/>
              </w:rPr>
              <w:t>24</w:t>
            </w:r>
          </w:p>
        </w:tc>
      </w:tr>
    </w:tbl>
    <w:p w14:paraId="2F3C0F11" w14:textId="4EF896D7" w:rsidR="02384B0C" w:rsidRPr="003A7E34" w:rsidRDefault="02384B0C">
      <w:pPr>
        <w:rPr>
          <w:rFonts w:eastAsia="Times New Roman"/>
          <w:noProof/>
          <w:szCs w:val="24"/>
          <w:lang w:val="en-US"/>
        </w:rPr>
      </w:pPr>
    </w:p>
    <w:p w14:paraId="30B3DAB1" w14:textId="23DA470E" w:rsidR="1A4A8C9E" w:rsidRPr="003A7E34" w:rsidRDefault="00561629" w:rsidP="003C41B9">
      <w:pPr>
        <w:jc w:val="center"/>
        <w:rPr>
          <w:rFonts w:eastAsia="Times New Roman"/>
          <w:lang w:val="en-US"/>
        </w:rPr>
      </w:pPr>
      <w:r w:rsidRPr="003A7E34">
        <w:rPr>
          <w:b/>
          <w:noProof/>
          <w:lang w:val="en-US"/>
        </w:rPr>
        <w:lastRenderedPageBreak/>
        <w:drawing>
          <wp:inline distT="0" distB="0" distL="0" distR="0" wp14:anchorId="6F9060A4" wp14:editId="4F9FB14E">
            <wp:extent cx="6120765" cy="3514725"/>
            <wp:effectExtent l="0" t="0" r="13335" b="9525"/>
            <wp:docPr id="5" name="Chart 5">
              <a:extLst xmlns:a="http://schemas.openxmlformats.org/drawingml/2006/main">
                <a:ext uri="{FF2B5EF4-FFF2-40B4-BE49-F238E27FC236}">
                  <a16:creationId xmlns:a16="http://schemas.microsoft.com/office/drawing/2014/main" id="{E6D4F661-FB08-4075-A9BB-318ED65155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2F5DFC" w14:textId="30EB1EB6" w:rsidR="02384B0C" w:rsidRPr="003A7E34" w:rsidRDefault="1F603D79" w:rsidP="1F603D79">
      <w:pPr>
        <w:jc w:val="center"/>
        <w:rPr>
          <w:rFonts w:eastAsia="Times New Roman"/>
          <w:lang w:val="en-US"/>
        </w:rPr>
      </w:pPr>
      <w:r w:rsidRPr="003A7E34">
        <w:rPr>
          <w:rFonts w:eastAsia="Times New Roman"/>
          <w:b/>
          <w:bCs/>
          <w:noProof/>
          <w:sz w:val="20"/>
          <w:szCs w:val="20"/>
          <w:lang w:val="en-US"/>
        </w:rPr>
        <w:t xml:space="preserve">Figure 2.1.2.3. </w:t>
      </w:r>
      <w:r w:rsidRPr="003A7E34">
        <w:rPr>
          <w:rFonts w:eastAsia="Times New Roman"/>
          <w:noProof/>
          <w:sz w:val="20"/>
          <w:szCs w:val="20"/>
          <w:lang w:val="en-US"/>
        </w:rPr>
        <w:t xml:space="preserve">RES in </w:t>
      </w:r>
      <w:r w:rsidR="0074435D" w:rsidRPr="003A7E34">
        <w:rPr>
          <w:rFonts w:eastAsia="Times New Roman"/>
          <w:noProof/>
          <w:sz w:val="20"/>
          <w:szCs w:val="20"/>
          <w:lang w:val="en-US"/>
        </w:rPr>
        <w:t xml:space="preserve">the </w:t>
      </w:r>
      <w:r w:rsidRPr="003A7E34">
        <w:rPr>
          <w:rFonts w:eastAsia="Times New Roman"/>
          <w:noProof/>
          <w:sz w:val="20"/>
          <w:szCs w:val="20"/>
          <w:lang w:val="en-US"/>
        </w:rPr>
        <w:t>final energy consumption</w:t>
      </w:r>
    </w:p>
    <w:p w14:paraId="46677EDC" w14:textId="43BEC90B" w:rsidR="67452D63" w:rsidRPr="003A7E34" w:rsidRDefault="67452D63" w:rsidP="67452D63">
      <w:pPr>
        <w:jc w:val="center"/>
        <w:rPr>
          <w:rFonts w:eastAsia="Times New Roman"/>
          <w:lang w:val="en-US"/>
        </w:rPr>
      </w:pPr>
    </w:p>
    <w:p w14:paraId="4E269149" w14:textId="77777777" w:rsidR="003C41B9" w:rsidRPr="003A7E34" w:rsidRDefault="46DF7FC9" w:rsidP="003C41B9">
      <w:pPr>
        <w:spacing w:before="0"/>
        <w:rPr>
          <w:rFonts w:eastAsia="Times New Roman"/>
          <w:noProof/>
          <w:lang w:val="en-US"/>
        </w:rPr>
      </w:pPr>
      <w:r w:rsidRPr="003A7E34">
        <w:rPr>
          <w:rFonts w:eastAsia="Times New Roman"/>
          <w:b/>
          <w:bCs/>
          <w:i/>
          <w:iCs/>
          <w:noProof/>
          <w:lang w:val="en-US"/>
        </w:rPr>
        <w:t xml:space="preserve">Heating. </w:t>
      </w:r>
      <w:r w:rsidRPr="003A7E34">
        <w:rPr>
          <w:rFonts w:eastAsia="Times New Roman"/>
          <w:noProof/>
          <w:lang w:val="en-US"/>
        </w:rPr>
        <w:t>The dynamics of the fuel used in the DHS supply.</w:t>
      </w:r>
    </w:p>
    <w:p w14:paraId="39E5650F" w14:textId="05268F3A" w:rsidR="46DF7FC9" w:rsidRPr="003A7E34" w:rsidRDefault="1F603D79" w:rsidP="1F603D79">
      <w:pPr>
        <w:rPr>
          <w:rFonts w:eastAsia="Times New Roman"/>
          <w:noProof/>
          <w:lang w:val="en-US"/>
        </w:rPr>
      </w:pPr>
      <w:r w:rsidRPr="003A7E34">
        <w:rPr>
          <w:rFonts w:eastAsia="Times New Roman"/>
          <w:b/>
          <w:bCs/>
          <w:noProof/>
          <w:sz w:val="20"/>
          <w:szCs w:val="20"/>
          <w:lang w:val="en-US"/>
        </w:rPr>
        <w:t xml:space="preserve">Table 2.1.2.4. </w:t>
      </w:r>
      <w:r w:rsidRPr="003A7E34">
        <w:rPr>
          <w:rFonts w:eastAsia="Times New Roman"/>
          <w:noProof/>
          <w:sz w:val="20"/>
          <w:szCs w:val="20"/>
          <w:lang w:val="en-US"/>
        </w:rPr>
        <w:t xml:space="preserve">Estimated trajectories </w:t>
      </w:r>
      <w:r w:rsidR="0074435D" w:rsidRPr="003A7E34">
        <w:rPr>
          <w:rFonts w:eastAsia="Times New Roman"/>
          <w:noProof/>
          <w:sz w:val="20"/>
          <w:szCs w:val="20"/>
          <w:lang w:val="en-US"/>
        </w:rPr>
        <w:t xml:space="preserve">for the </w:t>
      </w:r>
      <w:r w:rsidRPr="003A7E34">
        <w:rPr>
          <w:rFonts w:eastAsia="Times New Roman"/>
          <w:noProof/>
          <w:sz w:val="20"/>
          <w:szCs w:val="20"/>
          <w:lang w:val="en-US"/>
        </w:rPr>
        <w:t>renewable energy (including waste) technologies in DHS:</w:t>
      </w:r>
    </w:p>
    <w:tbl>
      <w:tblPr>
        <w:tblStyle w:val="TableGrid"/>
        <w:tblW w:w="0" w:type="auto"/>
        <w:tblLook w:val="06A0" w:firstRow="1" w:lastRow="0" w:firstColumn="1" w:lastColumn="0" w:noHBand="1" w:noVBand="1"/>
      </w:tblPr>
      <w:tblGrid>
        <w:gridCol w:w="4751"/>
        <w:gridCol w:w="956"/>
        <w:gridCol w:w="956"/>
        <w:gridCol w:w="956"/>
        <w:gridCol w:w="956"/>
        <w:gridCol w:w="956"/>
      </w:tblGrid>
      <w:tr w:rsidR="003A7E34" w:rsidRPr="003A7E34" w14:paraId="08743A98" w14:textId="77777777" w:rsidTr="46DF7FC9">
        <w:trPr>
          <w:trHeight w:val="254"/>
        </w:trPr>
        <w:tc>
          <w:tcPr>
            <w:tcW w:w="4751" w:type="dxa"/>
          </w:tcPr>
          <w:p w14:paraId="466BF80B" w14:textId="5D0C3EB8" w:rsidR="46DF7FC9" w:rsidRPr="003A7E34" w:rsidRDefault="46DF7FC9" w:rsidP="46DF7FC9">
            <w:pPr>
              <w:spacing w:before="0" w:after="0"/>
              <w:rPr>
                <w:rFonts w:eastAsia="Times New Roman"/>
                <w:sz w:val="20"/>
                <w:szCs w:val="20"/>
                <w:lang w:val="en-US"/>
              </w:rPr>
            </w:pPr>
            <w:r w:rsidRPr="003A7E34">
              <w:rPr>
                <w:rFonts w:eastAsia="Times New Roman"/>
                <w:sz w:val="20"/>
                <w:szCs w:val="20"/>
                <w:lang w:val="en-US"/>
              </w:rPr>
              <w:t xml:space="preserve"> </w:t>
            </w:r>
          </w:p>
        </w:tc>
        <w:tc>
          <w:tcPr>
            <w:tcW w:w="956" w:type="dxa"/>
          </w:tcPr>
          <w:p w14:paraId="23354534" w14:textId="6E824153"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2021</w:t>
            </w:r>
          </w:p>
        </w:tc>
        <w:tc>
          <w:tcPr>
            <w:tcW w:w="956" w:type="dxa"/>
          </w:tcPr>
          <w:p w14:paraId="088494E9" w14:textId="06C9A2FD"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2022</w:t>
            </w:r>
          </w:p>
        </w:tc>
        <w:tc>
          <w:tcPr>
            <w:tcW w:w="956" w:type="dxa"/>
          </w:tcPr>
          <w:p w14:paraId="604911EB" w14:textId="3F5EAA3B"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2025</w:t>
            </w:r>
          </w:p>
        </w:tc>
        <w:tc>
          <w:tcPr>
            <w:tcW w:w="956" w:type="dxa"/>
          </w:tcPr>
          <w:p w14:paraId="4FEB935C" w14:textId="5B6916FF"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2027</w:t>
            </w:r>
          </w:p>
        </w:tc>
        <w:tc>
          <w:tcPr>
            <w:tcW w:w="956" w:type="dxa"/>
          </w:tcPr>
          <w:p w14:paraId="462DD3BE" w14:textId="08D84F82"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2030</w:t>
            </w:r>
          </w:p>
        </w:tc>
      </w:tr>
      <w:tr w:rsidR="003A7E34" w:rsidRPr="003A7E34" w14:paraId="06C3F1E4" w14:textId="77777777" w:rsidTr="46DF7FC9">
        <w:trPr>
          <w:trHeight w:val="254"/>
        </w:trPr>
        <w:tc>
          <w:tcPr>
            <w:tcW w:w="4751" w:type="dxa"/>
          </w:tcPr>
          <w:p w14:paraId="0A63C395" w14:textId="09C07134" w:rsidR="46DF7FC9" w:rsidRPr="003A7E34" w:rsidRDefault="46DF7FC9" w:rsidP="46DF7FC9">
            <w:pPr>
              <w:spacing w:before="0" w:after="0"/>
              <w:rPr>
                <w:rFonts w:eastAsia="Times New Roman"/>
                <w:sz w:val="20"/>
                <w:szCs w:val="20"/>
                <w:lang w:val="en-US"/>
              </w:rPr>
            </w:pPr>
            <w:r w:rsidRPr="003A7E34">
              <w:rPr>
                <w:rFonts w:eastAsia="Times New Roman"/>
                <w:sz w:val="20"/>
                <w:szCs w:val="20"/>
                <w:lang w:val="en-US"/>
              </w:rPr>
              <w:t>RES-E, ktoe</w:t>
            </w:r>
          </w:p>
        </w:tc>
        <w:tc>
          <w:tcPr>
            <w:tcW w:w="956" w:type="dxa"/>
          </w:tcPr>
          <w:p w14:paraId="63BB0873" w14:textId="1072260F"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632</w:t>
            </w:r>
          </w:p>
        </w:tc>
        <w:tc>
          <w:tcPr>
            <w:tcW w:w="956" w:type="dxa"/>
          </w:tcPr>
          <w:p w14:paraId="25332803" w14:textId="5E937CBA"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635</w:t>
            </w:r>
          </w:p>
        </w:tc>
        <w:tc>
          <w:tcPr>
            <w:tcW w:w="956" w:type="dxa"/>
          </w:tcPr>
          <w:p w14:paraId="50942499" w14:textId="3AD042BB"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643</w:t>
            </w:r>
          </w:p>
        </w:tc>
        <w:tc>
          <w:tcPr>
            <w:tcW w:w="956" w:type="dxa"/>
          </w:tcPr>
          <w:p w14:paraId="346E00B4" w14:textId="5223DFA6"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649</w:t>
            </w:r>
          </w:p>
        </w:tc>
        <w:tc>
          <w:tcPr>
            <w:tcW w:w="956" w:type="dxa"/>
          </w:tcPr>
          <w:p w14:paraId="7D102717" w14:textId="7C2E4DA2"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657</w:t>
            </w:r>
          </w:p>
        </w:tc>
      </w:tr>
      <w:tr w:rsidR="003A7E34" w:rsidRPr="003A7E34" w14:paraId="36370303" w14:textId="77777777" w:rsidTr="46DF7FC9">
        <w:trPr>
          <w:trHeight w:val="254"/>
        </w:trPr>
        <w:tc>
          <w:tcPr>
            <w:tcW w:w="4751" w:type="dxa"/>
          </w:tcPr>
          <w:p w14:paraId="2F47721E" w14:textId="15A15128" w:rsidR="46DF7FC9" w:rsidRPr="003A7E34" w:rsidRDefault="00D11E4F" w:rsidP="46DF7FC9">
            <w:pPr>
              <w:spacing w:before="0" w:after="0"/>
              <w:jc w:val="left"/>
              <w:rPr>
                <w:rFonts w:eastAsia="Times New Roman"/>
                <w:sz w:val="20"/>
                <w:szCs w:val="20"/>
                <w:lang w:val="en-US"/>
              </w:rPr>
            </w:pPr>
            <w:r w:rsidRPr="003A7E34">
              <w:rPr>
                <w:rFonts w:eastAsia="Times New Roman"/>
                <w:sz w:val="20"/>
                <w:szCs w:val="20"/>
                <w:lang w:val="en-US"/>
              </w:rPr>
              <w:t>N</w:t>
            </w:r>
            <w:r w:rsidR="46DF7FC9" w:rsidRPr="003A7E34">
              <w:rPr>
                <w:rFonts w:eastAsia="Times New Roman"/>
                <w:sz w:val="20"/>
                <w:szCs w:val="20"/>
                <w:lang w:val="en-US"/>
              </w:rPr>
              <w:t>on-recyclable municipal waste and non-hazardous industrial waste, ktoe</w:t>
            </w:r>
          </w:p>
        </w:tc>
        <w:tc>
          <w:tcPr>
            <w:tcW w:w="956" w:type="dxa"/>
          </w:tcPr>
          <w:p w14:paraId="4CA5F1F4" w14:textId="013F0503"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116</w:t>
            </w:r>
          </w:p>
        </w:tc>
        <w:tc>
          <w:tcPr>
            <w:tcW w:w="956" w:type="dxa"/>
          </w:tcPr>
          <w:p w14:paraId="7A98E759" w14:textId="23249734"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116</w:t>
            </w:r>
          </w:p>
        </w:tc>
        <w:tc>
          <w:tcPr>
            <w:tcW w:w="956" w:type="dxa"/>
          </w:tcPr>
          <w:p w14:paraId="4FC40F07" w14:textId="56988453"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116</w:t>
            </w:r>
          </w:p>
        </w:tc>
        <w:tc>
          <w:tcPr>
            <w:tcW w:w="956" w:type="dxa"/>
          </w:tcPr>
          <w:p w14:paraId="017671A6" w14:textId="74083DDB"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116</w:t>
            </w:r>
          </w:p>
        </w:tc>
        <w:tc>
          <w:tcPr>
            <w:tcW w:w="956" w:type="dxa"/>
          </w:tcPr>
          <w:p w14:paraId="1F8F9D84" w14:textId="645B3635"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116</w:t>
            </w:r>
          </w:p>
        </w:tc>
      </w:tr>
      <w:tr w:rsidR="003A7E34" w:rsidRPr="003A7E34" w14:paraId="428C7D44" w14:textId="77777777" w:rsidTr="00764E6B">
        <w:trPr>
          <w:trHeight w:val="254"/>
        </w:trPr>
        <w:tc>
          <w:tcPr>
            <w:tcW w:w="4751" w:type="dxa"/>
            <w:shd w:val="clear" w:color="auto" w:fill="F0E9E1" w:themeFill="accent4" w:themeFillTint="33"/>
          </w:tcPr>
          <w:p w14:paraId="1927DF17" w14:textId="3CEFA7EC" w:rsidR="46DF7FC9" w:rsidRPr="003A7E34" w:rsidRDefault="00D11E4F" w:rsidP="46DF7FC9">
            <w:pPr>
              <w:spacing w:before="0" w:after="0"/>
              <w:jc w:val="left"/>
              <w:rPr>
                <w:rFonts w:eastAsia="Times New Roman"/>
                <w:sz w:val="20"/>
                <w:szCs w:val="20"/>
                <w:lang w:val="en-US"/>
              </w:rPr>
            </w:pPr>
            <w:r w:rsidRPr="003A7E34">
              <w:rPr>
                <w:rFonts w:eastAsia="Times New Roman"/>
                <w:sz w:val="20"/>
                <w:szCs w:val="20"/>
                <w:lang w:val="en-US"/>
              </w:rPr>
              <w:t>W</w:t>
            </w:r>
            <w:r w:rsidR="46DF7FC9" w:rsidRPr="003A7E34">
              <w:rPr>
                <w:rFonts w:eastAsia="Times New Roman"/>
                <w:sz w:val="20"/>
                <w:szCs w:val="20"/>
                <w:lang w:val="en-US"/>
              </w:rPr>
              <w:t>aste fired CHP plants total capacity, MW</w:t>
            </w:r>
          </w:p>
        </w:tc>
        <w:tc>
          <w:tcPr>
            <w:tcW w:w="956" w:type="dxa"/>
            <w:shd w:val="clear" w:color="auto" w:fill="F0E9E1" w:themeFill="accent4" w:themeFillTint="33"/>
          </w:tcPr>
          <w:p w14:paraId="1A3369A8" w14:textId="3206DE7B"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180</w:t>
            </w:r>
          </w:p>
        </w:tc>
        <w:tc>
          <w:tcPr>
            <w:tcW w:w="956" w:type="dxa"/>
            <w:shd w:val="clear" w:color="auto" w:fill="F0E9E1" w:themeFill="accent4" w:themeFillTint="33"/>
          </w:tcPr>
          <w:p w14:paraId="5AE10C8E" w14:textId="59E22220"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180</w:t>
            </w:r>
          </w:p>
        </w:tc>
        <w:tc>
          <w:tcPr>
            <w:tcW w:w="956" w:type="dxa"/>
            <w:shd w:val="clear" w:color="auto" w:fill="F0E9E1" w:themeFill="accent4" w:themeFillTint="33"/>
          </w:tcPr>
          <w:p w14:paraId="78E1C947" w14:textId="753B14FF"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180</w:t>
            </w:r>
          </w:p>
        </w:tc>
        <w:tc>
          <w:tcPr>
            <w:tcW w:w="956" w:type="dxa"/>
            <w:shd w:val="clear" w:color="auto" w:fill="F0E9E1" w:themeFill="accent4" w:themeFillTint="33"/>
          </w:tcPr>
          <w:p w14:paraId="19B46601" w14:textId="6B38733E"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180</w:t>
            </w:r>
          </w:p>
        </w:tc>
        <w:tc>
          <w:tcPr>
            <w:tcW w:w="956" w:type="dxa"/>
            <w:shd w:val="clear" w:color="auto" w:fill="F0E9E1" w:themeFill="accent4" w:themeFillTint="33"/>
          </w:tcPr>
          <w:p w14:paraId="63CC9613" w14:textId="1AFA4429"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180</w:t>
            </w:r>
          </w:p>
        </w:tc>
      </w:tr>
      <w:tr w:rsidR="003A7E34" w:rsidRPr="003A7E34" w14:paraId="6938F53D" w14:textId="77777777" w:rsidTr="46DF7FC9">
        <w:trPr>
          <w:trHeight w:val="254"/>
        </w:trPr>
        <w:tc>
          <w:tcPr>
            <w:tcW w:w="4751" w:type="dxa"/>
          </w:tcPr>
          <w:p w14:paraId="2BD4B723" w14:textId="02461E97" w:rsidR="46DF7FC9" w:rsidRPr="003A7E34" w:rsidRDefault="00D11E4F" w:rsidP="46DF7FC9">
            <w:pPr>
              <w:spacing w:before="0" w:after="0"/>
              <w:jc w:val="left"/>
              <w:rPr>
                <w:rFonts w:eastAsia="Times New Roman"/>
                <w:sz w:val="20"/>
                <w:szCs w:val="20"/>
                <w:lang w:val="en-US"/>
              </w:rPr>
            </w:pPr>
            <w:r w:rsidRPr="003A7E34">
              <w:rPr>
                <w:rFonts w:eastAsia="Times New Roman"/>
                <w:sz w:val="20"/>
                <w:szCs w:val="20"/>
                <w:lang w:val="en-US"/>
              </w:rPr>
              <w:t>S</w:t>
            </w:r>
            <w:r w:rsidR="46DF7FC9" w:rsidRPr="003A7E34">
              <w:rPr>
                <w:rFonts w:eastAsia="Times New Roman"/>
                <w:sz w:val="20"/>
                <w:szCs w:val="20"/>
                <w:lang w:val="en-US"/>
              </w:rPr>
              <w:t>olar power and heat pumps, ktoe</w:t>
            </w:r>
          </w:p>
        </w:tc>
        <w:tc>
          <w:tcPr>
            <w:tcW w:w="956" w:type="dxa"/>
          </w:tcPr>
          <w:p w14:paraId="77682CE0" w14:textId="767EB8AF"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7</w:t>
            </w:r>
          </w:p>
        </w:tc>
        <w:tc>
          <w:tcPr>
            <w:tcW w:w="956" w:type="dxa"/>
          </w:tcPr>
          <w:p w14:paraId="4862249F" w14:textId="38D73EFA"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14</w:t>
            </w:r>
          </w:p>
        </w:tc>
        <w:tc>
          <w:tcPr>
            <w:tcW w:w="956" w:type="dxa"/>
          </w:tcPr>
          <w:p w14:paraId="22142959" w14:textId="7168E1E0"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35</w:t>
            </w:r>
          </w:p>
        </w:tc>
        <w:tc>
          <w:tcPr>
            <w:tcW w:w="956" w:type="dxa"/>
          </w:tcPr>
          <w:p w14:paraId="01ECE14A" w14:textId="2D6F22AD"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37</w:t>
            </w:r>
          </w:p>
        </w:tc>
        <w:tc>
          <w:tcPr>
            <w:tcW w:w="956" w:type="dxa"/>
          </w:tcPr>
          <w:p w14:paraId="32DCC39E" w14:textId="43654A78"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40</w:t>
            </w:r>
          </w:p>
        </w:tc>
      </w:tr>
      <w:tr w:rsidR="003A7E34" w:rsidRPr="003A7E34" w14:paraId="2FC9D1C3" w14:textId="77777777" w:rsidTr="00764E6B">
        <w:trPr>
          <w:trHeight w:val="254"/>
        </w:trPr>
        <w:tc>
          <w:tcPr>
            <w:tcW w:w="4751" w:type="dxa"/>
            <w:shd w:val="clear" w:color="auto" w:fill="F0E9E1" w:themeFill="accent4" w:themeFillTint="33"/>
          </w:tcPr>
          <w:p w14:paraId="5B354BED" w14:textId="22029E6E" w:rsidR="46DF7FC9" w:rsidRPr="003A7E34" w:rsidRDefault="00D11E4F" w:rsidP="46DF7FC9">
            <w:pPr>
              <w:spacing w:before="0" w:after="0"/>
              <w:jc w:val="left"/>
              <w:rPr>
                <w:rFonts w:eastAsia="Times New Roman"/>
                <w:sz w:val="20"/>
                <w:szCs w:val="20"/>
                <w:lang w:val="en-US"/>
              </w:rPr>
            </w:pPr>
            <w:r w:rsidRPr="003A7E34">
              <w:rPr>
                <w:rFonts w:eastAsia="Times New Roman"/>
                <w:sz w:val="20"/>
                <w:szCs w:val="20"/>
                <w:lang w:val="en-US"/>
              </w:rPr>
              <w:t>S</w:t>
            </w:r>
            <w:r w:rsidR="46DF7FC9" w:rsidRPr="003A7E34">
              <w:rPr>
                <w:rFonts w:eastAsia="Times New Roman"/>
                <w:sz w:val="20"/>
                <w:szCs w:val="20"/>
                <w:lang w:val="en-US"/>
              </w:rPr>
              <w:t>olar power and heat pumps total capacity, MW</w:t>
            </w:r>
          </w:p>
        </w:tc>
        <w:tc>
          <w:tcPr>
            <w:tcW w:w="956" w:type="dxa"/>
            <w:shd w:val="clear" w:color="auto" w:fill="F0E9E1" w:themeFill="accent4" w:themeFillTint="33"/>
          </w:tcPr>
          <w:p w14:paraId="5D53FFCA" w14:textId="12D10CEA"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15</w:t>
            </w:r>
          </w:p>
        </w:tc>
        <w:tc>
          <w:tcPr>
            <w:tcW w:w="956" w:type="dxa"/>
            <w:shd w:val="clear" w:color="auto" w:fill="F0E9E1" w:themeFill="accent4" w:themeFillTint="33"/>
          </w:tcPr>
          <w:p w14:paraId="760795E3" w14:textId="74BC915D"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30</w:t>
            </w:r>
          </w:p>
        </w:tc>
        <w:tc>
          <w:tcPr>
            <w:tcW w:w="956" w:type="dxa"/>
            <w:shd w:val="clear" w:color="auto" w:fill="F0E9E1" w:themeFill="accent4" w:themeFillTint="33"/>
          </w:tcPr>
          <w:p w14:paraId="68358283" w14:textId="469C53E3"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76</w:t>
            </w:r>
          </w:p>
        </w:tc>
        <w:tc>
          <w:tcPr>
            <w:tcW w:w="956" w:type="dxa"/>
            <w:shd w:val="clear" w:color="auto" w:fill="F0E9E1" w:themeFill="accent4" w:themeFillTint="33"/>
          </w:tcPr>
          <w:p w14:paraId="3B12A0CC" w14:textId="6B4B66AD"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88</w:t>
            </w:r>
          </w:p>
        </w:tc>
        <w:tc>
          <w:tcPr>
            <w:tcW w:w="956" w:type="dxa"/>
            <w:shd w:val="clear" w:color="auto" w:fill="F0E9E1" w:themeFill="accent4" w:themeFillTint="33"/>
          </w:tcPr>
          <w:p w14:paraId="2E19E5F2" w14:textId="0F7DCF3B"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105</w:t>
            </w:r>
          </w:p>
        </w:tc>
      </w:tr>
      <w:tr w:rsidR="003A7E34" w:rsidRPr="003A7E34" w14:paraId="07458D22" w14:textId="77777777" w:rsidTr="46DF7FC9">
        <w:trPr>
          <w:trHeight w:val="254"/>
        </w:trPr>
        <w:tc>
          <w:tcPr>
            <w:tcW w:w="4751" w:type="dxa"/>
          </w:tcPr>
          <w:p w14:paraId="4B1134A3" w14:textId="50B5E0B8" w:rsidR="46DF7FC9" w:rsidRPr="003A7E34" w:rsidRDefault="00D11E4F" w:rsidP="46DF7FC9">
            <w:pPr>
              <w:spacing w:before="0" w:after="0"/>
              <w:jc w:val="left"/>
              <w:rPr>
                <w:rFonts w:eastAsia="Times New Roman"/>
                <w:sz w:val="20"/>
                <w:szCs w:val="20"/>
                <w:lang w:val="en-US"/>
              </w:rPr>
            </w:pPr>
            <w:r w:rsidRPr="003A7E34">
              <w:rPr>
                <w:rFonts w:eastAsia="Times New Roman"/>
                <w:sz w:val="20"/>
                <w:szCs w:val="20"/>
                <w:lang w:val="en-US"/>
              </w:rPr>
              <w:t>B</w:t>
            </w:r>
            <w:r w:rsidR="46DF7FC9" w:rsidRPr="003A7E34">
              <w:rPr>
                <w:rFonts w:eastAsia="Times New Roman"/>
                <w:sz w:val="20"/>
                <w:szCs w:val="20"/>
                <w:lang w:val="en-US"/>
              </w:rPr>
              <w:t>iomass, ktoe</w:t>
            </w:r>
          </w:p>
        </w:tc>
        <w:tc>
          <w:tcPr>
            <w:tcW w:w="956" w:type="dxa"/>
          </w:tcPr>
          <w:p w14:paraId="75948AE4" w14:textId="7D6BF288"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496</w:t>
            </w:r>
          </w:p>
        </w:tc>
        <w:tc>
          <w:tcPr>
            <w:tcW w:w="956" w:type="dxa"/>
          </w:tcPr>
          <w:p w14:paraId="38FFC301" w14:textId="12F56647"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492</w:t>
            </w:r>
          </w:p>
        </w:tc>
        <w:tc>
          <w:tcPr>
            <w:tcW w:w="956" w:type="dxa"/>
          </w:tcPr>
          <w:p w14:paraId="1836BE75" w14:textId="1AD47E20"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481</w:t>
            </w:r>
          </w:p>
        </w:tc>
        <w:tc>
          <w:tcPr>
            <w:tcW w:w="956" w:type="dxa"/>
          </w:tcPr>
          <w:p w14:paraId="05025BBF" w14:textId="5CD820F1"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485</w:t>
            </w:r>
          </w:p>
        </w:tc>
        <w:tc>
          <w:tcPr>
            <w:tcW w:w="956" w:type="dxa"/>
          </w:tcPr>
          <w:p w14:paraId="36B21AC1" w14:textId="74E7BB8A"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491</w:t>
            </w:r>
          </w:p>
        </w:tc>
      </w:tr>
      <w:tr w:rsidR="003A7E34" w:rsidRPr="003A7E34" w14:paraId="21D18811" w14:textId="77777777" w:rsidTr="00764E6B">
        <w:trPr>
          <w:trHeight w:val="254"/>
        </w:trPr>
        <w:tc>
          <w:tcPr>
            <w:tcW w:w="4751" w:type="dxa"/>
            <w:shd w:val="clear" w:color="auto" w:fill="F0E9E1" w:themeFill="accent4" w:themeFillTint="33"/>
          </w:tcPr>
          <w:p w14:paraId="719936B5" w14:textId="3D3C308F" w:rsidR="46DF7FC9" w:rsidRPr="003A7E34" w:rsidRDefault="00D11E4F" w:rsidP="46DF7FC9">
            <w:pPr>
              <w:spacing w:before="0" w:after="0"/>
              <w:jc w:val="left"/>
              <w:rPr>
                <w:rFonts w:eastAsia="Times New Roman"/>
                <w:sz w:val="20"/>
                <w:szCs w:val="20"/>
                <w:lang w:val="en-US"/>
              </w:rPr>
            </w:pPr>
            <w:r w:rsidRPr="003A7E34">
              <w:rPr>
                <w:rFonts w:eastAsia="Times New Roman"/>
                <w:sz w:val="20"/>
                <w:szCs w:val="20"/>
                <w:lang w:val="en-US"/>
              </w:rPr>
              <w:t>B</w:t>
            </w:r>
            <w:r w:rsidR="46DF7FC9" w:rsidRPr="003A7E34">
              <w:rPr>
                <w:rFonts w:eastAsia="Times New Roman"/>
                <w:sz w:val="20"/>
                <w:szCs w:val="20"/>
                <w:lang w:val="en-US"/>
              </w:rPr>
              <w:t>iomass CHP plants and boilers total capacity, MW</w:t>
            </w:r>
          </w:p>
        </w:tc>
        <w:tc>
          <w:tcPr>
            <w:tcW w:w="956" w:type="dxa"/>
            <w:shd w:val="clear" w:color="auto" w:fill="F0E9E1" w:themeFill="accent4" w:themeFillTint="33"/>
          </w:tcPr>
          <w:p w14:paraId="549A488F" w14:textId="6B439D2F"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1778</w:t>
            </w:r>
          </w:p>
        </w:tc>
        <w:tc>
          <w:tcPr>
            <w:tcW w:w="956" w:type="dxa"/>
            <w:shd w:val="clear" w:color="auto" w:fill="F0E9E1" w:themeFill="accent4" w:themeFillTint="33"/>
          </w:tcPr>
          <w:p w14:paraId="0F6C9377" w14:textId="712C3F84"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1801</w:t>
            </w:r>
          </w:p>
        </w:tc>
        <w:tc>
          <w:tcPr>
            <w:tcW w:w="956" w:type="dxa"/>
            <w:shd w:val="clear" w:color="auto" w:fill="F0E9E1" w:themeFill="accent4" w:themeFillTint="33"/>
          </w:tcPr>
          <w:p w14:paraId="675130EF" w14:textId="3439FFA1"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1842</w:t>
            </w:r>
          </w:p>
        </w:tc>
        <w:tc>
          <w:tcPr>
            <w:tcW w:w="956" w:type="dxa"/>
            <w:shd w:val="clear" w:color="auto" w:fill="F0E9E1" w:themeFill="accent4" w:themeFillTint="33"/>
          </w:tcPr>
          <w:p w14:paraId="307064D9" w14:textId="6E951A69"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1869</w:t>
            </w:r>
          </w:p>
        </w:tc>
        <w:tc>
          <w:tcPr>
            <w:tcW w:w="956" w:type="dxa"/>
            <w:shd w:val="clear" w:color="auto" w:fill="F0E9E1" w:themeFill="accent4" w:themeFillTint="33"/>
          </w:tcPr>
          <w:p w14:paraId="4D030102" w14:textId="44C4EE08"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1909</w:t>
            </w:r>
          </w:p>
        </w:tc>
      </w:tr>
      <w:tr w:rsidR="003A7E34" w:rsidRPr="003A7E34" w14:paraId="70F3AB84" w14:textId="77777777" w:rsidTr="46DF7FC9">
        <w:trPr>
          <w:trHeight w:val="254"/>
        </w:trPr>
        <w:tc>
          <w:tcPr>
            <w:tcW w:w="4751" w:type="dxa"/>
          </w:tcPr>
          <w:p w14:paraId="0CE6BDA8" w14:textId="5F482429" w:rsidR="46DF7FC9" w:rsidRPr="003A7E34" w:rsidRDefault="00D11E4F" w:rsidP="46DF7FC9">
            <w:pPr>
              <w:spacing w:before="0" w:after="0"/>
              <w:jc w:val="left"/>
              <w:rPr>
                <w:rFonts w:eastAsia="Times New Roman"/>
                <w:sz w:val="20"/>
                <w:szCs w:val="20"/>
                <w:lang w:val="en-US"/>
              </w:rPr>
            </w:pPr>
            <w:r w:rsidRPr="003A7E34">
              <w:rPr>
                <w:rFonts w:eastAsia="Times New Roman"/>
                <w:sz w:val="20"/>
                <w:szCs w:val="20"/>
                <w:lang w:val="en-US"/>
              </w:rPr>
              <w:t>B</w:t>
            </w:r>
            <w:r w:rsidR="46DF7FC9" w:rsidRPr="003A7E34">
              <w:rPr>
                <w:rFonts w:eastAsia="Times New Roman"/>
                <w:sz w:val="20"/>
                <w:szCs w:val="20"/>
                <w:lang w:val="en-US"/>
              </w:rPr>
              <w:t>iogas, ktoe</w:t>
            </w:r>
          </w:p>
        </w:tc>
        <w:tc>
          <w:tcPr>
            <w:tcW w:w="956" w:type="dxa"/>
          </w:tcPr>
          <w:p w14:paraId="28E48A66" w14:textId="7B385B1C"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13</w:t>
            </w:r>
          </w:p>
        </w:tc>
        <w:tc>
          <w:tcPr>
            <w:tcW w:w="956" w:type="dxa"/>
          </w:tcPr>
          <w:p w14:paraId="6859A609" w14:textId="0AF8C91D"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12</w:t>
            </w:r>
          </w:p>
        </w:tc>
        <w:tc>
          <w:tcPr>
            <w:tcW w:w="956" w:type="dxa"/>
          </w:tcPr>
          <w:p w14:paraId="0C16CAB5" w14:textId="1E1C6BAD"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11</w:t>
            </w:r>
          </w:p>
        </w:tc>
        <w:tc>
          <w:tcPr>
            <w:tcW w:w="956" w:type="dxa"/>
          </w:tcPr>
          <w:p w14:paraId="3ACB2E4A" w14:textId="35F903B5"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10</w:t>
            </w:r>
          </w:p>
        </w:tc>
        <w:tc>
          <w:tcPr>
            <w:tcW w:w="956" w:type="dxa"/>
          </w:tcPr>
          <w:p w14:paraId="2C95121F" w14:textId="04CAE12B"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9</w:t>
            </w:r>
          </w:p>
        </w:tc>
      </w:tr>
      <w:tr w:rsidR="003A7E34" w:rsidRPr="003A7E34" w14:paraId="6AA808C5" w14:textId="77777777" w:rsidTr="00764E6B">
        <w:trPr>
          <w:trHeight w:val="254"/>
        </w:trPr>
        <w:tc>
          <w:tcPr>
            <w:tcW w:w="4751" w:type="dxa"/>
            <w:shd w:val="clear" w:color="auto" w:fill="F0E9E1" w:themeFill="accent4" w:themeFillTint="33"/>
          </w:tcPr>
          <w:p w14:paraId="3D4DE1DB" w14:textId="3123C629" w:rsidR="46DF7FC9" w:rsidRPr="003A7E34" w:rsidRDefault="00D11E4F" w:rsidP="46DF7FC9">
            <w:pPr>
              <w:spacing w:before="0" w:after="0"/>
              <w:jc w:val="left"/>
              <w:rPr>
                <w:rFonts w:eastAsia="Times New Roman"/>
                <w:sz w:val="20"/>
                <w:szCs w:val="20"/>
                <w:lang w:val="en-US"/>
              </w:rPr>
            </w:pPr>
            <w:r w:rsidRPr="003A7E34">
              <w:rPr>
                <w:rFonts w:eastAsia="Times New Roman"/>
                <w:sz w:val="20"/>
                <w:szCs w:val="20"/>
                <w:lang w:val="en-US"/>
              </w:rPr>
              <w:t>B</w:t>
            </w:r>
            <w:r w:rsidR="46DF7FC9" w:rsidRPr="003A7E34">
              <w:rPr>
                <w:rFonts w:eastAsia="Times New Roman"/>
                <w:sz w:val="20"/>
                <w:szCs w:val="20"/>
                <w:lang w:val="en-US"/>
              </w:rPr>
              <w:t>iogas CHP plants total capacity, MW</w:t>
            </w:r>
          </w:p>
        </w:tc>
        <w:tc>
          <w:tcPr>
            <w:tcW w:w="956" w:type="dxa"/>
            <w:shd w:val="clear" w:color="auto" w:fill="F0E9E1" w:themeFill="accent4" w:themeFillTint="33"/>
          </w:tcPr>
          <w:p w14:paraId="33EAB8FB" w14:textId="6476AA55"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34</w:t>
            </w:r>
          </w:p>
        </w:tc>
        <w:tc>
          <w:tcPr>
            <w:tcW w:w="956" w:type="dxa"/>
            <w:shd w:val="clear" w:color="auto" w:fill="F0E9E1" w:themeFill="accent4" w:themeFillTint="33"/>
          </w:tcPr>
          <w:p w14:paraId="1A60BDBA" w14:textId="706D1A72"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33</w:t>
            </w:r>
          </w:p>
        </w:tc>
        <w:tc>
          <w:tcPr>
            <w:tcW w:w="956" w:type="dxa"/>
            <w:shd w:val="clear" w:color="auto" w:fill="F0E9E1" w:themeFill="accent4" w:themeFillTint="33"/>
          </w:tcPr>
          <w:p w14:paraId="2E3A9BD5" w14:textId="58FE4EE8"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29</w:t>
            </w:r>
          </w:p>
        </w:tc>
        <w:tc>
          <w:tcPr>
            <w:tcW w:w="956" w:type="dxa"/>
            <w:shd w:val="clear" w:color="auto" w:fill="F0E9E1" w:themeFill="accent4" w:themeFillTint="33"/>
          </w:tcPr>
          <w:p w14:paraId="18E87CB4" w14:textId="0EC9DFAC"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28</w:t>
            </w:r>
          </w:p>
        </w:tc>
        <w:tc>
          <w:tcPr>
            <w:tcW w:w="956" w:type="dxa"/>
            <w:shd w:val="clear" w:color="auto" w:fill="F0E9E1" w:themeFill="accent4" w:themeFillTint="33"/>
          </w:tcPr>
          <w:p w14:paraId="581FBDAE" w14:textId="0F83570A" w:rsidR="46DF7FC9" w:rsidRPr="003A7E34" w:rsidRDefault="46DF7FC9" w:rsidP="46DF7FC9">
            <w:pPr>
              <w:spacing w:before="0" w:after="0"/>
              <w:jc w:val="center"/>
              <w:rPr>
                <w:rFonts w:eastAsia="Times New Roman"/>
                <w:sz w:val="20"/>
                <w:szCs w:val="20"/>
                <w:lang w:val="en-US"/>
              </w:rPr>
            </w:pPr>
            <w:r w:rsidRPr="003A7E34">
              <w:rPr>
                <w:rFonts w:eastAsia="Times New Roman"/>
                <w:sz w:val="20"/>
                <w:szCs w:val="20"/>
                <w:lang w:val="en-US"/>
              </w:rPr>
              <w:t>24</w:t>
            </w:r>
          </w:p>
        </w:tc>
      </w:tr>
    </w:tbl>
    <w:p w14:paraId="03C7C59C" w14:textId="77777777" w:rsidR="003C41B9" w:rsidRPr="003A7E34" w:rsidRDefault="003C41B9" w:rsidP="003C41B9">
      <w:pPr>
        <w:spacing w:before="0"/>
        <w:rPr>
          <w:rFonts w:eastAsia="Times New Roman"/>
          <w:noProof/>
          <w:lang w:val="en-US"/>
        </w:rPr>
      </w:pPr>
    </w:p>
    <w:p w14:paraId="0758E917" w14:textId="3ABEC840" w:rsidR="58540D98" w:rsidRPr="003A7E34" w:rsidRDefault="58540D98" w:rsidP="003C41B9">
      <w:pPr>
        <w:spacing w:before="0"/>
        <w:rPr>
          <w:rFonts w:eastAsia="Times New Roman"/>
          <w:noProof/>
          <w:lang w:val="en-US"/>
        </w:rPr>
      </w:pPr>
      <w:r w:rsidRPr="003A7E34">
        <w:rPr>
          <w:rFonts w:eastAsia="Times New Roman"/>
          <w:noProof/>
          <w:lang w:val="en-US"/>
        </w:rPr>
        <w:t>In 2016, a total of 8.9 TWh of heat energy was produced and supplied to the networks. It is estimated that as the number of district heating customers grows, accompanied by rapid investments in more efficient energy consumption, by 2020 district heating systems will supply 8.9 TWh, by 2030 – 8.5 TWh</w:t>
      </w:r>
      <w:r w:rsidR="00D871C8" w:rsidRPr="003A7E34">
        <w:rPr>
          <w:rFonts w:eastAsia="Times New Roman"/>
          <w:noProof/>
          <w:lang w:val="en-US"/>
        </w:rPr>
        <w:t xml:space="preserve"> </w:t>
      </w:r>
      <w:r w:rsidRPr="003A7E34">
        <w:rPr>
          <w:rFonts w:eastAsia="Times New Roman"/>
          <w:noProof/>
          <w:lang w:val="en-US"/>
        </w:rPr>
        <w:t>of heat energy. At the end of 2016, biofuel units with condensing economisers used by heat supply companies and independent heat producers accounted for a total of 1589 MW of heat power. The peak demand for DHS systems in 2016 was 3212 MW, lowest – 379 MW. Our forecast for 2030 is that about 3000 MW DHS systems capacity is needed. Excluding measures financed from 2014-2020 EU structural funds, additional 200 MW capacity from RES and heat storage facilities are needed</w:t>
      </w:r>
      <w:r w:rsidR="00D871C8" w:rsidRPr="003A7E34">
        <w:rPr>
          <w:rFonts w:eastAsia="Times New Roman"/>
          <w:noProof/>
          <w:lang w:val="en-US"/>
        </w:rPr>
        <w:t xml:space="preserve"> </w:t>
      </w:r>
      <w:r w:rsidRPr="003A7E34">
        <w:rPr>
          <w:rFonts w:eastAsia="Times New Roman"/>
          <w:noProof/>
          <w:lang w:val="en-US"/>
        </w:rPr>
        <w:t>to achieve 2030 target.</w:t>
      </w:r>
    </w:p>
    <w:p w14:paraId="44150D66" w14:textId="77777777" w:rsidR="003C41B9" w:rsidRPr="003A7E34" w:rsidRDefault="003C41B9" w:rsidP="003C41B9">
      <w:pPr>
        <w:spacing w:before="0"/>
        <w:rPr>
          <w:rFonts w:eastAsia="Times New Roman"/>
          <w:noProof/>
          <w:lang w:val="en-US"/>
        </w:rPr>
      </w:pPr>
    </w:p>
    <w:p w14:paraId="24075EB1" w14:textId="4539EF43" w:rsidR="02384B0C" w:rsidRPr="003A7E34" w:rsidRDefault="1F603D79" w:rsidP="1F603D79">
      <w:pPr>
        <w:rPr>
          <w:rFonts w:eastAsia="Times New Roman"/>
          <w:noProof/>
          <w:lang w:val="en-US"/>
        </w:rPr>
      </w:pPr>
      <w:r w:rsidRPr="003A7E34">
        <w:rPr>
          <w:rFonts w:eastAsia="Times New Roman"/>
          <w:b/>
          <w:bCs/>
          <w:noProof/>
          <w:sz w:val="20"/>
          <w:szCs w:val="20"/>
          <w:lang w:val="en-US"/>
        </w:rPr>
        <w:lastRenderedPageBreak/>
        <w:t>Table 2.1.2.5.</w:t>
      </w:r>
      <w:r w:rsidRPr="003A7E34">
        <w:rPr>
          <w:rFonts w:eastAsia="Times New Roman"/>
          <w:b/>
          <w:bCs/>
          <w:noProof/>
          <w:lang w:val="en-US"/>
        </w:rPr>
        <w:t xml:space="preserve"> </w:t>
      </w:r>
      <w:r w:rsidRPr="003A7E34">
        <w:rPr>
          <w:rFonts w:eastAsia="Times New Roman"/>
          <w:noProof/>
          <w:sz w:val="20"/>
          <w:szCs w:val="20"/>
          <w:lang w:val="en-US"/>
        </w:rPr>
        <w:t xml:space="preserve">Estimated trajectories </w:t>
      </w:r>
      <w:r w:rsidR="0074435D" w:rsidRPr="003A7E34">
        <w:rPr>
          <w:rFonts w:eastAsia="Times New Roman"/>
          <w:noProof/>
          <w:sz w:val="20"/>
          <w:szCs w:val="20"/>
          <w:lang w:val="en-US"/>
        </w:rPr>
        <w:t xml:space="preserve">for the </w:t>
      </w:r>
      <w:r w:rsidRPr="003A7E34">
        <w:rPr>
          <w:rFonts w:eastAsia="Times New Roman"/>
          <w:noProof/>
          <w:sz w:val="20"/>
          <w:szCs w:val="20"/>
          <w:lang w:val="en-US"/>
        </w:rPr>
        <w:t xml:space="preserve">renewable energy </w:t>
      </w:r>
      <w:r w:rsidR="0074435D" w:rsidRPr="003A7E34">
        <w:rPr>
          <w:rFonts w:eastAsia="Times New Roman"/>
          <w:noProof/>
          <w:sz w:val="20"/>
          <w:szCs w:val="20"/>
          <w:lang w:val="en-US"/>
        </w:rPr>
        <w:t xml:space="preserve">technologies </w:t>
      </w:r>
      <w:r w:rsidRPr="003A7E34">
        <w:rPr>
          <w:rFonts w:eastAsia="Times New Roman"/>
          <w:noProof/>
          <w:sz w:val="20"/>
          <w:szCs w:val="20"/>
          <w:lang w:val="en-US"/>
        </w:rPr>
        <w:t xml:space="preserve">in </w:t>
      </w:r>
      <w:r w:rsidR="0074435D" w:rsidRPr="003A7E34">
        <w:rPr>
          <w:rFonts w:eastAsia="Times New Roman"/>
          <w:noProof/>
          <w:sz w:val="20"/>
          <w:szCs w:val="20"/>
          <w:lang w:val="en-US"/>
        </w:rPr>
        <w:t xml:space="preserve">the </w:t>
      </w:r>
      <w:r w:rsidRPr="003A7E34">
        <w:rPr>
          <w:rFonts w:eastAsia="Times New Roman"/>
          <w:noProof/>
          <w:sz w:val="20"/>
          <w:szCs w:val="20"/>
          <w:lang w:val="en-US"/>
        </w:rPr>
        <w:t>transport sector.</w:t>
      </w:r>
    </w:p>
    <w:tbl>
      <w:tblPr>
        <w:tblStyle w:val="TableGrid"/>
        <w:tblW w:w="9314" w:type="dxa"/>
        <w:tblLayout w:type="fixed"/>
        <w:tblLook w:val="06A0" w:firstRow="1" w:lastRow="0" w:firstColumn="1" w:lastColumn="0" w:noHBand="1" w:noVBand="1"/>
      </w:tblPr>
      <w:tblGrid>
        <w:gridCol w:w="3884"/>
        <w:gridCol w:w="1086"/>
        <w:gridCol w:w="1086"/>
        <w:gridCol w:w="1086"/>
        <w:gridCol w:w="1086"/>
        <w:gridCol w:w="1086"/>
      </w:tblGrid>
      <w:tr w:rsidR="003A7E34" w:rsidRPr="003A7E34" w14:paraId="0C4B7682" w14:textId="77777777" w:rsidTr="002D3F00">
        <w:trPr>
          <w:trHeight w:val="259"/>
        </w:trPr>
        <w:tc>
          <w:tcPr>
            <w:tcW w:w="3884" w:type="dxa"/>
          </w:tcPr>
          <w:p w14:paraId="375ACCDC" w14:textId="5C967A74" w:rsidR="3863BD23" w:rsidRPr="003A7E34" w:rsidRDefault="3863BD23" w:rsidP="003C41B9">
            <w:pPr>
              <w:spacing w:before="0" w:after="0"/>
              <w:rPr>
                <w:rFonts w:eastAsia="Times New Roman"/>
                <w:sz w:val="20"/>
                <w:szCs w:val="20"/>
                <w:lang w:val="en-US"/>
              </w:rPr>
            </w:pPr>
            <w:r w:rsidRPr="003A7E34">
              <w:rPr>
                <w:rFonts w:eastAsia="Times New Roman"/>
                <w:sz w:val="20"/>
                <w:szCs w:val="20"/>
                <w:lang w:val="en-US"/>
              </w:rPr>
              <w:t xml:space="preserve"> </w:t>
            </w:r>
          </w:p>
        </w:tc>
        <w:tc>
          <w:tcPr>
            <w:tcW w:w="1086" w:type="dxa"/>
          </w:tcPr>
          <w:p w14:paraId="74B98B45" w14:textId="14035291"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2021</w:t>
            </w:r>
          </w:p>
        </w:tc>
        <w:tc>
          <w:tcPr>
            <w:tcW w:w="1086" w:type="dxa"/>
          </w:tcPr>
          <w:p w14:paraId="708DC745" w14:textId="4BDF2B14"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2022</w:t>
            </w:r>
          </w:p>
        </w:tc>
        <w:tc>
          <w:tcPr>
            <w:tcW w:w="1086" w:type="dxa"/>
          </w:tcPr>
          <w:p w14:paraId="613D0450" w14:textId="684CAB6B"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2025</w:t>
            </w:r>
          </w:p>
        </w:tc>
        <w:tc>
          <w:tcPr>
            <w:tcW w:w="1086" w:type="dxa"/>
          </w:tcPr>
          <w:p w14:paraId="6404D194" w14:textId="4C3DBACC"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2027</w:t>
            </w:r>
          </w:p>
        </w:tc>
        <w:tc>
          <w:tcPr>
            <w:tcW w:w="1086" w:type="dxa"/>
          </w:tcPr>
          <w:p w14:paraId="03650CA2" w14:textId="55EDAA01"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2030</w:t>
            </w:r>
          </w:p>
        </w:tc>
      </w:tr>
      <w:tr w:rsidR="003A7E34" w:rsidRPr="003A7E34" w14:paraId="7CB20D73" w14:textId="77777777" w:rsidTr="002D3F00">
        <w:trPr>
          <w:trHeight w:val="259"/>
        </w:trPr>
        <w:tc>
          <w:tcPr>
            <w:tcW w:w="3884" w:type="dxa"/>
          </w:tcPr>
          <w:p w14:paraId="02D74D28" w14:textId="118F2727" w:rsidR="3863BD23" w:rsidRPr="003A7E34" w:rsidRDefault="3863BD23" w:rsidP="003C41B9">
            <w:pPr>
              <w:spacing w:before="0" w:after="0"/>
              <w:rPr>
                <w:rFonts w:eastAsia="Times New Roman"/>
                <w:sz w:val="20"/>
                <w:szCs w:val="20"/>
                <w:lang w:val="en-US"/>
              </w:rPr>
            </w:pPr>
            <w:r w:rsidRPr="003A7E34">
              <w:rPr>
                <w:rFonts w:eastAsia="Times New Roman"/>
                <w:sz w:val="20"/>
                <w:szCs w:val="20"/>
                <w:lang w:val="en-US"/>
              </w:rPr>
              <w:t>RES-T, Mtoe</w:t>
            </w:r>
          </w:p>
        </w:tc>
        <w:tc>
          <w:tcPr>
            <w:tcW w:w="1086" w:type="dxa"/>
          </w:tcPr>
          <w:p w14:paraId="3EB8B4CE" w14:textId="36A979CA"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9</w:t>
            </w:r>
          </w:p>
        </w:tc>
        <w:tc>
          <w:tcPr>
            <w:tcW w:w="1086" w:type="dxa"/>
          </w:tcPr>
          <w:p w14:paraId="1CA26CCA" w14:textId="46AC2BF1"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12</w:t>
            </w:r>
          </w:p>
        </w:tc>
        <w:tc>
          <w:tcPr>
            <w:tcW w:w="1086" w:type="dxa"/>
          </w:tcPr>
          <w:p w14:paraId="3D50246B" w14:textId="7F215E10"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16</w:t>
            </w:r>
          </w:p>
        </w:tc>
        <w:tc>
          <w:tcPr>
            <w:tcW w:w="1086" w:type="dxa"/>
          </w:tcPr>
          <w:p w14:paraId="7A6A8F77" w14:textId="7CDD0A05"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19</w:t>
            </w:r>
          </w:p>
        </w:tc>
        <w:tc>
          <w:tcPr>
            <w:tcW w:w="1086" w:type="dxa"/>
          </w:tcPr>
          <w:p w14:paraId="0C945102" w14:textId="7665AF26"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24</w:t>
            </w:r>
          </w:p>
        </w:tc>
      </w:tr>
      <w:tr w:rsidR="003A7E34" w:rsidRPr="003A7E34" w14:paraId="3B5442DB" w14:textId="77777777" w:rsidTr="002D3F00">
        <w:trPr>
          <w:trHeight w:val="259"/>
        </w:trPr>
        <w:tc>
          <w:tcPr>
            <w:tcW w:w="3884" w:type="dxa"/>
          </w:tcPr>
          <w:p w14:paraId="3F9EE875" w14:textId="1334BDC5" w:rsidR="3863BD23" w:rsidRPr="003A7E34" w:rsidRDefault="3863BD23" w:rsidP="003C41B9">
            <w:pPr>
              <w:spacing w:before="0" w:after="0"/>
              <w:rPr>
                <w:rFonts w:eastAsia="Times New Roman"/>
                <w:sz w:val="20"/>
                <w:szCs w:val="20"/>
                <w:lang w:val="en-US"/>
              </w:rPr>
            </w:pPr>
            <w:r w:rsidRPr="003A7E34">
              <w:rPr>
                <w:rFonts w:eastAsia="Times New Roman"/>
                <w:sz w:val="20"/>
                <w:szCs w:val="20"/>
                <w:lang w:val="en-US"/>
              </w:rPr>
              <w:t>Electricity, Mtoe</w:t>
            </w:r>
          </w:p>
        </w:tc>
        <w:tc>
          <w:tcPr>
            <w:tcW w:w="1086" w:type="dxa"/>
          </w:tcPr>
          <w:p w14:paraId="16F80713" w14:textId="1326B8C7"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0</w:t>
            </w:r>
          </w:p>
        </w:tc>
        <w:tc>
          <w:tcPr>
            <w:tcW w:w="1086" w:type="dxa"/>
          </w:tcPr>
          <w:p w14:paraId="79F44D10" w14:textId="2D6B1C4B"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1</w:t>
            </w:r>
          </w:p>
        </w:tc>
        <w:tc>
          <w:tcPr>
            <w:tcW w:w="1086" w:type="dxa"/>
          </w:tcPr>
          <w:p w14:paraId="6F3C6EEB" w14:textId="1EB14569"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3</w:t>
            </w:r>
          </w:p>
        </w:tc>
        <w:tc>
          <w:tcPr>
            <w:tcW w:w="1086" w:type="dxa"/>
          </w:tcPr>
          <w:p w14:paraId="3241C260" w14:textId="3FAF1F4B"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4</w:t>
            </w:r>
          </w:p>
        </w:tc>
        <w:tc>
          <w:tcPr>
            <w:tcW w:w="1086" w:type="dxa"/>
          </w:tcPr>
          <w:p w14:paraId="053F3441" w14:textId="758B85F5"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6</w:t>
            </w:r>
          </w:p>
        </w:tc>
      </w:tr>
      <w:tr w:rsidR="003A7E34" w:rsidRPr="003A7E34" w14:paraId="7591F09A" w14:textId="77777777" w:rsidTr="002D3F00">
        <w:trPr>
          <w:trHeight w:val="259"/>
        </w:trPr>
        <w:tc>
          <w:tcPr>
            <w:tcW w:w="3884" w:type="dxa"/>
          </w:tcPr>
          <w:p w14:paraId="0DEBA520" w14:textId="3B1AEF9B" w:rsidR="3863BD23" w:rsidRPr="003A7E34" w:rsidRDefault="3863BD23" w:rsidP="003C41B9">
            <w:pPr>
              <w:spacing w:before="0" w:after="0"/>
              <w:rPr>
                <w:rFonts w:eastAsia="Times New Roman"/>
                <w:sz w:val="20"/>
                <w:szCs w:val="20"/>
                <w:lang w:val="en-US"/>
              </w:rPr>
            </w:pPr>
            <w:r w:rsidRPr="003A7E34">
              <w:rPr>
                <w:rFonts w:eastAsia="Times New Roman"/>
                <w:sz w:val="20"/>
                <w:szCs w:val="20"/>
                <w:lang w:val="en-US"/>
              </w:rPr>
              <w:t>I generation biofuels, Mtoe</w:t>
            </w:r>
          </w:p>
        </w:tc>
        <w:tc>
          <w:tcPr>
            <w:tcW w:w="1086" w:type="dxa"/>
          </w:tcPr>
          <w:p w14:paraId="4AA2AEB6" w14:textId="491BFA32"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9</w:t>
            </w:r>
          </w:p>
        </w:tc>
        <w:tc>
          <w:tcPr>
            <w:tcW w:w="1086" w:type="dxa"/>
          </w:tcPr>
          <w:p w14:paraId="4168D179" w14:textId="7ABC49AA"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9</w:t>
            </w:r>
          </w:p>
        </w:tc>
        <w:tc>
          <w:tcPr>
            <w:tcW w:w="1086" w:type="dxa"/>
          </w:tcPr>
          <w:p w14:paraId="71D00951" w14:textId="38DA5853"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10</w:t>
            </w:r>
          </w:p>
        </w:tc>
        <w:tc>
          <w:tcPr>
            <w:tcW w:w="1086" w:type="dxa"/>
          </w:tcPr>
          <w:p w14:paraId="4E61CB6F" w14:textId="11E99794"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11</w:t>
            </w:r>
          </w:p>
        </w:tc>
        <w:tc>
          <w:tcPr>
            <w:tcW w:w="1086" w:type="dxa"/>
          </w:tcPr>
          <w:p w14:paraId="11D36AD8" w14:textId="398A7542"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12</w:t>
            </w:r>
          </w:p>
        </w:tc>
      </w:tr>
      <w:tr w:rsidR="3863BD23" w:rsidRPr="003A7E34" w14:paraId="27E9E661" w14:textId="77777777" w:rsidTr="002D3F00">
        <w:trPr>
          <w:trHeight w:val="276"/>
        </w:trPr>
        <w:tc>
          <w:tcPr>
            <w:tcW w:w="3884" w:type="dxa"/>
          </w:tcPr>
          <w:p w14:paraId="1B8B12E2" w14:textId="7D84EF28" w:rsidR="3863BD23" w:rsidRPr="003A7E34" w:rsidRDefault="3863BD23" w:rsidP="003C41B9">
            <w:pPr>
              <w:spacing w:before="0" w:after="0"/>
              <w:rPr>
                <w:rFonts w:eastAsia="Times New Roman"/>
                <w:sz w:val="20"/>
                <w:szCs w:val="20"/>
                <w:lang w:val="en-US"/>
              </w:rPr>
            </w:pPr>
            <w:r w:rsidRPr="003A7E34">
              <w:rPr>
                <w:rFonts w:eastAsia="Times New Roman"/>
                <w:sz w:val="20"/>
                <w:szCs w:val="20"/>
                <w:lang w:val="en-US"/>
              </w:rPr>
              <w:t>II generation biofuels, Mtoe</w:t>
            </w:r>
          </w:p>
        </w:tc>
        <w:tc>
          <w:tcPr>
            <w:tcW w:w="1086" w:type="dxa"/>
          </w:tcPr>
          <w:p w14:paraId="7B4E695D" w14:textId="7013D631"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0</w:t>
            </w:r>
          </w:p>
        </w:tc>
        <w:tc>
          <w:tcPr>
            <w:tcW w:w="1086" w:type="dxa"/>
          </w:tcPr>
          <w:p w14:paraId="00163B53" w14:textId="739C0963"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0.3</w:t>
            </w:r>
          </w:p>
        </w:tc>
        <w:tc>
          <w:tcPr>
            <w:tcW w:w="1086" w:type="dxa"/>
          </w:tcPr>
          <w:p w14:paraId="0A9BEF02" w14:textId="6C24B64A"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1</w:t>
            </w:r>
          </w:p>
        </w:tc>
        <w:tc>
          <w:tcPr>
            <w:tcW w:w="1086" w:type="dxa"/>
          </w:tcPr>
          <w:p w14:paraId="4166042F" w14:textId="54B30C1E"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4</w:t>
            </w:r>
          </w:p>
        </w:tc>
        <w:tc>
          <w:tcPr>
            <w:tcW w:w="1086" w:type="dxa"/>
          </w:tcPr>
          <w:p w14:paraId="78EDDF68" w14:textId="27457614" w:rsidR="3863BD23" w:rsidRPr="003A7E34" w:rsidRDefault="5A2C430D" w:rsidP="5A2C430D">
            <w:pPr>
              <w:spacing w:before="0" w:after="0"/>
              <w:jc w:val="center"/>
              <w:rPr>
                <w:rFonts w:eastAsia="Times New Roman"/>
                <w:sz w:val="20"/>
                <w:szCs w:val="20"/>
                <w:lang w:val="en-US"/>
              </w:rPr>
            </w:pPr>
            <w:r w:rsidRPr="003A7E34">
              <w:rPr>
                <w:rFonts w:eastAsia="Times New Roman"/>
                <w:sz w:val="20"/>
                <w:szCs w:val="20"/>
                <w:lang w:val="en-US"/>
              </w:rPr>
              <w:t>6</w:t>
            </w:r>
          </w:p>
        </w:tc>
      </w:tr>
    </w:tbl>
    <w:p w14:paraId="0BE5C975" w14:textId="13ACFD2A" w:rsidR="02384B0C" w:rsidRPr="003A7E34" w:rsidRDefault="02384B0C">
      <w:pPr>
        <w:rPr>
          <w:rFonts w:eastAsia="Times New Roman"/>
          <w:noProof/>
          <w:lang w:val="en-US"/>
        </w:rPr>
      </w:pPr>
    </w:p>
    <w:p w14:paraId="44833200" w14:textId="13CC2687" w:rsidR="3CC041A7" w:rsidRPr="003A7E34" w:rsidRDefault="00C21399" w:rsidP="00991322">
      <w:pPr>
        <w:rPr>
          <w:rFonts w:eastAsia="Times New Roman"/>
          <w:lang w:val="lt-LT"/>
        </w:rPr>
      </w:pPr>
      <w:r w:rsidRPr="003A7E34">
        <w:rPr>
          <w:noProof/>
          <w:lang w:val="en-US"/>
        </w:rPr>
        <w:drawing>
          <wp:inline distT="0" distB="0" distL="0" distR="0" wp14:anchorId="19EEBCAC" wp14:editId="0E860BC1">
            <wp:extent cx="6120765" cy="3618865"/>
            <wp:effectExtent l="0" t="0" r="13335" b="635"/>
            <wp:docPr id="11" name="Chart 11">
              <a:extLst xmlns:a="http://schemas.openxmlformats.org/drawingml/2006/main">
                <a:ext uri="{FF2B5EF4-FFF2-40B4-BE49-F238E27FC236}">
                  <a16:creationId xmlns:a16="http://schemas.microsoft.com/office/drawing/2014/main" id="{77ADD1AE-9596-4DB6-80BD-C9C7F182B9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FD6676" w14:textId="36877833" w:rsidR="1F603D79" w:rsidRPr="003A7E34" w:rsidRDefault="1F603D79" w:rsidP="1F603D79">
      <w:pPr>
        <w:jc w:val="center"/>
        <w:rPr>
          <w:rFonts w:eastAsia="Times New Roman"/>
          <w:noProof/>
          <w:sz w:val="20"/>
          <w:szCs w:val="20"/>
          <w:lang w:val="en-US"/>
        </w:rPr>
      </w:pPr>
      <w:r w:rsidRPr="003A7E34">
        <w:rPr>
          <w:rFonts w:eastAsia="Times New Roman"/>
          <w:b/>
          <w:bCs/>
          <w:noProof/>
          <w:sz w:val="20"/>
          <w:szCs w:val="20"/>
          <w:lang w:val="en-US"/>
        </w:rPr>
        <w:t>Figure 2.1.2.4.</w:t>
      </w:r>
      <w:r w:rsidRPr="003A7E34">
        <w:rPr>
          <w:rFonts w:eastAsia="Times New Roman"/>
          <w:lang w:val="en-US"/>
        </w:rPr>
        <w:t xml:space="preserve"> </w:t>
      </w:r>
      <w:r w:rsidRPr="003A7E34">
        <w:rPr>
          <w:rFonts w:eastAsia="Times New Roman"/>
          <w:noProof/>
          <w:sz w:val="20"/>
          <w:szCs w:val="20"/>
          <w:lang w:val="en-US"/>
        </w:rPr>
        <w:t xml:space="preserve">Estimated trajectories </w:t>
      </w:r>
      <w:r w:rsidR="0074435D" w:rsidRPr="003A7E34">
        <w:rPr>
          <w:rFonts w:eastAsia="Times New Roman"/>
          <w:noProof/>
          <w:sz w:val="20"/>
          <w:szCs w:val="20"/>
          <w:lang w:val="en-US"/>
        </w:rPr>
        <w:t xml:space="preserve">for the </w:t>
      </w:r>
      <w:r w:rsidRPr="003A7E34">
        <w:rPr>
          <w:rFonts w:eastAsia="Times New Roman"/>
          <w:noProof/>
          <w:sz w:val="20"/>
          <w:szCs w:val="20"/>
          <w:lang w:val="en-US"/>
        </w:rPr>
        <w:t xml:space="preserve">renewable energy </w:t>
      </w:r>
      <w:r w:rsidR="0074435D" w:rsidRPr="003A7E34">
        <w:rPr>
          <w:rFonts w:eastAsia="Times New Roman"/>
          <w:noProof/>
          <w:sz w:val="20"/>
          <w:szCs w:val="20"/>
          <w:lang w:val="en-US"/>
        </w:rPr>
        <w:t>technologies.</w:t>
      </w:r>
    </w:p>
    <w:p w14:paraId="639247BD" w14:textId="2C1B2BA8" w:rsidR="57D97ADC" w:rsidRPr="003A7E34" w:rsidRDefault="57D97ADC" w:rsidP="1F603D79">
      <w:pPr>
        <w:rPr>
          <w:rFonts w:eastAsia="Times New Roman"/>
          <w:lang w:val="en-US"/>
        </w:rPr>
      </w:pPr>
    </w:p>
    <w:p w14:paraId="27D1D1B7" w14:textId="4964FDD7" w:rsidR="008D37FE" w:rsidRPr="003A7E34" w:rsidRDefault="1F603D79" w:rsidP="00207D01">
      <w:pPr>
        <w:pStyle w:val="ListParagraph"/>
        <w:numPr>
          <w:ilvl w:val="3"/>
          <w:numId w:val="21"/>
        </w:numPr>
        <w:spacing w:after="120" w:line="240" w:lineRule="auto"/>
        <w:ind w:left="1560" w:hanging="284"/>
        <w:contextualSpacing w:val="0"/>
        <w:jc w:val="both"/>
        <w:rPr>
          <w:rFonts w:ascii="Times New Roman" w:hAnsi="Times New Roman" w:cs="Times New Roman"/>
          <w:noProof/>
          <w:lang w:val="en-US"/>
        </w:rPr>
      </w:pPr>
      <w:r w:rsidRPr="003A7E34">
        <w:rPr>
          <w:rFonts w:ascii="Times New Roman" w:eastAsia="Times New Roman" w:hAnsi="Times New Roman" w:cs="Times New Roman"/>
          <w:b/>
          <w:bCs/>
          <w:i/>
          <w:iCs/>
          <w:noProof/>
          <w:lang w:val="en-US"/>
        </w:rPr>
        <w:t>Estimated</w:t>
      </w:r>
      <w:r w:rsidRPr="003A7E34">
        <w:rPr>
          <w:rFonts w:ascii="Times New Roman" w:eastAsia="Times New Roman" w:hAnsi="Times New Roman" w:cs="Times New Roman"/>
          <w:noProof/>
          <w:lang w:val="en-US"/>
        </w:rPr>
        <w:t xml:space="preserve"> trajectories on bioenergy demand, disaggregated between heat, electricity and transport, and on biomass supply by feedstocks and origin (distinguishing between domestic production and imports). For forest biomass, an assessment of its source and impact on the LULUCF sink</w:t>
      </w:r>
    </w:p>
    <w:p w14:paraId="68AE148A" w14:textId="77777777" w:rsidR="00207D01" w:rsidRPr="003A7E34" w:rsidRDefault="00207D01" w:rsidP="00207D01">
      <w:pPr>
        <w:pStyle w:val="ListParagraph"/>
        <w:spacing w:after="120" w:line="240" w:lineRule="auto"/>
        <w:ind w:left="0"/>
        <w:contextualSpacing w:val="0"/>
        <w:jc w:val="both"/>
        <w:rPr>
          <w:rFonts w:ascii="Times New Roman" w:hAnsi="Times New Roman" w:cs="Times New Roman"/>
          <w:noProof/>
        </w:rPr>
      </w:pPr>
      <w:r w:rsidRPr="003A7E34">
        <w:rPr>
          <w:rFonts w:ascii="Times New Roman" w:hAnsi="Times New Roman" w:cs="Times New Roman"/>
          <w:noProof/>
        </w:rPr>
        <w:t>Lithuania has undertaken, according to Directive 2009/28/EC on the promotion of the use of energy from renewable sources, to increase the renewable energy sources (RES) share in the final national energy consumption up to 23% by 2020 and to increase the share of RES in all modes of transport up to at least 10% of the final consumption in the transport sector. The Law on Energy from Renewable Sources contains sectoral objectives: to increase the share of electricity produced from RES up to at least 20% of the final national consumption, to increase the share of centrally supplied heat energy, produced from RES, up to at least 60%, of the heat energy balance, and to increase the share of RES used in households up to at least 80% of the total energy consumption balance.</w:t>
      </w:r>
    </w:p>
    <w:p w14:paraId="7956E48C" w14:textId="77777777" w:rsidR="00207D01" w:rsidRPr="003A7E34" w:rsidRDefault="00207D01" w:rsidP="00207D01">
      <w:pPr>
        <w:pStyle w:val="ListParagraph"/>
        <w:spacing w:after="120" w:line="240" w:lineRule="auto"/>
        <w:ind w:left="0"/>
        <w:contextualSpacing w:val="0"/>
        <w:jc w:val="both"/>
        <w:rPr>
          <w:rFonts w:ascii="Times New Roman" w:hAnsi="Times New Roman" w:cs="Times New Roman"/>
          <w:noProof/>
        </w:rPr>
      </w:pPr>
      <w:r w:rsidRPr="003A7E34">
        <w:rPr>
          <w:rFonts w:ascii="Times New Roman" w:hAnsi="Times New Roman" w:cs="Times New Roman"/>
          <w:noProof/>
        </w:rPr>
        <w:t xml:space="preserve">According to the Lithuanian Department of Statistics, Lithuania has already reached the 23% target: in 2014, the share of RES in the total energy balance of the country exceeded one fifth, accounting for 23.66 %. In 2015, the share of RES in the total energy balance of the country reached up to 25,86 % (a 2.2 % increase </w:t>
      </w:r>
      <w:r w:rsidRPr="003A7E34">
        <w:rPr>
          <w:rFonts w:ascii="Times New Roman" w:hAnsi="Times New Roman" w:cs="Times New Roman"/>
          <w:noProof/>
        </w:rPr>
        <w:lastRenderedPageBreak/>
        <w:t>compared with 2014): electricity sector 15.55 % (+ 1.85%), heating and cooling sector 46.17 % (+ 5.54%), and transport sector 4.56 % (+ 0.23%).</w:t>
      </w:r>
    </w:p>
    <w:p w14:paraId="158AB6B7" w14:textId="21F4DF65" w:rsidR="00207D01" w:rsidRPr="003A7E34" w:rsidRDefault="00207D01" w:rsidP="00207D01">
      <w:pPr>
        <w:pStyle w:val="ListParagraph"/>
        <w:spacing w:after="120" w:line="240" w:lineRule="auto"/>
        <w:ind w:left="0"/>
        <w:contextualSpacing w:val="0"/>
        <w:jc w:val="both"/>
        <w:rPr>
          <w:rFonts w:ascii="Times New Roman" w:hAnsi="Times New Roman" w:cs="Times New Roman"/>
          <w:noProof/>
        </w:rPr>
      </w:pPr>
      <w:r w:rsidRPr="003A7E34">
        <w:rPr>
          <w:rFonts w:ascii="Times New Roman" w:hAnsi="Times New Roman" w:cs="Times New Roman"/>
          <w:noProof/>
        </w:rPr>
        <w:t>The majority of renewable energy in Lithuania is from biomass. The amount of biomass per capita in Lithuania is one of the highest in the European Union and it is estimated that in 2020 Lithuania will take the lead in the EU according to the quantity of available biomass for energy needs. In 2015 use of biomass for power and heat generation presented below</w:t>
      </w:r>
      <w:r w:rsidR="00171E30" w:rsidRPr="003A7E34">
        <w:rPr>
          <w:rStyle w:val="FootnoteReference"/>
          <w:rFonts w:ascii="Times New Roman" w:hAnsi="Times New Roman" w:cs="Times New Roman"/>
          <w:noProof/>
        </w:rPr>
        <w:footnoteReference w:id="8"/>
      </w:r>
      <w:r w:rsidRPr="003A7E34">
        <w:rPr>
          <w:rFonts w:ascii="Times New Roman" w:hAnsi="Times New Roman" w:cs="Times New Roman"/>
          <w:noProof/>
        </w:rPr>
        <w:t xml:space="preserve"> </w:t>
      </w:r>
      <w:r w:rsidRPr="003A7E34">
        <w:rPr>
          <w:rFonts w:ascii="Times New Roman" w:hAnsi="Times New Roman" w:cs="Times New Roman"/>
          <w:bCs/>
          <w:noProof/>
        </w:rPr>
        <w:t>:</w:t>
      </w:r>
    </w:p>
    <w:p w14:paraId="059034AB" w14:textId="5061AC2C" w:rsidR="00207D01" w:rsidRPr="003A7E34" w:rsidRDefault="006A3ECB" w:rsidP="00991322">
      <w:pPr>
        <w:spacing w:before="0"/>
        <w:contextualSpacing/>
        <w:jc w:val="center"/>
      </w:pPr>
      <w:r w:rsidRPr="003A7E34">
        <w:object w:dxaOrig="9870" w:dyaOrig="4530" w14:anchorId="21E4F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5pt;height:126pt" o:ole="">
            <v:imagedata r:id="rId16" o:title=""/>
          </v:shape>
          <o:OLEObject Type="Embed" ProgID="PBrush" ShapeID="_x0000_i1025" DrawAspect="Content" ObjectID="_1604729686" r:id="rId17"/>
        </w:object>
      </w:r>
    </w:p>
    <w:p w14:paraId="5F701433" w14:textId="77777777" w:rsidR="006A3ECB" w:rsidRPr="003A7E34" w:rsidRDefault="006A3ECB" w:rsidP="00207D01">
      <w:pPr>
        <w:spacing w:before="0"/>
        <w:contextualSpacing/>
        <w:jc w:val="center"/>
      </w:pPr>
    </w:p>
    <w:p w14:paraId="084141B7" w14:textId="2CE6EFB1" w:rsidR="00207D01" w:rsidRPr="003A7E34" w:rsidRDefault="00207D01" w:rsidP="00207D01">
      <w:pPr>
        <w:spacing w:before="0"/>
      </w:pPr>
      <w:r w:rsidRPr="003A7E34">
        <w:t>The goal to increase the amount of harvest residuals (logging waste) and small non-merchantable wood used for bioenergy production was set in the National Forestry Development Program for 2012 - 2020. It was indicated that 500 thous</w:t>
      </w:r>
      <w:r w:rsidR="00596EF6" w:rsidRPr="003A7E34">
        <w:t>and</w:t>
      </w:r>
      <w:r w:rsidRPr="003A7E34">
        <w:t xml:space="preserve"> m3 of such biomass supply should be reached by 2020. According to the study on biomass supply and demand for bioenergy purposes</w:t>
      </w:r>
      <w:r w:rsidR="00694FF7" w:rsidRPr="003A7E34">
        <w:rPr>
          <w:rStyle w:val="FootnoteReference"/>
        </w:rPr>
        <w:footnoteReference w:id="9"/>
      </w:r>
      <w:r w:rsidRPr="003A7E34">
        <w:t xml:space="preserve">, the </w:t>
      </w:r>
      <w:r w:rsidR="005A73A8" w:rsidRPr="003A7E34">
        <w:t>potential</w:t>
      </w:r>
      <w:r w:rsidRPr="003A7E34">
        <w:t xml:space="preserve"> annual amount of woody biomass for bioenergy uses is 5.8 Mm3 or 1 Mtoe (projected up to 2020 - 2025), which includes the biomass not only from forest harvesting but also wood products waste, suitable for bioenergy purposes. It was identified, that forest biomass potential for bioenergy uses is 3.5 Mm3, where more than 1 Mm3 of which is still unused. According to the abovementioned study, the unused biomass potential from forest basically contains residuals of thinning of young stands, timber of negligible value wood stands and logging waste. </w:t>
      </w:r>
    </w:p>
    <w:p w14:paraId="4A82C8CB" w14:textId="5F926629" w:rsidR="00207D01" w:rsidRPr="003A7E34" w:rsidRDefault="00207D01" w:rsidP="00207D01">
      <w:pPr>
        <w:spacing w:before="0"/>
      </w:pPr>
      <w:r w:rsidRPr="003A7E34">
        <w:t xml:space="preserve">Due to the fact that all the biomass potential </w:t>
      </w:r>
      <w:r w:rsidR="00AC3973" w:rsidRPr="003A7E34">
        <w:t>advised</w:t>
      </w:r>
      <w:r w:rsidRPr="003A7E34">
        <w:t xml:space="preserve"> to use for bioenergy demands is already included in the LULUCF GHG emissions inventory through the measurements of growing stock volume changes, the impact of the increased use of logging and thinning waste to the LULUCF sink is insignificant. On the contrary, if timber use from negligible value wood stands is significantly increased it could result in slightly decreasing LULUCF sink due to the respectively decreasing growing stock volume, however, the exact impact is uncertain.</w:t>
      </w:r>
    </w:p>
    <w:p w14:paraId="4BF9775F" w14:textId="0455FB0A" w:rsidR="008D37FE" w:rsidRPr="003A7E34" w:rsidRDefault="1F603D79" w:rsidP="1F603D79">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Where applicable, other national trajectories and objectives, including those that are long term or sectoral (e.g. share of renewable energy in district heating, renewable energy use in buildings, renewable energy produced by cities, energy communities and self-consumers, </w:t>
      </w:r>
      <w:r w:rsidRPr="003A7E34">
        <w:rPr>
          <w:rFonts w:ascii="Times New Roman" w:eastAsia="Times New Roman" w:hAnsi="Times New Roman" w:cs="Times New Roman"/>
          <w:b/>
          <w:bCs/>
          <w:i/>
          <w:iCs/>
          <w:noProof/>
          <w:lang w:val="en-US"/>
        </w:rPr>
        <w:t>energy recovered from the sludge acquired through the treatment of wastewater)</w:t>
      </w:r>
    </w:p>
    <w:p w14:paraId="1552BECE" w14:textId="3E2FB384" w:rsidR="00D91AFA" w:rsidRPr="003A7E34" w:rsidRDefault="00D91AFA">
      <w:pPr>
        <w:rPr>
          <w:rFonts w:eastAsia="Times New Roman"/>
          <w:noProof/>
          <w:lang w:val="en-US"/>
        </w:rPr>
      </w:pPr>
      <w:r w:rsidRPr="003A7E34">
        <w:rPr>
          <w:rFonts w:eastAsia="Times New Roman"/>
          <w:noProof/>
          <w:lang w:val="en-US"/>
        </w:rPr>
        <w:t xml:space="preserve">To increase the share of electricity production from RES in </w:t>
      </w:r>
      <w:r w:rsidR="0074435D" w:rsidRPr="003A7E34">
        <w:rPr>
          <w:rFonts w:eastAsia="Times New Roman"/>
          <w:noProof/>
          <w:lang w:val="en-US"/>
        </w:rPr>
        <w:t xml:space="preserve">the </w:t>
      </w:r>
      <w:r w:rsidRPr="003A7E34">
        <w:rPr>
          <w:rFonts w:eastAsia="Times New Roman"/>
          <w:noProof/>
          <w:lang w:val="en-US"/>
        </w:rPr>
        <w:t>final electricity consumption up to 30% in 2020, 45% in 2030 and 80% in 2050:</w:t>
      </w:r>
    </w:p>
    <w:p w14:paraId="226E9697" w14:textId="745136DC" w:rsidR="00D91AFA" w:rsidRPr="003A7E34" w:rsidRDefault="46DF7FC9" w:rsidP="00C42AAE">
      <w:pPr>
        <w:numPr>
          <w:ilvl w:val="0"/>
          <w:numId w:val="6"/>
        </w:numPr>
        <w:spacing w:before="0"/>
        <w:ind w:left="714" w:hanging="357"/>
        <w:contextualSpacing/>
        <w:rPr>
          <w:noProof/>
          <w:lang w:val="en-US"/>
        </w:rPr>
      </w:pPr>
      <w:r w:rsidRPr="003A7E34">
        <w:rPr>
          <w:rFonts w:eastAsia="Times New Roman"/>
          <w:b/>
          <w:bCs/>
          <w:noProof/>
          <w:lang w:val="en-US"/>
        </w:rPr>
        <w:t>By 2020</w:t>
      </w:r>
      <w:r w:rsidRPr="003A7E34">
        <w:rPr>
          <w:rFonts w:eastAsia="Times New Roman"/>
          <w:noProof/>
          <w:lang w:val="en-US"/>
        </w:rPr>
        <w:t xml:space="preserve">, the share of RES in </w:t>
      </w:r>
      <w:r w:rsidR="0074435D" w:rsidRPr="003A7E34">
        <w:rPr>
          <w:rFonts w:eastAsia="Times New Roman"/>
          <w:noProof/>
          <w:lang w:val="en-US"/>
        </w:rPr>
        <w:t xml:space="preserve">the </w:t>
      </w:r>
      <w:r w:rsidRPr="003A7E34">
        <w:rPr>
          <w:rFonts w:eastAsia="Times New Roman"/>
          <w:noProof/>
          <w:lang w:val="en-US"/>
        </w:rPr>
        <w:t xml:space="preserve">final electricity consumption will grow to 30% and will constitute no less than 3TWh. From the perspective of </w:t>
      </w:r>
      <w:r w:rsidR="0074435D" w:rsidRPr="003A7E34">
        <w:rPr>
          <w:rFonts w:eastAsia="Times New Roman"/>
          <w:noProof/>
          <w:lang w:val="en-US"/>
        </w:rPr>
        <w:t xml:space="preserve">the </w:t>
      </w:r>
      <w:r w:rsidRPr="003A7E34">
        <w:rPr>
          <w:rFonts w:eastAsia="Times New Roman"/>
          <w:noProof/>
          <w:lang w:val="en-US"/>
        </w:rPr>
        <w:t>technology development trends, it is estimated that electricity produced from wind will become the main source of RES energy and by 2020 might reach up to 44%, biomass – up to 26%, hydropower – up to 19%, energy produced in solar power plants – up to 6%, and biogas – up to 5% of all RES-generated electricity consumed.</w:t>
      </w:r>
    </w:p>
    <w:p w14:paraId="0793E9B6" w14:textId="77777777" w:rsidR="00D91AFA" w:rsidRPr="003A7E34" w:rsidRDefault="46DF7FC9" w:rsidP="00C42AAE">
      <w:pPr>
        <w:numPr>
          <w:ilvl w:val="0"/>
          <w:numId w:val="6"/>
        </w:numPr>
        <w:spacing w:before="0"/>
        <w:ind w:left="714" w:hanging="357"/>
        <w:contextualSpacing/>
        <w:rPr>
          <w:noProof/>
          <w:lang w:val="en-US"/>
        </w:rPr>
      </w:pPr>
      <w:r w:rsidRPr="003A7E34">
        <w:rPr>
          <w:rFonts w:eastAsia="Times New Roman"/>
          <w:noProof/>
          <w:lang w:val="en-US"/>
        </w:rPr>
        <w:lastRenderedPageBreak/>
        <w:t xml:space="preserve">A lot of attention will be paid to the production of decentralised electricity from RES. The number of electricity consumers who can generate electricity for their own needs will be gradually increased. By 2020, after creating a favourable investment environment, there will be at least 34 thousand electricity consumers using a prosumer scheme. </w:t>
      </w:r>
    </w:p>
    <w:p w14:paraId="5079B033" w14:textId="77777777" w:rsidR="00D91AFA" w:rsidRPr="003A7E34" w:rsidRDefault="46DF7FC9" w:rsidP="00C42AAE">
      <w:pPr>
        <w:numPr>
          <w:ilvl w:val="0"/>
          <w:numId w:val="6"/>
        </w:numPr>
        <w:spacing w:before="0"/>
        <w:ind w:left="714" w:hanging="357"/>
        <w:contextualSpacing/>
        <w:rPr>
          <w:noProof/>
          <w:lang w:val="en-US"/>
        </w:rPr>
      </w:pPr>
      <w:r w:rsidRPr="003A7E34">
        <w:rPr>
          <w:rFonts w:eastAsia="Times New Roman"/>
          <w:b/>
          <w:bCs/>
          <w:noProof/>
          <w:lang w:val="en-US"/>
        </w:rPr>
        <w:t>By 2030</w:t>
      </w:r>
      <w:r w:rsidRPr="003A7E34">
        <w:rPr>
          <w:rFonts w:eastAsia="Times New Roman"/>
          <w:noProof/>
          <w:lang w:val="en-US"/>
        </w:rPr>
        <w:t>, no less than 45% of electrical power consumed in Lithuania will be produced from RES and will constitute no less than 7 TWh. With technology development trends in mind, it is estimated that the majority of electricity – no less than 53% – could come from wind power, 22% – from solar energy, 16% from biofuel energy produced in highly efficient co-generation power plants, and 8% – from hydropower. Biogas could generate about 1% of electrical power.</w:t>
      </w:r>
    </w:p>
    <w:p w14:paraId="6769807F" w14:textId="77777777" w:rsidR="00D91AFA" w:rsidRPr="003A7E34" w:rsidRDefault="46DF7FC9" w:rsidP="00C42AAE">
      <w:pPr>
        <w:numPr>
          <w:ilvl w:val="0"/>
          <w:numId w:val="6"/>
        </w:numPr>
        <w:spacing w:before="0"/>
        <w:ind w:left="714" w:hanging="357"/>
        <w:contextualSpacing/>
        <w:rPr>
          <w:noProof/>
          <w:lang w:val="en-US"/>
        </w:rPr>
      </w:pPr>
      <w:r w:rsidRPr="003A7E34">
        <w:rPr>
          <w:rFonts w:eastAsia="Times New Roman"/>
          <w:b/>
          <w:bCs/>
          <w:noProof/>
          <w:lang w:val="en-US"/>
        </w:rPr>
        <w:t>By 2050,</w:t>
      </w:r>
      <w:r w:rsidRPr="003A7E34">
        <w:rPr>
          <w:rFonts w:eastAsia="Times New Roman"/>
          <w:noProof/>
          <w:lang w:val="en-US"/>
        </w:rPr>
        <w:t xml:space="preserve"> electricity generated from RES will constitute no less than 100% of power consumed in Lithuania, and the amount of energy produced from RES will be no less than 18 TWh.</w:t>
      </w:r>
    </w:p>
    <w:p w14:paraId="68760F15" w14:textId="77777777" w:rsidR="00967631" w:rsidRPr="003A7E34" w:rsidRDefault="00967631">
      <w:pPr>
        <w:rPr>
          <w:rFonts w:eastAsia="Times New Roman"/>
          <w:noProof/>
          <w:lang w:val="en-US"/>
        </w:rPr>
      </w:pPr>
    </w:p>
    <w:p w14:paraId="55737E86" w14:textId="062F87B6" w:rsidR="00D91AFA" w:rsidRPr="003A7E34" w:rsidRDefault="00D91AFA">
      <w:pPr>
        <w:rPr>
          <w:rFonts w:eastAsia="Times New Roman"/>
          <w:noProof/>
          <w:lang w:val="en-US"/>
        </w:rPr>
      </w:pPr>
      <w:r w:rsidRPr="003A7E34">
        <w:rPr>
          <w:rFonts w:eastAsia="Times New Roman"/>
          <w:noProof/>
          <w:lang w:val="en-US"/>
        </w:rPr>
        <w:t>To maximise the share of RES for district heating consumers, households with independent heating and non-household consumers with independent heating:</w:t>
      </w:r>
    </w:p>
    <w:p w14:paraId="54961C9D" w14:textId="77777777" w:rsidR="00A45319" w:rsidRPr="003A7E34" w:rsidRDefault="46DF7FC9" w:rsidP="00C42AAE">
      <w:pPr>
        <w:numPr>
          <w:ilvl w:val="0"/>
          <w:numId w:val="6"/>
        </w:numPr>
        <w:spacing w:before="0"/>
        <w:ind w:left="714" w:hanging="357"/>
        <w:contextualSpacing/>
        <w:rPr>
          <w:noProof/>
          <w:lang w:val="en-US"/>
        </w:rPr>
      </w:pPr>
      <w:r w:rsidRPr="003A7E34">
        <w:rPr>
          <w:rFonts w:eastAsia="Times New Roman"/>
          <w:noProof/>
          <w:lang w:val="en-US"/>
        </w:rPr>
        <w:t>Up until 2020, RES consumption will continue to increase as compared to district heat consumption and in independent heating in households.</w:t>
      </w:r>
    </w:p>
    <w:p w14:paraId="718C50B9" w14:textId="0E95E64A" w:rsidR="00D91AFA" w:rsidRPr="003A7E34" w:rsidRDefault="46DF7FC9" w:rsidP="00C42AAE">
      <w:pPr>
        <w:pStyle w:val="ListParagraph"/>
        <w:numPr>
          <w:ilvl w:val="0"/>
          <w:numId w:val="6"/>
        </w:numPr>
        <w:rPr>
          <w:rFonts w:ascii="Times New Roman" w:hAnsi="Times New Roman" w:cs="Times New Roman"/>
          <w:noProof/>
          <w:lang w:val="en-US"/>
        </w:rPr>
      </w:pPr>
      <w:r w:rsidRPr="003A7E34">
        <w:rPr>
          <w:rFonts w:ascii="Times New Roman" w:eastAsia="Times New Roman" w:hAnsi="Times New Roman" w:cs="Times New Roman"/>
          <w:noProof/>
          <w:lang w:val="en-US"/>
        </w:rPr>
        <w:t>The share of DHS RES (including waste) will be 70% by 2020 and 90% by 2030. The development of high-efficiency biofuel CHP plants will continue, non-recyclable municipal waste non-hazardous industrial waste that have energy value will be effectively used for energy production.</w:t>
      </w:r>
    </w:p>
    <w:p w14:paraId="2B5F1967" w14:textId="39ABCBC9" w:rsidR="00D559BE" w:rsidRPr="003A7E34" w:rsidRDefault="46DF7FC9" w:rsidP="00C42AAE">
      <w:pPr>
        <w:numPr>
          <w:ilvl w:val="0"/>
          <w:numId w:val="6"/>
        </w:numPr>
        <w:spacing w:before="0"/>
        <w:ind w:left="714" w:hanging="357"/>
        <w:contextualSpacing/>
        <w:rPr>
          <w:noProof/>
          <w:lang w:val="en-US"/>
        </w:rPr>
      </w:pPr>
      <w:r w:rsidRPr="003A7E34">
        <w:rPr>
          <w:rFonts w:eastAsia="Times New Roman"/>
          <w:noProof/>
          <w:lang w:val="en-US"/>
        </w:rPr>
        <w:t>After creating a favourable regulatory environment, households with independent heating will gradually switch to clean, zero GHG technologies and the share of RES in households will reach 70% by 2020 and 80% by 2030. GHG producing technologies will be replaced by clean, clean-air technologies that do not impair the quality of air.</w:t>
      </w:r>
    </w:p>
    <w:p w14:paraId="0EB5B098" w14:textId="77777777" w:rsidR="00F346A4" w:rsidRPr="003A7E34" w:rsidRDefault="00F346A4" w:rsidP="00F346A4">
      <w:pPr>
        <w:rPr>
          <w:noProof/>
          <w:lang w:val="en-US"/>
        </w:rPr>
      </w:pPr>
    </w:p>
    <w:p w14:paraId="2F183B73" w14:textId="10E9031A" w:rsidR="001257B2" w:rsidRPr="003A7E34" w:rsidRDefault="00BC6380" w:rsidP="00C42AAE">
      <w:pPr>
        <w:pStyle w:val="Heading2"/>
        <w:numPr>
          <w:ilvl w:val="1"/>
          <w:numId w:val="21"/>
        </w:numPr>
        <w:rPr>
          <w:rFonts w:cs="Times New Roman"/>
          <w:noProof/>
          <w:lang w:val="en-US"/>
        </w:rPr>
      </w:pPr>
      <w:bookmarkStart w:id="34" w:name="_Toc530405564"/>
      <w:bookmarkStart w:id="35" w:name="_Toc530411795"/>
      <w:bookmarkStart w:id="36" w:name="_Toc530414144"/>
      <w:r w:rsidRPr="003A7E34">
        <w:rPr>
          <w:rFonts w:eastAsia="Times New Roman" w:cs="Times New Roman"/>
          <w:noProof/>
          <w:lang w:val="en-US"/>
        </w:rPr>
        <w:t>Dimension energy efficiency</w:t>
      </w:r>
      <w:bookmarkEnd w:id="34"/>
      <w:bookmarkEnd w:id="35"/>
      <w:bookmarkEnd w:id="36"/>
    </w:p>
    <w:p w14:paraId="5417D65A" w14:textId="4DE2B896" w:rsidR="00BC6380" w:rsidRPr="003A7E34" w:rsidRDefault="00BC6380" w:rsidP="00C42AAE">
      <w:pPr>
        <w:pStyle w:val="ListParagraph"/>
        <w:numPr>
          <w:ilvl w:val="3"/>
          <w:numId w:val="21"/>
        </w:numPr>
        <w:spacing w:line="240" w:lineRule="auto"/>
        <w:ind w:left="1560" w:hanging="284"/>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The </w:t>
      </w:r>
      <w:r w:rsidRPr="003A7E34">
        <w:rPr>
          <w:rFonts w:ascii="Times New Roman" w:eastAsia="Times New Roman" w:hAnsi="Times New Roman" w:cs="Times New Roman"/>
          <w:b/>
          <w:bCs/>
          <w:i/>
          <w:iCs/>
          <w:noProof/>
          <w:lang w:val="en-US"/>
        </w:rPr>
        <w:t>elements set out in point (b) of Article 4</w:t>
      </w:r>
    </w:p>
    <w:p w14:paraId="62594FD5" w14:textId="20B60771" w:rsidR="004A3FD6" w:rsidRPr="003A7E34" w:rsidRDefault="372247B6" w:rsidP="00EA50D6">
      <w:pPr>
        <w:tabs>
          <w:tab w:val="right" w:pos="709"/>
          <w:tab w:val="left" w:pos="993"/>
          <w:tab w:val="left" w:pos="1134"/>
        </w:tabs>
        <w:spacing w:after="0"/>
        <w:rPr>
          <w:rFonts w:eastAsia="Times New Roman"/>
          <w:lang w:val="en-US"/>
        </w:rPr>
      </w:pPr>
      <w:r w:rsidRPr="003A7E34">
        <w:rPr>
          <w:rFonts w:eastAsia="Times New Roman"/>
          <w:lang w:val="en-US"/>
        </w:rPr>
        <w:t xml:space="preserve">In pursuit of the energy efficiency improvement </w:t>
      </w:r>
      <w:r w:rsidR="001D4A23" w:rsidRPr="003A7E34">
        <w:rPr>
          <w:rFonts w:eastAsia="Times New Roman"/>
          <w:lang w:val="en-US"/>
        </w:rPr>
        <w:t>objectives, set in the National Energy Independency Strategy,</w:t>
      </w:r>
      <w:r w:rsidRPr="003A7E34">
        <w:rPr>
          <w:rFonts w:eastAsia="Times New Roman"/>
          <w:lang w:val="en-US"/>
        </w:rPr>
        <w:t xml:space="preserve"> </w:t>
      </w:r>
      <w:r w:rsidR="001D4A23" w:rsidRPr="003A7E34">
        <w:rPr>
          <w:rFonts w:eastAsia="Times New Roman"/>
          <w:lang w:val="en-US"/>
        </w:rPr>
        <w:t>aim</w:t>
      </w:r>
      <w:r w:rsidRPr="003A7E34">
        <w:rPr>
          <w:rFonts w:eastAsia="Times New Roman"/>
          <w:lang w:val="en-US"/>
        </w:rPr>
        <w:t xml:space="preserve"> </w:t>
      </w:r>
      <w:r w:rsidR="002F0782" w:rsidRPr="003A7E34">
        <w:rPr>
          <w:rFonts w:eastAsia="Times New Roman"/>
          <w:lang w:val="en-US"/>
        </w:rPr>
        <w:t xml:space="preserve">will be </w:t>
      </w:r>
      <w:r w:rsidRPr="003A7E34">
        <w:rPr>
          <w:rFonts w:eastAsia="Times New Roman"/>
          <w:lang w:val="en-US"/>
        </w:rPr>
        <w:t>to:</w:t>
      </w:r>
    </w:p>
    <w:p w14:paraId="17589C90" w14:textId="77777777" w:rsidR="004A3FD6" w:rsidRPr="003A7E34" w:rsidRDefault="46DF7FC9" w:rsidP="00C42AAE">
      <w:pPr>
        <w:pStyle w:val="ListParagraph"/>
        <w:numPr>
          <w:ilvl w:val="0"/>
          <w:numId w:val="6"/>
        </w:numPr>
        <w:tabs>
          <w:tab w:val="left" w:pos="1134"/>
          <w:tab w:val="left" w:pos="1418"/>
        </w:tabs>
        <w:spacing w:after="0" w:line="240" w:lineRule="auto"/>
        <w:jc w:val="both"/>
        <w:rPr>
          <w:rFonts w:ascii="Times New Roman" w:hAnsi="Times New Roman" w:cs="Times New Roman"/>
          <w:lang w:val="en-US"/>
        </w:rPr>
      </w:pPr>
      <w:r w:rsidRPr="003A7E34">
        <w:rPr>
          <w:rFonts w:ascii="Times New Roman" w:eastAsia="Times New Roman" w:hAnsi="Times New Roman" w:cs="Times New Roman"/>
          <w:lang w:val="en-US"/>
        </w:rPr>
        <w:t>ensure the implementation of the EU requirements for energy efficiency improvement in Lithuania by 2020 (i.e. total energy savings of 11.67 TWh) and the financing of compliance with these requirements;</w:t>
      </w:r>
    </w:p>
    <w:p w14:paraId="3D7AEF4B" w14:textId="77777777" w:rsidR="004A3FD6" w:rsidRPr="003A7E34" w:rsidRDefault="46DF7FC9" w:rsidP="00C42AAE">
      <w:pPr>
        <w:pStyle w:val="ListParagraph"/>
        <w:numPr>
          <w:ilvl w:val="0"/>
          <w:numId w:val="6"/>
        </w:numPr>
        <w:tabs>
          <w:tab w:val="left" w:pos="1134"/>
          <w:tab w:val="left" w:pos="1418"/>
        </w:tabs>
        <w:spacing w:after="0" w:line="240" w:lineRule="auto"/>
        <w:jc w:val="both"/>
        <w:rPr>
          <w:rFonts w:ascii="Times New Roman" w:hAnsi="Times New Roman" w:cs="Times New Roman"/>
          <w:lang w:val="en-US"/>
        </w:rPr>
      </w:pPr>
      <w:r w:rsidRPr="003A7E34">
        <w:rPr>
          <w:rFonts w:ascii="Times New Roman" w:eastAsia="Times New Roman" w:hAnsi="Times New Roman" w:cs="Times New Roman"/>
          <w:lang w:val="en-US"/>
        </w:rPr>
        <w:t>by 2030, ensure that primary and final energy intensity is 1.5 times lower in 2030 than in 2018;</w:t>
      </w:r>
    </w:p>
    <w:p w14:paraId="63F41FDD" w14:textId="77777777" w:rsidR="004A3FD6" w:rsidRPr="003A7E34" w:rsidRDefault="46DF7FC9" w:rsidP="00C42AAE">
      <w:pPr>
        <w:pStyle w:val="ListParagraph"/>
        <w:numPr>
          <w:ilvl w:val="0"/>
          <w:numId w:val="6"/>
        </w:numPr>
        <w:tabs>
          <w:tab w:val="left" w:pos="1134"/>
          <w:tab w:val="left" w:pos="1418"/>
        </w:tabs>
        <w:spacing w:after="0" w:line="240" w:lineRule="auto"/>
        <w:jc w:val="both"/>
        <w:rPr>
          <w:rFonts w:ascii="Times New Roman" w:hAnsi="Times New Roman" w:cs="Times New Roman"/>
          <w:lang w:val="en-US"/>
        </w:rPr>
      </w:pPr>
      <w:r w:rsidRPr="003A7E34">
        <w:rPr>
          <w:rFonts w:ascii="Times New Roman" w:eastAsia="Times New Roman" w:hAnsi="Times New Roman" w:cs="Times New Roman"/>
          <w:lang w:val="en-US"/>
        </w:rPr>
        <w:t>by 2050, ensure that primary and final energy intensity is about 2.4 times lower than in 2018.</w:t>
      </w:r>
    </w:p>
    <w:p w14:paraId="21B4D269" w14:textId="33AF912C" w:rsidR="00BC6380" w:rsidRPr="003A7E34" w:rsidRDefault="46DF7FC9" w:rsidP="00C42AAE">
      <w:pPr>
        <w:pStyle w:val="ListParagraph"/>
        <w:numPr>
          <w:ilvl w:val="0"/>
          <w:numId w:val="6"/>
        </w:numPr>
        <w:tabs>
          <w:tab w:val="left" w:pos="1134"/>
          <w:tab w:val="left" w:pos="1418"/>
        </w:tabs>
        <w:spacing w:after="0" w:line="240" w:lineRule="auto"/>
        <w:jc w:val="both"/>
        <w:rPr>
          <w:rFonts w:ascii="Times New Roman" w:hAnsi="Times New Roman" w:cs="Times New Roman"/>
          <w:lang w:val="en-US"/>
        </w:rPr>
      </w:pPr>
      <w:r w:rsidRPr="003A7E34">
        <w:rPr>
          <w:rFonts w:ascii="Times New Roman" w:eastAsia="Times New Roman" w:hAnsi="Times New Roman" w:cs="Times New Roman"/>
          <w:lang w:val="en-US"/>
        </w:rPr>
        <w:t>To promote integrated renovation of multi-apartment and public buildings (prioritizing renovation in quarters) and to save about 2.6–3 TWh of energy in the renovated multi-apartment and public buildings by 2020 and 5–6 TWh by 2030 (by adding up savings in each year).</w:t>
      </w:r>
    </w:p>
    <w:p w14:paraId="7D98C4DA" w14:textId="2DE28D30" w:rsidR="00B40F2B" w:rsidRPr="003A7E34" w:rsidRDefault="00B40F2B" w:rsidP="00EA50D6">
      <w:pPr>
        <w:tabs>
          <w:tab w:val="left" w:pos="1134"/>
          <w:tab w:val="left" w:pos="1418"/>
        </w:tabs>
        <w:spacing w:after="0"/>
        <w:rPr>
          <w:rFonts w:eastAsia="Times New Roman"/>
          <w:lang w:val="en-US"/>
        </w:rPr>
      </w:pPr>
    </w:p>
    <w:p w14:paraId="67DD7223" w14:textId="086E2657" w:rsidR="0041000C" w:rsidRPr="003A7E34" w:rsidRDefault="00B40F2B" w:rsidP="00C42AAE">
      <w:pPr>
        <w:pStyle w:val="ListParagraph"/>
        <w:numPr>
          <w:ilvl w:val="3"/>
          <w:numId w:val="21"/>
        </w:numPr>
        <w:spacing w:line="240" w:lineRule="auto"/>
        <w:ind w:left="1560" w:hanging="284"/>
        <w:rPr>
          <w:rFonts w:ascii="Times New Roman" w:hAnsi="Times New Roman" w:cs="Times New Roman"/>
          <w:noProof/>
          <w:lang w:val="en-US"/>
        </w:rPr>
      </w:pPr>
      <w:r w:rsidRPr="003A7E34">
        <w:rPr>
          <w:rFonts w:ascii="Times New Roman" w:eastAsia="Times New Roman" w:hAnsi="Times New Roman" w:cs="Times New Roman"/>
          <w:b/>
          <w:bCs/>
          <w:i/>
          <w:iCs/>
          <w:noProof/>
          <w:lang w:val="en-US"/>
        </w:rPr>
        <w:t>The indicative milestones for 2030, 2040 and 2050, the domestically established measurable progress indicators and their contributions to the Union's energy efficiency targets as included in the roadmaps set out in</w:t>
      </w:r>
      <w:r w:rsidRPr="003A7E34">
        <w:rPr>
          <w:rFonts w:ascii="Times New Roman" w:eastAsia="Times New Roman" w:hAnsi="Times New Roman" w:cs="Times New Roman"/>
          <w:noProof/>
          <w:lang w:val="en-US"/>
        </w:rPr>
        <w:t xml:space="preserve"> the long-term renovation </w:t>
      </w:r>
      <w:r w:rsidRPr="003A7E34">
        <w:rPr>
          <w:rFonts w:ascii="Times New Roman" w:eastAsia="Times New Roman" w:hAnsi="Times New Roman" w:cs="Times New Roman"/>
          <w:b/>
          <w:bCs/>
          <w:i/>
          <w:iCs/>
          <w:noProof/>
          <w:lang w:val="en-US"/>
        </w:rPr>
        <w:t>strategies for</w:t>
      </w:r>
      <w:r w:rsidRPr="003A7E34">
        <w:rPr>
          <w:rFonts w:ascii="Times New Roman" w:eastAsia="Times New Roman" w:hAnsi="Times New Roman" w:cs="Times New Roman"/>
          <w:noProof/>
          <w:lang w:val="en-US"/>
        </w:rPr>
        <w:t xml:space="preserve"> the national stock of residential and </w:t>
      </w:r>
      <w:r w:rsidRPr="003A7E34">
        <w:rPr>
          <w:rFonts w:ascii="Times New Roman" w:eastAsia="Times New Roman" w:hAnsi="Times New Roman" w:cs="Times New Roman"/>
          <w:b/>
          <w:bCs/>
          <w:i/>
          <w:iCs/>
          <w:noProof/>
          <w:lang w:val="en-US"/>
        </w:rPr>
        <w:t>non-residential buildings</w:t>
      </w:r>
      <w:r w:rsidRPr="003A7E34">
        <w:rPr>
          <w:rFonts w:ascii="Times New Roman" w:eastAsia="Times New Roman" w:hAnsi="Times New Roman" w:cs="Times New Roman"/>
          <w:noProof/>
          <w:lang w:val="en-US"/>
        </w:rPr>
        <w:t>, both public and private</w:t>
      </w:r>
      <w:r w:rsidRPr="003A7E34">
        <w:rPr>
          <w:rFonts w:ascii="Times New Roman" w:eastAsia="Times New Roman" w:hAnsi="Times New Roman" w:cs="Times New Roman"/>
          <w:b/>
          <w:bCs/>
          <w:i/>
          <w:iCs/>
          <w:noProof/>
          <w:lang w:val="en-US"/>
        </w:rPr>
        <w:t>, in accordance with Article 2a of Directive 2010/31/EU</w:t>
      </w:r>
    </w:p>
    <w:p w14:paraId="64AD2DB7" w14:textId="15F4429A" w:rsidR="0041000C" w:rsidRPr="003A7E34" w:rsidRDefault="372247B6" w:rsidP="00CA3F33">
      <w:pPr>
        <w:spacing w:before="0"/>
        <w:rPr>
          <w:rFonts w:eastAsia="Times New Roman"/>
          <w:lang w:val="en-US"/>
        </w:rPr>
      </w:pPr>
      <w:r w:rsidRPr="003A7E34">
        <w:rPr>
          <w:rFonts w:eastAsia="Times New Roman"/>
          <w:lang w:val="en-US"/>
        </w:rPr>
        <w:t xml:space="preserve">According the JESSICA Holding Fund from 2005 till 2016 2 354 multi-apartments have already been renovated (in 2016 were renovated 784 multi-apartments). It is foreseen to incentivize comprehensive modernization of multi-apartment and public buildings (priority giving for the quartered renovation) and to </w:t>
      </w:r>
      <w:r w:rsidRPr="003A7E34">
        <w:rPr>
          <w:rFonts w:eastAsia="Times New Roman"/>
          <w:lang w:val="en-US"/>
        </w:rPr>
        <w:lastRenderedPageBreak/>
        <w:t>renovate 25% of buildings stock till 2020 (2.6-3 TW</w:t>
      </w:r>
      <w:r w:rsidR="00B769AF" w:rsidRPr="003A7E34">
        <w:rPr>
          <w:rFonts w:eastAsia="Times New Roman"/>
          <w:lang w:val="en-US"/>
        </w:rPr>
        <w:t>h</w:t>
      </w:r>
      <w:r w:rsidRPr="003A7E34">
        <w:rPr>
          <w:rFonts w:eastAsia="Times New Roman"/>
          <w:lang w:val="en-US"/>
        </w:rPr>
        <w:t xml:space="preserve"> saving of energy) and 50% of buildings stock till 2030 (5-6 TWh saving of energy). The Energy Efficiency Fund provides investments in energy efficiency projects using the loans for the modernization of central government buildings. Up to 65.16 million EUR provided for the modernization of central government buildings until 2030.</w:t>
      </w:r>
    </w:p>
    <w:p w14:paraId="62BFAA1B" w14:textId="26A85E79" w:rsidR="0041000C" w:rsidRPr="003A7E34" w:rsidRDefault="0041000C" w:rsidP="00232576">
      <w:pPr>
        <w:spacing w:before="0"/>
        <w:rPr>
          <w:rFonts w:eastAsia="Times New Roman"/>
          <w:lang w:val="en-US"/>
        </w:rPr>
      </w:pPr>
      <w:r w:rsidRPr="003A7E34">
        <w:rPr>
          <w:rFonts w:eastAsia="Times New Roman"/>
          <w:lang w:val="en-US"/>
        </w:rPr>
        <w:t>In the updated Building Technical Regulation (2016)</w:t>
      </w:r>
      <w:r w:rsidRPr="003A7E34">
        <w:rPr>
          <w:rFonts w:eastAsia="Times New Roman"/>
          <w:vertAlign w:val="superscript"/>
          <w:lang w:val="en-US"/>
        </w:rPr>
        <w:footnoteReference w:id="10"/>
      </w:r>
      <w:r w:rsidRPr="003A7E34">
        <w:rPr>
          <w:rFonts w:eastAsia="Times New Roman"/>
          <w:lang w:val="en-US"/>
        </w:rPr>
        <w:t xml:space="preserve"> the additional rating definitions of low energy buildings, which are applicable to buildings of energy efficiency class B, A and A+ and nearly zero energy buildings as A++ class buildings had been introduced. All new buildings starting from 2021 shall fulfil </w:t>
      </w:r>
      <w:r w:rsidR="002F0782" w:rsidRPr="003A7E34">
        <w:rPr>
          <w:rFonts w:eastAsia="Times New Roman"/>
          <w:lang w:val="en-US"/>
        </w:rPr>
        <w:t>nearly</w:t>
      </w:r>
      <w:r w:rsidRPr="003A7E34">
        <w:rPr>
          <w:rFonts w:eastAsia="Times New Roman"/>
          <w:lang w:val="en-US"/>
        </w:rPr>
        <w:t xml:space="preserve"> zero-energy buildings (NZEB) requirements and all new public buildings starting from 2019 shall fulfil NZEB requirements.</w:t>
      </w:r>
    </w:p>
    <w:p w14:paraId="772BC18D" w14:textId="7D1D930B" w:rsidR="0041000C" w:rsidRPr="003A7E34" w:rsidRDefault="372247B6" w:rsidP="00232576">
      <w:pPr>
        <w:spacing w:before="0"/>
        <w:rPr>
          <w:rFonts w:eastAsia="Times New Roman"/>
          <w:lang w:val="en-US"/>
        </w:rPr>
      </w:pPr>
      <w:r w:rsidRPr="003A7E34">
        <w:rPr>
          <w:rFonts w:eastAsia="Times New Roman"/>
          <w:lang w:val="en-US"/>
        </w:rPr>
        <w:t>The energy performance requirements for the energy performance class are not obligatory for existing buildings (renovating them), but some of home-owners choose to implement Renovation (modernization) projects in their multi-apartment buildings achieving class A. Therefore, it is planned to add the option with energy efficiency class A in the Investment Plans of the Modernization projects for Multi-apartment buildings.</w:t>
      </w:r>
    </w:p>
    <w:p w14:paraId="2E6A6AEC" w14:textId="743A1016" w:rsidR="00AE5E23" w:rsidRPr="003A7E34" w:rsidRDefault="00E106DA" w:rsidP="00C42AAE">
      <w:pPr>
        <w:pStyle w:val="ListParagraph"/>
        <w:numPr>
          <w:ilvl w:val="3"/>
          <w:numId w:val="21"/>
        </w:numPr>
        <w:spacing w:after="120" w:line="240" w:lineRule="auto"/>
        <w:ind w:left="1560" w:hanging="284"/>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Where applicable, other national objectives, including long term targets or strategies and sectoral targets, </w:t>
      </w:r>
      <w:r w:rsidRPr="003A7E34">
        <w:rPr>
          <w:rFonts w:ascii="Times New Roman" w:eastAsia="Times New Roman" w:hAnsi="Times New Roman" w:cs="Times New Roman"/>
          <w:b/>
          <w:bCs/>
          <w:i/>
          <w:iCs/>
          <w:noProof/>
          <w:lang w:val="en-US"/>
        </w:rPr>
        <w:t>and</w:t>
      </w:r>
      <w:r w:rsidRPr="003A7E34">
        <w:rPr>
          <w:rFonts w:ascii="Times New Roman" w:eastAsia="Times New Roman" w:hAnsi="Times New Roman" w:cs="Times New Roman"/>
          <w:noProof/>
          <w:lang w:val="en-US"/>
        </w:rPr>
        <w:t xml:space="preserve"> national objectives in areas such as energy efficiency in the transport sector and with regard to heating and cooling</w:t>
      </w:r>
    </w:p>
    <w:p w14:paraId="166EB672" w14:textId="2474C525" w:rsidR="0069589D" w:rsidRPr="003A7E34" w:rsidRDefault="0185A49E" w:rsidP="0185A49E">
      <w:pPr>
        <w:framePr w:hSpace="180" w:wrap="around" w:vAnchor="text" w:hAnchor="text" w:xAlign="right" w:y="1"/>
        <w:spacing w:before="0"/>
        <w:suppressOverlap/>
        <w:rPr>
          <w:rFonts w:eastAsia="Times New Roman"/>
          <w:lang w:val="en-US"/>
        </w:rPr>
      </w:pPr>
      <w:r w:rsidRPr="003A7E34">
        <w:rPr>
          <w:rFonts w:eastAsia="Times New Roman"/>
          <w:lang w:val="en-US"/>
        </w:rPr>
        <w:t>The National Program on the Development of Transport and Communications for 2014-2022 sets on of the objectives to increase energy efficiency in transport and reduce the adverse impact of transport on the environment.</w:t>
      </w:r>
    </w:p>
    <w:p w14:paraId="5E30EFDC" w14:textId="68E7A16C" w:rsidR="0069589D" w:rsidRPr="003A7E34" w:rsidRDefault="0185A49E" w:rsidP="0185A49E">
      <w:pPr>
        <w:spacing w:before="0"/>
        <w:rPr>
          <w:rFonts w:eastAsia="Times New Roman"/>
          <w:lang w:val="en-US"/>
        </w:rPr>
      </w:pPr>
      <w:r w:rsidRPr="003A7E34">
        <w:rPr>
          <w:rFonts w:eastAsia="Times New Roman"/>
          <w:lang w:val="en-US"/>
        </w:rPr>
        <w:t>An increase in energy efficiency in transport could be achieved and the negative impact on the environment could be reduced by upgrading the transport infrastructure, implementing the dedicated impact reduction measures, modernizing the public transport fleet, and using alternative energy sources. To achieve this goal the following objectives will be pursued: promote a more efficient use of energy resources and energy in the transport sector by economic and administrative measures; develop a sustainable mobility culture, encourage the public to sparingly use energy in transport, and develop the requisite skills; increase energy efficiency – promote the use of alternative energy sources (fuel) in transport, establish the requisite infrastructure, and upgrade the public transport fleet.</w:t>
      </w:r>
    </w:p>
    <w:p w14:paraId="70BE5D3F" w14:textId="520C2BC7" w:rsidR="00C36C2D" w:rsidRPr="003A7E34" w:rsidRDefault="00C36C2D" w:rsidP="00232576">
      <w:pPr>
        <w:spacing w:before="0"/>
        <w:rPr>
          <w:rFonts w:eastAsia="Times New Roman"/>
          <w:noProof/>
          <w:lang w:val="en-US"/>
        </w:rPr>
      </w:pPr>
    </w:p>
    <w:p w14:paraId="4BF122D1" w14:textId="45DC5389" w:rsidR="00C36C2D" w:rsidRPr="003A7E34" w:rsidRDefault="3D9A4349" w:rsidP="00C42AAE">
      <w:pPr>
        <w:pStyle w:val="Heading2"/>
        <w:numPr>
          <w:ilvl w:val="1"/>
          <w:numId w:val="21"/>
        </w:numPr>
        <w:rPr>
          <w:rFonts w:cs="Times New Roman"/>
          <w:noProof/>
          <w:lang w:val="en-US"/>
        </w:rPr>
      </w:pPr>
      <w:bookmarkStart w:id="37" w:name="_Toc530405565"/>
      <w:bookmarkStart w:id="38" w:name="_Toc530411796"/>
      <w:bookmarkStart w:id="39" w:name="_Toc530414145"/>
      <w:r w:rsidRPr="003A7E34">
        <w:rPr>
          <w:rFonts w:eastAsia="Times New Roman" w:cs="Times New Roman"/>
          <w:noProof/>
          <w:lang w:val="en-US"/>
        </w:rPr>
        <w:t>Dimension energy security</w:t>
      </w:r>
      <w:bookmarkEnd w:id="37"/>
      <w:bookmarkEnd w:id="38"/>
      <w:bookmarkEnd w:id="39"/>
      <w:r w:rsidRPr="003A7E34">
        <w:rPr>
          <w:rFonts w:eastAsia="Times New Roman" w:cs="Times New Roman"/>
          <w:noProof/>
          <w:lang w:val="en-US"/>
        </w:rPr>
        <w:t xml:space="preserve"> </w:t>
      </w:r>
    </w:p>
    <w:p w14:paraId="721A07BA" w14:textId="20AB197A" w:rsidR="0056686E" w:rsidRPr="003A7E34" w:rsidRDefault="17C4DDD5" w:rsidP="00C42AAE">
      <w:pPr>
        <w:pStyle w:val="ListParagraph"/>
        <w:numPr>
          <w:ilvl w:val="3"/>
          <w:numId w:val="21"/>
        </w:numPr>
        <w:spacing w:line="240" w:lineRule="auto"/>
        <w:ind w:left="1560" w:hanging="284"/>
        <w:rPr>
          <w:rFonts w:ascii="Times New Roman" w:hAnsi="Times New Roman" w:cs="Times New Roman"/>
          <w:b/>
          <w:bCs/>
          <w:noProof/>
          <w:lang w:val="en-US"/>
        </w:rPr>
      </w:pPr>
      <w:r w:rsidRPr="003A7E34">
        <w:rPr>
          <w:rFonts w:ascii="Times New Roman" w:eastAsia="Times New Roman" w:hAnsi="Times New Roman" w:cs="Times New Roman"/>
          <w:b/>
          <w:bCs/>
          <w:noProof/>
          <w:lang w:val="en-US"/>
        </w:rPr>
        <w:t>The elements set out in point (c) of Article 4</w:t>
      </w:r>
    </w:p>
    <w:p w14:paraId="5A1F53DE" w14:textId="3BA9B0D1" w:rsidR="17C4DDD5" w:rsidRPr="003A7E34" w:rsidRDefault="1F603D79" w:rsidP="17C4DDD5">
      <w:pPr>
        <w:rPr>
          <w:lang w:val="en-US"/>
        </w:rPr>
      </w:pPr>
      <w:r w:rsidRPr="003A7E34">
        <w:rPr>
          <w:lang w:val="en-US"/>
        </w:rPr>
        <w:t xml:space="preserve">The only in the Baltic States </w:t>
      </w:r>
      <w:r w:rsidRPr="003A7E34">
        <w:rPr>
          <w:b/>
          <w:bCs/>
          <w:i/>
          <w:iCs/>
          <w:lang w:val="en-US"/>
        </w:rPr>
        <w:t>Mazeikiu Oil Refinery Plant</w:t>
      </w:r>
      <w:r w:rsidRPr="003A7E34">
        <w:rPr>
          <w:lang w:val="en-US"/>
        </w:rPr>
        <w:t xml:space="preserve"> and </w:t>
      </w:r>
      <w:r w:rsidRPr="003A7E34">
        <w:rPr>
          <w:b/>
          <w:bCs/>
          <w:i/>
          <w:iCs/>
          <w:lang w:val="en-US"/>
        </w:rPr>
        <w:t>Butinge oil terminal</w:t>
      </w:r>
      <w:r w:rsidRPr="003A7E34">
        <w:rPr>
          <w:lang w:val="en-US"/>
        </w:rPr>
        <w:t xml:space="preserve">. ORLEN Lietuva (former </w:t>
      </w:r>
      <w:r w:rsidRPr="003A7E34">
        <w:rPr>
          <w:rFonts w:eastAsia="Times New Roman"/>
          <w:lang w:val="en-US"/>
        </w:rPr>
        <w:t xml:space="preserve">Mazeikiu NAFTA) facilities at Butinge, Lithuania, can handle an annual throughput of 8 million tons of crude oil in the </w:t>
      </w:r>
      <w:r w:rsidRPr="003A7E34">
        <w:rPr>
          <w:rFonts w:eastAsia="Times New Roman"/>
          <w:u w:val="single"/>
          <w:lang w:val="en-US"/>
        </w:rPr>
        <w:t>exporting</w:t>
      </w:r>
      <w:r w:rsidRPr="003A7E34">
        <w:rPr>
          <w:rFonts w:eastAsia="Times New Roman"/>
          <w:lang w:val="en-US"/>
        </w:rPr>
        <w:t xml:space="preserve"> mode and 5 to 6 million tons in the </w:t>
      </w:r>
      <w:r w:rsidRPr="003A7E34">
        <w:rPr>
          <w:rFonts w:eastAsia="Times New Roman"/>
          <w:u w:val="single"/>
          <w:lang w:val="en-US"/>
        </w:rPr>
        <w:t>import</w:t>
      </w:r>
      <w:r w:rsidRPr="003A7E34">
        <w:rPr>
          <w:rFonts w:eastAsia="Times New Roman"/>
          <w:lang w:val="en-US"/>
        </w:rPr>
        <w:t xml:space="preserve"> mode. Facilities include a 90 cm, 7.5 km offshore pipeline; 56 cm pipeline to oil tankage; three 50,000-cubic-meter oil tanks; pump stations; and a single-point mooring terminal. Since July 2006, the Butinge oil terminal is the only way to supply ORLEN Lietuva with oil, because the Russian partner, state-controlled Lukoil corporation, has </w:t>
      </w:r>
      <w:r w:rsidRPr="003A7E34">
        <w:rPr>
          <w:rFonts w:eastAsia="Times New Roman"/>
          <w:u w:val="single"/>
          <w:lang w:val="en-US"/>
        </w:rPr>
        <w:t>cut off the supply</w:t>
      </w:r>
      <w:r w:rsidRPr="003A7E34">
        <w:rPr>
          <w:rFonts w:eastAsia="Times New Roman"/>
          <w:lang w:val="en-US"/>
        </w:rPr>
        <w:t xml:space="preserve"> through the Druzhba pipeline from Russia.</w:t>
      </w:r>
    </w:p>
    <w:p w14:paraId="77984FC2" w14:textId="00CC346C" w:rsidR="17C4DDD5" w:rsidRPr="003A7E34" w:rsidRDefault="17C4DDD5" w:rsidP="17C4DDD5">
      <w:pPr>
        <w:rPr>
          <w:lang w:val="en-US"/>
        </w:rPr>
      </w:pPr>
      <w:r w:rsidRPr="003A7E34">
        <w:rPr>
          <w:rFonts w:eastAsia="Times New Roman"/>
          <w:lang w:val="en-US"/>
        </w:rPr>
        <w:t>The crude oil single-point mooring (SPM) catenary anchor leg mooring facility was designed to accommodate tankers of up to 80 000 metric tons dead weight. It is connected to shore by means of a 90 cm diameter, 7.5-km-long submarine pipeline.</w:t>
      </w:r>
    </w:p>
    <w:p w14:paraId="14E142A5" w14:textId="50BABC3F" w:rsidR="17C4DDD5" w:rsidRPr="003A7E34" w:rsidRDefault="0EF92348" w:rsidP="17C4DDD5">
      <w:pPr>
        <w:rPr>
          <w:lang w:val="en-US"/>
        </w:rPr>
      </w:pPr>
      <w:r w:rsidRPr="003A7E34">
        <w:rPr>
          <w:rFonts w:eastAsia="Times New Roman"/>
          <w:lang w:val="en-US"/>
        </w:rPr>
        <w:lastRenderedPageBreak/>
        <w:t>Onshore terminal storage facilities contain three 50 000-cubic-meter floating roof tanks for crude oil, as well as fixed roof tanks for storing diesel fuel and slop oil. The facilities also include a pump for loading tankers and for transferring product between the Butinge terminal and the Mazeikiu Oil Refinery Plant some 91.5 kilometres away.</w:t>
      </w:r>
    </w:p>
    <w:p w14:paraId="743BBB1A" w14:textId="4255319E" w:rsidR="17C4DDD5" w:rsidRPr="003A7E34" w:rsidRDefault="17C4DDD5" w:rsidP="17C4DDD5">
      <w:pPr>
        <w:rPr>
          <w:lang w:val="en-US"/>
        </w:rPr>
      </w:pPr>
      <w:r w:rsidRPr="003A7E34">
        <w:rPr>
          <w:rFonts w:eastAsia="Times New Roman"/>
          <w:lang w:val="en-US"/>
        </w:rPr>
        <w:t>A 56 cm diameter crude oil pipeline transports crude between the refinery itself and the tank storage facilities nearby. A pump station allows crude transfer to the terminal.</w:t>
      </w:r>
    </w:p>
    <w:p w14:paraId="2669333E" w14:textId="3AD16662" w:rsidR="17C4DDD5" w:rsidRPr="003A7E34" w:rsidRDefault="17C4DDD5" w:rsidP="17C4DDD5">
      <w:pPr>
        <w:rPr>
          <w:lang w:val="en-US"/>
        </w:rPr>
      </w:pPr>
      <w:r w:rsidRPr="003A7E34">
        <w:rPr>
          <w:rFonts w:eastAsia="Times New Roman"/>
          <w:lang w:val="en-US"/>
        </w:rPr>
        <w:t>There is a system of oil pipelines, which includes two pump stations near Birzai and another near Joniskis, crude oil pipelines to the Mazeikiai Refinery and Butinge Terminal, a crude oil pipeline leading to Ventspils, and a products pipeline supplying diesel fuel to Ventspils.</w:t>
      </w:r>
    </w:p>
    <w:p w14:paraId="7B1854AA" w14:textId="61C5BB36" w:rsidR="17C4DDD5" w:rsidRPr="003A7E34" w:rsidRDefault="1F603D79" w:rsidP="1F603D79">
      <w:pPr>
        <w:rPr>
          <w:lang w:val="en-US"/>
        </w:rPr>
      </w:pPr>
      <w:r w:rsidRPr="003A7E34">
        <w:rPr>
          <w:rFonts w:eastAsia="Times New Roman"/>
          <w:lang w:val="en-US"/>
        </w:rPr>
        <w:t>The Mazeikiu Refinery and Birzai Pump Station, located on the main crude oil pipeline section (stretching from the oil fields of Western Siberia and the Western Urals via Polotsk, Byelorussia), are connected by the 70 cm diameter pipeline, with the annual capacity 16.2 million tons of crude oil. Until July 2006, Russian crude oil was delivered to Lithuania by two crude oil pipelines via Novopolotsk (Byelorussia) to Biržai, from where one 175-km section runs to the Mažeikiu Refinery, the other section — to Ventspils.</w:t>
      </w:r>
    </w:p>
    <w:p w14:paraId="193F14F3" w14:textId="79CE7821" w:rsidR="17C4DDD5" w:rsidRPr="003A7E34" w:rsidRDefault="1F603D79" w:rsidP="1F603D79">
      <w:pPr>
        <w:rPr>
          <w:lang w:val="en-US"/>
        </w:rPr>
      </w:pPr>
      <w:r w:rsidRPr="003A7E34">
        <w:rPr>
          <w:rFonts w:eastAsia="Times New Roman"/>
          <w:lang w:val="en-US"/>
        </w:rPr>
        <w:t>Currently there are about 500 km of the crude oil and petroleum product pipelines in Lithuania:</w:t>
      </w:r>
    </w:p>
    <w:p w14:paraId="638BD705" w14:textId="0BD933EE" w:rsidR="17C4DDD5" w:rsidRPr="003A7E34" w:rsidRDefault="1F603D79" w:rsidP="1F603D79">
      <w:pPr>
        <w:pStyle w:val="ListParagraph"/>
        <w:numPr>
          <w:ilvl w:val="0"/>
          <w:numId w:val="2"/>
        </w:numPr>
        <w:spacing w:line="240" w:lineRule="auto"/>
        <w:jc w:val="both"/>
        <w:rPr>
          <w:rFonts w:ascii="Times New Roman" w:hAnsi="Times New Roman" w:cs="Times New Roman"/>
          <w:lang w:val="en-US"/>
        </w:rPr>
      </w:pPr>
      <w:r w:rsidRPr="003A7E34">
        <w:rPr>
          <w:rFonts w:ascii="Times New Roman" w:eastAsia="Times New Roman" w:hAnsi="Times New Roman" w:cs="Times New Roman"/>
          <w:lang w:val="en-US"/>
        </w:rPr>
        <w:t xml:space="preserve">Lithuanian section of crude oil pipeline Polotsk – Ventspils — 87.384 km; </w:t>
      </w:r>
    </w:p>
    <w:p w14:paraId="5DED9750" w14:textId="45FA380A" w:rsidR="17C4DDD5" w:rsidRPr="003A7E34" w:rsidRDefault="1F603D79" w:rsidP="1F603D79">
      <w:pPr>
        <w:pStyle w:val="ListParagraph"/>
        <w:numPr>
          <w:ilvl w:val="0"/>
          <w:numId w:val="2"/>
        </w:numPr>
        <w:spacing w:line="240" w:lineRule="auto"/>
        <w:jc w:val="both"/>
        <w:rPr>
          <w:rFonts w:ascii="Times New Roman" w:hAnsi="Times New Roman" w:cs="Times New Roman"/>
          <w:lang w:val="en-US"/>
        </w:rPr>
      </w:pPr>
      <w:r w:rsidRPr="003A7E34">
        <w:rPr>
          <w:rFonts w:ascii="Times New Roman" w:eastAsia="Times New Roman" w:hAnsi="Times New Roman" w:cs="Times New Roman"/>
          <w:lang w:val="en-US"/>
        </w:rPr>
        <w:t xml:space="preserve">Lithuanian section of product pipeline Polotsk – Ventspils — 87.384 km; </w:t>
      </w:r>
    </w:p>
    <w:p w14:paraId="46C1DCC7" w14:textId="1CB6B445" w:rsidR="17C4DDD5" w:rsidRPr="003A7E34" w:rsidRDefault="1F603D79" w:rsidP="1F603D79">
      <w:pPr>
        <w:pStyle w:val="ListParagraph"/>
        <w:numPr>
          <w:ilvl w:val="0"/>
          <w:numId w:val="2"/>
        </w:numPr>
        <w:spacing w:line="240" w:lineRule="auto"/>
        <w:jc w:val="both"/>
        <w:rPr>
          <w:rFonts w:ascii="Times New Roman" w:hAnsi="Times New Roman" w:cs="Times New Roman"/>
          <w:lang w:val="en-US"/>
        </w:rPr>
      </w:pPr>
      <w:r w:rsidRPr="003A7E34">
        <w:rPr>
          <w:rFonts w:ascii="Times New Roman" w:eastAsia="Times New Roman" w:hAnsi="Times New Roman" w:cs="Times New Roman"/>
          <w:lang w:val="en-US"/>
        </w:rPr>
        <w:t xml:space="preserve">Lithuanian section of crude oil pipeline Polotsk – Mazeikiai — 225.514 km; </w:t>
      </w:r>
    </w:p>
    <w:p w14:paraId="558C0CE3" w14:textId="21AF77DC" w:rsidR="17C4DDD5" w:rsidRPr="003A7E34" w:rsidRDefault="1F603D79" w:rsidP="1F603D79">
      <w:pPr>
        <w:pStyle w:val="ListParagraph"/>
        <w:numPr>
          <w:ilvl w:val="0"/>
          <w:numId w:val="2"/>
        </w:numPr>
        <w:spacing w:line="240" w:lineRule="auto"/>
        <w:jc w:val="both"/>
        <w:rPr>
          <w:rFonts w:ascii="Times New Roman" w:hAnsi="Times New Roman" w:cs="Times New Roman"/>
          <w:lang w:val="en-US"/>
        </w:rPr>
      </w:pPr>
      <w:r w:rsidRPr="003A7E34">
        <w:rPr>
          <w:rFonts w:ascii="Times New Roman" w:eastAsia="Times New Roman" w:hAnsi="Times New Roman" w:cs="Times New Roman"/>
          <w:lang w:val="en-US"/>
        </w:rPr>
        <w:t>Crude oil pipeline Mazeikiai – Butinge — 91,5 km.</w:t>
      </w:r>
    </w:p>
    <w:p w14:paraId="47E4BB6A" w14:textId="11873F15" w:rsidR="17C4DDD5" w:rsidRPr="003A7E34" w:rsidRDefault="17C4DDD5" w:rsidP="1F603D79">
      <w:pPr>
        <w:rPr>
          <w:rFonts w:eastAsia="Times New Roman"/>
          <w:lang w:val="en-US"/>
        </w:rPr>
      </w:pPr>
    </w:p>
    <w:p w14:paraId="6908F488" w14:textId="6992BC0E" w:rsidR="3D2C8231" w:rsidRPr="003A7E34" w:rsidRDefault="17C4DDD5" w:rsidP="17C4DDD5">
      <w:pPr>
        <w:rPr>
          <w:rFonts w:eastAsia="Times New Roman"/>
          <w:lang w:val="en-US"/>
        </w:rPr>
      </w:pPr>
      <w:r w:rsidRPr="003A7E34">
        <w:rPr>
          <w:b/>
          <w:bCs/>
          <w:i/>
          <w:iCs/>
          <w:lang w:val="en-US"/>
        </w:rPr>
        <w:t>Involvement of State-owned enterprises</w:t>
      </w:r>
      <w:r w:rsidRPr="003A7E34">
        <w:rPr>
          <w:lang w:val="en-US"/>
        </w:rPr>
        <w:t>. The energy sector represents a significant part of the Lithuanian economy, and some state-owned energy enterprises and facilities have a strategic significance for the national security of Lithuania, ensuring reliable energy supply and opportunities for the development of an efficient energy market. In order to ensure the ac</w:t>
      </w:r>
      <w:r w:rsidRPr="003A7E34">
        <w:rPr>
          <w:rFonts w:eastAsia="Times New Roman"/>
          <w:lang w:val="en-US"/>
        </w:rPr>
        <w:t xml:space="preserve">hievement of this objective, state control in these strategic energy enterprises will be maintained, while allowing reliable private capital in order to enhance the transparency and efficiency of such enterprises and to attract private capital to participate in strategic energy projects. </w:t>
      </w:r>
    </w:p>
    <w:p w14:paraId="66426EEF" w14:textId="734F418B" w:rsidR="3D2C8231" w:rsidRPr="003A7E34" w:rsidRDefault="3D9A4349" w:rsidP="3D2C8231">
      <w:pPr>
        <w:rPr>
          <w:rFonts w:eastAsia="Times New Roman"/>
          <w:lang w:val="en-US"/>
        </w:rPr>
      </w:pPr>
      <w:r w:rsidRPr="003A7E34">
        <w:rPr>
          <w:rFonts w:eastAsia="Times New Roman"/>
          <w:lang w:val="en-US"/>
        </w:rPr>
        <w:t xml:space="preserve">The security of the state energy sector will be ensured observing the following principles: </w:t>
      </w:r>
    </w:p>
    <w:p w14:paraId="69C4D2BA" w14:textId="4E71F56E" w:rsidR="3D2C8231" w:rsidRPr="003A7E34" w:rsidRDefault="3D9A4349" w:rsidP="00C42AAE">
      <w:pPr>
        <w:pStyle w:val="ListParagraph"/>
        <w:numPr>
          <w:ilvl w:val="0"/>
          <w:numId w:val="10"/>
        </w:numPr>
        <w:rPr>
          <w:rFonts w:ascii="Times New Roman" w:hAnsi="Times New Roman" w:cs="Times New Roman"/>
          <w:lang w:val="en-US"/>
        </w:rPr>
      </w:pPr>
      <w:r w:rsidRPr="003A7E34">
        <w:rPr>
          <w:rFonts w:ascii="Times New Roman" w:eastAsia="Times New Roman" w:hAnsi="Times New Roman" w:cs="Times New Roman"/>
          <w:lang w:val="en-US"/>
        </w:rPr>
        <w:t xml:space="preserve">Physical and cyber-security of energy infrastructure based on risk assessment; </w:t>
      </w:r>
    </w:p>
    <w:p w14:paraId="72EA843F" w14:textId="1000E5B7" w:rsidR="3D2C8231" w:rsidRPr="003A7E34" w:rsidRDefault="3D9A4349" w:rsidP="00C42AAE">
      <w:pPr>
        <w:pStyle w:val="ListParagraph"/>
        <w:numPr>
          <w:ilvl w:val="0"/>
          <w:numId w:val="10"/>
        </w:numPr>
        <w:rPr>
          <w:rFonts w:ascii="Times New Roman" w:hAnsi="Times New Roman" w:cs="Times New Roman"/>
          <w:lang w:val="en-US"/>
        </w:rPr>
      </w:pPr>
      <w:r w:rsidRPr="003A7E34">
        <w:rPr>
          <w:rFonts w:ascii="Times New Roman" w:eastAsia="Times New Roman" w:hAnsi="Times New Roman" w:cs="Times New Roman"/>
          <w:lang w:val="en-US"/>
        </w:rPr>
        <w:t xml:space="preserve">Ensuring the compliance of investments in the energy sector with national security criteria; </w:t>
      </w:r>
    </w:p>
    <w:p w14:paraId="60EAB877" w14:textId="2B0E3DA9" w:rsidR="3D2C8231" w:rsidRPr="003A7E34" w:rsidRDefault="3D9A4349" w:rsidP="00C42AAE">
      <w:pPr>
        <w:pStyle w:val="ListParagraph"/>
        <w:numPr>
          <w:ilvl w:val="0"/>
          <w:numId w:val="10"/>
        </w:numPr>
        <w:rPr>
          <w:rFonts w:ascii="Times New Roman" w:hAnsi="Times New Roman" w:cs="Times New Roman"/>
          <w:lang w:val="en-US"/>
        </w:rPr>
      </w:pPr>
      <w:r w:rsidRPr="003A7E34">
        <w:rPr>
          <w:rFonts w:ascii="Times New Roman" w:eastAsia="Times New Roman" w:hAnsi="Times New Roman" w:cs="Times New Roman"/>
          <w:lang w:val="en-US"/>
        </w:rPr>
        <w:t xml:space="preserve">Protection of the activities and personnel within the energy sector. </w:t>
      </w:r>
    </w:p>
    <w:p w14:paraId="4B3ACADC" w14:textId="5DC7E2B5" w:rsidR="3D2C8231" w:rsidRPr="003A7E34" w:rsidRDefault="3D9A4349" w:rsidP="3D2C8231">
      <w:pPr>
        <w:rPr>
          <w:rFonts w:eastAsia="Times New Roman"/>
          <w:lang w:val="en-US"/>
        </w:rPr>
      </w:pPr>
      <w:r w:rsidRPr="003A7E34">
        <w:rPr>
          <w:rFonts w:eastAsia="Times New Roman"/>
          <w:lang w:val="en-US"/>
        </w:rPr>
        <w:t>To improve the resilience of the information infrastructure managed by the energy sector companies to cyber-attacks an approach based on risk assessment will be established where the used cyber security measures are proportional to curb the identified risk, co</w:t>
      </w:r>
      <w:r w:rsidRPr="003A7E34">
        <w:rPr>
          <w:lang w:val="en-US"/>
        </w:rPr>
        <w:t xml:space="preserve">rrespond to the importance of information and the risk posed to it. Special attention will be given to the planning of assurance of continuity of the operation of information infrastructure of the energy sector, to regulation, to practical testing of cyber incidents and activity continuity plans during training and exercises. </w:t>
      </w:r>
    </w:p>
    <w:p w14:paraId="6A15369B" w14:textId="62F52379" w:rsidR="3D2C8231" w:rsidRPr="003A7E34" w:rsidRDefault="3D9A4349" w:rsidP="3D2C8231">
      <w:pPr>
        <w:rPr>
          <w:rFonts w:eastAsia="Times New Roman"/>
          <w:lang w:val="en-US"/>
        </w:rPr>
      </w:pPr>
      <w:r w:rsidRPr="003A7E34">
        <w:rPr>
          <w:lang w:val="en-US"/>
        </w:rPr>
        <w:t xml:space="preserve">In order to ensure the highest level of transparency in the management and operation of the energy sector </w:t>
      </w:r>
      <w:r w:rsidRPr="003A7E34">
        <w:rPr>
          <w:rFonts w:eastAsia="Times New Roman"/>
          <w:lang w:val="en-US"/>
        </w:rPr>
        <w:t xml:space="preserve">companies, their efficiency and professionalism, special attention should be paid to the following key management principles: </w:t>
      </w:r>
    </w:p>
    <w:p w14:paraId="544670D3" w14:textId="6CBD0A3F" w:rsidR="3D2C8231" w:rsidRPr="003A7E34" w:rsidRDefault="3D9A4349" w:rsidP="00C42AAE">
      <w:pPr>
        <w:pStyle w:val="ListParagraph"/>
        <w:numPr>
          <w:ilvl w:val="0"/>
          <w:numId w:val="9"/>
        </w:numPr>
        <w:rPr>
          <w:rFonts w:ascii="Times New Roman" w:hAnsi="Times New Roman" w:cs="Times New Roman"/>
          <w:lang w:val="en-US"/>
        </w:rPr>
      </w:pPr>
      <w:r w:rsidRPr="003A7E34">
        <w:rPr>
          <w:rFonts w:ascii="Times New Roman" w:eastAsia="Times New Roman" w:hAnsi="Times New Roman" w:cs="Times New Roman"/>
          <w:lang w:val="en-US"/>
        </w:rPr>
        <w:t xml:space="preserve">Resistance to corruption; </w:t>
      </w:r>
    </w:p>
    <w:p w14:paraId="3BE6C8B8" w14:textId="450C8421" w:rsidR="3D2C8231" w:rsidRPr="003A7E34" w:rsidRDefault="3D9A4349" w:rsidP="00C42AAE">
      <w:pPr>
        <w:pStyle w:val="ListParagraph"/>
        <w:numPr>
          <w:ilvl w:val="0"/>
          <w:numId w:val="9"/>
        </w:numPr>
        <w:rPr>
          <w:rFonts w:ascii="Times New Roman" w:hAnsi="Times New Roman" w:cs="Times New Roman"/>
          <w:lang w:val="en-US"/>
        </w:rPr>
      </w:pPr>
      <w:r w:rsidRPr="003A7E34">
        <w:rPr>
          <w:rFonts w:ascii="Times New Roman" w:eastAsia="Times New Roman" w:hAnsi="Times New Roman" w:cs="Times New Roman"/>
          <w:lang w:val="en-US"/>
        </w:rPr>
        <w:t xml:space="preserve">Transparency of operations; </w:t>
      </w:r>
    </w:p>
    <w:p w14:paraId="6FE09B53" w14:textId="5750735F" w:rsidR="3D2C8231" w:rsidRPr="003A7E34" w:rsidRDefault="3D9A4349" w:rsidP="00C42AAE">
      <w:pPr>
        <w:pStyle w:val="ListParagraph"/>
        <w:numPr>
          <w:ilvl w:val="0"/>
          <w:numId w:val="9"/>
        </w:numPr>
        <w:rPr>
          <w:rFonts w:ascii="Times New Roman" w:hAnsi="Times New Roman" w:cs="Times New Roman"/>
          <w:lang w:val="en-US"/>
        </w:rPr>
      </w:pPr>
      <w:r w:rsidRPr="003A7E34">
        <w:rPr>
          <w:rFonts w:ascii="Times New Roman" w:eastAsia="Times New Roman" w:hAnsi="Times New Roman" w:cs="Times New Roman"/>
          <w:lang w:val="en-US"/>
        </w:rPr>
        <w:lastRenderedPageBreak/>
        <w:t xml:space="preserve">Professionalism, knowledge development and preparation of necessary specialists, capacity building of employees and managers in energy technology, cyber security and energy economics; </w:t>
      </w:r>
    </w:p>
    <w:p w14:paraId="5FBA7462" w14:textId="5014F20B" w:rsidR="3D2C8231" w:rsidRPr="003A7E34" w:rsidRDefault="3D9A4349" w:rsidP="00C42AAE">
      <w:pPr>
        <w:pStyle w:val="ListParagraph"/>
        <w:numPr>
          <w:ilvl w:val="0"/>
          <w:numId w:val="9"/>
        </w:numPr>
        <w:rPr>
          <w:rFonts w:ascii="Times New Roman" w:hAnsi="Times New Roman" w:cs="Times New Roman"/>
          <w:lang w:val="en-US"/>
        </w:rPr>
      </w:pPr>
      <w:r w:rsidRPr="003A7E34">
        <w:rPr>
          <w:rFonts w:ascii="Times New Roman" w:eastAsia="Times New Roman" w:hAnsi="Times New Roman" w:cs="Times New Roman"/>
          <w:lang w:val="en-US"/>
        </w:rPr>
        <w:t xml:space="preserve">Effective management and implementation of innovative technologies; </w:t>
      </w:r>
    </w:p>
    <w:p w14:paraId="7ED0C564" w14:textId="6AF591DD" w:rsidR="3D2C8231" w:rsidRPr="003A7E34" w:rsidRDefault="3D9A4349" w:rsidP="00C42AAE">
      <w:pPr>
        <w:pStyle w:val="ListParagraph"/>
        <w:numPr>
          <w:ilvl w:val="0"/>
          <w:numId w:val="9"/>
        </w:numPr>
        <w:rPr>
          <w:rFonts w:ascii="Times New Roman" w:hAnsi="Times New Roman" w:cs="Times New Roman"/>
          <w:lang w:val="en-US"/>
        </w:rPr>
      </w:pPr>
      <w:r w:rsidRPr="003A7E34">
        <w:rPr>
          <w:rFonts w:ascii="Times New Roman" w:eastAsia="Times New Roman" w:hAnsi="Times New Roman" w:cs="Times New Roman"/>
          <w:lang w:val="en-US"/>
        </w:rPr>
        <w:t>Active engagement of the public by observing the operation of state and municipality managed and controlled companies which provide public services, by putting forward suggestions with regard to more transparent and more efficient activities of such companies, the lowest energy generation and transmission costs, and the lowest energy prices to consumers.</w:t>
      </w:r>
    </w:p>
    <w:p w14:paraId="34C0C6EE" w14:textId="10D1FCAC" w:rsidR="3D2C8231" w:rsidRPr="003A7E34" w:rsidRDefault="3D9A4349">
      <w:pPr>
        <w:rPr>
          <w:lang w:val="en-US"/>
        </w:rPr>
      </w:pPr>
      <w:r w:rsidRPr="003A7E34">
        <w:rPr>
          <w:b/>
          <w:bCs/>
          <w:i/>
          <w:iCs/>
          <w:lang w:val="en-US"/>
        </w:rPr>
        <w:t>Increasing the reliability in different national energy sectors</w:t>
      </w:r>
      <w:r w:rsidRPr="003A7E34">
        <w:rPr>
          <w:lang w:val="en-US"/>
        </w:rPr>
        <w:t xml:space="preserve">. The security and competitiveness of state, economic growth, and the welfare of the country’s citizens depends on the reliable supply of energy. Lithuania is a part of the European north–south energy corridor being developed, which stretches from Finland to the Central European countries. The energy security is assured by the fact of being a part of the European Union’s energy infrastructure, markets and systems, the availability of the required electricity-generating sources and alternative sources of gas supply. The country’s energy reliability and security shall be ensured as follows: </w:t>
      </w:r>
    </w:p>
    <w:p w14:paraId="19BAAF89" w14:textId="64D12615" w:rsidR="3D2C8231" w:rsidRPr="003A7E34" w:rsidRDefault="3D9A4349">
      <w:pPr>
        <w:rPr>
          <w:lang w:val="en-US"/>
        </w:rPr>
      </w:pPr>
      <w:r w:rsidRPr="003A7E34">
        <w:rPr>
          <w:lang w:val="en-US"/>
        </w:rPr>
        <w:t xml:space="preserve">By synchronizing Lithuania’s electricity system with the electricity system of the Continental Europe. It is a strategic priority of the country’s security, so the </w:t>
      </w:r>
      <w:r w:rsidR="00FF7AFE" w:rsidRPr="003A7E34">
        <w:rPr>
          <w:lang w:val="en-US"/>
        </w:rPr>
        <w:t>synchronization</w:t>
      </w:r>
      <w:r w:rsidRPr="003A7E34">
        <w:rPr>
          <w:lang w:val="en-US"/>
        </w:rPr>
        <w:t xml:space="preserve"> of Lithuania’s electricity system with the electricity system of the Continental Europe shall be implemented by 2025. Prior to the completion of the </w:t>
      </w:r>
      <w:r w:rsidR="00FF7AFE" w:rsidRPr="003A7E34">
        <w:rPr>
          <w:lang w:val="en-US"/>
        </w:rPr>
        <w:t>synchronization</w:t>
      </w:r>
      <w:r w:rsidRPr="003A7E34">
        <w:rPr>
          <w:lang w:val="en-US"/>
        </w:rPr>
        <w:t xml:space="preserve"> with the electricity system of the Continental Europe, adequate high-availability generating capacities will be ensured in the most cost effective and non-discriminatory way. </w:t>
      </w:r>
    </w:p>
    <w:p w14:paraId="502730F9" w14:textId="19E7DE69" w:rsidR="3D2C8231" w:rsidRPr="003A7E34" w:rsidRDefault="0EF92348">
      <w:pPr>
        <w:rPr>
          <w:lang w:val="en-US"/>
        </w:rPr>
      </w:pPr>
      <w:r w:rsidRPr="003A7E34">
        <w:rPr>
          <w:lang w:val="en-US"/>
        </w:rPr>
        <w:t xml:space="preserve">By the completion of the Gas Interconnection Poland–Lithuania (GIPL), which will connect the Baltic states and Finland with the common gas market of the EU, improve supply security and diversification in the region, increase regional market liquidity and competition among suppliers, and allow for more effective use of the liquefied natural gas (LNG) terminal in Klaipeda.  </w:t>
      </w:r>
    </w:p>
    <w:p w14:paraId="02284E93" w14:textId="351D7CF0" w:rsidR="3D2C8231" w:rsidRPr="003A7E34" w:rsidRDefault="1F603D79" w:rsidP="1F603D79">
      <w:pPr>
        <w:rPr>
          <w:lang w:val="en-US"/>
        </w:rPr>
      </w:pPr>
      <w:r w:rsidRPr="003A7E34">
        <w:rPr>
          <w:lang w:val="en-US"/>
        </w:rPr>
        <w:t xml:space="preserve">The development of a safe infrastructure of Lithuania’s energy sector will strengthen the cyber resilience capabilities of the energy sector, will create the culture of cyber security, and will promote cooperation between the private and public sectors as well as international cooperation. </w:t>
      </w:r>
    </w:p>
    <w:p w14:paraId="00620948" w14:textId="7385FB48" w:rsidR="3D2C8231" w:rsidRPr="003A7E34" w:rsidRDefault="1F603D79" w:rsidP="1F603D79">
      <w:pPr>
        <w:rPr>
          <w:rFonts w:eastAsia="Times New Roman"/>
          <w:lang w:val="en-US"/>
        </w:rPr>
      </w:pPr>
      <w:r w:rsidRPr="003A7E34">
        <w:rPr>
          <w:rFonts w:eastAsia="Times New Roman"/>
          <w:lang w:val="en-US"/>
        </w:rPr>
        <w:t xml:space="preserve">The outcomes of the improvement of the country’s energy reliability and security shall be as follows: </w:t>
      </w:r>
    </w:p>
    <w:p w14:paraId="7EAB351A" w14:textId="3B52432A" w:rsidR="3D2C8231" w:rsidRPr="003A7E34" w:rsidRDefault="1F603D79" w:rsidP="1F603D79">
      <w:pPr>
        <w:pStyle w:val="ListParagraph"/>
        <w:numPr>
          <w:ilvl w:val="0"/>
          <w:numId w:val="8"/>
        </w:numPr>
        <w:spacing w:line="240" w:lineRule="auto"/>
        <w:jc w:val="both"/>
        <w:rPr>
          <w:rFonts w:ascii="Times New Roman" w:hAnsi="Times New Roman" w:cs="Times New Roman"/>
          <w:lang w:val="en-US"/>
        </w:rPr>
      </w:pPr>
      <w:r w:rsidRPr="003A7E34">
        <w:rPr>
          <w:rFonts w:ascii="Times New Roman" w:eastAsia="Times New Roman" w:hAnsi="Times New Roman" w:cs="Times New Roman"/>
          <w:lang w:val="en-US"/>
        </w:rPr>
        <w:t xml:space="preserve">The Lithuanian electricity system will reliably operate in a </w:t>
      </w:r>
      <w:r w:rsidR="00FF7AFE" w:rsidRPr="003A7E34">
        <w:rPr>
          <w:rFonts w:ascii="Times New Roman" w:eastAsia="Times New Roman" w:hAnsi="Times New Roman" w:cs="Times New Roman"/>
          <w:lang w:val="en-US"/>
        </w:rPr>
        <w:t>synchronized</w:t>
      </w:r>
      <w:r w:rsidRPr="003A7E34">
        <w:rPr>
          <w:rFonts w:ascii="Times New Roman" w:eastAsia="Times New Roman" w:hAnsi="Times New Roman" w:cs="Times New Roman"/>
          <w:lang w:val="en-US"/>
        </w:rPr>
        <w:t xml:space="preserve"> mode with the electricity system of the Continental Europe. </w:t>
      </w:r>
    </w:p>
    <w:p w14:paraId="2ADD7C2D" w14:textId="523FFB31" w:rsidR="3D2C8231" w:rsidRPr="003A7E34" w:rsidRDefault="1F603D79" w:rsidP="1F603D79">
      <w:pPr>
        <w:pStyle w:val="ListParagraph"/>
        <w:numPr>
          <w:ilvl w:val="0"/>
          <w:numId w:val="8"/>
        </w:numPr>
        <w:spacing w:line="240" w:lineRule="auto"/>
        <w:jc w:val="both"/>
        <w:rPr>
          <w:rFonts w:ascii="Times New Roman" w:hAnsi="Times New Roman" w:cs="Times New Roman"/>
          <w:lang w:val="en-US"/>
        </w:rPr>
      </w:pPr>
      <w:r w:rsidRPr="003A7E34">
        <w:rPr>
          <w:rFonts w:ascii="Times New Roman" w:eastAsia="Times New Roman" w:hAnsi="Times New Roman" w:cs="Times New Roman"/>
          <w:lang w:val="en-US"/>
        </w:rPr>
        <w:t xml:space="preserve">Electricity imports will be replaced by local electricity generation: it is planned that in 2020 electricity generation in Lithuania will account for 35% of total final electricity consumption (65% imported), in 2030 – 70% (30% imported), and in 2050 – 100%; </w:t>
      </w:r>
    </w:p>
    <w:p w14:paraId="2207E43A" w14:textId="398D5DCE" w:rsidR="3D2C8231" w:rsidRPr="003A7E34" w:rsidRDefault="1F603D79" w:rsidP="1F603D79">
      <w:pPr>
        <w:pStyle w:val="ListParagraph"/>
        <w:numPr>
          <w:ilvl w:val="0"/>
          <w:numId w:val="8"/>
        </w:numPr>
        <w:spacing w:line="240" w:lineRule="auto"/>
        <w:jc w:val="both"/>
        <w:rPr>
          <w:rFonts w:ascii="Times New Roman" w:hAnsi="Times New Roman" w:cs="Times New Roman"/>
          <w:lang w:val="en-US"/>
        </w:rPr>
      </w:pPr>
      <w:r w:rsidRPr="003A7E34">
        <w:rPr>
          <w:rFonts w:ascii="Times New Roman" w:eastAsia="Times New Roman" w:hAnsi="Times New Roman" w:cs="Times New Roman"/>
          <w:lang w:val="en-US"/>
        </w:rPr>
        <w:t xml:space="preserve">Following a cost-benefit assessment, capacity development technologies and solutions will be selected that will provide the necessary reservation and balancing services through market mechanisms; </w:t>
      </w:r>
    </w:p>
    <w:p w14:paraId="7D848078" w14:textId="49D54460" w:rsidR="3D2C8231" w:rsidRPr="003A7E34" w:rsidRDefault="1F603D79" w:rsidP="1F603D79">
      <w:pPr>
        <w:pStyle w:val="ListParagraph"/>
        <w:numPr>
          <w:ilvl w:val="0"/>
          <w:numId w:val="8"/>
        </w:numPr>
        <w:spacing w:line="240" w:lineRule="auto"/>
        <w:jc w:val="both"/>
        <w:rPr>
          <w:rFonts w:ascii="Times New Roman" w:hAnsi="Times New Roman" w:cs="Times New Roman"/>
          <w:lang w:val="en-US"/>
        </w:rPr>
      </w:pPr>
      <w:r w:rsidRPr="003A7E34">
        <w:rPr>
          <w:rFonts w:ascii="Times New Roman" w:eastAsia="Times New Roman" w:hAnsi="Times New Roman" w:cs="Times New Roman"/>
          <w:lang w:val="en-US"/>
        </w:rPr>
        <w:t xml:space="preserve">The natural gas transmission system will be connected to the EU gas transmission system via Poland, while the Klaipeda LNG terminal will meet the regional LNG needs; </w:t>
      </w:r>
    </w:p>
    <w:p w14:paraId="4B86FDA7" w14:textId="112C83D0" w:rsidR="3D2C8231" w:rsidRPr="003A7E34" w:rsidRDefault="1F603D79" w:rsidP="1F603D79">
      <w:pPr>
        <w:pStyle w:val="ListParagraph"/>
        <w:numPr>
          <w:ilvl w:val="0"/>
          <w:numId w:val="8"/>
        </w:numPr>
        <w:spacing w:line="240" w:lineRule="auto"/>
        <w:jc w:val="both"/>
        <w:rPr>
          <w:rFonts w:ascii="Times New Roman" w:hAnsi="Times New Roman" w:cs="Times New Roman"/>
          <w:lang w:val="en-US"/>
        </w:rPr>
      </w:pPr>
      <w:r w:rsidRPr="003A7E34">
        <w:rPr>
          <w:rFonts w:ascii="Times New Roman" w:eastAsia="Times New Roman" w:hAnsi="Times New Roman" w:cs="Times New Roman"/>
          <w:lang w:val="en-US"/>
        </w:rPr>
        <w:t xml:space="preserve">The risk assessment-based approach towards the assurance of cyber security will prevail in the energy sector, and cyber security will meet the </w:t>
      </w:r>
      <w:r w:rsidR="00FF7AFE" w:rsidRPr="003A7E34">
        <w:rPr>
          <w:rFonts w:ascii="Times New Roman" w:eastAsia="Times New Roman" w:hAnsi="Times New Roman" w:cs="Times New Roman"/>
          <w:lang w:val="en-US"/>
        </w:rPr>
        <w:t>organizational</w:t>
      </w:r>
      <w:r w:rsidRPr="003A7E34">
        <w:rPr>
          <w:rFonts w:ascii="Times New Roman" w:eastAsia="Times New Roman" w:hAnsi="Times New Roman" w:cs="Times New Roman"/>
          <w:lang w:val="en-US"/>
        </w:rPr>
        <w:t xml:space="preserve"> and technical requirements set by the Government of the Republic of Lithuania.</w:t>
      </w:r>
    </w:p>
    <w:p w14:paraId="199896F5" w14:textId="223C4421" w:rsidR="3D2C8231" w:rsidRPr="003A7E34" w:rsidRDefault="3D2C8231" w:rsidP="3D2C8231">
      <w:pPr>
        <w:rPr>
          <w:rFonts w:eastAsia="Times New Roman"/>
          <w:lang w:val="en-US"/>
        </w:rPr>
      </w:pPr>
    </w:p>
    <w:p w14:paraId="0C0E4D00" w14:textId="2F1A1A7D" w:rsidR="00C36C2D" w:rsidRPr="003A7E34" w:rsidRDefault="0185A49E" w:rsidP="00C42AAE">
      <w:pPr>
        <w:pStyle w:val="ListParagraph"/>
        <w:numPr>
          <w:ilvl w:val="3"/>
          <w:numId w:val="21"/>
        </w:numPr>
        <w:spacing w:line="240" w:lineRule="auto"/>
        <w:ind w:left="1560" w:hanging="284"/>
        <w:rPr>
          <w:rFonts w:ascii="Times New Roman" w:hAnsi="Times New Roman" w:cs="Times New Roman"/>
          <w:b/>
          <w:bCs/>
          <w:noProof/>
          <w:lang w:val="en-US"/>
        </w:rPr>
      </w:pPr>
      <w:r w:rsidRPr="003A7E34">
        <w:rPr>
          <w:rFonts w:ascii="Times New Roman" w:eastAsia="Times New Roman" w:hAnsi="Times New Roman" w:cs="Times New Roman"/>
          <w:i/>
          <w:iCs/>
          <w:noProof/>
          <w:lang w:val="en-US"/>
        </w:rPr>
        <w:t>National objectives with regard to increasing: the diversification of energy sources and supply from third countries; for the purpose of increasing the resilience of regional and national energy systems</w:t>
      </w:r>
    </w:p>
    <w:p w14:paraId="37F84EBB" w14:textId="3370F0D8" w:rsidR="00C36C2D" w:rsidRPr="003A7E34" w:rsidRDefault="008F4D2F">
      <w:pPr>
        <w:rPr>
          <w:rFonts w:eastAsia="Times New Roman"/>
          <w:noProof/>
          <w:lang w:val="en-US"/>
        </w:rPr>
      </w:pPr>
      <w:r w:rsidRPr="003A7E34">
        <w:rPr>
          <w:rFonts w:eastAsia="Times New Roman"/>
          <w:noProof/>
          <w:lang w:val="en-US"/>
        </w:rPr>
        <w:lastRenderedPageBreak/>
        <w:t>Major strategic projects and energy reforms in the electricity and gas sectors have been implemented (e.g., the NordBalt and LitPol Link projects, which linked the Lithuanian power system to the Swedish and Polish systems; LNG import terminal in Klaipeda and the capacity enhancement of the Klaipeda-Kiemenai gas pipeline), or are in the process to be implemented (e.g., Baltic States’ electricity systems synchronous operation with continental European networks; GIPL – gas interconnection between Poland and Lithuania). These allow to substantially increase the energy security situation and decrease dependency on imports from third countries, together with a gradual shift towards more efficient energy production and greater use and production of renewable energy.</w:t>
      </w:r>
    </w:p>
    <w:p w14:paraId="0E138143" w14:textId="4CFAFDA7" w:rsidR="007B3305" w:rsidRPr="003A7E34" w:rsidRDefault="007B3305" w:rsidP="00C42AAE">
      <w:pPr>
        <w:pStyle w:val="ListParagraph"/>
        <w:numPr>
          <w:ilvl w:val="3"/>
          <w:numId w:val="21"/>
        </w:numPr>
        <w:spacing w:line="240" w:lineRule="auto"/>
        <w:ind w:left="1560" w:hanging="284"/>
        <w:rPr>
          <w:rFonts w:ascii="Times New Roman" w:hAnsi="Times New Roman" w:cs="Times New Roman"/>
          <w:noProof/>
          <w:lang w:val="en-US"/>
        </w:rPr>
      </w:pPr>
      <w:r w:rsidRPr="003A7E34">
        <w:rPr>
          <w:rFonts w:ascii="Times New Roman" w:eastAsia="Times New Roman" w:hAnsi="Times New Roman" w:cs="Times New Roman"/>
          <w:b/>
          <w:bCs/>
          <w:i/>
          <w:iCs/>
          <w:noProof/>
          <w:lang w:val="en-US"/>
        </w:rPr>
        <w:t>Where applicable,</w:t>
      </w:r>
      <w:r w:rsidRPr="003A7E34">
        <w:rPr>
          <w:rFonts w:ascii="Times New Roman" w:eastAsia="Times New Roman" w:hAnsi="Times New Roman" w:cs="Times New Roman"/>
          <w:noProof/>
          <w:lang w:val="en-US"/>
        </w:rPr>
        <w:t xml:space="preserve"> national objectives with regard to reducing energy import dependency from third countries, </w:t>
      </w:r>
      <w:r w:rsidRPr="003A7E34">
        <w:rPr>
          <w:rFonts w:ascii="Times New Roman" w:eastAsia="Times New Roman" w:hAnsi="Times New Roman" w:cs="Times New Roman"/>
          <w:b/>
          <w:bCs/>
          <w:i/>
          <w:iCs/>
          <w:noProof/>
          <w:lang w:val="en-US"/>
        </w:rPr>
        <w:t>for the purpose of increasing the resilience of regional and national energy systems</w:t>
      </w:r>
    </w:p>
    <w:p w14:paraId="6983544C" w14:textId="77777777" w:rsidR="00345230" w:rsidRPr="003A7E34" w:rsidRDefault="372247B6" w:rsidP="00B7535D">
      <w:pPr>
        <w:tabs>
          <w:tab w:val="left" w:pos="709"/>
          <w:tab w:val="left" w:pos="993"/>
        </w:tabs>
        <w:spacing w:before="0"/>
        <w:rPr>
          <w:rFonts w:eastAsia="Times New Roman"/>
          <w:lang w:val="en-US"/>
        </w:rPr>
      </w:pPr>
      <w:r w:rsidRPr="003A7E34">
        <w:rPr>
          <w:rFonts w:eastAsia="Times New Roman"/>
          <w:noProof/>
          <w:lang w:val="en-US"/>
        </w:rPr>
        <w:t xml:space="preserve">In 2016, Lithuania produced a total of 3.97 TWh of electricity. Half of all electricity produced in the country was generated by power plants using renewable energy sources. About 0.45 TWh of electricity was generated by hydropower plants (excluding Kruonis PSPP), 1.13 TWh – by wind turbines, and about 0.44 TWh was produced by solar, biomass and biogas fired power plants. The remaining amount of electricity was produced by conventional fuel-fired power plants. The largest share of electricity consumed in the country (about 72% of total electricity consumption or 68% of total electricity demand) was imported in Lithuania during 2016. Most of it (37%) was imported from Latvia and Estonia, (27%) – via NordBalt interconnection with Sweden, (5%) – via LitPol Link interconnection with Poland, and the rest (31%) – from third countries. </w:t>
      </w:r>
      <w:r w:rsidRPr="003A7E34">
        <w:rPr>
          <w:rFonts w:eastAsia="Times New Roman"/>
          <w:lang w:val="en-US"/>
        </w:rPr>
        <w:t xml:space="preserve">In pursuit of the strategic objective of the electricity sector, the electricity needs of the domestic consumers will be satisfied by using energy generation technologies that are competitive on the electricity market, and for the purposes of ensuring energy security, priority will be given to RES technologies and other technologies that have zero GHG and air pollutant emissions. Thus, the aim set in the updated National Energy Independence Strategy will be to achieve that: </w:t>
      </w:r>
    </w:p>
    <w:p w14:paraId="6E45CEEF" w14:textId="77777777" w:rsidR="00345230" w:rsidRPr="003A7E34" w:rsidRDefault="46DF7FC9" w:rsidP="00C42AAE">
      <w:pPr>
        <w:pStyle w:val="ListParagraph"/>
        <w:numPr>
          <w:ilvl w:val="0"/>
          <w:numId w:val="6"/>
        </w:numPr>
        <w:tabs>
          <w:tab w:val="left" w:pos="709"/>
          <w:tab w:val="left" w:pos="1134"/>
        </w:tabs>
        <w:spacing w:after="0" w:line="240" w:lineRule="auto"/>
        <w:rPr>
          <w:rFonts w:ascii="Times New Roman" w:hAnsi="Times New Roman" w:cs="Times New Roman"/>
          <w:lang w:val="en-US"/>
        </w:rPr>
      </w:pPr>
      <w:r w:rsidRPr="003A7E34">
        <w:rPr>
          <w:rFonts w:ascii="Times New Roman" w:eastAsia="Times New Roman" w:hAnsi="Times New Roman" w:cs="Times New Roman"/>
          <w:lang w:val="en-US"/>
        </w:rPr>
        <w:t>by 2020, 35% of the total final electricity consumption of the country consists of domestic electricity generation;</w:t>
      </w:r>
    </w:p>
    <w:p w14:paraId="0720932D" w14:textId="77777777" w:rsidR="00345230" w:rsidRPr="003A7E34" w:rsidRDefault="46DF7FC9" w:rsidP="00C42AAE">
      <w:pPr>
        <w:pStyle w:val="ListParagraph"/>
        <w:numPr>
          <w:ilvl w:val="0"/>
          <w:numId w:val="6"/>
        </w:numPr>
        <w:tabs>
          <w:tab w:val="left" w:pos="709"/>
          <w:tab w:val="left" w:pos="1134"/>
        </w:tabs>
        <w:spacing w:after="0" w:line="240" w:lineRule="auto"/>
        <w:rPr>
          <w:rFonts w:ascii="Times New Roman" w:hAnsi="Times New Roman" w:cs="Times New Roman"/>
          <w:lang w:val="en-US"/>
        </w:rPr>
      </w:pPr>
      <w:r w:rsidRPr="003A7E34">
        <w:rPr>
          <w:rFonts w:ascii="Times New Roman" w:eastAsia="Times New Roman" w:hAnsi="Times New Roman" w:cs="Times New Roman"/>
          <w:lang w:val="en-US"/>
        </w:rPr>
        <w:t>by 2030, 70% of the total final electricity consumption of the country consists of domestic electricity generation;</w:t>
      </w:r>
    </w:p>
    <w:p w14:paraId="07BACBA4" w14:textId="77777777" w:rsidR="00345230" w:rsidRPr="003A7E34" w:rsidRDefault="46DF7FC9" w:rsidP="00C42AAE">
      <w:pPr>
        <w:pStyle w:val="ListParagraph"/>
        <w:numPr>
          <w:ilvl w:val="0"/>
          <w:numId w:val="6"/>
        </w:numPr>
        <w:tabs>
          <w:tab w:val="left" w:pos="709"/>
          <w:tab w:val="left" w:pos="1134"/>
        </w:tabs>
        <w:spacing w:after="0" w:line="240" w:lineRule="auto"/>
        <w:rPr>
          <w:rFonts w:ascii="Times New Roman" w:hAnsi="Times New Roman" w:cs="Times New Roman"/>
          <w:lang w:val="en-US"/>
        </w:rPr>
      </w:pPr>
      <w:r w:rsidRPr="003A7E34">
        <w:rPr>
          <w:rFonts w:ascii="Times New Roman" w:eastAsia="Times New Roman" w:hAnsi="Times New Roman" w:cs="Times New Roman"/>
          <w:lang w:val="en-US"/>
        </w:rPr>
        <w:t>by 2050, 100% of the total final electricity consumption of the country consists of domestic electricity generation, marking the start of RES-generated electricity as the main source of electricity, as compared to the total final electricity consumption of the country.</w:t>
      </w:r>
    </w:p>
    <w:p w14:paraId="53E1CBD5" w14:textId="5ABECF7C" w:rsidR="00345230" w:rsidRPr="003A7E34" w:rsidRDefault="00345230">
      <w:pPr>
        <w:rPr>
          <w:rFonts w:eastAsia="Times New Roman"/>
          <w:noProof/>
          <w:lang w:val="en-US"/>
        </w:rPr>
      </w:pPr>
    </w:p>
    <w:p w14:paraId="73995C81" w14:textId="77777777" w:rsidR="000506E2" w:rsidRPr="003A7E34" w:rsidRDefault="1F603D79" w:rsidP="1F603D79">
      <w:pPr>
        <w:pStyle w:val="ListParagraph"/>
        <w:numPr>
          <w:ilvl w:val="3"/>
          <w:numId w:val="21"/>
        </w:numPr>
        <w:spacing w:line="240" w:lineRule="auto"/>
        <w:ind w:left="1560" w:hanging="284"/>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National objectives with regard to </w:t>
      </w:r>
      <w:r w:rsidRPr="003A7E34">
        <w:rPr>
          <w:rFonts w:ascii="Times New Roman" w:eastAsia="Times New Roman" w:hAnsi="Times New Roman" w:cs="Times New Roman"/>
          <w:b/>
          <w:bCs/>
          <w:i/>
          <w:iCs/>
          <w:noProof/>
          <w:lang w:val="en-US"/>
        </w:rPr>
        <w:t>increasing the flexibility of the national energy system, in particular by means of deploying</w:t>
      </w:r>
      <w:r w:rsidRPr="003A7E34">
        <w:rPr>
          <w:rFonts w:ascii="Times New Roman" w:eastAsia="Times New Roman" w:hAnsi="Times New Roman" w:cs="Times New Roman"/>
          <w:noProof/>
          <w:lang w:val="en-US"/>
        </w:rPr>
        <w:t xml:space="preserve"> domestic energy sources, </w:t>
      </w:r>
      <w:r w:rsidRPr="003A7E34">
        <w:rPr>
          <w:rFonts w:ascii="Times New Roman" w:eastAsia="Times New Roman" w:hAnsi="Times New Roman" w:cs="Times New Roman"/>
          <w:b/>
          <w:bCs/>
          <w:i/>
          <w:iCs/>
          <w:noProof/>
          <w:lang w:val="en-US"/>
        </w:rPr>
        <w:t>demand response and energy storage</w:t>
      </w:r>
    </w:p>
    <w:p w14:paraId="7E21F2ED" w14:textId="55DFEDDF" w:rsidR="00A46423" w:rsidRPr="003A7E34" w:rsidRDefault="00A46423" w:rsidP="00B36F85">
      <w:pPr>
        <w:rPr>
          <w:lang w:val="en-US"/>
        </w:rPr>
      </w:pPr>
      <w:r w:rsidRPr="003A7E34">
        <w:rPr>
          <w:lang w:val="en-US"/>
        </w:rPr>
        <w:t>Lithuania</w:t>
      </w:r>
      <w:r w:rsidR="004458AD" w:rsidRPr="003A7E34">
        <w:rPr>
          <w:lang w:val="en-US"/>
        </w:rPr>
        <w:t>’s</w:t>
      </w:r>
      <w:r w:rsidRPr="003A7E34">
        <w:rPr>
          <w:lang w:val="en-US"/>
        </w:rPr>
        <w:t xml:space="preserve"> electricity market is vastly dependent on power </w:t>
      </w:r>
      <w:r w:rsidR="004458AD" w:rsidRPr="003A7E34">
        <w:rPr>
          <w:lang w:val="en-US"/>
        </w:rPr>
        <w:t xml:space="preserve">imports. </w:t>
      </w:r>
      <w:r w:rsidRPr="003A7E34">
        <w:rPr>
          <w:lang w:val="en-US"/>
        </w:rPr>
        <w:t>In 2009, Lithuania retired its last nuclear reactor, which accounted for 77% of domestic electricity production and abruptly switched from an exporter of electricity to an importer of electricity.</w:t>
      </w:r>
      <w:r w:rsidR="008551B8" w:rsidRPr="003A7E34">
        <w:rPr>
          <w:rStyle w:val="FootnoteReference"/>
          <w:lang w:val="en-US"/>
        </w:rPr>
        <w:footnoteReference w:id="11"/>
      </w:r>
    </w:p>
    <w:p w14:paraId="1C69507A" w14:textId="524D64D4" w:rsidR="00B36F85" w:rsidRPr="003A7E34" w:rsidRDefault="00B36F85" w:rsidP="00B36F85">
      <w:pPr>
        <w:rPr>
          <w:lang w:val="en-US"/>
        </w:rPr>
      </w:pPr>
      <w:r w:rsidRPr="003A7E34">
        <w:rPr>
          <w:lang w:val="en-US"/>
        </w:rPr>
        <w:t>It is generally stated that the legal and regulatory conditions in Lithuania are not opposed to the use of load management measures and that controllable loads form part of the balancing energy market.</w:t>
      </w:r>
    </w:p>
    <w:p w14:paraId="6CFBEAFA" w14:textId="7776732A" w:rsidR="00B36F85" w:rsidRPr="003A7E34" w:rsidRDefault="00B36F85" w:rsidP="00B36F85">
      <w:pPr>
        <w:rPr>
          <w:lang w:val="en-US"/>
        </w:rPr>
      </w:pPr>
      <w:r w:rsidRPr="003A7E34">
        <w:rPr>
          <w:lang w:val="en-US"/>
        </w:rPr>
        <w:t xml:space="preserve">The National Control Commission for Prices and Energy </w:t>
      </w:r>
      <w:r w:rsidR="0054012A" w:rsidRPr="003A7E34">
        <w:rPr>
          <w:lang w:val="en-US"/>
        </w:rPr>
        <w:t>plans to</w:t>
      </w:r>
      <w:r w:rsidRPr="003A7E34">
        <w:rPr>
          <w:lang w:val="en-US"/>
        </w:rPr>
        <w:t xml:space="preserve"> lay down the technical modalities for Demand Response measures, including the consumer access to such measures and participation of providers of Demand Response measures in the electricity market.</w:t>
      </w:r>
    </w:p>
    <w:p w14:paraId="162D0F2B" w14:textId="0B81E5CE" w:rsidR="009A06E7" w:rsidRPr="003A7E34" w:rsidRDefault="003337A4" w:rsidP="00B36F85">
      <w:pPr>
        <w:rPr>
          <w:lang w:val="en-US"/>
        </w:rPr>
      </w:pPr>
      <w:r w:rsidRPr="003A7E34">
        <w:rPr>
          <w:lang w:val="en-US"/>
        </w:rPr>
        <w:lastRenderedPageBreak/>
        <w:t xml:space="preserve">Distributed electricity generation is still not very well developed in Lithuania except the launch of a campaign on solar photovoltaic power which took place between 2012-2014 and resulted in about 30 MW of total </w:t>
      </w:r>
      <w:r w:rsidR="00AE6CEB" w:rsidRPr="003A7E34">
        <w:rPr>
          <w:lang w:val="en-US"/>
        </w:rPr>
        <w:t xml:space="preserve">photovoltaic power </w:t>
      </w:r>
      <w:r w:rsidRPr="003A7E34">
        <w:rPr>
          <w:lang w:val="en-US"/>
        </w:rPr>
        <w:t>capacity established by the government using the feed-in tariff obligation which was 3 times bigger compared to the retail electricity price. Hence becoming a cost-ineffective measure. On the other hand, the distribution of heat production by solar collectors and heat pumps combined with district heating option in public and residential buildings, seems to be much more promising. Energy savings deriving from Demand Response of distributed consumers by energy aggregators are still absent in Lithuania.</w:t>
      </w:r>
    </w:p>
    <w:p w14:paraId="3EE7E385" w14:textId="3DB78DF0" w:rsidR="008D3EF0" w:rsidRPr="003A7E34" w:rsidRDefault="008D3EF0" w:rsidP="008D3EF0">
      <w:pPr>
        <w:rPr>
          <w:lang w:val="en-US"/>
        </w:rPr>
      </w:pPr>
      <w:r w:rsidRPr="003A7E34">
        <w:rPr>
          <w:lang w:val="en-US"/>
        </w:rPr>
        <w:t xml:space="preserve">Concerning the storage of energy, network regulation and tariffs do not prevent network operators or energy retailers making system services for Demand Response measures, demand management and distributed generation on </w:t>
      </w:r>
      <w:r w:rsidR="00AE6CEB" w:rsidRPr="003A7E34">
        <w:rPr>
          <w:lang w:val="en-US"/>
        </w:rPr>
        <w:t>organized</w:t>
      </w:r>
      <w:r w:rsidRPr="003A7E34">
        <w:rPr>
          <w:lang w:val="en-US"/>
        </w:rPr>
        <w:t xml:space="preserve"> electricity market. Lithuanian electricity system includes Kruonis Hydropower storage, which was coupled to work with Ignalina </w:t>
      </w:r>
      <w:r w:rsidR="009D0B46" w:rsidRPr="003A7E34">
        <w:rPr>
          <w:lang w:val="en-US"/>
        </w:rPr>
        <w:t>NPP</w:t>
      </w:r>
      <w:r w:rsidRPr="003A7E34">
        <w:rPr>
          <w:lang w:val="en-US"/>
        </w:rPr>
        <w:t xml:space="preserve"> (decommissioned in 2010).</w:t>
      </w:r>
    </w:p>
    <w:p w14:paraId="61102D65" w14:textId="77777777" w:rsidR="008D3EF0" w:rsidRPr="003A7E34" w:rsidRDefault="008D3EF0" w:rsidP="008D3EF0">
      <w:pPr>
        <w:rPr>
          <w:lang w:val="en-US"/>
        </w:rPr>
      </w:pPr>
      <w:r w:rsidRPr="003A7E34">
        <w:rPr>
          <w:lang w:val="en-US"/>
        </w:rPr>
        <w:t>Dynamic pricing for Demand Response measures offered by networks or retail tariffs such as time-of-use tariffs and real time pricing are present in Lithuania. Electricity prices for consumers are state regulated. The DSO offers about 6 to 8 plans for consumers, which take into account: real time of consumption, 1 or 2 time-zones and minimum amount consumed with corresponding discount.</w:t>
      </w:r>
    </w:p>
    <w:p w14:paraId="10825BB3" w14:textId="59DEA331" w:rsidR="002175DC" w:rsidRPr="003A7E34" w:rsidRDefault="008D3EF0" w:rsidP="008D3EF0">
      <w:pPr>
        <w:rPr>
          <w:lang w:val="en-US"/>
        </w:rPr>
      </w:pPr>
      <w:r w:rsidRPr="003A7E34">
        <w:rPr>
          <w:lang w:val="en-US"/>
        </w:rPr>
        <w:t>Critical peak pricing and peak time rebates are not yet available.</w:t>
      </w:r>
    </w:p>
    <w:p w14:paraId="19E7F78D" w14:textId="77777777" w:rsidR="00B36F85" w:rsidRPr="003A7E34" w:rsidRDefault="00B36F85" w:rsidP="1F603D79">
      <w:pPr>
        <w:rPr>
          <w:lang w:val="en-US"/>
        </w:rPr>
      </w:pPr>
    </w:p>
    <w:p w14:paraId="063C5B3B" w14:textId="21CCCE65" w:rsidR="00044136" w:rsidRPr="003A7E34" w:rsidRDefault="00AB2086" w:rsidP="1F603D79">
      <w:pPr>
        <w:rPr>
          <w:noProof/>
          <w:lang w:val="en-US"/>
        </w:rPr>
      </w:pPr>
      <w:r w:rsidRPr="003A7E34">
        <w:rPr>
          <w:noProof/>
          <w:lang w:val="en-US"/>
        </w:rPr>
        <w:drawing>
          <wp:inline distT="0" distB="0" distL="0" distR="0" wp14:anchorId="562BC094" wp14:editId="728E532E">
            <wp:extent cx="6120765" cy="2921000"/>
            <wp:effectExtent l="0" t="0" r="13335" b="12700"/>
            <wp:docPr id="1" name="Chart 1">
              <a:extLst xmlns:a="http://schemas.openxmlformats.org/drawingml/2006/main">
                <a:ext uri="{FF2B5EF4-FFF2-40B4-BE49-F238E27FC236}">
                  <a16:creationId xmlns:a16="http://schemas.microsoft.com/office/drawing/2014/main" id="{E4149B1A-53B6-40D9-936C-2E126E2912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2C08E8" w14:textId="3F1A3AC7" w:rsidR="008A798E" w:rsidRPr="003A7E34" w:rsidRDefault="008A798E" w:rsidP="1F603D79">
      <w:pPr>
        <w:rPr>
          <w:b/>
          <w:noProof/>
          <w:lang w:val="en-US"/>
        </w:rPr>
      </w:pPr>
      <w:r w:rsidRPr="003A7E34">
        <w:rPr>
          <w:b/>
          <w:noProof/>
          <w:sz w:val="20"/>
          <w:lang w:val="en-US"/>
        </w:rPr>
        <w:t>Figure 2.3.1</w:t>
      </w:r>
      <w:r w:rsidR="007A42F6" w:rsidRPr="003A7E34">
        <w:rPr>
          <w:b/>
          <w:noProof/>
          <w:sz w:val="20"/>
          <w:lang w:val="en-US"/>
        </w:rPr>
        <w:t xml:space="preserve">. </w:t>
      </w:r>
      <w:r w:rsidR="007A42F6" w:rsidRPr="003A7E34">
        <w:rPr>
          <w:noProof/>
          <w:sz w:val="20"/>
          <w:lang w:val="en-US"/>
        </w:rPr>
        <w:t>Development of local resources utilization</w:t>
      </w:r>
    </w:p>
    <w:p w14:paraId="36241241" w14:textId="77777777" w:rsidR="008A798E" w:rsidRPr="003A7E34" w:rsidRDefault="008A798E" w:rsidP="1F603D79">
      <w:pPr>
        <w:rPr>
          <w:noProof/>
          <w:lang w:val="en-US"/>
        </w:rPr>
      </w:pPr>
    </w:p>
    <w:p w14:paraId="7317F221" w14:textId="77777777" w:rsidR="00E80485" w:rsidRPr="003A7E34" w:rsidRDefault="1F603D79" w:rsidP="1F603D79">
      <w:pPr>
        <w:spacing w:before="0"/>
        <w:rPr>
          <w:rFonts w:eastAsia="Times New Roman"/>
          <w:noProof/>
          <w:lang w:val="en-US"/>
        </w:rPr>
      </w:pPr>
      <w:r w:rsidRPr="003A7E34">
        <w:rPr>
          <w:rFonts w:eastAsia="Times New Roman"/>
          <w:noProof/>
          <w:lang w:val="en-US"/>
        </w:rPr>
        <w:t xml:space="preserve">In November 2012, according to Regulation 994/2010 concerning measures to safeguard gas supply, Lithuania adopted the </w:t>
      </w:r>
      <w:r w:rsidRPr="003A7E34">
        <w:rPr>
          <w:rFonts w:eastAsia="Times New Roman"/>
          <w:b/>
          <w:bCs/>
          <w:i/>
          <w:iCs/>
          <w:noProof/>
          <w:lang w:val="en-US"/>
        </w:rPr>
        <w:t>National Preventive Action Plan and National Emergency Plan</w:t>
      </w:r>
      <w:r w:rsidRPr="003A7E34">
        <w:rPr>
          <w:rFonts w:eastAsia="Times New Roman"/>
          <w:noProof/>
          <w:lang w:val="en-US"/>
        </w:rPr>
        <w:t xml:space="preserve"> (in 2016 these Plans were updated). National Preventive Action Plan includes: gas market review, risk assessments, preventive measures, obligations for public authorities, enterprises and non-household gas consumers, cooperation mechanisms, information about ongoing and planned gas transmission system interconnection with the European Union gas transmission systems. Main objective of this Plan is to ensure the security of gas supply in the Republic of Lithuania. </w:t>
      </w:r>
    </w:p>
    <w:p w14:paraId="78B0E0FC" w14:textId="77777777" w:rsidR="00E80485" w:rsidRPr="003A7E34" w:rsidRDefault="00E80485" w:rsidP="008A0715">
      <w:pPr>
        <w:spacing w:before="0"/>
        <w:rPr>
          <w:rFonts w:eastAsia="Times New Roman"/>
          <w:noProof/>
          <w:lang w:val="en-US"/>
        </w:rPr>
      </w:pPr>
      <w:r w:rsidRPr="003A7E34">
        <w:rPr>
          <w:rFonts w:eastAsia="Times New Roman"/>
          <w:noProof/>
          <w:lang w:val="en-US"/>
        </w:rPr>
        <w:lastRenderedPageBreak/>
        <w:t>Also this Plan indicates list of Gas Infrastructure Development Projects: a) Gas interconnection between Poland and Lithuania (GIPL) (2021-2022), b) Improvement of interconnection between Latvia and Lithuania (2020).</w:t>
      </w:r>
    </w:p>
    <w:p w14:paraId="44D9D046" w14:textId="0D62D295" w:rsidR="00E80485" w:rsidRPr="003A7E34" w:rsidRDefault="00E80485" w:rsidP="008A0715">
      <w:pPr>
        <w:spacing w:before="0"/>
        <w:rPr>
          <w:rFonts w:eastAsia="Times New Roman"/>
          <w:noProof/>
          <w:lang w:val="en-US"/>
        </w:rPr>
      </w:pPr>
      <w:r w:rsidRPr="003A7E34">
        <w:rPr>
          <w:rFonts w:eastAsia="Times New Roman"/>
          <w:noProof/>
          <w:lang w:val="en-US"/>
        </w:rPr>
        <w:t>Emergency Plan includes: measures and actions to be taken in order to minimize potential disruptions of gas supply for non-household customers using gas for electricity and heat energy production, detailed procedures and measures to be followed for each crisis level, market and non-market based measures, which would be implemented in case of emergency, pre-defined actions to be taken to ensure the gas supply in the event of emergency. Main objective of this Plan is to ensure the security of gas supply in the Republic of Lithuania and it applies for management of possible emergencies in the gas sector</w:t>
      </w:r>
      <w:r w:rsidR="003875E6" w:rsidRPr="003A7E34">
        <w:rPr>
          <w:rFonts w:eastAsia="Times New Roman"/>
          <w:noProof/>
          <w:lang w:val="en-US"/>
        </w:rPr>
        <w:t>.</w:t>
      </w:r>
    </w:p>
    <w:p w14:paraId="23355474" w14:textId="4FF5B411" w:rsidR="00D53A34" w:rsidRPr="003A7E34" w:rsidRDefault="00D53A34">
      <w:pPr>
        <w:rPr>
          <w:rFonts w:eastAsia="Times New Roman"/>
          <w:noProof/>
          <w:lang w:val="en-US"/>
        </w:rPr>
      </w:pPr>
    </w:p>
    <w:p w14:paraId="139E6D22" w14:textId="2B952021" w:rsidR="00BD6BFB" w:rsidRPr="003A7E34" w:rsidRDefault="00D53A34" w:rsidP="00C42AAE">
      <w:pPr>
        <w:pStyle w:val="Heading2"/>
        <w:numPr>
          <w:ilvl w:val="1"/>
          <w:numId w:val="21"/>
        </w:numPr>
        <w:rPr>
          <w:rFonts w:cs="Times New Roman"/>
          <w:noProof/>
          <w:lang w:val="en-US"/>
        </w:rPr>
      </w:pPr>
      <w:bookmarkStart w:id="40" w:name="_Toc530405566"/>
      <w:bookmarkStart w:id="41" w:name="_Toc530411797"/>
      <w:bookmarkStart w:id="42" w:name="_Toc530414146"/>
      <w:r w:rsidRPr="003A7E34">
        <w:rPr>
          <w:rFonts w:eastAsia="Times New Roman" w:cs="Times New Roman"/>
          <w:noProof/>
          <w:lang w:val="en-US"/>
        </w:rPr>
        <w:t>Dimension internal energy market</w:t>
      </w:r>
      <w:bookmarkEnd w:id="40"/>
      <w:bookmarkEnd w:id="41"/>
      <w:bookmarkEnd w:id="42"/>
    </w:p>
    <w:p w14:paraId="57714343" w14:textId="77A0FB9E" w:rsidR="00D53A34" w:rsidRPr="003A7E34" w:rsidRDefault="00D53A34" w:rsidP="00C42AAE">
      <w:pPr>
        <w:pStyle w:val="Heading3"/>
        <w:numPr>
          <w:ilvl w:val="2"/>
          <w:numId w:val="21"/>
        </w:numPr>
        <w:rPr>
          <w:rFonts w:cs="Times New Roman"/>
          <w:noProof/>
          <w:lang w:val="en-US"/>
        </w:rPr>
      </w:pPr>
      <w:bookmarkStart w:id="43" w:name="_Toc530405567"/>
      <w:bookmarkStart w:id="44" w:name="_Toc530411798"/>
      <w:bookmarkStart w:id="45" w:name="_Toc530414147"/>
      <w:r w:rsidRPr="003A7E34">
        <w:rPr>
          <w:rFonts w:eastAsia="Times New Roman" w:cs="Times New Roman"/>
          <w:noProof/>
          <w:lang w:val="en-US"/>
        </w:rPr>
        <w:t>Electricity interconnectivity</w:t>
      </w:r>
      <w:bookmarkEnd w:id="43"/>
      <w:bookmarkEnd w:id="44"/>
      <w:bookmarkEnd w:id="45"/>
    </w:p>
    <w:p w14:paraId="2F2E43F2" w14:textId="425C82E2" w:rsidR="00D53A34" w:rsidRPr="003A7E34" w:rsidRDefault="46DF7FC9" w:rsidP="00C42AAE">
      <w:pPr>
        <w:pStyle w:val="ListParagraph"/>
        <w:numPr>
          <w:ilvl w:val="3"/>
          <w:numId w:val="21"/>
        </w:numPr>
        <w:spacing w:line="240" w:lineRule="auto"/>
        <w:ind w:left="1560" w:hanging="284"/>
        <w:jc w:val="both"/>
        <w:rPr>
          <w:rFonts w:ascii="Times New Roman" w:hAnsi="Times New Roman" w:cs="Times New Roman"/>
          <w:b/>
          <w:bCs/>
          <w:i/>
          <w:iCs/>
          <w:noProof/>
          <w:lang w:val="en-US"/>
        </w:rPr>
      </w:pPr>
      <w:r w:rsidRPr="003A7E34">
        <w:rPr>
          <w:rFonts w:ascii="Times New Roman" w:eastAsia="Times New Roman" w:hAnsi="Times New Roman" w:cs="Times New Roman"/>
          <w:noProof/>
          <w:lang w:val="en-US"/>
        </w:rPr>
        <w:t xml:space="preserve">The level of electricity interconnectivity that the Member State aims for in 2030 </w:t>
      </w:r>
      <w:r w:rsidRPr="003A7E34">
        <w:rPr>
          <w:rFonts w:ascii="Times New Roman" w:eastAsia="Times New Roman" w:hAnsi="Times New Roman" w:cs="Times New Roman"/>
          <w:b/>
          <w:bCs/>
          <w:i/>
          <w:iCs/>
          <w:noProof/>
          <w:lang w:val="en-US"/>
        </w:rPr>
        <w:t>in consideration of the electricity interconnection target for 2030 of at least 15%, with a strategy with the level from 2021 onwards defined in close cooperation with affected Member States, taking into account the 2020 interconnection target of 10% and the following indicators of the urgency of action:</w:t>
      </w:r>
    </w:p>
    <w:p w14:paraId="1CF17641" w14:textId="77777777" w:rsidR="00D53A34" w:rsidRPr="003A7E34" w:rsidRDefault="00D53A34">
      <w:pPr>
        <w:ind w:left="2334" w:hanging="567"/>
        <w:rPr>
          <w:rFonts w:eastAsia="Times New Roman"/>
          <w:b/>
          <w:bCs/>
          <w:i/>
          <w:iCs/>
          <w:noProof/>
          <w:lang w:val="en-US"/>
        </w:rPr>
      </w:pPr>
      <w:r w:rsidRPr="003A7E34">
        <w:rPr>
          <w:rFonts w:eastAsia="Times New Roman"/>
          <w:b/>
          <w:bCs/>
          <w:i/>
          <w:iCs/>
          <w:noProof/>
          <w:lang w:val="en-US"/>
        </w:rPr>
        <w:t>(1)</w:t>
      </w:r>
      <w:r w:rsidRPr="003A7E34">
        <w:rPr>
          <w:b/>
          <w:i/>
          <w:noProof/>
          <w:lang w:val="en-US"/>
        </w:rPr>
        <w:tab/>
      </w:r>
      <w:r w:rsidRPr="003A7E34">
        <w:rPr>
          <w:rFonts w:eastAsia="Times New Roman"/>
          <w:b/>
          <w:bCs/>
          <w:i/>
          <w:iCs/>
          <w:noProof/>
          <w:lang w:val="en-US"/>
        </w:rPr>
        <w:t>Price differential in the wholesale market exceeding an indicative threshold of EUR 2/MWh between Member States, regions or bidding zones;</w:t>
      </w:r>
    </w:p>
    <w:p w14:paraId="76525F32" w14:textId="2DDF17AE" w:rsidR="00D53A34" w:rsidRPr="003A7E34" w:rsidRDefault="00D53A34" w:rsidP="46DF7FC9">
      <w:pPr>
        <w:ind w:left="2334" w:hanging="567"/>
        <w:rPr>
          <w:rFonts w:eastAsia="Times New Roman"/>
          <w:b/>
          <w:bCs/>
          <w:i/>
          <w:iCs/>
          <w:noProof/>
          <w:lang w:val="en-US"/>
        </w:rPr>
      </w:pPr>
      <w:r w:rsidRPr="003A7E34">
        <w:rPr>
          <w:rFonts w:eastAsia="Times New Roman"/>
          <w:b/>
          <w:bCs/>
          <w:i/>
          <w:iCs/>
          <w:noProof/>
          <w:lang w:val="en-US"/>
        </w:rPr>
        <w:t>(2)</w:t>
      </w:r>
      <w:r w:rsidRPr="003A7E34">
        <w:rPr>
          <w:b/>
          <w:i/>
          <w:noProof/>
          <w:lang w:val="en-US"/>
        </w:rPr>
        <w:tab/>
      </w:r>
      <w:r w:rsidRPr="003A7E34">
        <w:rPr>
          <w:rFonts w:eastAsia="Times New Roman"/>
          <w:b/>
          <w:bCs/>
          <w:i/>
          <w:iCs/>
          <w:noProof/>
          <w:lang w:val="en-US"/>
        </w:rPr>
        <w:t>Nominal transmission capacity of interconnectors below 30% of peak load;</w:t>
      </w:r>
    </w:p>
    <w:p w14:paraId="511AFB39" w14:textId="0FA4A6C2" w:rsidR="00D53A34" w:rsidRPr="003A7E34" w:rsidRDefault="00D53A34" w:rsidP="46DF7FC9">
      <w:pPr>
        <w:ind w:left="2334" w:hanging="567"/>
        <w:rPr>
          <w:rFonts w:eastAsia="Times New Roman"/>
          <w:b/>
          <w:bCs/>
          <w:i/>
          <w:iCs/>
          <w:noProof/>
          <w:lang w:val="en-US"/>
        </w:rPr>
      </w:pPr>
      <w:r w:rsidRPr="003A7E34">
        <w:rPr>
          <w:rFonts w:eastAsia="Times New Roman"/>
          <w:b/>
          <w:bCs/>
          <w:i/>
          <w:iCs/>
          <w:noProof/>
          <w:lang w:val="en-US"/>
        </w:rPr>
        <w:t>(3)</w:t>
      </w:r>
      <w:r w:rsidRPr="003A7E34">
        <w:rPr>
          <w:b/>
          <w:i/>
          <w:noProof/>
          <w:lang w:val="en-US"/>
        </w:rPr>
        <w:tab/>
      </w:r>
      <w:r w:rsidRPr="003A7E34">
        <w:rPr>
          <w:rFonts w:eastAsia="Times New Roman"/>
          <w:b/>
          <w:bCs/>
          <w:i/>
          <w:iCs/>
          <w:noProof/>
          <w:lang w:val="en-US"/>
        </w:rPr>
        <w:t>Nominal transmission capacity of interconnectors below 30</w:t>
      </w:r>
      <w:r w:rsidR="00D871C8" w:rsidRPr="003A7E34">
        <w:rPr>
          <w:rFonts w:eastAsia="Times New Roman"/>
          <w:b/>
          <w:bCs/>
          <w:i/>
          <w:iCs/>
          <w:noProof/>
          <w:lang w:val="en-US"/>
        </w:rPr>
        <w:t>%</w:t>
      </w:r>
      <w:r w:rsidRPr="003A7E34">
        <w:rPr>
          <w:rFonts w:eastAsia="Times New Roman"/>
          <w:b/>
          <w:bCs/>
          <w:i/>
          <w:iCs/>
          <w:noProof/>
          <w:lang w:val="en-US"/>
        </w:rPr>
        <w:t xml:space="preserve"> of installed renewable generation.</w:t>
      </w:r>
    </w:p>
    <w:p w14:paraId="13248F81" w14:textId="77777777" w:rsidR="00D53A34" w:rsidRPr="003A7E34" w:rsidRDefault="00D53A34">
      <w:pPr>
        <w:ind w:left="1767"/>
        <w:rPr>
          <w:rFonts w:eastAsia="Times New Roman"/>
          <w:b/>
          <w:bCs/>
          <w:i/>
          <w:iCs/>
          <w:noProof/>
          <w:lang w:val="en-US"/>
        </w:rPr>
      </w:pPr>
      <w:r w:rsidRPr="003A7E34">
        <w:rPr>
          <w:rFonts w:eastAsia="Times New Roman"/>
          <w:b/>
          <w:bCs/>
          <w:i/>
          <w:iCs/>
          <w:noProof/>
          <w:lang w:val="en-US"/>
        </w:rPr>
        <w:t>Each new interconnector shall be subject to a socioeconomic and environmental cost-benefit analysis and implemented only if the potential benefits outweigh the costs</w:t>
      </w:r>
    </w:p>
    <w:p w14:paraId="30DDD7BE" w14:textId="3B4E0B9F" w:rsidR="00966049" w:rsidRPr="003A7E34" w:rsidRDefault="46DF7FC9" w:rsidP="46DF7FC9">
      <w:pPr>
        <w:spacing w:before="0"/>
        <w:rPr>
          <w:rFonts w:eastAsia="Times New Roman"/>
          <w:noProof/>
          <w:lang w:val="en-US"/>
        </w:rPr>
      </w:pPr>
      <w:r w:rsidRPr="003A7E34">
        <w:rPr>
          <w:rFonts w:eastAsia="Times New Roman"/>
          <w:noProof/>
          <w:lang w:val="en-US"/>
        </w:rPr>
        <w:t>The October 2014 European Council called for achievement of interconnection of at least 10% of installed electricity production in the Member States by 2020, endorsed the 15% target by 2030 and underlined that they will be both attained via implementation of Projects of Common Interest.</w:t>
      </w:r>
    </w:p>
    <w:p w14:paraId="49AA5656" w14:textId="4A9806A1" w:rsidR="00966049" w:rsidRPr="003A7E34" w:rsidRDefault="00966049" w:rsidP="00A4369F">
      <w:pPr>
        <w:spacing w:before="0"/>
        <w:rPr>
          <w:rFonts w:eastAsia="Times New Roman"/>
          <w:noProof/>
          <w:lang w:val="en-US"/>
        </w:rPr>
      </w:pPr>
      <w:r w:rsidRPr="003A7E34">
        <w:rPr>
          <w:rFonts w:eastAsia="Times New Roman"/>
          <w:noProof/>
          <w:lang w:val="en-US"/>
        </w:rPr>
        <w:t>Due to historical factors, Lithuania's high voltage electricity transmission grid is directly interconnected with the high voltage grids of Latvia, Belarus and the Kaliningrad Region of Russia.</w:t>
      </w:r>
      <w:r w:rsidR="00D871C8" w:rsidRPr="003A7E34">
        <w:rPr>
          <w:rFonts w:eastAsia="Times New Roman"/>
          <w:noProof/>
          <w:lang w:val="en-US"/>
        </w:rPr>
        <w:t xml:space="preserve"> </w:t>
      </w:r>
      <w:r w:rsidRPr="003A7E34">
        <w:rPr>
          <w:rFonts w:eastAsia="Times New Roman"/>
          <w:noProof/>
          <w:lang w:val="en-US"/>
        </w:rPr>
        <w:t>These interconnections allow extensive exchanges of power with those neighbouring systems.</w:t>
      </w:r>
      <w:r w:rsidR="00D871C8" w:rsidRPr="003A7E34">
        <w:rPr>
          <w:rFonts w:eastAsia="Times New Roman"/>
          <w:noProof/>
          <w:lang w:val="en-US"/>
        </w:rPr>
        <w:t xml:space="preserve"> </w:t>
      </w:r>
      <w:r w:rsidRPr="003A7E34">
        <w:rPr>
          <w:rFonts w:eastAsia="Times New Roman"/>
          <w:noProof/>
          <w:lang w:val="en-US"/>
        </w:rPr>
        <w:t xml:space="preserve">However, the core objective of Lithuania's and of all Baltic states' energy strategies is the integration of their energy systems into the common European electricity market and to begin synchronised operations with the European Continental Power Network. </w:t>
      </w:r>
    </w:p>
    <w:p w14:paraId="26BEF191" w14:textId="2D198CDE" w:rsidR="00966049" w:rsidRPr="003A7E34" w:rsidRDefault="314282BB" w:rsidP="314282BB">
      <w:pPr>
        <w:spacing w:before="0"/>
        <w:rPr>
          <w:rFonts w:eastAsia="Times New Roman"/>
          <w:noProof/>
          <w:lang w:val="en-US"/>
        </w:rPr>
      </w:pPr>
      <w:r w:rsidRPr="003A7E34">
        <w:rPr>
          <w:rFonts w:eastAsia="Times New Roman"/>
          <w:noProof/>
          <w:lang w:val="en-US"/>
        </w:rPr>
        <w:t>New interconnection lines with Sweden (NordBalt – 700 MW) and Poland (LitPol Link – 500 MW), the constituent parts of the integration of the Baltic electricity market into the common European electricity market, were installed and launched at the end of 2015/ beginning of 2016. Together with the Estlink I (350 MW) and Estlink II (650 MW) between Finland and Estonia total ammount of Baltic States transfer capacity with other member states is 2200 MW, and this constitutes ~23% interconnectivity level. For 2030 interconnerctivity level of 23% for electricity is planned. It exceeds goal of 15% set for 2030 by 8%.</w:t>
      </w:r>
    </w:p>
    <w:p w14:paraId="3268B412" w14:textId="77777777" w:rsidR="00A4369F" w:rsidRPr="003A7E34" w:rsidRDefault="00A4369F" w:rsidP="00A4369F">
      <w:pPr>
        <w:spacing w:before="0"/>
        <w:rPr>
          <w:rFonts w:eastAsia="Times New Roman"/>
          <w:noProof/>
          <w:lang w:val="en-US"/>
        </w:rPr>
      </w:pPr>
    </w:p>
    <w:p w14:paraId="4A7FFF76" w14:textId="39CC4AA1" w:rsidR="00DF1701" w:rsidRPr="003A7E34" w:rsidRDefault="00DF1701" w:rsidP="00C42AAE">
      <w:pPr>
        <w:pStyle w:val="Heading3"/>
        <w:numPr>
          <w:ilvl w:val="2"/>
          <w:numId w:val="21"/>
        </w:numPr>
        <w:rPr>
          <w:rFonts w:cs="Times New Roman"/>
          <w:bCs/>
          <w:noProof/>
          <w:lang w:val="en-US"/>
        </w:rPr>
      </w:pPr>
      <w:bookmarkStart w:id="46" w:name="_Toc530405568"/>
      <w:bookmarkStart w:id="47" w:name="_Toc530411799"/>
      <w:bookmarkStart w:id="48" w:name="_Toc530414148"/>
      <w:r w:rsidRPr="003A7E34">
        <w:rPr>
          <w:rFonts w:eastAsia="Times New Roman" w:cs="Times New Roman"/>
          <w:bCs/>
          <w:noProof/>
          <w:lang w:val="en-US"/>
        </w:rPr>
        <w:t>Energy transmission infrastructure</w:t>
      </w:r>
      <w:bookmarkEnd w:id="46"/>
      <w:bookmarkEnd w:id="47"/>
      <w:bookmarkEnd w:id="48"/>
    </w:p>
    <w:p w14:paraId="4DECC190" w14:textId="77777777" w:rsidR="00AA62DE" w:rsidRPr="003A7E34" w:rsidRDefault="00AA62DE" w:rsidP="00EA50D6">
      <w:pPr>
        <w:pStyle w:val="ListParagraph"/>
        <w:spacing w:line="240" w:lineRule="auto"/>
        <w:ind w:left="1224"/>
        <w:rPr>
          <w:rFonts w:ascii="Times New Roman" w:eastAsia="Times New Roman" w:hAnsi="Times New Roman" w:cs="Times New Roman"/>
          <w:b/>
          <w:bCs/>
          <w:noProof/>
          <w:lang w:val="en-US"/>
        </w:rPr>
      </w:pPr>
    </w:p>
    <w:p w14:paraId="2B78293C" w14:textId="565285AF" w:rsidR="00DF1701" w:rsidRPr="003A7E34" w:rsidRDefault="00DF1701"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Key</w:t>
      </w:r>
      <w:r w:rsidR="007B5907" w:rsidRPr="003A7E34">
        <w:rPr>
          <w:rFonts w:ascii="Times New Roman" w:eastAsia="Times New Roman" w:hAnsi="Times New Roman" w:cs="Times New Roman"/>
          <w:noProof/>
          <w:lang w:val="en-US"/>
        </w:rPr>
        <w:t xml:space="preserve"> </w:t>
      </w:r>
      <w:r w:rsidRPr="003A7E34">
        <w:rPr>
          <w:rFonts w:ascii="Times New Roman" w:eastAsia="Times New Roman" w:hAnsi="Times New Roman" w:cs="Times New Roman"/>
          <w:noProof/>
          <w:lang w:val="en-US"/>
        </w:rPr>
        <w:t xml:space="preserve">electricity and gas transmission infrastructure </w:t>
      </w:r>
      <w:r w:rsidRPr="003A7E34">
        <w:rPr>
          <w:rFonts w:ascii="Times New Roman" w:eastAsia="Times New Roman" w:hAnsi="Times New Roman" w:cs="Times New Roman"/>
          <w:b/>
          <w:bCs/>
          <w:i/>
          <w:iCs/>
          <w:noProof/>
          <w:lang w:val="en-US"/>
        </w:rPr>
        <w:t>projects, and, where relevant, modernisation projects,</w:t>
      </w:r>
      <w:r w:rsidRPr="003A7E34">
        <w:rPr>
          <w:rFonts w:ascii="Times New Roman" w:eastAsia="Times New Roman" w:hAnsi="Times New Roman" w:cs="Times New Roman"/>
          <w:noProof/>
          <w:lang w:val="en-US"/>
        </w:rPr>
        <w:t xml:space="preserve"> that are necessary for the achievement of objectives and targets under</w:t>
      </w:r>
      <w:r w:rsidR="007B5907" w:rsidRPr="003A7E34">
        <w:rPr>
          <w:rFonts w:ascii="Times New Roman" w:eastAsia="Times New Roman" w:hAnsi="Times New Roman" w:cs="Times New Roman"/>
          <w:noProof/>
          <w:lang w:val="en-US"/>
        </w:rPr>
        <w:t xml:space="preserve"> </w:t>
      </w:r>
      <w:r w:rsidRPr="003A7E34">
        <w:rPr>
          <w:rFonts w:ascii="Times New Roman" w:eastAsia="Times New Roman" w:hAnsi="Times New Roman" w:cs="Times New Roman"/>
          <w:noProof/>
          <w:lang w:val="en-US"/>
        </w:rPr>
        <w:t xml:space="preserve">the </w:t>
      </w:r>
      <w:r w:rsidRPr="003A7E34">
        <w:rPr>
          <w:rFonts w:ascii="Times New Roman" w:eastAsia="Times New Roman" w:hAnsi="Times New Roman" w:cs="Times New Roman"/>
          <w:b/>
          <w:bCs/>
          <w:i/>
          <w:iCs/>
          <w:noProof/>
          <w:lang w:val="en-US"/>
        </w:rPr>
        <w:t xml:space="preserve">five </w:t>
      </w:r>
      <w:r w:rsidRPr="003A7E34">
        <w:rPr>
          <w:rFonts w:ascii="Times New Roman" w:eastAsia="Times New Roman" w:hAnsi="Times New Roman" w:cs="Times New Roman"/>
          <w:noProof/>
          <w:lang w:val="en-US"/>
        </w:rPr>
        <w:t xml:space="preserve">dimensions </w:t>
      </w:r>
      <w:r w:rsidRPr="003A7E34">
        <w:rPr>
          <w:rFonts w:ascii="Times New Roman" w:eastAsia="Times New Roman" w:hAnsi="Times New Roman" w:cs="Times New Roman"/>
          <w:b/>
          <w:bCs/>
          <w:i/>
          <w:iCs/>
          <w:noProof/>
          <w:lang w:val="en-US"/>
        </w:rPr>
        <w:t>of the Energy Union Strategy</w:t>
      </w:r>
      <w:r w:rsidRPr="003A7E34">
        <w:rPr>
          <w:rFonts w:ascii="Times New Roman" w:eastAsia="Times New Roman" w:hAnsi="Times New Roman" w:cs="Times New Roman"/>
          <w:noProof/>
          <w:lang w:val="en-US"/>
        </w:rPr>
        <w:t xml:space="preserve"> </w:t>
      </w:r>
    </w:p>
    <w:p w14:paraId="6C5BAD0B" w14:textId="651FFCC4" w:rsidR="00CE50C1" w:rsidRPr="003A7E34" w:rsidRDefault="00CE50C1">
      <w:pPr>
        <w:rPr>
          <w:rFonts w:eastAsia="Times New Roman"/>
          <w:noProof/>
          <w:lang w:val="en-US"/>
        </w:rPr>
      </w:pPr>
      <w:r w:rsidRPr="003A7E34">
        <w:rPr>
          <w:rFonts w:eastAsia="Times New Roman"/>
          <w:b/>
          <w:bCs/>
          <w:i/>
          <w:noProof/>
          <w:lang w:val="en-US"/>
        </w:rPr>
        <w:lastRenderedPageBreak/>
        <w:t>Interconnectivity and synchronization of Baltic States with European networks</w:t>
      </w:r>
      <w:r w:rsidR="00AC1105" w:rsidRPr="003A7E34">
        <w:rPr>
          <w:rFonts w:eastAsia="Times New Roman"/>
          <w:b/>
          <w:bCs/>
          <w:i/>
          <w:noProof/>
          <w:lang w:val="en-US"/>
        </w:rPr>
        <w:t xml:space="preserve"> until 2025. </w:t>
      </w:r>
      <w:r w:rsidRPr="003A7E34">
        <w:rPr>
          <w:rFonts w:eastAsia="Times New Roman"/>
          <w:noProof/>
          <w:lang w:val="en-US"/>
        </w:rPr>
        <w:t>For full-scale Lithuanian energy sector integration into EU, it is needed not only to ensure infrastructure and markets integration but also integration of system management. At present, due to historical circumstances, the Baltic eletricity transmission system is working in synchronous mode with IPS/UPPS power system, together with Russia and Belarus power systems. Baltic power system is dispatched centrally by coordination of Russia. Such a management system and market operation is hindering implementation of the Baltic market integration</w:t>
      </w:r>
      <w:r w:rsidR="00D871C8" w:rsidRPr="003A7E34">
        <w:rPr>
          <w:rFonts w:eastAsia="Times New Roman"/>
          <w:noProof/>
          <w:lang w:val="en-US"/>
        </w:rPr>
        <w:t xml:space="preserve"> </w:t>
      </w:r>
      <w:r w:rsidRPr="003A7E34">
        <w:rPr>
          <w:rFonts w:eastAsia="Times New Roman"/>
          <w:noProof/>
          <w:lang w:val="en-US"/>
        </w:rPr>
        <w:t>into common European electricity market objectives and does not meet state’s energy independence objectives. Therefore, a comprehensive Lithuania and the Baltic states integration to the European Union markets will be ensured only when the Baltic power system will work syncronously with European electricity system.</w:t>
      </w:r>
    </w:p>
    <w:p w14:paraId="140A7EC0" w14:textId="77777777" w:rsidR="00CE50C1" w:rsidRPr="003A7E34" w:rsidRDefault="00CE50C1">
      <w:pPr>
        <w:rPr>
          <w:rFonts w:eastAsia="Times New Roman"/>
          <w:noProof/>
          <w:lang w:val="en-US"/>
        </w:rPr>
      </w:pPr>
      <w:r w:rsidRPr="003A7E34">
        <w:rPr>
          <w:rFonts w:eastAsia="Times New Roman"/>
          <w:noProof/>
          <w:lang w:val="en-US"/>
        </w:rPr>
        <w:t>Lithuania, Latvia and Estonia, as far as electricity transmission system is concerned, still remain a part of the huge Russian IPS/UPS system. Current geopolitical situation in the region shows the increasing threats of such dependency.</w:t>
      </w:r>
    </w:p>
    <w:p w14:paraId="71AD5A0C" w14:textId="77777777" w:rsidR="00CE50C1" w:rsidRPr="003A7E34" w:rsidRDefault="00CE50C1">
      <w:pPr>
        <w:rPr>
          <w:rFonts w:eastAsia="Times New Roman"/>
          <w:noProof/>
          <w:lang w:val="en-US"/>
        </w:rPr>
      </w:pPr>
      <w:r w:rsidRPr="003A7E34">
        <w:rPr>
          <w:rFonts w:eastAsia="Times New Roman"/>
          <w:noProof/>
          <w:lang w:val="en-US"/>
        </w:rPr>
        <w:t xml:space="preserve">Furthermore, as the rules and regulations of the European grid operators are created in the light of the shared European values of mutual respect and democracy and are gradually adopted in the form of EU Network Codes, there is no trusted information about the condition of the electricity grid in Russia and Belarus, nor about the future development plans of those grids. Some major accidents in the past years indicate the signs of lack of security of the system and obvious failures of maintenance. Depending on these systems further means very unpredicted situation to the Baltic countries. </w:t>
      </w:r>
    </w:p>
    <w:p w14:paraId="22647772" w14:textId="77777777" w:rsidR="00CE50C1" w:rsidRPr="003A7E34" w:rsidRDefault="00CE50C1">
      <w:pPr>
        <w:rPr>
          <w:rFonts w:eastAsia="Times New Roman"/>
          <w:noProof/>
          <w:lang w:val="en-US"/>
        </w:rPr>
      </w:pPr>
      <w:r w:rsidRPr="003A7E34">
        <w:rPr>
          <w:rFonts w:eastAsia="Times New Roman"/>
          <w:noProof/>
          <w:lang w:val="en-US"/>
        </w:rPr>
        <w:t>Therefore, Baltic States share a common position that the electricity systems of the Baltic region must operate synchronously with European Networks.</w:t>
      </w:r>
    </w:p>
    <w:p w14:paraId="03471846" w14:textId="77777777" w:rsidR="00CE50C1" w:rsidRPr="003A7E34" w:rsidRDefault="00CE50C1">
      <w:pPr>
        <w:rPr>
          <w:rFonts w:eastAsia="Times New Roman"/>
          <w:b/>
          <w:bCs/>
          <w:i/>
          <w:noProof/>
          <w:lang w:val="en-US"/>
        </w:rPr>
      </w:pPr>
      <w:r w:rsidRPr="003A7E34">
        <w:rPr>
          <w:rFonts w:eastAsia="Times New Roman"/>
          <w:b/>
          <w:bCs/>
          <w:i/>
          <w:noProof/>
          <w:lang w:val="en-US"/>
        </w:rPr>
        <w:t>Synchronization of Baltic States with European networks will not only ensure security of supply to the region, but will contribute to the implementation of Integrated European Energy Market, the core element of the Energy Union concept.</w:t>
      </w:r>
    </w:p>
    <w:p w14:paraId="597AF052" w14:textId="77777777" w:rsidR="00CE50C1" w:rsidRPr="003A7E34" w:rsidRDefault="00CE50C1">
      <w:pPr>
        <w:rPr>
          <w:rFonts w:eastAsia="Times New Roman"/>
          <w:noProof/>
          <w:lang w:val="en-US"/>
        </w:rPr>
      </w:pPr>
      <w:r w:rsidRPr="003A7E34">
        <w:rPr>
          <w:rFonts w:eastAsia="Times New Roman"/>
          <w:noProof/>
          <w:lang w:val="en-US"/>
        </w:rPr>
        <w:t>The importance of synchronisation is also recognised in the framework of EU energy policy. This project is included within the European Energy Security Strategy and the EU Energy Union as a Project of Common Interest and of critical importance to the EU energy security. The goal of implementing the Baltic States' synchronisation with the continental European networks by 2025 is also included in a reinforced BEMIP. The synchronisation project is a major challenge politically, technically and financially. All related issues are being discussed in the special working group created under the framework of BEMIP, which is chaired by Commission representatives and in which all related Member States participate.</w:t>
      </w:r>
    </w:p>
    <w:p w14:paraId="5C627127" w14:textId="3997B3CE" w:rsidR="00CE50C1" w:rsidRPr="003A7E34" w:rsidRDefault="00CE50C1">
      <w:pPr>
        <w:rPr>
          <w:rFonts w:eastAsia="Times New Roman"/>
          <w:noProof/>
          <w:lang w:val="en-US"/>
        </w:rPr>
      </w:pPr>
      <w:r w:rsidRPr="003A7E34">
        <w:rPr>
          <w:rFonts w:eastAsia="Times New Roman"/>
          <w:noProof/>
          <w:lang w:val="en-US"/>
        </w:rPr>
        <w:t>Years 2015-2016 were crucial period for Lithuania regarding integration to EU electricity markets. Accomplishment of NordBalt and LitPol Link</w:t>
      </w:r>
      <w:r w:rsidR="00D871C8" w:rsidRPr="003A7E34">
        <w:rPr>
          <w:rFonts w:eastAsia="Times New Roman"/>
          <w:noProof/>
          <w:lang w:val="en-US"/>
        </w:rPr>
        <w:t xml:space="preserve"> </w:t>
      </w:r>
      <w:r w:rsidRPr="003A7E34">
        <w:rPr>
          <w:rFonts w:eastAsia="Times New Roman"/>
          <w:noProof/>
          <w:lang w:val="en-US"/>
        </w:rPr>
        <w:t xml:space="preserve">projects enabled diversification of imported electricity flows thus security of supply was increased as well as lower priceses of the electricity market for consumers were ensured. </w:t>
      </w:r>
    </w:p>
    <w:p w14:paraId="479BBD35" w14:textId="77777777" w:rsidR="00CE50C1" w:rsidRPr="003A7E34" w:rsidRDefault="00CE50C1">
      <w:pPr>
        <w:rPr>
          <w:rFonts w:eastAsia="Times New Roman"/>
          <w:noProof/>
          <w:lang w:val="en-US"/>
        </w:rPr>
      </w:pPr>
      <w:r w:rsidRPr="003A7E34">
        <w:rPr>
          <w:rFonts w:eastAsia="Times New Roman"/>
          <w:noProof/>
          <w:lang w:val="en-US"/>
        </w:rPr>
        <w:t xml:space="preserve">In the end of 2015, LitPol Link” interconnection (capacity of 500 MW) started to operate. This interconnection for the first time in history connected electricity networks of Lithuania and Poland as well as Baltic countries with continantal Europe’s energy system in that way eliminating Baltic’s countries status of energy island. Interconnection is one of main elements on purpose to synchronise Baltic countries electricity transmission systems with Europe’s eletricity system. </w:t>
      </w:r>
    </w:p>
    <w:p w14:paraId="3CB68481" w14:textId="77777777" w:rsidR="00CE50C1" w:rsidRPr="003A7E34" w:rsidRDefault="00CE50C1">
      <w:pPr>
        <w:rPr>
          <w:rFonts w:eastAsia="Times New Roman"/>
          <w:noProof/>
          <w:lang w:val="en-US"/>
        </w:rPr>
      </w:pPr>
      <w:r w:rsidRPr="003A7E34">
        <w:rPr>
          <w:rFonts w:eastAsia="Times New Roman"/>
          <w:noProof/>
          <w:lang w:val="en-US"/>
        </w:rPr>
        <w:t>In the beginning of 2016, “NordBalt” interconnection was put in operation (capacity of 700 MW).</w:t>
      </w:r>
    </w:p>
    <w:p w14:paraId="41061212" w14:textId="26A49B75" w:rsidR="00CE50C1" w:rsidRPr="003A7E34" w:rsidRDefault="00CE50C1">
      <w:pPr>
        <w:rPr>
          <w:rFonts w:eastAsia="Times New Roman"/>
          <w:noProof/>
          <w:lang w:val="en-US"/>
        </w:rPr>
      </w:pPr>
      <w:r w:rsidRPr="003A7E34">
        <w:rPr>
          <w:rFonts w:eastAsia="Times New Roman"/>
          <w:noProof/>
          <w:lang w:val="en-US"/>
        </w:rPr>
        <w:t xml:space="preserve">During year 2016, average electricity price “Nord Pool” in Lithuania’s trading zone was the lowest in the whole power exchange history and constituted 36,5 EUR/MWh. Previous year electricity price in market was 13 </w:t>
      </w:r>
      <w:r w:rsidR="00906CD3" w:rsidRPr="003A7E34">
        <w:rPr>
          <w:rFonts w:eastAsia="Times New Roman"/>
          <w:noProof/>
          <w:lang w:val="en-US"/>
        </w:rPr>
        <w:t>%</w:t>
      </w:r>
      <w:r w:rsidRPr="003A7E34">
        <w:rPr>
          <w:rFonts w:eastAsia="Times New Roman"/>
          <w:noProof/>
          <w:lang w:val="en-US"/>
        </w:rPr>
        <w:t xml:space="preserve"> lower than 2015 ant lower by quarter in comparison with years 2014 and 2013.</w:t>
      </w:r>
    </w:p>
    <w:p w14:paraId="20F001C6" w14:textId="36D1C5AA" w:rsidR="00CE50C1" w:rsidRPr="003A7E34" w:rsidRDefault="00CE50C1">
      <w:pPr>
        <w:rPr>
          <w:rFonts w:eastAsia="Times New Roman"/>
          <w:noProof/>
          <w:lang w:val="en-US"/>
        </w:rPr>
      </w:pPr>
      <w:r w:rsidRPr="003A7E34">
        <w:rPr>
          <w:rFonts w:eastAsia="Times New Roman"/>
          <w:noProof/>
          <w:lang w:val="en-US"/>
        </w:rPr>
        <w:t xml:space="preserve">During year 2016, “LitPol Link” was available for market 96 </w:t>
      </w:r>
      <w:r w:rsidR="00906CD3" w:rsidRPr="003A7E34">
        <w:rPr>
          <w:rFonts w:eastAsia="Times New Roman"/>
          <w:noProof/>
          <w:lang w:val="en-US"/>
        </w:rPr>
        <w:t>%</w:t>
      </w:r>
      <w:r w:rsidRPr="003A7E34">
        <w:rPr>
          <w:rFonts w:eastAsia="Times New Roman"/>
          <w:noProof/>
          <w:lang w:val="en-US"/>
        </w:rPr>
        <w:t xml:space="preserve"> time per year, while “NordBalt” – 78 </w:t>
      </w:r>
      <w:r w:rsidR="00906CD3" w:rsidRPr="003A7E34">
        <w:rPr>
          <w:rFonts w:eastAsia="Times New Roman"/>
          <w:noProof/>
          <w:lang w:val="en-US"/>
        </w:rPr>
        <w:t>%</w:t>
      </w:r>
      <w:r w:rsidRPr="003A7E34">
        <w:rPr>
          <w:rFonts w:eastAsia="Times New Roman"/>
          <w:noProof/>
          <w:lang w:val="en-US"/>
        </w:rPr>
        <w:t xml:space="preserve"> time per year.</w:t>
      </w:r>
      <w:r w:rsidR="00D871C8" w:rsidRPr="003A7E34">
        <w:rPr>
          <w:rFonts w:eastAsia="Times New Roman"/>
          <w:noProof/>
          <w:lang w:val="en-US"/>
        </w:rPr>
        <w:t xml:space="preserve"> </w:t>
      </w:r>
      <w:r w:rsidRPr="003A7E34">
        <w:rPr>
          <w:rFonts w:eastAsia="Times New Roman"/>
          <w:noProof/>
          <w:lang w:val="en-US"/>
        </w:rPr>
        <w:t xml:space="preserve">International interconnections between Latvia and Estonia, which has not sufficient capacity untill </w:t>
      </w:r>
      <w:r w:rsidRPr="003A7E34">
        <w:rPr>
          <w:rFonts w:eastAsia="Times New Roman"/>
          <w:noProof/>
          <w:lang w:val="en-US"/>
        </w:rPr>
        <w:lastRenderedPageBreak/>
        <w:t>new interconnections had the main influence on price differences in Estonia, Latvia and Lithuania trading zones, were loaded less by quarter in comparison with year 2015.</w:t>
      </w:r>
    </w:p>
    <w:p w14:paraId="3280DC7A" w14:textId="41B0D5AB" w:rsidR="00CE50C1" w:rsidRPr="003A7E34" w:rsidRDefault="00CE50C1">
      <w:pPr>
        <w:rPr>
          <w:rFonts w:eastAsia="Times New Roman"/>
          <w:noProof/>
          <w:lang w:val="en-US"/>
        </w:rPr>
      </w:pPr>
      <w:r w:rsidRPr="003A7E34">
        <w:rPr>
          <w:rFonts w:eastAsia="Times New Roman"/>
          <w:noProof/>
          <w:lang w:val="en-US"/>
        </w:rPr>
        <w:t xml:space="preserve">During year 2016 imported electricity quantities from third coutries decreased in comparison with year 2015. During year 2016 30 </w:t>
      </w:r>
      <w:r w:rsidR="00906CD3" w:rsidRPr="003A7E34">
        <w:rPr>
          <w:rFonts w:eastAsia="Times New Roman"/>
          <w:noProof/>
          <w:lang w:val="en-US"/>
        </w:rPr>
        <w:t>%</w:t>
      </w:r>
      <w:r w:rsidRPr="003A7E34">
        <w:rPr>
          <w:rFonts w:eastAsia="Times New Roman"/>
          <w:noProof/>
          <w:lang w:val="en-US"/>
        </w:rPr>
        <w:t xml:space="preserve"> of all imported electricity was imported from third countries, while 2015 this part was around 44 </w:t>
      </w:r>
      <w:r w:rsidR="00906CD3" w:rsidRPr="003A7E34">
        <w:rPr>
          <w:rFonts w:eastAsia="Times New Roman"/>
          <w:noProof/>
          <w:lang w:val="en-US"/>
        </w:rPr>
        <w:t>%</w:t>
      </w:r>
      <w:r w:rsidRPr="003A7E34">
        <w:rPr>
          <w:rFonts w:eastAsia="Times New Roman"/>
          <w:noProof/>
          <w:lang w:val="en-US"/>
        </w:rPr>
        <w:t xml:space="preserve">/ Main part from third countries is importing from Kaliningrad region, only 2 </w:t>
      </w:r>
      <w:r w:rsidR="00906CD3" w:rsidRPr="003A7E34">
        <w:rPr>
          <w:rFonts w:eastAsia="Times New Roman"/>
          <w:noProof/>
          <w:lang w:val="en-US"/>
        </w:rPr>
        <w:t>%</w:t>
      </w:r>
      <w:r w:rsidRPr="003A7E34">
        <w:rPr>
          <w:rFonts w:eastAsia="Times New Roman"/>
          <w:noProof/>
          <w:lang w:val="en-US"/>
        </w:rPr>
        <w:t xml:space="preserve"> was imported from Belarus and only 1</w:t>
      </w:r>
      <w:r w:rsidR="00101FE1" w:rsidRPr="003A7E34">
        <w:rPr>
          <w:rFonts w:eastAsia="Times New Roman"/>
          <w:noProof/>
          <w:lang w:val="en-US"/>
        </w:rPr>
        <w:t>.</w:t>
      </w:r>
      <w:r w:rsidRPr="003A7E34">
        <w:rPr>
          <w:rFonts w:eastAsia="Times New Roman"/>
          <w:noProof/>
          <w:lang w:val="en-US"/>
        </w:rPr>
        <w:t xml:space="preserve">4 </w:t>
      </w:r>
      <w:r w:rsidR="00906CD3" w:rsidRPr="003A7E34">
        <w:rPr>
          <w:rFonts w:eastAsia="Times New Roman"/>
          <w:noProof/>
          <w:lang w:val="en-US"/>
        </w:rPr>
        <w:t>%</w:t>
      </w:r>
      <w:r w:rsidRPr="003A7E34">
        <w:rPr>
          <w:rFonts w:eastAsia="Times New Roman"/>
          <w:noProof/>
          <w:lang w:val="en-US"/>
        </w:rPr>
        <w:t xml:space="preserve"> of electricity during 2016. </w:t>
      </w:r>
    </w:p>
    <w:p w14:paraId="1496FC1B" w14:textId="2F38F151" w:rsidR="00CE50C1" w:rsidRPr="003A7E34" w:rsidRDefault="00CE50C1">
      <w:pPr>
        <w:rPr>
          <w:rFonts w:eastAsia="Times New Roman"/>
          <w:noProof/>
          <w:lang w:val="en-US"/>
        </w:rPr>
      </w:pPr>
      <w:r w:rsidRPr="003A7E34">
        <w:rPr>
          <w:rFonts w:eastAsia="Times New Roman"/>
          <w:noProof/>
          <w:lang w:val="en-US"/>
        </w:rPr>
        <w:t>Few times per previous year “LitPol Link” interconnection</w:t>
      </w:r>
      <w:r w:rsidR="00D871C8" w:rsidRPr="003A7E34">
        <w:rPr>
          <w:rFonts w:eastAsia="Times New Roman"/>
          <w:noProof/>
          <w:lang w:val="en-US"/>
        </w:rPr>
        <w:t xml:space="preserve"> </w:t>
      </w:r>
      <w:r w:rsidRPr="003A7E34">
        <w:rPr>
          <w:rFonts w:eastAsia="Times New Roman"/>
          <w:noProof/>
          <w:lang w:val="en-US"/>
        </w:rPr>
        <w:t>was used for ensuring system reliability by Lithuania and Poland. “Litgrid” (Lithuanian PSO) used interconnection as emergency reserve 141 hours, while Poland system operator PSE used interconnection as reserve 18 hours in total.</w:t>
      </w:r>
    </w:p>
    <w:p w14:paraId="7F524BBB" w14:textId="77777777" w:rsidR="00CE50C1" w:rsidRPr="003A7E34" w:rsidRDefault="00CE50C1">
      <w:pPr>
        <w:rPr>
          <w:rFonts w:eastAsia="Times New Roman"/>
          <w:noProof/>
          <w:lang w:val="en-US"/>
        </w:rPr>
      </w:pPr>
      <w:r w:rsidRPr="003A7E34">
        <w:rPr>
          <w:rFonts w:eastAsia="Times New Roman"/>
          <w:b/>
          <w:bCs/>
          <w:noProof/>
          <w:lang w:val="en-US"/>
        </w:rPr>
        <w:t>Regarding</w:t>
      </w:r>
      <w:r w:rsidRPr="003A7E34">
        <w:rPr>
          <w:rFonts w:eastAsia="Times New Roman"/>
          <w:noProof/>
          <w:lang w:val="en-US"/>
        </w:rPr>
        <w:t xml:space="preserve"> </w:t>
      </w:r>
      <w:r w:rsidRPr="003A7E34">
        <w:rPr>
          <w:rFonts w:eastAsia="Times New Roman"/>
          <w:b/>
          <w:bCs/>
          <w:noProof/>
          <w:lang w:val="en-US"/>
        </w:rPr>
        <w:t>gas transmission infrastructure, the main objective is to ensure a technically secure and diversified supply of natural gas to the users at competitive prices</w:t>
      </w:r>
      <w:r w:rsidRPr="003A7E34">
        <w:rPr>
          <w:rFonts w:eastAsia="Times New Roman"/>
          <w:noProof/>
          <w:lang w:val="en-US"/>
        </w:rPr>
        <w:t>. For that purpose following national strategic initiatives are foreseen:</w:t>
      </w:r>
    </w:p>
    <w:p w14:paraId="1330406B" w14:textId="5F07450A" w:rsidR="00CE50C1" w:rsidRPr="003A7E34" w:rsidRDefault="46DF7FC9" w:rsidP="00C42AAE">
      <w:pPr>
        <w:pStyle w:val="ListParagraph"/>
        <w:numPr>
          <w:ilvl w:val="0"/>
          <w:numId w:val="6"/>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to ensure a long-term access to the global LNG market;</w:t>
      </w:r>
    </w:p>
    <w:p w14:paraId="3D240989" w14:textId="1671AB50" w:rsidR="00CE50C1" w:rsidRPr="003A7E34" w:rsidRDefault="46DF7FC9" w:rsidP="00C42AAE">
      <w:pPr>
        <w:pStyle w:val="ListParagraph"/>
        <w:numPr>
          <w:ilvl w:val="0"/>
          <w:numId w:val="6"/>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full integration to common European gas martket by construction of the gas interconnector between Poland and Lithuania (GIPL project) and implementation of the EU gas network codes;</w:t>
      </w:r>
    </w:p>
    <w:p w14:paraId="2A8E9D3F" w14:textId="10C997D9" w:rsidR="00CE50C1" w:rsidRPr="003A7E34" w:rsidRDefault="46DF7FC9" w:rsidP="00C42AAE">
      <w:pPr>
        <w:pStyle w:val="ListParagraph"/>
        <w:numPr>
          <w:ilvl w:val="0"/>
          <w:numId w:val="6"/>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creation of a regional natural gas market in the Baltic Strates (with the possibility to expand to Finland) to increase market’s liquidity, competitiveness and more efficient use of the existing infrastructure in Lithuania;</w:t>
      </w:r>
    </w:p>
    <w:p w14:paraId="3C333083" w14:textId="279A7347" w:rsidR="00CE50C1" w:rsidRPr="003A7E34" w:rsidRDefault="46DF7FC9" w:rsidP="00C42AAE">
      <w:pPr>
        <w:pStyle w:val="ListParagraph"/>
        <w:numPr>
          <w:ilvl w:val="0"/>
          <w:numId w:val="6"/>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to develop Lithuania’s position as the regional LNG supply and competence hub, technology, innovations and business models for LNG application in transport, energy and maritime sectors;</w:t>
      </w:r>
    </w:p>
    <w:p w14:paraId="12D8D507" w14:textId="4C83EE26" w:rsidR="00CE50C1" w:rsidRPr="003A7E34" w:rsidRDefault="46DF7FC9" w:rsidP="00C42AAE">
      <w:pPr>
        <w:pStyle w:val="ListParagraph"/>
        <w:numPr>
          <w:ilvl w:val="0"/>
          <w:numId w:val="6"/>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improvement of interconnection between Latvia and Lithuania;</w:t>
      </w:r>
    </w:p>
    <w:p w14:paraId="2371334E" w14:textId="4CA59C1A" w:rsidR="00CE50C1" w:rsidRPr="003A7E34" w:rsidRDefault="1F603D79" w:rsidP="1F603D79">
      <w:pPr>
        <w:pStyle w:val="ListParagraph"/>
        <w:numPr>
          <w:ilvl w:val="0"/>
          <w:numId w:val="6"/>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modernisation of the natural gas transmission and distribution infrastructure</w:t>
      </w:r>
    </w:p>
    <w:p w14:paraId="789B6285" w14:textId="62BBCB48" w:rsidR="00CE50C1" w:rsidRPr="003A7E34" w:rsidRDefault="1F603D79" w:rsidP="1F603D79">
      <w:pPr>
        <w:pStyle w:val="ListParagraph"/>
        <w:numPr>
          <w:ilvl w:val="0"/>
          <w:numId w:val="6"/>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facilitating access for biogas to the transmission system.</w:t>
      </w:r>
    </w:p>
    <w:p w14:paraId="59728250" w14:textId="77777777" w:rsidR="00F45143" w:rsidRPr="003A7E34" w:rsidRDefault="00F45143" w:rsidP="00A54657">
      <w:pPr>
        <w:rPr>
          <w:rFonts w:eastAsia="Times New Roman"/>
          <w:noProof/>
          <w:lang w:val="en-US"/>
        </w:rPr>
      </w:pPr>
    </w:p>
    <w:p w14:paraId="745E4421" w14:textId="7B70D40F" w:rsidR="003C729C" w:rsidRPr="003A7E34" w:rsidRDefault="00DF1701" w:rsidP="1F603D79">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Where applicable, main infrastructure projects envisaged other than Projects of Common Interest (PCIs)</w:t>
      </w:r>
      <w:r w:rsidRPr="003A7E34">
        <w:rPr>
          <w:rFonts w:ascii="Times New Roman" w:eastAsia="Times New Roman" w:hAnsi="Times New Roman" w:cs="Times New Roman"/>
          <w:noProof/>
          <w:vertAlign w:val="superscript"/>
          <w:lang w:val="en-US"/>
        </w:rPr>
        <w:footnoteReference w:id="12"/>
      </w:r>
    </w:p>
    <w:p w14:paraId="5F68AD4F" w14:textId="7945B194" w:rsidR="003C729C" w:rsidRPr="003A7E34" w:rsidRDefault="004028B5" w:rsidP="1F603D79">
      <w:pPr>
        <w:rPr>
          <w:rFonts w:eastAsia="Times New Roman"/>
          <w:noProof/>
          <w:lang w:val="en-US"/>
        </w:rPr>
      </w:pPr>
      <w:r w:rsidRPr="003A7E34">
        <w:rPr>
          <w:rFonts w:eastAsia="Times New Roman"/>
          <w:noProof/>
          <w:lang w:val="en-US"/>
        </w:rPr>
        <w:t xml:space="preserve">Potential expansion of Klaipeda’s LNG reloading station </w:t>
      </w:r>
      <w:r w:rsidR="00E50C52" w:rsidRPr="003A7E34">
        <w:rPr>
          <w:rFonts w:eastAsia="Times New Roman"/>
          <w:noProof/>
          <w:lang w:val="en-US"/>
        </w:rPr>
        <w:t xml:space="preserve">long-term </w:t>
      </w:r>
      <w:r w:rsidRPr="003A7E34">
        <w:rPr>
          <w:rFonts w:eastAsia="Times New Roman"/>
          <w:noProof/>
          <w:lang w:val="en-US"/>
        </w:rPr>
        <w:t xml:space="preserve">if </w:t>
      </w:r>
      <w:r w:rsidR="00E50C52" w:rsidRPr="003A7E34">
        <w:rPr>
          <w:rFonts w:eastAsia="Times New Roman"/>
          <w:noProof/>
          <w:lang w:val="en-US"/>
        </w:rPr>
        <w:t>LNG market trends continue</w:t>
      </w:r>
      <w:r w:rsidR="00F45143" w:rsidRPr="003A7E34">
        <w:rPr>
          <w:rFonts w:eastAsia="Times New Roman"/>
          <w:noProof/>
          <w:lang w:val="en-US"/>
        </w:rPr>
        <w:t xml:space="preserve"> </w:t>
      </w:r>
      <w:r w:rsidR="00E50C52" w:rsidRPr="003A7E34">
        <w:rPr>
          <w:rFonts w:eastAsia="Times New Roman"/>
          <w:noProof/>
          <w:lang w:val="en-US"/>
        </w:rPr>
        <w:t>to be positive.</w:t>
      </w:r>
      <w:r w:rsidR="00F45143" w:rsidRPr="003A7E34">
        <w:rPr>
          <w:rFonts w:eastAsia="Times New Roman"/>
          <w:noProof/>
          <w:lang w:val="en-US"/>
        </w:rPr>
        <w:t xml:space="preserve"> Currently its storage capacity for onshore </w:t>
      </w:r>
      <w:r w:rsidR="00A54657" w:rsidRPr="003A7E34">
        <w:rPr>
          <w:rFonts w:eastAsia="Times New Roman"/>
          <w:noProof/>
          <w:lang w:val="en-US"/>
        </w:rPr>
        <w:t xml:space="preserve">reloads and bunkering is 5.000cm, </w:t>
      </w:r>
      <w:r w:rsidR="00056959" w:rsidRPr="003A7E34">
        <w:rPr>
          <w:rFonts w:eastAsia="Times New Roman"/>
          <w:noProof/>
          <w:lang w:val="en-US"/>
        </w:rPr>
        <w:t>is designed to</w:t>
      </w:r>
      <w:r w:rsidR="00A54657" w:rsidRPr="003A7E34">
        <w:rPr>
          <w:rFonts w:eastAsia="Times New Roman"/>
          <w:noProof/>
          <w:lang w:val="en-US"/>
        </w:rPr>
        <w:t xml:space="preserve"> be expanded up to 10.000cm.</w:t>
      </w:r>
      <w:r w:rsidR="00B9596C" w:rsidRPr="003A7E34">
        <w:rPr>
          <w:rStyle w:val="FootnoteReference"/>
          <w:rFonts w:eastAsia="Times New Roman"/>
          <w:noProof/>
          <w:lang w:val="en-US"/>
        </w:rPr>
        <w:footnoteReference w:id="13"/>
      </w:r>
      <w:r w:rsidR="00A54657" w:rsidRPr="003A7E34">
        <w:rPr>
          <w:rFonts w:eastAsia="Times New Roman"/>
          <w:noProof/>
          <w:lang w:val="en-US"/>
        </w:rPr>
        <w:t xml:space="preserve"> </w:t>
      </w:r>
    </w:p>
    <w:p w14:paraId="450F9C54" w14:textId="5F43B8CD" w:rsidR="00B04D24" w:rsidRPr="003A7E34" w:rsidRDefault="00B04D24" w:rsidP="1F603D79">
      <w:pPr>
        <w:rPr>
          <w:rFonts w:eastAsia="Times New Roman"/>
          <w:noProof/>
          <w:lang w:val="en-US"/>
        </w:rPr>
      </w:pPr>
    </w:p>
    <w:p w14:paraId="1B5AE202" w14:textId="32E4E185" w:rsidR="00AA62DE" w:rsidRPr="003A7E34" w:rsidRDefault="1F603D79" w:rsidP="00A038B1">
      <w:pPr>
        <w:pStyle w:val="Heading3"/>
        <w:numPr>
          <w:ilvl w:val="2"/>
          <w:numId w:val="21"/>
        </w:numPr>
        <w:spacing w:before="0" w:after="120"/>
        <w:ind w:left="1225" w:hanging="505"/>
        <w:rPr>
          <w:rFonts w:cs="Times New Roman"/>
          <w:noProof/>
          <w:lang w:val="en-US"/>
        </w:rPr>
      </w:pPr>
      <w:bookmarkStart w:id="49" w:name="_Toc530405569"/>
      <w:bookmarkStart w:id="50" w:name="_Toc530411800"/>
      <w:bookmarkStart w:id="51" w:name="_Toc530414149"/>
      <w:r w:rsidRPr="003A7E34">
        <w:rPr>
          <w:rFonts w:eastAsia="Times New Roman" w:cs="Times New Roman"/>
          <w:noProof/>
          <w:lang w:val="en-US"/>
        </w:rPr>
        <w:t>Market integration</w:t>
      </w:r>
      <w:bookmarkEnd w:id="49"/>
      <w:bookmarkEnd w:id="50"/>
      <w:bookmarkEnd w:id="51"/>
    </w:p>
    <w:p w14:paraId="10295106" w14:textId="2370BD81" w:rsidR="004F6E28" w:rsidRPr="003A7E34" w:rsidRDefault="004F6E28"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National objectives related to other aspects of the internal energy market such as </w:t>
      </w:r>
      <w:r w:rsidRPr="003A7E34">
        <w:rPr>
          <w:rFonts w:ascii="Times New Roman" w:eastAsia="Times New Roman" w:hAnsi="Times New Roman" w:cs="Times New Roman"/>
          <w:b/>
          <w:bCs/>
          <w:i/>
          <w:iCs/>
          <w:noProof/>
          <w:lang w:val="en-US"/>
        </w:rPr>
        <w:t xml:space="preserve">increasing system flexibility, in particular related to the promotion of competitively determined electricity prices in line with relevant sectoral law, </w:t>
      </w:r>
      <w:r w:rsidRPr="003A7E34">
        <w:rPr>
          <w:rFonts w:ascii="Times New Roman" w:eastAsia="Times New Roman" w:hAnsi="Times New Roman" w:cs="Times New Roman"/>
          <w:noProof/>
          <w:lang w:val="en-US"/>
        </w:rPr>
        <w:t>market integration and coupling</w:t>
      </w:r>
      <w:r w:rsidRPr="003A7E34">
        <w:rPr>
          <w:rFonts w:ascii="Times New Roman" w:eastAsia="Times New Roman" w:hAnsi="Times New Roman" w:cs="Times New Roman"/>
          <w:b/>
          <w:bCs/>
          <w:i/>
          <w:iCs/>
          <w:noProof/>
          <w:lang w:val="en-US"/>
        </w:rPr>
        <w:t xml:space="preserve">, aimed at increasing the tradeable capacity of existing interconnectors, smart grids, aggregation, demand response, storage, distributed generation, mechanisms for </w:t>
      </w:r>
      <w:r w:rsidRPr="003A7E34">
        <w:rPr>
          <w:rFonts w:ascii="Times New Roman" w:eastAsia="Times New Roman" w:hAnsi="Times New Roman" w:cs="Times New Roman"/>
          <w:b/>
          <w:bCs/>
          <w:i/>
          <w:iCs/>
          <w:noProof/>
          <w:lang w:val="en-US"/>
        </w:rPr>
        <w:lastRenderedPageBreak/>
        <w:t>dispatching, re-dispatching and curtailment, and real-time price signals</w:t>
      </w:r>
      <w:r w:rsidRPr="003A7E34">
        <w:rPr>
          <w:rFonts w:ascii="Times New Roman" w:eastAsia="Times New Roman" w:hAnsi="Times New Roman" w:cs="Times New Roman"/>
          <w:noProof/>
          <w:lang w:val="en-US"/>
        </w:rPr>
        <w:t>, including a timeframe for when the objectives shall be met</w:t>
      </w:r>
    </w:p>
    <w:p w14:paraId="677AF485" w14:textId="17BCCF49" w:rsidR="00D55ABF" w:rsidRPr="003A7E34" w:rsidRDefault="372247B6">
      <w:pPr>
        <w:rPr>
          <w:rFonts w:eastAsia="Times New Roman"/>
          <w:lang w:val="en-US"/>
        </w:rPr>
      </w:pPr>
      <w:r w:rsidRPr="003A7E34">
        <w:rPr>
          <w:rFonts w:eastAsia="Times New Roman"/>
          <w:lang w:val="en-US"/>
        </w:rPr>
        <w:t xml:space="preserve">Lithuania has no national targets that stand out from </w:t>
      </w:r>
      <w:r w:rsidR="002F0782" w:rsidRPr="003A7E34">
        <w:rPr>
          <w:rFonts w:eastAsia="Times New Roman"/>
          <w:lang w:val="en-US"/>
        </w:rPr>
        <w:t xml:space="preserve">the </w:t>
      </w:r>
      <w:r w:rsidRPr="003A7E34">
        <w:rPr>
          <w:rFonts w:eastAsia="Times New Roman"/>
          <w:lang w:val="en-US"/>
        </w:rPr>
        <w:t xml:space="preserve">European context. Country is already part of united European electricity market and further steps comply with </w:t>
      </w:r>
      <w:r w:rsidR="002F0782" w:rsidRPr="003A7E34">
        <w:rPr>
          <w:rFonts w:eastAsia="Times New Roman"/>
          <w:lang w:val="en-US"/>
        </w:rPr>
        <w:t xml:space="preserve">the </w:t>
      </w:r>
      <w:r w:rsidRPr="003A7E34">
        <w:rPr>
          <w:rFonts w:eastAsia="Times New Roman"/>
          <w:lang w:val="en-US"/>
        </w:rPr>
        <w:t>European integration aims and deadlines.</w:t>
      </w:r>
    </w:p>
    <w:p w14:paraId="32224341" w14:textId="262F5A91" w:rsidR="00D55ABF" w:rsidRPr="003A7E34" w:rsidRDefault="1F603D79" w:rsidP="1F603D79">
      <w:pPr>
        <w:rPr>
          <w:rFonts w:eastAsia="Times New Roman"/>
          <w:noProof/>
          <w:lang w:val="en-US"/>
        </w:rPr>
      </w:pPr>
      <w:r w:rsidRPr="003A7E34">
        <w:rPr>
          <w:rFonts w:eastAsia="Times New Roman"/>
          <w:lang w:val="en-US"/>
        </w:rPr>
        <w:t xml:space="preserve">According to the Baltic Energy Market Interconnection Plan (BEMIP), one of the key steps in the integration of the Baltic and Nordic electricity markets is the total balance of the electricity market, acting in accordance with agreed principles and balancing with coordinated pricing rules creation. It is important that the new rules and principles are in line with ENTSO-E Network Code on balancing power requirements and are compatible with the Nordic model. Lithuania is actively engaged in the foreseen implementation of common Baltic Balancing </w:t>
      </w:r>
      <w:r w:rsidR="002F0782" w:rsidRPr="003A7E34">
        <w:rPr>
          <w:rFonts w:eastAsia="Times New Roman"/>
          <w:lang w:val="en-US"/>
        </w:rPr>
        <w:t>market, which</w:t>
      </w:r>
      <w:r w:rsidRPr="003A7E34">
        <w:rPr>
          <w:rFonts w:eastAsia="Times New Roman"/>
          <w:lang w:val="en-US"/>
        </w:rPr>
        <w:t xml:space="preserve"> started operation in January 2018.</w:t>
      </w:r>
    </w:p>
    <w:p w14:paraId="1C161FE9" w14:textId="4D950948" w:rsidR="004F6E28" w:rsidRPr="003A7E34" w:rsidRDefault="1F603D79" w:rsidP="1F603D79">
      <w:pPr>
        <w:pStyle w:val="ListParagraph"/>
        <w:numPr>
          <w:ilvl w:val="3"/>
          <w:numId w:val="21"/>
        </w:numPr>
        <w:spacing w:line="240" w:lineRule="auto"/>
        <w:ind w:left="1560" w:hanging="284"/>
        <w:jc w:val="both"/>
        <w:rPr>
          <w:rFonts w:ascii="Times New Roman" w:hAnsi="Times New Roman" w:cs="Times New Roman"/>
          <w:b/>
          <w:bCs/>
          <w:i/>
          <w:iCs/>
          <w:noProof/>
          <w:lang w:val="en-US"/>
        </w:rPr>
      </w:pPr>
      <w:r w:rsidRPr="003A7E34">
        <w:rPr>
          <w:rFonts w:ascii="Times New Roman" w:eastAsia="Times New Roman" w:hAnsi="Times New Roman" w:cs="Times New Roman"/>
          <w:b/>
          <w:bCs/>
          <w:i/>
          <w:iCs/>
          <w:noProof/>
          <w:lang w:val="en-US"/>
        </w:rPr>
        <w:t>Where applicable, national objectives related to the non-discriminatory participation of renewable energy, demand response and storage, including via aggregation, in all energy markets including a timeframe for when the objectives are to be met</w:t>
      </w:r>
    </w:p>
    <w:p w14:paraId="694B8047" w14:textId="49B05527" w:rsidR="001B5531" w:rsidRPr="003A7E34" w:rsidRDefault="001B5531" w:rsidP="1F603D79">
      <w:pPr>
        <w:rPr>
          <w:rFonts w:eastAsia="Times New Roman"/>
          <w:noProof/>
          <w:lang w:val="en-US"/>
        </w:rPr>
      </w:pPr>
      <w:r w:rsidRPr="003A7E34">
        <w:rPr>
          <w:rFonts w:eastAsia="Times New Roman"/>
          <w:noProof/>
          <w:lang w:val="en-US"/>
        </w:rPr>
        <w:t>Lithuanian TSO</w:t>
      </w:r>
      <w:r w:rsidR="005A0B0C" w:rsidRPr="003A7E34">
        <w:rPr>
          <w:rFonts w:eastAsia="Times New Roman"/>
          <w:noProof/>
          <w:lang w:val="en-US"/>
        </w:rPr>
        <w:t xml:space="preserve"> Litgrid</w:t>
      </w:r>
      <w:r w:rsidRPr="003A7E34">
        <w:rPr>
          <w:rFonts w:eastAsia="Times New Roman"/>
          <w:noProof/>
          <w:lang w:val="en-US"/>
        </w:rPr>
        <w:t xml:space="preserve"> together with Lithuanian DSO </w:t>
      </w:r>
      <w:r w:rsidR="005A0B0C" w:rsidRPr="003A7E34">
        <w:rPr>
          <w:rFonts w:eastAsia="Times New Roman"/>
          <w:noProof/>
          <w:lang w:val="en-US"/>
        </w:rPr>
        <w:t>ESO were</w:t>
      </w:r>
      <w:r w:rsidRPr="003A7E34">
        <w:rPr>
          <w:rFonts w:eastAsia="Times New Roman"/>
          <w:noProof/>
          <w:lang w:val="en-US"/>
        </w:rPr>
        <w:t xml:space="preserve"> carrying out a feasibility study on assessing the technical potential of demand side response in Lithuania and establishing technical requirements for providing such services. During the project investigation </w:t>
      </w:r>
      <w:r w:rsidR="004A6EF4" w:rsidRPr="003A7E34">
        <w:rPr>
          <w:rFonts w:eastAsia="Times New Roman"/>
          <w:noProof/>
          <w:lang w:val="en-US"/>
        </w:rPr>
        <w:t>was</w:t>
      </w:r>
      <w:r w:rsidRPr="003A7E34">
        <w:rPr>
          <w:rFonts w:eastAsia="Times New Roman"/>
          <w:noProof/>
          <w:lang w:val="en-US"/>
        </w:rPr>
        <w:t xml:space="preserve"> performed by conducting a survey to estimate willingness of market participants to provide potential DR services. Meetings and workshops with the most promising customers and groups of consumers, which can be aggregated, aggregators </w:t>
      </w:r>
      <w:r w:rsidR="004A6EF4" w:rsidRPr="003A7E34">
        <w:rPr>
          <w:rFonts w:eastAsia="Times New Roman"/>
          <w:noProof/>
          <w:lang w:val="en-US"/>
        </w:rPr>
        <w:t>were</w:t>
      </w:r>
      <w:r w:rsidRPr="003A7E34">
        <w:rPr>
          <w:rFonts w:eastAsia="Times New Roman"/>
          <w:noProof/>
          <w:lang w:val="en-US"/>
        </w:rPr>
        <w:t xml:space="preserve"> carried out investigating their technical characteristics and technical requirements. This investigation </w:t>
      </w:r>
      <w:r w:rsidR="004A6EF4" w:rsidRPr="003A7E34">
        <w:rPr>
          <w:rFonts w:eastAsia="Times New Roman"/>
          <w:noProof/>
          <w:lang w:val="en-US"/>
        </w:rPr>
        <w:t>was supposed to</w:t>
      </w:r>
      <w:r w:rsidRPr="003A7E34">
        <w:rPr>
          <w:rFonts w:eastAsia="Times New Roman"/>
          <w:noProof/>
          <w:lang w:val="en-US"/>
        </w:rPr>
        <w:t xml:space="preserve"> provide potential capacities of DR services including cost-benefits analyses for the most promising providers. Final results of the case studies </w:t>
      </w:r>
      <w:r w:rsidR="00803749" w:rsidRPr="003A7E34">
        <w:rPr>
          <w:rFonts w:eastAsia="Times New Roman"/>
          <w:noProof/>
          <w:lang w:val="en-US"/>
        </w:rPr>
        <w:t>were</w:t>
      </w:r>
      <w:r w:rsidRPr="003A7E34">
        <w:rPr>
          <w:rFonts w:eastAsia="Times New Roman"/>
          <w:noProof/>
          <w:lang w:val="en-US"/>
        </w:rPr>
        <w:t xml:space="preserve"> scheduled to be completed by </w:t>
      </w:r>
      <w:r w:rsidR="00803749" w:rsidRPr="003A7E34">
        <w:rPr>
          <w:rFonts w:eastAsia="Times New Roman"/>
          <w:noProof/>
          <w:lang w:val="en-US"/>
        </w:rPr>
        <w:t xml:space="preserve">the end of </w:t>
      </w:r>
      <w:r w:rsidRPr="003A7E34">
        <w:rPr>
          <w:rFonts w:eastAsia="Times New Roman"/>
          <w:noProof/>
          <w:lang w:val="en-US"/>
        </w:rPr>
        <w:t>2018.</w:t>
      </w:r>
    </w:p>
    <w:p w14:paraId="17D2E120" w14:textId="1CA3E339" w:rsidR="004F6E28" w:rsidRPr="003A7E34" w:rsidRDefault="1F603D79" w:rsidP="1F603D79">
      <w:pPr>
        <w:pStyle w:val="ListParagraph"/>
        <w:numPr>
          <w:ilvl w:val="3"/>
          <w:numId w:val="21"/>
        </w:numPr>
        <w:spacing w:line="240" w:lineRule="auto"/>
        <w:ind w:left="1560" w:hanging="284"/>
        <w:jc w:val="both"/>
        <w:rPr>
          <w:rFonts w:ascii="Times New Roman" w:hAnsi="Times New Roman" w:cs="Times New Roman"/>
          <w:b/>
          <w:bCs/>
          <w:i/>
          <w:iCs/>
          <w:noProof/>
          <w:lang w:val="en-US"/>
        </w:rPr>
      </w:pPr>
      <w:r w:rsidRPr="003A7E34">
        <w:rPr>
          <w:rFonts w:ascii="Times New Roman" w:eastAsia="Times New Roman" w:hAnsi="Times New Roman" w:cs="Times New Roman"/>
          <w:b/>
          <w:bCs/>
          <w:i/>
          <w:iCs/>
          <w:noProof/>
          <w:lang w:val="en-US"/>
        </w:rPr>
        <w:t>Where applicable, national objectives with regard to ensuring that consumers participate in the energy system and benefit from self-generation and new technologies, including smart meters</w:t>
      </w:r>
    </w:p>
    <w:p w14:paraId="1D591259" w14:textId="6485F71A" w:rsidR="3D9A4349" w:rsidRPr="003A7E34" w:rsidRDefault="1F603D79" w:rsidP="1F603D79">
      <w:pPr>
        <w:rPr>
          <w:rFonts w:eastAsia="Times New Roman"/>
          <w:noProof/>
          <w:lang w:val="en-US"/>
        </w:rPr>
      </w:pPr>
      <w:r w:rsidRPr="003A7E34">
        <w:rPr>
          <w:rFonts w:eastAsia="Times New Roman"/>
          <w:noProof/>
          <w:lang w:val="en-US"/>
        </w:rPr>
        <w:t>This part to be defined in more detailed way in the final version of the Plan.</w:t>
      </w:r>
    </w:p>
    <w:p w14:paraId="00CDF47C" w14:textId="0E859F6F" w:rsidR="7E5ED50C" w:rsidRPr="003A7E34" w:rsidRDefault="1F603D79" w:rsidP="1F603D79">
      <w:pPr>
        <w:rPr>
          <w:rFonts w:eastAsia="Times New Roman"/>
          <w:lang w:val="en-US"/>
        </w:rPr>
      </w:pPr>
      <w:r w:rsidRPr="003A7E34">
        <w:rPr>
          <w:rFonts w:eastAsia="Times New Roman"/>
          <w:lang w:val="en-US"/>
        </w:rPr>
        <w:t xml:space="preserve">As set in the updated </w:t>
      </w:r>
      <w:r w:rsidRPr="003A7E34">
        <w:rPr>
          <w:rFonts w:eastAsia="Times New Roman"/>
          <w:b/>
          <w:bCs/>
          <w:i/>
          <w:iCs/>
          <w:lang w:val="en-US"/>
        </w:rPr>
        <w:t>National Energy Independence Strategy</w:t>
      </w:r>
      <w:r w:rsidRPr="003A7E34">
        <w:rPr>
          <w:rFonts w:eastAsia="Times New Roman"/>
          <w:lang w:val="en-US"/>
        </w:rPr>
        <w:t xml:space="preserve"> in the long-term perspective, electricity consumers will become proactive participants in the market and will be given the opportunity to use energy generated from RES for their own needs to receive a reward for surplus energy supplied to the network in line with the market conditions. Such consumers will account for at least 2% of all consumers by 2020, at least 30% of all consumers by 2030 and at least 50% by 2050. These customers will be able to participate in the market through service providers in the energy sector. The active participation of local energy communities in investing in co-owned RES equipment will be encouraged.</w:t>
      </w:r>
    </w:p>
    <w:p w14:paraId="101333F0" w14:textId="45579F54" w:rsidR="004F6E28" w:rsidRPr="003A7E34" w:rsidRDefault="1F603D79" w:rsidP="1F603D79">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National objectives with regard to ensuring electricity system adequacy, as well as for the flexibility of the energy system with regard to renewable energy production, including a timeframe for when the objectives are to be met</w:t>
      </w:r>
    </w:p>
    <w:p w14:paraId="77CFB541" w14:textId="3438CD33" w:rsidR="00F01C25" w:rsidRPr="003A7E34" w:rsidRDefault="002A00C3" w:rsidP="00F01C25">
      <w:pPr>
        <w:rPr>
          <w:rFonts w:eastAsia="Times New Roman"/>
          <w:noProof/>
          <w:lang w:val="en-US"/>
        </w:rPr>
      </w:pPr>
      <w:r w:rsidRPr="003A7E34">
        <w:rPr>
          <w:rFonts w:eastAsia="Times New Roman"/>
          <w:noProof/>
          <w:lang w:val="en-US"/>
        </w:rPr>
        <w:t>Lithuania aims t</w:t>
      </w:r>
      <w:r w:rsidR="00F01C25" w:rsidRPr="003A7E34">
        <w:rPr>
          <w:rFonts w:eastAsia="Times New Roman"/>
          <w:noProof/>
          <w:lang w:val="en-US"/>
        </w:rPr>
        <w:t xml:space="preserve">o ensure participation </w:t>
      </w:r>
      <w:r w:rsidR="002A5D1B" w:rsidRPr="003A7E34">
        <w:rPr>
          <w:rFonts w:eastAsia="Times New Roman"/>
          <w:noProof/>
          <w:lang w:val="en-US"/>
        </w:rPr>
        <w:t>of</w:t>
      </w:r>
      <w:r w:rsidR="00F01C25" w:rsidRPr="003A7E34">
        <w:rPr>
          <w:rFonts w:eastAsia="Times New Roman"/>
          <w:noProof/>
          <w:lang w:val="en-US"/>
        </w:rPr>
        <w:t xml:space="preserve"> any group</w:t>
      </w:r>
      <w:r w:rsidR="002A5D1B" w:rsidRPr="003A7E34">
        <w:rPr>
          <w:rFonts w:eastAsia="Times New Roman"/>
          <w:noProof/>
          <w:lang w:val="en-US"/>
        </w:rPr>
        <w:t xml:space="preserve"> in the market, </w:t>
      </w:r>
      <w:r w:rsidR="00F01C25" w:rsidRPr="003A7E34">
        <w:rPr>
          <w:rFonts w:eastAsia="Times New Roman"/>
          <w:noProof/>
          <w:lang w:val="en-US"/>
        </w:rPr>
        <w:t>further support and encourag</w:t>
      </w:r>
      <w:r w:rsidR="002A5D1B" w:rsidRPr="003A7E34">
        <w:rPr>
          <w:rFonts w:eastAsia="Times New Roman"/>
          <w:noProof/>
          <w:lang w:val="en-US"/>
        </w:rPr>
        <w:t>ing</w:t>
      </w:r>
      <w:r w:rsidR="00F01C25" w:rsidRPr="003A7E34">
        <w:rPr>
          <w:rFonts w:eastAsia="Times New Roman"/>
          <w:noProof/>
          <w:lang w:val="en-US"/>
        </w:rPr>
        <w:t xml:space="preserve"> demand side resources such as Demand Response to participate alongside supply in wholesale and retail markets</w:t>
      </w:r>
      <w:r w:rsidRPr="003A7E34">
        <w:rPr>
          <w:rFonts w:eastAsia="Times New Roman"/>
          <w:noProof/>
          <w:lang w:val="en-US"/>
        </w:rPr>
        <w:t>.</w:t>
      </w:r>
    </w:p>
    <w:p w14:paraId="18D67ADC" w14:textId="20C4777E" w:rsidR="00333B79" w:rsidRPr="003A7E34" w:rsidRDefault="1F603D79" w:rsidP="1F603D79">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b/>
          <w:bCs/>
          <w:i/>
          <w:iCs/>
          <w:noProof/>
          <w:lang w:val="en-US"/>
        </w:rPr>
        <w:t>Where applicable,</w:t>
      </w:r>
      <w:r w:rsidRPr="003A7E34">
        <w:rPr>
          <w:rFonts w:ascii="Times New Roman" w:eastAsia="Times New Roman" w:hAnsi="Times New Roman" w:cs="Times New Roman"/>
          <w:noProof/>
          <w:lang w:val="en-US"/>
        </w:rPr>
        <w:t xml:space="preserve"> national objectives to protect energy consumers and improve the competitiveness of the retail energy sector</w:t>
      </w:r>
    </w:p>
    <w:p w14:paraId="14AC6EF4" w14:textId="74B01119" w:rsidR="00333B79" w:rsidRPr="003A7E34" w:rsidRDefault="1F603D79" w:rsidP="1F603D79">
      <w:pPr>
        <w:rPr>
          <w:rFonts w:eastAsia="Times New Roman"/>
          <w:noProof/>
          <w:lang w:val="en-US"/>
        </w:rPr>
      </w:pPr>
      <w:r w:rsidRPr="003A7E34">
        <w:rPr>
          <w:rFonts w:eastAsia="Times New Roman"/>
          <w:noProof/>
          <w:lang w:val="en-US"/>
        </w:rPr>
        <w:t xml:space="preserve">As set in the updated National Energy Independence Strategy, it is sought for energy prices to be formed in an effective market, which will be common with the other Member States of the </w:t>
      </w:r>
      <w:r w:rsidR="002F0782" w:rsidRPr="003A7E34">
        <w:rPr>
          <w:rFonts w:eastAsia="Times New Roman"/>
          <w:noProof/>
          <w:lang w:val="en-US"/>
        </w:rPr>
        <w:t>EU</w:t>
      </w:r>
      <w:r w:rsidRPr="003A7E34">
        <w:rPr>
          <w:rFonts w:eastAsia="Times New Roman"/>
          <w:noProof/>
          <w:lang w:val="en-US"/>
        </w:rPr>
        <w:t xml:space="preserve">. The country’s energy infrastructure will be used effectively, ensuring that the share of the cost of the infrastructure in the final energy price does not exceed the average for the EU Member States, while tariff patterns provide conditions </w:t>
      </w:r>
      <w:r w:rsidRPr="003A7E34">
        <w:rPr>
          <w:rFonts w:eastAsia="Times New Roman"/>
          <w:noProof/>
          <w:lang w:val="en-US"/>
        </w:rPr>
        <w:lastRenderedPageBreak/>
        <w:t xml:space="preserve">for industrial investments. As an outcome, </w:t>
      </w:r>
      <w:r w:rsidRPr="003A7E34">
        <w:rPr>
          <w:rFonts w:eastAsia="Times New Roman"/>
          <w:lang w:val="en-US"/>
        </w:rPr>
        <w:t>f</w:t>
      </w:r>
      <w:r w:rsidRPr="003A7E34">
        <w:rPr>
          <w:rFonts w:eastAsia="Times New Roman"/>
          <w:noProof/>
          <w:lang w:val="en-US"/>
        </w:rPr>
        <w:t>inal electricity and natural gas prices in Lithuania are sought to be: for industry – the lowest in the region (compared to other Baltic, Scandinavian and Central and Eastern European countries), for citizens – a decreasing share of energy expenditure compared to the average income.</w:t>
      </w:r>
    </w:p>
    <w:p w14:paraId="06E99059" w14:textId="6D3AA721" w:rsidR="46DF7FC9" w:rsidRPr="003A7E34" w:rsidRDefault="46DF7FC9" w:rsidP="46DF7FC9">
      <w:pPr>
        <w:rPr>
          <w:lang w:val="en-US"/>
        </w:rPr>
      </w:pPr>
    </w:p>
    <w:p w14:paraId="54196A07" w14:textId="602F7DD0" w:rsidR="00DD6D52" w:rsidRPr="003A7E34" w:rsidRDefault="5E230566" w:rsidP="5E230566">
      <w:pPr>
        <w:pStyle w:val="Heading3"/>
        <w:numPr>
          <w:ilvl w:val="2"/>
          <w:numId w:val="21"/>
        </w:numPr>
        <w:rPr>
          <w:rFonts w:cs="Times New Roman"/>
          <w:noProof/>
          <w:lang w:val="en-US"/>
        </w:rPr>
      </w:pPr>
      <w:bookmarkStart w:id="52" w:name="_Toc530405570"/>
      <w:bookmarkStart w:id="53" w:name="_Toc530411801"/>
      <w:bookmarkStart w:id="54" w:name="_Toc530414150"/>
      <w:r w:rsidRPr="003A7E34">
        <w:rPr>
          <w:rFonts w:eastAsia="Times New Roman" w:cs="Times New Roman"/>
          <w:noProof/>
          <w:lang w:val="en-US"/>
        </w:rPr>
        <w:t>Energy poverty</w:t>
      </w:r>
      <w:bookmarkEnd w:id="52"/>
      <w:bookmarkEnd w:id="53"/>
      <w:bookmarkEnd w:id="54"/>
    </w:p>
    <w:p w14:paraId="5EC203D2" w14:textId="1AFE2FFF" w:rsidR="00DD6D52" w:rsidRPr="003A7E34" w:rsidRDefault="5E230566" w:rsidP="5E230566">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b/>
          <w:bCs/>
          <w:i/>
          <w:iCs/>
          <w:noProof/>
          <w:lang w:val="en-US"/>
        </w:rPr>
        <w:t>Where applicable,</w:t>
      </w:r>
      <w:r w:rsidRPr="003A7E34">
        <w:rPr>
          <w:rFonts w:ascii="Times New Roman" w:eastAsia="Times New Roman" w:hAnsi="Times New Roman" w:cs="Times New Roman"/>
          <w:noProof/>
          <w:lang w:val="en-US"/>
        </w:rPr>
        <w:t xml:space="preserve"> national objectives with regard to energy poverty including a timeframe for when the objectives are to be met</w:t>
      </w:r>
    </w:p>
    <w:p w14:paraId="4BEF841A" w14:textId="722CCFBC" w:rsidR="46DF7FC9" w:rsidRPr="003A7E34" w:rsidRDefault="46DF7FC9" w:rsidP="5E230566">
      <w:pPr>
        <w:rPr>
          <w:rFonts w:eastAsia="Times New Roman"/>
          <w:noProof/>
          <w:lang w:val="en-US"/>
        </w:rPr>
      </w:pPr>
      <w:r w:rsidRPr="003A7E34">
        <w:rPr>
          <w:rFonts w:eastAsia="Times New Roman"/>
          <w:noProof/>
          <w:lang w:val="en-US"/>
        </w:rPr>
        <w:t>According to the EU Survey on Income and Living Conditions</w:t>
      </w:r>
      <w:r w:rsidRPr="003A7E34">
        <w:rPr>
          <w:rFonts w:eastAsia="Times New Roman"/>
          <w:noProof/>
          <w:vertAlign w:val="superscript"/>
          <w:lang w:val="en-US"/>
        </w:rPr>
        <w:footnoteReference w:id="14"/>
      </w:r>
      <w:r w:rsidRPr="003A7E34">
        <w:rPr>
          <w:rFonts w:eastAsia="Times New Roman"/>
          <w:noProof/>
          <w:lang w:val="en-US"/>
        </w:rPr>
        <w:t xml:space="preserve"> 31.1% of inhabitants of Lithuania could not afford to keep their house adequately warm (second highest indicator among the EU countries after Bulgaria) and 17% reported to live in housing affected by dampness, draughts and leaks in 2015.</w:t>
      </w:r>
    </w:p>
    <w:p w14:paraId="17A46F86" w14:textId="27D045A0" w:rsidR="46DF7FC9" w:rsidRPr="003A7E34" w:rsidRDefault="46DF7FC9" w:rsidP="46DF7FC9">
      <w:pPr>
        <w:rPr>
          <w:lang w:val="en-US"/>
        </w:rPr>
      </w:pPr>
      <w:r w:rsidRPr="003A7E34">
        <w:rPr>
          <w:rFonts w:eastAsia="Times New Roman"/>
          <w:noProof/>
          <w:lang w:val="en-US"/>
        </w:rPr>
        <w:t>Lithuania performs worse than the EU average on this household-reported indicator, inability to keep home adequately warm (31.2% compared to 11.2% in 2016).</w:t>
      </w:r>
      <w:r w:rsidRPr="003A7E34">
        <w:rPr>
          <w:rFonts w:eastAsia="Times New Roman"/>
          <w:noProof/>
          <w:vertAlign w:val="superscript"/>
          <w:lang w:val="en-US"/>
        </w:rPr>
        <w:footnoteReference w:id="15"/>
      </w:r>
      <w:r w:rsidRPr="003A7E34">
        <w:rPr>
          <w:rFonts w:eastAsia="Times New Roman"/>
          <w:noProof/>
          <w:vertAlign w:val="superscript"/>
          <w:lang w:val="en-US"/>
        </w:rPr>
        <w:t xml:space="preserve"> </w:t>
      </w:r>
    </w:p>
    <w:p w14:paraId="55901FD9" w14:textId="6A2228A7" w:rsidR="46DF7FC9" w:rsidRPr="003A7E34" w:rsidRDefault="46DF7FC9" w:rsidP="46DF7FC9">
      <w:pPr>
        <w:rPr>
          <w:lang w:val="en-US"/>
        </w:rPr>
      </w:pPr>
      <w:r w:rsidRPr="003A7E34">
        <w:rPr>
          <w:rFonts w:eastAsia="Times New Roman"/>
          <w:noProof/>
          <w:lang w:val="en-US"/>
        </w:rPr>
        <w:t>Lithuania is also worse than the EU average for the expenditure-based indicators</w:t>
      </w:r>
      <w:r w:rsidR="002F0782" w:rsidRPr="003A7E34">
        <w:rPr>
          <w:rFonts w:eastAsia="Times New Roman"/>
          <w:noProof/>
          <w:lang w:val="en-US"/>
        </w:rPr>
        <w:t>;</w:t>
      </w:r>
      <w:r w:rsidRPr="003A7E34">
        <w:rPr>
          <w:rFonts w:eastAsia="Times New Roman"/>
          <w:noProof/>
          <w:lang w:val="en-US"/>
        </w:rPr>
        <w:t xml:space="preserve"> 21.4% of households spend more than twice the median on energy, and 21.2% spend so little on energy that they live in hidden energy poverty.</w:t>
      </w:r>
    </w:p>
    <w:p w14:paraId="0431CA68" w14:textId="2D1FBADE" w:rsidR="46DF7FC9" w:rsidRPr="003A7E34" w:rsidRDefault="46DF7FC9" w:rsidP="46DF7FC9">
      <w:pPr>
        <w:rPr>
          <w:rFonts w:eastAsia="Times New Roman"/>
          <w:noProof/>
          <w:lang w:val="en-US"/>
        </w:rPr>
      </w:pPr>
    </w:p>
    <w:p w14:paraId="64B19E06" w14:textId="1A470E14" w:rsidR="46DF7FC9" w:rsidRPr="003A7E34" w:rsidRDefault="46DF7FC9" w:rsidP="0012459A">
      <w:pPr>
        <w:jc w:val="center"/>
        <w:rPr>
          <w:lang w:val="en-US"/>
        </w:rPr>
      </w:pPr>
      <w:r w:rsidRPr="003A7E34">
        <w:rPr>
          <w:noProof/>
          <w:lang w:val="en-US"/>
        </w:rPr>
        <w:drawing>
          <wp:inline distT="0" distB="0" distL="0" distR="0" wp14:anchorId="3F8B8E3E" wp14:editId="7FD482D9">
            <wp:extent cx="3438525" cy="2275067"/>
            <wp:effectExtent l="0" t="0" r="0" b="0"/>
            <wp:docPr id="20031962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9">
                      <a:extLst>
                        <a:ext uri="{28A0092B-C50C-407E-A947-70E740481C1C}">
                          <a14:useLocalDpi xmlns:a14="http://schemas.microsoft.com/office/drawing/2010/main" val="0"/>
                        </a:ext>
                      </a:extLst>
                    </a:blip>
                    <a:srcRect t="2450"/>
                    <a:stretch/>
                  </pic:blipFill>
                  <pic:spPr bwMode="auto">
                    <a:xfrm>
                      <a:off x="0" y="0"/>
                      <a:ext cx="3440601" cy="2276441"/>
                    </a:xfrm>
                    <a:prstGeom prst="rect">
                      <a:avLst/>
                    </a:prstGeom>
                    <a:ln>
                      <a:noFill/>
                    </a:ln>
                    <a:extLst>
                      <a:ext uri="{53640926-AAD7-44D8-BBD7-CCE9431645EC}">
                        <a14:shadowObscured xmlns:a14="http://schemas.microsoft.com/office/drawing/2010/main"/>
                      </a:ext>
                    </a:extLst>
                  </pic:spPr>
                </pic:pic>
              </a:graphicData>
            </a:graphic>
          </wp:inline>
        </w:drawing>
      </w:r>
    </w:p>
    <w:p w14:paraId="673E8AC1" w14:textId="23390AA5" w:rsidR="46DF7FC9" w:rsidRPr="003A7E34" w:rsidRDefault="5E230566" w:rsidP="0012459A">
      <w:pPr>
        <w:jc w:val="center"/>
        <w:rPr>
          <w:lang w:val="en-US"/>
        </w:rPr>
      </w:pPr>
      <w:r w:rsidRPr="003A7E34">
        <w:rPr>
          <w:b/>
          <w:bCs/>
          <w:sz w:val="20"/>
          <w:szCs w:val="20"/>
          <w:lang w:val="en-US"/>
        </w:rPr>
        <w:t xml:space="preserve">Figure 2.4.4.1. </w:t>
      </w:r>
      <w:r w:rsidRPr="003A7E34">
        <w:rPr>
          <w:sz w:val="20"/>
          <w:szCs w:val="20"/>
          <w:lang w:val="en-US"/>
        </w:rPr>
        <w:t>Performance over time</w:t>
      </w:r>
    </w:p>
    <w:p w14:paraId="19E67D41" w14:textId="232AE337" w:rsidR="46DF7FC9" w:rsidRPr="003A7E34" w:rsidRDefault="46DF7FC9" w:rsidP="46DF7FC9">
      <w:pPr>
        <w:rPr>
          <w:rFonts w:eastAsia="Times New Roman"/>
          <w:lang w:val="en-US"/>
        </w:rPr>
      </w:pPr>
    </w:p>
    <w:p w14:paraId="5AF5721C" w14:textId="7F37B82B" w:rsidR="46DF7FC9" w:rsidRPr="003A7E34" w:rsidRDefault="46DF7FC9" w:rsidP="46DF7FC9">
      <w:pPr>
        <w:rPr>
          <w:lang w:val="en-US"/>
        </w:rPr>
      </w:pPr>
      <w:r w:rsidRPr="003A7E34">
        <w:rPr>
          <w:rFonts w:eastAsia="Times New Roman"/>
          <w:lang w:val="en-US"/>
        </w:rPr>
        <w:t>Disaggregated data of the household-reported indicators suggest that energy poverty in Lithuania is particularly a problem for households living in urban areas. In addition, data points to households living in apartments as being particularly susceptible to energy poverty.</w:t>
      </w:r>
    </w:p>
    <w:p w14:paraId="7B66C377" w14:textId="63DD8992" w:rsidR="46DF7FC9" w:rsidRPr="003A7E34" w:rsidRDefault="46DF7FC9" w:rsidP="46DF7FC9">
      <w:pPr>
        <w:rPr>
          <w:lang w:val="en-US"/>
        </w:rPr>
      </w:pPr>
    </w:p>
    <w:p w14:paraId="3A1497B0" w14:textId="0CDDB5EC" w:rsidR="46DF7FC9" w:rsidRPr="003A7E34" w:rsidRDefault="00A605FF" w:rsidP="00A177E8">
      <w:pPr>
        <w:jc w:val="center"/>
        <w:rPr>
          <w:lang w:val="en-US"/>
        </w:rPr>
      </w:pPr>
      <w:r>
        <w:rPr>
          <w:noProof/>
          <w:lang w:val="en-US"/>
        </w:rPr>
        <w:lastRenderedPageBreak/>
        <w:drawing>
          <wp:inline distT="0" distB="0" distL="0" distR="0" wp14:anchorId="56F91E11" wp14:editId="5E6CF0A1">
            <wp:extent cx="4114800" cy="2468880"/>
            <wp:effectExtent l="0" t="0" r="0" b="7620"/>
            <wp:docPr id="19028257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4114800" cy="2468880"/>
                    </a:xfrm>
                    <a:prstGeom prst="rect">
                      <a:avLst/>
                    </a:prstGeom>
                  </pic:spPr>
                </pic:pic>
              </a:graphicData>
            </a:graphic>
          </wp:inline>
        </w:drawing>
      </w:r>
    </w:p>
    <w:p w14:paraId="54FAF22F" w14:textId="4109E418" w:rsidR="46DF7FC9" w:rsidRPr="003A7E34" w:rsidRDefault="5E230566" w:rsidP="00A177E8">
      <w:pPr>
        <w:jc w:val="center"/>
        <w:rPr>
          <w:sz w:val="20"/>
          <w:szCs w:val="20"/>
          <w:lang w:val="en-US"/>
        </w:rPr>
      </w:pPr>
      <w:r w:rsidRPr="003A7E34">
        <w:rPr>
          <w:b/>
          <w:bCs/>
          <w:sz w:val="20"/>
          <w:szCs w:val="20"/>
          <w:lang w:val="en-US"/>
        </w:rPr>
        <w:t xml:space="preserve">Figure 2.4.4.2. </w:t>
      </w:r>
      <w:r w:rsidRPr="003A7E34">
        <w:rPr>
          <w:sz w:val="20"/>
          <w:szCs w:val="20"/>
          <w:lang w:val="en-US"/>
        </w:rPr>
        <w:t>Performance relative to EU average</w:t>
      </w:r>
    </w:p>
    <w:p w14:paraId="74ACE4CA" w14:textId="45058943" w:rsidR="46DF7FC9" w:rsidRPr="003A7E34" w:rsidRDefault="46DF7FC9" w:rsidP="46DF7FC9">
      <w:pPr>
        <w:rPr>
          <w:rFonts w:eastAsia="Times New Roman"/>
          <w:lang w:val="en-US"/>
        </w:rPr>
      </w:pPr>
    </w:p>
    <w:p w14:paraId="6396A42D" w14:textId="29B5AB0D" w:rsidR="46DF7FC9" w:rsidRPr="003A7E34" w:rsidRDefault="46DF7FC9" w:rsidP="46DF7FC9">
      <w:pPr>
        <w:rPr>
          <w:lang w:val="en-US"/>
        </w:rPr>
      </w:pPr>
      <w:r w:rsidRPr="003A7E34">
        <w:rPr>
          <w:rFonts w:eastAsia="Times New Roman"/>
          <w:lang w:val="en-US"/>
        </w:rPr>
        <w:t>In Lithuania, the percentage of households unable to keep the home adequately warm is significantly higher than households in arrears on utility bills. This might be because households underspend on energy, which is also illustrated by the high amount of hidden energy poverty (see figure above).</w:t>
      </w:r>
    </w:p>
    <w:p w14:paraId="5E71BB8C" w14:textId="65BD077E" w:rsidR="46DF7FC9" w:rsidRPr="003A7E34" w:rsidRDefault="46DF7FC9" w:rsidP="46DF7FC9">
      <w:pPr>
        <w:rPr>
          <w:rFonts w:eastAsia="Times New Roman"/>
          <w:lang w:val="en-US"/>
        </w:rPr>
      </w:pPr>
    </w:p>
    <w:p w14:paraId="179DE28C" w14:textId="61E5F288" w:rsidR="00CC7F3C" w:rsidRPr="003A7E34" w:rsidRDefault="00CC7F3C" w:rsidP="00CC7F3C">
      <w:pPr>
        <w:jc w:val="center"/>
        <w:rPr>
          <w:lang w:val="en-US"/>
        </w:rPr>
      </w:pPr>
      <w:r>
        <w:rPr>
          <w:noProof/>
          <w:lang w:val="en-US"/>
        </w:rPr>
        <w:drawing>
          <wp:inline distT="0" distB="0" distL="0" distR="0" wp14:anchorId="3724AAC9" wp14:editId="5E3FFA7F">
            <wp:extent cx="2538730" cy="1721485"/>
            <wp:effectExtent l="0" t="0" r="0" b="0"/>
            <wp:docPr id="8214891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2538730" cy="1721485"/>
                    </a:xfrm>
                    <a:prstGeom prst="rect">
                      <a:avLst/>
                    </a:prstGeom>
                  </pic:spPr>
                </pic:pic>
              </a:graphicData>
            </a:graphic>
          </wp:inline>
        </w:drawing>
      </w:r>
    </w:p>
    <w:p w14:paraId="30998F81" w14:textId="49CFB042" w:rsidR="46DF7FC9" w:rsidRPr="003A7E34" w:rsidRDefault="5E230566" w:rsidP="00A177E8">
      <w:pPr>
        <w:jc w:val="center"/>
        <w:rPr>
          <w:b/>
          <w:bCs/>
          <w:sz w:val="20"/>
          <w:szCs w:val="20"/>
          <w:lang w:val="en-US"/>
        </w:rPr>
      </w:pPr>
      <w:r w:rsidRPr="003A7E34">
        <w:rPr>
          <w:b/>
          <w:bCs/>
          <w:sz w:val="20"/>
          <w:szCs w:val="20"/>
          <w:lang w:val="en-US"/>
        </w:rPr>
        <w:t>Figure 2.4.4.3.</w:t>
      </w:r>
      <w:r w:rsidRPr="003A7E34">
        <w:rPr>
          <w:sz w:val="20"/>
          <w:szCs w:val="20"/>
          <w:lang w:val="en-US"/>
        </w:rPr>
        <w:t xml:space="preserve"> In</w:t>
      </w:r>
      <w:r w:rsidRPr="003A7E34">
        <w:rPr>
          <w:rFonts w:eastAsia="Times New Roman"/>
          <w:sz w:val="20"/>
          <w:szCs w:val="20"/>
          <w:lang w:val="en-US"/>
        </w:rPr>
        <w:t>ability to keep home adequately warm</w:t>
      </w:r>
      <w:r w:rsidRPr="003A7E34">
        <w:rPr>
          <w:sz w:val="20"/>
          <w:szCs w:val="20"/>
          <w:lang w:val="en-US"/>
        </w:rPr>
        <w:t xml:space="preserve"> (2016)</w:t>
      </w:r>
    </w:p>
    <w:p w14:paraId="36828802" w14:textId="16B66B6A" w:rsidR="46DF7FC9" w:rsidRPr="003A7E34" w:rsidRDefault="46DF7FC9" w:rsidP="46DF7FC9">
      <w:pPr>
        <w:rPr>
          <w:rFonts w:eastAsia="Times New Roman"/>
          <w:noProof/>
          <w:lang w:val="en-US"/>
        </w:rPr>
      </w:pPr>
    </w:p>
    <w:p w14:paraId="1BEC08BE" w14:textId="2E76A40D" w:rsidR="3BF41050" w:rsidRPr="003A7E34" w:rsidRDefault="5E230566" w:rsidP="46DF7FC9">
      <w:pPr>
        <w:rPr>
          <w:rFonts w:eastAsia="Times New Roman"/>
          <w:noProof/>
          <w:lang w:val="en-US"/>
        </w:rPr>
      </w:pPr>
      <w:r w:rsidRPr="003A7E34">
        <w:rPr>
          <w:rFonts w:eastAsia="Times New Roman"/>
          <w:noProof/>
          <w:lang w:val="en-US"/>
        </w:rPr>
        <w:t xml:space="preserve">There are no separate measures among national objectives for energy poverty reduction, it is considered only as part of poverty in general among social policies present, also LRAs can provide heating compensations. Some 30.1 </w:t>
      </w:r>
      <w:r w:rsidR="00906CD3" w:rsidRPr="003A7E34">
        <w:rPr>
          <w:rFonts w:eastAsia="Times New Roman"/>
          <w:noProof/>
          <w:lang w:val="en-US"/>
        </w:rPr>
        <w:t>%</w:t>
      </w:r>
      <w:r w:rsidRPr="003A7E34">
        <w:rPr>
          <w:rFonts w:eastAsia="Times New Roman"/>
          <w:noProof/>
          <w:lang w:val="en-US"/>
        </w:rPr>
        <w:t xml:space="preserve"> of Lithuania's residents were at the poverty line in 2016, which is one of the bigger indicators across Europe, shows the information from Eurostat. The percentage was up 1.8 </w:t>
      </w:r>
      <w:r w:rsidR="00906CD3" w:rsidRPr="003A7E34">
        <w:rPr>
          <w:rFonts w:eastAsia="Times New Roman"/>
          <w:noProof/>
          <w:lang w:val="en-US"/>
        </w:rPr>
        <w:t>%</w:t>
      </w:r>
      <w:r w:rsidRPr="003A7E34">
        <w:rPr>
          <w:rFonts w:eastAsia="Times New Roman"/>
          <w:noProof/>
          <w:lang w:val="en-US"/>
        </w:rPr>
        <w:t xml:space="preserve"> points since 2008. </w:t>
      </w:r>
    </w:p>
    <w:p w14:paraId="6E08D610" w14:textId="266F7A81" w:rsidR="3BF41050" w:rsidRPr="003A7E34" w:rsidRDefault="3BF41050" w:rsidP="3BF41050">
      <w:pPr>
        <w:rPr>
          <w:rFonts w:eastAsia="Times New Roman"/>
          <w:noProof/>
          <w:lang w:val="en-US"/>
        </w:rPr>
      </w:pPr>
    </w:p>
    <w:p w14:paraId="6BAB33EA" w14:textId="66EB0887" w:rsidR="008430A7" w:rsidRPr="003A7E34" w:rsidRDefault="008430A7" w:rsidP="00C42AAE">
      <w:pPr>
        <w:pStyle w:val="Heading2"/>
        <w:numPr>
          <w:ilvl w:val="1"/>
          <w:numId w:val="21"/>
        </w:numPr>
        <w:rPr>
          <w:rFonts w:cs="Times New Roman"/>
          <w:noProof/>
          <w:lang w:val="en-US"/>
        </w:rPr>
      </w:pPr>
      <w:bookmarkStart w:id="55" w:name="_Toc530405571"/>
      <w:bookmarkStart w:id="56" w:name="_Toc530411802"/>
      <w:bookmarkStart w:id="57" w:name="_Toc530414151"/>
      <w:r w:rsidRPr="003A7E34">
        <w:rPr>
          <w:rFonts w:eastAsia="Times New Roman" w:cs="Times New Roman"/>
          <w:noProof/>
          <w:lang w:val="en-US"/>
        </w:rPr>
        <w:t>Dimension research, innovation and competitiveness</w:t>
      </w:r>
      <w:bookmarkEnd w:id="55"/>
      <w:bookmarkEnd w:id="56"/>
      <w:bookmarkEnd w:id="57"/>
    </w:p>
    <w:p w14:paraId="2BEA2CEA" w14:textId="77777777" w:rsidR="00627B62" w:rsidRPr="003A7E34" w:rsidRDefault="00627B62" w:rsidP="00EA50D6">
      <w:pPr>
        <w:pStyle w:val="ListParagraph"/>
        <w:spacing w:line="240" w:lineRule="auto"/>
        <w:ind w:left="792"/>
        <w:rPr>
          <w:rFonts w:ascii="Times New Roman" w:eastAsia="Times New Roman" w:hAnsi="Times New Roman" w:cs="Times New Roman"/>
          <w:b/>
          <w:bCs/>
          <w:noProof/>
          <w:sz w:val="24"/>
          <w:szCs w:val="24"/>
          <w:lang w:val="en-US"/>
        </w:rPr>
      </w:pPr>
    </w:p>
    <w:p w14:paraId="1AD11DF9" w14:textId="2DED4CEC" w:rsidR="008F755F" w:rsidRPr="003A7E34" w:rsidRDefault="46DF7FC9"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National objectives and funding targets for public and, </w:t>
      </w:r>
      <w:r w:rsidRPr="003A7E34">
        <w:rPr>
          <w:rFonts w:ascii="Times New Roman" w:eastAsia="Times New Roman" w:hAnsi="Times New Roman" w:cs="Times New Roman"/>
          <w:b/>
          <w:bCs/>
          <w:i/>
          <w:iCs/>
          <w:noProof/>
          <w:lang w:val="en-US"/>
        </w:rPr>
        <w:t>where available</w:t>
      </w:r>
      <w:r w:rsidRPr="003A7E34">
        <w:rPr>
          <w:rFonts w:ascii="Times New Roman" w:eastAsia="Times New Roman" w:hAnsi="Times New Roman" w:cs="Times New Roman"/>
          <w:noProof/>
          <w:lang w:val="en-US"/>
        </w:rPr>
        <w:t>, private research and innovation relating to the Energy Union including, where appropriate, a timeframe for when the objectives are to be met</w:t>
      </w:r>
      <w:r w:rsidRPr="003A7E34">
        <w:rPr>
          <w:rFonts w:ascii="Times New Roman" w:eastAsia="Times New Roman" w:hAnsi="Times New Roman" w:cs="Times New Roman"/>
          <w:b/>
          <w:bCs/>
          <w:noProof/>
          <w:lang w:val="en-US"/>
        </w:rPr>
        <w:t xml:space="preserve"> </w:t>
      </w:r>
    </w:p>
    <w:p w14:paraId="389FC4A8" w14:textId="0D9791AA" w:rsidR="46DF7FC9" w:rsidRPr="003A7E34" w:rsidRDefault="46DF7FC9" w:rsidP="46DF7FC9">
      <w:pPr>
        <w:rPr>
          <w:lang w:val="en-US"/>
        </w:rPr>
      </w:pPr>
      <w:r w:rsidRPr="003A7E34">
        <w:rPr>
          <w:rFonts w:eastAsia="Times New Roman"/>
          <w:noProof/>
          <w:lang w:val="en-US"/>
        </w:rPr>
        <w:lastRenderedPageBreak/>
        <w:t xml:space="preserve">Overall, the innovation performance of Lithuania remains moderate. European Innovation Scoreboard (EIS) 2016 ranked the country 24th in EU. Despite some improvements, Lithuania's innovation performance therefore remains among the lowest in the EU. Lithuania faces numerous challenges to improve its innovation performance. In particular, the low efficiency of the public R&amp;D system, the need to incentivise the commercialisation of research results, and the urgency to foster a governance system and a policy mix that are supportive of innovation. </w:t>
      </w:r>
    </w:p>
    <w:p w14:paraId="48960C77" w14:textId="1A8902D0" w:rsidR="46DF7FC9" w:rsidRPr="003A7E34" w:rsidRDefault="46DF7FC9" w:rsidP="46DF7FC9">
      <w:pPr>
        <w:rPr>
          <w:rFonts w:eastAsia="Times New Roman"/>
          <w:noProof/>
          <w:lang w:val="en-US"/>
        </w:rPr>
      </w:pPr>
    </w:p>
    <w:p w14:paraId="7BF514EB" w14:textId="6653CED9" w:rsidR="46DF7FC9" w:rsidRPr="003A7E34" w:rsidRDefault="001169F7" w:rsidP="001169F7">
      <w:pPr>
        <w:jc w:val="center"/>
        <w:rPr>
          <w:lang w:val="en-US"/>
        </w:rPr>
      </w:pPr>
      <w:r w:rsidRPr="003A7E34">
        <w:rPr>
          <w:noProof/>
          <w:lang w:val="en-US"/>
        </w:rPr>
        <w:drawing>
          <wp:inline distT="0" distB="0" distL="0" distR="0" wp14:anchorId="7B433A63" wp14:editId="62573E71">
            <wp:extent cx="5875493" cy="2743200"/>
            <wp:effectExtent l="0" t="0" r="11430" b="0"/>
            <wp:docPr id="30" name="Chart 30">
              <a:extLst xmlns:a="http://schemas.openxmlformats.org/drawingml/2006/main">
                <a:ext uri="{FF2B5EF4-FFF2-40B4-BE49-F238E27FC236}">
                  <a16:creationId xmlns:a16="http://schemas.microsoft.com/office/drawing/2014/main" id="{A02076B4-8E40-4A24-A2AA-72D8C2BF53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EEDBBFE" w14:textId="5295D590" w:rsidR="46DF7FC9" w:rsidRPr="003A7E34" w:rsidRDefault="5E230566" w:rsidP="001169F7">
      <w:pPr>
        <w:jc w:val="center"/>
        <w:rPr>
          <w:b/>
          <w:sz w:val="20"/>
          <w:szCs w:val="20"/>
          <w:lang w:val="en-US"/>
        </w:rPr>
      </w:pPr>
      <w:r w:rsidRPr="003A7E34">
        <w:rPr>
          <w:b/>
          <w:sz w:val="20"/>
          <w:szCs w:val="20"/>
          <w:lang w:val="en-US"/>
        </w:rPr>
        <w:t>Figure 2.5.1.</w:t>
      </w:r>
      <w:r w:rsidRPr="003A7E34">
        <w:rPr>
          <w:sz w:val="20"/>
          <w:szCs w:val="20"/>
          <w:lang w:val="en-US"/>
        </w:rPr>
        <w:t xml:space="preserve"> Number of patent applications filed at the European Patent Office from Lithuania from 2005 to 2017</w:t>
      </w:r>
    </w:p>
    <w:p w14:paraId="6C94C250" w14:textId="688AB507" w:rsidR="46DF7FC9" w:rsidRPr="003A7E34" w:rsidRDefault="46DF7FC9" w:rsidP="46DF7FC9">
      <w:pPr>
        <w:rPr>
          <w:lang w:val="en-US"/>
        </w:rPr>
      </w:pPr>
    </w:p>
    <w:p w14:paraId="017B7068" w14:textId="6552591D" w:rsidR="00D62D58" w:rsidRPr="003A7E34" w:rsidRDefault="5E230566" w:rsidP="5E230566">
      <w:pPr>
        <w:rPr>
          <w:rFonts w:eastAsia="Times New Roman"/>
          <w:noProof/>
          <w:lang w:val="en-US"/>
        </w:rPr>
      </w:pPr>
      <w:r w:rsidRPr="003A7E34">
        <w:rPr>
          <w:rFonts w:eastAsia="Times New Roman"/>
          <w:noProof/>
          <w:lang w:val="en-US"/>
        </w:rPr>
        <w:t xml:space="preserve">National </w:t>
      </w:r>
      <w:r w:rsidRPr="003A7E34">
        <w:rPr>
          <w:rFonts w:eastAsia="Times New Roman"/>
          <w:b/>
          <w:bCs/>
          <w:i/>
          <w:iCs/>
          <w:noProof/>
          <w:lang w:val="en-US"/>
        </w:rPr>
        <w:t>Smart Specialisation program</w:t>
      </w:r>
      <w:r w:rsidRPr="003A7E34">
        <w:rPr>
          <w:rFonts w:eastAsia="Times New Roman"/>
          <w:noProof/>
          <w:lang w:val="en-US"/>
        </w:rPr>
        <w:t xml:space="preserve"> serves as the guidelines for public investment to research, development and innovation (RDI). The Ministry of Economy has a set of financial measures that are designed to support RDI and all of them are targeted towards the activities or entities that fall under the regulation of Smart Specialisation Strategy, including the priority “Energy and sustainable environment”. </w:t>
      </w:r>
    </w:p>
    <w:p w14:paraId="7793F7AE" w14:textId="7DDC7A7B" w:rsidR="00D62D58" w:rsidRPr="003A7E34" w:rsidRDefault="46DF7FC9" w:rsidP="46DF7FC9">
      <w:pPr>
        <w:rPr>
          <w:rFonts w:eastAsia="Times New Roman"/>
          <w:noProof/>
          <w:lang w:val="en-US"/>
        </w:rPr>
      </w:pPr>
      <w:r w:rsidRPr="003A7E34">
        <w:rPr>
          <w:rFonts w:eastAsia="Times New Roman"/>
          <w:noProof/>
          <w:lang w:val="en-US"/>
        </w:rPr>
        <w:t>In 2020, it is expected that Smart Specialization program, adopted in 2013, will be implemented, and as a result:</w:t>
      </w:r>
    </w:p>
    <w:p w14:paraId="0291CD5F" w14:textId="18804DFB" w:rsidR="00D62D58" w:rsidRPr="003A7E34" w:rsidRDefault="46DF7FC9" w:rsidP="00C42AAE">
      <w:pPr>
        <w:pStyle w:val="ListParagraph"/>
        <w:numPr>
          <w:ilvl w:val="0"/>
          <w:numId w:val="6"/>
        </w:numPr>
        <w:spacing w:line="240" w:lineRule="auto"/>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Investmens in RDI in Lithuania will increase to 1.9 </w:t>
      </w:r>
      <w:r w:rsidR="00906CD3" w:rsidRPr="003A7E34">
        <w:rPr>
          <w:rFonts w:ascii="Times New Roman" w:eastAsia="Times New Roman" w:hAnsi="Times New Roman" w:cs="Times New Roman"/>
          <w:noProof/>
          <w:lang w:val="en-US"/>
        </w:rPr>
        <w:t>%</w:t>
      </w:r>
      <w:r w:rsidRPr="003A7E34">
        <w:rPr>
          <w:rFonts w:ascii="Times New Roman" w:eastAsia="Times New Roman" w:hAnsi="Times New Roman" w:cs="Times New Roman"/>
          <w:noProof/>
          <w:lang w:val="en-US"/>
        </w:rPr>
        <w:t xml:space="preserve"> (from 1.04% of GDP in 2015);</w:t>
      </w:r>
    </w:p>
    <w:p w14:paraId="2E80579B" w14:textId="7071B2BA" w:rsidR="00D62D58" w:rsidRPr="003A7E34" w:rsidRDefault="46DF7FC9" w:rsidP="00C42AAE">
      <w:pPr>
        <w:pStyle w:val="ListParagraph"/>
        <w:numPr>
          <w:ilvl w:val="0"/>
          <w:numId w:val="6"/>
        </w:numPr>
        <w:spacing w:line="240" w:lineRule="auto"/>
        <w:rPr>
          <w:rFonts w:ascii="Times New Roman" w:hAnsi="Times New Roman" w:cs="Times New Roman"/>
          <w:noProof/>
          <w:lang w:val="en-US"/>
        </w:rPr>
      </w:pPr>
      <w:r w:rsidRPr="003A7E34">
        <w:rPr>
          <w:rFonts w:ascii="Times New Roman" w:eastAsia="Times New Roman" w:hAnsi="Times New Roman" w:cs="Times New Roman"/>
          <w:noProof/>
          <w:lang w:val="en-US"/>
        </w:rPr>
        <w:t>The number of patent applications will double (2020 – 150 applications);</w:t>
      </w:r>
    </w:p>
    <w:p w14:paraId="0CADA197" w14:textId="5163FCC0" w:rsidR="00D62D58" w:rsidRPr="003A7E34" w:rsidRDefault="46DF7FC9" w:rsidP="00C42AAE">
      <w:pPr>
        <w:pStyle w:val="ListParagraph"/>
        <w:numPr>
          <w:ilvl w:val="0"/>
          <w:numId w:val="6"/>
        </w:numPr>
        <w:spacing w:line="240" w:lineRule="auto"/>
        <w:rPr>
          <w:rFonts w:ascii="Times New Roman" w:hAnsi="Times New Roman" w:cs="Times New Roman"/>
          <w:noProof/>
          <w:lang w:val="en-US"/>
        </w:rPr>
      </w:pPr>
      <w:r w:rsidRPr="003A7E34">
        <w:rPr>
          <w:rFonts w:ascii="Times New Roman" w:eastAsia="Times New Roman" w:hAnsi="Times New Roman" w:cs="Times New Roman"/>
          <w:noProof/>
          <w:lang w:val="en-US"/>
        </w:rPr>
        <w:t>The number of small/medium companies introducing a new product or process (2020 – 40%) will increase twice;</w:t>
      </w:r>
    </w:p>
    <w:p w14:paraId="7C1CE4E2" w14:textId="4554292E" w:rsidR="00D62D58" w:rsidRPr="003A7E34" w:rsidRDefault="46DF7FC9" w:rsidP="00C42AAE">
      <w:pPr>
        <w:pStyle w:val="ListParagraph"/>
        <w:numPr>
          <w:ilvl w:val="0"/>
          <w:numId w:val="6"/>
        </w:numPr>
        <w:spacing w:line="240" w:lineRule="auto"/>
        <w:rPr>
          <w:rFonts w:ascii="Times New Roman" w:hAnsi="Times New Roman" w:cs="Times New Roman"/>
          <w:noProof/>
          <w:lang w:val="en-US"/>
        </w:rPr>
      </w:pPr>
      <w:r w:rsidRPr="003A7E34">
        <w:rPr>
          <w:rFonts w:ascii="Times New Roman" w:eastAsia="Times New Roman" w:hAnsi="Times New Roman" w:cs="Times New Roman"/>
          <w:noProof/>
          <w:lang w:val="en-US"/>
        </w:rPr>
        <w:t>The number of innovative small/medium companies will double (2020 – 35%).</w:t>
      </w:r>
    </w:p>
    <w:p w14:paraId="2B62F52B" w14:textId="77777777" w:rsidR="009B0459" w:rsidRPr="003A7E34" w:rsidRDefault="009B0459" w:rsidP="009B0459">
      <w:pPr>
        <w:rPr>
          <w:noProof/>
          <w:lang w:val="en-US"/>
        </w:rPr>
      </w:pPr>
    </w:p>
    <w:p w14:paraId="7B85B9CB" w14:textId="77777777" w:rsidR="00D62D58" w:rsidRPr="003A7E34" w:rsidRDefault="00D62D58">
      <w:pPr>
        <w:rPr>
          <w:rFonts w:eastAsia="Times New Roman"/>
          <w:noProof/>
          <w:lang w:val="en-US"/>
        </w:rPr>
      </w:pPr>
      <w:r w:rsidRPr="003A7E34">
        <w:rPr>
          <w:rFonts w:eastAsia="Times New Roman"/>
          <w:noProof/>
          <w:lang w:val="en-US"/>
        </w:rPr>
        <w:t>The aim of the development of public electric vehicle charging infrastructure for the creation and development of public charging network in Lithuania with a purpose to promote the usage of electric vehicles in order to reduce consumption of petroleum products in the transport sector and to mitigate the environmental impact of transport.</w:t>
      </w:r>
    </w:p>
    <w:p w14:paraId="54359F26" w14:textId="40E1EC20" w:rsidR="00D62D58" w:rsidRPr="003A7E34" w:rsidRDefault="00D62D58">
      <w:pPr>
        <w:rPr>
          <w:rFonts w:eastAsia="Times New Roman"/>
          <w:noProof/>
          <w:lang w:val="en-US"/>
        </w:rPr>
      </w:pPr>
      <w:r w:rsidRPr="003A7E34">
        <w:rPr>
          <w:rFonts w:eastAsia="Times New Roman"/>
          <w:noProof/>
          <w:lang w:val="en-US"/>
        </w:rPr>
        <w:lastRenderedPageBreak/>
        <w:t>The development of infrastructure will contribute to the achievement of the recommended indicator developed in a recent Feasibility Study</w:t>
      </w:r>
      <w:r w:rsidR="00A836E0" w:rsidRPr="003A7E34">
        <w:rPr>
          <w:rStyle w:val="FootnoteReference"/>
          <w:rFonts w:eastAsia="Times New Roman"/>
          <w:noProof/>
          <w:lang w:val="en-US"/>
        </w:rPr>
        <w:footnoteReference w:id="16"/>
      </w:r>
      <w:r w:rsidRPr="003A7E34">
        <w:rPr>
          <w:rFonts w:eastAsia="Times New Roman"/>
          <w:noProof/>
          <w:lang w:val="en-US"/>
        </w:rPr>
        <w:t xml:space="preserve"> - by 2020, all registered electric vehicles in Lithuania should make 5% of all new cars sold per year, and 10 </w:t>
      </w:r>
      <w:r w:rsidR="00906CD3" w:rsidRPr="003A7E34">
        <w:rPr>
          <w:rFonts w:eastAsia="Times New Roman"/>
          <w:noProof/>
          <w:lang w:val="en-US"/>
        </w:rPr>
        <w:t>%</w:t>
      </w:r>
      <w:r w:rsidRPr="003A7E34">
        <w:rPr>
          <w:rFonts w:eastAsia="Times New Roman"/>
          <w:noProof/>
          <w:lang w:val="en-US"/>
        </w:rPr>
        <w:t xml:space="preserve"> by 2025. In order to achieve the objective of infrastructure development, it is envisaged:</w:t>
      </w:r>
    </w:p>
    <w:p w14:paraId="28275F21" w14:textId="206BB2D3" w:rsidR="00D62D58" w:rsidRPr="003A7E34" w:rsidRDefault="00D62D58" w:rsidP="003D78C3">
      <w:pPr>
        <w:pStyle w:val="ListParagraph"/>
        <w:numPr>
          <w:ilvl w:val="0"/>
          <w:numId w:val="28"/>
        </w:numPr>
        <w:jc w:val="both"/>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to install by 2020 at least 19 public high-power charging points next to roads belonging to the Trans-European transport network and next to other roads of national importance, and by 2022 - not less than 28</w:t>
      </w:r>
      <w:r w:rsidR="002F0782" w:rsidRPr="003A7E34">
        <w:rPr>
          <w:rFonts w:ascii="Times New Roman" w:eastAsia="Times New Roman" w:hAnsi="Times New Roman" w:cs="Times New Roman"/>
          <w:noProof/>
          <w:lang w:val="en-US"/>
        </w:rPr>
        <w:t>%</w:t>
      </w:r>
      <w:r w:rsidRPr="003A7E34">
        <w:rPr>
          <w:rFonts w:ascii="Times New Roman" w:eastAsia="Times New Roman" w:hAnsi="Times New Roman" w:cs="Times New Roman"/>
          <w:noProof/>
          <w:lang w:val="en-US"/>
        </w:rPr>
        <w:t>;</w:t>
      </w:r>
    </w:p>
    <w:p w14:paraId="0979452A" w14:textId="60417E7C" w:rsidR="00D62D58" w:rsidRPr="003A7E34" w:rsidRDefault="00D62D58" w:rsidP="00C42AAE">
      <w:pPr>
        <w:pStyle w:val="ListParagraph"/>
        <w:numPr>
          <w:ilvl w:val="0"/>
          <w:numId w:val="28"/>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 xml:space="preserve">to install at least 100 public charging points in cities and suburban agglomerations of Lithuania with more than 25 thousand inhabitants of the population by the end of 2020. </w:t>
      </w:r>
    </w:p>
    <w:p w14:paraId="54CB306F" w14:textId="120E05DE" w:rsidR="008F755F" w:rsidRPr="003A7E34" w:rsidRDefault="008F755F" w:rsidP="00A836E0">
      <w:pPr>
        <w:rPr>
          <w:rFonts w:eastAsia="Times New Roman"/>
          <w:noProof/>
          <w:lang w:val="en-US"/>
        </w:rPr>
      </w:pPr>
    </w:p>
    <w:p w14:paraId="16BEDCFD" w14:textId="3CEE5E43" w:rsidR="008430A7" w:rsidRPr="003A7E34" w:rsidRDefault="008430A7"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b/>
          <w:bCs/>
          <w:i/>
          <w:iCs/>
          <w:noProof/>
          <w:lang w:val="en-US"/>
        </w:rPr>
        <w:t>Where available, national 2050 objectives related to the promotion of clean energy technologies and, where</w:t>
      </w:r>
      <w:r w:rsidRPr="003A7E34">
        <w:rPr>
          <w:rFonts w:ascii="Times New Roman" w:eastAsia="Times New Roman" w:hAnsi="Times New Roman" w:cs="Times New Roman"/>
          <w:noProof/>
          <w:lang w:val="en-US"/>
        </w:rPr>
        <w:t xml:space="preserve"> appropriate, national objectives including long term targets (2050) for deployment of low-carbon technologies, including for decarbonising energy- and carbon-intensive industrial sectors and, where applicable, for related carbon transport and storage infrastructure</w:t>
      </w:r>
    </w:p>
    <w:p w14:paraId="77637B4D" w14:textId="77777777" w:rsidR="004D04C1" w:rsidRPr="003A7E34" w:rsidRDefault="004D04C1" w:rsidP="004D04C1">
      <w:pPr>
        <w:rPr>
          <w:lang w:val="en-US"/>
        </w:rPr>
      </w:pPr>
      <w:r w:rsidRPr="003A7E34">
        <w:rPr>
          <w:lang w:val="en-US"/>
        </w:rPr>
        <w:t>Ministry of Economy and Ministry of Education and Science are the main institutions responsible for the formation and implementation of innovation policy in Lithuania:</w:t>
      </w:r>
    </w:p>
    <w:p w14:paraId="3E7E40AB" w14:textId="7921DAE5" w:rsidR="004D04C1" w:rsidRPr="003A7E34" w:rsidRDefault="004D04C1" w:rsidP="004D04C1">
      <w:pPr>
        <w:pStyle w:val="ListParagraph"/>
        <w:numPr>
          <w:ilvl w:val="0"/>
          <w:numId w:val="53"/>
        </w:numPr>
        <w:rPr>
          <w:rFonts w:ascii="Times New Roman" w:hAnsi="Times New Roman" w:cs="Times New Roman"/>
          <w:lang w:val="en-US"/>
        </w:rPr>
      </w:pPr>
      <w:r w:rsidRPr="003A7E34">
        <w:rPr>
          <w:rFonts w:ascii="Times New Roman" w:hAnsi="Times New Roman" w:cs="Times New Roman"/>
          <w:lang w:val="en-US"/>
        </w:rPr>
        <w:t>the Ministry of Economy is responsible for the policy of the development of innovation environment;</w:t>
      </w:r>
    </w:p>
    <w:p w14:paraId="0C83B82A" w14:textId="22D77828" w:rsidR="004D04C1" w:rsidRPr="003A7E34" w:rsidRDefault="004D04C1" w:rsidP="004D04C1">
      <w:pPr>
        <w:pStyle w:val="ListParagraph"/>
        <w:numPr>
          <w:ilvl w:val="0"/>
          <w:numId w:val="53"/>
        </w:numPr>
        <w:rPr>
          <w:rFonts w:ascii="Times New Roman" w:hAnsi="Times New Roman" w:cs="Times New Roman"/>
          <w:lang w:val="en-US"/>
        </w:rPr>
      </w:pPr>
      <w:r w:rsidRPr="003A7E34">
        <w:rPr>
          <w:rFonts w:ascii="Times New Roman" w:hAnsi="Times New Roman" w:cs="Times New Roman"/>
          <w:lang w:val="en-US"/>
        </w:rPr>
        <w:t>the Ministry of Education and Science is responsible for the policy of research and development.</w:t>
      </w:r>
    </w:p>
    <w:p w14:paraId="343CE725" w14:textId="77777777" w:rsidR="004D04C1" w:rsidRPr="003A7E34" w:rsidRDefault="004D04C1" w:rsidP="004D04C1">
      <w:pPr>
        <w:rPr>
          <w:lang w:val="en-US"/>
        </w:rPr>
      </w:pPr>
    </w:p>
    <w:p w14:paraId="3A7831D6" w14:textId="7F2EA329" w:rsidR="004D04C1" w:rsidRPr="003A7E34" w:rsidRDefault="004D04C1" w:rsidP="004D04C1">
      <w:pPr>
        <w:rPr>
          <w:lang w:val="en-US"/>
        </w:rPr>
      </w:pPr>
      <w:r w:rsidRPr="003A7E34">
        <w:rPr>
          <w:lang w:val="en-US"/>
        </w:rPr>
        <w:t xml:space="preserve">The fundamental strategic document setting guidelines for innovation policy in Lithuania is Innovation Development Program 2014–2020. There are plans in future to update it until 2050. </w:t>
      </w:r>
    </w:p>
    <w:p w14:paraId="036BAC9D" w14:textId="44436D87" w:rsidR="00275EBF" w:rsidRPr="003A7E34" w:rsidRDefault="008430A7"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b/>
          <w:bCs/>
          <w:i/>
          <w:iCs/>
          <w:noProof/>
          <w:lang w:val="en-US"/>
        </w:rPr>
        <w:t>Where applicable</w:t>
      </w:r>
      <w:r w:rsidRPr="003A7E34">
        <w:rPr>
          <w:rFonts w:ascii="Times New Roman" w:eastAsia="Times New Roman" w:hAnsi="Times New Roman" w:cs="Times New Roman"/>
          <w:noProof/>
          <w:lang w:val="en-US"/>
        </w:rPr>
        <w:t>, national objectives with regard to competitiveness</w:t>
      </w:r>
    </w:p>
    <w:p w14:paraId="1D1D51DA" w14:textId="329A70A2" w:rsidR="007B30B0" w:rsidRPr="003A7E34" w:rsidRDefault="007B30B0" w:rsidP="00DE236F">
      <w:pPr>
        <w:rPr>
          <w:lang w:val="en-US"/>
        </w:rPr>
      </w:pPr>
      <w:r w:rsidRPr="003A7E34">
        <w:t>Goals for innovation of different economy sectors (energy systems, industry, transport, agriculture) are included in the general framework of the innovation policy.</w:t>
      </w:r>
    </w:p>
    <w:p w14:paraId="7EE5B0B9" w14:textId="7BADA119" w:rsidR="00C71AF3" w:rsidRPr="003A7E34" w:rsidRDefault="372247B6" w:rsidP="00DE236F">
      <w:pPr>
        <w:rPr>
          <w:lang w:val="en-US"/>
        </w:rPr>
      </w:pPr>
      <w:r w:rsidRPr="003A7E34">
        <w:rPr>
          <w:lang w:val="en-US"/>
        </w:rPr>
        <w:t xml:space="preserve">As one of the outcomes of Lithuania’s Progress Strategy “Lithuania 2030” and the National Progress Program for 2014-2020, the </w:t>
      </w:r>
      <w:r w:rsidRPr="003A7E34">
        <w:rPr>
          <w:b/>
          <w:bCs/>
          <w:lang w:val="en-US"/>
        </w:rPr>
        <w:t>Lithuanian Innovation Program 2014-2020</w:t>
      </w:r>
      <w:r w:rsidRPr="003A7E34">
        <w:rPr>
          <w:lang w:val="en-US"/>
        </w:rPr>
        <w:t xml:space="preserve"> was approved to create a legal model for strengthening innovation potential of business sector, as well as for more effective policy making and innovative public sector and joint activity among business, science and education institutions. One of the measures laid down in the implementation plan of the Lithuanian Innovation Program 2014-2020 aims to support eco-friendly, energy saving green R&amp;D and innovation activities producing and realizing high added-value products. Moreover, energy and sustainable environment related area is also supported through pre-commercial procurement aiming at creating innovative products in this field.</w:t>
      </w:r>
    </w:p>
    <w:p w14:paraId="4CB9B70C" w14:textId="77777777" w:rsidR="00C71AF3" w:rsidRPr="003A7E34" w:rsidRDefault="00C71AF3">
      <w:pPr>
        <w:rPr>
          <w:rFonts w:eastAsia="Times New Roman"/>
          <w:noProof/>
          <w:lang w:val="en-US"/>
        </w:rPr>
      </w:pPr>
      <w:r w:rsidRPr="003A7E34">
        <w:rPr>
          <w:rFonts w:eastAsia="Times New Roman"/>
          <w:noProof/>
          <w:lang w:val="en-US"/>
        </w:rPr>
        <w:lastRenderedPageBreak/>
        <w:t>The potential of Lithuanian science and study institutions and businesses in the solar energy field is relatively high. The institutions carry out fundamental and contract-based research in collaboration with Lithuanian and foreign companies and research institutions; highly qualified specialists are being trained. Research related to solar energy, optimisation of combustion processes, energy efficient materials, efficient lighting, industrial biotechnologies, biofuel production, hydrogen technologies and other relevant studies are carried out in Lithuania.</w:t>
      </w:r>
    </w:p>
    <w:p w14:paraId="0BB01B5C" w14:textId="77777777" w:rsidR="00C71AF3" w:rsidRPr="003A7E34" w:rsidRDefault="00C71AF3">
      <w:pPr>
        <w:rPr>
          <w:rFonts w:eastAsia="Times New Roman"/>
          <w:noProof/>
          <w:lang w:val="en-US"/>
        </w:rPr>
      </w:pPr>
      <w:r w:rsidRPr="003A7E34">
        <w:rPr>
          <w:rFonts w:eastAsia="Times New Roman"/>
          <w:noProof/>
          <w:lang w:val="en-US"/>
        </w:rPr>
        <w:t>Still, despite the effort to support R&amp;D activities in the solar energy area, there is still no systemic commercialisation of results of the research. Hopefully, this gap will be closed by the successful implementation of the Priority. Implementation of the Priority would be strongly supported by the strengthening and concentration of R&amp;D resources in such thematic R&amp;D areas as physical sciences (physics and chemistry), technological sciences (energy and thermal engineering, vacuum engineering, environmental engineering, structural and mechanical engineering of buildings, chemical engineering, materials engineering).</w:t>
      </w:r>
    </w:p>
    <w:p w14:paraId="7E163D48" w14:textId="77777777" w:rsidR="00C71AF3" w:rsidRPr="003A7E34" w:rsidRDefault="372247B6">
      <w:pPr>
        <w:rPr>
          <w:rFonts w:eastAsia="Times New Roman"/>
          <w:noProof/>
          <w:lang w:val="en-US"/>
        </w:rPr>
      </w:pPr>
      <w:r w:rsidRPr="003A7E34">
        <w:rPr>
          <w:rFonts w:eastAsia="Times New Roman"/>
          <w:noProof/>
          <w:lang w:val="en-US"/>
        </w:rPr>
        <w:t xml:space="preserve">Aleksandras Stulginskis University in collaboration with Norwegian, Latvian and Estonian experts has prepered the Lithuanian Bioeconomy Development Feasibility Study. </w:t>
      </w:r>
      <w:r w:rsidRPr="003A7E34">
        <w:rPr>
          <w:rFonts w:eastAsia="Times New Roman"/>
          <w:lang w:val="en-US"/>
        </w:rPr>
        <w:t>The s</w:t>
      </w:r>
      <w:r w:rsidRPr="003A7E34">
        <w:rPr>
          <w:rFonts w:eastAsia="Times New Roman"/>
          <w:noProof/>
          <w:lang w:val="en-US"/>
        </w:rPr>
        <w:t>tudy assessed the potential of bioeconomy in Lithuania, set out the main directions of development of the sector, provided the recommendations on the measures to promote innovation in the bioeconomy sector. The study also identified the bioeconomy sectors, where Lithuanian and Norwegian business cooperation has the greatest potential, and proposed the measures for promotion of bilateral cooperation.</w:t>
      </w:r>
    </w:p>
    <w:p w14:paraId="363A0172" w14:textId="3170E834" w:rsidR="00C71AF3" w:rsidRPr="003A7E34" w:rsidRDefault="00C71AF3">
      <w:pPr>
        <w:rPr>
          <w:rFonts w:eastAsia="Times New Roman"/>
          <w:noProof/>
          <w:lang w:val="en-US"/>
        </w:rPr>
      </w:pPr>
      <w:r w:rsidRPr="003A7E34">
        <w:rPr>
          <w:rFonts w:eastAsia="Times New Roman"/>
          <w:noProof/>
          <w:lang w:val="en-US"/>
        </w:rPr>
        <w:t>To ensure Lithuania’s timely participation in the processes of the Fourth Industry Revolution the Ministry of Economy has taken active steps to implement the industry digitisation initiative in Lithuania. The establishment of the national industry digitisation platform “Pramonė 4.0” is to be considered among the major industry digitisation initiative implementation objectives.</w:t>
      </w:r>
      <w:r w:rsidR="00D871C8" w:rsidRPr="003A7E34">
        <w:rPr>
          <w:rFonts w:eastAsia="Times New Roman"/>
          <w:noProof/>
          <w:lang w:val="en-US"/>
        </w:rPr>
        <w:t xml:space="preserve"> </w:t>
      </w:r>
    </w:p>
    <w:p w14:paraId="6A5649DA" w14:textId="5B0B123A" w:rsidR="00C71AF3" w:rsidRPr="003A7E34" w:rsidRDefault="00C71AF3">
      <w:pPr>
        <w:rPr>
          <w:rFonts w:eastAsia="Times New Roman"/>
          <w:noProof/>
          <w:lang w:val="en-US"/>
        </w:rPr>
      </w:pPr>
      <w:r w:rsidRPr="003A7E34">
        <w:rPr>
          <w:rFonts w:eastAsia="Times New Roman"/>
          <w:noProof/>
          <w:lang w:val="en-US"/>
        </w:rPr>
        <w:t>To increase the value added generated by the industry sector, to accelerate the introduction of digitalisation of industry, to ensure the competitiveness of the Lithuanian industry at international level and to add to more rapid growth of the Lithuanian economy the creation of favourable conditions for close cooperation of industry, business, the academic community and public authorities is to be firstly considered the objectives of the “Pramonė 4.0” platform, which is formed</w:t>
      </w:r>
      <w:r w:rsidR="00D871C8" w:rsidRPr="003A7E34">
        <w:rPr>
          <w:rFonts w:eastAsia="Times New Roman"/>
          <w:noProof/>
          <w:lang w:val="en-US"/>
        </w:rPr>
        <w:t xml:space="preserve"> </w:t>
      </w:r>
      <w:r w:rsidRPr="003A7E34">
        <w:rPr>
          <w:rFonts w:eastAsia="Times New Roman"/>
          <w:noProof/>
          <w:lang w:val="en-US"/>
        </w:rPr>
        <w:t>in mid-2017. Secondly, it is necessary to ensure that every company in Lithuania could make full use of the benefits offered by digital innovation in the field of product improvement, process optimisation and adapting the existing business models to the needs of the digital era.</w:t>
      </w:r>
      <w:r w:rsidR="00D871C8" w:rsidRPr="003A7E34">
        <w:rPr>
          <w:rFonts w:eastAsia="Times New Roman"/>
          <w:noProof/>
          <w:lang w:val="en-US"/>
        </w:rPr>
        <w:t xml:space="preserve"> </w:t>
      </w:r>
    </w:p>
    <w:p w14:paraId="0D995CA5" w14:textId="5305D8E3" w:rsidR="006B7020" w:rsidRPr="003A7E34" w:rsidRDefault="1F603D79" w:rsidP="1F603D79">
      <w:pPr>
        <w:rPr>
          <w:rFonts w:eastAsia="Times New Roman"/>
          <w:b/>
          <w:bCs/>
          <w:noProof/>
          <w:lang w:val="en-US"/>
        </w:rPr>
      </w:pPr>
      <w:r w:rsidRPr="003A7E34">
        <w:rPr>
          <w:rFonts w:eastAsia="Times New Roman"/>
          <w:noProof/>
          <w:lang w:val="en-US"/>
        </w:rPr>
        <w:t>The introduction of digital processes in companies will lead to the efficient use of resources, reduced quantities of waste and reduced air pollution.</w:t>
      </w:r>
      <w:r w:rsidR="00C71AF3" w:rsidRPr="003A7E34">
        <w:rPr>
          <w:rFonts w:eastAsia="Times New Roman"/>
          <w:noProof/>
          <w:lang w:val="en-US"/>
        </w:rPr>
        <w:br w:type="page"/>
      </w:r>
    </w:p>
    <w:p w14:paraId="23C05E2F" w14:textId="7C9E8913" w:rsidR="00B93F9F" w:rsidRPr="003A7E34" w:rsidRDefault="1F603D79" w:rsidP="00114DA8">
      <w:pPr>
        <w:pStyle w:val="Heading1"/>
        <w:numPr>
          <w:ilvl w:val="0"/>
          <w:numId w:val="21"/>
        </w:numPr>
        <w:spacing w:before="0" w:after="120"/>
        <w:rPr>
          <w:rFonts w:eastAsia="Times New Roman" w:cs="Times New Roman"/>
          <w:noProof/>
          <w:lang w:val="en-US"/>
        </w:rPr>
      </w:pPr>
      <w:bookmarkStart w:id="58" w:name="_Toc530405572"/>
      <w:bookmarkStart w:id="59" w:name="_Toc530411803"/>
      <w:bookmarkStart w:id="60" w:name="_Toc530414152"/>
      <w:r w:rsidRPr="003A7E34">
        <w:rPr>
          <w:rFonts w:eastAsia="Times New Roman" w:cs="Times New Roman"/>
          <w:noProof/>
          <w:lang w:val="en-US"/>
        </w:rPr>
        <w:lastRenderedPageBreak/>
        <w:t>POLICIES AND MEASURES</w:t>
      </w:r>
      <w:bookmarkEnd w:id="58"/>
      <w:bookmarkEnd w:id="59"/>
      <w:bookmarkEnd w:id="60"/>
    </w:p>
    <w:p w14:paraId="51DC5714" w14:textId="037A7F55" w:rsidR="00B93F9F" w:rsidRPr="003A7E34" w:rsidRDefault="1F603D79" w:rsidP="1F603D79">
      <w:pPr>
        <w:pStyle w:val="Heading2"/>
        <w:numPr>
          <w:ilvl w:val="1"/>
          <w:numId w:val="21"/>
        </w:numPr>
        <w:rPr>
          <w:rFonts w:cs="Times New Roman"/>
          <w:noProof/>
          <w:lang w:val="en-US"/>
        </w:rPr>
      </w:pPr>
      <w:bookmarkStart w:id="61" w:name="_Toc530405573"/>
      <w:bookmarkStart w:id="62" w:name="_Toc530411804"/>
      <w:bookmarkStart w:id="63" w:name="_Toc530414153"/>
      <w:r w:rsidRPr="003A7E34">
        <w:rPr>
          <w:rFonts w:eastAsia="Times New Roman" w:cs="Times New Roman"/>
          <w:noProof/>
          <w:lang w:val="en-US"/>
        </w:rPr>
        <w:t>Dimension decarbonisation</w:t>
      </w:r>
      <w:bookmarkEnd w:id="61"/>
      <w:bookmarkEnd w:id="62"/>
      <w:bookmarkEnd w:id="63"/>
    </w:p>
    <w:p w14:paraId="1E567551" w14:textId="6F85182B" w:rsidR="00B93F9F" w:rsidRPr="003A7E34" w:rsidRDefault="1F603D79" w:rsidP="1F603D79">
      <w:pPr>
        <w:pStyle w:val="Heading3"/>
        <w:numPr>
          <w:ilvl w:val="2"/>
          <w:numId w:val="21"/>
        </w:numPr>
        <w:rPr>
          <w:rFonts w:cs="Times New Roman"/>
          <w:noProof/>
          <w:sz w:val="24"/>
          <w:lang w:val="en-US"/>
        </w:rPr>
      </w:pPr>
      <w:bookmarkStart w:id="64" w:name="_Toc530405574"/>
      <w:bookmarkStart w:id="65" w:name="_Toc530411805"/>
      <w:bookmarkStart w:id="66" w:name="_Toc530414154"/>
      <w:r w:rsidRPr="003A7E34">
        <w:rPr>
          <w:rFonts w:eastAsia="Times New Roman" w:cs="Times New Roman"/>
          <w:noProof/>
          <w:lang w:val="en-US"/>
        </w:rPr>
        <w:t>GHG emissions and removals</w:t>
      </w:r>
      <w:bookmarkEnd w:id="64"/>
      <w:bookmarkEnd w:id="65"/>
      <w:bookmarkEnd w:id="66"/>
    </w:p>
    <w:p w14:paraId="75DF6CE1" w14:textId="6DAA282D" w:rsidR="00B93F9F" w:rsidRPr="003A7E34" w:rsidRDefault="1F603D79" w:rsidP="1F603D79">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Policies and measures to achieve the target set under </w:t>
      </w:r>
      <w:r w:rsidRPr="003A7E34">
        <w:rPr>
          <w:rFonts w:ascii="Times New Roman" w:eastAsia="Times New Roman" w:hAnsi="Times New Roman" w:cs="Times New Roman"/>
          <w:b/>
          <w:bCs/>
          <w:i/>
          <w:iCs/>
          <w:noProof/>
          <w:lang w:val="en-US"/>
        </w:rPr>
        <w:t>Regulation (EU) 2018/842</w:t>
      </w:r>
      <w:r w:rsidRPr="003A7E34">
        <w:rPr>
          <w:rFonts w:ascii="Times New Roman" w:eastAsia="Times New Roman" w:hAnsi="Times New Roman" w:cs="Times New Roman"/>
          <w:noProof/>
          <w:lang w:val="en-US"/>
        </w:rPr>
        <w:t xml:space="preserve"> as referred in point 2.1.1 and policies and measures to comply with </w:t>
      </w:r>
      <w:r w:rsidRPr="003A7E34">
        <w:rPr>
          <w:rFonts w:ascii="Times New Roman" w:eastAsia="Times New Roman" w:hAnsi="Times New Roman" w:cs="Times New Roman"/>
          <w:b/>
          <w:bCs/>
          <w:i/>
          <w:iCs/>
          <w:noProof/>
          <w:lang w:val="en-US"/>
        </w:rPr>
        <w:t>Regulation (EU) 2018/841</w:t>
      </w:r>
      <w:r w:rsidRPr="003A7E34">
        <w:rPr>
          <w:rFonts w:ascii="Times New Roman" w:eastAsia="Times New Roman" w:hAnsi="Times New Roman" w:cs="Times New Roman"/>
          <w:noProof/>
          <w:lang w:val="en-US"/>
        </w:rPr>
        <w:t xml:space="preserve">, covering all key emitting sectors and sectors for the enhancement of removals, with an outlook to the long-term vision and goal to become a low </w:t>
      </w:r>
      <w:r w:rsidRPr="003A7E34">
        <w:rPr>
          <w:rFonts w:ascii="Times New Roman" w:eastAsia="Times New Roman" w:hAnsi="Times New Roman" w:cs="Times New Roman"/>
          <w:b/>
          <w:bCs/>
          <w:i/>
          <w:iCs/>
          <w:noProof/>
          <w:lang w:val="en-US"/>
        </w:rPr>
        <w:t>emission</w:t>
      </w:r>
      <w:r w:rsidRPr="003A7E34">
        <w:rPr>
          <w:rFonts w:ascii="Times New Roman" w:eastAsia="Times New Roman" w:hAnsi="Times New Roman" w:cs="Times New Roman"/>
          <w:noProof/>
          <w:lang w:val="en-US"/>
        </w:rPr>
        <w:t xml:space="preserve"> economy and achieving a balance between emissions and removals in accordance with the Paris Agreement</w:t>
      </w:r>
    </w:p>
    <w:p w14:paraId="23CFBBE0" w14:textId="71A7B2ED" w:rsidR="00381212" w:rsidRPr="003A7E34" w:rsidDel="002D2F80" w:rsidRDefault="002D2F80" w:rsidP="00EA50D6">
      <w:pPr>
        <w:spacing w:after="0"/>
        <w:rPr>
          <w:rFonts w:eastAsia="Times New Roman"/>
          <w:lang w:val="en-US"/>
        </w:rPr>
      </w:pPr>
      <w:r w:rsidRPr="003A7E34">
        <w:rPr>
          <w:rFonts w:eastAsia="Times New Roman"/>
          <w:lang w:val="en-US"/>
        </w:rPr>
        <w:t>I</w:t>
      </w:r>
      <w:r w:rsidR="00381212" w:rsidRPr="003A7E34" w:rsidDel="002D2F80">
        <w:rPr>
          <w:rFonts w:eastAsia="Times New Roman"/>
          <w:lang w:val="en-US"/>
        </w:rPr>
        <w:t xml:space="preserve">n this section we </w:t>
      </w:r>
      <w:r w:rsidRPr="003A7E34">
        <w:rPr>
          <w:rFonts w:eastAsia="Times New Roman"/>
          <w:lang w:val="en-US"/>
        </w:rPr>
        <w:t>describe</w:t>
      </w:r>
      <w:r w:rsidR="00381212" w:rsidRPr="003A7E34" w:rsidDel="002D2F80">
        <w:rPr>
          <w:rFonts w:eastAsia="Times New Roman"/>
          <w:lang w:val="en-US"/>
        </w:rPr>
        <w:t xml:space="preserve"> policies and measures in the different economic sectors and policy areas that will help to </w:t>
      </w:r>
      <w:r w:rsidRPr="003A7E34">
        <w:rPr>
          <w:rFonts w:eastAsia="Times New Roman"/>
          <w:lang w:val="en-US"/>
        </w:rPr>
        <w:t>reach</w:t>
      </w:r>
      <w:r w:rsidRPr="003A7E34" w:rsidDel="002D2F80">
        <w:rPr>
          <w:rFonts w:eastAsia="Times New Roman"/>
          <w:lang w:val="en-US"/>
        </w:rPr>
        <w:t xml:space="preserve"> </w:t>
      </w:r>
      <w:r w:rsidR="00381212" w:rsidRPr="003A7E34" w:rsidDel="002D2F80">
        <w:rPr>
          <w:rFonts w:eastAsia="Times New Roman"/>
          <w:lang w:val="en-US"/>
        </w:rPr>
        <w:t>objectives and targets as outlined above.</w:t>
      </w:r>
    </w:p>
    <w:p w14:paraId="73673DBD" w14:textId="263A41ED" w:rsidR="00381212" w:rsidRPr="003A7E34" w:rsidRDefault="00381212" w:rsidP="00EA50D6">
      <w:pPr>
        <w:spacing w:after="0"/>
        <w:rPr>
          <w:rFonts w:eastAsia="Times New Roman"/>
          <w:lang w:val="en-US"/>
        </w:rPr>
      </w:pPr>
      <w:r w:rsidRPr="003A7E34">
        <w:rPr>
          <w:rFonts w:eastAsia="Times New Roman"/>
          <w:lang w:val="en-US"/>
        </w:rPr>
        <w:t xml:space="preserve">Climate change mitigation goals are interlinked with the goals defined in </w:t>
      </w:r>
      <w:r w:rsidRPr="003A7E34">
        <w:rPr>
          <w:rFonts w:eastAsia="Times New Roman"/>
          <w:b/>
          <w:lang w:val="en-US"/>
        </w:rPr>
        <w:t>National Energy Independence Strategy</w:t>
      </w:r>
      <w:r w:rsidRPr="003A7E34">
        <w:rPr>
          <w:rFonts w:eastAsia="Times New Roman"/>
          <w:lang w:val="en-US"/>
        </w:rPr>
        <w:t xml:space="preserve"> (NEIS), the </w:t>
      </w:r>
      <w:r w:rsidRPr="003A7E34">
        <w:rPr>
          <w:rFonts w:eastAsia="Times New Roman"/>
          <w:b/>
          <w:lang w:val="en-US"/>
        </w:rPr>
        <w:t xml:space="preserve">National Renewable Energy </w:t>
      </w:r>
      <w:r w:rsidR="00BB6A94" w:rsidRPr="003A7E34">
        <w:rPr>
          <w:rFonts w:eastAsia="Times New Roman"/>
          <w:b/>
          <w:lang w:val="en-US"/>
        </w:rPr>
        <w:t>Resources Development Strategy</w:t>
      </w:r>
      <w:r w:rsidR="00BB6A94" w:rsidRPr="003A7E34">
        <w:rPr>
          <w:rFonts w:eastAsia="Times New Roman"/>
          <w:lang w:val="en-US"/>
        </w:rPr>
        <w:t xml:space="preserve">, </w:t>
      </w:r>
      <w:r w:rsidR="00DB3658" w:rsidRPr="003A7E34">
        <w:rPr>
          <w:rFonts w:eastAsia="Times New Roman"/>
          <w:lang w:val="en-US"/>
        </w:rPr>
        <w:t xml:space="preserve">and </w:t>
      </w:r>
      <w:r w:rsidR="00BB6A94" w:rsidRPr="003A7E34">
        <w:rPr>
          <w:rFonts w:eastAsia="Times New Roman"/>
          <w:lang w:val="en-US"/>
        </w:rPr>
        <w:t>the</w:t>
      </w:r>
      <w:r w:rsidRPr="003A7E34">
        <w:rPr>
          <w:rFonts w:eastAsia="Times New Roman"/>
          <w:lang w:val="en-US"/>
        </w:rPr>
        <w:t xml:space="preserve"> </w:t>
      </w:r>
      <w:r w:rsidRPr="003A7E34">
        <w:rPr>
          <w:rFonts w:eastAsia="Times New Roman"/>
          <w:b/>
          <w:lang w:val="en-US"/>
        </w:rPr>
        <w:t>Strategy on Dwellings of the Republic of Lithuania</w:t>
      </w:r>
      <w:r w:rsidRPr="003A7E34">
        <w:rPr>
          <w:rFonts w:eastAsia="Times New Roman"/>
          <w:lang w:val="en-US"/>
        </w:rPr>
        <w:t xml:space="preserve">, the law on energy from renewable sources and the </w:t>
      </w:r>
      <w:r w:rsidRPr="003A7E34">
        <w:rPr>
          <w:rFonts w:eastAsia="Times New Roman"/>
          <w:b/>
          <w:lang w:val="en-US"/>
        </w:rPr>
        <w:t>Energy Efficiency Action Plan 2017–2019</w:t>
      </w:r>
      <w:r w:rsidRPr="003A7E34">
        <w:rPr>
          <w:rFonts w:eastAsia="Times New Roman"/>
          <w:lang w:val="en-US"/>
        </w:rPr>
        <w:t xml:space="preserve">. </w:t>
      </w:r>
    </w:p>
    <w:p w14:paraId="5195F081" w14:textId="72F8CDDD" w:rsidR="007A01D2" w:rsidRPr="003A7E34" w:rsidRDefault="00381212" w:rsidP="00EA50D6">
      <w:pPr>
        <w:spacing w:after="0"/>
        <w:rPr>
          <w:rFonts w:eastAsia="Times New Roman"/>
          <w:lang w:val="en-US"/>
        </w:rPr>
      </w:pPr>
      <w:r w:rsidRPr="003A7E34">
        <w:rPr>
          <w:rFonts w:eastAsia="Times New Roman"/>
          <w:lang w:val="en-US"/>
        </w:rPr>
        <w:t xml:space="preserve">Further we highlight the policies and measures covering non – ETS and LULUCF sectors which had been implemented to reach </w:t>
      </w:r>
      <w:r w:rsidR="0074435D" w:rsidRPr="003A7E34">
        <w:rPr>
          <w:rFonts w:eastAsia="Times New Roman"/>
          <w:lang w:val="en-US"/>
        </w:rPr>
        <w:t xml:space="preserve">the </w:t>
      </w:r>
      <w:r w:rsidRPr="003A7E34">
        <w:rPr>
          <w:rFonts w:eastAsia="Times New Roman"/>
          <w:lang w:val="en-US"/>
        </w:rPr>
        <w:t>2020 targets and which will be continu</w:t>
      </w:r>
      <w:r w:rsidR="002D2F80" w:rsidRPr="003A7E34">
        <w:rPr>
          <w:rFonts w:eastAsia="Times New Roman"/>
          <w:lang w:val="en-US"/>
        </w:rPr>
        <w:t>ed</w:t>
      </w:r>
      <w:r w:rsidRPr="003A7E34">
        <w:rPr>
          <w:rFonts w:eastAsia="Times New Roman"/>
          <w:lang w:val="en-US"/>
        </w:rPr>
        <w:t xml:space="preserve"> mostly with more ambitious </w:t>
      </w:r>
      <w:r w:rsidR="00BA6C86" w:rsidRPr="003A7E34">
        <w:rPr>
          <w:rFonts w:eastAsia="Times New Roman"/>
          <w:lang w:val="en-US"/>
        </w:rPr>
        <w:t>GHG emission reduction targets</w:t>
      </w:r>
      <w:r w:rsidRPr="003A7E34">
        <w:rPr>
          <w:rFonts w:eastAsia="Times New Roman"/>
          <w:lang w:val="en-US"/>
        </w:rPr>
        <w:t xml:space="preserve"> by 2030. According to the national GHG projections it was determined that Lithuania might face difficulties to reach non-ETS targets due to </w:t>
      </w:r>
      <w:r w:rsidR="0074435D" w:rsidRPr="003A7E34">
        <w:rPr>
          <w:rFonts w:eastAsia="Times New Roman"/>
          <w:lang w:val="en-US"/>
        </w:rPr>
        <w:t xml:space="preserve">a </w:t>
      </w:r>
      <w:r w:rsidR="002D2F80" w:rsidRPr="003A7E34">
        <w:rPr>
          <w:rFonts w:eastAsia="Times New Roman"/>
          <w:lang w:val="en-US"/>
        </w:rPr>
        <w:t xml:space="preserve">projected </w:t>
      </w:r>
      <w:r w:rsidRPr="003A7E34">
        <w:rPr>
          <w:rFonts w:eastAsia="Times New Roman"/>
          <w:lang w:val="en-US"/>
        </w:rPr>
        <w:t>GHG emission</w:t>
      </w:r>
      <w:r w:rsidR="0074435D" w:rsidRPr="003A7E34">
        <w:rPr>
          <w:rFonts w:eastAsia="Times New Roman"/>
          <w:lang w:val="en-US"/>
        </w:rPr>
        <w:t>s</w:t>
      </w:r>
      <w:r w:rsidRPr="003A7E34">
        <w:rPr>
          <w:rFonts w:eastAsia="Times New Roman"/>
          <w:lang w:val="en-US"/>
        </w:rPr>
        <w:t xml:space="preserve"> increase in </w:t>
      </w:r>
      <w:r w:rsidR="0074435D" w:rsidRPr="003A7E34">
        <w:rPr>
          <w:rFonts w:eastAsia="Times New Roman"/>
          <w:lang w:val="en-US"/>
        </w:rPr>
        <w:t xml:space="preserve">the </w:t>
      </w:r>
      <w:r w:rsidRPr="003A7E34">
        <w:rPr>
          <w:rFonts w:eastAsia="Times New Roman"/>
          <w:lang w:val="en-US"/>
        </w:rPr>
        <w:t xml:space="preserve">transport and agriculture sectors. Thus, additional measures were planned for the period 2021–2030 </w:t>
      </w:r>
      <w:r w:rsidR="00BA6C86" w:rsidRPr="003A7E34">
        <w:rPr>
          <w:rFonts w:eastAsia="Times New Roman"/>
          <w:lang w:val="en-US"/>
        </w:rPr>
        <w:t>to increase GHG emission reduction capacities</w:t>
      </w:r>
      <w:r w:rsidRPr="003A7E34">
        <w:rPr>
          <w:rFonts w:eastAsia="Times New Roman"/>
          <w:lang w:val="en-US"/>
        </w:rPr>
        <w:t xml:space="preserve">. </w:t>
      </w:r>
      <w:r w:rsidR="007A01D2" w:rsidRPr="003A7E34">
        <w:rPr>
          <w:rFonts w:eastAsia="Times New Roman"/>
          <w:lang w:val="en-US"/>
        </w:rPr>
        <w:t xml:space="preserve">Further in this section PAMs are grouped and presented </w:t>
      </w:r>
      <w:r w:rsidR="0074435D" w:rsidRPr="003A7E34">
        <w:rPr>
          <w:rFonts w:eastAsia="Times New Roman"/>
          <w:lang w:val="en-US"/>
        </w:rPr>
        <w:t xml:space="preserve">according to each </w:t>
      </w:r>
      <w:r w:rsidR="007A01D2" w:rsidRPr="003A7E34">
        <w:rPr>
          <w:rFonts w:eastAsia="Times New Roman"/>
          <w:lang w:val="en-US"/>
        </w:rPr>
        <w:t>sector.</w:t>
      </w:r>
    </w:p>
    <w:p w14:paraId="7118CE9A" w14:textId="1B29C74C" w:rsidR="00381212" w:rsidRPr="003A7E34" w:rsidRDefault="00381212" w:rsidP="00EA50D6">
      <w:pPr>
        <w:spacing w:after="0"/>
        <w:rPr>
          <w:rFonts w:eastAsia="Times New Roman"/>
          <w:lang w:val="en-US"/>
        </w:rPr>
      </w:pPr>
      <w:r w:rsidRPr="003A7E34">
        <w:rPr>
          <w:rFonts w:eastAsia="Times New Roman"/>
          <w:b/>
          <w:bCs/>
          <w:lang w:val="en-US"/>
        </w:rPr>
        <w:t xml:space="preserve">Transport sector. </w:t>
      </w:r>
      <w:r w:rsidR="00CB049B" w:rsidRPr="003A7E34">
        <w:rPr>
          <w:rFonts w:eastAsia="Times New Roman"/>
          <w:lang w:val="en-US"/>
        </w:rPr>
        <w:t xml:space="preserve">In </w:t>
      </w:r>
      <w:r w:rsidR="0074435D" w:rsidRPr="003A7E34">
        <w:rPr>
          <w:rFonts w:eastAsia="Times New Roman"/>
          <w:lang w:val="en-US"/>
        </w:rPr>
        <w:t xml:space="preserve">the </w:t>
      </w:r>
      <w:r w:rsidR="00CB049B" w:rsidRPr="003A7E34">
        <w:rPr>
          <w:rFonts w:eastAsia="Times New Roman"/>
          <w:lang w:val="en-US"/>
        </w:rPr>
        <w:t>transport sector there is need to change the old car fleet (</w:t>
      </w:r>
      <w:r w:rsidR="0074435D" w:rsidRPr="003A7E34">
        <w:rPr>
          <w:rFonts w:eastAsia="Times New Roman"/>
          <w:lang w:val="en-US"/>
        </w:rPr>
        <w:t xml:space="preserve">currently </w:t>
      </w:r>
      <w:r w:rsidR="00CB049B" w:rsidRPr="003A7E34">
        <w:rPr>
          <w:rFonts w:eastAsia="Times New Roman"/>
          <w:lang w:val="en-US"/>
        </w:rPr>
        <w:t xml:space="preserve">the average age of passenger cars in Lithuania is 15 years) into a newer and more efficient </w:t>
      </w:r>
      <w:r w:rsidR="0074435D" w:rsidRPr="003A7E34">
        <w:rPr>
          <w:rFonts w:eastAsia="Times New Roman"/>
          <w:lang w:val="en-US"/>
        </w:rPr>
        <w:t xml:space="preserve">one, </w:t>
      </w:r>
      <w:r w:rsidR="00CB049B" w:rsidRPr="003A7E34">
        <w:rPr>
          <w:rFonts w:eastAsia="Times New Roman"/>
          <w:lang w:val="en-US"/>
        </w:rPr>
        <w:t>as well as to introduce vehicles driven by alternative fuels</w:t>
      </w:r>
      <w:r w:rsidR="00BA6C86" w:rsidRPr="003A7E34">
        <w:rPr>
          <w:rFonts w:eastAsia="Times New Roman"/>
          <w:lang w:val="en-US"/>
        </w:rPr>
        <w:t>, promote innovative transport technologies, zero-emission vehicles and electromobility in all modes of transport</w:t>
      </w:r>
      <w:r w:rsidR="00CB049B" w:rsidRPr="003A7E34">
        <w:rPr>
          <w:rFonts w:eastAsia="Times New Roman"/>
          <w:lang w:val="en-US"/>
        </w:rPr>
        <w:t xml:space="preserve">. </w:t>
      </w:r>
      <w:r w:rsidRPr="003A7E34">
        <w:rPr>
          <w:rFonts w:eastAsia="Times New Roman"/>
          <w:lang w:val="en-US"/>
        </w:rPr>
        <w:t xml:space="preserve">The </w:t>
      </w:r>
      <w:r w:rsidRPr="003A7E34">
        <w:rPr>
          <w:rFonts w:eastAsia="Times New Roman"/>
          <w:b/>
          <w:lang w:val="en-US"/>
        </w:rPr>
        <w:t>National Program on the Development of Transport and Communications</w:t>
      </w:r>
      <w:r w:rsidR="003C44DA" w:rsidRPr="003A7E34">
        <w:rPr>
          <w:rStyle w:val="FootnoteReference"/>
          <w:rFonts w:eastAsia="Times New Roman"/>
          <w:lang w:val="en-US"/>
        </w:rPr>
        <w:footnoteReference w:id="17"/>
      </w:r>
      <w:r w:rsidRPr="003A7E34">
        <w:rPr>
          <w:rFonts w:eastAsia="Times New Roman"/>
          <w:lang w:val="en-US"/>
        </w:rPr>
        <w:t xml:space="preserve"> for 2014–2022 has, among others, objectives to increase the mobility of goods and passengers, to improve the corridors of the EU Trans-European Transport Networks as well as their connections with national and local transport networks, to increase the energy efficiency of transport, to reduce the adverse impact of transport on the environment and to improve the safety and security of traffic. It contains an analysis of the potential future development of road, rail, maritime, inland waterways and air transport. </w:t>
      </w:r>
    </w:p>
    <w:p w14:paraId="5FBAE99F" w14:textId="2A7E9281" w:rsidR="00381212" w:rsidRPr="003A7E34" w:rsidRDefault="00381212" w:rsidP="5E230566">
      <w:pPr>
        <w:spacing w:after="0"/>
        <w:rPr>
          <w:rFonts w:eastAsia="Times New Roman"/>
          <w:lang w:val="en-US"/>
        </w:rPr>
      </w:pPr>
      <w:r w:rsidRPr="003A7E34">
        <w:rPr>
          <w:rFonts w:eastAsia="Times New Roman"/>
          <w:lang w:val="en-US"/>
        </w:rPr>
        <w:t>The program also identifies the main goals for the development of infrastructure for alternative transport energy sources, including electricity. In the Lithuanian fleet, around 15,000 electric cars are anticipated by 2025, of which there are expected to be 6,000 in 2020. Lithuania also has in place strategic documents that consider longer</w:t>
      </w:r>
      <w:r w:rsidR="0074435D" w:rsidRPr="003A7E34">
        <w:rPr>
          <w:rFonts w:eastAsia="Times New Roman"/>
          <w:lang w:val="en-US"/>
        </w:rPr>
        <w:t>-term</w:t>
      </w:r>
      <w:r w:rsidRPr="003A7E34">
        <w:rPr>
          <w:rFonts w:eastAsia="Times New Roman"/>
          <w:lang w:val="en-US"/>
        </w:rPr>
        <w:t xml:space="preserve"> time frames; for example, according to </w:t>
      </w:r>
      <w:r w:rsidR="0074435D" w:rsidRPr="003A7E34">
        <w:rPr>
          <w:rFonts w:eastAsia="Times New Roman"/>
          <w:lang w:val="en-US"/>
        </w:rPr>
        <w:t xml:space="preserve">the </w:t>
      </w:r>
      <w:r w:rsidR="00CC5C11" w:rsidRPr="003A7E34">
        <w:rPr>
          <w:rFonts w:eastAsia="Times New Roman"/>
          <w:b/>
          <w:lang w:val="en-US"/>
        </w:rPr>
        <w:t>NEIS</w:t>
      </w:r>
      <w:r w:rsidRPr="003A7E34">
        <w:rPr>
          <w:rFonts w:eastAsia="Times New Roman"/>
          <w:lang w:val="en-US"/>
        </w:rPr>
        <w:t>, the energy intensity of transport shall be reduced by 2.4 times in comparison with the current level in the transport sector by 2050.</w:t>
      </w:r>
    </w:p>
    <w:p w14:paraId="102FEA73" w14:textId="5B085308" w:rsidR="00A1483D" w:rsidRDefault="00A1483D" w:rsidP="5E230566">
      <w:pPr>
        <w:spacing w:before="0"/>
        <w:rPr>
          <w:rFonts w:eastAsia="Times New Roman"/>
          <w:b/>
          <w:bCs/>
          <w:sz w:val="20"/>
          <w:szCs w:val="20"/>
          <w:lang w:val="en-US"/>
        </w:rPr>
      </w:pPr>
    </w:p>
    <w:p w14:paraId="100CEDB8" w14:textId="77777777" w:rsidR="00A1483D" w:rsidRDefault="00A1483D" w:rsidP="5E230566">
      <w:pPr>
        <w:spacing w:before="0"/>
        <w:rPr>
          <w:rFonts w:eastAsia="Times New Roman"/>
          <w:b/>
          <w:bCs/>
          <w:sz w:val="20"/>
          <w:szCs w:val="20"/>
          <w:lang w:val="en-US"/>
        </w:rPr>
      </w:pPr>
    </w:p>
    <w:p w14:paraId="54BA2620" w14:textId="77777777" w:rsidR="00A1483D" w:rsidRDefault="00A1483D" w:rsidP="5E230566">
      <w:pPr>
        <w:spacing w:before="0"/>
        <w:rPr>
          <w:rFonts w:eastAsia="Times New Roman"/>
          <w:b/>
          <w:bCs/>
          <w:sz w:val="20"/>
          <w:szCs w:val="20"/>
          <w:lang w:val="en-US"/>
        </w:rPr>
      </w:pPr>
    </w:p>
    <w:p w14:paraId="7FA5691D" w14:textId="77777777" w:rsidR="00A1483D" w:rsidRDefault="00A1483D" w:rsidP="5E230566">
      <w:pPr>
        <w:spacing w:before="0"/>
        <w:rPr>
          <w:rFonts w:eastAsia="Times New Roman"/>
          <w:b/>
          <w:bCs/>
          <w:sz w:val="20"/>
          <w:szCs w:val="20"/>
          <w:lang w:val="en-US"/>
        </w:rPr>
      </w:pPr>
    </w:p>
    <w:p w14:paraId="32287EB6" w14:textId="77777777" w:rsidR="00A1483D" w:rsidRDefault="00A1483D" w:rsidP="5E230566">
      <w:pPr>
        <w:spacing w:before="0"/>
        <w:rPr>
          <w:rFonts w:eastAsia="Times New Roman"/>
          <w:b/>
          <w:bCs/>
          <w:sz w:val="20"/>
          <w:szCs w:val="20"/>
          <w:lang w:val="en-US"/>
        </w:rPr>
      </w:pPr>
    </w:p>
    <w:p w14:paraId="3B145088" w14:textId="77777777" w:rsidR="00A1483D" w:rsidRDefault="00A1483D" w:rsidP="5E230566">
      <w:pPr>
        <w:spacing w:before="0"/>
        <w:rPr>
          <w:rFonts w:eastAsia="Times New Roman"/>
          <w:b/>
          <w:bCs/>
          <w:sz w:val="20"/>
          <w:szCs w:val="20"/>
          <w:lang w:val="en-US"/>
        </w:rPr>
      </w:pPr>
    </w:p>
    <w:p w14:paraId="20A16662" w14:textId="295C7AF5" w:rsidR="00381212" w:rsidRPr="003A7E34" w:rsidRDefault="5E230566" w:rsidP="5E230566">
      <w:pPr>
        <w:spacing w:before="0"/>
        <w:rPr>
          <w:rFonts w:eastAsia="Times New Roman"/>
          <w:sz w:val="20"/>
          <w:szCs w:val="20"/>
          <w:lang w:val="en-US"/>
        </w:rPr>
      </w:pPr>
      <w:r w:rsidRPr="003A7E34">
        <w:rPr>
          <w:rFonts w:eastAsia="Times New Roman"/>
          <w:b/>
          <w:bCs/>
          <w:sz w:val="20"/>
          <w:szCs w:val="20"/>
          <w:lang w:val="en-US"/>
        </w:rPr>
        <w:lastRenderedPageBreak/>
        <w:t xml:space="preserve">Table 3.1.1.1. </w:t>
      </w:r>
      <w:r w:rsidRPr="003A7E34">
        <w:rPr>
          <w:rFonts w:eastAsia="Times New Roman"/>
          <w:sz w:val="20"/>
          <w:szCs w:val="20"/>
          <w:lang w:val="en-US"/>
        </w:rPr>
        <w:t xml:space="preserve">The summary table of policies and measures adopted and under implementation in </w:t>
      </w:r>
      <w:r w:rsidR="0074435D" w:rsidRPr="003A7E34">
        <w:rPr>
          <w:rFonts w:eastAsia="Times New Roman"/>
          <w:sz w:val="20"/>
          <w:szCs w:val="20"/>
          <w:lang w:val="en-US"/>
        </w:rPr>
        <w:t xml:space="preserve">the </w:t>
      </w:r>
      <w:r w:rsidRPr="003A7E34">
        <w:rPr>
          <w:rFonts w:eastAsia="Times New Roman"/>
          <w:sz w:val="20"/>
          <w:szCs w:val="20"/>
          <w:lang w:val="en-US"/>
        </w:rPr>
        <w:t>transport sector.</w:t>
      </w:r>
    </w:p>
    <w:tbl>
      <w:tblPr>
        <w:tblStyle w:val="TableGrid"/>
        <w:tblW w:w="9639" w:type="dxa"/>
        <w:tblInd w:w="108" w:type="dxa"/>
        <w:tblLayout w:type="fixed"/>
        <w:tblLook w:val="04A0" w:firstRow="1" w:lastRow="0" w:firstColumn="1" w:lastColumn="0" w:noHBand="0" w:noVBand="1"/>
      </w:tblPr>
      <w:tblGrid>
        <w:gridCol w:w="1560"/>
        <w:gridCol w:w="2551"/>
        <w:gridCol w:w="1274"/>
        <w:gridCol w:w="1703"/>
        <w:gridCol w:w="1417"/>
        <w:gridCol w:w="1134"/>
      </w:tblGrid>
      <w:tr w:rsidR="003A7E34" w:rsidRPr="003A7E34" w14:paraId="0165B245" w14:textId="77777777" w:rsidTr="00932CCE">
        <w:trPr>
          <w:trHeight w:val="70"/>
          <w:tblHeader/>
        </w:trPr>
        <w:tc>
          <w:tcPr>
            <w:tcW w:w="1560" w:type="dxa"/>
          </w:tcPr>
          <w:p w14:paraId="6AE18D79" w14:textId="77777777" w:rsidR="007707C9" w:rsidRPr="003A7E34" w:rsidRDefault="5E230566" w:rsidP="5E230566">
            <w:pPr>
              <w:spacing w:before="0" w:after="0"/>
              <w:rPr>
                <w:rFonts w:eastAsia="Times New Roman"/>
                <w:b/>
                <w:bCs/>
                <w:sz w:val="20"/>
                <w:szCs w:val="20"/>
                <w:lang w:val="en-US"/>
              </w:rPr>
            </w:pPr>
            <w:r w:rsidRPr="003A7E34">
              <w:rPr>
                <w:rFonts w:eastAsia="Times New Roman"/>
                <w:b/>
                <w:bCs/>
                <w:sz w:val="20"/>
                <w:szCs w:val="20"/>
                <w:lang w:val="en-US"/>
              </w:rPr>
              <w:t>Measures</w:t>
            </w:r>
          </w:p>
        </w:tc>
        <w:tc>
          <w:tcPr>
            <w:tcW w:w="2551" w:type="dxa"/>
          </w:tcPr>
          <w:p w14:paraId="69FD4CEC" w14:textId="77777777" w:rsidR="007707C9" w:rsidRPr="003A7E34" w:rsidRDefault="5E230566" w:rsidP="5E230566">
            <w:pPr>
              <w:spacing w:before="0" w:after="0"/>
              <w:rPr>
                <w:rFonts w:eastAsia="Times New Roman"/>
                <w:b/>
                <w:bCs/>
                <w:sz w:val="20"/>
                <w:szCs w:val="20"/>
                <w:lang w:val="en-US"/>
              </w:rPr>
            </w:pPr>
            <w:r w:rsidRPr="003A7E34">
              <w:rPr>
                <w:rFonts w:eastAsia="Times New Roman"/>
                <w:b/>
                <w:bCs/>
                <w:sz w:val="20"/>
                <w:szCs w:val="20"/>
                <w:lang w:val="en-US"/>
              </w:rPr>
              <w:t>Objectives</w:t>
            </w:r>
          </w:p>
        </w:tc>
        <w:tc>
          <w:tcPr>
            <w:tcW w:w="1274" w:type="dxa"/>
          </w:tcPr>
          <w:p w14:paraId="10D6B7CC" w14:textId="16B2CE25" w:rsidR="007707C9" w:rsidRPr="003A7E34" w:rsidRDefault="5E230566" w:rsidP="5E230566">
            <w:pPr>
              <w:spacing w:before="0" w:after="0"/>
              <w:rPr>
                <w:rFonts w:eastAsia="Times New Roman"/>
                <w:b/>
                <w:bCs/>
                <w:sz w:val="20"/>
                <w:szCs w:val="20"/>
                <w:lang w:val="en-US"/>
              </w:rPr>
            </w:pPr>
            <w:r w:rsidRPr="003A7E34">
              <w:rPr>
                <w:rFonts w:eastAsia="Times New Roman"/>
                <w:b/>
                <w:bCs/>
                <w:sz w:val="20"/>
                <w:szCs w:val="20"/>
                <w:lang w:val="en-US"/>
              </w:rPr>
              <w:t>Implementation period</w:t>
            </w:r>
          </w:p>
        </w:tc>
        <w:tc>
          <w:tcPr>
            <w:tcW w:w="1703" w:type="dxa"/>
          </w:tcPr>
          <w:p w14:paraId="5F4153AA" w14:textId="510D933F" w:rsidR="007707C9" w:rsidRPr="003A7E34" w:rsidRDefault="5E230566" w:rsidP="5E230566">
            <w:pPr>
              <w:spacing w:before="0" w:after="0"/>
              <w:rPr>
                <w:rFonts w:eastAsia="Times New Roman"/>
                <w:b/>
                <w:bCs/>
                <w:sz w:val="20"/>
                <w:szCs w:val="20"/>
                <w:lang w:val="en-US"/>
              </w:rPr>
            </w:pPr>
            <w:r w:rsidRPr="003A7E34">
              <w:rPr>
                <w:rFonts w:eastAsia="Times New Roman"/>
                <w:b/>
                <w:bCs/>
                <w:sz w:val="20"/>
                <w:szCs w:val="20"/>
                <w:lang w:val="en-US"/>
              </w:rPr>
              <w:t>Entities responsible for implementing the policy</w:t>
            </w:r>
          </w:p>
        </w:tc>
        <w:tc>
          <w:tcPr>
            <w:tcW w:w="1417" w:type="dxa"/>
          </w:tcPr>
          <w:p w14:paraId="357CDE37" w14:textId="425C053A" w:rsidR="007707C9" w:rsidRPr="003A7E34" w:rsidRDefault="5E230566" w:rsidP="5E230566">
            <w:pPr>
              <w:spacing w:before="0" w:after="0"/>
              <w:rPr>
                <w:rFonts w:eastAsia="Times New Roman"/>
                <w:b/>
                <w:bCs/>
                <w:sz w:val="20"/>
                <w:szCs w:val="20"/>
                <w:lang w:val="en-US"/>
              </w:rPr>
            </w:pPr>
            <w:r w:rsidRPr="003A7E34">
              <w:rPr>
                <w:rFonts w:eastAsia="Times New Roman"/>
                <w:b/>
                <w:bCs/>
                <w:sz w:val="20"/>
                <w:szCs w:val="20"/>
                <w:lang w:val="en-US"/>
              </w:rPr>
              <w:t>GHG mitigation effect, ktCO</w:t>
            </w:r>
            <w:r w:rsidRPr="003A7E34">
              <w:rPr>
                <w:rFonts w:eastAsia="Times New Roman"/>
                <w:b/>
                <w:bCs/>
                <w:sz w:val="20"/>
                <w:szCs w:val="20"/>
                <w:vertAlign w:val="subscript"/>
                <w:lang w:val="en-US"/>
              </w:rPr>
              <w:t>2</w:t>
            </w:r>
            <w:r w:rsidRPr="003A7E34">
              <w:rPr>
                <w:rFonts w:eastAsia="Times New Roman"/>
                <w:b/>
                <w:bCs/>
                <w:sz w:val="20"/>
                <w:szCs w:val="20"/>
                <w:lang w:val="en-US"/>
              </w:rPr>
              <w:t>eq.</w:t>
            </w:r>
          </w:p>
        </w:tc>
        <w:tc>
          <w:tcPr>
            <w:tcW w:w="1134" w:type="dxa"/>
          </w:tcPr>
          <w:p w14:paraId="61C5EEC4" w14:textId="7BBD4461" w:rsidR="007707C9" w:rsidRPr="003A7E34" w:rsidRDefault="5E230566" w:rsidP="5E230566">
            <w:pPr>
              <w:spacing w:before="0" w:after="0"/>
              <w:rPr>
                <w:rFonts w:eastAsia="Times New Roman"/>
                <w:b/>
                <w:bCs/>
                <w:sz w:val="20"/>
                <w:szCs w:val="20"/>
                <w:lang w:val="en-US"/>
              </w:rPr>
            </w:pPr>
            <w:r w:rsidRPr="003A7E34">
              <w:rPr>
                <w:rFonts w:eastAsia="Times New Roman"/>
                <w:b/>
                <w:bCs/>
                <w:sz w:val="20"/>
                <w:szCs w:val="20"/>
                <w:lang w:val="en-US"/>
              </w:rPr>
              <w:t>Planned budget</w:t>
            </w:r>
            <w:r w:rsidRPr="003A7E34">
              <w:rPr>
                <w:rFonts w:eastAsia="Times New Roman"/>
                <w:b/>
                <w:bCs/>
                <w:sz w:val="20"/>
                <w:szCs w:val="20"/>
                <w:vertAlign w:val="superscript"/>
                <w:lang w:val="en-US"/>
              </w:rPr>
              <w:t>1,2,3</w:t>
            </w:r>
            <w:r w:rsidRPr="003A7E34">
              <w:rPr>
                <w:rFonts w:eastAsia="Times New Roman"/>
                <w:b/>
                <w:bCs/>
                <w:sz w:val="20"/>
                <w:szCs w:val="20"/>
                <w:lang w:val="en-US"/>
              </w:rPr>
              <w:t>, MEUR</w:t>
            </w:r>
          </w:p>
        </w:tc>
      </w:tr>
      <w:tr w:rsidR="003A7E34" w:rsidRPr="003A7E34" w14:paraId="317EFA5C" w14:textId="77777777" w:rsidTr="1F603D79">
        <w:trPr>
          <w:trHeight w:val="70"/>
        </w:trPr>
        <w:tc>
          <w:tcPr>
            <w:tcW w:w="9639" w:type="dxa"/>
            <w:gridSpan w:val="6"/>
          </w:tcPr>
          <w:p w14:paraId="2F963BC0" w14:textId="68576217" w:rsidR="00E94883" w:rsidRPr="003A7E34" w:rsidRDefault="5E230566" w:rsidP="5E230566">
            <w:pPr>
              <w:spacing w:before="0" w:after="0"/>
              <w:jc w:val="center"/>
              <w:rPr>
                <w:rFonts w:eastAsia="Times New Roman"/>
                <w:b/>
                <w:bCs/>
                <w:sz w:val="20"/>
                <w:szCs w:val="20"/>
                <w:lang w:val="en-US"/>
              </w:rPr>
            </w:pPr>
            <w:r w:rsidRPr="003A7E34">
              <w:rPr>
                <w:rFonts w:eastAsia="Times New Roman"/>
                <w:b/>
                <w:bCs/>
                <w:sz w:val="20"/>
                <w:szCs w:val="20"/>
                <w:lang w:val="en-US"/>
              </w:rPr>
              <w:t>Adopted and under implementation measures</w:t>
            </w:r>
          </w:p>
        </w:tc>
      </w:tr>
      <w:tr w:rsidR="003A7E34" w:rsidRPr="003A7E34" w14:paraId="328EB176" w14:textId="77777777" w:rsidTr="002F45C0">
        <w:trPr>
          <w:trHeight w:val="635"/>
        </w:trPr>
        <w:tc>
          <w:tcPr>
            <w:tcW w:w="1560" w:type="dxa"/>
          </w:tcPr>
          <w:p w14:paraId="25CCC300" w14:textId="09BC4D74" w:rsidR="007707C9" w:rsidRPr="003A7E34" w:rsidRDefault="5E230566" w:rsidP="5E230566">
            <w:pPr>
              <w:spacing w:before="0" w:after="0"/>
              <w:rPr>
                <w:rFonts w:eastAsia="Times New Roman"/>
                <w:sz w:val="20"/>
                <w:szCs w:val="20"/>
                <w:lang w:val="en-US"/>
              </w:rPr>
            </w:pPr>
            <w:r w:rsidRPr="003A7E34">
              <w:rPr>
                <w:rFonts w:eastAsia="Times New Roman"/>
                <w:sz w:val="20"/>
                <w:szCs w:val="20"/>
                <w:lang w:val="en-US"/>
              </w:rPr>
              <w:t xml:space="preserve">T1. Promotion of the RES use in </w:t>
            </w:r>
            <w:r w:rsidR="0074435D" w:rsidRPr="003A7E34">
              <w:rPr>
                <w:rFonts w:eastAsia="Times New Roman"/>
                <w:sz w:val="20"/>
                <w:szCs w:val="20"/>
                <w:lang w:val="en-US"/>
              </w:rPr>
              <w:t xml:space="preserve">the </w:t>
            </w:r>
            <w:r w:rsidRPr="003A7E34">
              <w:rPr>
                <w:rFonts w:eastAsia="Times New Roman"/>
                <w:sz w:val="20"/>
                <w:szCs w:val="20"/>
                <w:lang w:val="en-US"/>
              </w:rPr>
              <w:t>transport sector</w:t>
            </w:r>
          </w:p>
        </w:tc>
        <w:tc>
          <w:tcPr>
            <w:tcW w:w="2551" w:type="dxa"/>
          </w:tcPr>
          <w:p w14:paraId="3B619CC2" w14:textId="50F57F85" w:rsidR="007707C9" w:rsidRPr="003A7E34" w:rsidRDefault="5E230566" w:rsidP="5E230566">
            <w:pPr>
              <w:spacing w:before="0" w:after="0"/>
              <w:rPr>
                <w:rFonts w:eastAsia="Times New Roman"/>
                <w:sz w:val="20"/>
                <w:szCs w:val="20"/>
                <w:lang w:val="en-US"/>
              </w:rPr>
            </w:pPr>
            <w:r w:rsidRPr="003A7E34">
              <w:rPr>
                <w:rFonts w:eastAsia="Times New Roman"/>
                <w:sz w:val="20"/>
                <w:szCs w:val="20"/>
                <w:lang w:val="en-US"/>
              </w:rPr>
              <w:t>Increase the share of RES in all modes of transport</w:t>
            </w:r>
            <w:r w:rsidR="005926AF" w:rsidRPr="003A7E34">
              <w:rPr>
                <w:rFonts w:eastAsia="Times New Roman"/>
                <w:sz w:val="20"/>
                <w:szCs w:val="20"/>
                <w:lang w:val="en-US"/>
              </w:rPr>
              <w:t>ation</w:t>
            </w:r>
            <w:r w:rsidRPr="003A7E34">
              <w:rPr>
                <w:rFonts w:eastAsia="Times New Roman"/>
                <w:sz w:val="20"/>
                <w:szCs w:val="20"/>
                <w:lang w:val="en-US"/>
              </w:rPr>
              <w:t xml:space="preserve"> in comparison with the final consumption of the energy in the transport sector</w:t>
            </w:r>
          </w:p>
        </w:tc>
        <w:tc>
          <w:tcPr>
            <w:tcW w:w="1274" w:type="dxa"/>
          </w:tcPr>
          <w:p w14:paraId="30143007" w14:textId="4BD62B00" w:rsidR="007707C9" w:rsidRPr="003A7E34" w:rsidRDefault="5E230566" w:rsidP="5E230566">
            <w:pPr>
              <w:spacing w:before="0" w:after="0"/>
              <w:rPr>
                <w:rFonts w:eastAsia="Times New Roman"/>
                <w:sz w:val="20"/>
                <w:szCs w:val="20"/>
                <w:lang w:val="en-US"/>
              </w:rPr>
            </w:pPr>
            <w:r w:rsidRPr="003A7E34">
              <w:rPr>
                <w:rFonts w:eastAsia="Times New Roman"/>
                <w:sz w:val="20"/>
                <w:szCs w:val="20"/>
                <w:lang w:val="en-US"/>
              </w:rPr>
              <w:t>2018 – 2030</w:t>
            </w:r>
          </w:p>
        </w:tc>
        <w:tc>
          <w:tcPr>
            <w:tcW w:w="1703" w:type="dxa"/>
          </w:tcPr>
          <w:p w14:paraId="35838B1C" w14:textId="635ADE6F" w:rsidR="007707C9" w:rsidRPr="003A7E34" w:rsidRDefault="5E230566" w:rsidP="5E230566">
            <w:pPr>
              <w:spacing w:before="0" w:after="0"/>
              <w:rPr>
                <w:rFonts w:eastAsia="Times New Roman"/>
                <w:sz w:val="20"/>
                <w:szCs w:val="20"/>
                <w:lang w:val="en-US"/>
              </w:rPr>
            </w:pPr>
            <w:r w:rsidRPr="003A7E34">
              <w:rPr>
                <w:rFonts w:eastAsia="Times New Roman"/>
                <w:sz w:val="20"/>
                <w:szCs w:val="20"/>
                <w:lang w:val="en-US"/>
              </w:rPr>
              <w:t>Ministry of Energy</w:t>
            </w:r>
          </w:p>
          <w:p w14:paraId="2EC86C33" w14:textId="3ED8589E" w:rsidR="007707C9" w:rsidRPr="003A7E34" w:rsidRDefault="5E230566" w:rsidP="5E230566">
            <w:pPr>
              <w:spacing w:before="0" w:after="0"/>
              <w:rPr>
                <w:rFonts w:eastAsia="Times New Roman"/>
                <w:sz w:val="20"/>
                <w:szCs w:val="20"/>
                <w:lang w:val="en-US"/>
              </w:rPr>
            </w:pPr>
            <w:r w:rsidRPr="003A7E34">
              <w:rPr>
                <w:rFonts w:eastAsia="Times New Roman"/>
                <w:sz w:val="20"/>
                <w:szCs w:val="20"/>
                <w:lang w:val="en-US"/>
              </w:rPr>
              <w:t>Ministry of Transport</w:t>
            </w:r>
          </w:p>
        </w:tc>
        <w:tc>
          <w:tcPr>
            <w:tcW w:w="1417" w:type="dxa"/>
          </w:tcPr>
          <w:p w14:paraId="2AC79C70" w14:textId="7ED73229" w:rsidR="007707C9" w:rsidRPr="003A7E34" w:rsidRDefault="5E230566" w:rsidP="5E230566">
            <w:pPr>
              <w:spacing w:before="0" w:after="0"/>
              <w:rPr>
                <w:rFonts w:eastAsia="Times New Roman"/>
                <w:sz w:val="20"/>
                <w:szCs w:val="20"/>
                <w:lang w:val="en-US"/>
              </w:rPr>
            </w:pPr>
            <w:r w:rsidRPr="003A7E34">
              <w:rPr>
                <w:rFonts w:eastAsia="Times New Roman"/>
                <w:sz w:val="20"/>
                <w:szCs w:val="20"/>
                <w:lang w:val="en-US"/>
              </w:rPr>
              <w:t>423</w:t>
            </w:r>
          </w:p>
        </w:tc>
        <w:tc>
          <w:tcPr>
            <w:tcW w:w="1134" w:type="dxa"/>
          </w:tcPr>
          <w:p w14:paraId="46C945FC" w14:textId="14E14AE5" w:rsidR="007707C9" w:rsidRPr="003A7E34" w:rsidRDefault="001A22B4" w:rsidP="5E230566">
            <w:pPr>
              <w:spacing w:before="0" w:after="0"/>
              <w:rPr>
                <w:rFonts w:eastAsia="Times New Roman"/>
                <w:sz w:val="20"/>
                <w:szCs w:val="20"/>
                <w:lang w:val="en-US"/>
              </w:rPr>
            </w:pPr>
            <w:r w:rsidRPr="003A7E34">
              <w:rPr>
                <w:rFonts w:eastAsia="Times New Roman"/>
                <w:sz w:val="20"/>
                <w:szCs w:val="20"/>
                <w:lang w:val="en-US"/>
              </w:rPr>
              <w:t>x</w:t>
            </w:r>
          </w:p>
        </w:tc>
      </w:tr>
      <w:tr w:rsidR="003A7E34" w:rsidRPr="003A7E34" w14:paraId="1FB20BB2" w14:textId="77777777" w:rsidTr="002F45C0">
        <w:trPr>
          <w:trHeight w:val="745"/>
        </w:trPr>
        <w:tc>
          <w:tcPr>
            <w:tcW w:w="1560" w:type="dxa"/>
          </w:tcPr>
          <w:p w14:paraId="3D34463F" w14:textId="0CCCEA0B" w:rsidR="007707C9" w:rsidRPr="003A7E34" w:rsidRDefault="007707C9" w:rsidP="002F6BDB">
            <w:pPr>
              <w:spacing w:before="0" w:after="0"/>
              <w:rPr>
                <w:rFonts w:eastAsia="Times New Roman"/>
                <w:sz w:val="20"/>
                <w:szCs w:val="20"/>
                <w:lang w:val="en-US"/>
              </w:rPr>
            </w:pPr>
            <w:r w:rsidRPr="003A7E34">
              <w:rPr>
                <w:rFonts w:eastAsia="Times New Roman"/>
                <w:sz w:val="20"/>
                <w:szCs w:val="20"/>
                <w:lang w:val="en-US"/>
              </w:rPr>
              <w:t>T2. Electrification of railways</w:t>
            </w:r>
          </w:p>
        </w:tc>
        <w:tc>
          <w:tcPr>
            <w:tcW w:w="2551" w:type="dxa"/>
          </w:tcPr>
          <w:p w14:paraId="1977BA60" w14:textId="53FE73DF" w:rsidR="007707C9" w:rsidRPr="003A7E34" w:rsidRDefault="00B47B9C" w:rsidP="0085444C">
            <w:pPr>
              <w:spacing w:before="0" w:after="0"/>
              <w:rPr>
                <w:rFonts w:eastAsia="Times New Roman"/>
                <w:sz w:val="20"/>
                <w:szCs w:val="20"/>
                <w:lang w:val="en-US"/>
              </w:rPr>
            </w:pPr>
            <w:r w:rsidRPr="003A7E34">
              <w:rPr>
                <w:rFonts w:eastAsia="Times New Roman"/>
                <w:sz w:val="20"/>
                <w:szCs w:val="20"/>
                <w:lang w:val="en-US"/>
              </w:rPr>
              <w:t>Increase the electricity use as fuel in railways</w:t>
            </w:r>
          </w:p>
        </w:tc>
        <w:tc>
          <w:tcPr>
            <w:tcW w:w="1274" w:type="dxa"/>
          </w:tcPr>
          <w:p w14:paraId="0EFEBC54" w14:textId="0F8093DA" w:rsidR="007707C9" w:rsidRPr="003A7E34" w:rsidRDefault="00D73C62" w:rsidP="00DC2A94">
            <w:pPr>
              <w:spacing w:before="0" w:after="0"/>
              <w:rPr>
                <w:rFonts w:eastAsia="Times New Roman"/>
                <w:sz w:val="20"/>
                <w:szCs w:val="20"/>
                <w:lang w:val="en-US"/>
              </w:rPr>
            </w:pPr>
            <w:r w:rsidRPr="003A7E34">
              <w:rPr>
                <w:rFonts w:eastAsia="Times New Roman"/>
                <w:sz w:val="20"/>
                <w:szCs w:val="20"/>
                <w:lang w:val="en-US"/>
              </w:rPr>
              <w:t>2018–</w:t>
            </w:r>
            <w:r w:rsidR="00E94883" w:rsidRPr="003A7E34">
              <w:rPr>
                <w:rFonts w:eastAsia="Times New Roman"/>
                <w:sz w:val="20"/>
                <w:szCs w:val="20"/>
                <w:lang w:val="en-US"/>
              </w:rPr>
              <w:t>2027</w:t>
            </w:r>
          </w:p>
        </w:tc>
        <w:tc>
          <w:tcPr>
            <w:tcW w:w="1703" w:type="dxa"/>
          </w:tcPr>
          <w:p w14:paraId="25444386" w14:textId="0406ABF0" w:rsidR="007707C9" w:rsidRPr="003A7E34" w:rsidRDefault="007707C9" w:rsidP="00DC2A94">
            <w:pPr>
              <w:spacing w:before="0" w:after="0"/>
              <w:rPr>
                <w:rFonts w:eastAsia="Times New Roman"/>
                <w:sz w:val="20"/>
                <w:szCs w:val="20"/>
                <w:lang w:val="en-US"/>
              </w:rPr>
            </w:pPr>
            <w:r w:rsidRPr="003A7E34">
              <w:rPr>
                <w:rFonts w:eastAsia="Times New Roman"/>
                <w:sz w:val="20"/>
                <w:szCs w:val="20"/>
                <w:lang w:val="en-US"/>
              </w:rPr>
              <w:t>Ministry of Transport</w:t>
            </w:r>
          </w:p>
        </w:tc>
        <w:tc>
          <w:tcPr>
            <w:tcW w:w="1417" w:type="dxa"/>
          </w:tcPr>
          <w:p w14:paraId="2135C666" w14:textId="25D443A8" w:rsidR="007707C9" w:rsidRPr="003A7E34" w:rsidRDefault="00091DAB" w:rsidP="00DC2A94">
            <w:pPr>
              <w:spacing w:before="0" w:after="0"/>
              <w:rPr>
                <w:rFonts w:eastAsia="Times New Roman"/>
                <w:sz w:val="20"/>
                <w:szCs w:val="20"/>
                <w:lang w:val="en-US"/>
              </w:rPr>
            </w:pPr>
            <w:r w:rsidRPr="003A7E34">
              <w:rPr>
                <w:rFonts w:eastAsia="Times New Roman"/>
                <w:sz w:val="20"/>
                <w:szCs w:val="20"/>
                <w:lang w:val="en-US"/>
              </w:rPr>
              <w:t>1115</w:t>
            </w:r>
          </w:p>
        </w:tc>
        <w:tc>
          <w:tcPr>
            <w:tcW w:w="1134" w:type="dxa"/>
          </w:tcPr>
          <w:p w14:paraId="27090282" w14:textId="049C0C2A" w:rsidR="007707C9" w:rsidRPr="003A7E34" w:rsidRDefault="001A22B4" w:rsidP="00DC2A94">
            <w:pPr>
              <w:spacing w:before="0" w:after="0"/>
              <w:rPr>
                <w:rFonts w:eastAsia="Times New Roman"/>
                <w:sz w:val="20"/>
                <w:szCs w:val="20"/>
                <w:lang w:val="en-US"/>
              </w:rPr>
            </w:pPr>
            <w:r w:rsidRPr="003A7E34">
              <w:rPr>
                <w:rFonts w:eastAsia="Times New Roman"/>
                <w:sz w:val="20"/>
                <w:szCs w:val="20"/>
                <w:lang w:val="en-US"/>
              </w:rPr>
              <w:t>x</w:t>
            </w:r>
          </w:p>
        </w:tc>
      </w:tr>
      <w:tr w:rsidR="003A7E34" w:rsidRPr="003A7E34" w14:paraId="67A8F009" w14:textId="77777777" w:rsidTr="002F45C0">
        <w:trPr>
          <w:trHeight w:val="285"/>
        </w:trPr>
        <w:tc>
          <w:tcPr>
            <w:tcW w:w="1560" w:type="dxa"/>
          </w:tcPr>
          <w:p w14:paraId="4DF05554" w14:textId="3958A2D7" w:rsidR="007707C9" w:rsidRPr="003A7E34" w:rsidRDefault="00E94883" w:rsidP="002F6BDB">
            <w:pPr>
              <w:spacing w:before="0" w:after="0"/>
              <w:rPr>
                <w:rFonts w:eastAsia="Times New Roman"/>
                <w:sz w:val="20"/>
                <w:szCs w:val="20"/>
                <w:lang w:val="en-US"/>
              </w:rPr>
            </w:pPr>
            <w:r w:rsidRPr="003A7E34">
              <w:rPr>
                <w:rFonts w:eastAsia="Times New Roman"/>
                <w:sz w:val="20"/>
                <w:szCs w:val="20"/>
                <w:lang w:val="en-US"/>
              </w:rPr>
              <w:t>T3</w:t>
            </w:r>
            <w:r w:rsidR="007707C9" w:rsidRPr="003A7E34">
              <w:rPr>
                <w:rFonts w:eastAsia="Times New Roman"/>
                <w:sz w:val="20"/>
                <w:szCs w:val="20"/>
                <w:lang w:val="en-US"/>
              </w:rPr>
              <w:t>. Improvement of road infrastructure</w:t>
            </w:r>
          </w:p>
        </w:tc>
        <w:tc>
          <w:tcPr>
            <w:tcW w:w="2551" w:type="dxa"/>
          </w:tcPr>
          <w:p w14:paraId="18064D89" w14:textId="67A191AC" w:rsidR="007707C9" w:rsidRPr="003A7E34" w:rsidRDefault="00B47B9C" w:rsidP="00091DAB">
            <w:pPr>
              <w:spacing w:before="0" w:after="0"/>
              <w:rPr>
                <w:rFonts w:eastAsia="Times New Roman"/>
                <w:sz w:val="20"/>
                <w:szCs w:val="20"/>
                <w:lang w:val="en-US"/>
              </w:rPr>
            </w:pPr>
            <w:r w:rsidRPr="003A7E34">
              <w:rPr>
                <w:rFonts w:eastAsia="Times New Roman"/>
                <w:sz w:val="20"/>
                <w:szCs w:val="20"/>
                <w:lang w:val="en-US"/>
              </w:rPr>
              <w:t>To improve the existing road infrastructure and increase the share of asphalt roads in the network of state roads.</w:t>
            </w:r>
          </w:p>
        </w:tc>
        <w:tc>
          <w:tcPr>
            <w:tcW w:w="1274" w:type="dxa"/>
          </w:tcPr>
          <w:p w14:paraId="17F14054" w14:textId="639C47C4" w:rsidR="007707C9" w:rsidRPr="003A7E34" w:rsidRDefault="00A02C01" w:rsidP="00DC2A94">
            <w:pPr>
              <w:spacing w:before="0" w:after="0"/>
              <w:rPr>
                <w:rFonts w:eastAsia="Times New Roman"/>
                <w:sz w:val="20"/>
                <w:szCs w:val="20"/>
                <w:lang w:val="en-US"/>
              </w:rPr>
            </w:pPr>
            <w:r w:rsidRPr="003A7E34">
              <w:rPr>
                <w:rFonts w:eastAsia="Times New Roman"/>
                <w:sz w:val="20"/>
                <w:szCs w:val="20"/>
                <w:lang w:val="en-US"/>
              </w:rPr>
              <w:t>2018</w:t>
            </w:r>
            <w:r w:rsidR="00E94883" w:rsidRPr="003A7E34">
              <w:rPr>
                <w:rFonts w:eastAsia="Times New Roman"/>
                <w:sz w:val="20"/>
                <w:szCs w:val="20"/>
                <w:lang w:val="en-US"/>
              </w:rPr>
              <w:t>–</w:t>
            </w:r>
            <w:r w:rsidRPr="003A7E34">
              <w:rPr>
                <w:rFonts w:eastAsia="Times New Roman"/>
                <w:sz w:val="20"/>
                <w:szCs w:val="20"/>
                <w:lang w:val="en-US"/>
              </w:rPr>
              <w:t>2020</w:t>
            </w:r>
          </w:p>
        </w:tc>
        <w:tc>
          <w:tcPr>
            <w:tcW w:w="1703" w:type="dxa"/>
          </w:tcPr>
          <w:p w14:paraId="2F63A230" w14:textId="132BF20B" w:rsidR="007707C9" w:rsidRPr="003A7E34" w:rsidRDefault="007707C9" w:rsidP="00DC2A94">
            <w:pPr>
              <w:spacing w:before="0" w:after="0"/>
              <w:rPr>
                <w:rFonts w:eastAsia="Times New Roman"/>
                <w:sz w:val="20"/>
                <w:szCs w:val="20"/>
                <w:lang w:val="en-US"/>
              </w:rPr>
            </w:pPr>
            <w:r w:rsidRPr="003A7E34">
              <w:rPr>
                <w:rFonts w:eastAsia="Times New Roman"/>
                <w:sz w:val="20"/>
                <w:szCs w:val="20"/>
                <w:lang w:val="en-US"/>
              </w:rPr>
              <w:t>Ministry of Transport</w:t>
            </w:r>
          </w:p>
          <w:p w14:paraId="48251DB7" w14:textId="1C51E50E" w:rsidR="007707C9" w:rsidRPr="003A7E34" w:rsidRDefault="007707C9" w:rsidP="00DC2A94">
            <w:pPr>
              <w:spacing w:before="0" w:after="0"/>
              <w:rPr>
                <w:rFonts w:eastAsia="Times New Roman"/>
                <w:sz w:val="20"/>
                <w:szCs w:val="20"/>
                <w:lang w:val="en-US"/>
              </w:rPr>
            </w:pPr>
            <w:r w:rsidRPr="003A7E34">
              <w:rPr>
                <w:rFonts w:eastAsia="Times New Roman"/>
                <w:sz w:val="20"/>
                <w:szCs w:val="20"/>
                <w:lang w:val="en-US"/>
              </w:rPr>
              <w:t>Municipalities</w:t>
            </w:r>
          </w:p>
        </w:tc>
        <w:tc>
          <w:tcPr>
            <w:tcW w:w="1417" w:type="dxa"/>
          </w:tcPr>
          <w:p w14:paraId="44D94853" w14:textId="2B8E7597" w:rsidR="007707C9" w:rsidRPr="003A7E34" w:rsidRDefault="002A7E44" w:rsidP="00DC2A94">
            <w:pPr>
              <w:spacing w:before="0" w:after="0"/>
              <w:rPr>
                <w:rFonts w:eastAsia="Times New Roman"/>
                <w:sz w:val="20"/>
                <w:szCs w:val="20"/>
                <w:lang w:val="en-US"/>
              </w:rPr>
            </w:pPr>
            <w:r w:rsidRPr="003A7E34">
              <w:rPr>
                <w:rFonts w:eastAsia="Times New Roman"/>
                <w:sz w:val="20"/>
                <w:szCs w:val="20"/>
                <w:lang w:val="en-US"/>
              </w:rPr>
              <w:t>-</w:t>
            </w:r>
          </w:p>
        </w:tc>
        <w:tc>
          <w:tcPr>
            <w:tcW w:w="1134" w:type="dxa"/>
          </w:tcPr>
          <w:p w14:paraId="5EB883E6" w14:textId="00192144" w:rsidR="007707C9" w:rsidRPr="003A7E34" w:rsidRDefault="001A22B4" w:rsidP="00DC2A94">
            <w:pPr>
              <w:spacing w:before="0" w:after="0"/>
              <w:rPr>
                <w:rFonts w:eastAsia="Times New Roman"/>
                <w:sz w:val="20"/>
                <w:szCs w:val="20"/>
                <w:lang w:val="en-US"/>
              </w:rPr>
            </w:pPr>
            <w:r w:rsidRPr="003A7E34">
              <w:rPr>
                <w:rFonts w:eastAsia="Times New Roman"/>
                <w:sz w:val="20"/>
                <w:szCs w:val="20"/>
                <w:lang w:val="en-US"/>
              </w:rPr>
              <w:t>x</w:t>
            </w:r>
          </w:p>
        </w:tc>
      </w:tr>
      <w:tr w:rsidR="003A7E34" w:rsidRPr="003A7E34" w14:paraId="51C9EEF7" w14:textId="77777777" w:rsidTr="002F45C0">
        <w:trPr>
          <w:trHeight w:val="442"/>
        </w:trPr>
        <w:tc>
          <w:tcPr>
            <w:tcW w:w="1560" w:type="dxa"/>
          </w:tcPr>
          <w:p w14:paraId="570D6F2C" w14:textId="49166B0F" w:rsidR="007707C9" w:rsidRPr="003A7E34" w:rsidRDefault="00E94883" w:rsidP="002F6BDB">
            <w:pPr>
              <w:spacing w:before="0" w:after="0"/>
              <w:rPr>
                <w:rFonts w:eastAsia="Times New Roman"/>
                <w:sz w:val="20"/>
                <w:szCs w:val="20"/>
                <w:lang w:val="en-US"/>
              </w:rPr>
            </w:pPr>
            <w:r w:rsidRPr="003A7E34">
              <w:rPr>
                <w:rFonts w:eastAsia="Times New Roman"/>
                <w:sz w:val="20"/>
                <w:szCs w:val="20"/>
                <w:lang w:val="en-US"/>
              </w:rPr>
              <w:t>T4</w:t>
            </w:r>
            <w:r w:rsidR="007707C9" w:rsidRPr="003A7E34">
              <w:rPr>
                <w:rFonts w:eastAsia="Times New Roman"/>
                <w:sz w:val="20"/>
                <w:szCs w:val="20"/>
                <w:lang w:val="en-US"/>
              </w:rPr>
              <w:t xml:space="preserve">. Promote energy efficiency consumption in </w:t>
            </w:r>
            <w:r w:rsidR="005926AF" w:rsidRPr="003A7E34">
              <w:rPr>
                <w:rFonts w:eastAsia="Times New Roman"/>
                <w:sz w:val="20"/>
                <w:szCs w:val="20"/>
                <w:lang w:val="en-US"/>
              </w:rPr>
              <w:t xml:space="preserve">the </w:t>
            </w:r>
            <w:r w:rsidR="007707C9" w:rsidRPr="003A7E34">
              <w:rPr>
                <w:rFonts w:eastAsia="Times New Roman"/>
                <w:sz w:val="20"/>
                <w:szCs w:val="20"/>
                <w:lang w:val="en-US"/>
              </w:rPr>
              <w:t>transport sector</w:t>
            </w:r>
          </w:p>
        </w:tc>
        <w:tc>
          <w:tcPr>
            <w:tcW w:w="2551" w:type="dxa"/>
          </w:tcPr>
          <w:p w14:paraId="396EC606" w14:textId="00C62408" w:rsidR="007707C9" w:rsidRPr="003A7E34" w:rsidRDefault="000A1A4C" w:rsidP="00DC2A94">
            <w:pPr>
              <w:spacing w:before="0" w:after="0"/>
              <w:rPr>
                <w:rFonts w:eastAsia="Times New Roman"/>
                <w:sz w:val="20"/>
                <w:szCs w:val="20"/>
                <w:lang w:val="en-US"/>
              </w:rPr>
            </w:pPr>
            <w:r w:rsidRPr="003A7E34">
              <w:rPr>
                <w:rFonts w:eastAsia="Times New Roman"/>
                <w:sz w:val="20"/>
                <w:szCs w:val="20"/>
                <w:lang w:val="en-US"/>
              </w:rPr>
              <w:t>To assess the impact of tax measures on fossil fuel consumption</w:t>
            </w:r>
          </w:p>
        </w:tc>
        <w:tc>
          <w:tcPr>
            <w:tcW w:w="1274" w:type="dxa"/>
          </w:tcPr>
          <w:p w14:paraId="2BAEBDFD" w14:textId="0E58896A" w:rsidR="007707C9" w:rsidRPr="003A7E34" w:rsidRDefault="002A7E44" w:rsidP="00DC2A94">
            <w:pPr>
              <w:spacing w:before="0" w:after="0"/>
              <w:rPr>
                <w:rFonts w:eastAsia="Times New Roman"/>
                <w:sz w:val="20"/>
                <w:szCs w:val="20"/>
                <w:lang w:val="en-US"/>
              </w:rPr>
            </w:pPr>
            <w:r w:rsidRPr="003A7E34">
              <w:rPr>
                <w:rFonts w:eastAsia="Times New Roman"/>
                <w:sz w:val="20"/>
                <w:szCs w:val="20"/>
                <w:lang w:val="en-US"/>
              </w:rPr>
              <w:t>2014–2030</w:t>
            </w:r>
          </w:p>
        </w:tc>
        <w:tc>
          <w:tcPr>
            <w:tcW w:w="1703" w:type="dxa"/>
          </w:tcPr>
          <w:p w14:paraId="1BA375BC" w14:textId="08CFEC73" w:rsidR="007707C9" w:rsidRPr="003A7E34" w:rsidRDefault="007707C9" w:rsidP="00DC2A94">
            <w:pPr>
              <w:spacing w:before="0" w:after="0"/>
              <w:rPr>
                <w:rFonts w:eastAsia="Times New Roman"/>
                <w:sz w:val="20"/>
                <w:szCs w:val="20"/>
                <w:lang w:val="en-US"/>
              </w:rPr>
            </w:pPr>
            <w:r w:rsidRPr="003A7E34">
              <w:rPr>
                <w:rFonts w:eastAsia="Times New Roman"/>
                <w:sz w:val="20"/>
                <w:szCs w:val="20"/>
                <w:lang w:val="en-US"/>
              </w:rPr>
              <w:t>Ministry of Energy</w:t>
            </w:r>
          </w:p>
          <w:p w14:paraId="02DF066B" w14:textId="68E87886" w:rsidR="007707C9" w:rsidRPr="003A7E34" w:rsidRDefault="007707C9" w:rsidP="00DC2A94">
            <w:pPr>
              <w:spacing w:before="0" w:after="0"/>
              <w:rPr>
                <w:rFonts w:eastAsia="Times New Roman"/>
                <w:sz w:val="20"/>
                <w:szCs w:val="20"/>
                <w:lang w:val="en-US"/>
              </w:rPr>
            </w:pPr>
            <w:r w:rsidRPr="003A7E34">
              <w:rPr>
                <w:rFonts w:eastAsia="Times New Roman"/>
                <w:sz w:val="20"/>
                <w:szCs w:val="20"/>
                <w:lang w:val="en-US"/>
              </w:rPr>
              <w:t>Ministry of Transport</w:t>
            </w:r>
          </w:p>
        </w:tc>
        <w:tc>
          <w:tcPr>
            <w:tcW w:w="1417" w:type="dxa"/>
          </w:tcPr>
          <w:p w14:paraId="69AFA241" w14:textId="03032CEA" w:rsidR="007707C9" w:rsidRPr="003A7E34" w:rsidRDefault="002A7E44" w:rsidP="00DC2A94">
            <w:pPr>
              <w:spacing w:before="0" w:after="0"/>
              <w:rPr>
                <w:rFonts w:eastAsia="Times New Roman"/>
                <w:sz w:val="20"/>
                <w:szCs w:val="20"/>
                <w:lang w:val="en-US"/>
              </w:rPr>
            </w:pPr>
            <w:r w:rsidRPr="003A7E34">
              <w:rPr>
                <w:rFonts w:eastAsia="Times New Roman"/>
                <w:sz w:val="20"/>
                <w:szCs w:val="20"/>
                <w:lang w:val="en-US"/>
              </w:rPr>
              <w:t>-</w:t>
            </w:r>
          </w:p>
        </w:tc>
        <w:tc>
          <w:tcPr>
            <w:tcW w:w="1134" w:type="dxa"/>
          </w:tcPr>
          <w:p w14:paraId="11F07BCC" w14:textId="48766F4F" w:rsidR="007707C9" w:rsidRPr="003A7E34" w:rsidRDefault="001A22B4" w:rsidP="00DC2A94">
            <w:pPr>
              <w:spacing w:before="0" w:after="0"/>
              <w:rPr>
                <w:rFonts w:eastAsia="Times New Roman"/>
                <w:sz w:val="20"/>
                <w:szCs w:val="20"/>
                <w:lang w:val="en-US"/>
              </w:rPr>
            </w:pPr>
            <w:r w:rsidRPr="003A7E34">
              <w:rPr>
                <w:rFonts w:eastAsia="Times New Roman"/>
                <w:sz w:val="20"/>
                <w:szCs w:val="20"/>
                <w:lang w:val="en-US"/>
              </w:rPr>
              <w:t>x</w:t>
            </w:r>
          </w:p>
        </w:tc>
      </w:tr>
      <w:tr w:rsidR="003A7E34" w:rsidRPr="003A7E34" w14:paraId="4A1F7F4F" w14:textId="77777777" w:rsidTr="002F45C0">
        <w:trPr>
          <w:trHeight w:val="420"/>
        </w:trPr>
        <w:tc>
          <w:tcPr>
            <w:tcW w:w="1560" w:type="dxa"/>
          </w:tcPr>
          <w:p w14:paraId="4AE159DD" w14:textId="211D7DE1" w:rsidR="007707C9" w:rsidRPr="003A7E34" w:rsidRDefault="00E94883" w:rsidP="002F6BDB">
            <w:pPr>
              <w:spacing w:before="0" w:after="0"/>
              <w:rPr>
                <w:rFonts w:eastAsia="Times New Roman"/>
                <w:sz w:val="20"/>
                <w:szCs w:val="20"/>
                <w:lang w:val="en-US"/>
              </w:rPr>
            </w:pPr>
            <w:r w:rsidRPr="003A7E34">
              <w:rPr>
                <w:rFonts w:eastAsia="Times New Roman"/>
                <w:sz w:val="20"/>
                <w:szCs w:val="20"/>
                <w:lang w:val="en-US"/>
              </w:rPr>
              <w:t>T5</w:t>
            </w:r>
            <w:r w:rsidR="007707C9" w:rsidRPr="003A7E34">
              <w:rPr>
                <w:rFonts w:eastAsia="Times New Roman"/>
                <w:sz w:val="20"/>
                <w:szCs w:val="20"/>
                <w:lang w:val="en-US"/>
              </w:rPr>
              <w:t>. Sustainable mobility plans</w:t>
            </w:r>
          </w:p>
        </w:tc>
        <w:tc>
          <w:tcPr>
            <w:tcW w:w="2551" w:type="dxa"/>
          </w:tcPr>
          <w:p w14:paraId="5E7AB352" w14:textId="02D1E16B" w:rsidR="007707C9" w:rsidRPr="003A7E34" w:rsidRDefault="007707C9" w:rsidP="005926AF">
            <w:pPr>
              <w:spacing w:before="0" w:after="0"/>
              <w:rPr>
                <w:rFonts w:eastAsia="Times New Roman"/>
                <w:sz w:val="20"/>
                <w:szCs w:val="20"/>
                <w:lang w:val="en-US"/>
              </w:rPr>
            </w:pPr>
            <w:r w:rsidRPr="003A7E34">
              <w:rPr>
                <w:rFonts w:eastAsia="Times New Roman"/>
                <w:sz w:val="20"/>
                <w:szCs w:val="20"/>
                <w:lang w:val="en-US"/>
              </w:rPr>
              <w:t>The measures provided in the Sustainable Mobility Plans of municipalities are promoting the use of alternative modes of transport</w:t>
            </w:r>
            <w:r w:rsidR="005926AF" w:rsidRPr="003A7E34">
              <w:rPr>
                <w:rFonts w:eastAsia="Times New Roman"/>
                <w:sz w:val="20"/>
                <w:szCs w:val="20"/>
                <w:lang w:val="en-US"/>
              </w:rPr>
              <w:t>ation</w:t>
            </w:r>
            <w:r w:rsidRPr="003A7E34">
              <w:rPr>
                <w:rFonts w:eastAsia="Times New Roman"/>
                <w:sz w:val="20"/>
                <w:szCs w:val="20"/>
                <w:lang w:val="en-US"/>
              </w:rPr>
              <w:t xml:space="preserve">: walking, cycling, public transport and identifies the need for infrastructure for these types of transport, encouraging the use of renewable fuels. </w:t>
            </w:r>
          </w:p>
        </w:tc>
        <w:tc>
          <w:tcPr>
            <w:tcW w:w="1274" w:type="dxa"/>
          </w:tcPr>
          <w:p w14:paraId="2A879804" w14:textId="62A560B1" w:rsidR="007707C9" w:rsidRPr="003A7E34" w:rsidRDefault="006D2E72" w:rsidP="00DC2A94">
            <w:pPr>
              <w:spacing w:before="0" w:after="0"/>
              <w:rPr>
                <w:rFonts w:eastAsia="Times New Roman"/>
                <w:sz w:val="20"/>
                <w:szCs w:val="20"/>
                <w:lang w:val="en-US"/>
              </w:rPr>
            </w:pPr>
            <w:r w:rsidRPr="003A7E34">
              <w:rPr>
                <w:rFonts w:eastAsia="Times New Roman"/>
                <w:sz w:val="20"/>
                <w:szCs w:val="20"/>
                <w:lang w:val="en-US"/>
              </w:rPr>
              <w:t>2018–2030</w:t>
            </w:r>
          </w:p>
        </w:tc>
        <w:tc>
          <w:tcPr>
            <w:tcW w:w="1703" w:type="dxa"/>
          </w:tcPr>
          <w:p w14:paraId="30B54C8C" w14:textId="117AAE90" w:rsidR="007707C9" w:rsidRPr="003A7E34" w:rsidRDefault="007707C9" w:rsidP="00DC2A94">
            <w:pPr>
              <w:spacing w:before="0" w:after="0"/>
              <w:rPr>
                <w:rFonts w:eastAsia="Times New Roman"/>
                <w:sz w:val="20"/>
                <w:szCs w:val="20"/>
                <w:lang w:val="en-US"/>
              </w:rPr>
            </w:pPr>
            <w:r w:rsidRPr="003A7E34">
              <w:rPr>
                <w:rFonts w:eastAsia="Times New Roman"/>
                <w:sz w:val="20"/>
                <w:szCs w:val="20"/>
                <w:lang w:val="en-US"/>
              </w:rPr>
              <w:t>Ministry of Transport</w:t>
            </w:r>
          </w:p>
          <w:p w14:paraId="489EEB2D" w14:textId="36465846" w:rsidR="007707C9" w:rsidRPr="003A7E34" w:rsidRDefault="007707C9" w:rsidP="00DC2A94">
            <w:pPr>
              <w:spacing w:before="0" w:after="0"/>
              <w:rPr>
                <w:rFonts w:eastAsia="Times New Roman"/>
                <w:sz w:val="20"/>
                <w:szCs w:val="20"/>
                <w:lang w:val="en-US"/>
              </w:rPr>
            </w:pPr>
            <w:r w:rsidRPr="003A7E34">
              <w:rPr>
                <w:rFonts w:eastAsia="Times New Roman"/>
                <w:sz w:val="20"/>
                <w:szCs w:val="20"/>
                <w:lang w:val="en-US"/>
              </w:rPr>
              <w:t>Municipalities</w:t>
            </w:r>
          </w:p>
        </w:tc>
        <w:tc>
          <w:tcPr>
            <w:tcW w:w="1417" w:type="dxa"/>
          </w:tcPr>
          <w:p w14:paraId="243E3E7C" w14:textId="5B3447B1" w:rsidR="007707C9" w:rsidRPr="003A7E34" w:rsidRDefault="00091DAB" w:rsidP="00DC2A94">
            <w:pPr>
              <w:spacing w:before="0" w:after="0"/>
              <w:rPr>
                <w:rFonts w:eastAsia="Times New Roman"/>
                <w:sz w:val="20"/>
                <w:szCs w:val="20"/>
                <w:lang w:val="en-US"/>
              </w:rPr>
            </w:pPr>
            <w:r w:rsidRPr="003A7E34">
              <w:rPr>
                <w:rFonts w:eastAsia="Times New Roman"/>
                <w:sz w:val="20"/>
                <w:szCs w:val="20"/>
                <w:lang w:val="en-US"/>
              </w:rPr>
              <w:t>1524</w:t>
            </w:r>
          </w:p>
        </w:tc>
        <w:tc>
          <w:tcPr>
            <w:tcW w:w="1134" w:type="dxa"/>
          </w:tcPr>
          <w:p w14:paraId="02EFF1E5" w14:textId="0E50AABA" w:rsidR="007707C9" w:rsidRPr="003A7E34" w:rsidRDefault="001A22B4" w:rsidP="00DC2A94">
            <w:pPr>
              <w:spacing w:before="0" w:after="0"/>
              <w:rPr>
                <w:rFonts w:eastAsia="Times New Roman"/>
                <w:sz w:val="20"/>
                <w:szCs w:val="20"/>
                <w:lang w:val="en-US"/>
              </w:rPr>
            </w:pPr>
            <w:r w:rsidRPr="003A7E34">
              <w:rPr>
                <w:rFonts w:eastAsia="Times New Roman"/>
                <w:sz w:val="20"/>
                <w:szCs w:val="20"/>
                <w:lang w:val="en-US"/>
              </w:rPr>
              <w:t>x</w:t>
            </w:r>
          </w:p>
        </w:tc>
      </w:tr>
      <w:tr w:rsidR="003A7E34" w:rsidRPr="003A7E34" w14:paraId="436F8A7C" w14:textId="77777777" w:rsidTr="002F45C0">
        <w:trPr>
          <w:trHeight w:val="1336"/>
        </w:trPr>
        <w:tc>
          <w:tcPr>
            <w:tcW w:w="1560" w:type="dxa"/>
          </w:tcPr>
          <w:p w14:paraId="3563DE7B" w14:textId="1E021187" w:rsidR="007707C9" w:rsidRPr="003A7E34" w:rsidRDefault="00E94883" w:rsidP="002F6BDB">
            <w:pPr>
              <w:spacing w:before="0" w:after="0"/>
              <w:rPr>
                <w:rFonts w:eastAsia="Times New Roman"/>
                <w:sz w:val="20"/>
                <w:szCs w:val="20"/>
                <w:lang w:val="en-US"/>
              </w:rPr>
            </w:pPr>
            <w:r w:rsidRPr="003A7E34">
              <w:rPr>
                <w:rFonts w:eastAsia="Times New Roman"/>
                <w:sz w:val="20"/>
                <w:szCs w:val="20"/>
                <w:lang w:val="en-US"/>
              </w:rPr>
              <w:t>T6</w:t>
            </w:r>
            <w:r w:rsidR="007707C9" w:rsidRPr="003A7E34">
              <w:rPr>
                <w:rFonts w:eastAsia="Times New Roman"/>
                <w:sz w:val="20"/>
                <w:szCs w:val="20"/>
                <w:lang w:val="en-US"/>
              </w:rPr>
              <w:t>. Promoting alternative fuel use in urban public transport vehicles</w:t>
            </w:r>
          </w:p>
        </w:tc>
        <w:tc>
          <w:tcPr>
            <w:tcW w:w="2551" w:type="dxa"/>
          </w:tcPr>
          <w:p w14:paraId="535AEAED" w14:textId="77777777" w:rsidR="007707C9" w:rsidRPr="003A7E34" w:rsidRDefault="007707C9" w:rsidP="00DC2A94">
            <w:pPr>
              <w:spacing w:before="0" w:after="0"/>
              <w:rPr>
                <w:rFonts w:eastAsia="Times New Roman"/>
                <w:sz w:val="20"/>
                <w:szCs w:val="20"/>
                <w:lang w:val="en-US"/>
              </w:rPr>
            </w:pPr>
            <w:r w:rsidRPr="003A7E34">
              <w:rPr>
                <w:rFonts w:eastAsia="Times New Roman"/>
                <w:sz w:val="20"/>
                <w:szCs w:val="20"/>
                <w:lang w:val="en-US"/>
              </w:rPr>
              <w:t>The support from EU funds to municipal administrations for purchasing low-emission urban public transport vehicles (EU-funded instrument for 2014-2020, which should be continued)</w:t>
            </w:r>
          </w:p>
        </w:tc>
        <w:tc>
          <w:tcPr>
            <w:tcW w:w="1274" w:type="dxa"/>
          </w:tcPr>
          <w:p w14:paraId="7AB4B9C2" w14:textId="6770643A" w:rsidR="007707C9" w:rsidRPr="003A7E34" w:rsidRDefault="1F603D79" w:rsidP="1F603D79">
            <w:pPr>
              <w:spacing w:before="0" w:after="0"/>
              <w:rPr>
                <w:rFonts w:eastAsia="Times New Roman"/>
                <w:sz w:val="20"/>
                <w:szCs w:val="20"/>
                <w:lang w:val="en-US"/>
              </w:rPr>
            </w:pPr>
            <w:r w:rsidRPr="003A7E34">
              <w:rPr>
                <w:rFonts w:eastAsia="Times New Roman"/>
                <w:sz w:val="20"/>
                <w:szCs w:val="20"/>
                <w:lang w:val="en-US"/>
              </w:rPr>
              <w:t>2015–2027</w:t>
            </w:r>
          </w:p>
        </w:tc>
        <w:tc>
          <w:tcPr>
            <w:tcW w:w="1703" w:type="dxa"/>
          </w:tcPr>
          <w:p w14:paraId="01F42500" w14:textId="2CEC2784" w:rsidR="007707C9" w:rsidRPr="003A7E34" w:rsidRDefault="007707C9" w:rsidP="00DC2A94">
            <w:pPr>
              <w:spacing w:before="0" w:after="0"/>
              <w:rPr>
                <w:rFonts w:eastAsia="Times New Roman"/>
                <w:sz w:val="20"/>
                <w:szCs w:val="20"/>
                <w:lang w:val="en-US"/>
              </w:rPr>
            </w:pPr>
            <w:r w:rsidRPr="003A7E34">
              <w:rPr>
                <w:rFonts w:eastAsia="Times New Roman"/>
                <w:sz w:val="20"/>
                <w:szCs w:val="20"/>
                <w:lang w:val="en-US"/>
              </w:rPr>
              <w:t>Ministry of Transport</w:t>
            </w:r>
          </w:p>
          <w:p w14:paraId="4F873DAD" w14:textId="0E3C138C" w:rsidR="007707C9" w:rsidRPr="003A7E34" w:rsidRDefault="007707C9" w:rsidP="00DC2A94">
            <w:pPr>
              <w:spacing w:before="0" w:after="0"/>
              <w:rPr>
                <w:rFonts w:eastAsia="Times New Roman"/>
                <w:sz w:val="20"/>
                <w:szCs w:val="20"/>
                <w:lang w:val="en-US"/>
              </w:rPr>
            </w:pPr>
            <w:r w:rsidRPr="003A7E34">
              <w:rPr>
                <w:rFonts w:eastAsia="Times New Roman"/>
                <w:sz w:val="20"/>
                <w:szCs w:val="20"/>
                <w:lang w:val="en-US"/>
              </w:rPr>
              <w:t>Municipalities</w:t>
            </w:r>
          </w:p>
        </w:tc>
        <w:tc>
          <w:tcPr>
            <w:tcW w:w="1417" w:type="dxa"/>
          </w:tcPr>
          <w:p w14:paraId="61F3628F" w14:textId="7FAF2BF6" w:rsidR="007707C9" w:rsidRPr="003A7E34" w:rsidRDefault="00091DAB" w:rsidP="00DC2A94">
            <w:pPr>
              <w:spacing w:before="0" w:after="0"/>
              <w:rPr>
                <w:rFonts w:eastAsia="Times New Roman"/>
                <w:sz w:val="20"/>
                <w:szCs w:val="20"/>
                <w:lang w:val="en-US"/>
              </w:rPr>
            </w:pPr>
            <w:r w:rsidRPr="003A7E34">
              <w:rPr>
                <w:rFonts w:eastAsia="Times New Roman"/>
                <w:sz w:val="20"/>
                <w:szCs w:val="20"/>
                <w:lang w:val="en-US"/>
              </w:rPr>
              <w:t>2</w:t>
            </w:r>
          </w:p>
        </w:tc>
        <w:tc>
          <w:tcPr>
            <w:tcW w:w="1134" w:type="dxa"/>
          </w:tcPr>
          <w:p w14:paraId="5118E755" w14:textId="08E620F1" w:rsidR="007707C9" w:rsidRPr="003A7E34" w:rsidRDefault="00D15222" w:rsidP="00DB3658">
            <w:pPr>
              <w:spacing w:before="0" w:after="0"/>
              <w:jc w:val="center"/>
              <w:rPr>
                <w:rFonts w:eastAsia="Times New Roman"/>
                <w:sz w:val="20"/>
                <w:szCs w:val="20"/>
                <w:vertAlign w:val="superscript"/>
                <w:lang w:val="en-US"/>
              </w:rPr>
            </w:pPr>
            <w:r w:rsidRPr="003A7E34">
              <w:rPr>
                <w:rFonts w:eastAsia="Times New Roman"/>
                <w:sz w:val="20"/>
                <w:szCs w:val="20"/>
                <w:lang w:val="en-US"/>
              </w:rPr>
              <w:t>200</w:t>
            </w:r>
            <w:r w:rsidR="00DB3658" w:rsidRPr="003A7E34">
              <w:rPr>
                <w:rFonts w:eastAsia="Times New Roman"/>
                <w:sz w:val="20"/>
                <w:szCs w:val="20"/>
                <w:vertAlign w:val="superscript"/>
                <w:lang w:val="en-US"/>
              </w:rPr>
              <w:t>1</w:t>
            </w:r>
          </w:p>
        </w:tc>
      </w:tr>
      <w:tr w:rsidR="003A7E34" w:rsidRPr="003A7E34" w14:paraId="21AB9A98" w14:textId="77777777" w:rsidTr="00CC5C11">
        <w:trPr>
          <w:trHeight w:val="73"/>
        </w:trPr>
        <w:tc>
          <w:tcPr>
            <w:tcW w:w="7088" w:type="dxa"/>
            <w:gridSpan w:val="4"/>
          </w:tcPr>
          <w:p w14:paraId="1FE250CD" w14:textId="3B876E4E" w:rsidR="005D4261" w:rsidRPr="003A7E34" w:rsidRDefault="005D4261" w:rsidP="00DC2A94">
            <w:pPr>
              <w:spacing w:before="0" w:after="0"/>
              <w:jc w:val="right"/>
              <w:rPr>
                <w:rFonts w:eastAsia="Times New Roman"/>
                <w:sz w:val="20"/>
                <w:szCs w:val="20"/>
                <w:lang w:val="en-US"/>
              </w:rPr>
            </w:pPr>
            <w:r w:rsidRPr="003A7E34">
              <w:rPr>
                <w:rFonts w:eastAsia="Times New Roman"/>
                <w:sz w:val="20"/>
                <w:szCs w:val="20"/>
                <w:lang w:val="en-US"/>
              </w:rPr>
              <w:t>Total adopted:</w:t>
            </w:r>
          </w:p>
        </w:tc>
        <w:tc>
          <w:tcPr>
            <w:tcW w:w="1417" w:type="dxa"/>
          </w:tcPr>
          <w:p w14:paraId="4842822B" w14:textId="7E367453" w:rsidR="005D4261" w:rsidRPr="003A7E34" w:rsidRDefault="00091DAB" w:rsidP="00DC2A94">
            <w:pPr>
              <w:spacing w:before="0" w:after="0"/>
              <w:rPr>
                <w:rFonts w:eastAsia="Times New Roman"/>
                <w:sz w:val="20"/>
                <w:szCs w:val="20"/>
                <w:lang w:val="en-US"/>
              </w:rPr>
            </w:pPr>
            <w:r w:rsidRPr="003A7E34">
              <w:rPr>
                <w:rFonts w:eastAsia="Times New Roman"/>
                <w:sz w:val="20"/>
                <w:szCs w:val="20"/>
                <w:lang w:val="en-US"/>
              </w:rPr>
              <w:t>3064</w:t>
            </w:r>
          </w:p>
        </w:tc>
        <w:tc>
          <w:tcPr>
            <w:tcW w:w="1134" w:type="dxa"/>
            <w:vAlign w:val="bottom"/>
          </w:tcPr>
          <w:p w14:paraId="3A888037" w14:textId="77777777" w:rsidR="005D4261" w:rsidRPr="003A7E34" w:rsidRDefault="005D4261" w:rsidP="00DC2A94">
            <w:pPr>
              <w:spacing w:before="0" w:after="0"/>
              <w:rPr>
                <w:rFonts w:eastAsia="Times New Roman"/>
                <w:sz w:val="20"/>
                <w:szCs w:val="20"/>
                <w:lang w:val="en-US"/>
              </w:rPr>
            </w:pPr>
          </w:p>
        </w:tc>
      </w:tr>
      <w:tr w:rsidR="003A7E34" w:rsidRPr="003A7E34" w14:paraId="029BF0BB" w14:textId="77777777" w:rsidTr="1F603D79">
        <w:trPr>
          <w:trHeight w:val="276"/>
        </w:trPr>
        <w:tc>
          <w:tcPr>
            <w:tcW w:w="9639" w:type="dxa"/>
            <w:gridSpan w:val="6"/>
          </w:tcPr>
          <w:p w14:paraId="374F91DF" w14:textId="4F318C3B" w:rsidR="00D73C62" w:rsidRPr="003A7E34" w:rsidRDefault="00D73C62" w:rsidP="00DC2A94">
            <w:pPr>
              <w:spacing w:before="0" w:after="0"/>
              <w:jc w:val="center"/>
              <w:rPr>
                <w:rFonts w:eastAsia="Times New Roman"/>
                <w:sz w:val="20"/>
                <w:szCs w:val="20"/>
                <w:lang w:val="en-US"/>
              </w:rPr>
            </w:pPr>
            <w:r w:rsidRPr="003A7E34">
              <w:rPr>
                <w:rFonts w:eastAsia="Times New Roman"/>
                <w:b/>
                <w:bCs/>
                <w:sz w:val="20"/>
                <w:szCs w:val="20"/>
                <w:lang w:val="en-US"/>
              </w:rPr>
              <w:t>Planned/provisional measures</w:t>
            </w:r>
          </w:p>
        </w:tc>
      </w:tr>
      <w:tr w:rsidR="003A7E34" w:rsidRPr="003A7E34" w14:paraId="700B9F7D" w14:textId="77777777" w:rsidTr="002F45C0">
        <w:trPr>
          <w:trHeight w:val="100"/>
        </w:trPr>
        <w:tc>
          <w:tcPr>
            <w:tcW w:w="1560" w:type="dxa"/>
          </w:tcPr>
          <w:p w14:paraId="6610AC16" w14:textId="5130EBCE" w:rsidR="007707C9" w:rsidRPr="003A7E34" w:rsidRDefault="00E94883" w:rsidP="002F6BDB">
            <w:pPr>
              <w:spacing w:before="0" w:after="0"/>
              <w:rPr>
                <w:rFonts w:eastAsia="Times New Roman"/>
                <w:sz w:val="20"/>
                <w:szCs w:val="20"/>
                <w:lang w:val="en-US"/>
              </w:rPr>
            </w:pPr>
            <w:r w:rsidRPr="003A7E34">
              <w:rPr>
                <w:rFonts w:eastAsia="Times New Roman"/>
                <w:sz w:val="20"/>
                <w:szCs w:val="20"/>
                <w:lang w:val="en-US"/>
              </w:rPr>
              <w:t>T7</w:t>
            </w:r>
            <w:r w:rsidR="007707C9" w:rsidRPr="003A7E34">
              <w:rPr>
                <w:rFonts w:eastAsia="Times New Roman"/>
                <w:sz w:val="20"/>
                <w:szCs w:val="20"/>
                <w:lang w:val="en-US"/>
              </w:rPr>
              <w:t>. Formation and promotion of eco-driving skills</w:t>
            </w:r>
          </w:p>
        </w:tc>
        <w:tc>
          <w:tcPr>
            <w:tcW w:w="2551" w:type="dxa"/>
          </w:tcPr>
          <w:p w14:paraId="28A6C067" w14:textId="2F8202A6" w:rsidR="007707C9" w:rsidRPr="003A7E34" w:rsidRDefault="00B47B9C" w:rsidP="000A1A4C">
            <w:pPr>
              <w:spacing w:before="0" w:after="0"/>
              <w:rPr>
                <w:rFonts w:eastAsia="Times New Roman"/>
                <w:sz w:val="20"/>
                <w:szCs w:val="20"/>
                <w:lang w:val="en-US"/>
              </w:rPr>
            </w:pPr>
            <w:r w:rsidRPr="003A7E34">
              <w:rPr>
                <w:rFonts w:eastAsia="Times New Roman"/>
                <w:sz w:val="20"/>
                <w:szCs w:val="20"/>
                <w:lang w:val="en-US"/>
              </w:rPr>
              <w:t>Decrease of fuel consumption in due to changing in driving skills.</w:t>
            </w:r>
          </w:p>
        </w:tc>
        <w:tc>
          <w:tcPr>
            <w:tcW w:w="1274" w:type="dxa"/>
          </w:tcPr>
          <w:p w14:paraId="6A0B9E46" w14:textId="3A5F8CEC" w:rsidR="007707C9" w:rsidRPr="003A7E34" w:rsidRDefault="006D2E72" w:rsidP="00DC2A94">
            <w:pPr>
              <w:spacing w:before="0" w:after="0"/>
              <w:rPr>
                <w:rFonts w:eastAsia="Times New Roman"/>
                <w:sz w:val="20"/>
                <w:szCs w:val="20"/>
                <w:lang w:val="en-US"/>
              </w:rPr>
            </w:pPr>
            <w:r w:rsidRPr="003A7E34">
              <w:rPr>
                <w:rFonts w:eastAsia="Times New Roman"/>
                <w:sz w:val="20"/>
                <w:szCs w:val="20"/>
                <w:lang w:val="en-US"/>
              </w:rPr>
              <w:t>2021</w:t>
            </w:r>
            <w:r w:rsidR="002A7E44" w:rsidRPr="003A7E34">
              <w:rPr>
                <w:rFonts w:eastAsia="Times New Roman"/>
                <w:sz w:val="20"/>
                <w:szCs w:val="20"/>
                <w:lang w:val="en-US"/>
              </w:rPr>
              <w:t>–</w:t>
            </w:r>
            <w:r w:rsidRPr="003A7E34">
              <w:rPr>
                <w:rFonts w:eastAsia="Times New Roman"/>
                <w:sz w:val="20"/>
                <w:szCs w:val="20"/>
                <w:lang w:val="en-US"/>
              </w:rPr>
              <w:t>2030</w:t>
            </w:r>
          </w:p>
        </w:tc>
        <w:tc>
          <w:tcPr>
            <w:tcW w:w="1703" w:type="dxa"/>
          </w:tcPr>
          <w:p w14:paraId="7C7AEC74" w14:textId="28E165D0" w:rsidR="007707C9" w:rsidRPr="003A7E34" w:rsidRDefault="007707C9" w:rsidP="00DC2A94">
            <w:pPr>
              <w:spacing w:before="0" w:after="0"/>
              <w:rPr>
                <w:rFonts w:eastAsia="Times New Roman"/>
                <w:sz w:val="20"/>
                <w:szCs w:val="20"/>
                <w:lang w:val="en-US"/>
              </w:rPr>
            </w:pPr>
            <w:r w:rsidRPr="003A7E34">
              <w:rPr>
                <w:rFonts w:eastAsia="Times New Roman"/>
                <w:sz w:val="20"/>
                <w:szCs w:val="20"/>
                <w:lang w:val="en-US"/>
              </w:rPr>
              <w:t>Ministry of Transport</w:t>
            </w:r>
          </w:p>
          <w:p w14:paraId="55CD312D" w14:textId="69EC6511" w:rsidR="007707C9" w:rsidRPr="003A7E34" w:rsidRDefault="007707C9" w:rsidP="00DC2A94">
            <w:pPr>
              <w:spacing w:before="0" w:after="0"/>
              <w:jc w:val="center"/>
              <w:rPr>
                <w:rFonts w:eastAsia="Times New Roman"/>
                <w:sz w:val="20"/>
                <w:szCs w:val="20"/>
                <w:lang w:val="en-US"/>
              </w:rPr>
            </w:pPr>
          </w:p>
        </w:tc>
        <w:tc>
          <w:tcPr>
            <w:tcW w:w="1417" w:type="dxa"/>
          </w:tcPr>
          <w:p w14:paraId="2030054A" w14:textId="4A8EC045" w:rsidR="007707C9" w:rsidRPr="003A7E34" w:rsidRDefault="00091DAB" w:rsidP="00DC2A94">
            <w:pPr>
              <w:spacing w:before="0" w:after="0"/>
              <w:jc w:val="center"/>
              <w:rPr>
                <w:rFonts w:eastAsia="Times New Roman"/>
                <w:sz w:val="20"/>
                <w:szCs w:val="20"/>
                <w:lang w:val="en-US"/>
              </w:rPr>
            </w:pPr>
            <w:r w:rsidRPr="003A7E34">
              <w:rPr>
                <w:rFonts w:eastAsia="Times New Roman"/>
                <w:sz w:val="20"/>
                <w:szCs w:val="20"/>
                <w:lang w:val="en-US"/>
              </w:rPr>
              <w:t>204</w:t>
            </w:r>
          </w:p>
        </w:tc>
        <w:tc>
          <w:tcPr>
            <w:tcW w:w="1134" w:type="dxa"/>
          </w:tcPr>
          <w:p w14:paraId="6D47A180" w14:textId="17040090" w:rsidR="007707C9" w:rsidRPr="003A7E34" w:rsidRDefault="001A22B4" w:rsidP="00DC2A94">
            <w:pPr>
              <w:spacing w:before="0" w:after="0"/>
              <w:rPr>
                <w:rFonts w:eastAsia="Times New Roman"/>
                <w:sz w:val="20"/>
                <w:szCs w:val="20"/>
                <w:lang w:val="en-US"/>
              </w:rPr>
            </w:pPr>
            <w:r w:rsidRPr="003A7E34">
              <w:rPr>
                <w:rFonts w:eastAsia="Times New Roman"/>
                <w:sz w:val="20"/>
                <w:szCs w:val="20"/>
                <w:lang w:val="en-US"/>
              </w:rPr>
              <w:t>x</w:t>
            </w:r>
          </w:p>
        </w:tc>
      </w:tr>
      <w:tr w:rsidR="003A7E34" w:rsidRPr="003A7E34" w14:paraId="7CC9D119" w14:textId="77777777" w:rsidTr="00A1483D">
        <w:trPr>
          <w:trHeight w:val="632"/>
        </w:trPr>
        <w:tc>
          <w:tcPr>
            <w:tcW w:w="1560" w:type="dxa"/>
          </w:tcPr>
          <w:p w14:paraId="08F25F25" w14:textId="429A77CE" w:rsidR="007707C9" w:rsidRPr="003A7E34" w:rsidRDefault="39F1765D" w:rsidP="39F1765D">
            <w:pPr>
              <w:spacing w:before="0" w:after="0"/>
              <w:rPr>
                <w:rFonts w:eastAsia="Times New Roman"/>
                <w:sz w:val="20"/>
                <w:szCs w:val="20"/>
                <w:lang w:val="en-US"/>
              </w:rPr>
            </w:pPr>
            <w:r w:rsidRPr="003A7E34">
              <w:rPr>
                <w:rFonts w:eastAsia="Times New Roman"/>
                <w:sz w:val="20"/>
                <w:szCs w:val="20"/>
                <w:lang w:val="en-US"/>
              </w:rPr>
              <w:t>T8. Promoting the purchase of low-emission vehicles</w:t>
            </w:r>
          </w:p>
        </w:tc>
        <w:tc>
          <w:tcPr>
            <w:tcW w:w="2551" w:type="dxa"/>
          </w:tcPr>
          <w:p w14:paraId="5538D519" w14:textId="17929453" w:rsidR="007707C9" w:rsidRPr="003A7E34" w:rsidRDefault="00101FE1" w:rsidP="005926AF">
            <w:pPr>
              <w:spacing w:before="0" w:after="0"/>
              <w:rPr>
                <w:rFonts w:eastAsia="Times New Roman"/>
                <w:sz w:val="20"/>
                <w:szCs w:val="20"/>
                <w:lang w:val="en-US"/>
              </w:rPr>
            </w:pPr>
            <w:r w:rsidRPr="003A7E34">
              <w:rPr>
                <w:rFonts w:eastAsia="Times New Roman"/>
                <w:sz w:val="20"/>
                <w:szCs w:val="20"/>
                <w:lang w:val="en-US"/>
              </w:rPr>
              <w:t>Planning</w:t>
            </w:r>
            <w:r w:rsidR="005926AF" w:rsidRPr="003A7E34">
              <w:rPr>
                <w:rFonts w:eastAsia="Times New Roman"/>
                <w:sz w:val="20"/>
                <w:szCs w:val="20"/>
                <w:lang w:val="en-US"/>
              </w:rPr>
              <w:t xml:space="preserve"> to provide f</w:t>
            </w:r>
            <w:r w:rsidR="00C40FAF" w:rsidRPr="003A7E34">
              <w:rPr>
                <w:rFonts w:eastAsia="Times New Roman"/>
                <w:sz w:val="20"/>
                <w:szCs w:val="20"/>
                <w:lang w:val="en-US"/>
              </w:rPr>
              <w:t xml:space="preserve">inancial incentives for persons who transferred its property rights to a waste handler. It is planned to be flat-rate compensation which could </w:t>
            </w:r>
            <w:r w:rsidR="00C40FAF" w:rsidRPr="003A7E34">
              <w:rPr>
                <w:rFonts w:eastAsia="Times New Roman"/>
                <w:sz w:val="20"/>
                <w:szCs w:val="20"/>
                <w:lang w:val="en-US"/>
              </w:rPr>
              <w:lastRenderedPageBreak/>
              <w:t>be used to pay for public transport services in electronic ticketing systems or to purchase a used or new passenger car that meets low levels of emission criterion.</w:t>
            </w:r>
          </w:p>
        </w:tc>
        <w:tc>
          <w:tcPr>
            <w:tcW w:w="1274" w:type="dxa"/>
          </w:tcPr>
          <w:p w14:paraId="3C58C4F9" w14:textId="40A7F8AA" w:rsidR="007707C9" w:rsidRPr="003A7E34" w:rsidRDefault="006D2E72" w:rsidP="00DC2A94">
            <w:pPr>
              <w:spacing w:before="0" w:after="0"/>
              <w:rPr>
                <w:rFonts w:eastAsia="Times New Roman"/>
                <w:sz w:val="20"/>
                <w:szCs w:val="20"/>
                <w:lang w:val="en-US"/>
              </w:rPr>
            </w:pPr>
            <w:r w:rsidRPr="003A7E34">
              <w:rPr>
                <w:rFonts w:eastAsia="Times New Roman"/>
                <w:sz w:val="20"/>
                <w:szCs w:val="20"/>
                <w:lang w:val="en-US"/>
              </w:rPr>
              <w:lastRenderedPageBreak/>
              <w:t>2020</w:t>
            </w:r>
            <w:r w:rsidR="002A7E44" w:rsidRPr="003A7E34">
              <w:rPr>
                <w:rFonts w:eastAsia="Times New Roman"/>
                <w:sz w:val="20"/>
                <w:szCs w:val="20"/>
                <w:lang w:val="en-US"/>
              </w:rPr>
              <w:t>–</w:t>
            </w:r>
            <w:r w:rsidRPr="003A7E34">
              <w:rPr>
                <w:rFonts w:eastAsia="Times New Roman"/>
                <w:sz w:val="20"/>
                <w:szCs w:val="20"/>
                <w:lang w:val="en-US"/>
              </w:rPr>
              <w:t>2030</w:t>
            </w:r>
          </w:p>
        </w:tc>
        <w:tc>
          <w:tcPr>
            <w:tcW w:w="1703" w:type="dxa"/>
          </w:tcPr>
          <w:p w14:paraId="540A01AA" w14:textId="13D06253" w:rsidR="007707C9" w:rsidRPr="003A7E34" w:rsidRDefault="1F603D79" w:rsidP="1F603D79">
            <w:pPr>
              <w:spacing w:before="0" w:after="0"/>
              <w:rPr>
                <w:rFonts w:eastAsia="Times New Roman"/>
                <w:sz w:val="20"/>
                <w:szCs w:val="20"/>
                <w:lang w:val="en-US"/>
              </w:rPr>
            </w:pPr>
            <w:r w:rsidRPr="003A7E34">
              <w:rPr>
                <w:rFonts w:eastAsia="Times New Roman"/>
                <w:sz w:val="20"/>
                <w:szCs w:val="20"/>
                <w:lang w:val="en-US"/>
              </w:rPr>
              <w:t>Ministry of Environment</w:t>
            </w:r>
          </w:p>
        </w:tc>
        <w:tc>
          <w:tcPr>
            <w:tcW w:w="1417" w:type="dxa"/>
          </w:tcPr>
          <w:p w14:paraId="005404F1" w14:textId="6172F6C0" w:rsidR="007707C9" w:rsidRPr="003A7E34" w:rsidRDefault="00091DAB" w:rsidP="00DC2A94">
            <w:pPr>
              <w:spacing w:before="0" w:after="0"/>
              <w:jc w:val="center"/>
              <w:rPr>
                <w:rFonts w:eastAsia="Times New Roman"/>
                <w:sz w:val="20"/>
                <w:szCs w:val="20"/>
                <w:lang w:val="en-US"/>
              </w:rPr>
            </w:pPr>
            <w:r w:rsidRPr="003A7E34">
              <w:rPr>
                <w:rFonts w:eastAsia="Times New Roman"/>
                <w:sz w:val="20"/>
                <w:szCs w:val="20"/>
                <w:lang w:val="en-US"/>
              </w:rPr>
              <w:t>135</w:t>
            </w:r>
          </w:p>
        </w:tc>
        <w:tc>
          <w:tcPr>
            <w:tcW w:w="1134" w:type="dxa"/>
          </w:tcPr>
          <w:p w14:paraId="324E3165" w14:textId="76D53E11" w:rsidR="007707C9" w:rsidRPr="003A7E34" w:rsidRDefault="00180736" w:rsidP="00DC2A94">
            <w:pPr>
              <w:spacing w:before="0" w:after="0"/>
              <w:rPr>
                <w:rFonts w:eastAsia="Times New Roman"/>
                <w:sz w:val="20"/>
                <w:szCs w:val="20"/>
                <w:lang w:val="en-US"/>
              </w:rPr>
            </w:pPr>
            <w:r w:rsidRPr="003A7E34">
              <w:rPr>
                <w:rFonts w:eastAsia="Times New Roman"/>
                <w:sz w:val="20"/>
                <w:szCs w:val="20"/>
                <w:lang w:val="en-US"/>
              </w:rPr>
              <w:t>30</w:t>
            </w:r>
            <w:r w:rsidR="00DB3658" w:rsidRPr="003A7E34">
              <w:rPr>
                <w:rFonts w:eastAsia="Times New Roman"/>
                <w:sz w:val="20"/>
                <w:szCs w:val="20"/>
                <w:vertAlign w:val="superscript"/>
                <w:lang w:val="en-US"/>
              </w:rPr>
              <w:t>2</w:t>
            </w:r>
          </w:p>
        </w:tc>
      </w:tr>
      <w:tr w:rsidR="003A7E34" w:rsidRPr="003A7E34" w14:paraId="22E1A483" w14:textId="77777777" w:rsidTr="002F45C0">
        <w:trPr>
          <w:trHeight w:val="560"/>
        </w:trPr>
        <w:tc>
          <w:tcPr>
            <w:tcW w:w="1560" w:type="dxa"/>
          </w:tcPr>
          <w:p w14:paraId="65679967" w14:textId="17FEAB74" w:rsidR="007707C9" w:rsidRPr="003A7E34" w:rsidRDefault="00E94883" w:rsidP="00BD34E3">
            <w:pPr>
              <w:spacing w:before="0" w:after="0"/>
              <w:rPr>
                <w:rFonts w:eastAsia="Times New Roman"/>
                <w:sz w:val="20"/>
                <w:szCs w:val="20"/>
                <w:lang w:val="en-US"/>
              </w:rPr>
            </w:pPr>
            <w:r w:rsidRPr="003A7E34">
              <w:rPr>
                <w:rFonts w:eastAsia="Times New Roman"/>
                <w:sz w:val="20"/>
                <w:szCs w:val="20"/>
                <w:lang w:val="en-US"/>
              </w:rPr>
              <w:t>T9</w:t>
            </w:r>
            <w:r w:rsidR="007707C9" w:rsidRPr="003A7E34">
              <w:rPr>
                <w:rFonts w:eastAsia="Times New Roman"/>
                <w:sz w:val="20"/>
                <w:szCs w:val="20"/>
                <w:lang w:val="en-US"/>
              </w:rPr>
              <w:t xml:space="preserve">. Promoting alternative fuel use in </w:t>
            </w:r>
            <w:r w:rsidR="00BD34E3" w:rsidRPr="003A7E34">
              <w:rPr>
                <w:rFonts w:eastAsia="Times New Roman"/>
                <w:sz w:val="20"/>
                <w:szCs w:val="20"/>
                <w:lang w:val="en-US"/>
              </w:rPr>
              <w:t xml:space="preserve">intercity </w:t>
            </w:r>
            <w:r w:rsidR="007707C9" w:rsidRPr="003A7E34">
              <w:rPr>
                <w:rFonts w:eastAsia="Times New Roman"/>
                <w:sz w:val="20"/>
                <w:szCs w:val="20"/>
                <w:lang w:val="en-US"/>
              </w:rPr>
              <w:t>public transport vehicles</w:t>
            </w:r>
          </w:p>
        </w:tc>
        <w:tc>
          <w:tcPr>
            <w:tcW w:w="2551" w:type="dxa"/>
          </w:tcPr>
          <w:p w14:paraId="5274DEDB" w14:textId="1EC7D761" w:rsidR="007707C9" w:rsidRPr="003A7E34" w:rsidRDefault="004A4884" w:rsidP="00BD34E3">
            <w:pPr>
              <w:spacing w:before="0" w:after="0"/>
              <w:rPr>
                <w:rFonts w:eastAsia="Times New Roman"/>
                <w:sz w:val="20"/>
                <w:szCs w:val="20"/>
                <w:lang w:val="en-US"/>
              </w:rPr>
            </w:pPr>
            <w:r w:rsidRPr="003A7E34">
              <w:rPr>
                <w:rFonts w:eastAsia="Times New Roman"/>
                <w:sz w:val="20"/>
                <w:szCs w:val="20"/>
                <w:lang w:val="en-US"/>
              </w:rPr>
              <w:t>To promote the use of clean and energy-efficient public transport.</w:t>
            </w:r>
          </w:p>
        </w:tc>
        <w:tc>
          <w:tcPr>
            <w:tcW w:w="1274" w:type="dxa"/>
          </w:tcPr>
          <w:p w14:paraId="3F45584D" w14:textId="608AFEA5" w:rsidR="007707C9" w:rsidRPr="003A7E34" w:rsidRDefault="006D2E72" w:rsidP="00DC2A94">
            <w:pPr>
              <w:spacing w:before="0" w:after="0"/>
              <w:rPr>
                <w:rFonts w:eastAsia="Times New Roman"/>
                <w:sz w:val="20"/>
                <w:szCs w:val="20"/>
                <w:lang w:val="en-US"/>
              </w:rPr>
            </w:pPr>
            <w:r w:rsidRPr="003A7E34">
              <w:rPr>
                <w:rFonts w:eastAsia="Times New Roman"/>
                <w:sz w:val="20"/>
                <w:szCs w:val="20"/>
                <w:lang w:val="en-US"/>
              </w:rPr>
              <w:t>2021</w:t>
            </w:r>
            <w:r w:rsidR="002A7E44" w:rsidRPr="003A7E34">
              <w:rPr>
                <w:rFonts w:eastAsia="Times New Roman"/>
                <w:sz w:val="20"/>
                <w:szCs w:val="20"/>
                <w:lang w:val="en-US"/>
              </w:rPr>
              <w:t>–</w:t>
            </w:r>
            <w:r w:rsidRPr="003A7E34">
              <w:rPr>
                <w:rFonts w:eastAsia="Times New Roman"/>
                <w:sz w:val="20"/>
                <w:szCs w:val="20"/>
                <w:lang w:val="en-US"/>
              </w:rPr>
              <w:t>2027</w:t>
            </w:r>
          </w:p>
        </w:tc>
        <w:tc>
          <w:tcPr>
            <w:tcW w:w="1703" w:type="dxa"/>
          </w:tcPr>
          <w:p w14:paraId="5ED9AC99" w14:textId="72F86B9D" w:rsidR="007707C9" w:rsidRPr="003A7E34" w:rsidRDefault="007707C9" w:rsidP="00DC2A94">
            <w:pPr>
              <w:spacing w:before="0" w:after="0"/>
              <w:rPr>
                <w:rFonts w:eastAsia="Times New Roman"/>
                <w:sz w:val="20"/>
                <w:szCs w:val="20"/>
                <w:lang w:val="en-US"/>
              </w:rPr>
            </w:pPr>
            <w:r w:rsidRPr="003A7E34">
              <w:rPr>
                <w:rFonts w:eastAsia="Times New Roman"/>
                <w:sz w:val="20"/>
                <w:szCs w:val="20"/>
                <w:lang w:val="en-US"/>
              </w:rPr>
              <w:t>Ministry of Transport</w:t>
            </w:r>
          </w:p>
          <w:p w14:paraId="4AE617E1" w14:textId="77777777" w:rsidR="007707C9" w:rsidRPr="003A7E34" w:rsidRDefault="007707C9" w:rsidP="00DC2A94">
            <w:pPr>
              <w:spacing w:before="0" w:after="0"/>
              <w:jc w:val="center"/>
              <w:rPr>
                <w:rFonts w:eastAsia="Times New Roman"/>
                <w:sz w:val="20"/>
                <w:szCs w:val="20"/>
                <w:lang w:val="en-US"/>
              </w:rPr>
            </w:pPr>
          </w:p>
        </w:tc>
        <w:tc>
          <w:tcPr>
            <w:tcW w:w="1417" w:type="dxa"/>
          </w:tcPr>
          <w:p w14:paraId="68965A9D" w14:textId="1270FBDE" w:rsidR="007707C9" w:rsidRPr="003A7E34" w:rsidRDefault="00091DAB" w:rsidP="00DC2A94">
            <w:pPr>
              <w:spacing w:before="0" w:after="0"/>
              <w:jc w:val="center"/>
              <w:rPr>
                <w:rFonts w:eastAsia="Times New Roman"/>
                <w:sz w:val="20"/>
                <w:szCs w:val="20"/>
                <w:lang w:val="en-US"/>
              </w:rPr>
            </w:pPr>
            <w:r w:rsidRPr="003A7E34">
              <w:rPr>
                <w:rFonts w:eastAsia="Times New Roman"/>
                <w:sz w:val="20"/>
                <w:szCs w:val="20"/>
                <w:lang w:val="en-US"/>
              </w:rPr>
              <w:t>4</w:t>
            </w:r>
          </w:p>
        </w:tc>
        <w:tc>
          <w:tcPr>
            <w:tcW w:w="1134" w:type="dxa"/>
          </w:tcPr>
          <w:p w14:paraId="6B1F17D1" w14:textId="1B0A698B" w:rsidR="007707C9" w:rsidRPr="003A7E34" w:rsidRDefault="001A22B4" w:rsidP="00DC2A94">
            <w:pPr>
              <w:spacing w:before="0" w:after="0"/>
              <w:rPr>
                <w:rFonts w:eastAsia="Times New Roman"/>
                <w:sz w:val="20"/>
                <w:szCs w:val="20"/>
                <w:lang w:val="en-US"/>
              </w:rPr>
            </w:pPr>
            <w:r w:rsidRPr="003A7E34">
              <w:rPr>
                <w:rFonts w:eastAsia="Times New Roman"/>
                <w:sz w:val="20"/>
                <w:szCs w:val="20"/>
                <w:lang w:val="en-US"/>
              </w:rPr>
              <w:t>x</w:t>
            </w:r>
          </w:p>
        </w:tc>
      </w:tr>
      <w:tr w:rsidR="003A7E34" w:rsidRPr="003A7E34" w14:paraId="6AEB6A50" w14:textId="77777777" w:rsidTr="002F45C0">
        <w:trPr>
          <w:trHeight w:val="393"/>
        </w:trPr>
        <w:tc>
          <w:tcPr>
            <w:tcW w:w="1560" w:type="dxa"/>
          </w:tcPr>
          <w:p w14:paraId="45710B88" w14:textId="1F68347D" w:rsidR="007707C9" w:rsidRPr="003A7E34" w:rsidRDefault="00E94883" w:rsidP="00DC2A94">
            <w:pPr>
              <w:spacing w:before="0" w:after="0"/>
              <w:rPr>
                <w:rFonts w:eastAsia="Times New Roman"/>
                <w:sz w:val="20"/>
                <w:szCs w:val="20"/>
                <w:lang w:val="en-US"/>
              </w:rPr>
            </w:pPr>
            <w:r w:rsidRPr="003A7E34">
              <w:rPr>
                <w:rFonts w:eastAsia="Times New Roman"/>
                <w:sz w:val="20"/>
                <w:szCs w:val="20"/>
                <w:lang w:val="en-US"/>
              </w:rPr>
              <w:t>T10</w:t>
            </w:r>
            <w:r w:rsidR="007707C9" w:rsidRPr="003A7E34">
              <w:rPr>
                <w:rFonts w:eastAsia="Times New Roman"/>
                <w:sz w:val="20"/>
                <w:szCs w:val="20"/>
                <w:lang w:val="en-US"/>
              </w:rPr>
              <w:t>. Implementation of E-tolling for freight transport</w:t>
            </w:r>
          </w:p>
        </w:tc>
        <w:tc>
          <w:tcPr>
            <w:tcW w:w="2551" w:type="dxa"/>
          </w:tcPr>
          <w:p w14:paraId="1CD4475C" w14:textId="333E7FB1" w:rsidR="007707C9" w:rsidRPr="003A7E34" w:rsidRDefault="00D25615" w:rsidP="00DC2A94">
            <w:pPr>
              <w:spacing w:before="0" w:after="0"/>
              <w:rPr>
                <w:rFonts w:eastAsia="Times New Roman"/>
                <w:sz w:val="20"/>
                <w:szCs w:val="20"/>
                <w:lang w:val="en-US"/>
              </w:rPr>
            </w:pPr>
            <w:r w:rsidRPr="003A7E34">
              <w:rPr>
                <w:rFonts w:eastAsia="Times New Roman"/>
                <w:sz w:val="20"/>
                <w:szCs w:val="20"/>
                <w:lang w:val="en-US"/>
              </w:rPr>
              <w:t>To apply differentiated the "user pays" and "polluter pays" principles to freight transport.</w:t>
            </w:r>
          </w:p>
        </w:tc>
        <w:tc>
          <w:tcPr>
            <w:tcW w:w="1274" w:type="dxa"/>
          </w:tcPr>
          <w:p w14:paraId="04AF2712" w14:textId="0C65686E" w:rsidR="007707C9" w:rsidRPr="003A7E34" w:rsidRDefault="006D2E72" w:rsidP="00DC2A94">
            <w:pPr>
              <w:spacing w:before="0" w:after="0"/>
              <w:rPr>
                <w:rFonts w:eastAsia="Times New Roman"/>
                <w:sz w:val="20"/>
                <w:szCs w:val="20"/>
                <w:lang w:val="en-US"/>
              </w:rPr>
            </w:pPr>
            <w:r w:rsidRPr="003A7E34">
              <w:rPr>
                <w:rFonts w:eastAsia="Times New Roman"/>
                <w:sz w:val="20"/>
                <w:szCs w:val="20"/>
                <w:lang w:val="en-US"/>
              </w:rPr>
              <w:t>2021</w:t>
            </w:r>
            <w:r w:rsidR="002A7E44" w:rsidRPr="003A7E34">
              <w:rPr>
                <w:rFonts w:eastAsia="Times New Roman"/>
                <w:sz w:val="20"/>
                <w:szCs w:val="20"/>
                <w:lang w:val="en-US"/>
              </w:rPr>
              <w:t>–</w:t>
            </w:r>
            <w:r w:rsidRPr="003A7E34">
              <w:rPr>
                <w:rFonts w:eastAsia="Times New Roman"/>
                <w:sz w:val="20"/>
                <w:szCs w:val="20"/>
                <w:lang w:val="en-US"/>
              </w:rPr>
              <w:t>2027</w:t>
            </w:r>
          </w:p>
        </w:tc>
        <w:tc>
          <w:tcPr>
            <w:tcW w:w="1703" w:type="dxa"/>
          </w:tcPr>
          <w:p w14:paraId="5A7619B1" w14:textId="738306F7" w:rsidR="007707C9" w:rsidRPr="003A7E34" w:rsidRDefault="007707C9" w:rsidP="00DC2A94">
            <w:pPr>
              <w:spacing w:before="0" w:after="0"/>
              <w:rPr>
                <w:rFonts w:eastAsia="Times New Roman"/>
                <w:sz w:val="20"/>
                <w:szCs w:val="20"/>
                <w:lang w:val="en-US"/>
              </w:rPr>
            </w:pPr>
            <w:r w:rsidRPr="003A7E34">
              <w:rPr>
                <w:rFonts w:eastAsia="Times New Roman"/>
                <w:sz w:val="20"/>
                <w:szCs w:val="20"/>
                <w:lang w:val="en-US"/>
              </w:rPr>
              <w:t>Ministry of Transport</w:t>
            </w:r>
          </w:p>
          <w:p w14:paraId="433B6232" w14:textId="77777777" w:rsidR="007707C9" w:rsidRPr="003A7E34" w:rsidRDefault="007707C9" w:rsidP="00DC2A94">
            <w:pPr>
              <w:spacing w:before="0" w:after="0"/>
              <w:jc w:val="center"/>
              <w:rPr>
                <w:rFonts w:eastAsia="Times New Roman"/>
                <w:sz w:val="20"/>
                <w:szCs w:val="20"/>
                <w:lang w:val="en-US"/>
              </w:rPr>
            </w:pPr>
          </w:p>
        </w:tc>
        <w:tc>
          <w:tcPr>
            <w:tcW w:w="1417" w:type="dxa"/>
          </w:tcPr>
          <w:p w14:paraId="16C25DEE" w14:textId="137B3E81" w:rsidR="007707C9" w:rsidRPr="003A7E34" w:rsidRDefault="00091DAB" w:rsidP="00DC2A94">
            <w:pPr>
              <w:spacing w:before="0" w:after="0"/>
              <w:jc w:val="center"/>
              <w:rPr>
                <w:rFonts w:eastAsia="Times New Roman"/>
                <w:sz w:val="20"/>
                <w:szCs w:val="20"/>
                <w:lang w:val="en-US"/>
              </w:rPr>
            </w:pPr>
            <w:r w:rsidRPr="003A7E34">
              <w:rPr>
                <w:rFonts w:eastAsia="Times New Roman"/>
                <w:sz w:val="20"/>
                <w:szCs w:val="20"/>
                <w:lang w:val="en-US"/>
              </w:rPr>
              <w:t>18</w:t>
            </w:r>
          </w:p>
        </w:tc>
        <w:tc>
          <w:tcPr>
            <w:tcW w:w="1134" w:type="dxa"/>
          </w:tcPr>
          <w:p w14:paraId="399A2E35" w14:textId="7F8A7F7C" w:rsidR="007707C9" w:rsidRPr="003A7E34" w:rsidRDefault="00D15222" w:rsidP="00DB3658">
            <w:pPr>
              <w:spacing w:before="0" w:after="0"/>
              <w:jc w:val="center"/>
              <w:rPr>
                <w:rFonts w:eastAsia="Times New Roman"/>
                <w:sz w:val="20"/>
                <w:szCs w:val="20"/>
                <w:lang w:val="en-US"/>
              </w:rPr>
            </w:pPr>
            <w:r w:rsidRPr="003A7E34">
              <w:rPr>
                <w:rFonts w:eastAsia="Times New Roman"/>
                <w:sz w:val="20"/>
                <w:szCs w:val="20"/>
                <w:lang w:val="en-US"/>
              </w:rPr>
              <w:t>130</w:t>
            </w:r>
            <w:r w:rsidR="00DB3658" w:rsidRPr="003A7E34">
              <w:rPr>
                <w:rFonts w:eastAsia="Times New Roman"/>
                <w:sz w:val="20"/>
                <w:szCs w:val="20"/>
                <w:vertAlign w:val="superscript"/>
                <w:lang w:val="en-US"/>
              </w:rPr>
              <w:t>1</w:t>
            </w:r>
          </w:p>
        </w:tc>
      </w:tr>
      <w:tr w:rsidR="003A7E34" w:rsidRPr="003A7E34" w14:paraId="2910A4AB" w14:textId="77777777" w:rsidTr="002F45C0">
        <w:trPr>
          <w:trHeight w:val="444"/>
        </w:trPr>
        <w:tc>
          <w:tcPr>
            <w:tcW w:w="1560" w:type="dxa"/>
          </w:tcPr>
          <w:p w14:paraId="645A6EB4" w14:textId="7DA425C4" w:rsidR="007707C9" w:rsidRPr="003A7E34" w:rsidRDefault="00E94883" w:rsidP="00DC2A94">
            <w:pPr>
              <w:spacing w:before="0" w:after="0"/>
              <w:rPr>
                <w:rFonts w:eastAsia="Times New Roman"/>
                <w:sz w:val="20"/>
                <w:szCs w:val="20"/>
                <w:lang w:val="en-US"/>
              </w:rPr>
            </w:pPr>
            <w:r w:rsidRPr="003A7E34">
              <w:rPr>
                <w:rFonts w:eastAsia="Times New Roman"/>
                <w:sz w:val="20"/>
                <w:szCs w:val="20"/>
                <w:lang w:val="en-US"/>
              </w:rPr>
              <w:t>T11</w:t>
            </w:r>
            <w:r w:rsidR="007707C9" w:rsidRPr="003A7E34">
              <w:rPr>
                <w:rFonts w:eastAsia="Times New Roman"/>
                <w:sz w:val="20"/>
                <w:szCs w:val="20"/>
                <w:lang w:val="en-US"/>
              </w:rPr>
              <w:t xml:space="preserve">. Implementation of incentives for the use of combined </w:t>
            </w:r>
            <w:r w:rsidR="00BD34E3" w:rsidRPr="003A7E34">
              <w:rPr>
                <w:rFonts w:eastAsia="Times New Roman"/>
                <w:sz w:val="20"/>
                <w:szCs w:val="20"/>
                <w:lang w:val="en-US"/>
              </w:rPr>
              <w:t>freight transport.</w:t>
            </w:r>
          </w:p>
        </w:tc>
        <w:tc>
          <w:tcPr>
            <w:tcW w:w="2551" w:type="dxa"/>
          </w:tcPr>
          <w:p w14:paraId="7C55E1F4" w14:textId="2FE196CE" w:rsidR="007707C9" w:rsidRPr="003A7E34" w:rsidRDefault="004A4884" w:rsidP="003A6E0E">
            <w:pPr>
              <w:spacing w:before="0" w:after="0"/>
              <w:rPr>
                <w:rFonts w:eastAsia="Times New Roman"/>
                <w:sz w:val="20"/>
                <w:szCs w:val="20"/>
                <w:lang w:val="en-US"/>
              </w:rPr>
            </w:pPr>
            <w:r w:rsidRPr="003A7E34">
              <w:rPr>
                <w:rFonts w:eastAsia="Times New Roman"/>
                <w:sz w:val="20"/>
                <w:szCs w:val="20"/>
                <w:lang w:val="en-US"/>
              </w:rPr>
              <w:t>Providing</w:t>
            </w:r>
            <w:r w:rsidR="00101FE1" w:rsidRPr="003A7E34">
              <w:rPr>
                <w:rFonts w:eastAsia="Times New Roman"/>
                <w:sz w:val="20"/>
                <w:szCs w:val="20"/>
                <w:lang w:val="en-US"/>
              </w:rPr>
              <w:t xml:space="preserve"> incentives for carriers of intermodal units instead of transporting intermodal units by road to choose combined transport.</w:t>
            </w:r>
          </w:p>
        </w:tc>
        <w:tc>
          <w:tcPr>
            <w:tcW w:w="1274" w:type="dxa"/>
          </w:tcPr>
          <w:p w14:paraId="4CB93F50" w14:textId="02A903F1" w:rsidR="007707C9" w:rsidRPr="003A7E34" w:rsidRDefault="006D2E72" w:rsidP="00DC2A94">
            <w:pPr>
              <w:spacing w:before="0" w:after="0"/>
              <w:rPr>
                <w:rFonts w:eastAsia="Times New Roman"/>
                <w:sz w:val="20"/>
                <w:szCs w:val="20"/>
                <w:lang w:val="en-US"/>
              </w:rPr>
            </w:pPr>
            <w:r w:rsidRPr="003A7E34">
              <w:rPr>
                <w:rFonts w:eastAsia="Times New Roman"/>
                <w:sz w:val="20"/>
                <w:szCs w:val="20"/>
                <w:lang w:val="en-US"/>
              </w:rPr>
              <w:t>2021</w:t>
            </w:r>
            <w:r w:rsidR="002A7E44" w:rsidRPr="003A7E34">
              <w:rPr>
                <w:rFonts w:eastAsia="Times New Roman"/>
                <w:sz w:val="20"/>
                <w:szCs w:val="20"/>
                <w:lang w:val="en-US"/>
              </w:rPr>
              <w:t>–</w:t>
            </w:r>
            <w:r w:rsidRPr="003A7E34">
              <w:rPr>
                <w:rFonts w:eastAsia="Times New Roman"/>
                <w:sz w:val="20"/>
                <w:szCs w:val="20"/>
                <w:lang w:val="en-US"/>
              </w:rPr>
              <w:t>2027</w:t>
            </w:r>
          </w:p>
        </w:tc>
        <w:tc>
          <w:tcPr>
            <w:tcW w:w="1703" w:type="dxa"/>
          </w:tcPr>
          <w:p w14:paraId="4F592784" w14:textId="4A5F7FDE" w:rsidR="007707C9" w:rsidRPr="003A7E34" w:rsidRDefault="007707C9" w:rsidP="00DC2A94">
            <w:pPr>
              <w:spacing w:before="0" w:after="0"/>
              <w:rPr>
                <w:rFonts w:eastAsia="Times New Roman"/>
                <w:sz w:val="20"/>
                <w:szCs w:val="20"/>
                <w:lang w:val="en-US"/>
              </w:rPr>
            </w:pPr>
            <w:r w:rsidRPr="003A7E34">
              <w:rPr>
                <w:rFonts w:eastAsia="Times New Roman"/>
                <w:sz w:val="20"/>
                <w:szCs w:val="20"/>
                <w:lang w:val="en-US"/>
              </w:rPr>
              <w:t>Ministry of Transport</w:t>
            </w:r>
          </w:p>
          <w:p w14:paraId="531EECA0" w14:textId="77777777" w:rsidR="007707C9" w:rsidRPr="003A7E34" w:rsidRDefault="007707C9" w:rsidP="00DC2A94">
            <w:pPr>
              <w:spacing w:before="0" w:after="0"/>
              <w:jc w:val="center"/>
              <w:rPr>
                <w:rFonts w:eastAsia="Times New Roman"/>
                <w:sz w:val="20"/>
                <w:szCs w:val="20"/>
                <w:lang w:val="en-US"/>
              </w:rPr>
            </w:pPr>
          </w:p>
        </w:tc>
        <w:tc>
          <w:tcPr>
            <w:tcW w:w="1417" w:type="dxa"/>
          </w:tcPr>
          <w:p w14:paraId="05CA436F" w14:textId="7A199FF2" w:rsidR="007707C9" w:rsidRPr="003A7E34" w:rsidRDefault="00091DAB" w:rsidP="00DC2A94">
            <w:pPr>
              <w:spacing w:before="0" w:after="0"/>
              <w:jc w:val="center"/>
              <w:rPr>
                <w:rFonts w:eastAsia="Times New Roman"/>
                <w:sz w:val="20"/>
                <w:szCs w:val="20"/>
                <w:lang w:val="en-US"/>
              </w:rPr>
            </w:pPr>
            <w:r w:rsidRPr="003A7E34">
              <w:rPr>
                <w:rFonts w:eastAsia="Times New Roman"/>
                <w:sz w:val="20"/>
                <w:szCs w:val="20"/>
                <w:lang w:val="en-US"/>
              </w:rPr>
              <w:t>2021</w:t>
            </w:r>
          </w:p>
        </w:tc>
        <w:tc>
          <w:tcPr>
            <w:tcW w:w="1134" w:type="dxa"/>
          </w:tcPr>
          <w:p w14:paraId="3B899B1E" w14:textId="0572E5BC" w:rsidR="007707C9" w:rsidRPr="003A7E34" w:rsidRDefault="001A22B4" w:rsidP="00DC2A94">
            <w:pPr>
              <w:spacing w:before="0" w:after="0"/>
              <w:rPr>
                <w:rFonts w:eastAsia="Times New Roman"/>
                <w:sz w:val="20"/>
                <w:szCs w:val="20"/>
                <w:lang w:val="en-US"/>
              </w:rPr>
            </w:pPr>
            <w:r w:rsidRPr="003A7E34">
              <w:rPr>
                <w:rFonts w:eastAsia="Times New Roman"/>
                <w:sz w:val="20"/>
                <w:szCs w:val="20"/>
                <w:lang w:val="en-US"/>
              </w:rPr>
              <w:t>x</w:t>
            </w:r>
          </w:p>
        </w:tc>
      </w:tr>
      <w:tr w:rsidR="003A7E34" w:rsidRPr="003A7E34" w14:paraId="040B53D1" w14:textId="77777777" w:rsidTr="002F45C0">
        <w:trPr>
          <w:trHeight w:val="442"/>
        </w:trPr>
        <w:tc>
          <w:tcPr>
            <w:tcW w:w="1560" w:type="dxa"/>
          </w:tcPr>
          <w:p w14:paraId="7E89F4A2" w14:textId="64094A56" w:rsidR="007707C9" w:rsidRPr="003A7E34" w:rsidRDefault="00E94883" w:rsidP="00DC2A94">
            <w:pPr>
              <w:spacing w:before="0" w:after="0"/>
              <w:rPr>
                <w:rFonts w:eastAsia="Times New Roman"/>
                <w:sz w:val="20"/>
                <w:szCs w:val="20"/>
                <w:lang w:val="en-US"/>
              </w:rPr>
            </w:pPr>
            <w:r w:rsidRPr="003A7E34">
              <w:rPr>
                <w:rFonts w:eastAsia="Times New Roman"/>
                <w:sz w:val="20"/>
                <w:szCs w:val="20"/>
                <w:lang w:val="en-US"/>
              </w:rPr>
              <w:t>T12</w:t>
            </w:r>
            <w:r w:rsidR="007707C9" w:rsidRPr="003A7E34">
              <w:rPr>
                <w:rFonts w:eastAsia="Times New Roman"/>
                <w:sz w:val="20"/>
                <w:szCs w:val="20"/>
                <w:lang w:val="en-US"/>
              </w:rPr>
              <w:t>. Promoting the use of LNG in transport.</w:t>
            </w:r>
          </w:p>
        </w:tc>
        <w:tc>
          <w:tcPr>
            <w:tcW w:w="2551" w:type="dxa"/>
          </w:tcPr>
          <w:p w14:paraId="0D7AD3C1" w14:textId="1C24EDF8" w:rsidR="007707C9" w:rsidRPr="003A7E34" w:rsidRDefault="00A046E0" w:rsidP="00DC2A94">
            <w:pPr>
              <w:spacing w:before="0" w:after="0"/>
              <w:rPr>
                <w:rFonts w:eastAsia="Times New Roman"/>
                <w:sz w:val="20"/>
                <w:szCs w:val="20"/>
                <w:lang w:val="en-US"/>
              </w:rPr>
            </w:pPr>
            <w:r w:rsidRPr="003A7E34">
              <w:rPr>
                <w:rFonts w:eastAsia="Times New Roman"/>
                <w:sz w:val="20"/>
                <w:szCs w:val="20"/>
                <w:lang w:val="en-US"/>
              </w:rPr>
              <w:t>Installation of liquefied natural gas refueling points on motor roads.</w:t>
            </w:r>
          </w:p>
        </w:tc>
        <w:tc>
          <w:tcPr>
            <w:tcW w:w="1274" w:type="dxa"/>
          </w:tcPr>
          <w:p w14:paraId="32D3AB0D" w14:textId="0A43654A" w:rsidR="007707C9" w:rsidRPr="003A7E34" w:rsidRDefault="006D2E72" w:rsidP="00DC2A94">
            <w:pPr>
              <w:spacing w:before="0" w:after="0"/>
              <w:rPr>
                <w:rFonts w:eastAsia="Times New Roman"/>
                <w:sz w:val="20"/>
                <w:szCs w:val="20"/>
                <w:lang w:val="en-US"/>
              </w:rPr>
            </w:pPr>
            <w:r w:rsidRPr="003A7E34">
              <w:rPr>
                <w:rFonts w:eastAsia="Times New Roman"/>
                <w:sz w:val="20"/>
                <w:szCs w:val="20"/>
                <w:lang w:val="en-US"/>
              </w:rPr>
              <w:t>2018</w:t>
            </w:r>
            <w:r w:rsidR="002A7E44" w:rsidRPr="003A7E34">
              <w:rPr>
                <w:rFonts w:eastAsia="Times New Roman"/>
                <w:sz w:val="20"/>
                <w:szCs w:val="20"/>
                <w:lang w:val="en-US"/>
              </w:rPr>
              <w:t>–</w:t>
            </w:r>
            <w:r w:rsidRPr="003A7E34">
              <w:rPr>
                <w:rFonts w:eastAsia="Times New Roman"/>
                <w:sz w:val="20"/>
                <w:szCs w:val="20"/>
                <w:lang w:val="en-US"/>
              </w:rPr>
              <w:t>2025</w:t>
            </w:r>
          </w:p>
        </w:tc>
        <w:tc>
          <w:tcPr>
            <w:tcW w:w="1703" w:type="dxa"/>
          </w:tcPr>
          <w:p w14:paraId="60CD9A06" w14:textId="0757152A" w:rsidR="007707C9" w:rsidRPr="003A7E34" w:rsidRDefault="007707C9" w:rsidP="00DC2A94">
            <w:pPr>
              <w:spacing w:before="0" w:after="0"/>
              <w:rPr>
                <w:rFonts w:eastAsia="Times New Roman"/>
                <w:sz w:val="20"/>
                <w:szCs w:val="20"/>
                <w:lang w:val="en-US"/>
              </w:rPr>
            </w:pPr>
            <w:r w:rsidRPr="003A7E34">
              <w:rPr>
                <w:rFonts w:eastAsia="Times New Roman"/>
                <w:sz w:val="20"/>
                <w:szCs w:val="20"/>
                <w:lang w:val="en-US"/>
              </w:rPr>
              <w:t>Ministry of Energy</w:t>
            </w:r>
          </w:p>
          <w:p w14:paraId="2AD452CD" w14:textId="2E1C15A4" w:rsidR="007707C9" w:rsidRPr="003A7E34" w:rsidRDefault="007707C9" w:rsidP="00DC2A94">
            <w:pPr>
              <w:spacing w:before="0" w:after="0"/>
              <w:rPr>
                <w:rFonts w:eastAsia="Times New Roman"/>
                <w:sz w:val="20"/>
                <w:szCs w:val="20"/>
                <w:lang w:val="en-US"/>
              </w:rPr>
            </w:pPr>
            <w:r w:rsidRPr="003A7E34">
              <w:rPr>
                <w:rFonts w:eastAsia="Times New Roman"/>
                <w:sz w:val="20"/>
                <w:szCs w:val="20"/>
                <w:lang w:val="en-US"/>
              </w:rPr>
              <w:t>Ministry of Transport</w:t>
            </w:r>
          </w:p>
        </w:tc>
        <w:tc>
          <w:tcPr>
            <w:tcW w:w="1417" w:type="dxa"/>
          </w:tcPr>
          <w:p w14:paraId="3C1A51FB" w14:textId="44B9595C" w:rsidR="007707C9" w:rsidRPr="003A7E34" w:rsidRDefault="00091DAB" w:rsidP="00DC2A94">
            <w:pPr>
              <w:spacing w:before="0" w:after="0"/>
              <w:jc w:val="center"/>
              <w:rPr>
                <w:rFonts w:eastAsia="Times New Roman"/>
                <w:sz w:val="20"/>
                <w:szCs w:val="20"/>
                <w:lang w:val="en-US"/>
              </w:rPr>
            </w:pPr>
            <w:r w:rsidRPr="003A7E34">
              <w:rPr>
                <w:rFonts w:eastAsia="Times New Roman"/>
                <w:sz w:val="20"/>
                <w:szCs w:val="20"/>
                <w:lang w:val="en-US"/>
              </w:rPr>
              <w:t>-</w:t>
            </w:r>
          </w:p>
        </w:tc>
        <w:tc>
          <w:tcPr>
            <w:tcW w:w="1134" w:type="dxa"/>
          </w:tcPr>
          <w:p w14:paraId="58C7CCDE" w14:textId="74CA0938" w:rsidR="007707C9" w:rsidRPr="003A7E34" w:rsidRDefault="001A22B4" w:rsidP="00DC2A94">
            <w:pPr>
              <w:spacing w:before="0" w:after="0"/>
              <w:rPr>
                <w:rFonts w:eastAsia="Times New Roman"/>
                <w:sz w:val="20"/>
                <w:szCs w:val="20"/>
                <w:lang w:val="en-US"/>
              </w:rPr>
            </w:pPr>
            <w:r w:rsidRPr="003A7E34">
              <w:rPr>
                <w:rFonts w:eastAsia="Times New Roman"/>
                <w:sz w:val="20"/>
                <w:szCs w:val="20"/>
                <w:lang w:val="en-US"/>
              </w:rPr>
              <w:t>x</w:t>
            </w:r>
          </w:p>
        </w:tc>
      </w:tr>
      <w:tr w:rsidR="003A7E34" w:rsidRPr="003A7E34" w14:paraId="7883B477" w14:textId="77777777" w:rsidTr="1F603D79">
        <w:trPr>
          <w:trHeight w:val="217"/>
        </w:trPr>
        <w:tc>
          <w:tcPr>
            <w:tcW w:w="7088" w:type="dxa"/>
            <w:gridSpan w:val="4"/>
          </w:tcPr>
          <w:p w14:paraId="5A6BD20C" w14:textId="793149AC" w:rsidR="00E70778" w:rsidRPr="003A7E34" w:rsidRDefault="00E70778" w:rsidP="00DC2A94">
            <w:pPr>
              <w:spacing w:before="0" w:after="0"/>
              <w:jc w:val="right"/>
              <w:rPr>
                <w:rFonts w:eastAsia="Times New Roman"/>
                <w:sz w:val="20"/>
                <w:szCs w:val="20"/>
                <w:lang w:val="en-US"/>
              </w:rPr>
            </w:pPr>
            <w:r w:rsidRPr="003A7E34">
              <w:rPr>
                <w:rFonts w:eastAsia="Times New Roman"/>
                <w:sz w:val="20"/>
                <w:szCs w:val="20"/>
                <w:lang w:val="en-US"/>
              </w:rPr>
              <w:t>Total planed:</w:t>
            </w:r>
          </w:p>
        </w:tc>
        <w:tc>
          <w:tcPr>
            <w:tcW w:w="1417" w:type="dxa"/>
          </w:tcPr>
          <w:p w14:paraId="7A0E910F" w14:textId="4419F2E3" w:rsidR="00E70778" w:rsidRPr="003A7E34" w:rsidRDefault="00091DAB" w:rsidP="00DC2A94">
            <w:pPr>
              <w:spacing w:before="0" w:after="0"/>
              <w:jc w:val="center"/>
              <w:rPr>
                <w:rFonts w:eastAsia="Times New Roman"/>
                <w:sz w:val="20"/>
                <w:szCs w:val="20"/>
                <w:lang w:val="en-US"/>
              </w:rPr>
            </w:pPr>
            <w:r w:rsidRPr="003A7E34">
              <w:rPr>
                <w:rFonts w:eastAsia="Times New Roman"/>
                <w:sz w:val="20"/>
                <w:szCs w:val="20"/>
                <w:lang w:val="en-US"/>
              </w:rPr>
              <w:t>2382</w:t>
            </w:r>
          </w:p>
        </w:tc>
        <w:tc>
          <w:tcPr>
            <w:tcW w:w="1134" w:type="dxa"/>
          </w:tcPr>
          <w:p w14:paraId="1BDFEC94" w14:textId="77777777" w:rsidR="00E70778" w:rsidRPr="003A7E34" w:rsidRDefault="00E70778" w:rsidP="00DC2A94">
            <w:pPr>
              <w:spacing w:before="0" w:after="0"/>
              <w:rPr>
                <w:rFonts w:eastAsia="Times New Roman"/>
                <w:sz w:val="20"/>
                <w:szCs w:val="20"/>
                <w:lang w:val="en-US"/>
              </w:rPr>
            </w:pPr>
          </w:p>
        </w:tc>
      </w:tr>
      <w:tr w:rsidR="003A7E34" w:rsidRPr="003A7E34" w14:paraId="0657E75B" w14:textId="77777777" w:rsidTr="1F603D79">
        <w:trPr>
          <w:trHeight w:val="70"/>
        </w:trPr>
        <w:tc>
          <w:tcPr>
            <w:tcW w:w="7088" w:type="dxa"/>
            <w:gridSpan w:val="4"/>
          </w:tcPr>
          <w:p w14:paraId="6273BFA7" w14:textId="230561D8" w:rsidR="00E70778" w:rsidRPr="003A7E34" w:rsidRDefault="00E70778" w:rsidP="00DC2A94">
            <w:pPr>
              <w:spacing w:before="0" w:after="0"/>
              <w:jc w:val="right"/>
              <w:rPr>
                <w:rFonts w:eastAsia="Times New Roman"/>
                <w:sz w:val="20"/>
                <w:szCs w:val="20"/>
                <w:lang w:val="en-US"/>
              </w:rPr>
            </w:pPr>
            <w:r w:rsidRPr="003A7E34">
              <w:rPr>
                <w:rFonts w:eastAsia="Times New Roman"/>
                <w:sz w:val="20"/>
                <w:szCs w:val="20"/>
                <w:lang w:val="en-US"/>
              </w:rPr>
              <w:t>Total:</w:t>
            </w:r>
          </w:p>
        </w:tc>
        <w:tc>
          <w:tcPr>
            <w:tcW w:w="1417" w:type="dxa"/>
          </w:tcPr>
          <w:p w14:paraId="0D8C46A8" w14:textId="43040C4B" w:rsidR="00E70778" w:rsidRPr="003A7E34" w:rsidRDefault="00091DAB" w:rsidP="00DC2A94">
            <w:pPr>
              <w:spacing w:before="0" w:after="0"/>
              <w:jc w:val="center"/>
              <w:rPr>
                <w:rFonts w:eastAsia="Times New Roman"/>
                <w:sz w:val="20"/>
                <w:szCs w:val="20"/>
                <w:lang w:val="en-US"/>
              </w:rPr>
            </w:pPr>
            <w:r w:rsidRPr="003A7E34">
              <w:rPr>
                <w:rFonts w:eastAsia="Times New Roman"/>
                <w:sz w:val="20"/>
                <w:szCs w:val="20"/>
                <w:lang w:val="en-US"/>
              </w:rPr>
              <w:t>5446</w:t>
            </w:r>
          </w:p>
        </w:tc>
        <w:tc>
          <w:tcPr>
            <w:tcW w:w="1134" w:type="dxa"/>
          </w:tcPr>
          <w:p w14:paraId="597F5E77" w14:textId="77777777" w:rsidR="00E70778" w:rsidRPr="003A7E34" w:rsidRDefault="00E70778" w:rsidP="00DC2A94">
            <w:pPr>
              <w:spacing w:before="0" w:after="0"/>
              <w:rPr>
                <w:rFonts w:eastAsia="Times New Roman"/>
                <w:sz w:val="20"/>
                <w:szCs w:val="20"/>
                <w:lang w:val="en-US"/>
              </w:rPr>
            </w:pPr>
          </w:p>
        </w:tc>
      </w:tr>
    </w:tbl>
    <w:p w14:paraId="1D0CF47B" w14:textId="77777777" w:rsidR="002F6BDB" w:rsidRPr="003A7E34" w:rsidRDefault="002F6BDB" w:rsidP="002F6BDB">
      <w:pPr>
        <w:spacing w:before="0"/>
        <w:rPr>
          <w:rFonts w:eastAsia="Times New Roman"/>
          <w:sz w:val="20"/>
          <w:szCs w:val="20"/>
          <w:lang w:val="en-US"/>
        </w:rPr>
      </w:pPr>
      <w:r w:rsidRPr="003A7E34">
        <w:rPr>
          <w:rFonts w:eastAsia="Times New Roman"/>
          <w:sz w:val="20"/>
          <w:szCs w:val="20"/>
          <w:vertAlign w:val="superscript"/>
          <w:lang w:val="en-US"/>
        </w:rPr>
        <w:t>1</w:t>
      </w:r>
      <w:r w:rsidRPr="003A7E34">
        <w:rPr>
          <w:rFonts w:eastAsia="Times New Roman"/>
          <w:sz w:val="20"/>
          <w:szCs w:val="20"/>
          <w:lang w:val="en-US"/>
        </w:rPr>
        <w:t xml:space="preserve">financing from EU funds </w:t>
      </w:r>
    </w:p>
    <w:p w14:paraId="00283FC9" w14:textId="77777777" w:rsidR="002F6BDB" w:rsidRPr="003A7E34" w:rsidRDefault="002F6BDB" w:rsidP="002F6BDB">
      <w:pPr>
        <w:spacing w:before="0"/>
        <w:rPr>
          <w:rFonts w:eastAsia="Times New Roman"/>
          <w:sz w:val="20"/>
          <w:szCs w:val="20"/>
          <w:lang w:val="en-US"/>
        </w:rPr>
      </w:pPr>
      <w:r w:rsidRPr="003A7E34">
        <w:rPr>
          <w:rFonts w:eastAsia="Times New Roman"/>
          <w:sz w:val="20"/>
          <w:szCs w:val="20"/>
          <w:vertAlign w:val="superscript"/>
          <w:lang w:val="en-US"/>
        </w:rPr>
        <w:t>2</w:t>
      </w:r>
      <w:r w:rsidRPr="003A7E34">
        <w:rPr>
          <w:rFonts w:eastAsia="Times New Roman"/>
          <w:sz w:val="20"/>
          <w:szCs w:val="20"/>
          <w:lang w:val="en-US"/>
        </w:rPr>
        <w:t xml:space="preserve">financing from budget </w:t>
      </w:r>
    </w:p>
    <w:p w14:paraId="73E2D66F" w14:textId="2C0AB9E8" w:rsidR="002F6BDB" w:rsidRPr="003A7E34" w:rsidRDefault="002F6BDB" w:rsidP="00A1483D">
      <w:pPr>
        <w:spacing w:before="0" w:after="0"/>
        <w:rPr>
          <w:rFonts w:eastAsia="Times New Roman"/>
          <w:sz w:val="20"/>
          <w:szCs w:val="20"/>
          <w:lang w:val="en-US"/>
        </w:rPr>
      </w:pPr>
      <w:r w:rsidRPr="003A7E34">
        <w:rPr>
          <w:rFonts w:eastAsia="Times New Roman"/>
          <w:sz w:val="20"/>
          <w:szCs w:val="20"/>
          <w:vertAlign w:val="superscript"/>
          <w:lang w:val="en-US"/>
        </w:rPr>
        <w:t>3</w:t>
      </w:r>
      <w:r w:rsidRPr="003A7E34">
        <w:rPr>
          <w:rFonts w:eastAsia="Times New Roman"/>
          <w:sz w:val="20"/>
          <w:szCs w:val="20"/>
          <w:lang w:val="en-US"/>
        </w:rPr>
        <w:t>other sources</w:t>
      </w:r>
    </w:p>
    <w:p w14:paraId="30C802A9" w14:textId="4B6DF4CA" w:rsidR="00381212" w:rsidRPr="003A7E34" w:rsidRDefault="00A02C01" w:rsidP="00EA50D6">
      <w:pPr>
        <w:spacing w:after="0"/>
        <w:rPr>
          <w:rFonts w:eastAsia="Times New Roman"/>
          <w:b/>
          <w:bCs/>
          <w:lang w:val="en-US"/>
        </w:rPr>
      </w:pPr>
      <w:r w:rsidRPr="003A7E34">
        <w:rPr>
          <w:noProof/>
          <w:lang w:val="en-US"/>
        </w:rPr>
        <w:lastRenderedPageBreak/>
        <w:drawing>
          <wp:inline distT="0" distB="0" distL="0" distR="0" wp14:anchorId="501A59EC" wp14:editId="4A997C96">
            <wp:extent cx="3676650" cy="2228850"/>
            <wp:effectExtent l="0" t="0" r="0" b="0"/>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D871C8" w:rsidRPr="003A7E34">
        <w:rPr>
          <w:rFonts w:eastAsia="Times New Roman"/>
          <w:noProof/>
          <w:lang w:val="en-US"/>
        </w:rPr>
        <w:t xml:space="preserve"> </w:t>
      </w:r>
      <w:r w:rsidR="00E94883" w:rsidRPr="003A7E34">
        <w:rPr>
          <w:noProof/>
          <w:lang w:val="en-US"/>
        </w:rPr>
        <w:drawing>
          <wp:inline distT="0" distB="0" distL="0" distR="0" wp14:anchorId="7D5BF2A7" wp14:editId="5AD6BF89">
            <wp:extent cx="2352675" cy="2971800"/>
            <wp:effectExtent l="0" t="0" r="0" b="0"/>
            <wp:docPr id="21" name="Diagrama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1ADCBF" w14:textId="2D6EC7EF" w:rsidR="00381212" w:rsidRPr="003A7E34" w:rsidRDefault="5E230566" w:rsidP="5E230566">
      <w:pPr>
        <w:spacing w:after="0"/>
        <w:jc w:val="center"/>
        <w:rPr>
          <w:rFonts w:eastAsia="Times New Roman"/>
          <w:sz w:val="20"/>
          <w:szCs w:val="20"/>
          <w:lang w:val="en-US"/>
        </w:rPr>
      </w:pPr>
      <w:r w:rsidRPr="003A7E34">
        <w:rPr>
          <w:rFonts w:eastAsia="Times New Roman"/>
          <w:b/>
          <w:bCs/>
          <w:sz w:val="20"/>
          <w:szCs w:val="20"/>
          <w:lang w:val="en-US"/>
        </w:rPr>
        <w:t>Figure 3.1.1.1.</w:t>
      </w:r>
      <w:r w:rsidRPr="003A7E34">
        <w:rPr>
          <w:rFonts w:eastAsia="Times New Roman"/>
          <w:sz w:val="20"/>
          <w:szCs w:val="20"/>
          <w:lang w:val="en-US"/>
        </w:rPr>
        <w:t xml:space="preserve"> The comparison of projected</w:t>
      </w:r>
      <w:r w:rsidR="00BD34E3" w:rsidRPr="003A7E34">
        <w:rPr>
          <w:rFonts w:eastAsia="Times New Roman"/>
          <w:sz w:val="20"/>
          <w:szCs w:val="20"/>
          <w:lang w:val="en-US"/>
        </w:rPr>
        <w:t xml:space="preserve"> the</w:t>
      </w:r>
      <w:r w:rsidRPr="003A7E34">
        <w:rPr>
          <w:rFonts w:eastAsia="Times New Roman"/>
          <w:sz w:val="20"/>
          <w:szCs w:val="20"/>
          <w:lang w:val="en-US"/>
        </w:rPr>
        <w:t xml:space="preserve"> transport GHG emissions WEM and WAM scenarios and the distribution of evaluated effects of additional measures in transport sector for 2021-2030.</w:t>
      </w:r>
    </w:p>
    <w:p w14:paraId="149C7C54" w14:textId="77777777" w:rsidR="00A1483D" w:rsidRDefault="00A1483D" w:rsidP="00EA50D6">
      <w:pPr>
        <w:spacing w:after="0"/>
        <w:rPr>
          <w:rFonts w:eastAsia="Times New Roman"/>
          <w:b/>
          <w:bCs/>
          <w:lang w:val="en-US"/>
        </w:rPr>
      </w:pPr>
    </w:p>
    <w:p w14:paraId="4EED7E4A" w14:textId="37A217AF" w:rsidR="00381212" w:rsidRPr="003A7E34" w:rsidRDefault="00381212" w:rsidP="00EA50D6">
      <w:pPr>
        <w:spacing w:after="0"/>
        <w:rPr>
          <w:rFonts w:eastAsia="Times New Roman"/>
          <w:lang w:val="en-US"/>
        </w:rPr>
      </w:pPr>
      <w:r w:rsidRPr="003A7E34">
        <w:rPr>
          <w:rFonts w:eastAsia="Times New Roman"/>
          <w:b/>
          <w:bCs/>
          <w:lang w:val="en-US"/>
        </w:rPr>
        <w:t>Industrial and industrial process</w:t>
      </w:r>
      <w:r w:rsidR="00BC5D1A" w:rsidRPr="003A7E34">
        <w:rPr>
          <w:rFonts w:eastAsia="Times New Roman"/>
          <w:b/>
          <w:bCs/>
          <w:lang w:val="en-US"/>
        </w:rPr>
        <w:t>es</w:t>
      </w:r>
      <w:r w:rsidRPr="003A7E34">
        <w:rPr>
          <w:rFonts w:eastAsia="Times New Roman"/>
          <w:b/>
          <w:bCs/>
          <w:lang w:val="en-US"/>
        </w:rPr>
        <w:t xml:space="preserve"> sector. </w:t>
      </w:r>
      <w:r w:rsidRPr="003A7E34">
        <w:rPr>
          <w:rFonts w:eastAsia="Times New Roman"/>
          <w:lang w:val="en-US"/>
        </w:rPr>
        <w:t>The Progra</w:t>
      </w:r>
      <w:r w:rsidR="00DC2A94" w:rsidRPr="003A7E34">
        <w:rPr>
          <w:rFonts w:eastAsia="Times New Roman"/>
          <w:lang w:val="en-US"/>
        </w:rPr>
        <w:t>m</w:t>
      </w:r>
      <w:r w:rsidRPr="003A7E34">
        <w:rPr>
          <w:rFonts w:eastAsia="Times New Roman"/>
          <w:lang w:val="en-US"/>
        </w:rPr>
        <w:t xml:space="preserve"> for Investment Incentives and Industry Development for 2014–2020 aimed at more efficient use of energy and increased use of RES. The implementation of this program is financed </w:t>
      </w:r>
      <w:r w:rsidR="00BC5D1A" w:rsidRPr="003A7E34">
        <w:rPr>
          <w:rFonts w:eastAsia="Times New Roman"/>
          <w:lang w:val="en-US"/>
        </w:rPr>
        <w:t xml:space="preserve">by </w:t>
      </w:r>
      <w:r w:rsidRPr="003A7E34">
        <w:rPr>
          <w:rFonts w:eastAsia="Times New Roman"/>
          <w:lang w:val="en-US"/>
        </w:rPr>
        <w:t xml:space="preserve">the EU structural funds. According to </w:t>
      </w:r>
      <w:r w:rsidR="00BC5D1A" w:rsidRPr="003A7E34">
        <w:rPr>
          <w:rFonts w:eastAsia="Times New Roman"/>
          <w:lang w:val="en-US"/>
        </w:rPr>
        <w:t xml:space="preserve">the </w:t>
      </w:r>
      <w:r w:rsidR="001F6A52" w:rsidRPr="003A7E34">
        <w:rPr>
          <w:rFonts w:eastAsia="Times New Roman"/>
          <w:b/>
          <w:lang w:val="en-US"/>
        </w:rPr>
        <w:t>NE</w:t>
      </w:r>
      <w:r w:rsidR="001F6A52" w:rsidRPr="003A7E34">
        <w:rPr>
          <w:rFonts w:eastAsia="Times New Roman"/>
          <w:b/>
        </w:rPr>
        <w:t>IS</w:t>
      </w:r>
      <w:r w:rsidRPr="003A7E34">
        <w:rPr>
          <w:rFonts w:eastAsia="Times New Roman"/>
          <w:lang w:val="en-US"/>
        </w:rPr>
        <w:t xml:space="preserve"> the promotion of low energy intensive industry subsectors and the application of eco-innovative technologies are expected to save around 620 GWh of electricity consumption by 2025. </w:t>
      </w:r>
    </w:p>
    <w:p w14:paraId="0812C363" w14:textId="736941CB" w:rsidR="00381212" w:rsidRPr="003A7E34" w:rsidRDefault="5E230566" w:rsidP="5E230566">
      <w:pPr>
        <w:spacing w:after="0"/>
        <w:rPr>
          <w:rFonts w:eastAsia="Times New Roman"/>
          <w:lang w:val="en-US"/>
        </w:rPr>
      </w:pPr>
      <w:r w:rsidRPr="003A7E34">
        <w:rPr>
          <w:rFonts w:eastAsia="Times New Roman"/>
          <w:lang w:val="en-US"/>
        </w:rPr>
        <w:t xml:space="preserve">Lithuania implements the control of volatile organic compound emissions resulting from the storage of petrol and its distribution from terminals to service stations through a law adopted </w:t>
      </w:r>
      <w:r w:rsidR="00BC5D1A" w:rsidRPr="003A7E34">
        <w:rPr>
          <w:rFonts w:eastAsia="Times New Roman"/>
          <w:lang w:val="en-US"/>
        </w:rPr>
        <w:t xml:space="preserve">in </w:t>
      </w:r>
      <w:r w:rsidRPr="003A7E34">
        <w:rPr>
          <w:rFonts w:eastAsia="Times New Roman"/>
          <w:lang w:val="en-US"/>
        </w:rPr>
        <w:t>2000 and revised in 2016 implementing the EU legislation in this area. Lithuania also has in place F-gas regulation</w:t>
      </w:r>
      <w:r w:rsidR="00BC5D1A" w:rsidRPr="003A7E34">
        <w:rPr>
          <w:rFonts w:eastAsia="Times New Roman"/>
          <w:lang w:val="en-US"/>
        </w:rPr>
        <w:t xml:space="preserve">s, which </w:t>
      </w:r>
      <w:r w:rsidRPr="003A7E34">
        <w:rPr>
          <w:rFonts w:eastAsia="Times New Roman"/>
          <w:lang w:val="en-US"/>
        </w:rPr>
        <w:t xml:space="preserve">aim at cutting total EU emissions from F-gases by two thirds by 2030 compared with the 2014 level. It prohibits placing F-gases on the market in certain circumstances where alternatives are available. </w:t>
      </w:r>
      <w:r w:rsidR="00BC5D1A" w:rsidRPr="003A7E34">
        <w:rPr>
          <w:rFonts w:eastAsia="Times New Roman"/>
          <w:lang w:val="en-US"/>
        </w:rPr>
        <w:t xml:space="preserve">Between </w:t>
      </w:r>
      <w:r w:rsidRPr="003A7E34">
        <w:rPr>
          <w:rFonts w:eastAsia="Times New Roman"/>
          <w:lang w:val="en-US"/>
        </w:rPr>
        <w:t xml:space="preserve">2018 </w:t>
      </w:r>
      <w:r w:rsidR="00BC5D1A" w:rsidRPr="003A7E34">
        <w:rPr>
          <w:rFonts w:eastAsia="Times New Roman"/>
          <w:lang w:val="en-US"/>
        </w:rPr>
        <w:t xml:space="preserve">and </w:t>
      </w:r>
      <w:r w:rsidRPr="003A7E34">
        <w:rPr>
          <w:rFonts w:eastAsia="Times New Roman"/>
          <w:lang w:val="en-US"/>
        </w:rPr>
        <w:t>2020, quotas for legally placing HFCs on the EU market were reduced to 63% of the 2015 level</w:t>
      </w:r>
      <w:r w:rsidR="00BC5D1A" w:rsidRPr="003A7E34">
        <w:rPr>
          <w:rFonts w:eastAsia="Times New Roman"/>
          <w:lang w:val="en-US"/>
        </w:rPr>
        <w:t>s</w:t>
      </w:r>
      <w:r w:rsidRPr="003A7E34">
        <w:rPr>
          <w:rFonts w:eastAsia="Times New Roman"/>
          <w:lang w:val="en-US"/>
        </w:rPr>
        <w:t xml:space="preserve">. Lithuania implements the EU F-gas regulation through four domestic orders </w:t>
      </w:r>
      <w:r w:rsidR="00BC5D1A" w:rsidRPr="003A7E34">
        <w:rPr>
          <w:rFonts w:eastAsia="Times New Roman"/>
          <w:lang w:val="en-US"/>
        </w:rPr>
        <w:t xml:space="preserve">released by </w:t>
      </w:r>
      <w:r w:rsidRPr="003A7E34">
        <w:rPr>
          <w:rFonts w:eastAsia="Times New Roman"/>
          <w:lang w:val="en-US"/>
        </w:rPr>
        <w:t>the Minister of Environment. Lithuania also amended its Administrative Infringement Code in 2016 to establish more stringent responsibilities for breaching the requirements of handling F-gases.</w:t>
      </w:r>
    </w:p>
    <w:p w14:paraId="147DAC85" w14:textId="77777777" w:rsidR="000D2A44" w:rsidRPr="003A7E34" w:rsidRDefault="000D2A44" w:rsidP="5E230566">
      <w:pPr>
        <w:spacing w:before="0"/>
        <w:rPr>
          <w:rFonts w:eastAsia="Times New Roman"/>
          <w:b/>
          <w:bCs/>
          <w:sz w:val="20"/>
          <w:szCs w:val="20"/>
          <w:lang w:val="en-US"/>
        </w:rPr>
      </w:pPr>
    </w:p>
    <w:p w14:paraId="3AEF80A7" w14:textId="28AC8DF2" w:rsidR="00381212" w:rsidRPr="003A7E34" w:rsidRDefault="5E230566" w:rsidP="5E230566">
      <w:pPr>
        <w:spacing w:before="0"/>
        <w:rPr>
          <w:rFonts w:eastAsia="Times New Roman"/>
          <w:b/>
          <w:bCs/>
          <w:sz w:val="20"/>
          <w:szCs w:val="20"/>
          <w:lang w:val="en-US"/>
        </w:rPr>
      </w:pPr>
      <w:r w:rsidRPr="003A7E34">
        <w:rPr>
          <w:rFonts w:eastAsia="Times New Roman"/>
          <w:b/>
          <w:bCs/>
          <w:sz w:val="20"/>
          <w:szCs w:val="20"/>
          <w:lang w:val="en-US"/>
        </w:rPr>
        <w:t xml:space="preserve">Table 3.1.1.2. </w:t>
      </w:r>
      <w:r w:rsidRPr="003A7E34">
        <w:rPr>
          <w:rFonts w:eastAsia="Times New Roman"/>
          <w:sz w:val="20"/>
          <w:szCs w:val="20"/>
          <w:lang w:val="en-US"/>
        </w:rPr>
        <w:t>The summary table of policies and measures adopted and under implementation in IPPU sector.</w:t>
      </w:r>
    </w:p>
    <w:tbl>
      <w:tblPr>
        <w:tblStyle w:val="TableGrid"/>
        <w:tblW w:w="9747" w:type="dxa"/>
        <w:tblLayout w:type="fixed"/>
        <w:tblLook w:val="04A0" w:firstRow="1" w:lastRow="0" w:firstColumn="1" w:lastColumn="0" w:noHBand="0" w:noVBand="1"/>
      </w:tblPr>
      <w:tblGrid>
        <w:gridCol w:w="1951"/>
        <w:gridCol w:w="2126"/>
        <w:gridCol w:w="1796"/>
        <w:gridCol w:w="1561"/>
        <w:gridCol w:w="1321"/>
        <w:gridCol w:w="992"/>
      </w:tblGrid>
      <w:tr w:rsidR="003A7E34" w:rsidRPr="003A7E34" w14:paraId="54B56996" w14:textId="77777777" w:rsidTr="001A22B4">
        <w:trPr>
          <w:trHeight w:val="420"/>
          <w:tblHeader/>
        </w:trPr>
        <w:tc>
          <w:tcPr>
            <w:tcW w:w="1951" w:type="dxa"/>
          </w:tcPr>
          <w:p w14:paraId="1127477C" w14:textId="77777777" w:rsidR="009C1CD1" w:rsidRPr="003A7E34" w:rsidRDefault="5E230566" w:rsidP="5E230566">
            <w:pPr>
              <w:spacing w:before="0" w:after="0"/>
              <w:rPr>
                <w:rFonts w:eastAsia="Times New Roman"/>
                <w:b/>
                <w:bCs/>
                <w:sz w:val="18"/>
                <w:szCs w:val="18"/>
                <w:lang w:val="en-US"/>
              </w:rPr>
            </w:pPr>
            <w:r w:rsidRPr="003A7E34">
              <w:rPr>
                <w:rFonts w:eastAsia="Times New Roman"/>
                <w:b/>
                <w:bCs/>
                <w:sz w:val="18"/>
                <w:szCs w:val="18"/>
                <w:lang w:val="en-US"/>
              </w:rPr>
              <w:t>Measures</w:t>
            </w:r>
          </w:p>
        </w:tc>
        <w:tc>
          <w:tcPr>
            <w:tcW w:w="2126" w:type="dxa"/>
          </w:tcPr>
          <w:p w14:paraId="2AEE1818" w14:textId="77777777" w:rsidR="009C1CD1" w:rsidRPr="003A7E34" w:rsidRDefault="5E230566" w:rsidP="5E230566">
            <w:pPr>
              <w:spacing w:before="0" w:after="0"/>
              <w:rPr>
                <w:rFonts w:eastAsia="Times New Roman"/>
                <w:b/>
                <w:bCs/>
                <w:sz w:val="18"/>
                <w:szCs w:val="18"/>
                <w:lang w:val="en-US"/>
              </w:rPr>
            </w:pPr>
            <w:r w:rsidRPr="003A7E34">
              <w:rPr>
                <w:rFonts w:eastAsia="Times New Roman"/>
                <w:b/>
                <w:bCs/>
                <w:sz w:val="18"/>
                <w:szCs w:val="18"/>
                <w:lang w:val="en-US"/>
              </w:rPr>
              <w:t>Objectives</w:t>
            </w:r>
          </w:p>
        </w:tc>
        <w:tc>
          <w:tcPr>
            <w:tcW w:w="1796" w:type="dxa"/>
          </w:tcPr>
          <w:p w14:paraId="65A29AED" w14:textId="16817C16" w:rsidR="009C1CD1" w:rsidRPr="003A7E34" w:rsidRDefault="5E230566" w:rsidP="5E230566">
            <w:pPr>
              <w:spacing w:before="0" w:after="0"/>
              <w:rPr>
                <w:rFonts w:eastAsia="Times New Roman"/>
                <w:b/>
                <w:bCs/>
                <w:sz w:val="18"/>
                <w:szCs w:val="18"/>
                <w:lang w:val="en-US"/>
              </w:rPr>
            </w:pPr>
            <w:r w:rsidRPr="003A7E34">
              <w:rPr>
                <w:rFonts w:eastAsia="Times New Roman"/>
                <w:b/>
                <w:bCs/>
                <w:sz w:val="18"/>
                <w:szCs w:val="18"/>
                <w:lang w:val="en-US"/>
              </w:rPr>
              <w:t>Implementation period</w:t>
            </w:r>
          </w:p>
        </w:tc>
        <w:tc>
          <w:tcPr>
            <w:tcW w:w="1561" w:type="dxa"/>
          </w:tcPr>
          <w:p w14:paraId="24C8665D" w14:textId="50B25CE5" w:rsidR="009C1CD1" w:rsidRPr="003A7E34" w:rsidRDefault="5E230566" w:rsidP="5E230566">
            <w:pPr>
              <w:spacing w:before="0" w:after="0"/>
              <w:rPr>
                <w:rFonts w:eastAsia="Times New Roman"/>
                <w:b/>
                <w:bCs/>
                <w:sz w:val="18"/>
                <w:szCs w:val="18"/>
                <w:lang w:val="en-US"/>
              </w:rPr>
            </w:pPr>
            <w:r w:rsidRPr="003A7E34">
              <w:rPr>
                <w:rFonts w:eastAsia="Times New Roman"/>
                <w:b/>
                <w:bCs/>
                <w:sz w:val="18"/>
                <w:szCs w:val="18"/>
                <w:lang w:val="en-US"/>
              </w:rPr>
              <w:t>Entities responsible for implementing the policy</w:t>
            </w:r>
          </w:p>
        </w:tc>
        <w:tc>
          <w:tcPr>
            <w:tcW w:w="1321" w:type="dxa"/>
          </w:tcPr>
          <w:p w14:paraId="0B1F2577" w14:textId="22F241C5" w:rsidR="009C1CD1" w:rsidRPr="003A7E34" w:rsidRDefault="5E230566" w:rsidP="00DB206C">
            <w:pPr>
              <w:spacing w:before="0" w:after="0"/>
              <w:rPr>
                <w:rFonts w:eastAsia="Times New Roman"/>
                <w:b/>
                <w:bCs/>
                <w:sz w:val="18"/>
                <w:szCs w:val="18"/>
                <w:lang w:val="en-US"/>
              </w:rPr>
            </w:pPr>
            <w:r w:rsidRPr="003A7E34">
              <w:rPr>
                <w:rFonts w:eastAsia="Times New Roman"/>
                <w:b/>
                <w:bCs/>
                <w:sz w:val="18"/>
                <w:szCs w:val="18"/>
                <w:lang w:val="en-US"/>
              </w:rPr>
              <w:t>GHG mitigation effect, ktCO</w:t>
            </w:r>
            <w:r w:rsidRPr="003A7E34">
              <w:rPr>
                <w:rFonts w:eastAsia="Times New Roman"/>
                <w:b/>
                <w:bCs/>
                <w:sz w:val="18"/>
                <w:szCs w:val="18"/>
                <w:vertAlign w:val="subscript"/>
                <w:lang w:val="en-US"/>
              </w:rPr>
              <w:t>2</w:t>
            </w:r>
            <w:r w:rsidRPr="003A7E34">
              <w:rPr>
                <w:rFonts w:eastAsia="Times New Roman"/>
                <w:b/>
                <w:bCs/>
                <w:sz w:val="18"/>
                <w:szCs w:val="18"/>
                <w:lang w:val="en-US"/>
              </w:rPr>
              <w:t>eq</w:t>
            </w:r>
            <w:r w:rsidRPr="003A7E34">
              <w:rPr>
                <w:rFonts w:eastAsia="Times New Roman"/>
                <w:b/>
                <w:bCs/>
                <w:sz w:val="18"/>
                <w:szCs w:val="18"/>
                <w:vertAlign w:val="subscript"/>
                <w:lang w:val="en-US"/>
              </w:rPr>
              <w:t>.</w:t>
            </w:r>
          </w:p>
        </w:tc>
        <w:tc>
          <w:tcPr>
            <w:tcW w:w="992" w:type="dxa"/>
          </w:tcPr>
          <w:p w14:paraId="44ED0A6A" w14:textId="0EF6DFCF" w:rsidR="009C1CD1" w:rsidRPr="003A7E34" w:rsidRDefault="5E230566" w:rsidP="5E230566">
            <w:pPr>
              <w:spacing w:before="0" w:after="0"/>
              <w:rPr>
                <w:rFonts w:eastAsia="Times New Roman"/>
                <w:b/>
                <w:bCs/>
                <w:sz w:val="18"/>
                <w:szCs w:val="18"/>
                <w:lang w:val="en-US"/>
              </w:rPr>
            </w:pPr>
            <w:r w:rsidRPr="003A7E34">
              <w:rPr>
                <w:rFonts w:eastAsia="Times New Roman"/>
                <w:b/>
                <w:bCs/>
                <w:sz w:val="18"/>
                <w:szCs w:val="18"/>
                <w:lang w:val="en-US"/>
              </w:rPr>
              <w:t>Planned budget</w:t>
            </w:r>
            <w:r w:rsidRPr="003A7E34">
              <w:rPr>
                <w:rFonts w:eastAsia="Times New Roman"/>
                <w:b/>
                <w:bCs/>
                <w:sz w:val="18"/>
                <w:szCs w:val="18"/>
                <w:vertAlign w:val="superscript"/>
                <w:lang w:val="en-US"/>
              </w:rPr>
              <w:t>1,2,3,</w:t>
            </w:r>
            <w:r w:rsidRPr="003A7E34">
              <w:rPr>
                <w:rFonts w:eastAsia="Times New Roman"/>
                <w:b/>
                <w:bCs/>
                <w:sz w:val="18"/>
                <w:szCs w:val="18"/>
                <w:lang w:val="en-US"/>
              </w:rPr>
              <w:t xml:space="preserve"> MEUR</w:t>
            </w:r>
          </w:p>
        </w:tc>
      </w:tr>
      <w:tr w:rsidR="003A7E34" w:rsidRPr="003A7E34" w14:paraId="23E90208" w14:textId="77777777" w:rsidTr="5E230566">
        <w:trPr>
          <w:trHeight w:val="354"/>
        </w:trPr>
        <w:tc>
          <w:tcPr>
            <w:tcW w:w="1951" w:type="dxa"/>
          </w:tcPr>
          <w:p w14:paraId="1615D813" w14:textId="700B88ED" w:rsidR="009C1CD1" w:rsidRPr="003A7E34" w:rsidRDefault="5E230566" w:rsidP="5E230566">
            <w:pPr>
              <w:spacing w:before="0" w:after="0"/>
              <w:rPr>
                <w:rFonts w:eastAsia="Times New Roman"/>
                <w:sz w:val="20"/>
                <w:szCs w:val="20"/>
                <w:lang w:val="en-US"/>
              </w:rPr>
            </w:pPr>
            <w:r w:rsidRPr="003A7E34">
              <w:rPr>
                <w:rFonts w:eastAsia="Times New Roman"/>
                <w:sz w:val="20"/>
                <w:szCs w:val="20"/>
                <w:lang w:val="en-US"/>
              </w:rPr>
              <w:t>I1. IPPC permits and pollution permits</w:t>
            </w:r>
          </w:p>
        </w:tc>
        <w:tc>
          <w:tcPr>
            <w:tcW w:w="2126" w:type="dxa"/>
          </w:tcPr>
          <w:p w14:paraId="5F0F0D71" w14:textId="70389261" w:rsidR="009C1CD1" w:rsidRPr="003A7E34" w:rsidRDefault="00BC5D1A" w:rsidP="5E230566">
            <w:pPr>
              <w:spacing w:before="0" w:after="0"/>
              <w:rPr>
                <w:rFonts w:eastAsia="Times New Roman"/>
                <w:sz w:val="20"/>
                <w:szCs w:val="20"/>
                <w:lang w:val="en-US"/>
              </w:rPr>
            </w:pPr>
            <w:r w:rsidRPr="003A7E34">
              <w:rPr>
                <w:rFonts w:eastAsia="Times New Roman"/>
                <w:sz w:val="20"/>
                <w:szCs w:val="20"/>
                <w:lang w:val="en-US"/>
              </w:rPr>
              <w:t xml:space="preserve">Direct application </w:t>
            </w:r>
            <w:r w:rsidR="5E230566" w:rsidRPr="003A7E34">
              <w:rPr>
                <w:rFonts w:eastAsia="Times New Roman"/>
                <w:sz w:val="20"/>
                <w:szCs w:val="20"/>
                <w:lang w:val="en-US"/>
              </w:rPr>
              <w:t>to combustion plants with a rated thermal input equal to or greater than 1 MW and less than 50 MW</w:t>
            </w:r>
          </w:p>
        </w:tc>
        <w:tc>
          <w:tcPr>
            <w:tcW w:w="1796" w:type="dxa"/>
          </w:tcPr>
          <w:p w14:paraId="0281936C" w14:textId="1B72DA2F" w:rsidR="009C1CD1" w:rsidRPr="003A7E34" w:rsidRDefault="001F6A52" w:rsidP="5E230566">
            <w:pPr>
              <w:spacing w:before="0" w:after="0"/>
              <w:rPr>
                <w:rFonts w:eastAsia="Times New Roman"/>
                <w:sz w:val="20"/>
                <w:szCs w:val="20"/>
                <w:lang w:val="en-US"/>
              </w:rPr>
            </w:pPr>
            <w:r w:rsidRPr="003A7E34">
              <w:rPr>
                <w:rFonts w:eastAsia="Times New Roman"/>
                <w:sz w:val="20"/>
                <w:szCs w:val="20"/>
                <w:lang w:val="en-US"/>
              </w:rPr>
              <w:t xml:space="preserve">Since </w:t>
            </w:r>
            <w:r w:rsidR="5E230566" w:rsidRPr="003A7E34">
              <w:rPr>
                <w:rFonts w:eastAsia="Times New Roman"/>
                <w:sz w:val="20"/>
                <w:szCs w:val="20"/>
                <w:lang w:val="en-US"/>
              </w:rPr>
              <w:t>2015</w:t>
            </w:r>
          </w:p>
        </w:tc>
        <w:tc>
          <w:tcPr>
            <w:tcW w:w="1561" w:type="dxa"/>
          </w:tcPr>
          <w:p w14:paraId="09F94539" w14:textId="5F70B94C" w:rsidR="009C1CD1" w:rsidRPr="003A7E34" w:rsidRDefault="5E230566" w:rsidP="5E230566">
            <w:pPr>
              <w:spacing w:before="0" w:after="0"/>
              <w:rPr>
                <w:rFonts w:eastAsia="Times New Roman"/>
                <w:sz w:val="20"/>
                <w:szCs w:val="20"/>
                <w:lang w:val="en-US"/>
              </w:rPr>
            </w:pPr>
            <w:r w:rsidRPr="003A7E34">
              <w:rPr>
                <w:rFonts w:eastAsia="Times New Roman"/>
                <w:sz w:val="20"/>
                <w:szCs w:val="20"/>
                <w:lang w:val="en-US"/>
              </w:rPr>
              <w:t>Ministry of Environment</w:t>
            </w:r>
          </w:p>
        </w:tc>
        <w:tc>
          <w:tcPr>
            <w:tcW w:w="1321" w:type="dxa"/>
          </w:tcPr>
          <w:p w14:paraId="5F839F43" w14:textId="797A3E6E" w:rsidR="009C1CD1" w:rsidRPr="003A7E34" w:rsidRDefault="001F6A52" w:rsidP="5E230566">
            <w:pPr>
              <w:spacing w:before="0" w:after="0"/>
              <w:rPr>
                <w:rFonts w:eastAsia="Times New Roman"/>
                <w:sz w:val="20"/>
                <w:szCs w:val="20"/>
                <w:lang w:val="en-US"/>
              </w:rPr>
            </w:pPr>
            <w:r w:rsidRPr="003A7E34">
              <w:rPr>
                <w:rFonts w:eastAsia="Times New Roman"/>
                <w:sz w:val="20"/>
                <w:szCs w:val="20"/>
                <w:lang w:val="en-US"/>
              </w:rPr>
              <w:t>-</w:t>
            </w:r>
          </w:p>
        </w:tc>
        <w:tc>
          <w:tcPr>
            <w:tcW w:w="992" w:type="dxa"/>
          </w:tcPr>
          <w:p w14:paraId="5781A6CE" w14:textId="3C33B19F" w:rsidR="009C1CD1" w:rsidRPr="003A7E34" w:rsidRDefault="00B3538F" w:rsidP="5E230566">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2</w:t>
            </w:r>
          </w:p>
        </w:tc>
      </w:tr>
      <w:tr w:rsidR="003A7E34" w:rsidRPr="003A7E34" w14:paraId="2ACFFAF8" w14:textId="77777777" w:rsidTr="5E230566">
        <w:trPr>
          <w:trHeight w:val="668"/>
        </w:trPr>
        <w:tc>
          <w:tcPr>
            <w:tcW w:w="1951" w:type="dxa"/>
          </w:tcPr>
          <w:p w14:paraId="3CFFB48A" w14:textId="75524278" w:rsidR="009C1CD1" w:rsidRPr="003A7E34" w:rsidRDefault="5E230566" w:rsidP="5E230566">
            <w:pPr>
              <w:spacing w:before="0" w:after="0"/>
              <w:rPr>
                <w:rFonts w:eastAsia="Times New Roman"/>
                <w:sz w:val="20"/>
                <w:szCs w:val="20"/>
                <w:lang w:val="en-US"/>
              </w:rPr>
            </w:pPr>
            <w:r w:rsidRPr="003A7E34">
              <w:rPr>
                <w:rFonts w:eastAsia="Times New Roman"/>
                <w:sz w:val="20"/>
                <w:szCs w:val="20"/>
                <w:lang w:val="en-US"/>
              </w:rPr>
              <w:lastRenderedPageBreak/>
              <w:t>I2. Supporting the implementation of the best available production (BAT) methods</w:t>
            </w:r>
          </w:p>
        </w:tc>
        <w:tc>
          <w:tcPr>
            <w:tcW w:w="2126" w:type="dxa"/>
          </w:tcPr>
          <w:p w14:paraId="38BDDE7C" w14:textId="77777777" w:rsidR="009C1CD1" w:rsidRPr="003A7E34" w:rsidRDefault="5E230566" w:rsidP="5E230566">
            <w:pPr>
              <w:spacing w:before="0" w:after="0"/>
              <w:rPr>
                <w:rFonts w:eastAsia="Times New Roman"/>
                <w:sz w:val="20"/>
                <w:szCs w:val="20"/>
                <w:lang w:val="en-US"/>
              </w:rPr>
            </w:pPr>
            <w:r w:rsidRPr="003A7E34">
              <w:rPr>
                <w:rFonts w:eastAsia="Times New Roman"/>
                <w:sz w:val="20"/>
                <w:szCs w:val="20"/>
                <w:lang w:val="en-US"/>
              </w:rPr>
              <w:t>Reduce the GHG emissions released during the cement production process by changing manufacturing technologies.</w:t>
            </w:r>
          </w:p>
        </w:tc>
        <w:tc>
          <w:tcPr>
            <w:tcW w:w="1796" w:type="dxa"/>
          </w:tcPr>
          <w:p w14:paraId="78D3A63D" w14:textId="3DEDAB11" w:rsidR="009C1CD1" w:rsidRPr="003A7E34" w:rsidRDefault="5E230566" w:rsidP="5E230566">
            <w:pPr>
              <w:spacing w:before="0" w:after="0"/>
              <w:rPr>
                <w:rFonts w:eastAsia="Times New Roman"/>
                <w:sz w:val="20"/>
                <w:szCs w:val="20"/>
                <w:lang w:val="en-US"/>
              </w:rPr>
            </w:pPr>
            <w:r w:rsidRPr="003A7E34">
              <w:rPr>
                <w:rFonts w:eastAsia="Times New Roman"/>
                <w:sz w:val="20"/>
                <w:szCs w:val="20"/>
                <w:lang w:val="en-US"/>
              </w:rPr>
              <w:t>2021–2027</w:t>
            </w:r>
          </w:p>
        </w:tc>
        <w:tc>
          <w:tcPr>
            <w:tcW w:w="1561" w:type="dxa"/>
          </w:tcPr>
          <w:p w14:paraId="484ABB92" w14:textId="68114010" w:rsidR="009C1CD1" w:rsidRPr="003A7E34" w:rsidRDefault="5E230566" w:rsidP="5E230566">
            <w:pPr>
              <w:spacing w:before="0" w:after="0"/>
              <w:rPr>
                <w:rFonts w:eastAsia="Times New Roman"/>
                <w:sz w:val="20"/>
                <w:szCs w:val="20"/>
                <w:lang w:val="en-US"/>
              </w:rPr>
            </w:pPr>
            <w:r w:rsidRPr="003A7E34">
              <w:rPr>
                <w:rFonts w:eastAsia="Times New Roman"/>
                <w:sz w:val="20"/>
                <w:szCs w:val="20"/>
                <w:lang w:val="en-US"/>
              </w:rPr>
              <w:t>Ministry of Economy</w:t>
            </w:r>
          </w:p>
          <w:p w14:paraId="1C944A1A" w14:textId="125D6BD4" w:rsidR="009C1CD1" w:rsidRPr="003A7E34" w:rsidRDefault="5E230566" w:rsidP="5E230566">
            <w:pPr>
              <w:spacing w:before="0" w:after="0"/>
              <w:rPr>
                <w:rFonts w:eastAsia="Times New Roman"/>
                <w:sz w:val="20"/>
                <w:szCs w:val="20"/>
                <w:lang w:val="en-US"/>
              </w:rPr>
            </w:pPr>
            <w:r w:rsidRPr="003A7E34">
              <w:rPr>
                <w:rFonts w:eastAsia="Times New Roman"/>
                <w:sz w:val="20"/>
                <w:szCs w:val="20"/>
                <w:lang w:val="en-US"/>
              </w:rPr>
              <w:t>Ministry of Environment</w:t>
            </w:r>
          </w:p>
        </w:tc>
        <w:tc>
          <w:tcPr>
            <w:tcW w:w="1321" w:type="dxa"/>
          </w:tcPr>
          <w:p w14:paraId="670D1868" w14:textId="26DC812F" w:rsidR="009C1CD1" w:rsidRPr="003A7E34" w:rsidRDefault="001F6A52" w:rsidP="5E230566">
            <w:pPr>
              <w:spacing w:before="0" w:after="0"/>
              <w:rPr>
                <w:rFonts w:eastAsia="Times New Roman"/>
                <w:sz w:val="20"/>
                <w:szCs w:val="20"/>
                <w:lang w:val="en-US"/>
              </w:rPr>
            </w:pPr>
            <w:r w:rsidRPr="003A7E34">
              <w:rPr>
                <w:rFonts w:eastAsia="Times New Roman"/>
                <w:sz w:val="20"/>
                <w:szCs w:val="20"/>
                <w:lang w:val="en-US"/>
              </w:rPr>
              <w:t>-</w:t>
            </w:r>
          </w:p>
        </w:tc>
        <w:tc>
          <w:tcPr>
            <w:tcW w:w="992" w:type="dxa"/>
          </w:tcPr>
          <w:p w14:paraId="7C6E340E" w14:textId="14686D3D" w:rsidR="009C1CD1" w:rsidRPr="003A7E34" w:rsidRDefault="00B3538F" w:rsidP="5E230566">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w:t>
            </w:r>
          </w:p>
        </w:tc>
      </w:tr>
      <w:tr w:rsidR="003A7E34" w:rsidRPr="003A7E34" w14:paraId="6BD5B069" w14:textId="77777777" w:rsidTr="5E230566">
        <w:trPr>
          <w:trHeight w:val="338"/>
        </w:trPr>
        <w:tc>
          <w:tcPr>
            <w:tcW w:w="1951" w:type="dxa"/>
          </w:tcPr>
          <w:p w14:paraId="07DBB591" w14:textId="760AAB60"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I3. Promoting</w:t>
            </w:r>
            <w:r w:rsidRPr="003A7E34">
              <w:rPr>
                <w:rFonts w:eastAsia="Times New Roman"/>
                <w:b/>
                <w:bCs/>
                <w:sz w:val="20"/>
                <w:szCs w:val="20"/>
                <w:lang w:val="en-US"/>
              </w:rPr>
              <w:t xml:space="preserve"> </w:t>
            </w:r>
            <w:r w:rsidRPr="003A7E34">
              <w:rPr>
                <w:rFonts w:eastAsia="Times New Roman"/>
                <w:sz w:val="20"/>
                <w:szCs w:val="20"/>
                <w:lang w:val="en-US"/>
              </w:rPr>
              <w:t>green procurements</w:t>
            </w:r>
          </w:p>
        </w:tc>
        <w:tc>
          <w:tcPr>
            <w:tcW w:w="2126" w:type="dxa"/>
          </w:tcPr>
          <w:p w14:paraId="12D13B5E" w14:textId="2F7D85C8" w:rsidR="009C1CD1" w:rsidRPr="003A7E34" w:rsidRDefault="009C1CD1" w:rsidP="00791F09">
            <w:pPr>
              <w:spacing w:before="0" w:after="0"/>
              <w:rPr>
                <w:rFonts w:eastAsia="Times New Roman"/>
                <w:sz w:val="20"/>
                <w:szCs w:val="20"/>
              </w:rPr>
            </w:pPr>
            <w:r w:rsidRPr="003A7E34">
              <w:rPr>
                <w:rFonts w:eastAsia="Times New Roman"/>
                <w:sz w:val="20"/>
                <w:szCs w:val="20"/>
                <w:lang w:val="en-US"/>
              </w:rPr>
              <w:t xml:space="preserve"> </w:t>
            </w:r>
            <w:r w:rsidR="00C67A32" w:rsidRPr="003A7E34">
              <w:rPr>
                <w:rFonts w:eastAsia="Times New Roman"/>
                <w:sz w:val="20"/>
                <w:szCs w:val="20"/>
              </w:rPr>
              <w:t>Promoting the environmental management system in the manufacturing sectors as well as strengthening ability of enterprises to organise green procurements.</w:t>
            </w:r>
          </w:p>
        </w:tc>
        <w:tc>
          <w:tcPr>
            <w:tcW w:w="1796" w:type="dxa"/>
          </w:tcPr>
          <w:p w14:paraId="119363F7" w14:textId="05D28D0F" w:rsidR="009C1CD1" w:rsidRPr="003A7E34" w:rsidRDefault="001F6A52" w:rsidP="00791F09">
            <w:pPr>
              <w:spacing w:before="0" w:after="0"/>
              <w:rPr>
                <w:rFonts w:eastAsia="Times New Roman"/>
                <w:sz w:val="20"/>
                <w:szCs w:val="20"/>
                <w:lang w:val="en-US"/>
              </w:rPr>
            </w:pPr>
            <w:r w:rsidRPr="003A7E34">
              <w:rPr>
                <w:rFonts w:eastAsia="Times New Roman"/>
                <w:sz w:val="20"/>
                <w:szCs w:val="20"/>
                <w:lang w:val="en-US"/>
              </w:rPr>
              <w:t>Since 2011</w:t>
            </w:r>
          </w:p>
        </w:tc>
        <w:tc>
          <w:tcPr>
            <w:tcW w:w="1561" w:type="dxa"/>
          </w:tcPr>
          <w:p w14:paraId="6177D71F" w14:textId="1B366A29"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Ministry of Environment</w:t>
            </w:r>
          </w:p>
        </w:tc>
        <w:tc>
          <w:tcPr>
            <w:tcW w:w="1321" w:type="dxa"/>
          </w:tcPr>
          <w:p w14:paraId="7FDF47C2" w14:textId="42391FE9" w:rsidR="009C1CD1" w:rsidRPr="003A7E34" w:rsidRDefault="001F6A52" w:rsidP="00791F09">
            <w:pPr>
              <w:spacing w:before="0" w:after="0"/>
              <w:rPr>
                <w:rFonts w:eastAsia="Times New Roman"/>
                <w:sz w:val="20"/>
                <w:szCs w:val="20"/>
                <w:lang w:val="en-US"/>
              </w:rPr>
            </w:pPr>
            <w:r w:rsidRPr="003A7E34">
              <w:rPr>
                <w:rFonts w:eastAsia="Times New Roman"/>
                <w:sz w:val="20"/>
                <w:szCs w:val="20"/>
                <w:lang w:val="en-US"/>
              </w:rPr>
              <w:t>-</w:t>
            </w:r>
          </w:p>
        </w:tc>
        <w:tc>
          <w:tcPr>
            <w:tcW w:w="992" w:type="dxa"/>
          </w:tcPr>
          <w:p w14:paraId="33D0C9AD" w14:textId="5F517366" w:rsidR="009C1CD1" w:rsidRPr="003A7E34" w:rsidRDefault="00B3538F" w:rsidP="00791F09">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2</w:t>
            </w:r>
          </w:p>
        </w:tc>
      </w:tr>
      <w:tr w:rsidR="003A7E34" w:rsidRPr="003A7E34" w14:paraId="5260EEC2" w14:textId="77777777" w:rsidTr="5E230566">
        <w:trPr>
          <w:trHeight w:val="367"/>
        </w:trPr>
        <w:tc>
          <w:tcPr>
            <w:tcW w:w="1951" w:type="dxa"/>
          </w:tcPr>
          <w:p w14:paraId="7FDD9FAE" w14:textId="5847AB2E" w:rsidR="009C1CD1" w:rsidRPr="003A7E34" w:rsidRDefault="009C1CD1" w:rsidP="002F6BDB">
            <w:pPr>
              <w:spacing w:before="0" w:after="0"/>
              <w:rPr>
                <w:rFonts w:eastAsia="Times New Roman"/>
                <w:sz w:val="20"/>
                <w:szCs w:val="20"/>
                <w:lang w:val="en-US"/>
              </w:rPr>
            </w:pPr>
            <w:r w:rsidRPr="003A7E34">
              <w:rPr>
                <w:rFonts w:eastAsia="Times New Roman"/>
                <w:sz w:val="20"/>
                <w:szCs w:val="20"/>
                <w:lang w:val="en-US"/>
              </w:rPr>
              <w:t>I4. Implementing the Regulation of Fluorinated Greenhouse Gases</w:t>
            </w:r>
          </w:p>
        </w:tc>
        <w:tc>
          <w:tcPr>
            <w:tcW w:w="2126" w:type="dxa"/>
          </w:tcPr>
          <w:p w14:paraId="7443D9DB" w14:textId="455491F1" w:rsidR="009C1CD1" w:rsidRPr="003A7E34" w:rsidRDefault="00454E09" w:rsidP="00791F09">
            <w:pPr>
              <w:spacing w:before="0" w:after="0"/>
              <w:rPr>
                <w:rFonts w:eastAsia="Times New Roman"/>
                <w:sz w:val="20"/>
                <w:szCs w:val="20"/>
                <w:lang w:val="en-US"/>
              </w:rPr>
            </w:pPr>
            <w:r w:rsidRPr="003A7E34">
              <w:rPr>
                <w:rFonts w:eastAsia="Times New Roman"/>
                <w:sz w:val="20"/>
                <w:szCs w:val="20"/>
                <w:lang w:val="en-US"/>
              </w:rPr>
              <w:t>A</w:t>
            </w:r>
            <w:r w:rsidR="009C1CD1" w:rsidRPr="003A7E34">
              <w:rPr>
                <w:rFonts w:eastAsia="Times New Roman"/>
                <w:sz w:val="20"/>
                <w:szCs w:val="20"/>
                <w:lang w:val="en-US"/>
              </w:rPr>
              <w:t xml:space="preserve">imed at cutting total EU emissions from F-gases by two thirds by 2030 compared to 2014 levels. It prohibits the placing of F-gases on the market in certain circumstances where alternatives are available. </w:t>
            </w:r>
          </w:p>
        </w:tc>
        <w:tc>
          <w:tcPr>
            <w:tcW w:w="1796" w:type="dxa"/>
          </w:tcPr>
          <w:p w14:paraId="76C8FE7C" w14:textId="32871909" w:rsidR="009C1CD1" w:rsidRPr="003A7E34" w:rsidRDefault="00132360" w:rsidP="00791F09">
            <w:pPr>
              <w:spacing w:before="0" w:after="0"/>
              <w:rPr>
                <w:rFonts w:eastAsia="Times New Roman"/>
                <w:sz w:val="20"/>
                <w:szCs w:val="20"/>
                <w:lang w:val="en-US"/>
              </w:rPr>
            </w:pPr>
            <w:r w:rsidRPr="003A7E34">
              <w:rPr>
                <w:rFonts w:eastAsia="Times New Roman"/>
                <w:sz w:val="20"/>
                <w:szCs w:val="20"/>
                <w:lang w:val="en-US"/>
              </w:rPr>
              <w:t>2015</w:t>
            </w:r>
            <w:r w:rsidR="00D73C62" w:rsidRPr="003A7E34">
              <w:rPr>
                <w:rFonts w:eastAsia="Times New Roman"/>
                <w:sz w:val="20"/>
                <w:szCs w:val="20"/>
                <w:lang w:val="en-US"/>
              </w:rPr>
              <w:t xml:space="preserve">–2030 </w:t>
            </w:r>
          </w:p>
        </w:tc>
        <w:tc>
          <w:tcPr>
            <w:tcW w:w="1561" w:type="dxa"/>
          </w:tcPr>
          <w:p w14:paraId="2C9FE4E0" w14:textId="631D5168"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Ministry of Environment</w:t>
            </w:r>
          </w:p>
        </w:tc>
        <w:tc>
          <w:tcPr>
            <w:tcW w:w="1321" w:type="dxa"/>
          </w:tcPr>
          <w:p w14:paraId="6A09AC4E" w14:textId="7158E1F8" w:rsidR="009C1CD1" w:rsidRPr="003A7E34" w:rsidRDefault="00D667CC" w:rsidP="00791F09">
            <w:pPr>
              <w:spacing w:before="0" w:after="0"/>
              <w:rPr>
                <w:rFonts w:eastAsia="Times New Roman"/>
                <w:sz w:val="20"/>
                <w:szCs w:val="20"/>
                <w:lang w:val="en-US"/>
              </w:rPr>
            </w:pPr>
            <w:r>
              <w:rPr>
                <w:rFonts w:eastAsia="Times New Roman"/>
                <w:sz w:val="20"/>
                <w:szCs w:val="20"/>
                <w:lang w:val="en-US"/>
              </w:rPr>
              <w:t>-</w:t>
            </w:r>
          </w:p>
        </w:tc>
        <w:tc>
          <w:tcPr>
            <w:tcW w:w="992" w:type="dxa"/>
          </w:tcPr>
          <w:p w14:paraId="10240F05" w14:textId="05763D99" w:rsidR="009C1CD1" w:rsidRPr="003A7E34" w:rsidRDefault="00B3538F" w:rsidP="00791F09">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2</w:t>
            </w:r>
          </w:p>
        </w:tc>
      </w:tr>
      <w:tr w:rsidR="003A7E34" w:rsidRPr="003A7E34" w14:paraId="514DC4DE" w14:textId="77777777" w:rsidTr="5E230566">
        <w:trPr>
          <w:trHeight w:val="301"/>
        </w:trPr>
        <w:tc>
          <w:tcPr>
            <w:tcW w:w="1951" w:type="dxa"/>
          </w:tcPr>
          <w:p w14:paraId="6BB46E4D" w14:textId="3110AD7C" w:rsidR="009C1CD1" w:rsidRPr="003A7E34" w:rsidRDefault="009C1CD1" w:rsidP="002F6BDB">
            <w:pPr>
              <w:spacing w:before="0" w:after="0"/>
              <w:rPr>
                <w:rFonts w:eastAsia="Times New Roman"/>
                <w:sz w:val="20"/>
                <w:szCs w:val="20"/>
                <w:lang w:val="en-US"/>
              </w:rPr>
            </w:pPr>
            <w:r w:rsidRPr="003A7E34">
              <w:rPr>
                <w:rFonts w:eastAsia="Times New Roman"/>
                <w:sz w:val="20"/>
                <w:szCs w:val="20"/>
                <w:lang w:val="en-US"/>
              </w:rPr>
              <w:t>I5. Limits on emissions of volatile organic compounds (VOC)</w:t>
            </w:r>
          </w:p>
        </w:tc>
        <w:tc>
          <w:tcPr>
            <w:tcW w:w="2126" w:type="dxa"/>
          </w:tcPr>
          <w:p w14:paraId="03F87A69" w14:textId="77777777"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To reduce the direct and indirect impact of VOC emissions (released by paints, solvents, adhesives and other products)</w:t>
            </w:r>
          </w:p>
        </w:tc>
        <w:tc>
          <w:tcPr>
            <w:tcW w:w="1796" w:type="dxa"/>
          </w:tcPr>
          <w:p w14:paraId="6A70A84A" w14:textId="77777777" w:rsidR="009C1CD1" w:rsidRPr="003A7E34" w:rsidRDefault="009C1CD1" w:rsidP="00791F09">
            <w:pPr>
              <w:spacing w:before="0" w:after="0"/>
              <w:rPr>
                <w:rFonts w:eastAsia="Times New Roman"/>
                <w:sz w:val="20"/>
                <w:szCs w:val="20"/>
                <w:lang w:val="en-US"/>
              </w:rPr>
            </w:pPr>
          </w:p>
        </w:tc>
        <w:tc>
          <w:tcPr>
            <w:tcW w:w="1561" w:type="dxa"/>
          </w:tcPr>
          <w:p w14:paraId="2CBD95B4" w14:textId="32405E5B"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Ministry of Environment</w:t>
            </w:r>
          </w:p>
        </w:tc>
        <w:tc>
          <w:tcPr>
            <w:tcW w:w="1321" w:type="dxa"/>
          </w:tcPr>
          <w:p w14:paraId="6E7CB9FA" w14:textId="0DDEBE3B" w:rsidR="009C1CD1" w:rsidRPr="003A7E34" w:rsidRDefault="001F6A52" w:rsidP="00791F09">
            <w:pPr>
              <w:spacing w:before="0" w:after="0"/>
              <w:rPr>
                <w:rFonts w:eastAsia="Times New Roman"/>
                <w:sz w:val="20"/>
                <w:szCs w:val="20"/>
                <w:lang w:val="en-US"/>
              </w:rPr>
            </w:pPr>
            <w:r w:rsidRPr="003A7E34">
              <w:rPr>
                <w:rFonts w:eastAsia="Times New Roman"/>
                <w:sz w:val="20"/>
                <w:szCs w:val="20"/>
                <w:lang w:val="en-US"/>
              </w:rPr>
              <w:t>-</w:t>
            </w:r>
          </w:p>
        </w:tc>
        <w:tc>
          <w:tcPr>
            <w:tcW w:w="992" w:type="dxa"/>
          </w:tcPr>
          <w:p w14:paraId="41F78FA0" w14:textId="47345C45" w:rsidR="009C1CD1" w:rsidRPr="003A7E34" w:rsidRDefault="00B3538F" w:rsidP="00791F09">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2</w:t>
            </w:r>
          </w:p>
        </w:tc>
      </w:tr>
      <w:tr w:rsidR="003A7E34" w:rsidRPr="003A7E34" w14:paraId="482D3A4B" w14:textId="77777777" w:rsidTr="5E230566">
        <w:trPr>
          <w:trHeight w:val="602"/>
        </w:trPr>
        <w:tc>
          <w:tcPr>
            <w:tcW w:w="1951" w:type="dxa"/>
          </w:tcPr>
          <w:p w14:paraId="2F864706" w14:textId="3D8E7B67" w:rsidR="009C1CD1" w:rsidRPr="003A7E34" w:rsidRDefault="009C1CD1" w:rsidP="002F6BDB">
            <w:pPr>
              <w:spacing w:before="0" w:after="0"/>
              <w:rPr>
                <w:rFonts w:eastAsia="Times New Roman"/>
                <w:sz w:val="20"/>
                <w:szCs w:val="20"/>
                <w:lang w:val="en-US"/>
              </w:rPr>
            </w:pPr>
            <w:r w:rsidRPr="003A7E34">
              <w:rPr>
                <w:rFonts w:eastAsia="Times New Roman"/>
                <w:sz w:val="20"/>
                <w:szCs w:val="20"/>
                <w:lang w:val="en-US"/>
              </w:rPr>
              <w:t xml:space="preserve">I6. </w:t>
            </w:r>
            <w:r w:rsidR="008F3CA5" w:rsidRPr="003A7E34">
              <w:rPr>
                <w:rFonts w:eastAsia="Times New Roman"/>
                <w:sz w:val="20"/>
                <w:szCs w:val="20"/>
                <w:lang w:val="en-US"/>
              </w:rPr>
              <w:t>Promotion of energy efficiency in the industry</w:t>
            </w:r>
          </w:p>
        </w:tc>
        <w:tc>
          <w:tcPr>
            <w:tcW w:w="2126" w:type="dxa"/>
          </w:tcPr>
          <w:p w14:paraId="4D5F8ADE" w14:textId="1CFE8444" w:rsidR="009C1CD1" w:rsidRPr="003A7E34" w:rsidRDefault="008F3CA5" w:rsidP="00791F09">
            <w:pPr>
              <w:spacing w:before="0" w:after="0"/>
              <w:rPr>
                <w:rFonts w:eastAsia="Times New Roman"/>
                <w:sz w:val="20"/>
                <w:szCs w:val="20"/>
                <w:lang w:val="en-US"/>
              </w:rPr>
            </w:pPr>
            <w:r w:rsidRPr="003A7E34">
              <w:rPr>
                <w:rFonts w:eastAsia="Times New Roman"/>
                <w:sz w:val="20"/>
                <w:szCs w:val="20"/>
                <w:lang w:val="en-US"/>
              </w:rPr>
              <w:t>To promote eco-innovative technologies in the industry sector.</w:t>
            </w:r>
          </w:p>
        </w:tc>
        <w:tc>
          <w:tcPr>
            <w:tcW w:w="1796" w:type="dxa"/>
          </w:tcPr>
          <w:p w14:paraId="14D348EA" w14:textId="09D89070" w:rsidR="009C1CD1" w:rsidRPr="003A7E34" w:rsidRDefault="008F3CA5" w:rsidP="00791F09">
            <w:pPr>
              <w:spacing w:before="0" w:after="0"/>
              <w:rPr>
                <w:rFonts w:eastAsia="Times New Roman"/>
                <w:sz w:val="20"/>
                <w:szCs w:val="20"/>
                <w:lang w:val="en-US"/>
              </w:rPr>
            </w:pPr>
            <w:r w:rsidRPr="003A7E34">
              <w:rPr>
                <w:rFonts w:eastAsia="Times New Roman"/>
                <w:sz w:val="20"/>
                <w:szCs w:val="20"/>
                <w:lang w:val="en-US"/>
              </w:rPr>
              <w:t>2018–2029</w:t>
            </w:r>
          </w:p>
        </w:tc>
        <w:tc>
          <w:tcPr>
            <w:tcW w:w="1561" w:type="dxa"/>
          </w:tcPr>
          <w:p w14:paraId="5D969138" w14:textId="28126E7F" w:rsidR="009C1CD1" w:rsidRPr="003A7E34" w:rsidRDefault="002C6F6F" w:rsidP="00791F09">
            <w:pPr>
              <w:spacing w:before="0" w:after="0"/>
              <w:rPr>
                <w:rFonts w:eastAsia="Times New Roman"/>
                <w:sz w:val="20"/>
                <w:szCs w:val="20"/>
                <w:lang w:val="en-US"/>
              </w:rPr>
            </w:pPr>
            <w:r w:rsidRPr="003A7E34">
              <w:rPr>
                <w:rFonts w:eastAsia="Times New Roman"/>
                <w:sz w:val="20"/>
                <w:szCs w:val="20"/>
                <w:lang w:val="en-US"/>
              </w:rPr>
              <w:t xml:space="preserve">Ministry of </w:t>
            </w:r>
            <w:r w:rsidR="008F3CA5" w:rsidRPr="003A7E34">
              <w:rPr>
                <w:rFonts w:eastAsia="Times New Roman"/>
                <w:sz w:val="20"/>
                <w:szCs w:val="20"/>
                <w:lang w:val="en-US"/>
              </w:rPr>
              <w:t xml:space="preserve">Energy </w:t>
            </w:r>
          </w:p>
        </w:tc>
        <w:tc>
          <w:tcPr>
            <w:tcW w:w="1321" w:type="dxa"/>
          </w:tcPr>
          <w:p w14:paraId="655F50BF" w14:textId="39DE496E" w:rsidR="009C1CD1" w:rsidRPr="003A7E34" w:rsidRDefault="008F3CA5" w:rsidP="00791F09">
            <w:pPr>
              <w:spacing w:before="0" w:after="0"/>
              <w:rPr>
                <w:rFonts w:eastAsia="Times New Roman"/>
                <w:sz w:val="20"/>
                <w:szCs w:val="20"/>
                <w:lang w:val="en-US"/>
              </w:rPr>
            </w:pPr>
            <w:r w:rsidRPr="003A7E34">
              <w:rPr>
                <w:rFonts w:eastAsia="Times New Roman"/>
                <w:sz w:val="20"/>
                <w:szCs w:val="20"/>
                <w:lang w:val="en-US"/>
              </w:rPr>
              <w:t>992</w:t>
            </w:r>
          </w:p>
        </w:tc>
        <w:tc>
          <w:tcPr>
            <w:tcW w:w="992" w:type="dxa"/>
          </w:tcPr>
          <w:p w14:paraId="14A99105" w14:textId="232ED7E0" w:rsidR="009C1CD1" w:rsidRPr="003A7E34" w:rsidRDefault="00A1483D" w:rsidP="00791F09">
            <w:pPr>
              <w:spacing w:before="0" w:after="0"/>
              <w:rPr>
                <w:rFonts w:eastAsia="Times New Roman"/>
                <w:sz w:val="20"/>
                <w:szCs w:val="20"/>
                <w:lang w:val="en-US"/>
              </w:rPr>
            </w:pPr>
            <w:r>
              <w:rPr>
                <w:rFonts w:eastAsia="Times New Roman"/>
                <w:sz w:val="20"/>
                <w:szCs w:val="20"/>
                <w:lang w:val="en-US"/>
              </w:rPr>
              <w:t>X</w:t>
            </w:r>
            <w:r w:rsidR="00B3538F" w:rsidRPr="003A7E34">
              <w:rPr>
                <w:rFonts w:eastAsia="Times New Roman"/>
                <w:sz w:val="20"/>
                <w:szCs w:val="20"/>
                <w:vertAlign w:val="superscript"/>
                <w:lang w:val="en-US"/>
              </w:rPr>
              <w:t>1</w:t>
            </w:r>
          </w:p>
        </w:tc>
      </w:tr>
      <w:tr w:rsidR="003A7E34" w:rsidRPr="003A7E34" w14:paraId="73709EF8" w14:textId="77777777" w:rsidTr="5E230566">
        <w:trPr>
          <w:trHeight w:val="507"/>
        </w:trPr>
        <w:tc>
          <w:tcPr>
            <w:tcW w:w="1951" w:type="dxa"/>
          </w:tcPr>
          <w:p w14:paraId="0A22220C" w14:textId="65BE4D35" w:rsidR="009C1CD1" w:rsidRPr="003A7E34" w:rsidRDefault="009C1CD1" w:rsidP="002F6BDB">
            <w:pPr>
              <w:spacing w:before="0" w:after="0"/>
              <w:rPr>
                <w:rFonts w:eastAsia="Times New Roman"/>
                <w:sz w:val="20"/>
                <w:szCs w:val="20"/>
                <w:lang w:val="en-US"/>
              </w:rPr>
            </w:pPr>
            <w:r w:rsidRPr="003A7E34">
              <w:rPr>
                <w:rFonts w:eastAsia="Times New Roman"/>
                <w:sz w:val="20"/>
                <w:szCs w:val="20"/>
                <w:lang w:val="en-US"/>
              </w:rPr>
              <w:t xml:space="preserve">I7. </w:t>
            </w:r>
            <w:r w:rsidR="00B3538F" w:rsidRPr="003A7E34">
              <w:rPr>
                <w:rFonts w:eastAsia="Times New Roman"/>
                <w:sz w:val="20"/>
                <w:szCs w:val="20"/>
                <w:lang w:val="en-US"/>
              </w:rPr>
              <w:t>Implementation of the Kigali Amendment</w:t>
            </w:r>
          </w:p>
        </w:tc>
        <w:tc>
          <w:tcPr>
            <w:tcW w:w="2126" w:type="dxa"/>
          </w:tcPr>
          <w:p w14:paraId="5A80CED2" w14:textId="6D63FE66" w:rsidR="009C1CD1" w:rsidRPr="003A7E34" w:rsidRDefault="00B3538F" w:rsidP="00791F09">
            <w:pPr>
              <w:spacing w:before="0" w:after="0"/>
              <w:rPr>
                <w:rFonts w:eastAsia="Times New Roman"/>
                <w:sz w:val="20"/>
                <w:szCs w:val="20"/>
                <w:lang w:val="en-US"/>
              </w:rPr>
            </w:pPr>
            <w:r w:rsidRPr="003A7E34">
              <w:rPr>
                <w:rFonts w:eastAsia="Times New Roman"/>
                <w:sz w:val="20"/>
                <w:szCs w:val="20"/>
                <w:lang w:val="en-US"/>
              </w:rPr>
              <w:t>Reduction of HFC consumption.</w:t>
            </w:r>
          </w:p>
        </w:tc>
        <w:tc>
          <w:tcPr>
            <w:tcW w:w="1796" w:type="dxa"/>
          </w:tcPr>
          <w:p w14:paraId="06D02B6D" w14:textId="1339E2CC" w:rsidR="009C1CD1" w:rsidRPr="003A7E34" w:rsidRDefault="00B3538F" w:rsidP="00791F09">
            <w:pPr>
              <w:spacing w:before="0" w:after="0"/>
              <w:rPr>
                <w:rFonts w:eastAsia="Times New Roman"/>
                <w:sz w:val="20"/>
                <w:szCs w:val="20"/>
                <w:lang w:val="en-US"/>
              </w:rPr>
            </w:pPr>
            <w:r w:rsidRPr="003A7E34">
              <w:rPr>
                <w:rFonts w:eastAsia="Times New Roman"/>
                <w:sz w:val="20"/>
                <w:szCs w:val="20"/>
                <w:lang w:val="en-US"/>
              </w:rPr>
              <w:t>2019–2032</w:t>
            </w:r>
          </w:p>
        </w:tc>
        <w:tc>
          <w:tcPr>
            <w:tcW w:w="1561" w:type="dxa"/>
          </w:tcPr>
          <w:p w14:paraId="7907816A" w14:textId="40B74610"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 xml:space="preserve">Ministry of </w:t>
            </w:r>
            <w:r w:rsidR="00B3538F" w:rsidRPr="003A7E34">
              <w:rPr>
                <w:rFonts w:eastAsia="Times New Roman"/>
                <w:sz w:val="20"/>
                <w:szCs w:val="20"/>
                <w:lang w:val="en-US"/>
              </w:rPr>
              <w:t>Environment</w:t>
            </w:r>
          </w:p>
        </w:tc>
        <w:tc>
          <w:tcPr>
            <w:tcW w:w="1321" w:type="dxa"/>
          </w:tcPr>
          <w:p w14:paraId="1A8B2B6D" w14:textId="196B718B" w:rsidR="009C1CD1" w:rsidRPr="003A7E34" w:rsidRDefault="00B3538F" w:rsidP="00791F09">
            <w:pPr>
              <w:spacing w:before="0" w:after="0"/>
              <w:rPr>
                <w:rFonts w:eastAsia="Times New Roman"/>
                <w:sz w:val="20"/>
                <w:szCs w:val="20"/>
                <w:lang w:val="en-US"/>
              </w:rPr>
            </w:pPr>
            <w:r w:rsidRPr="003A7E34">
              <w:rPr>
                <w:rFonts w:eastAsia="Times New Roman"/>
                <w:sz w:val="20"/>
                <w:szCs w:val="20"/>
                <w:lang w:val="en-US"/>
              </w:rPr>
              <w:t>-</w:t>
            </w:r>
          </w:p>
        </w:tc>
        <w:tc>
          <w:tcPr>
            <w:tcW w:w="992" w:type="dxa"/>
          </w:tcPr>
          <w:p w14:paraId="680DC5F8" w14:textId="39C50B9B" w:rsidR="009C1CD1" w:rsidRPr="003A7E34" w:rsidRDefault="008F3CA5" w:rsidP="00791F09">
            <w:pPr>
              <w:spacing w:before="0" w:after="0"/>
              <w:rPr>
                <w:rFonts w:eastAsia="Times New Roman"/>
                <w:sz w:val="20"/>
                <w:szCs w:val="20"/>
                <w:lang w:val="en-US"/>
              </w:rPr>
            </w:pPr>
            <w:r w:rsidRPr="003A7E34">
              <w:rPr>
                <w:rFonts w:eastAsia="Times New Roman"/>
                <w:sz w:val="20"/>
                <w:szCs w:val="20"/>
                <w:lang w:val="en-US"/>
              </w:rPr>
              <w:t>X</w:t>
            </w:r>
            <w:r w:rsidR="00B3538F" w:rsidRPr="003A7E34">
              <w:rPr>
                <w:rFonts w:eastAsia="Times New Roman"/>
                <w:sz w:val="20"/>
                <w:szCs w:val="20"/>
                <w:vertAlign w:val="superscript"/>
                <w:lang w:val="en-US"/>
              </w:rPr>
              <w:t>2</w:t>
            </w:r>
          </w:p>
        </w:tc>
      </w:tr>
      <w:tr w:rsidR="003A7E34" w:rsidRPr="003A7E34" w14:paraId="2F47EA06" w14:textId="77777777" w:rsidTr="5E230566">
        <w:trPr>
          <w:trHeight w:val="215"/>
        </w:trPr>
        <w:tc>
          <w:tcPr>
            <w:tcW w:w="7434" w:type="dxa"/>
            <w:gridSpan w:val="4"/>
          </w:tcPr>
          <w:p w14:paraId="3D7C792E" w14:textId="375F3C4D" w:rsidR="003C44DA" w:rsidRPr="003A7E34" w:rsidRDefault="003C44DA" w:rsidP="00791F09">
            <w:pPr>
              <w:spacing w:before="0" w:after="0"/>
              <w:jc w:val="right"/>
              <w:rPr>
                <w:rFonts w:eastAsia="Times New Roman"/>
                <w:sz w:val="20"/>
                <w:szCs w:val="20"/>
                <w:lang w:val="en-US"/>
              </w:rPr>
            </w:pPr>
            <w:r w:rsidRPr="003A7E34">
              <w:rPr>
                <w:rFonts w:eastAsia="Times New Roman"/>
                <w:sz w:val="20"/>
                <w:szCs w:val="20"/>
                <w:lang w:val="en-US"/>
              </w:rPr>
              <w:t>Total adopted:</w:t>
            </w:r>
          </w:p>
        </w:tc>
        <w:tc>
          <w:tcPr>
            <w:tcW w:w="1321" w:type="dxa"/>
          </w:tcPr>
          <w:p w14:paraId="6B41BCD7" w14:textId="1F95352C" w:rsidR="003C44DA" w:rsidRPr="003A7E34" w:rsidRDefault="00AD15F2" w:rsidP="00791F09">
            <w:pPr>
              <w:spacing w:before="0" w:after="0"/>
              <w:rPr>
                <w:rFonts w:eastAsia="Times New Roman"/>
                <w:sz w:val="20"/>
                <w:szCs w:val="20"/>
                <w:lang w:val="en-US"/>
              </w:rPr>
            </w:pPr>
            <w:r>
              <w:rPr>
                <w:rFonts w:eastAsia="Times New Roman"/>
                <w:sz w:val="20"/>
                <w:szCs w:val="20"/>
                <w:lang w:val="en-US"/>
              </w:rPr>
              <w:t>7192</w:t>
            </w:r>
          </w:p>
        </w:tc>
        <w:tc>
          <w:tcPr>
            <w:tcW w:w="992" w:type="dxa"/>
          </w:tcPr>
          <w:p w14:paraId="53F669DB" w14:textId="77777777" w:rsidR="003C44DA" w:rsidRPr="003A7E34" w:rsidRDefault="003C44DA" w:rsidP="00791F09">
            <w:pPr>
              <w:spacing w:before="0" w:after="0"/>
              <w:rPr>
                <w:rFonts w:eastAsia="Times New Roman"/>
                <w:sz w:val="20"/>
                <w:szCs w:val="20"/>
                <w:lang w:val="en-US"/>
              </w:rPr>
            </w:pPr>
          </w:p>
        </w:tc>
      </w:tr>
    </w:tbl>
    <w:p w14:paraId="07BDF26E" w14:textId="77777777" w:rsidR="002F6BDB" w:rsidRPr="003A7E34" w:rsidRDefault="002F6BDB" w:rsidP="002F6BDB">
      <w:pPr>
        <w:spacing w:after="0"/>
        <w:rPr>
          <w:rFonts w:eastAsia="Times New Roman"/>
          <w:sz w:val="20"/>
          <w:szCs w:val="20"/>
          <w:lang w:val="en-US"/>
        </w:rPr>
      </w:pPr>
      <w:r w:rsidRPr="003A7E34">
        <w:rPr>
          <w:rFonts w:eastAsia="Times New Roman"/>
          <w:sz w:val="20"/>
          <w:szCs w:val="20"/>
          <w:vertAlign w:val="superscript"/>
          <w:lang w:val="en-US"/>
        </w:rPr>
        <w:t>1</w:t>
      </w:r>
      <w:r w:rsidRPr="003A7E34">
        <w:rPr>
          <w:rFonts w:eastAsia="Times New Roman"/>
          <w:sz w:val="20"/>
          <w:szCs w:val="20"/>
          <w:lang w:val="en-US"/>
        </w:rPr>
        <w:t xml:space="preserve">financing from EU funds </w:t>
      </w:r>
    </w:p>
    <w:p w14:paraId="1D0A29C6" w14:textId="77777777" w:rsidR="002F6BDB" w:rsidRPr="003A7E34" w:rsidRDefault="002F6BDB" w:rsidP="002F6BDB">
      <w:pPr>
        <w:spacing w:after="0"/>
        <w:rPr>
          <w:rFonts w:eastAsia="Times New Roman"/>
          <w:sz w:val="20"/>
          <w:szCs w:val="20"/>
          <w:lang w:val="en-US"/>
        </w:rPr>
      </w:pPr>
      <w:r w:rsidRPr="003A7E34">
        <w:rPr>
          <w:rFonts w:eastAsia="Times New Roman"/>
          <w:sz w:val="20"/>
          <w:szCs w:val="20"/>
          <w:vertAlign w:val="superscript"/>
          <w:lang w:val="en-US"/>
        </w:rPr>
        <w:t>2</w:t>
      </w:r>
      <w:r w:rsidRPr="003A7E34">
        <w:rPr>
          <w:rFonts w:eastAsia="Times New Roman"/>
          <w:sz w:val="20"/>
          <w:szCs w:val="20"/>
          <w:lang w:val="en-US"/>
        </w:rPr>
        <w:t xml:space="preserve">financing from budget </w:t>
      </w:r>
    </w:p>
    <w:p w14:paraId="18D6A9B6" w14:textId="6CF714D4" w:rsidR="00381212" w:rsidRPr="003A7E34" w:rsidRDefault="002F6BDB" w:rsidP="002F6BDB">
      <w:pPr>
        <w:spacing w:after="0"/>
        <w:rPr>
          <w:rFonts w:eastAsia="Times New Roman"/>
          <w:sz w:val="20"/>
          <w:szCs w:val="20"/>
          <w:lang w:val="en-US"/>
        </w:rPr>
      </w:pPr>
      <w:r w:rsidRPr="003A7E34">
        <w:rPr>
          <w:rFonts w:eastAsia="Times New Roman"/>
          <w:sz w:val="20"/>
          <w:szCs w:val="20"/>
          <w:vertAlign w:val="superscript"/>
          <w:lang w:val="en-US"/>
        </w:rPr>
        <w:t>3</w:t>
      </w:r>
      <w:r w:rsidRPr="003A7E34">
        <w:rPr>
          <w:rFonts w:eastAsia="Times New Roman"/>
          <w:sz w:val="20"/>
          <w:szCs w:val="20"/>
          <w:lang w:val="en-US"/>
        </w:rPr>
        <w:t>other sources</w:t>
      </w:r>
    </w:p>
    <w:p w14:paraId="334F9A11" w14:textId="77777777" w:rsidR="001F6A52" w:rsidRPr="003A7E34" w:rsidRDefault="001F6A52" w:rsidP="002F6BDB">
      <w:pPr>
        <w:spacing w:after="0"/>
        <w:rPr>
          <w:rFonts w:eastAsia="Times New Roman"/>
          <w:sz w:val="20"/>
          <w:szCs w:val="20"/>
          <w:lang w:val="en-US"/>
        </w:rPr>
      </w:pPr>
    </w:p>
    <w:p w14:paraId="7E395FA3" w14:textId="2C482D98" w:rsidR="00381212" w:rsidRPr="003A7E34" w:rsidRDefault="5E230566" w:rsidP="5E230566">
      <w:pPr>
        <w:spacing w:before="0"/>
        <w:rPr>
          <w:rFonts w:eastAsia="Times New Roman"/>
          <w:lang w:val="en-US"/>
        </w:rPr>
      </w:pPr>
      <w:r w:rsidRPr="003A7E34">
        <w:rPr>
          <w:rFonts w:eastAsia="Times New Roman"/>
          <w:b/>
          <w:bCs/>
          <w:lang w:val="en-US"/>
        </w:rPr>
        <w:t xml:space="preserve">Agriculture. </w:t>
      </w:r>
      <w:r w:rsidRPr="003A7E34">
        <w:rPr>
          <w:rFonts w:eastAsia="Times New Roman"/>
          <w:lang w:val="en-US"/>
        </w:rPr>
        <w:t xml:space="preserve">In </w:t>
      </w:r>
      <w:r w:rsidR="00454E09" w:rsidRPr="003A7E34">
        <w:rPr>
          <w:rFonts w:eastAsia="Times New Roman"/>
          <w:lang w:val="en-US"/>
        </w:rPr>
        <w:t xml:space="preserve">the </w:t>
      </w:r>
      <w:r w:rsidRPr="003A7E34">
        <w:rPr>
          <w:rFonts w:eastAsia="Times New Roman"/>
          <w:lang w:val="en-US"/>
        </w:rPr>
        <w:t xml:space="preserve">agriculture sector the main focus is on the </w:t>
      </w:r>
      <w:r w:rsidR="00615512" w:rsidRPr="003A7E34">
        <w:rPr>
          <w:rFonts w:eastAsia="Times New Roman"/>
          <w:lang w:val="en-US"/>
        </w:rPr>
        <w:t xml:space="preserve">more effective and precise </w:t>
      </w:r>
      <w:r w:rsidRPr="003A7E34">
        <w:rPr>
          <w:rFonts w:eastAsia="Times New Roman"/>
          <w:lang w:val="en-US"/>
        </w:rPr>
        <w:t>use of mineral nitrogen fertilizer</w:t>
      </w:r>
      <w:r w:rsidR="00454E09" w:rsidRPr="003A7E34">
        <w:rPr>
          <w:rFonts w:eastAsia="Times New Roman"/>
          <w:lang w:val="en-US"/>
        </w:rPr>
        <w:t>s</w:t>
      </w:r>
      <w:r w:rsidRPr="003A7E34">
        <w:rPr>
          <w:rFonts w:eastAsia="Times New Roman"/>
          <w:lang w:val="en-US"/>
        </w:rPr>
        <w:t xml:space="preserve"> and </w:t>
      </w:r>
      <w:r w:rsidR="00454E09" w:rsidRPr="003A7E34">
        <w:rPr>
          <w:rFonts w:eastAsia="Times New Roman"/>
          <w:lang w:val="en-US"/>
        </w:rPr>
        <w:t xml:space="preserve">the </w:t>
      </w:r>
      <w:r w:rsidRPr="003A7E34">
        <w:rPr>
          <w:rFonts w:eastAsia="Times New Roman"/>
          <w:lang w:val="en-US"/>
        </w:rPr>
        <w:t>education of farmers.</w:t>
      </w:r>
      <w:r w:rsidRPr="003A7E34">
        <w:rPr>
          <w:rFonts w:eastAsia="Times New Roman"/>
          <w:b/>
          <w:bCs/>
          <w:lang w:val="en-US"/>
        </w:rPr>
        <w:t xml:space="preserve"> </w:t>
      </w:r>
      <w:r w:rsidRPr="003A7E34">
        <w:rPr>
          <w:rFonts w:eastAsia="Times New Roman"/>
          <w:lang w:val="en-US"/>
        </w:rPr>
        <w:t xml:space="preserve">The </w:t>
      </w:r>
      <w:r w:rsidR="00D027C2" w:rsidRPr="003A7E34">
        <w:rPr>
          <w:rFonts w:eastAsia="Times New Roman"/>
          <w:b/>
          <w:lang w:val="en-US"/>
        </w:rPr>
        <w:t>Lithuanian</w:t>
      </w:r>
      <w:r w:rsidRPr="003A7E34">
        <w:rPr>
          <w:rFonts w:eastAsia="Times New Roman"/>
          <w:b/>
          <w:lang w:val="en-US"/>
        </w:rPr>
        <w:t xml:space="preserve"> Rural Development Program </w:t>
      </w:r>
      <w:r w:rsidR="00D027C2" w:rsidRPr="003A7E34">
        <w:rPr>
          <w:rFonts w:eastAsia="Times New Roman"/>
          <w:b/>
          <w:lang w:val="en-US"/>
        </w:rPr>
        <w:t xml:space="preserve">for 2014 </w:t>
      </w:r>
      <w:r w:rsidR="001F6A52" w:rsidRPr="003A7E34">
        <w:rPr>
          <w:rFonts w:eastAsia="Times New Roman"/>
          <w:b/>
          <w:lang w:val="en-US"/>
        </w:rPr>
        <w:t>–</w:t>
      </w:r>
      <w:r w:rsidR="00D027C2" w:rsidRPr="003A7E34">
        <w:rPr>
          <w:rFonts w:eastAsia="Times New Roman"/>
          <w:b/>
          <w:lang w:val="en-US"/>
        </w:rPr>
        <w:t xml:space="preserve"> 2020</w:t>
      </w:r>
      <w:r w:rsidR="00D027C2" w:rsidRPr="003A7E34">
        <w:rPr>
          <w:rFonts w:eastAsia="Times New Roman"/>
          <w:lang w:val="en-US"/>
        </w:rPr>
        <w:t xml:space="preserve"> </w:t>
      </w:r>
      <w:r w:rsidRPr="003A7E34">
        <w:rPr>
          <w:rFonts w:eastAsia="Times New Roman"/>
          <w:lang w:val="en-US"/>
        </w:rPr>
        <w:t>promotes the growth of the agriculture sector based on technologies that are territorially and environmentally balanced, climate-friendly, resilient, competitive and innovative. It also promotes sustainable farming (25 000 h</w:t>
      </w:r>
      <w:r w:rsidR="001F6A52" w:rsidRPr="003A7E34">
        <w:rPr>
          <w:rFonts w:eastAsia="Times New Roman"/>
          <w:lang w:val="en-US"/>
        </w:rPr>
        <w:t>a</w:t>
      </w:r>
      <w:r w:rsidRPr="003A7E34">
        <w:rPr>
          <w:rFonts w:eastAsia="Times New Roman"/>
          <w:lang w:val="en-US"/>
        </w:rPr>
        <w:t>), keeping organic farming areas (110 000 h</w:t>
      </w:r>
      <w:r w:rsidR="001F6A52" w:rsidRPr="003A7E34">
        <w:rPr>
          <w:rFonts w:eastAsia="Times New Roman"/>
          <w:lang w:val="en-US"/>
        </w:rPr>
        <w:t>a</w:t>
      </w:r>
      <w:r w:rsidRPr="003A7E34">
        <w:rPr>
          <w:rFonts w:eastAsia="Times New Roman"/>
          <w:lang w:val="en-US"/>
        </w:rPr>
        <w:t xml:space="preserve">), crop rotation, rational use of the synthetic fertilizers, and their replacement </w:t>
      </w:r>
      <w:r w:rsidR="00454E09" w:rsidRPr="003A7E34">
        <w:rPr>
          <w:rFonts w:eastAsia="Times New Roman"/>
          <w:lang w:val="en-US"/>
        </w:rPr>
        <w:t xml:space="preserve">with </w:t>
      </w:r>
      <w:r w:rsidRPr="003A7E34">
        <w:rPr>
          <w:rFonts w:eastAsia="Times New Roman"/>
          <w:lang w:val="en-US"/>
        </w:rPr>
        <w:t xml:space="preserve">organic fertilizers. The total program budget was 1.978 billion EUR. 36% of all funds were allocated for climate change mitigation (this amount includes </w:t>
      </w:r>
      <w:r w:rsidR="00454E09" w:rsidRPr="003A7E34">
        <w:rPr>
          <w:rFonts w:eastAsia="Times New Roman"/>
          <w:lang w:val="en-US"/>
        </w:rPr>
        <w:t xml:space="preserve">the </w:t>
      </w:r>
      <w:r w:rsidRPr="003A7E34">
        <w:rPr>
          <w:rFonts w:eastAsia="Times New Roman"/>
          <w:lang w:val="en-US"/>
        </w:rPr>
        <w:lastRenderedPageBreak/>
        <w:t>previous programming period). Since 2014</w:t>
      </w:r>
      <w:r w:rsidR="00454E09" w:rsidRPr="003A7E34">
        <w:rPr>
          <w:rFonts w:eastAsia="Times New Roman"/>
          <w:lang w:val="en-US"/>
        </w:rPr>
        <w:t>,</w:t>
      </w:r>
      <w:r w:rsidRPr="003A7E34">
        <w:rPr>
          <w:rFonts w:eastAsia="Times New Roman"/>
          <w:lang w:val="en-US"/>
        </w:rPr>
        <w:t xml:space="preserve"> Lithuania has produced biogas from livestock holdings. Another important mitigation action is the protection of waters against nitrate pollution (such as </w:t>
      </w:r>
      <w:r w:rsidR="00454E09" w:rsidRPr="003A7E34">
        <w:rPr>
          <w:rFonts w:eastAsia="Times New Roman"/>
          <w:lang w:val="en-US"/>
        </w:rPr>
        <w:t xml:space="preserve">the </w:t>
      </w:r>
      <w:r w:rsidRPr="003A7E34">
        <w:rPr>
          <w:rFonts w:eastAsia="Times New Roman"/>
          <w:lang w:val="en-US"/>
        </w:rPr>
        <w:t>implementation of the EU nitrates directive and its latest amendment (1137/2008)), which contributes to reducing N</w:t>
      </w:r>
      <w:r w:rsidRPr="003A7E34">
        <w:rPr>
          <w:rFonts w:eastAsia="Times New Roman"/>
          <w:vertAlign w:val="subscript"/>
          <w:lang w:val="en-US"/>
        </w:rPr>
        <w:t>2</w:t>
      </w:r>
      <w:r w:rsidRPr="003A7E34">
        <w:rPr>
          <w:rFonts w:eastAsia="Times New Roman"/>
          <w:lang w:val="en-US"/>
        </w:rPr>
        <w:t xml:space="preserve">O emissions. </w:t>
      </w:r>
      <w:r w:rsidR="00BA6C86" w:rsidRPr="003A7E34">
        <w:rPr>
          <w:rFonts w:eastAsia="Times New Roman"/>
          <w:lang w:val="en-US"/>
        </w:rPr>
        <w:t>For the period of 2021-2027 Lithuania will prepare draft National Common Agriculture Policy Strategic Plan, which will contain at least the messages provided below in the Table 3.1.1.3.</w:t>
      </w:r>
    </w:p>
    <w:p w14:paraId="08DEAD37" w14:textId="77777777" w:rsidR="00791F09" w:rsidRPr="003A7E34" w:rsidRDefault="00791F09" w:rsidP="5E230566">
      <w:pPr>
        <w:spacing w:before="0"/>
        <w:rPr>
          <w:rFonts w:eastAsia="Times New Roman"/>
          <w:lang w:val="en-US"/>
        </w:rPr>
      </w:pPr>
    </w:p>
    <w:p w14:paraId="7A16FD14" w14:textId="776BD5CB" w:rsidR="00381212" w:rsidRPr="003A7E34" w:rsidRDefault="5E230566" w:rsidP="5E230566">
      <w:pPr>
        <w:spacing w:after="0"/>
        <w:rPr>
          <w:rFonts w:eastAsia="Times New Roman"/>
          <w:sz w:val="20"/>
          <w:szCs w:val="20"/>
          <w:lang w:val="en-US"/>
        </w:rPr>
      </w:pPr>
      <w:r w:rsidRPr="003A7E34">
        <w:rPr>
          <w:rFonts w:eastAsia="Times New Roman"/>
          <w:b/>
          <w:bCs/>
          <w:sz w:val="20"/>
          <w:szCs w:val="20"/>
          <w:lang w:val="en-US"/>
        </w:rPr>
        <w:t xml:space="preserve">Table 3.1.1.3. </w:t>
      </w:r>
      <w:r w:rsidRPr="003A7E34">
        <w:rPr>
          <w:rFonts w:eastAsia="Times New Roman"/>
          <w:sz w:val="20"/>
          <w:szCs w:val="20"/>
          <w:lang w:val="en-US"/>
        </w:rPr>
        <w:t>The summary table of policies and measures adopted and under implementation in agriculture sector</w:t>
      </w:r>
      <w:r w:rsidR="008F3CA5" w:rsidRPr="003A7E34">
        <w:rPr>
          <w:rFonts w:eastAsia="Times New Roman"/>
          <w:sz w:val="20"/>
          <w:szCs w:val="20"/>
          <w:lang w:val="en-US"/>
        </w:rPr>
        <w:t xml:space="preserve"> by 2030</w:t>
      </w:r>
      <w:r w:rsidRPr="003A7E34">
        <w:rPr>
          <w:rFonts w:eastAsia="Times New Roman"/>
          <w:sz w:val="20"/>
          <w:szCs w:val="20"/>
          <w:lang w:val="en-US"/>
        </w:rPr>
        <w:t>.</w:t>
      </w:r>
    </w:p>
    <w:tbl>
      <w:tblPr>
        <w:tblStyle w:val="TableGrid"/>
        <w:tblW w:w="9747" w:type="dxa"/>
        <w:tblLayout w:type="fixed"/>
        <w:tblLook w:val="04A0" w:firstRow="1" w:lastRow="0" w:firstColumn="1" w:lastColumn="0" w:noHBand="0" w:noVBand="1"/>
      </w:tblPr>
      <w:tblGrid>
        <w:gridCol w:w="1951"/>
        <w:gridCol w:w="1985"/>
        <w:gridCol w:w="1417"/>
        <w:gridCol w:w="1843"/>
        <w:gridCol w:w="1417"/>
        <w:gridCol w:w="1134"/>
      </w:tblGrid>
      <w:tr w:rsidR="003A7E34" w:rsidRPr="003A7E34" w14:paraId="1FAF9788" w14:textId="77777777" w:rsidTr="001A22B4">
        <w:trPr>
          <w:trHeight w:val="110"/>
          <w:tblHeader/>
        </w:trPr>
        <w:tc>
          <w:tcPr>
            <w:tcW w:w="1951" w:type="dxa"/>
          </w:tcPr>
          <w:p w14:paraId="5EF7D4AF" w14:textId="77777777" w:rsidR="009C1CD1" w:rsidRPr="003A7E34" w:rsidRDefault="5E230566" w:rsidP="5E230566">
            <w:pPr>
              <w:spacing w:before="0" w:after="0"/>
              <w:rPr>
                <w:rFonts w:eastAsia="Times New Roman"/>
                <w:b/>
                <w:bCs/>
                <w:sz w:val="20"/>
                <w:szCs w:val="20"/>
                <w:lang w:val="en-US"/>
              </w:rPr>
            </w:pPr>
            <w:r w:rsidRPr="003A7E34">
              <w:rPr>
                <w:rFonts w:eastAsia="Times New Roman"/>
                <w:b/>
                <w:bCs/>
                <w:sz w:val="20"/>
                <w:szCs w:val="20"/>
                <w:lang w:val="en-US"/>
              </w:rPr>
              <w:t>Measures</w:t>
            </w:r>
          </w:p>
        </w:tc>
        <w:tc>
          <w:tcPr>
            <w:tcW w:w="1985" w:type="dxa"/>
          </w:tcPr>
          <w:p w14:paraId="64A7377B" w14:textId="77777777" w:rsidR="009C1CD1" w:rsidRPr="003A7E34" w:rsidRDefault="5E230566" w:rsidP="5E230566">
            <w:pPr>
              <w:spacing w:before="0" w:after="0"/>
              <w:rPr>
                <w:rFonts w:eastAsia="Times New Roman"/>
                <w:b/>
                <w:bCs/>
                <w:sz w:val="20"/>
                <w:szCs w:val="20"/>
                <w:lang w:val="en-US"/>
              </w:rPr>
            </w:pPr>
            <w:r w:rsidRPr="003A7E34">
              <w:rPr>
                <w:rFonts w:eastAsia="Times New Roman"/>
                <w:b/>
                <w:bCs/>
                <w:sz w:val="20"/>
                <w:szCs w:val="20"/>
                <w:lang w:val="en-US"/>
              </w:rPr>
              <w:t>Objective</w:t>
            </w:r>
          </w:p>
        </w:tc>
        <w:tc>
          <w:tcPr>
            <w:tcW w:w="1417" w:type="dxa"/>
          </w:tcPr>
          <w:p w14:paraId="1A069348" w14:textId="0DF6A82B" w:rsidR="009C1CD1" w:rsidRPr="003A7E34" w:rsidRDefault="5E230566" w:rsidP="5E230566">
            <w:pPr>
              <w:spacing w:before="0" w:after="0"/>
              <w:rPr>
                <w:rFonts w:eastAsia="Times New Roman"/>
                <w:b/>
                <w:bCs/>
                <w:sz w:val="20"/>
                <w:szCs w:val="20"/>
                <w:lang w:val="en-US"/>
              </w:rPr>
            </w:pPr>
            <w:r w:rsidRPr="003A7E34">
              <w:rPr>
                <w:rFonts w:eastAsia="Times New Roman"/>
                <w:b/>
                <w:bCs/>
                <w:sz w:val="20"/>
                <w:szCs w:val="20"/>
                <w:lang w:val="en-US"/>
              </w:rPr>
              <w:t>Implementation period</w:t>
            </w:r>
          </w:p>
        </w:tc>
        <w:tc>
          <w:tcPr>
            <w:tcW w:w="1843" w:type="dxa"/>
          </w:tcPr>
          <w:p w14:paraId="33AAFF79" w14:textId="66B071B1" w:rsidR="009C1CD1" w:rsidRPr="003A7E34" w:rsidRDefault="5E230566" w:rsidP="5E230566">
            <w:pPr>
              <w:spacing w:before="0" w:after="0"/>
              <w:rPr>
                <w:rFonts w:eastAsia="Times New Roman"/>
                <w:b/>
                <w:bCs/>
                <w:sz w:val="20"/>
                <w:szCs w:val="20"/>
                <w:lang w:val="en-US"/>
              </w:rPr>
            </w:pPr>
            <w:r w:rsidRPr="003A7E34">
              <w:rPr>
                <w:rFonts w:eastAsia="Times New Roman"/>
                <w:b/>
                <w:bCs/>
                <w:sz w:val="20"/>
                <w:szCs w:val="20"/>
                <w:lang w:val="en-US"/>
              </w:rPr>
              <w:t>Entities responsible for implementing the policy</w:t>
            </w:r>
          </w:p>
        </w:tc>
        <w:tc>
          <w:tcPr>
            <w:tcW w:w="1417" w:type="dxa"/>
            <w:tcBorders>
              <w:top w:val="single" w:sz="4" w:space="0" w:color="auto"/>
            </w:tcBorders>
          </w:tcPr>
          <w:p w14:paraId="7E0857D3" w14:textId="01B9A3AD" w:rsidR="009C1CD1" w:rsidRPr="003A7E34" w:rsidRDefault="5E230566" w:rsidP="00DB206C">
            <w:pPr>
              <w:spacing w:before="0" w:after="0"/>
              <w:rPr>
                <w:rFonts w:eastAsia="Times New Roman"/>
                <w:b/>
                <w:bCs/>
                <w:sz w:val="20"/>
                <w:szCs w:val="20"/>
                <w:lang w:val="en-US"/>
              </w:rPr>
            </w:pPr>
            <w:r w:rsidRPr="003A7E34">
              <w:rPr>
                <w:rFonts w:eastAsia="Times New Roman"/>
                <w:b/>
                <w:bCs/>
                <w:sz w:val="20"/>
                <w:szCs w:val="20"/>
                <w:lang w:val="en-US"/>
              </w:rPr>
              <w:t>GHG mitigation effect, ktCO</w:t>
            </w:r>
            <w:r w:rsidRPr="003A7E34">
              <w:rPr>
                <w:rFonts w:eastAsia="Times New Roman"/>
                <w:b/>
                <w:bCs/>
                <w:sz w:val="20"/>
                <w:szCs w:val="20"/>
                <w:vertAlign w:val="subscript"/>
                <w:lang w:val="en-US"/>
              </w:rPr>
              <w:t>2eq.</w:t>
            </w:r>
          </w:p>
        </w:tc>
        <w:tc>
          <w:tcPr>
            <w:tcW w:w="1134" w:type="dxa"/>
            <w:tcBorders>
              <w:top w:val="single" w:sz="4" w:space="0" w:color="auto"/>
            </w:tcBorders>
          </w:tcPr>
          <w:p w14:paraId="211E3A4E" w14:textId="23CA1C51" w:rsidR="009C1CD1" w:rsidRPr="003A7E34" w:rsidRDefault="5E230566" w:rsidP="5E230566">
            <w:pPr>
              <w:spacing w:before="0" w:after="0"/>
              <w:rPr>
                <w:rFonts w:eastAsia="Times New Roman"/>
                <w:b/>
                <w:bCs/>
                <w:sz w:val="20"/>
                <w:szCs w:val="20"/>
                <w:lang w:val="en-US"/>
              </w:rPr>
            </w:pPr>
            <w:r w:rsidRPr="003A7E34">
              <w:rPr>
                <w:rFonts w:eastAsia="Times New Roman"/>
                <w:b/>
                <w:bCs/>
                <w:sz w:val="20"/>
                <w:szCs w:val="20"/>
                <w:lang w:val="en-US"/>
              </w:rPr>
              <w:t>Planned budget</w:t>
            </w:r>
            <w:r w:rsidRPr="003A7E34">
              <w:rPr>
                <w:rFonts w:eastAsia="Times New Roman"/>
                <w:b/>
                <w:bCs/>
                <w:sz w:val="18"/>
                <w:szCs w:val="18"/>
                <w:vertAlign w:val="superscript"/>
                <w:lang w:val="en-US"/>
              </w:rPr>
              <w:t>1,2,3</w:t>
            </w:r>
            <w:r w:rsidRPr="003A7E34">
              <w:rPr>
                <w:rFonts w:eastAsia="Times New Roman"/>
                <w:b/>
                <w:bCs/>
                <w:sz w:val="18"/>
                <w:szCs w:val="18"/>
                <w:lang w:val="en-US"/>
              </w:rPr>
              <w:t>, MEUR</w:t>
            </w:r>
          </w:p>
        </w:tc>
      </w:tr>
      <w:tr w:rsidR="003A7E34" w:rsidRPr="003A7E34" w14:paraId="0E88BFFD" w14:textId="509F4121" w:rsidTr="1F603D79">
        <w:trPr>
          <w:trHeight w:val="183"/>
        </w:trPr>
        <w:tc>
          <w:tcPr>
            <w:tcW w:w="9747" w:type="dxa"/>
            <w:gridSpan w:val="6"/>
          </w:tcPr>
          <w:p w14:paraId="08927259" w14:textId="2EBCADB1" w:rsidR="009C1CD1" w:rsidRPr="003A7E34" w:rsidRDefault="5E230566" w:rsidP="5E230566">
            <w:pPr>
              <w:spacing w:before="0" w:after="0"/>
              <w:jc w:val="center"/>
              <w:rPr>
                <w:rFonts w:eastAsia="Times New Roman"/>
                <w:b/>
                <w:bCs/>
                <w:sz w:val="20"/>
                <w:szCs w:val="20"/>
                <w:lang w:val="en-US"/>
              </w:rPr>
            </w:pPr>
            <w:r w:rsidRPr="003A7E34">
              <w:rPr>
                <w:rFonts w:eastAsia="Times New Roman"/>
                <w:b/>
                <w:bCs/>
                <w:sz w:val="20"/>
                <w:szCs w:val="20"/>
                <w:lang w:val="en-US"/>
              </w:rPr>
              <w:t>Adopted and under implementation measures</w:t>
            </w:r>
          </w:p>
        </w:tc>
      </w:tr>
      <w:tr w:rsidR="003A7E34" w:rsidRPr="003A7E34" w14:paraId="423DFEDD" w14:textId="77777777" w:rsidTr="00EE237F">
        <w:trPr>
          <w:trHeight w:val="313"/>
        </w:trPr>
        <w:tc>
          <w:tcPr>
            <w:tcW w:w="1951" w:type="dxa"/>
          </w:tcPr>
          <w:p w14:paraId="2F3A03E9" w14:textId="772B5789" w:rsidR="009C1CD1" w:rsidRPr="003A7E34" w:rsidRDefault="5E230566" w:rsidP="5E230566">
            <w:pPr>
              <w:spacing w:before="0" w:after="0"/>
              <w:rPr>
                <w:rFonts w:eastAsia="Times New Roman"/>
                <w:sz w:val="20"/>
                <w:szCs w:val="20"/>
                <w:lang w:val="en-US"/>
              </w:rPr>
            </w:pPr>
            <w:r w:rsidRPr="003A7E34">
              <w:rPr>
                <w:rFonts w:eastAsia="Times New Roman"/>
                <w:sz w:val="20"/>
                <w:szCs w:val="20"/>
                <w:lang w:val="en-US"/>
              </w:rPr>
              <w:t xml:space="preserve">A1. Implementation of </w:t>
            </w:r>
            <w:r w:rsidR="00454E09" w:rsidRPr="003A7E34">
              <w:rPr>
                <w:rFonts w:eastAsia="Times New Roman"/>
                <w:sz w:val="20"/>
                <w:szCs w:val="20"/>
                <w:lang w:val="en-US"/>
              </w:rPr>
              <w:t xml:space="preserve">the </w:t>
            </w:r>
            <w:r w:rsidRPr="003A7E34">
              <w:rPr>
                <w:rFonts w:eastAsia="Times New Roman"/>
                <w:sz w:val="20"/>
                <w:szCs w:val="20"/>
                <w:lang w:val="en-US"/>
              </w:rPr>
              <w:t>Nitrates directive</w:t>
            </w:r>
          </w:p>
        </w:tc>
        <w:tc>
          <w:tcPr>
            <w:tcW w:w="1985" w:type="dxa"/>
          </w:tcPr>
          <w:p w14:paraId="5FB4C18F" w14:textId="77777777" w:rsidR="009C1CD1" w:rsidRPr="003A7E34" w:rsidRDefault="5E230566" w:rsidP="5E230566">
            <w:pPr>
              <w:spacing w:before="0" w:after="0"/>
              <w:rPr>
                <w:rFonts w:eastAsia="Times New Roman"/>
                <w:sz w:val="20"/>
                <w:szCs w:val="20"/>
                <w:lang w:val="en-US"/>
              </w:rPr>
            </w:pPr>
            <w:r w:rsidRPr="003A7E34">
              <w:rPr>
                <w:rFonts w:eastAsia="Times New Roman"/>
                <w:sz w:val="20"/>
                <w:szCs w:val="20"/>
                <w:lang w:val="en-US"/>
              </w:rPr>
              <w:t>Reduced water pollution and the emissions of N</w:t>
            </w:r>
            <w:r w:rsidRPr="003A7E34">
              <w:rPr>
                <w:rFonts w:eastAsia="Times New Roman"/>
                <w:sz w:val="20"/>
                <w:szCs w:val="20"/>
                <w:vertAlign w:val="subscript"/>
                <w:lang w:val="en-US"/>
              </w:rPr>
              <w:t>2</w:t>
            </w:r>
            <w:r w:rsidRPr="003A7E34">
              <w:rPr>
                <w:rFonts w:eastAsia="Times New Roman"/>
                <w:sz w:val="20"/>
                <w:szCs w:val="20"/>
                <w:lang w:val="en-US"/>
              </w:rPr>
              <w:t>O</w:t>
            </w:r>
          </w:p>
        </w:tc>
        <w:tc>
          <w:tcPr>
            <w:tcW w:w="1417" w:type="dxa"/>
          </w:tcPr>
          <w:p w14:paraId="7664AF28" w14:textId="307E79B3" w:rsidR="009C1CD1" w:rsidRPr="003A7E34" w:rsidRDefault="5E230566" w:rsidP="5E230566">
            <w:pPr>
              <w:spacing w:before="0" w:after="0"/>
              <w:rPr>
                <w:rFonts w:eastAsia="Times New Roman"/>
                <w:sz w:val="20"/>
                <w:szCs w:val="20"/>
                <w:lang w:val="en-US"/>
              </w:rPr>
            </w:pPr>
            <w:r w:rsidRPr="003A7E34">
              <w:rPr>
                <w:rFonts w:eastAsia="Times New Roman"/>
                <w:sz w:val="20"/>
                <w:szCs w:val="20"/>
                <w:lang w:val="en-US"/>
              </w:rPr>
              <w:t>2014 – 2030</w:t>
            </w:r>
          </w:p>
        </w:tc>
        <w:tc>
          <w:tcPr>
            <w:tcW w:w="1843" w:type="dxa"/>
          </w:tcPr>
          <w:p w14:paraId="75524418" w14:textId="0C500F39" w:rsidR="009C1CD1" w:rsidRPr="003A7E34" w:rsidRDefault="5E230566" w:rsidP="5E230566">
            <w:pPr>
              <w:spacing w:before="0" w:after="0"/>
              <w:rPr>
                <w:rFonts w:eastAsia="Times New Roman"/>
                <w:sz w:val="20"/>
                <w:szCs w:val="20"/>
                <w:lang w:val="en-US"/>
              </w:rPr>
            </w:pPr>
            <w:r w:rsidRPr="003A7E34">
              <w:rPr>
                <w:rFonts w:eastAsia="Times New Roman"/>
                <w:sz w:val="20"/>
                <w:szCs w:val="20"/>
                <w:lang w:val="en-US"/>
              </w:rPr>
              <w:t>Ministry of Environment</w:t>
            </w:r>
          </w:p>
          <w:p w14:paraId="44BC3823" w14:textId="070F0782" w:rsidR="009C1CD1" w:rsidRPr="003A7E34" w:rsidRDefault="5E230566" w:rsidP="5E230566">
            <w:pPr>
              <w:spacing w:before="0" w:after="0"/>
              <w:rPr>
                <w:rFonts w:eastAsia="Times New Roman"/>
                <w:sz w:val="20"/>
                <w:szCs w:val="20"/>
                <w:lang w:val="en-US"/>
              </w:rPr>
            </w:pPr>
            <w:r w:rsidRPr="003A7E34">
              <w:rPr>
                <w:rFonts w:eastAsia="Times New Roman"/>
                <w:sz w:val="20"/>
                <w:szCs w:val="20"/>
                <w:lang w:val="en-US"/>
              </w:rPr>
              <w:t>Ministry of Agriculture</w:t>
            </w:r>
          </w:p>
        </w:tc>
        <w:tc>
          <w:tcPr>
            <w:tcW w:w="1417" w:type="dxa"/>
          </w:tcPr>
          <w:p w14:paraId="34726277" w14:textId="4F3AF2E6" w:rsidR="009C1CD1" w:rsidRPr="003A7E34" w:rsidRDefault="5E230566" w:rsidP="00DB206C">
            <w:pPr>
              <w:spacing w:before="0" w:after="0"/>
              <w:rPr>
                <w:rFonts w:eastAsia="Times New Roman"/>
                <w:sz w:val="20"/>
                <w:szCs w:val="20"/>
                <w:lang w:val="en-US"/>
              </w:rPr>
            </w:pPr>
            <w:r w:rsidRPr="003A7E34">
              <w:rPr>
                <w:rFonts w:eastAsia="Times New Roman"/>
                <w:sz w:val="20"/>
                <w:szCs w:val="20"/>
                <w:lang w:val="en-US"/>
              </w:rPr>
              <w:t>1</w:t>
            </w:r>
            <w:r w:rsidR="00DB206C" w:rsidRPr="003A7E34">
              <w:rPr>
                <w:rFonts w:eastAsia="Times New Roman"/>
                <w:sz w:val="20"/>
                <w:szCs w:val="20"/>
                <w:lang w:val="en-US"/>
              </w:rPr>
              <w:t>70</w:t>
            </w:r>
            <w:r w:rsidRPr="003A7E34">
              <w:rPr>
                <w:rFonts w:eastAsia="Times New Roman"/>
                <w:sz w:val="20"/>
                <w:szCs w:val="20"/>
                <w:lang w:val="en-US"/>
              </w:rPr>
              <w:t>0</w:t>
            </w:r>
          </w:p>
        </w:tc>
        <w:tc>
          <w:tcPr>
            <w:tcW w:w="1134" w:type="dxa"/>
          </w:tcPr>
          <w:p w14:paraId="23384F11" w14:textId="28617B54" w:rsidR="009C1CD1" w:rsidRPr="003A7E34" w:rsidRDefault="00932CCE" w:rsidP="5E230566">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2</w:t>
            </w:r>
          </w:p>
        </w:tc>
      </w:tr>
      <w:tr w:rsidR="003A7E34" w:rsidRPr="003A7E34" w14:paraId="1C86D75D" w14:textId="77777777" w:rsidTr="00EE237F">
        <w:trPr>
          <w:trHeight w:val="491"/>
        </w:trPr>
        <w:tc>
          <w:tcPr>
            <w:tcW w:w="1951" w:type="dxa"/>
          </w:tcPr>
          <w:p w14:paraId="5F674D42" w14:textId="0B6C059E" w:rsidR="009C1CD1" w:rsidRPr="003A7E34" w:rsidRDefault="009C1CD1" w:rsidP="00454E09">
            <w:pPr>
              <w:spacing w:before="0" w:after="0"/>
              <w:rPr>
                <w:rFonts w:eastAsia="Times New Roman"/>
                <w:sz w:val="20"/>
                <w:szCs w:val="20"/>
                <w:lang w:val="en-US"/>
              </w:rPr>
            </w:pPr>
            <w:r w:rsidRPr="003A7E34">
              <w:rPr>
                <w:rFonts w:eastAsia="Times New Roman"/>
                <w:sz w:val="20"/>
                <w:szCs w:val="20"/>
                <w:lang w:val="en-US"/>
              </w:rPr>
              <w:t xml:space="preserve">A2. </w:t>
            </w:r>
            <w:r w:rsidR="00454E09" w:rsidRPr="003A7E34">
              <w:rPr>
                <w:rFonts w:eastAsia="Times New Roman"/>
                <w:sz w:val="20"/>
                <w:szCs w:val="20"/>
                <w:lang w:val="en-US"/>
              </w:rPr>
              <w:t xml:space="preserve">Reduction of the </w:t>
            </w:r>
            <w:r w:rsidRPr="003A7E34">
              <w:rPr>
                <w:rFonts w:eastAsia="Times New Roman"/>
                <w:sz w:val="20"/>
                <w:szCs w:val="20"/>
                <w:lang w:val="en-US"/>
              </w:rPr>
              <w:t>release of nitrogen compounds into the Baltic Sea</w:t>
            </w:r>
          </w:p>
        </w:tc>
        <w:tc>
          <w:tcPr>
            <w:tcW w:w="1985" w:type="dxa"/>
          </w:tcPr>
          <w:p w14:paraId="190BC92D" w14:textId="080B2034" w:rsidR="009C1CD1" w:rsidRPr="003A7E34" w:rsidRDefault="000C5F99" w:rsidP="000C5F99">
            <w:pPr>
              <w:spacing w:before="0" w:after="0"/>
              <w:rPr>
                <w:rFonts w:eastAsia="Times New Roman"/>
                <w:sz w:val="20"/>
                <w:szCs w:val="20"/>
                <w:lang w:val="en-US"/>
              </w:rPr>
            </w:pPr>
            <w:r w:rsidRPr="003A7E34">
              <w:rPr>
                <w:rFonts w:eastAsia="Times New Roman"/>
                <w:sz w:val="20"/>
                <w:szCs w:val="20"/>
                <w:lang w:val="en-US"/>
              </w:rPr>
              <w:t xml:space="preserve">Reduction of nitrogen </w:t>
            </w:r>
            <w:r w:rsidR="005568F8" w:rsidRPr="003A7E34">
              <w:rPr>
                <w:rFonts w:eastAsia="Times New Roman"/>
                <w:sz w:val="20"/>
                <w:szCs w:val="20"/>
                <w:lang w:val="en-US"/>
              </w:rPr>
              <w:t xml:space="preserve">compounds released </w:t>
            </w:r>
            <w:r w:rsidR="002A7E44" w:rsidRPr="003A7E34">
              <w:rPr>
                <w:rFonts w:eastAsia="Times New Roman"/>
                <w:sz w:val="20"/>
                <w:szCs w:val="20"/>
                <w:lang w:val="en-US"/>
              </w:rPr>
              <w:t>into the Baltic Sea</w:t>
            </w:r>
            <w:r w:rsidR="00454E09" w:rsidRPr="003A7E34">
              <w:rPr>
                <w:rFonts w:eastAsia="Times New Roman"/>
                <w:sz w:val="20"/>
                <w:szCs w:val="20"/>
                <w:lang w:val="en-US"/>
              </w:rPr>
              <w:t xml:space="preserve"> </w:t>
            </w:r>
            <w:r w:rsidR="002A7E44" w:rsidRPr="003A7E34">
              <w:rPr>
                <w:rFonts w:eastAsia="Times New Roman"/>
                <w:sz w:val="20"/>
                <w:szCs w:val="20"/>
                <w:lang w:val="en-US"/>
              </w:rPr>
              <w:t>compared with</w:t>
            </w:r>
            <w:r w:rsidR="00D871C8" w:rsidRPr="003A7E34">
              <w:rPr>
                <w:rFonts w:eastAsia="Times New Roman"/>
                <w:sz w:val="20"/>
                <w:szCs w:val="20"/>
                <w:lang w:val="en-US"/>
              </w:rPr>
              <w:t xml:space="preserve"> </w:t>
            </w:r>
            <w:r w:rsidR="002A7E44" w:rsidRPr="003A7E34">
              <w:rPr>
                <w:rFonts w:eastAsia="Times New Roman"/>
                <w:sz w:val="20"/>
                <w:szCs w:val="20"/>
                <w:lang w:val="en-US"/>
              </w:rPr>
              <w:t>the inflow</w:t>
            </w:r>
            <w:r w:rsidR="00D871C8" w:rsidRPr="003A7E34">
              <w:rPr>
                <w:rFonts w:eastAsia="Times New Roman"/>
                <w:sz w:val="20"/>
                <w:szCs w:val="20"/>
                <w:lang w:val="en-US"/>
              </w:rPr>
              <w:t xml:space="preserve"> </w:t>
            </w:r>
            <w:r w:rsidR="002A7E44" w:rsidRPr="003A7E34">
              <w:rPr>
                <w:rFonts w:eastAsia="Times New Roman"/>
                <w:sz w:val="20"/>
                <w:szCs w:val="20"/>
                <w:lang w:val="en-US"/>
              </w:rPr>
              <w:t xml:space="preserve">of reference (1997-2003) </w:t>
            </w:r>
            <w:r w:rsidR="005568F8" w:rsidRPr="003A7E34">
              <w:rPr>
                <w:rFonts w:eastAsia="Times New Roman"/>
                <w:sz w:val="20"/>
                <w:szCs w:val="20"/>
                <w:lang w:val="en-US"/>
              </w:rPr>
              <w:t>period</w:t>
            </w:r>
            <w:r w:rsidR="002A7E44" w:rsidRPr="003A7E34">
              <w:rPr>
                <w:rFonts w:eastAsia="Times New Roman"/>
                <w:sz w:val="20"/>
                <w:szCs w:val="20"/>
                <w:lang w:val="en-US"/>
              </w:rPr>
              <w:t>.</w:t>
            </w:r>
          </w:p>
        </w:tc>
        <w:tc>
          <w:tcPr>
            <w:tcW w:w="1417" w:type="dxa"/>
          </w:tcPr>
          <w:p w14:paraId="2C829200" w14:textId="68A1D8A4" w:rsidR="009C1CD1" w:rsidRPr="003A7E34" w:rsidRDefault="002A7E44" w:rsidP="00791F09">
            <w:pPr>
              <w:spacing w:before="0" w:after="0"/>
              <w:rPr>
                <w:rFonts w:eastAsia="Times New Roman"/>
                <w:sz w:val="20"/>
                <w:szCs w:val="20"/>
                <w:lang w:val="en-US"/>
              </w:rPr>
            </w:pPr>
            <w:r w:rsidRPr="003A7E34">
              <w:rPr>
                <w:rFonts w:eastAsia="Times New Roman"/>
                <w:sz w:val="20"/>
                <w:szCs w:val="20"/>
                <w:lang w:val="en-US"/>
              </w:rPr>
              <w:t>2014 – 2030</w:t>
            </w:r>
          </w:p>
        </w:tc>
        <w:tc>
          <w:tcPr>
            <w:tcW w:w="1843" w:type="dxa"/>
          </w:tcPr>
          <w:p w14:paraId="0396824B" w14:textId="3544D3EA"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Ministry of Environment</w:t>
            </w:r>
          </w:p>
          <w:p w14:paraId="0013DB19" w14:textId="40111FDC"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Ministry of Agriculture</w:t>
            </w:r>
          </w:p>
        </w:tc>
        <w:tc>
          <w:tcPr>
            <w:tcW w:w="1417" w:type="dxa"/>
          </w:tcPr>
          <w:p w14:paraId="743181E9" w14:textId="23853A46" w:rsidR="009C1CD1" w:rsidRPr="003A7E34" w:rsidRDefault="00DB206C" w:rsidP="00DB206C">
            <w:pPr>
              <w:spacing w:before="0" w:after="0"/>
              <w:rPr>
                <w:rFonts w:eastAsia="Times New Roman"/>
                <w:sz w:val="20"/>
                <w:szCs w:val="20"/>
                <w:lang w:val="en-US"/>
              </w:rPr>
            </w:pPr>
            <w:r w:rsidRPr="003A7E34">
              <w:rPr>
                <w:rFonts w:eastAsia="Times New Roman"/>
                <w:sz w:val="20"/>
                <w:szCs w:val="20"/>
                <w:lang w:val="en-US"/>
              </w:rPr>
              <w:t>136</w:t>
            </w:r>
          </w:p>
        </w:tc>
        <w:tc>
          <w:tcPr>
            <w:tcW w:w="1134" w:type="dxa"/>
          </w:tcPr>
          <w:p w14:paraId="2A51BB30" w14:textId="5BAFD186" w:rsidR="009C1CD1" w:rsidRPr="003A7E34" w:rsidRDefault="00932CCE" w:rsidP="00791F09">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2</w:t>
            </w:r>
          </w:p>
        </w:tc>
      </w:tr>
      <w:tr w:rsidR="003A7E34" w:rsidRPr="003A7E34" w14:paraId="2D806C3A" w14:textId="77777777" w:rsidTr="00EE237F">
        <w:trPr>
          <w:trHeight w:val="512"/>
        </w:trPr>
        <w:tc>
          <w:tcPr>
            <w:tcW w:w="1951" w:type="dxa"/>
          </w:tcPr>
          <w:p w14:paraId="7C00C3BA" w14:textId="2D6C9483" w:rsidR="009C1CD1" w:rsidRPr="003A7E34" w:rsidRDefault="009C1CD1" w:rsidP="00C30D60">
            <w:pPr>
              <w:spacing w:before="0" w:after="0"/>
              <w:rPr>
                <w:rFonts w:eastAsia="Times New Roman"/>
                <w:sz w:val="20"/>
                <w:szCs w:val="20"/>
                <w:lang w:val="en-US"/>
              </w:rPr>
            </w:pPr>
            <w:r w:rsidRPr="003A7E34">
              <w:rPr>
                <w:rFonts w:eastAsia="Times New Roman"/>
                <w:sz w:val="20"/>
                <w:szCs w:val="20"/>
                <w:lang w:val="en-US"/>
              </w:rPr>
              <w:t xml:space="preserve">A3. </w:t>
            </w:r>
            <w:r w:rsidR="00D027C2" w:rsidRPr="003A7E34">
              <w:rPr>
                <w:rFonts w:eastAsia="Times New Roman"/>
                <w:sz w:val="20"/>
                <w:szCs w:val="20"/>
                <w:lang w:val="en-US"/>
              </w:rPr>
              <w:t xml:space="preserve">Financial support </w:t>
            </w:r>
            <w:r w:rsidR="00C30D60">
              <w:rPr>
                <w:rFonts w:eastAsia="Times New Roman"/>
                <w:sz w:val="20"/>
                <w:szCs w:val="20"/>
                <w:lang w:val="en-US"/>
              </w:rPr>
              <w:t>to</w:t>
            </w:r>
            <w:r w:rsidR="00D027C2" w:rsidRPr="003A7E34">
              <w:rPr>
                <w:rFonts w:eastAsia="Times New Roman"/>
                <w:sz w:val="20"/>
                <w:szCs w:val="20"/>
                <w:lang w:val="en-US"/>
              </w:rPr>
              <w:t xml:space="preserve"> sustainable farming development </w:t>
            </w:r>
          </w:p>
        </w:tc>
        <w:tc>
          <w:tcPr>
            <w:tcW w:w="1985" w:type="dxa"/>
          </w:tcPr>
          <w:p w14:paraId="4461B892" w14:textId="4E807133" w:rsidR="009C1CD1" w:rsidRPr="003A7E34" w:rsidRDefault="00D027C2" w:rsidP="00D027C2">
            <w:pPr>
              <w:spacing w:before="0" w:after="0"/>
              <w:rPr>
                <w:rFonts w:eastAsia="Times New Roman"/>
                <w:sz w:val="20"/>
                <w:szCs w:val="20"/>
                <w:lang w:val="en-US"/>
              </w:rPr>
            </w:pPr>
            <w:r w:rsidRPr="003A7E34">
              <w:rPr>
                <w:rFonts w:eastAsia="Times New Roman"/>
                <w:sz w:val="20"/>
                <w:szCs w:val="20"/>
                <w:lang w:val="en-US"/>
              </w:rPr>
              <w:t>Increase of sustainable farming, crop rotation, rational and regulated use of synthetic fertilizers and replacement of synthetic fertilizers with organic fertilizers. Expansion of perennial meadows in order to improve biodiversity and reduce GHG emissions. Support for investments in to manure handling storages and manure and slurry spreading equipment.</w:t>
            </w:r>
          </w:p>
        </w:tc>
        <w:tc>
          <w:tcPr>
            <w:tcW w:w="1417" w:type="dxa"/>
          </w:tcPr>
          <w:p w14:paraId="0C7D5E99" w14:textId="35A301C0" w:rsidR="009C1CD1" w:rsidRPr="003A7E34" w:rsidRDefault="00363B8D" w:rsidP="00791F09">
            <w:pPr>
              <w:spacing w:before="0" w:after="0"/>
              <w:rPr>
                <w:rFonts w:eastAsia="Times New Roman"/>
                <w:sz w:val="20"/>
                <w:szCs w:val="20"/>
                <w:lang w:val="en-US"/>
              </w:rPr>
            </w:pPr>
            <w:r w:rsidRPr="003A7E34">
              <w:rPr>
                <w:rFonts w:eastAsia="Times New Roman"/>
                <w:sz w:val="20"/>
                <w:szCs w:val="20"/>
                <w:lang w:val="en-US"/>
              </w:rPr>
              <w:t>2014–2020</w:t>
            </w:r>
          </w:p>
        </w:tc>
        <w:tc>
          <w:tcPr>
            <w:tcW w:w="1843" w:type="dxa"/>
          </w:tcPr>
          <w:p w14:paraId="2C0392D9" w14:textId="1F1F3D3F"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Ministry of Agriculture</w:t>
            </w:r>
          </w:p>
        </w:tc>
        <w:tc>
          <w:tcPr>
            <w:tcW w:w="1417" w:type="dxa"/>
          </w:tcPr>
          <w:p w14:paraId="73F29892" w14:textId="3096ED80" w:rsidR="009C1CD1" w:rsidRPr="003A7E34" w:rsidRDefault="00DB206C" w:rsidP="00791F09">
            <w:pPr>
              <w:spacing w:before="0" w:after="0"/>
              <w:rPr>
                <w:rFonts w:eastAsia="Times New Roman"/>
                <w:sz w:val="20"/>
                <w:szCs w:val="20"/>
                <w:lang w:val="en-US"/>
              </w:rPr>
            </w:pPr>
            <w:r w:rsidRPr="003A7E34">
              <w:rPr>
                <w:rFonts w:eastAsia="Times New Roman"/>
                <w:sz w:val="20"/>
                <w:szCs w:val="20"/>
                <w:lang w:val="en-US"/>
              </w:rPr>
              <w:t>-</w:t>
            </w:r>
          </w:p>
        </w:tc>
        <w:tc>
          <w:tcPr>
            <w:tcW w:w="1134" w:type="dxa"/>
          </w:tcPr>
          <w:p w14:paraId="3CD40995" w14:textId="308CA742" w:rsidR="009C1CD1" w:rsidRPr="003A7E34" w:rsidRDefault="00D25615" w:rsidP="00791F09">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w:t>
            </w:r>
          </w:p>
        </w:tc>
      </w:tr>
      <w:tr w:rsidR="003A7E34" w:rsidRPr="003A7E34" w14:paraId="39F2E035" w14:textId="77777777" w:rsidTr="00EE237F">
        <w:trPr>
          <w:trHeight w:val="776"/>
        </w:trPr>
        <w:tc>
          <w:tcPr>
            <w:tcW w:w="1951" w:type="dxa"/>
          </w:tcPr>
          <w:p w14:paraId="10543491" w14:textId="2BF58ACA" w:rsidR="009C1CD1" w:rsidRPr="003A7E34" w:rsidRDefault="009C1CD1" w:rsidP="002F6BDB">
            <w:pPr>
              <w:spacing w:before="0" w:after="0"/>
              <w:rPr>
                <w:rFonts w:eastAsia="Times New Roman"/>
                <w:sz w:val="20"/>
                <w:szCs w:val="20"/>
                <w:lang w:val="en-US"/>
              </w:rPr>
            </w:pPr>
            <w:r w:rsidRPr="003A7E34">
              <w:rPr>
                <w:rFonts w:eastAsia="Times New Roman"/>
                <w:sz w:val="20"/>
                <w:szCs w:val="20"/>
                <w:lang w:val="en-US"/>
              </w:rPr>
              <w:t>A4 Promoting growth of protein crops</w:t>
            </w:r>
          </w:p>
        </w:tc>
        <w:tc>
          <w:tcPr>
            <w:tcW w:w="1985" w:type="dxa"/>
          </w:tcPr>
          <w:p w14:paraId="097158C0" w14:textId="5930ED09" w:rsidR="009C1CD1" w:rsidRPr="003A7E34" w:rsidRDefault="001A22B4" w:rsidP="1F603D79">
            <w:pPr>
              <w:spacing w:before="0" w:after="0"/>
              <w:rPr>
                <w:rFonts w:eastAsia="Times New Roman"/>
                <w:sz w:val="20"/>
                <w:szCs w:val="20"/>
                <w:lang w:val="en-US"/>
              </w:rPr>
            </w:pPr>
            <w:r w:rsidRPr="003A7E34">
              <w:rPr>
                <w:rFonts w:eastAsia="Times New Roman"/>
                <w:sz w:val="20"/>
                <w:szCs w:val="20"/>
              </w:rPr>
              <w:t>Incentivise farmers to</w:t>
            </w:r>
            <w:r w:rsidR="1F603D79" w:rsidRPr="003A7E34">
              <w:rPr>
                <w:rFonts w:eastAsia="Times New Roman"/>
                <w:sz w:val="20"/>
                <w:szCs w:val="20"/>
                <w:lang w:val="en-US"/>
              </w:rPr>
              <w:t xml:space="preserve"> grow protein crops</w:t>
            </w:r>
            <w:r w:rsidR="00D027C2" w:rsidRPr="003A7E34">
              <w:rPr>
                <w:rFonts w:eastAsia="Times New Roman"/>
                <w:sz w:val="20"/>
                <w:szCs w:val="20"/>
                <w:lang w:val="en-US"/>
              </w:rPr>
              <w:t>.</w:t>
            </w:r>
          </w:p>
        </w:tc>
        <w:tc>
          <w:tcPr>
            <w:tcW w:w="1417" w:type="dxa"/>
          </w:tcPr>
          <w:p w14:paraId="4362617E" w14:textId="00469482" w:rsidR="009C1CD1" w:rsidRPr="003A7E34" w:rsidRDefault="00363B8D" w:rsidP="00D027C2">
            <w:pPr>
              <w:spacing w:before="0" w:after="0"/>
              <w:rPr>
                <w:rFonts w:eastAsia="Times New Roman"/>
                <w:sz w:val="20"/>
                <w:szCs w:val="20"/>
                <w:lang w:val="en-US"/>
              </w:rPr>
            </w:pPr>
            <w:r w:rsidRPr="003A7E34">
              <w:rPr>
                <w:rFonts w:eastAsia="Times New Roman"/>
                <w:sz w:val="20"/>
                <w:szCs w:val="20"/>
                <w:lang w:val="en-US"/>
              </w:rPr>
              <w:t>2014–</w:t>
            </w:r>
            <w:r w:rsidR="00D027C2" w:rsidRPr="003A7E34">
              <w:rPr>
                <w:rFonts w:eastAsia="Times New Roman"/>
                <w:sz w:val="20"/>
                <w:szCs w:val="20"/>
                <w:lang w:val="en-US"/>
              </w:rPr>
              <w:t>2027</w:t>
            </w:r>
          </w:p>
        </w:tc>
        <w:tc>
          <w:tcPr>
            <w:tcW w:w="1843" w:type="dxa"/>
          </w:tcPr>
          <w:p w14:paraId="167B38BB" w14:textId="0F47750E"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Ministry of Agriculture</w:t>
            </w:r>
          </w:p>
        </w:tc>
        <w:tc>
          <w:tcPr>
            <w:tcW w:w="1417" w:type="dxa"/>
          </w:tcPr>
          <w:p w14:paraId="5C666875" w14:textId="00D972DF" w:rsidR="009C1CD1" w:rsidRPr="003A7E34" w:rsidRDefault="00DB206C" w:rsidP="00791F09">
            <w:pPr>
              <w:spacing w:before="0" w:after="0"/>
              <w:rPr>
                <w:rFonts w:eastAsia="Times New Roman"/>
                <w:sz w:val="20"/>
                <w:szCs w:val="20"/>
                <w:lang w:val="en-US"/>
              </w:rPr>
            </w:pPr>
            <w:r w:rsidRPr="003A7E34">
              <w:rPr>
                <w:rFonts w:eastAsia="Times New Roman"/>
                <w:sz w:val="20"/>
                <w:szCs w:val="20"/>
                <w:lang w:val="en-US"/>
              </w:rPr>
              <w:t>-</w:t>
            </w:r>
          </w:p>
        </w:tc>
        <w:tc>
          <w:tcPr>
            <w:tcW w:w="1134" w:type="dxa"/>
          </w:tcPr>
          <w:p w14:paraId="5FC23EDF" w14:textId="6740FB4F" w:rsidR="009C1CD1" w:rsidRPr="003A7E34" w:rsidRDefault="00D25615" w:rsidP="00791F09">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w:t>
            </w:r>
          </w:p>
        </w:tc>
      </w:tr>
      <w:tr w:rsidR="003A7E34" w:rsidRPr="003A7E34" w14:paraId="625574D2" w14:textId="77777777" w:rsidTr="1F603D79">
        <w:trPr>
          <w:trHeight w:val="70"/>
        </w:trPr>
        <w:tc>
          <w:tcPr>
            <w:tcW w:w="7196" w:type="dxa"/>
            <w:gridSpan w:val="4"/>
          </w:tcPr>
          <w:p w14:paraId="5DF54A19" w14:textId="4800EA5D" w:rsidR="009C1CD1" w:rsidRPr="003A7E34" w:rsidRDefault="009C1CD1" w:rsidP="00791F09">
            <w:pPr>
              <w:spacing w:before="0" w:after="0"/>
              <w:jc w:val="right"/>
              <w:rPr>
                <w:rFonts w:eastAsia="Times New Roman"/>
                <w:sz w:val="20"/>
                <w:szCs w:val="20"/>
                <w:lang w:val="en-US"/>
              </w:rPr>
            </w:pPr>
            <w:r w:rsidRPr="003A7E34">
              <w:rPr>
                <w:rFonts w:eastAsia="Times New Roman"/>
                <w:sz w:val="20"/>
                <w:szCs w:val="20"/>
                <w:lang w:val="en-US"/>
              </w:rPr>
              <w:t>Total adopted:</w:t>
            </w:r>
          </w:p>
        </w:tc>
        <w:tc>
          <w:tcPr>
            <w:tcW w:w="1417" w:type="dxa"/>
          </w:tcPr>
          <w:p w14:paraId="262891C7" w14:textId="10D50648" w:rsidR="009C1CD1" w:rsidRPr="003A7E34" w:rsidRDefault="00DB206C" w:rsidP="00791F09">
            <w:pPr>
              <w:spacing w:before="0" w:after="0"/>
              <w:rPr>
                <w:rFonts w:eastAsia="Times New Roman"/>
                <w:sz w:val="20"/>
                <w:szCs w:val="20"/>
                <w:lang w:val="en-US"/>
              </w:rPr>
            </w:pPr>
            <w:r w:rsidRPr="003A7E34">
              <w:rPr>
                <w:rFonts w:eastAsia="Times New Roman"/>
                <w:sz w:val="20"/>
                <w:szCs w:val="20"/>
                <w:lang w:val="en-US"/>
              </w:rPr>
              <w:t>1836</w:t>
            </w:r>
          </w:p>
        </w:tc>
        <w:tc>
          <w:tcPr>
            <w:tcW w:w="1134" w:type="dxa"/>
          </w:tcPr>
          <w:p w14:paraId="7D6D39F5" w14:textId="77777777" w:rsidR="009C1CD1" w:rsidRPr="003A7E34" w:rsidRDefault="009C1CD1" w:rsidP="00791F09">
            <w:pPr>
              <w:spacing w:before="0" w:after="0"/>
              <w:rPr>
                <w:rFonts w:eastAsia="Times New Roman"/>
                <w:sz w:val="20"/>
                <w:szCs w:val="20"/>
                <w:lang w:val="en-US"/>
              </w:rPr>
            </w:pPr>
          </w:p>
        </w:tc>
      </w:tr>
      <w:tr w:rsidR="003A7E34" w:rsidRPr="003A7E34" w14:paraId="7442A6E0" w14:textId="74B334D6" w:rsidTr="001A22B4">
        <w:trPr>
          <w:trHeight w:val="239"/>
        </w:trPr>
        <w:tc>
          <w:tcPr>
            <w:tcW w:w="9747" w:type="dxa"/>
            <w:gridSpan w:val="6"/>
          </w:tcPr>
          <w:p w14:paraId="19FEFE57" w14:textId="0237C11D" w:rsidR="009C1CD1" w:rsidRPr="003A7E34" w:rsidRDefault="009C1CD1" w:rsidP="00791F09">
            <w:pPr>
              <w:spacing w:before="0" w:after="0"/>
              <w:jc w:val="center"/>
              <w:rPr>
                <w:rFonts w:eastAsia="Times New Roman"/>
                <w:b/>
                <w:bCs/>
                <w:sz w:val="20"/>
                <w:szCs w:val="20"/>
                <w:lang w:val="en-US"/>
              </w:rPr>
            </w:pPr>
            <w:r w:rsidRPr="003A7E34">
              <w:rPr>
                <w:rFonts w:eastAsia="Times New Roman"/>
                <w:b/>
                <w:bCs/>
                <w:sz w:val="20"/>
                <w:szCs w:val="20"/>
                <w:lang w:val="en-US"/>
              </w:rPr>
              <w:t>Planned</w:t>
            </w:r>
            <w:r w:rsidR="004E5780" w:rsidRPr="003A7E34">
              <w:rPr>
                <w:rFonts w:eastAsia="Times New Roman"/>
                <w:b/>
                <w:bCs/>
                <w:sz w:val="20"/>
                <w:szCs w:val="20"/>
                <w:lang w:val="en-US"/>
              </w:rPr>
              <w:t xml:space="preserve">/ provisional </w:t>
            </w:r>
            <w:r w:rsidRPr="003A7E34">
              <w:rPr>
                <w:rFonts w:eastAsia="Times New Roman"/>
                <w:b/>
                <w:bCs/>
                <w:sz w:val="20"/>
                <w:szCs w:val="20"/>
                <w:lang w:val="en-US"/>
              </w:rPr>
              <w:t>measures</w:t>
            </w:r>
          </w:p>
        </w:tc>
      </w:tr>
      <w:tr w:rsidR="003A7E34" w:rsidRPr="003A7E34" w14:paraId="7233EA93" w14:textId="77777777" w:rsidTr="00EE237F">
        <w:trPr>
          <w:trHeight w:val="616"/>
        </w:trPr>
        <w:tc>
          <w:tcPr>
            <w:tcW w:w="1951" w:type="dxa"/>
          </w:tcPr>
          <w:p w14:paraId="3C08CBA6" w14:textId="67E3F4E0"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A5 Preparation of Good Agriculture practice (GAP) guidelines</w:t>
            </w:r>
          </w:p>
        </w:tc>
        <w:tc>
          <w:tcPr>
            <w:tcW w:w="1985" w:type="dxa"/>
          </w:tcPr>
          <w:p w14:paraId="71864784" w14:textId="77777777" w:rsidR="00D027C2" w:rsidRPr="003A7E34" w:rsidRDefault="00D027C2" w:rsidP="00D027C2">
            <w:pPr>
              <w:spacing w:before="0" w:after="0"/>
              <w:rPr>
                <w:rFonts w:eastAsia="Times New Roman"/>
                <w:sz w:val="20"/>
                <w:szCs w:val="20"/>
                <w:lang w:val="en-US"/>
              </w:rPr>
            </w:pPr>
            <w:r w:rsidRPr="003A7E34">
              <w:rPr>
                <w:rFonts w:eastAsia="Times New Roman"/>
                <w:sz w:val="20"/>
                <w:szCs w:val="20"/>
                <w:lang w:val="en-US"/>
              </w:rPr>
              <w:t xml:space="preserve">Increase farmers knowledge for the purpose of applying advanced agro technologies and farming solutions </w:t>
            </w:r>
            <w:r w:rsidRPr="003A7E34">
              <w:rPr>
                <w:rFonts w:eastAsia="Times New Roman"/>
                <w:sz w:val="20"/>
                <w:szCs w:val="20"/>
                <w:lang w:val="en-US"/>
              </w:rPr>
              <w:lastRenderedPageBreak/>
              <w:t>which helps to reduce GHG emissions</w:t>
            </w:r>
          </w:p>
          <w:p w14:paraId="387964EA" w14:textId="3E24B419" w:rsidR="009C1CD1" w:rsidRPr="003A7E34" w:rsidRDefault="009C1CD1" w:rsidP="00D027C2">
            <w:pPr>
              <w:spacing w:before="0" w:after="0"/>
              <w:rPr>
                <w:rFonts w:eastAsia="Times New Roman"/>
                <w:sz w:val="20"/>
                <w:szCs w:val="20"/>
                <w:lang w:val="en-US"/>
              </w:rPr>
            </w:pPr>
          </w:p>
        </w:tc>
        <w:tc>
          <w:tcPr>
            <w:tcW w:w="1417" w:type="dxa"/>
          </w:tcPr>
          <w:p w14:paraId="1DC85BA8" w14:textId="6B4983D0" w:rsidR="009C1CD1" w:rsidRPr="003A7E34" w:rsidRDefault="004E5780" w:rsidP="00791F09">
            <w:pPr>
              <w:spacing w:before="0" w:after="0"/>
              <w:jc w:val="center"/>
              <w:rPr>
                <w:rFonts w:eastAsia="Times New Roman"/>
                <w:sz w:val="20"/>
                <w:szCs w:val="20"/>
                <w:lang w:val="en-US"/>
              </w:rPr>
            </w:pPr>
            <w:r w:rsidRPr="003A7E34">
              <w:rPr>
                <w:rFonts w:eastAsia="Times New Roman"/>
                <w:sz w:val="20"/>
                <w:szCs w:val="20"/>
                <w:lang w:val="en-US"/>
              </w:rPr>
              <w:lastRenderedPageBreak/>
              <w:t>2021–2030</w:t>
            </w:r>
          </w:p>
        </w:tc>
        <w:tc>
          <w:tcPr>
            <w:tcW w:w="1843" w:type="dxa"/>
          </w:tcPr>
          <w:p w14:paraId="3600633E" w14:textId="36956ECC"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Ministry of Agriculture</w:t>
            </w:r>
          </w:p>
        </w:tc>
        <w:tc>
          <w:tcPr>
            <w:tcW w:w="1417" w:type="dxa"/>
          </w:tcPr>
          <w:p w14:paraId="24213509" w14:textId="0F6C0CC3" w:rsidR="009C1CD1" w:rsidRPr="003A7E34" w:rsidRDefault="00176A2D" w:rsidP="00791F09">
            <w:pPr>
              <w:spacing w:before="0" w:after="0"/>
              <w:rPr>
                <w:rFonts w:eastAsia="Times New Roman"/>
                <w:sz w:val="20"/>
                <w:szCs w:val="20"/>
                <w:lang w:val="en-US"/>
              </w:rPr>
            </w:pPr>
            <w:r w:rsidRPr="003A7E34">
              <w:rPr>
                <w:rFonts w:eastAsia="Times New Roman"/>
                <w:sz w:val="20"/>
                <w:szCs w:val="20"/>
                <w:lang w:val="en-US"/>
              </w:rPr>
              <w:t>-</w:t>
            </w:r>
          </w:p>
        </w:tc>
        <w:tc>
          <w:tcPr>
            <w:tcW w:w="1134" w:type="dxa"/>
          </w:tcPr>
          <w:p w14:paraId="28FC4D73" w14:textId="15070FFE" w:rsidR="009C1CD1" w:rsidRPr="003A7E34" w:rsidRDefault="004E5780" w:rsidP="00791F09">
            <w:pPr>
              <w:spacing w:before="0" w:after="0"/>
              <w:rPr>
                <w:rFonts w:eastAsia="Times New Roman"/>
                <w:sz w:val="20"/>
                <w:szCs w:val="20"/>
                <w:vertAlign w:val="superscript"/>
                <w:lang w:val="en-US"/>
              </w:rPr>
            </w:pPr>
            <w:r w:rsidRPr="003A7E34">
              <w:rPr>
                <w:rFonts w:eastAsia="Times New Roman"/>
                <w:sz w:val="20"/>
                <w:szCs w:val="20"/>
                <w:lang w:val="en-US"/>
              </w:rPr>
              <w:t>0.01</w:t>
            </w:r>
            <w:r w:rsidR="00932CCE" w:rsidRPr="003A7E34">
              <w:rPr>
                <w:rFonts w:eastAsia="Times New Roman"/>
                <w:sz w:val="20"/>
                <w:szCs w:val="20"/>
                <w:vertAlign w:val="superscript"/>
                <w:lang w:val="en-US"/>
              </w:rPr>
              <w:t>1</w:t>
            </w:r>
          </w:p>
        </w:tc>
      </w:tr>
      <w:tr w:rsidR="003A7E34" w:rsidRPr="003A7E34" w14:paraId="76F63063" w14:textId="77777777" w:rsidTr="00EE237F">
        <w:trPr>
          <w:trHeight w:val="785"/>
        </w:trPr>
        <w:tc>
          <w:tcPr>
            <w:tcW w:w="1951" w:type="dxa"/>
          </w:tcPr>
          <w:p w14:paraId="4CBAF347" w14:textId="6E14B7E1"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 xml:space="preserve">A6. </w:t>
            </w:r>
            <w:r w:rsidR="00095E26" w:rsidRPr="003A7E34">
              <w:rPr>
                <w:rFonts w:eastAsia="Times New Roman"/>
                <w:sz w:val="20"/>
                <w:szCs w:val="20"/>
                <w:lang w:val="en-US"/>
              </w:rPr>
              <w:t>Provide f</w:t>
            </w:r>
            <w:r w:rsidR="00D027C2" w:rsidRPr="003A7E34">
              <w:rPr>
                <w:rFonts w:eastAsia="Times New Roman"/>
                <w:sz w:val="20"/>
                <w:szCs w:val="20"/>
                <w:lang w:val="en-US"/>
              </w:rPr>
              <w:t xml:space="preserve">inancial support </w:t>
            </w:r>
            <w:r w:rsidR="00095E26" w:rsidRPr="003A7E34">
              <w:rPr>
                <w:rFonts w:eastAsia="Times New Roman"/>
                <w:sz w:val="20"/>
                <w:szCs w:val="20"/>
                <w:lang w:val="en-US"/>
              </w:rPr>
              <w:t>to</w:t>
            </w:r>
            <w:r w:rsidR="00D027C2" w:rsidRPr="003A7E34">
              <w:rPr>
                <w:rFonts w:eastAsia="Times New Roman"/>
                <w:sz w:val="20"/>
                <w:szCs w:val="20"/>
                <w:lang w:val="en-US"/>
              </w:rPr>
              <w:t xml:space="preserve"> farmers </w:t>
            </w:r>
            <w:r w:rsidR="00095E26" w:rsidRPr="003A7E34">
              <w:rPr>
                <w:rFonts w:eastAsia="Times New Roman"/>
                <w:sz w:val="20"/>
                <w:szCs w:val="20"/>
                <w:lang w:val="en-US"/>
              </w:rPr>
              <w:t>who apply</w:t>
            </w:r>
            <w:r w:rsidR="00D027C2" w:rsidRPr="003A7E34">
              <w:rPr>
                <w:rFonts w:eastAsia="Times New Roman"/>
                <w:sz w:val="20"/>
                <w:szCs w:val="20"/>
                <w:lang w:val="en-US"/>
              </w:rPr>
              <w:t xml:space="preserve"> environmentally friendly agro technologies.  </w:t>
            </w:r>
          </w:p>
        </w:tc>
        <w:tc>
          <w:tcPr>
            <w:tcW w:w="1985" w:type="dxa"/>
          </w:tcPr>
          <w:p w14:paraId="5025ED9C" w14:textId="77777777" w:rsidR="00D027C2" w:rsidRPr="003A7E34" w:rsidRDefault="00D027C2" w:rsidP="00D027C2">
            <w:pPr>
              <w:spacing w:before="0" w:after="0"/>
              <w:rPr>
                <w:rFonts w:eastAsia="Times New Roman"/>
                <w:sz w:val="20"/>
                <w:szCs w:val="20"/>
                <w:lang w:val="en-US"/>
              </w:rPr>
            </w:pPr>
            <w:r w:rsidRPr="003A7E34">
              <w:rPr>
                <w:rFonts w:eastAsia="Times New Roman"/>
                <w:sz w:val="20"/>
                <w:szCs w:val="20"/>
                <w:lang w:val="en-US"/>
              </w:rPr>
              <w:t>The objectives:</w:t>
            </w:r>
          </w:p>
          <w:p w14:paraId="5A19529C" w14:textId="74D3B811" w:rsidR="00D027C2" w:rsidRPr="003A7E34" w:rsidRDefault="00D027C2" w:rsidP="00D027C2">
            <w:pPr>
              <w:spacing w:before="0" w:after="0"/>
              <w:rPr>
                <w:rFonts w:eastAsia="Times New Roman"/>
                <w:sz w:val="20"/>
                <w:szCs w:val="20"/>
                <w:lang w:val="en-US"/>
              </w:rPr>
            </w:pPr>
            <w:r w:rsidRPr="003A7E34">
              <w:rPr>
                <w:rFonts w:eastAsia="Times New Roman"/>
                <w:sz w:val="20"/>
                <w:szCs w:val="20"/>
                <w:lang w:val="en-US"/>
              </w:rPr>
              <w:t>- to increase more effective fertilization of crops with mineral fertilizers (according to the actual needs of the plants and ensuring all the qualitative parameters of the soil)</w:t>
            </w:r>
          </w:p>
          <w:p w14:paraId="56FBA1CB" w14:textId="5EEDA5C0" w:rsidR="00D027C2" w:rsidRPr="003A7E34" w:rsidRDefault="00D027C2" w:rsidP="00D027C2">
            <w:pPr>
              <w:spacing w:before="0" w:after="0"/>
              <w:rPr>
                <w:rFonts w:eastAsia="Times New Roman"/>
                <w:sz w:val="20"/>
                <w:szCs w:val="20"/>
                <w:lang w:val="en-US"/>
              </w:rPr>
            </w:pPr>
            <w:r w:rsidRPr="003A7E34">
              <w:rPr>
                <w:rFonts w:eastAsia="Times New Roman"/>
                <w:sz w:val="20"/>
                <w:szCs w:val="20"/>
                <w:lang w:val="en-US"/>
              </w:rPr>
              <w:t>- application of environme</w:t>
            </w:r>
            <w:r w:rsidR="002A31F6" w:rsidRPr="003A7E34">
              <w:rPr>
                <w:rFonts w:eastAsia="Times New Roman"/>
                <w:sz w:val="20"/>
                <w:szCs w:val="20"/>
                <w:lang w:val="en-US"/>
              </w:rPr>
              <w:t>ntally friendly technologies (</w:t>
            </w:r>
            <w:r w:rsidRPr="003A7E34">
              <w:rPr>
                <w:rFonts w:eastAsia="Times New Roman"/>
                <w:sz w:val="20"/>
                <w:szCs w:val="20"/>
                <w:lang w:val="en-US"/>
              </w:rPr>
              <w:t>slurry acidification, slurry injection in to the soil durin</w:t>
            </w:r>
            <w:r w:rsidR="002A31F6" w:rsidRPr="003A7E34">
              <w:rPr>
                <w:rFonts w:eastAsia="Times New Roman"/>
                <w:sz w:val="20"/>
                <w:szCs w:val="20"/>
                <w:lang w:val="en-US"/>
              </w:rPr>
              <w:t>g fertilization, threatening of</w:t>
            </w:r>
            <w:r w:rsidRPr="003A7E34">
              <w:rPr>
                <w:rFonts w:eastAsia="Times New Roman"/>
                <w:sz w:val="20"/>
                <w:szCs w:val="20"/>
                <w:lang w:val="en-US"/>
              </w:rPr>
              <w:t xml:space="preserve"> biotechnological products (probiotics)).</w:t>
            </w:r>
          </w:p>
          <w:p w14:paraId="13F0E727" w14:textId="72BE700B" w:rsidR="009C1CD1" w:rsidRPr="003A7E34" w:rsidRDefault="009C1CD1" w:rsidP="0085444C">
            <w:pPr>
              <w:spacing w:before="0" w:after="0"/>
              <w:rPr>
                <w:rFonts w:eastAsia="Times New Roman"/>
                <w:sz w:val="20"/>
                <w:szCs w:val="20"/>
                <w:lang w:val="en-US"/>
              </w:rPr>
            </w:pPr>
          </w:p>
        </w:tc>
        <w:tc>
          <w:tcPr>
            <w:tcW w:w="1417" w:type="dxa"/>
          </w:tcPr>
          <w:p w14:paraId="636E6016" w14:textId="11D85243" w:rsidR="009C1CD1" w:rsidRPr="003A7E34" w:rsidRDefault="004E5780" w:rsidP="00791F09">
            <w:pPr>
              <w:spacing w:before="0" w:after="0"/>
              <w:jc w:val="center"/>
              <w:rPr>
                <w:rFonts w:eastAsia="Times New Roman"/>
                <w:sz w:val="20"/>
                <w:szCs w:val="20"/>
                <w:lang w:val="en-US"/>
              </w:rPr>
            </w:pPr>
            <w:r w:rsidRPr="003A7E34">
              <w:rPr>
                <w:rFonts w:eastAsia="Times New Roman"/>
                <w:sz w:val="20"/>
                <w:szCs w:val="20"/>
                <w:lang w:val="en-US"/>
              </w:rPr>
              <w:t>2021–2027</w:t>
            </w:r>
          </w:p>
        </w:tc>
        <w:tc>
          <w:tcPr>
            <w:tcW w:w="1843" w:type="dxa"/>
          </w:tcPr>
          <w:p w14:paraId="0EFFF3B3" w14:textId="01DBAC51"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Ministry of Agriculture</w:t>
            </w:r>
          </w:p>
        </w:tc>
        <w:tc>
          <w:tcPr>
            <w:tcW w:w="1417" w:type="dxa"/>
          </w:tcPr>
          <w:p w14:paraId="1BE09165" w14:textId="0E6316BE"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4</w:t>
            </w:r>
            <w:r w:rsidR="00DB206C" w:rsidRPr="003A7E34">
              <w:rPr>
                <w:rFonts w:eastAsia="Times New Roman"/>
                <w:sz w:val="20"/>
                <w:szCs w:val="20"/>
                <w:lang w:val="en-US"/>
              </w:rPr>
              <w:t>7</w:t>
            </w:r>
          </w:p>
        </w:tc>
        <w:tc>
          <w:tcPr>
            <w:tcW w:w="1134" w:type="dxa"/>
          </w:tcPr>
          <w:p w14:paraId="11369B72" w14:textId="42F5E515" w:rsidR="009C1CD1" w:rsidRPr="003A7E34" w:rsidRDefault="004E5780" w:rsidP="00791F09">
            <w:pPr>
              <w:spacing w:before="0" w:after="0"/>
              <w:rPr>
                <w:rFonts w:eastAsia="Times New Roman"/>
                <w:sz w:val="20"/>
                <w:szCs w:val="20"/>
                <w:vertAlign w:val="superscript"/>
                <w:lang w:val="en-US"/>
              </w:rPr>
            </w:pPr>
            <w:r w:rsidRPr="003A7E34">
              <w:rPr>
                <w:rFonts w:eastAsia="Times New Roman"/>
                <w:sz w:val="20"/>
                <w:szCs w:val="20"/>
                <w:lang w:val="en-US"/>
              </w:rPr>
              <w:t>50</w:t>
            </w:r>
            <w:r w:rsidR="00D25615" w:rsidRPr="003A7E34">
              <w:rPr>
                <w:rFonts w:eastAsia="Times New Roman"/>
                <w:sz w:val="20"/>
                <w:szCs w:val="20"/>
                <w:vertAlign w:val="superscript"/>
                <w:lang w:val="en-US"/>
              </w:rPr>
              <w:t>1</w:t>
            </w:r>
          </w:p>
        </w:tc>
      </w:tr>
      <w:tr w:rsidR="003A7E34" w:rsidRPr="003A7E34" w14:paraId="47C16E7D" w14:textId="77777777" w:rsidTr="00EE237F">
        <w:trPr>
          <w:trHeight w:val="529"/>
        </w:trPr>
        <w:tc>
          <w:tcPr>
            <w:tcW w:w="1951" w:type="dxa"/>
          </w:tcPr>
          <w:p w14:paraId="28D08153" w14:textId="0310FABB"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A7. To disseminate knowledge to farmers and provide advice on environmental and climate-friendly activities.</w:t>
            </w:r>
          </w:p>
        </w:tc>
        <w:tc>
          <w:tcPr>
            <w:tcW w:w="1985" w:type="dxa"/>
          </w:tcPr>
          <w:p w14:paraId="61FE0F50" w14:textId="489FD9BB" w:rsidR="009C1CD1" w:rsidRPr="003A7E34" w:rsidRDefault="002A31F6" w:rsidP="002A31F6">
            <w:pPr>
              <w:spacing w:before="0" w:after="0"/>
              <w:rPr>
                <w:rFonts w:eastAsia="Times New Roman"/>
                <w:sz w:val="20"/>
                <w:szCs w:val="20"/>
                <w:lang w:val="en-US"/>
              </w:rPr>
            </w:pPr>
            <w:r w:rsidRPr="003A7E34">
              <w:rPr>
                <w:rFonts w:eastAsia="Times New Roman"/>
                <w:sz w:val="20"/>
                <w:szCs w:val="20"/>
                <w:lang w:val="en-US"/>
              </w:rPr>
              <w:t>By the use of adviser services increase farmers knowledge for the purpose of applying advanced agro technologies and farming solutions which helps to reduce GHG emissions.</w:t>
            </w:r>
          </w:p>
        </w:tc>
        <w:tc>
          <w:tcPr>
            <w:tcW w:w="1417" w:type="dxa"/>
          </w:tcPr>
          <w:p w14:paraId="7625FBA9" w14:textId="39402382" w:rsidR="009C1CD1" w:rsidRPr="003A7E34" w:rsidRDefault="004E5780" w:rsidP="00791F09">
            <w:pPr>
              <w:spacing w:before="0" w:after="0"/>
              <w:jc w:val="center"/>
              <w:rPr>
                <w:rFonts w:eastAsia="Times New Roman"/>
                <w:sz w:val="20"/>
                <w:szCs w:val="20"/>
                <w:lang w:val="en-US"/>
              </w:rPr>
            </w:pPr>
            <w:r w:rsidRPr="003A7E34">
              <w:rPr>
                <w:rFonts w:eastAsia="Times New Roman"/>
                <w:sz w:val="20"/>
                <w:szCs w:val="20"/>
                <w:lang w:val="en-US"/>
              </w:rPr>
              <w:t>2021–2027</w:t>
            </w:r>
          </w:p>
        </w:tc>
        <w:tc>
          <w:tcPr>
            <w:tcW w:w="1843" w:type="dxa"/>
          </w:tcPr>
          <w:p w14:paraId="149E1358" w14:textId="6867EE18"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Ministry of Agriculture</w:t>
            </w:r>
          </w:p>
        </w:tc>
        <w:tc>
          <w:tcPr>
            <w:tcW w:w="1417" w:type="dxa"/>
          </w:tcPr>
          <w:p w14:paraId="6A9E58CF" w14:textId="1FA15420" w:rsidR="009C1CD1" w:rsidRPr="003A7E34" w:rsidRDefault="00DB206C" w:rsidP="00791F09">
            <w:pPr>
              <w:spacing w:before="0" w:after="0"/>
              <w:rPr>
                <w:rFonts w:eastAsia="Times New Roman"/>
                <w:sz w:val="20"/>
                <w:szCs w:val="20"/>
                <w:lang w:val="en-US"/>
              </w:rPr>
            </w:pPr>
            <w:r w:rsidRPr="003A7E34">
              <w:rPr>
                <w:rFonts w:eastAsia="Times New Roman"/>
                <w:sz w:val="20"/>
                <w:szCs w:val="20"/>
                <w:lang w:val="en-US"/>
              </w:rPr>
              <w:t>-</w:t>
            </w:r>
          </w:p>
        </w:tc>
        <w:tc>
          <w:tcPr>
            <w:tcW w:w="1134" w:type="dxa"/>
          </w:tcPr>
          <w:p w14:paraId="57C1FADA" w14:textId="666B9860" w:rsidR="009C1CD1" w:rsidRPr="003A7E34" w:rsidRDefault="004E5780" w:rsidP="00791F09">
            <w:pPr>
              <w:spacing w:before="0" w:after="0"/>
              <w:rPr>
                <w:rFonts w:eastAsia="Times New Roman"/>
                <w:sz w:val="20"/>
                <w:szCs w:val="20"/>
                <w:vertAlign w:val="superscript"/>
                <w:lang w:val="en-US"/>
              </w:rPr>
            </w:pPr>
            <w:r w:rsidRPr="003A7E34">
              <w:rPr>
                <w:rFonts w:eastAsia="Times New Roman"/>
                <w:sz w:val="20"/>
                <w:szCs w:val="20"/>
                <w:lang w:val="en-US"/>
              </w:rPr>
              <w:t>4</w:t>
            </w:r>
            <w:r w:rsidR="00D25615" w:rsidRPr="003A7E34">
              <w:rPr>
                <w:rFonts w:eastAsia="Times New Roman"/>
                <w:sz w:val="20"/>
                <w:szCs w:val="20"/>
                <w:vertAlign w:val="superscript"/>
                <w:lang w:val="en-US"/>
              </w:rPr>
              <w:t>1</w:t>
            </w:r>
          </w:p>
        </w:tc>
      </w:tr>
      <w:tr w:rsidR="003A7E34" w:rsidRPr="003A7E34" w14:paraId="579F49B1" w14:textId="77777777" w:rsidTr="00EE237F">
        <w:trPr>
          <w:trHeight w:val="529"/>
        </w:trPr>
        <w:tc>
          <w:tcPr>
            <w:tcW w:w="1951" w:type="dxa"/>
          </w:tcPr>
          <w:p w14:paraId="5DAB4D35" w14:textId="450A0CC5"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A8. Provide investment support to farmers who invest into eco-efficient equipment and technologies</w:t>
            </w:r>
          </w:p>
        </w:tc>
        <w:tc>
          <w:tcPr>
            <w:tcW w:w="1985" w:type="dxa"/>
          </w:tcPr>
          <w:p w14:paraId="3EA3BDBA" w14:textId="6E2F23D8" w:rsidR="002A31F6" w:rsidRPr="003A7E34" w:rsidRDefault="002A31F6" w:rsidP="00791F09">
            <w:pPr>
              <w:spacing w:before="0" w:after="0"/>
              <w:rPr>
                <w:rFonts w:eastAsia="Times New Roman"/>
                <w:sz w:val="20"/>
                <w:szCs w:val="20"/>
                <w:lang w:val="en-US"/>
              </w:rPr>
            </w:pPr>
            <w:r w:rsidRPr="003A7E34">
              <w:rPr>
                <w:rFonts w:eastAsia="Times New Roman"/>
                <w:sz w:val="20"/>
                <w:szCs w:val="20"/>
                <w:lang w:val="en-US"/>
              </w:rPr>
              <w:t>Allow farms to obtain technology (biogas instalments, slurry direct injection equipment and et</w:t>
            </w:r>
            <w:r w:rsidR="00034AAC" w:rsidRPr="003A7E34">
              <w:rPr>
                <w:rFonts w:eastAsia="Times New Roman"/>
                <w:sz w:val="20"/>
                <w:szCs w:val="20"/>
                <w:lang w:val="en-US"/>
              </w:rPr>
              <w:t>c</w:t>
            </w:r>
            <w:r w:rsidRPr="003A7E34">
              <w:rPr>
                <w:rFonts w:eastAsia="Times New Roman"/>
                <w:sz w:val="20"/>
                <w:szCs w:val="20"/>
                <w:lang w:val="en-US"/>
              </w:rPr>
              <w:t>.) for reducing GHG emissions.</w:t>
            </w:r>
          </w:p>
          <w:p w14:paraId="0FBDE537" w14:textId="0B33E5FE" w:rsidR="009C1CD1" w:rsidRPr="003A7E34" w:rsidRDefault="009C1CD1" w:rsidP="00791F09">
            <w:pPr>
              <w:spacing w:before="0" w:after="0"/>
              <w:rPr>
                <w:rFonts w:eastAsia="Times New Roman"/>
                <w:sz w:val="20"/>
                <w:szCs w:val="20"/>
                <w:lang w:val="en-US"/>
              </w:rPr>
            </w:pPr>
          </w:p>
        </w:tc>
        <w:tc>
          <w:tcPr>
            <w:tcW w:w="1417" w:type="dxa"/>
          </w:tcPr>
          <w:p w14:paraId="1FB5A56E" w14:textId="21BC79AF" w:rsidR="009C1CD1" w:rsidRPr="003A7E34" w:rsidRDefault="004E5780" w:rsidP="00791F09">
            <w:pPr>
              <w:tabs>
                <w:tab w:val="left" w:pos="780"/>
              </w:tabs>
              <w:spacing w:before="0" w:after="0"/>
              <w:jc w:val="center"/>
              <w:rPr>
                <w:rFonts w:eastAsia="Times New Roman"/>
                <w:sz w:val="20"/>
                <w:szCs w:val="20"/>
                <w:lang w:val="en-US"/>
              </w:rPr>
            </w:pPr>
            <w:r w:rsidRPr="003A7E34">
              <w:rPr>
                <w:rFonts w:eastAsia="Times New Roman"/>
                <w:sz w:val="20"/>
                <w:szCs w:val="20"/>
                <w:lang w:val="en-US"/>
              </w:rPr>
              <w:t>2021–2027</w:t>
            </w:r>
          </w:p>
        </w:tc>
        <w:tc>
          <w:tcPr>
            <w:tcW w:w="1843" w:type="dxa"/>
          </w:tcPr>
          <w:p w14:paraId="245F7627" w14:textId="6D7E41F7" w:rsidR="009C1CD1" w:rsidRPr="003A7E34" w:rsidRDefault="009C1CD1" w:rsidP="00791F09">
            <w:pPr>
              <w:tabs>
                <w:tab w:val="left" w:pos="780"/>
              </w:tabs>
              <w:spacing w:before="0" w:after="0"/>
              <w:jc w:val="center"/>
              <w:rPr>
                <w:rFonts w:eastAsia="Times New Roman"/>
                <w:sz w:val="20"/>
                <w:szCs w:val="20"/>
                <w:lang w:val="en-US"/>
              </w:rPr>
            </w:pPr>
            <w:r w:rsidRPr="003A7E34">
              <w:rPr>
                <w:rFonts w:eastAsia="Times New Roman"/>
                <w:sz w:val="20"/>
                <w:szCs w:val="20"/>
                <w:lang w:val="en-US"/>
              </w:rPr>
              <w:t>Ministry of Agriculture</w:t>
            </w:r>
          </w:p>
        </w:tc>
        <w:tc>
          <w:tcPr>
            <w:tcW w:w="1417" w:type="dxa"/>
          </w:tcPr>
          <w:p w14:paraId="030F253C" w14:textId="4EF9D625" w:rsidR="009C1CD1" w:rsidRPr="003A7E34" w:rsidRDefault="00DB206C" w:rsidP="00791F09">
            <w:pPr>
              <w:tabs>
                <w:tab w:val="left" w:pos="780"/>
              </w:tabs>
              <w:spacing w:before="0" w:after="0"/>
              <w:jc w:val="center"/>
              <w:rPr>
                <w:rFonts w:eastAsia="Times New Roman"/>
                <w:sz w:val="20"/>
                <w:szCs w:val="20"/>
                <w:lang w:val="en-US"/>
              </w:rPr>
            </w:pPr>
            <w:r w:rsidRPr="003A7E34">
              <w:rPr>
                <w:rFonts w:eastAsia="Times New Roman"/>
                <w:sz w:val="20"/>
                <w:szCs w:val="20"/>
                <w:lang w:val="en-US"/>
              </w:rPr>
              <w:t>420</w:t>
            </w:r>
          </w:p>
        </w:tc>
        <w:tc>
          <w:tcPr>
            <w:tcW w:w="1134" w:type="dxa"/>
          </w:tcPr>
          <w:p w14:paraId="77140F63" w14:textId="2D73D85B" w:rsidR="009C1CD1" w:rsidRPr="003A7E34" w:rsidRDefault="004E5780" w:rsidP="00791F09">
            <w:pPr>
              <w:spacing w:before="0" w:after="0"/>
              <w:rPr>
                <w:rFonts w:eastAsia="Times New Roman"/>
                <w:sz w:val="20"/>
                <w:szCs w:val="20"/>
                <w:lang w:val="en-US"/>
              </w:rPr>
            </w:pPr>
            <w:r w:rsidRPr="003A7E34">
              <w:rPr>
                <w:rFonts w:eastAsia="Times New Roman"/>
                <w:sz w:val="20"/>
                <w:szCs w:val="20"/>
                <w:lang w:val="en-US"/>
              </w:rPr>
              <w:t>100</w:t>
            </w:r>
            <w:r w:rsidR="00D25615" w:rsidRPr="003A7E34">
              <w:rPr>
                <w:rFonts w:eastAsia="Times New Roman"/>
                <w:sz w:val="20"/>
                <w:szCs w:val="20"/>
                <w:vertAlign w:val="superscript"/>
                <w:lang w:val="en-US"/>
              </w:rPr>
              <w:t>1</w:t>
            </w:r>
          </w:p>
        </w:tc>
      </w:tr>
      <w:tr w:rsidR="003A7E34" w:rsidRPr="003A7E34" w14:paraId="02D58913" w14:textId="77777777" w:rsidTr="00EE237F">
        <w:trPr>
          <w:trHeight w:val="820"/>
        </w:trPr>
        <w:tc>
          <w:tcPr>
            <w:tcW w:w="1951" w:type="dxa"/>
          </w:tcPr>
          <w:p w14:paraId="14DAFE52" w14:textId="57A9784C" w:rsidR="009C1CD1" w:rsidRPr="003A7E34" w:rsidRDefault="009C1CD1" w:rsidP="00EE4D88">
            <w:pPr>
              <w:spacing w:before="0" w:after="0"/>
              <w:rPr>
                <w:rFonts w:eastAsia="Times New Roman"/>
                <w:sz w:val="20"/>
                <w:szCs w:val="20"/>
                <w:lang w:val="en-US"/>
              </w:rPr>
            </w:pPr>
            <w:r w:rsidRPr="003A7E34">
              <w:rPr>
                <w:rFonts w:eastAsia="Times New Roman"/>
                <w:sz w:val="20"/>
                <w:szCs w:val="20"/>
                <w:lang w:val="en-US"/>
              </w:rPr>
              <w:t xml:space="preserve">A9. Provide compensatory support to farms on </w:t>
            </w:r>
            <w:r w:rsidR="00EE4D88" w:rsidRPr="003A7E34">
              <w:rPr>
                <w:rFonts w:eastAsia="Times New Roman"/>
                <w:sz w:val="20"/>
                <w:szCs w:val="20"/>
                <w:lang w:val="en-US"/>
              </w:rPr>
              <w:t xml:space="preserve">an </w:t>
            </w:r>
            <w:r w:rsidRPr="003A7E34">
              <w:rPr>
                <w:rFonts w:eastAsia="Times New Roman"/>
                <w:sz w:val="20"/>
                <w:szCs w:val="20"/>
                <w:lang w:val="en-US"/>
              </w:rPr>
              <w:t xml:space="preserve">annual basis </w:t>
            </w:r>
            <w:r w:rsidR="002A31F6" w:rsidRPr="003A7E34">
              <w:rPr>
                <w:rFonts w:eastAsia="Times New Roman"/>
                <w:sz w:val="20"/>
                <w:szCs w:val="20"/>
                <w:lang w:val="en-US"/>
              </w:rPr>
              <w:t xml:space="preserve">(new ECO scheme) </w:t>
            </w:r>
            <w:r w:rsidRPr="003A7E34">
              <w:rPr>
                <w:rFonts w:eastAsia="Times New Roman"/>
                <w:sz w:val="20"/>
                <w:szCs w:val="20"/>
                <w:lang w:val="en-US"/>
              </w:rPr>
              <w:t xml:space="preserve">for </w:t>
            </w:r>
            <w:r w:rsidR="00EE4D88" w:rsidRPr="003A7E34">
              <w:rPr>
                <w:rFonts w:eastAsia="Times New Roman"/>
                <w:sz w:val="20"/>
                <w:szCs w:val="20"/>
                <w:lang w:val="en-US"/>
              </w:rPr>
              <w:t xml:space="preserve">favorable activities related with the mitigation of climate </w:t>
            </w:r>
            <w:r w:rsidR="00EE4D88" w:rsidRPr="003A7E34">
              <w:rPr>
                <w:rFonts w:eastAsia="Times New Roman"/>
                <w:sz w:val="20"/>
                <w:szCs w:val="20"/>
                <w:lang w:val="en-US"/>
              </w:rPr>
              <w:lastRenderedPageBreak/>
              <w:t xml:space="preserve">change. </w:t>
            </w:r>
          </w:p>
        </w:tc>
        <w:tc>
          <w:tcPr>
            <w:tcW w:w="1985" w:type="dxa"/>
          </w:tcPr>
          <w:p w14:paraId="51420FE6" w14:textId="77777777" w:rsidR="002A31F6" w:rsidRPr="003A7E34" w:rsidRDefault="002A31F6" w:rsidP="00791F09">
            <w:pPr>
              <w:spacing w:before="0" w:after="0"/>
              <w:rPr>
                <w:rFonts w:eastAsia="Times New Roman"/>
                <w:sz w:val="20"/>
                <w:szCs w:val="20"/>
                <w:lang w:val="en-US"/>
              </w:rPr>
            </w:pPr>
            <w:r w:rsidRPr="003A7E34">
              <w:rPr>
                <w:rFonts w:eastAsia="Times New Roman"/>
                <w:sz w:val="20"/>
                <w:szCs w:val="20"/>
                <w:lang w:val="en-US"/>
              </w:rPr>
              <w:lastRenderedPageBreak/>
              <w:t>Increase the areas where environmentally friendly actions are being implemented.</w:t>
            </w:r>
          </w:p>
          <w:p w14:paraId="43EA0C5F" w14:textId="77777777" w:rsidR="002A31F6" w:rsidRPr="003A7E34" w:rsidRDefault="002A31F6" w:rsidP="00791F09">
            <w:pPr>
              <w:spacing w:before="0" w:after="0"/>
              <w:rPr>
                <w:rFonts w:eastAsia="Times New Roman"/>
                <w:sz w:val="20"/>
                <w:szCs w:val="20"/>
                <w:lang w:val="en-US"/>
              </w:rPr>
            </w:pPr>
          </w:p>
          <w:p w14:paraId="305B3C4C" w14:textId="7CC7C0AC" w:rsidR="009C1CD1" w:rsidRPr="003A7E34" w:rsidRDefault="009C1CD1" w:rsidP="00EE4D88">
            <w:pPr>
              <w:spacing w:before="0" w:after="0"/>
              <w:rPr>
                <w:rFonts w:eastAsia="Times New Roman"/>
                <w:sz w:val="20"/>
                <w:szCs w:val="20"/>
                <w:lang w:val="en-US"/>
              </w:rPr>
            </w:pPr>
          </w:p>
        </w:tc>
        <w:tc>
          <w:tcPr>
            <w:tcW w:w="1417" w:type="dxa"/>
          </w:tcPr>
          <w:p w14:paraId="25BBA52A" w14:textId="5694EEDD" w:rsidR="009C1CD1" w:rsidRPr="003A7E34" w:rsidRDefault="004E5780" w:rsidP="00791F09">
            <w:pPr>
              <w:spacing w:before="0" w:after="0"/>
              <w:jc w:val="center"/>
              <w:rPr>
                <w:rFonts w:eastAsia="Times New Roman"/>
                <w:sz w:val="20"/>
                <w:szCs w:val="20"/>
                <w:lang w:val="en-US"/>
              </w:rPr>
            </w:pPr>
            <w:r w:rsidRPr="003A7E34">
              <w:rPr>
                <w:rFonts w:eastAsia="Times New Roman"/>
                <w:sz w:val="20"/>
                <w:szCs w:val="20"/>
                <w:lang w:val="en-US"/>
              </w:rPr>
              <w:t>2021–2027</w:t>
            </w:r>
          </w:p>
        </w:tc>
        <w:tc>
          <w:tcPr>
            <w:tcW w:w="1843" w:type="dxa"/>
          </w:tcPr>
          <w:p w14:paraId="68478118" w14:textId="679A4E53" w:rsidR="009C1CD1" w:rsidRPr="003A7E34" w:rsidRDefault="009C1CD1" w:rsidP="00791F09">
            <w:pPr>
              <w:spacing w:before="0" w:after="0"/>
              <w:jc w:val="center"/>
              <w:rPr>
                <w:rFonts w:eastAsia="Times New Roman"/>
                <w:sz w:val="20"/>
                <w:szCs w:val="20"/>
                <w:lang w:val="en-US"/>
              </w:rPr>
            </w:pPr>
            <w:r w:rsidRPr="003A7E34">
              <w:rPr>
                <w:rFonts w:eastAsia="Times New Roman"/>
                <w:sz w:val="20"/>
                <w:szCs w:val="20"/>
                <w:lang w:val="en-US"/>
              </w:rPr>
              <w:t>Ministry of Agriculture</w:t>
            </w:r>
          </w:p>
        </w:tc>
        <w:tc>
          <w:tcPr>
            <w:tcW w:w="1417" w:type="dxa"/>
          </w:tcPr>
          <w:p w14:paraId="37250567" w14:textId="61992AB2" w:rsidR="009C1CD1" w:rsidRPr="003A7E34" w:rsidRDefault="00DB206C" w:rsidP="00791F09">
            <w:pPr>
              <w:spacing w:before="0" w:after="0"/>
              <w:jc w:val="center"/>
              <w:rPr>
                <w:rFonts w:eastAsia="Times New Roman"/>
                <w:sz w:val="20"/>
                <w:szCs w:val="20"/>
                <w:lang w:val="en-US"/>
              </w:rPr>
            </w:pPr>
            <w:r w:rsidRPr="003A7E34">
              <w:rPr>
                <w:rFonts w:eastAsia="Times New Roman"/>
                <w:sz w:val="20"/>
                <w:szCs w:val="20"/>
                <w:lang w:val="en-US"/>
              </w:rPr>
              <w:t>399</w:t>
            </w:r>
          </w:p>
        </w:tc>
        <w:tc>
          <w:tcPr>
            <w:tcW w:w="1134" w:type="dxa"/>
          </w:tcPr>
          <w:p w14:paraId="224D196F" w14:textId="31F24665" w:rsidR="009C1CD1" w:rsidRPr="003A7E34" w:rsidRDefault="004E5780" w:rsidP="00791F09">
            <w:pPr>
              <w:spacing w:before="0" w:after="0"/>
              <w:rPr>
                <w:rFonts w:eastAsia="Times New Roman"/>
                <w:sz w:val="20"/>
                <w:szCs w:val="20"/>
                <w:vertAlign w:val="superscript"/>
                <w:lang w:val="en-US"/>
              </w:rPr>
            </w:pPr>
            <w:r w:rsidRPr="003A7E34">
              <w:rPr>
                <w:rFonts w:eastAsia="Times New Roman"/>
                <w:sz w:val="20"/>
                <w:szCs w:val="20"/>
                <w:lang w:val="en-US"/>
              </w:rPr>
              <w:t>100</w:t>
            </w:r>
            <w:r w:rsidR="00D25615" w:rsidRPr="003A7E34">
              <w:rPr>
                <w:rFonts w:eastAsia="Times New Roman"/>
                <w:sz w:val="20"/>
                <w:szCs w:val="20"/>
                <w:vertAlign w:val="superscript"/>
                <w:lang w:val="en-US"/>
              </w:rPr>
              <w:t>1</w:t>
            </w:r>
          </w:p>
        </w:tc>
      </w:tr>
      <w:tr w:rsidR="003A7E34" w:rsidRPr="003A7E34" w14:paraId="5B86F36D" w14:textId="77777777" w:rsidTr="00EE237F">
        <w:trPr>
          <w:trHeight w:val="341"/>
        </w:trPr>
        <w:tc>
          <w:tcPr>
            <w:tcW w:w="1951" w:type="dxa"/>
          </w:tcPr>
          <w:p w14:paraId="54F857E5" w14:textId="647653D6" w:rsidR="009C1CD1" w:rsidRPr="003A7E34" w:rsidRDefault="009C1CD1" w:rsidP="002A31F6">
            <w:pPr>
              <w:spacing w:before="0" w:after="0"/>
              <w:rPr>
                <w:rFonts w:eastAsia="Times New Roman"/>
                <w:sz w:val="20"/>
                <w:szCs w:val="20"/>
                <w:lang w:val="en-US"/>
              </w:rPr>
            </w:pPr>
            <w:r w:rsidRPr="003A7E34">
              <w:rPr>
                <w:rFonts w:eastAsia="Times New Roman"/>
                <w:sz w:val="20"/>
                <w:szCs w:val="20"/>
                <w:lang w:val="en-US"/>
              </w:rPr>
              <w:t xml:space="preserve">A10. Development </w:t>
            </w:r>
            <w:r w:rsidR="00FD4D68" w:rsidRPr="003A7E34">
              <w:rPr>
                <w:rFonts w:eastAsia="Times New Roman"/>
                <w:sz w:val="20"/>
                <w:szCs w:val="20"/>
                <w:lang w:val="en-US"/>
              </w:rPr>
              <w:t>of organic</w:t>
            </w:r>
            <w:r w:rsidR="002A31F6" w:rsidRPr="003A7E34">
              <w:rPr>
                <w:rFonts w:eastAsia="Times New Roman"/>
                <w:sz w:val="20"/>
                <w:szCs w:val="20"/>
                <w:lang w:val="en-US"/>
              </w:rPr>
              <w:t xml:space="preserve"> farming</w:t>
            </w:r>
          </w:p>
        </w:tc>
        <w:tc>
          <w:tcPr>
            <w:tcW w:w="1985" w:type="dxa"/>
          </w:tcPr>
          <w:p w14:paraId="504684A1" w14:textId="25A32C73" w:rsidR="002A31F6" w:rsidRPr="003A7E34" w:rsidRDefault="002A31F6" w:rsidP="002A31F6">
            <w:pPr>
              <w:spacing w:before="0" w:after="0"/>
              <w:rPr>
                <w:rFonts w:eastAsia="Times New Roman"/>
                <w:sz w:val="20"/>
                <w:szCs w:val="20"/>
                <w:lang w:val="en-US"/>
              </w:rPr>
            </w:pPr>
            <w:r w:rsidRPr="003A7E34">
              <w:rPr>
                <w:rFonts w:eastAsia="Times New Roman"/>
                <w:sz w:val="20"/>
                <w:szCs w:val="20"/>
                <w:lang w:val="en-US"/>
              </w:rPr>
              <w:t xml:space="preserve">Increase the areas under organic farming activity. </w:t>
            </w:r>
          </w:p>
          <w:p w14:paraId="5650DCA9" w14:textId="09DF1E38" w:rsidR="009C1CD1" w:rsidRPr="003A7E34" w:rsidRDefault="009C1CD1" w:rsidP="17C4DDD5">
            <w:pPr>
              <w:spacing w:before="0" w:after="0"/>
              <w:rPr>
                <w:rFonts w:eastAsia="Times New Roman"/>
                <w:sz w:val="20"/>
                <w:szCs w:val="20"/>
                <w:lang w:val="en-US"/>
              </w:rPr>
            </w:pPr>
          </w:p>
        </w:tc>
        <w:tc>
          <w:tcPr>
            <w:tcW w:w="1417" w:type="dxa"/>
          </w:tcPr>
          <w:p w14:paraId="03FB2B88" w14:textId="78606086" w:rsidR="009C1CD1" w:rsidRPr="003A7E34" w:rsidRDefault="004E5780" w:rsidP="00791F09">
            <w:pPr>
              <w:spacing w:before="0" w:after="0"/>
              <w:jc w:val="center"/>
              <w:rPr>
                <w:rFonts w:eastAsia="Times New Roman"/>
                <w:sz w:val="20"/>
                <w:szCs w:val="20"/>
                <w:lang w:val="en-US"/>
              </w:rPr>
            </w:pPr>
            <w:r w:rsidRPr="003A7E34">
              <w:rPr>
                <w:rFonts w:eastAsia="Times New Roman"/>
                <w:sz w:val="20"/>
                <w:szCs w:val="20"/>
                <w:lang w:val="en-US"/>
              </w:rPr>
              <w:t>2021–2027</w:t>
            </w:r>
          </w:p>
        </w:tc>
        <w:tc>
          <w:tcPr>
            <w:tcW w:w="1843" w:type="dxa"/>
          </w:tcPr>
          <w:p w14:paraId="48EDF7B2" w14:textId="51C1698D" w:rsidR="009C1CD1" w:rsidRPr="003A7E34" w:rsidRDefault="009C1CD1" w:rsidP="00791F09">
            <w:pPr>
              <w:spacing w:before="0" w:after="0"/>
              <w:jc w:val="center"/>
              <w:rPr>
                <w:rFonts w:eastAsia="Times New Roman"/>
                <w:sz w:val="20"/>
                <w:szCs w:val="20"/>
                <w:lang w:val="en-US"/>
              </w:rPr>
            </w:pPr>
            <w:r w:rsidRPr="003A7E34">
              <w:rPr>
                <w:rFonts w:eastAsia="Times New Roman"/>
                <w:sz w:val="20"/>
                <w:szCs w:val="20"/>
                <w:lang w:val="en-US"/>
              </w:rPr>
              <w:t>Ministry of Agriculture</w:t>
            </w:r>
          </w:p>
        </w:tc>
        <w:tc>
          <w:tcPr>
            <w:tcW w:w="1417" w:type="dxa"/>
          </w:tcPr>
          <w:p w14:paraId="772E2286" w14:textId="4C07E606" w:rsidR="009C1CD1" w:rsidRPr="003A7E34" w:rsidRDefault="009C1CD1" w:rsidP="00791F09">
            <w:pPr>
              <w:spacing w:before="0" w:after="0"/>
              <w:jc w:val="center"/>
              <w:rPr>
                <w:rFonts w:eastAsia="Times New Roman"/>
                <w:sz w:val="20"/>
                <w:szCs w:val="20"/>
                <w:lang w:val="en-US"/>
              </w:rPr>
            </w:pPr>
            <w:r w:rsidRPr="003A7E34">
              <w:rPr>
                <w:rFonts w:eastAsia="Times New Roman"/>
                <w:sz w:val="20"/>
                <w:szCs w:val="20"/>
                <w:lang w:val="en-US"/>
              </w:rPr>
              <w:t>436</w:t>
            </w:r>
          </w:p>
        </w:tc>
        <w:tc>
          <w:tcPr>
            <w:tcW w:w="1134" w:type="dxa"/>
          </w:tcPr>
          <w:p w14:paraId="3FEF546F" w14:textId="32CC734B" w:rsidR="009C1CD1" w:rsidRPr="003A7E34" w:rsidRDefault="004E5780" w:rsidP="00791F09">
            <w:pPr>
              <w:spacing w:before="0" w:after="0"/>
              <w:rPr>
                <w:rFonts w:eastAsia="Times New Roman"/>
                <w:sz w:val="20"/>
                <w:szCs w:val="20"/>
                <w:lang w:val="en-US"/>
              </w:rPr>
            </w:pPr>
            <w:r w:rsidRPr="003A7E34">
              <w:rPr>
                <w:rFonts w:eastAsia="Times New Roman"/>
                <w:sz w:val="20"/>
                <w:szCs w:val="20"/>
                <w:lang w:val="en-US"/>
              </w:rPr>
              <w:t>230</w:t>
            </w:r>
            <w:r w:rsidR="00D25615" w:rsidRPr="003A7E34">
              <w:rPr>
                <w:rFonts w:eastAsia="Times New Roman"/>
                <w:sz w:val="20"/>
                <w:szCs w:val="20"/>
                <w:vertAlign w:val="superscript"/>
                <w:lang w:val="en-US"/>
              </w:rPr>
              <w:t>1</w:t>
            </w:r>
          </w:p>
        </w:tc>
      </w:tr>
      <w:tr w:rsidR="003A7E34" w:rsidRPr="003A7E34" w14:paraId="177AD033" w14:textId="77777777" w:rsidTr="00EE237F">
        <w:trPr>
          <w:trHeight w:val="1127"/>
        </w:trPr>
        <w:tc>
          <w:tcPr>
            <w:tcW w:w="1951" w:type="dxa"/>
          </w:tcPr>
          <w:p w14:paraId="602ED7AA" w14:textId="695F016D"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A11. Modification of compulsory requirements for manure and slurry</w:t>
            </w:r>
            <w:r w:rsidR="002A31F6" w:rsidRPr="003A7E34">
              <w:rPr>
                <w:rFonts w:eastAsia="Times New Roman"/>
                <w:sz w:val="20"/>
                <w:szCs w:val="20"/>
                <w:lang w:val="en-US"/>
              </w:rPr>
              <w:t xml:space="preserve"> application.</w:t>
            </w:r>
          </w:p>
        </w:tc>
        <w:tc>
          <w:tcPr>
            <w:tcW w:w="1985" w:type="dxa"/>
          </w:tcPr>
          <w:p w14:paraId="02608CCF" w14:textId="5E3CB6F5" w:rsidR="002A31F6" w:rsidRPr="003A7E34" w:rsidRDefault="002A31F6" w:rsidP="00791F09">
            <w:pPr>
              <w:spacing w:before="0" w:after="0"/>
              <w:rPr>
                <w:rFonts w:eastAsia="Times New Roman"/>
                <w:sz w:val="20"/>
                <w:szCs w:val="20"/>
                <w:lang w:val="en-US"/>
              </w:rPr>
            </w:pPr>
            <w:r w:rsidRPr="003A7E34">
              <w:rPr>
                <w:rFonts w:eastAsia="Times New Roman"/>
                <w:sz w:val="20"/>
                <w:szCs w:val="20"/>
                <w:lang w:val="en-US"/>
              </w:rPr>
              <w:t>Modify requirements of manure and slurry application in order   to reduce GHG emissions from manure when manure is spread out in fields.</w:t>
            </w:r>
          </w:p>
          <w:p w14:paraId="00148E5F" w14:textId="01834B3C" w:rsidR="009C1CD1" w:rsidRPr="003A7E34" w:rsidRDefault="009C1CD1" w:rsidP="00EE4D88">
            <w:pPr>
              <w:spacing w:before="0" w:after="0"/>
              <w:rPr>
                <w:rFonts w:eastAsia="Times New Roman"/>
                <w:sz w:val="20"/>
                <w:szCs w:val="20"/>
                <w:lang w:val="en-US"/>
              </w:rPr>
            </w:pPr>
          </w:p>
        </w:tc>
        <w:tc>
          <w:tcPr>
            <w:tcW w:w="1417" w:type="dxa"/>
          </w:tcPr>
          <w:p w14:paraId="6A60A337" w14:textId="6F664301" w:rsidR="009C1CD1" w:rsidRPr="003A7E34" w:rsidRDefault="004E5780" w:rsidP="00791F09">
            <w:pPr>
              <w:spacing w:before="0" w:after="0"/>
              <w:jc w:val="center"/>
              <w:rPr>
                <w:rFonts w:eastAsia="Times New Roman"/>
                <w:sz w:val="20"/>
                <w:szCs w:val="20"/>
                <w:lang w:val="en-US"/>
              </w:rPr>
            </w:pPr>
            <w:r w:rsidRPr="003A7E34">
              <w:rPr>
                <w:rFonts w:eastAsia="Times New Roman"/>
                <w:sz w:val="20"/>
                <w:szCs w:val="20"/>
                <w:lang w:val="en-US"/>
              </w:rPr>
              <w:t>2019–2030</w:t>
            </w:r>
          </w:p>
        </w:tc>
        <w:tc>
          <w:tcPr>
            <w:tcW w:w="1843" w:type="dxa"/>
          </w:tcPr>
          <w:p w14:paraId="7BBEC710" w14:textId="40ED4AF0" w:rsidR="009C1CD1" w:rsidRPr="003A7E34" w:rsidRDefault="009C1CD1" w:rsidP="00791F09">
            <w:pPr>
              <w:spacing w:before="0" w:after="0"/>
              <w:jc w:val="center"/>
              <w:rPr>
                <w:rFonts w:eastAsia="Times New Roman"/>
                <w:sz w:val="20"/>
                <w:szCs w:val="20"/>
                <w:lang w:val="en-US"/>
              </w:rPr>
            </w:pPr>
            <w:r w:rsidRPr="003A7E34">
              <w:rPr>
                <w:rFonts w:eastAsia="Times New Roman"/>
                <w:sz w:val="20"/>
                <w:szCs w:val="20"/>
                <w:lang w:val="en-US"/>
              </w:rPr>
              <w:t>Ministry of Environment Ministry of Agriculture</w:t>
            </w:r>
          </w:p>
          <w:p w14:paraId="57B022AD" w14:textId="1C478DBD" w:rsidR="009C1CD1" w:rsidRPr="003A7E34" w:rsidRDefault="009C1CD1" w:rsidP="00791F09">
            <w:pPr>
              <w:spacing w:before="0" w:after="0"/>
              <w:jc w:val="center"/>
              <w:rPr>
                <w:rFonts w:eastAsia="Times New Roman"/>
                <w:sz w:val="20"/>
                <w:szCs w:val="20"/>
                <w:lang w:val="en-US"/>
              </w:rPr>
            </w:pPr>
          </w:p>
        </w:tc>
        <w:tc>
          <w:tcPr>
            <w:tcW w:w="1417" w:type="dxa"/>
          </w:tcPr>
          <w:p w14:paraId="2FA67E6C" w14:textId="66105B94" w:rsidR="009C1CD1" w:rsidRPr="003A7E34" w:rsidRDefault="00DB206C" w:rsidP="00791F09">
            <w:pPr>
              <w:spacing w:before="0" w:after="0"/>
              <w:jc w:val="center"/>
              <w:rPr>
                <w:rFonts w:eastAsia="Times New Roman"/>
                <w:sz w:val="20"/>
                <w:szCs w:val="20"/>
                <w:lang w:val="en-US"/>
              </w:rPr>
            </w:pPr>
            <w:r w:rsidRPr="003A7E34">
              <w:rPr>
                <w:rFonts w:eastAsia="Times New Roman"/>
                <w:sz w:val="20"/>
                <w:szCs w:val="20"/>
                <w:lang w:val="en-US"/>
              </w:rPr>
              <w:t>317</w:t>
            </w:r>
          </w:p>
        </w:tc>
        <w:tc>
          <w:tcPr>
            <w:tcW w:w="1134" w:type="dxa"/>
          </w:tcPr>
          <w:p w14:paraId="214CB9A6" w14:textId="6F4A7B8B" w:rsidR="009C1CD1" w:rsidRPr="003A7E34" w:rsidRDefault="00932CCE" w:rsidP="00791F09">
            <w:pPr>
              <w:spacing w:before="0" w:after="0"/>
              <w:rPr>
                <w:rFonts w:eastAsia="Times New Roman"/>
                <w:sz w:val="20"/>
                <w:szCs w:val="20"/>
                <w:vertAlign w:val="superscript"/>
                <w:lang w:val="en-US"/>
              </w:rPr>
            </w:pPr>
            <w:r w:rsidRPr="003A7E34">
              <w:rPr>
                <w:rFonts w:eastAsia="Times New Roman"/>
                <w:sz w:val="20"/>
                <w:szCs w:val="20"/>
                <w:lang w:val="en-US"/>
              </w:rPr>
              <w:t>X</w:t>
            </w:r>
            <w:r w:rsidRPr="003A7E34">
              <w:rPr>
                <w:rFonts w:eastAsia="Times New Roman"/>
                <w:sz w:val="20"/>
                <w:szCs w:val="20"/>
                <w:vertAlign w:val="superscript"/>
                <w:lang w:val="en-US"/>
              </w:rPr>
              <w:t>1</w:t>
            </w:r>
          </w:p>
        </w:tc>
      </w:tr>
      <w:tr w:rsidR="003A7E34" w:rsidRPr="003A7E34" w14:paraId="55DF89E7" w14:textId="77777777" w:rsidTr="00EE237F">
        <w:trPr>
          <w:trHeight w:val="703"/>
        </w:trPr>
        <w:tc>
          <w:tcPr>
            <w:tcW w:w="1951" w:type="dxa"/>
          </w:tcPr>
          <w:p w14:paraId="1A3D99F0" w14:textId="5FDDB098"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A12. Animal feed change</w:t>
            </w:r>
          </w:p>
        </w:tc>
        <w:tc>
          <w:tcPr>
            <w:tcW w:w="1985" w:type="dxa"/>
          </w:tcPr>
          <w:p w14:paraId="1F54C663" w14:textId="77777777" w:rsidR="00F03733" w:rsidRPr="003A7E34" w:rsidRDefault="00F03733" w:rsidP="00791F09">
            <w:pPr>
              <w:spacing w:before="0" w:after="0"/>
              <w:rPr>
                <w:rFonts w:eastAsia="Times New Roman"/>
                <w:sz w:val="20"/>
                <w:szCs w:val="20"/>
                <w:lang w:val="en-US"/>
              </w:rPr>
            </w:pPr>
            <w:r w:rsidRPr="003A7E34">
              <w:rPr>
                <w:rFonts w:eastAsia="Times New Roman"/>
                <w:sz w:val="20"/>
                <w:szCs w:val="20"/>
                <w:lang w:val="en-US"/>
              </w:rPr>
              <w:t>The animal feed rations will be more rational and effective and led to use less protein per animal unit.</w:t>
            </w:r>
          </w:p>
          <w:p w14:paraId="484739BE" w14:textId="4E2DEB8B" w:rsidR="009C1CD1" w:rsidRPr="003A7E34" w:rsidRDefault="009C1CD1" w:rsidP="00791F09">
            <w:pPr>
              <w:spacing w:before="0" w:after="0"/>
              <w:rPr>
                <w:rFonts w:eastAsia="Times New Roman"/>
                <w:sz w:val="20"/>
                <w:szCs w:val="20"/>
                <w:lang w:val="en-US"/>
              </w:rPr>
            </w:pPr>
          </w:p>
        </w:tc>
        <w:tc>
          <w:tcPr>
            <w:tcW w:w="1417" w:type="dxa"/>
          </w:tcPr>
          <w:p w14:paraId="6FB8B493" w14:textId="27476228" w:rsidR="009C1CD1" w:rsidRPr="003A7E34" w:rsidRDefault="004E5780" w:rsidP="00791F09">
            <w:pPr>
              <w:spacing w:before="0" w:after="0"/>
              <w:jc w:val="center"/>
              <w:rPr>
                <w:rFonts w:eastAsia="Times New Roman"/>
                <w:sz w:val="20"/>
                <w:szCs w:val="20"/>
                <w:lang w:val="en-US"/>
              </w:rPr>
            </w:pPr>
            <w:r w:rsidRPr="003A7E34">
              <w:rPr>
                <w:rFonts w:eastAsia="Times New Roman"/>
                <w:sz w:val="20"/>
                <w:szCs w:val="20"/>
                <w:lang w:val="en-US"/>
              </w:rPr>
              <w:t>2021–</w:t>
            </w:r>
            <w:r w:rsidR="00D15222" w:rsidRPr="003A7E34">
              <w:rPr>
                <w:rFonts w:eastAsia="Times New Roman"/>
                <w:sz w:val="20"/>
                <w:szCs w:val="20"/>
                <w:lang w:val="en-US"/>
              </w:rPr>
              <w:t>2027</w:t>
            </w:r>
          </w:p>
        </w:tc>
        <w:tc>
          <w:tcPr>
            <w:tcW w:w="1843" w:type="dxa"/>
          </w:tcPr>
          <w:p w14:paraId="0C0770FF" w14:textId="08E2613A" w:rsidR="009C1CD1" w:rsidRPr="003A7E34" w:rsidRDefault="009C1CD1" w:rsidP="00791F09">
            <w:pPr>
              <w:spacing w:before="0" w:after="0"/>
              <w:jc w:val="center"/>
              <w:rPr>
                <w:rFonts w:eastAsia="Times New Roman"/>
                <w:sz w:val="20"/>
                <w:szCs w:val="20"/>
                <w:lang w:val="en-US"/>
              </w:rPr>
            </w:pPr>
            <w:r w:rsidRPr="003A7E34">
              <w:rPr>
                <w:rFonts w:eastAsia="Times New Roman"/>
                <w:sz w:val="20"/>
                <w:szCs w:val="20"/>
                <w:lang w:val="en-US"/>
              </w:rPr>
              <w:t>Ministry of Agriculture</w:t>
            </w:r>
          </w:p>
        </w:tc>
        <w:tc>
          <w:tcPr>
            <w:tcW w:w="1417" w:type="dxa"/>
          </w:tcPr>
          <w:p w14:paraId="6F7F18A5" w14:textId="43F0E82A" w:rsidR="009C1CD1" w:rsidRPr="003A7E34" w:rsidRDefault="009C1CD1" w:rsidP="00791F09">
            <w:pPr>
              <w:spacing w:before="0" w:after="0"/>
              <w:jc w:val="center"/>
              <w:rPr>
                <w:rFonts w:eastAsia="Times New Roman"/>
                <w:sz w:val="20"/>
                <w:szCs w:val="20"/>
                <w:lang w:val="en-US"/>
              </w:rPr>
            </w:pPr>
            <w:r w:rsidRPr="003A7E34">
              <w:rPr>
                <w:rFonts w:eastAsia="Times New Roman"/>
                <w:sz w:val="20"/>
                <w:szCs w:val="20"/>
                <w:lang w:val="en-US"/>
              </w:rPr>
              <w:t>-</w:t>
            </w:r>
          </w:p>
        </w:tc>
        <w:tc>
          <w:tcPr>
            <w:tcW w:w="1134" w:type="dxa"/>
          </w:tcPr>
          <w:p w14:paraId="79E15DFC" w14:textId="7EEA75A4" w:rsidR="009C1CD1" w:rsidRPr="003A7E34" w:rsidRDefault="00932CCE" w:rsidP="00791F09">
            <w:pPr>
              <w:spacing w:before="0" w:after="0"/>
              <w:rPr>
                <w:rFonts w:eastAsia="Times New Roman"/>
                <w:sz w:val="20"/>
                <w:szCs w:val="20"/>
                <w:vertAlign w:val="superscript"/>
                <w:lang w:val="en-US"/>
              </w:rPr>
            </w:pPr>
            <w:r w:rsidRPr="003A7E34">
              <w:rPr>
                <w:rFonts w:eastAsia="Times New Roman"/>
                <w:sz w:val="20"/>
                <w:szCs w:val="20"/>
                <w:lang w:val="en-US"/>
              </w:rPr>
              <w:t>X</w:t>
            </w:r>
            <w:r w:rsidRPr="003A7E34">
              <w:rPr>
                <w:rFonts w:eastAsia="Times New Roman"/>
                <w:sz w:val="20"/>
                <w:szCs w:val="20"/>
                <w:vertAlign w:val="superscript"/>
                <w:lang w:val="en-US"/>
              </w:rPr>
              <w:t>1</w:t>
            </w:r>
          </w:p>
        </w:tc>
      </w:tr>
      <w:tr w:rsidR="003A7E34" w:rsidRPr="003A7E34" w14:paraId="15E3654E" w14:textId="77777777" w:rsidTr="00EE237F">
        <w:trPr>
          <w:trHeight w:val="618"/>
        </w:trPr>
        <w:tc>
          <w:tcPr>
            <w:tcW w:w="1951" w:type="dxa"/>
          </w:tcPr>
          <w:p w14:paraId="1E2EA918" w14:textId="56CCA776"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A13. Amendment of mandatory requirements for the use of mineral nitrogen fertilizers</w:t>
            </w:r>
          </w:p>
        </w:tc>
        <w:tc>
          <w:tcPr>
            <w:tcW w:w="1985" w:type="dxa"/>
          </w:tcPr>
          <w:p w14:paraId="7F19CA38" w14:textId="483F8A0C" w:rsidR="009C1CD1" w:rsidRPr="003A7E34" w:rsidRDefault="00F03733" w:rsidP="46DF7FC9">
            <w:pPr>
              <w:spacing w:before="0" w:after="0"/>
              <w:rPr>
                <w:rFonts w:eastAsia="Times New Roman"/>
                <w:sz w:val="20"/>
                <w:szCs w:val="20"/>
                <w:lang w:val="en-US"/>
              </w:rPr>
            </w:pPr>
            <w:r w:rsidRPr="003A7E34">
              <w:rPr>
                <w:rFonts w:eastAsia="Times New Roman"/>
                <w:sz w:val="20"/>
                <w:szCs w:val="20"/>
                <w:lang w:val="en-US"/>
              </w:rPr>
              <w:t>Creating a system of fertilization which allows using mineral fertilizers more efficient and less.</w:t>
            </w:r>
          </w:p>
        </w:tc>
        <w:tc>
          <w:tcPr>
            <w:tcW w:w="1417" w:type="dxa"/>
          </w:tcPr>
          <w:p w14:paraId="4A2535B8" w14:textId="788D6807" w:rsidR="009C1CD1" w:rsidRPr="003A7E34" w:rsidRDefault="004E5780" w:rsidP="00791F09">
            <w:pPr>
              <w:spacing w:before="0" w:after="0"/>
              <w:jc w:val="center"/>
              <w:rPr>
                <w:rFonts w:eastAsia="Times New Roman"/>
                <w:sz w:val="20"/>
                <w:szCs w:val="20"/>
                <w:lang w:val="en-US"/>
              </w:rPr>
            </w:pPr>
            <w:r w:rsidRPr="003A7E34">
              <w:rPr>
                <w:rFonts w:eastAsia="Times New Roman"/>
                <w:sz w:val="20"/>
                <w:szCs w:val="20"/>
                <w:lang w:val="en-US"/>
              </w:rPr>
              <w:t>2021–</w:t>
            </w:r>
            <w:r w:rsidR="00D15222" w:rsidRPr="003A7E34">
              <w:rPr>
                <w:rFonts w:eastAsia="Times New Roman"/>
                <w:sz w:val="20"/>
                <w:szCs w:val="20"/>
                <w:lang w:val="en-US"/>
              </w:rPr>
              <w:t>2027</w:t>
            </w:r>
          </w:p>
        </w:tc>
        <w:tc>
          <w:tcPr>
            <w:tcW w:w="1843" w:type="dxa"/>
          </w:tcPr>
          <w:p w14:paraId="4F952E4C" w14:textId="3F1956D6" w:rsidR="009C1CD1" w:rsidRPr="003A7E34" w:rsidRDefault="009C1CD1" w:rsidP="00791F09">
            <w:pPr>
              <w:spacing w:before="0" w:after="0"/>
              <w:rPr>
                <w:rFonts w:eastAsia="Times New Roman"/>
                <w:sz w:val="20"/>
                <w:szCs w:val="20"/>
                <w:lang w:val="en-US"/>
              </w:rPr>
            </w:pPr>
            <w:r w:rsidRPr="003A7E34">
              <w:rPr>
                <w:rFonts w:eastAsia="Times New Roman"/>
                <w:sz w:val="20"/>
                <w:szCs w:val="20"/>
                <w:lang w:val="en-US"/>
              </w:rPr>
              <w:t>Ministry of Agriculture</w:t>
            </w:r>
          </w:p>
        </w:tc>
        <w:tc>
          <w:tcPr>
            <w:tcW w:w="1417" w:type="dxa"/>
          </w:tcPr>
          <w:p w14:paraId="1B6FB1A5" w14:textId="0D46DA80" w:rsidR="009C1CD1" w:rsidRPr="003A7E34" w:rsidRDefault="007E711E" w:rsidP="007E711E">
            <w:pPr>
              <w:spacing w:before="0" w:after="0"/>
              <w:jc w:val="center"/>
              <w:rPr>
                <w:rFonts w:eastAsia="Times New Roman"/>
                <w:sz w:val="20"/>
                <w:szCs w:val="20"/>
                <w:lang w:val="en-US"/>
              </w:rPr>
            </w:pPr>
            <w:r w:rsidRPr="003A7E34">
              <w:rPr>
                <w:rFonts w:eastAsia="Times New Roman"/>
                <w:sz w:val="20"/>
                <w:szCs w:val="20"/>
                <w:lang w:val="en-US"/>
              </w:rPr>
              <w:t>111</w:t>
            </w:r>
          </w:p>
        </w:tc>
        <w:tc>
          <w:tcPr>
            <w:tcW w:w="1134" w:type="dxa"/>
          </w:tcPr>
          <w:p w14:paraId="26FEBE9D" w14:textId="315219AD" w:rsidR="009C1CD1" w:rsidRPr="003A7E34" w:rsidRDefault="00D15222" w:rsidP="00791F09">
            <w:pPr>
              <w:spacing w:before="0" w:after="0"/>
              <w:rPr>
                <w:rFonts w:eastAsia="Times New Roman"/>
                <w:sz w:val="20"/>
                <w:szCs w:val="20"/>
                <w:vertAlign w:val="superscript"/>
                <w:lang w:val="en-US"/>
              </w:rPr>
            </w:pPr>
            <w:r w:rsidRPr="003A7E34">
              <w:rPr>
                <w:rFonts w:eastAsia="Times New Roman"/>
                <w:sz w:val="20"/>
                <w:szCs w:val="20"/>
                <w:lang w:val="en-US"/>
              </w:rPr>
              <w:t>75</w:t>
            </w:r>
            <w:r w:rsidR="00932CCE" w:rsidRPr="003A7E34">
              <w:rPr>
                <w:rFonts w:eastAsia="Times New Roman"/>
                <w:sz w:val="20"/>
                <w:szCs w:val="20"/>
                <w:vertAlign w:val="superscript"/>
                <w:lang w:val="en-US"/>
              </w:rPr>
              <w:t>1</w:t>
            </w:r>
          </w:p>
        </w:tc>
      </w:tr>
      <w:tr w:rsidR="003A7E34" w:rsidRPr="003A7E34" w14:paraId="3D43A8CD" w14:textId="77777777" w:rsidTr="1F603D79">
        <w:trPr>
          <w:trHeight w:val="308"/>
        </w:trPr>
        <w:tc>
          <w:tcPr>
            <w:tcW w:w="7196" w:type="dxa"/>
            <w:gridSpan w:val="4"/>
          </w:tcPr>
          <w:p w14:paraId="26CF58C5" w14:textId="2D85FA7E" w:rsidR="009C1CD1" w:rsidRPr="003A7E34" w:rsidRDefault="009C1CD1" w:rsidP="00791F09">
            <w:pPr>
              <w:spacing w:before="0" w:after="0"/>
              <w:jc w:val="right"/>
              <w:rPr>
                <w:rFonts w:eastAsia="Times New Roman"/>
                <w:sz w:val="20"/>
                <w:szCs w:val="20"/>
                <w:lang w:val="en-US"/>
              </w:rPr>
            </w:pPr>
            <w:r w:rsidRPr="003A7E34">
              <w:rPr>
                <w:rFonts w:eastAsia="Times New Roman"/>
                <w:sz w:val="20"/>
                <w:szCs w:val="20"/>
                <w:lang w:val="en-US"/>
              </w:rPr>
              <w:t>Total planned:</w:t>
            </w:r>
          </w:p>
        </w:tc>
        <w:tc>
          <w:tcPr>
            <w:tcW w:w="1417" w:type="dxa"/>
          </w:tcPr>
          <w:p w14:paraId="7B8D41F9" w14:textId="1B3B308D" w:rsidR="009C1CD1" w:rsidRPr="003A7E34" w:rsidRDefault="007E711E" w:rsidP="00DB206C">
            <w:pPr>
              <w:spacing w:before="0" w:after="0"/>
              <w:rPr>
                <w:rFonts w:eastAsia="Times New Roman"/>
                <w:sz w:val="20"/>
                <w:szCs w:val="20"/>
                <w:lang w:val="en-US"/>
              </w:rPr>
            </w:pPr>
            <w:r w:rsidRPr="003A7E34">
              <w:rPr>
                <w:rFonts w:eastAsia="Times New Roman"/>
                <w:sz w:val="20"/>
                <w:szCs w:val="20"/>
                <w:lang w:val="en-US"/>
              </w:rPr>
              <w:t>1730</w:t>
            </w:r>
          </w:p>
        </w:tc>
        <w:tc>
          <w:tcPr>
            <w:tcW w:w="1134" w:type="dxa"/>
          </w:tcPr>
          <w:p w14:paraId="7528E770" w14:textId="53E2A8CF" w:rsidR="009C1CD1" w:rsidRPr="003A7E34" w:rsidRDefault="00D15222" w:rsidP="00791F09">
            <w:pPr>
              <w:spacing w:before="0" w:after="0"/>
              <w:rPr>
                <w:rFonts w:eastAsia="Times New Roman"/>
                <w:sz w:val="20"/>
                <w:szCs w:val="20"/>
                <w:lang w:val="en-US"/>
              </w:rPr>
            </w:pPr>
            <w:r w:rsidRPr="003A7E34">
              <w:rPr>
                <w:rFonts w:eastAsia="Times New Roman"/>
                <w:sz w:val="20"/>
                <w:szCs w:val="20"/>
                <w:lang w:val="en-US"/>
              </w:rPr>
              <w:t>559.01</w:t>
            </w:r>
          </w:p>
        </w:tc>
      </w:tr>
      <w:tr w:rsidR="003A7E34" w:rsidRPr="003A7E34" w14:paraId="72A45A20" w14:textId="77777777" w:rsidTr="1F603D79">
        <w:trPr>
          <w:trHeight w:val="210"/>
        </w:trPr>
        <w:tc>
          <w:tcPr>
            <w:tcW w:w="7196" w:type="dxa"/>
            <w:gridSpan w:val="4"/>
          </w:tcPr>
          <w:p w14:paraId="2A5326A3" w14:textId="2BE9933F" w:rsidR="009C1CD1" w:rsidRPr="003A7E34" w:rsidRDefault="009C1CD1" w:rsidP="00791F09">
            <w:pPr>
              <w:spacing w:before="0" w:after="0"/>
              <w:jc w:val="right"/>
              <w:rPr>
                <w:rFonts w:eastAsia="Times New Roman"/>
                <w:sz w:val="20"/>
                <w:szCs w:val="20"/>
                <w:lang w:val="en-US"/>
              </w:rPr>
            </w:pPr>
            <w:r w:rsidRPr="003A7E34">
              <w:rPr>
                <w:rFonts w:eastAsia="Times New Roman"/>
                <w:sz w:val="20"/>
                <w:szCs w:val="20"/>
                <w:lang w:val="en-US"/>
              </w:rPr>
              <w:t>Total:</w:t>
            </w:r>
          </w:p>
        </w:tc>
        <w:tc>
          <w:tcPr>
            <w:tcW w:w="1417" w:type="dxa"/>
          </w:tcPr>
          <w:p w14:paraId="2917882D" w14:textId="332CBBFB" w:rsidR="009C1CD1" w:rsidRPr="003A7E34" w:rsidRDefault="007E711E" w:rsidP="00791F09">
            <w:pPr>
              <w:spacing w:before="0" w:after="0"/>
              <w:rPr>
                <w:rFonts w:eastAsia="Times New Roman"/>
                <w:sz w:val="20"/>
                <w:szCs w:val="20"/>
                <w:lang w:val="en-US"/>
              </w:rPr>
            </w:pPr>
            <w:r w:rsidRPr="003A7E34">
              <w:rPr>
                <w:rFonts w:eastAsia="Times New Roman"/>
                <w:sz w:val="20"/>
                <w:szCs w:val="20"/>
                <w:lang w:val="en-US"/>
              </w:rPr>
              <w:t>3566</w:t>
            </w:r>
          </w:p>
        </w:tc>
        <w:tc>
          <w:tcPr>
            <w:tcW w:w="1134" w:type="dxa"/>
          </w:tcPr>
          <w:p w14:paraId="06CFF2DA" w14:textId="77777777" w:rsidR="009C1CD1" w:rsidRPr="003A7E34" w:rsidRDefault="009C1CD1" w:rsidP="00791F09">
            <w:pPr>
              <w:spacing w:before="0" w:after="0"/>
              <w:rPr>
                <w:rFonts w:eastAsia="Times New Roman"/>
                <w:sz w:val="20"/>
                <w:szCs w:val="20"/>
                <w:lang w:val="en-US"/>
              </w:rPr>
            </w:pPr>
          </w:p>
        </w:tc>
      </w:tr>
    </w:tbl>
    <w:p w14:paraId="601A7895" w14:textId="77777777" w:rsidR="002F6BDB" w:rsidRPr="003A7E34" w:rsidRDefault="002F6BDB" w:rsidP="002F6BDB">
      <w:pPr>
        <w:spacing w:before="0"/>
        <w:rPr>
          <w:rFonts w:eastAsia="Times New Roman"/>
          <w:sz w:val="20"/>
          <w:szCs w:val="20"/>
          <w:lang w:val="en-US"/>
        </w:rPr>
      </w:pPr>
      <w:r w:rsidRPr="003A7E34">
        <w:rPr>
          <w:rFonts w:eastAsia="Times New Roman"/>
          <w:sz w:val="20"/>
          <w:szCs w:val="20"/>
          <w:vertAlign w:val="superscript"/>
          <w:lang w:val="en-US"/>
        </w:rPr>
        <w:t>1</w:t>
      </w:r>
      <w:r w:rsidRPr="003A7E34">
        <w:rPr>
          <w:rFonts w:eastAsia="Times New Roman"/>
          <w:sz w:val="20"/>
          <w:szCs w:val="20"/>
          <w:lang w:val="en-US"/>
        </w:rPr>
        <w:t xml:space="preserve">financing from EU funds </w:t>
      </w:r>
    </w:p>
    <w:p w14:paraId="7290E822" w14:textId="77777777" w:rsidR="002F6BDB" w:rsidRPr="003A7E34" w:rsidRDefault="002F6BDB" w:rsidP="002F6BDB">
      <w:pPr>
        <w:spacing w:before="0"/>
        <w:rPr>
          <w:rFonts w:eastAsia="Times New Roman"/>
          <w:sz w:val="20"/>
          <w:szCs w:val="20"/>
          <w:lang w:val="en-US"/>
        </w:rPr>
      </w:pPr>
      <w:r w:rsidRPr="003A7E34">
        <w:rPr>
          <w:rFonts w:eastAsia="Times New Roman"/>
          <w:sz w:val="20"/>
          <w:szCs w:val="20"/>
          <w:vertAlign w:val="superscript"/>
          <w:lang w:val="en-US"/>
        </w:rPr>
        <w:t>2</w:t>
      </w:r>
      <w:r w:rsidRPr="003A7E34">
        <w:rPr>
          <w:rFonts w:eastAsia="Times New Roman"/>
          <w:sz w:val="20"/>
          <w:szCs w:val="20"/>
          <w:lang w:val="en-US"/>
        </w:rPr>
        <w:t xml:space="preserve">financing from budget </w:t>
      </w:r>
    </w:p>
    <w:p w14:paraId="3C2651CB" w14:textId="77777777" w:rsidR="002F6BDB" w:rsidRPr="003A7E34" w:rsidRDefault="002F6BDB" w:rsidP="002F6BDB">
      <w:pPr>
        <w:spacing w:before="0"/>
        <w:rPr>
          <w:rFonts w:eastAsia="Times New Roman"/>
          <w:sz w:val="20"/>
          <w:szCs w:val="20"/>
          <w:lang w:val="en-US"/>
        </w:rPr>
      </w:pPr>
      <w:r w:rsidRPr="003A7E34">
        <w:rPr>
          <w:rFonts w:eastAsia="Times New Roman"/>
          <w:sz w:val="20"/>
          <w:szCs w:val="20"/>
          <w:vertAlign w:val="superscript"/>
          <w:lang w:val="en-US"/>
        </w:rPr>
        <w:t>3</w:t>
      </w:r>
      <w:r w:rsidRPr="003A7E34">
        <w:rPr>
          <w:rFonts w:eastAsia="Times New Roman"/>
          <w:sz w:val="20"/>
          <w:szCs w:val="20"/>
          <w:lang w:val="en-US"/>
        </w:rPr>
        <w:t>other sources</w:t>
      </w:r>
    </w:p>
    <w:p w14:paraId="00CCA612" w14:textId="0CA433D6" w:rsidR="00A621AF" w:rsidRPr="003A7E34" w:rsidRDefault="00C85A8C" w:rsidP="007E432B">
      <w:pPr>
        <w:pStyle w:val="ListParagraph"/>
        <w:spacing w:after="0" w:line="240" w:lineRule="auto"/>
        <w:ind w:left="0"/>
        <w:rPr>
          <w:rFonts w:ascii="Times New Roman" w:eastAsia="Times New Roman" w:hAnsi="Times New Roman" w:cs="Times New Roman"/>
          <w:lang w:val="en-US"/>
        </w:rPr>
      </w:pPr>
      <w:r w:rsidRPr="003A7E34">
        <w:rPr>
          <w:rFonts w:ascii="Times New Roman" w:eastAsia="Times New Roman" w:hAnsi="Times New Roman" w:cs="Times New Roman"/>
          <w:noProof/>
          <w:lang w:val="en-US"/>
        </w:rPr>
        <w:lastRenderedPageBreak/>
        <w:t xml:space="preserve"> </w:t>
      </w:r>
      <w:r w:rsidR="007E432B" w:rsidRPr="003A7E34">
        <w:rPr>
          <w:noProof/>
          <w:lang w:val="en-US"/>
        </w:rPr>
        <w:drawing>
          <wp:inline distT="0" distB="0" distL="0" distR="0" wp14:anchorId="525B6350" wp14:editId="0AEFF4A9">
            <wp:extent cx="3562350" cy="2686050"/>
            <wp:effectExtent l="0" t="0" r="0" b="0"/>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3A7E34">
        <w:rPr>
          <w:rFonts w:ascii="Times New Roman" w:eastAsia="Times New Roman" w:hAnsi="Times New Roman" w:cs="Times New Roman"/>
          <w:noProof/>
          <w:lang w:val="en-US"/>
        </w:rPr>
        <w:t xml:space="preserve"> </w:t>
      </w:r>
      <w:r w:rsidR="005B1860">
        <w:rPr>
          <w:noProof/>
          <w:lang w:val="en-US"/>
        </w:rPr>
        <w:drawing>
          <wp:inline distT="0" distB="0" distL="0" distR="0" wp14:anchorId="126557D6" wp14:editId="21738D8A">
            <wp:extent cx="2352675" cy="3819525"/>
            <wp:effectExtent l="0" t="0" r="0" b="0"/>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57773EE" w14:textId="532CB853" w:rsidR="00180942" w:rsidRPr="003A7E34" w:rsidRDefault="5E230566" w:rsidP="5E230566">
      <w:pPr>
        <w:spacing w:after="0"/>
        <w:jc w:val="center"/>
        <w:rPr>
          <w:rFonts w:eastAsia="Times New Roman"/>
          <w:sz w:val="20"/>
          <w:szCs w:val="20"/>
          <w:lang w:val="en-US"/>
        </w:rPr>
      </w:pPr>
      <w:r w:rsidRPr="003A7E34">
        <w:rPr>
          <w:rFonts w:eastAsia="Times New Roman"/>
          <w:b/>
          <w:bCs/>
          <w:sz w:val="20"/>
          <w:szCs w:val="20"/>
          <w:lang w:val="en-US"/>
        </w:rPr>
        <w:t>Figure 3.1.1.2.</w:t>
      </w:r>
      <w:r w:rsidRPr="003A7E34">
        <w:rPr>
          <w:rFonts w:eastAsia="Times New Roman"/>
          <w:sz w:val="20"/>
          <w:szCs w:val="20"/>
          <w:lang w:val="en-US"/>
        </w:rPr>
        <w:t xml:space="preserve"> The comparison of projected transport GHG emissions WEM and WAM scenarios and the distribution of evaluated effects of additional measures in </w:t>
      </w:r>
      <w:r w:rsidR="001B36BE" w:rsidRPr="003A7E34">
        <w:rPr>
          <w:rFonts w:eastAsia="Times New Roman"/>
          <w:sz w:val="20"/>
          <w:szCs w:val="20"/>
          <w:lang w:val="en-US"/>
        </w:rPr>
        <w:t xml:space="preserve">the </w:t>
      </w:r>
      <w:r w:rsidRPr="003A7E34">
        <w:rPr>
          <w:rFonts w:eastAsia="Times New Roman"/>
          <w:sz w:val="20"/>
          <w:szCs w:val="20"/>
          <w:lang w:val="en-US"/>
        </w:rPr>
        <w:t>agriculture sector for 2021</w:t>
      </w:r>
      <w:r w:rsidRPr="003A7E34">
        <w:rPr>
          <w:rFonts w:eastAsia="Times New Roman"/>
          <w:lang w:val="en-US"/>
        </w:rPr>
        <w:t>–</w:t>
      </w:r>
      <w:r w:rsidRPr="003A7E34">
        <w:rPr>
          <w:rFonts w:eastAsia="Times New Roman"/>
          <w:sz w:val="20"/>
          <w:szCs w:val="20"/>
          <w:lang w:val="en-US"/>
        </w:rPr>
        <w:t>2030.</w:t>
      </w:r>
    </w:p>
    <w:p w14:paraId="74F145CD" w14:textId="77777777" w:rsidR="00180942" w:rsidRPr="003A7E34" w:rsidRDefault="00180942" w:rsidP="000C65DA">
      <w:pPr>
        <w:pStyle w:val="ListParagraph"/>
        <w:spacing w:after="0" w:line="240" w:lineRule="auto"/>
        <w:ind w:left="0"/>
        <w:rPr>
          <w:rFonts w:ascii="Times New Roman" w:eastAsia="Times New Roman" w:hAnsi="Times New Roman" w:cs="Times New Roman"/>
          <w:lang w:val="en-US"/>
        </w:rPr>
      </w:pPr>
    </w:p>
    <w:p w14:paraId="0CC47A39" w14:textId="4C9C7C1D" w:rsidR="00932CCE" w:rsidRPr="003A7E34" w:rsidRDefault="5E230566" w:rsidP="000C65DA">
      <w:pPr>
        <w:spacing w:before="0"/>
        <w:rPr>
          <w:rFonts w:eastAsia="Times New Roman"/>
          <w:lang w:val="en-US"/>
        </w:rPr>
      </w:pPr>
      <w:r w:rsidRPr="003A7E34">
        <w:rPr>
          <w:rFonts w:eastAsia="Times New Roman"/>
          <w:b/>
          <w:bCs/>
          <w:lang w:val="en-US"/>
        </w:rPr>
        <w:t>Waste management.</w:t>
      </w:r>
      <w:r w:rsidRPr="003A7E34">
        <w:rPr>
          <w:rFonts w:eastAsia="Times New Roman"/>
          <w:lang w:val="en-US"/>
        </w:rPr>
        <w:t xml:space="preserve"> </w:t>
      </w:r>
      <w:r w:rsidR="003434C0">
        <w:rPr>
          <w:rFonts w:eastAsia="Times New Roman"/>
          <w:lang w:val="en-US"/>
        </w:rPr>
        <w:t>One of t</w:t>
      </w:r>
      <w:r w:rsidR="003434C0" w:rsidRPr="00555876">
        <w:rPr>
          <w:rFonts w:eastAsia="Times New Roman"/>
          <w:lang w:val="en-US"/>
        </w:rPr>
        <w:t>he National Waste Management Plan</w:t>
      </w:r>
      <w:r w:rsidR="003434C0">
        <w:rPr>
          <w:rFonts w:eastAsia="Times New Roman"/>
          <w:lang w:val="en-US"/>
        </w:rPr>
        <w:t>’s</w:t>
      </w:r>
      <w:r w:rsidR="003434C0" w:rsidRPr="00555876">
        <w:rPr>
          <w:rFonts w:eastAsia="Times New Roman"/>
          <w:lang w:val="en-US"/>
        </w:rPr>
        <w:t xml:space="preserve"> for 2014–2020</w:t>
      </w:r>
      <w:r w:rsidR="003434C0">
        <w:rPr>
          <w:rFonts w:eastAsia="Times New Roman"/>
          <w:lang w:val="en-US"/>
        </w:rPr>
        <w:t xml:space="preserve"> (thereinafter – the Plan)</w:t>
      </w:r>
      <w:r w:rsidR="003434C0" w:rsidRPr="00555876">
        <w:rPr>
          <w:rFonts w:eastAsia="Times New Roman"/>
          <w:lang w:val="en-US"/>
        </w:rPr>
        <w:t xml:space="preserve"> objective </w:t>
      </w:r>
      <w:r w:rsidR="003434C0">
        <w:rPr>
          <w:rFonts w:eastAsia="Times New Roman"/>
          <w:lang w:val="en-US"/>
        </w:rPr>
        <w:t xml:space="preserve">is </w:t>
      </w:r>
      <w:r w:rsidR="003434C0" w:rsidRPr="00555876">
        <w:rPr>
          <w:rFonts w:eastAsia="Times New Roman"/>
          <w:lang w:val="en-US"/>
        </w:rPr>
        <w:t xml:space="preserve">to minimize GHG emissions in the waste sector. By 2020, the reuse and recycling of waste materials such as paper, metal, plastic and glass from households, and from other sources where waste streams are similar to those from households, shall be increased to a minimum of 50%, by weight, of overall waste. Also, recycling and </w:t>
      </w:r>
      <w:r w:rsidR="003434C0">
        <w:rPr>
          <w:rFonts w:eastAsia="Times New Roman"/>
          <w:lang w:val="en-US"/>
        </w:rPr>
        <w:t>other</w:t>
      </w:r>
      <w:r w:rsidR="003434C0" w:rsidRPr="00555876">
        <w:rPr>
          <w:rFonts w:eastAsia="Times New Roman"/>
          <w:lang w:val="en-US"/>
        </w:rPr>
        <w:t xml:space="preserve"> recovery </w:t>
      </w:r>
      <w:r w:rsidR="003434C0">
        <w:rPr>
          <w:rFonts w:eastAsia="Times New Roman"/>
          <w:lang w:val="en-US"/>
        </w:rPr>
        <w:t xml:space="preserve">of municipal waste </w:t>
      </w:r>
      <w:r w:rsidR="003434C0" w:rsidRPr="00555876">
        <w:rPr>
          <w:rFonts w:eastAsia="Times New Roman"/>
          <w:lang w:val="en-US"/>
        </w:rPr>
        <w:t xml:space="preserve">shall be increased to a minimum of </w:t>
      </w:r>
      <w:r w:rsidR="003434C0">
        <w:rPr>
          <w:rFonts w:eastAsia="Times New Roman"/>
          <w:lang w:val="en-US"/>
        </w:rPr>
        <w:t>65</w:t>
      </w:r>
      <w:r w:rsidR="003434C0" w:rsidRPr="00555876">
        <w:rPr>
          <w:rFonts w:eastAsia="Times New Roman"/>
          <w:lang w:val="en-US"/>
        </w:rPr>
        <w:t xml:space="preserve">%, by weight, of total </w:t>
      </w:r>
      <w:r w:rsidR="003434C0">
        <w:rPr>
          <w:rFonts w:eastAsia="Times New Roman"/>
          <w:lang w:val="en-US"/>
        </w:rPr>
        <w:t xml:space="preserve">amount of municipal </w:t>
      </w:r>
      <w:r w:rsidR="003434C0" w:rsidRPr="00555876">
        <w:rPr>
          <w:rFonts w:eastAsia="Times New Roman"/>
          <w:lang w:val="en-US"/>
        </w:rPr>
        <w:t xml:space="preserve">waste. </w:t>
      </w:r>
      <w:r w:rsidR="003434C0">
        <w:rPr>
          <w:szCs w:val="24"/>
        </w:rPr>
        <w:t>B</w:t>
      </w:r>
      <w:r w:rsidR="003434C0" w:rsidRPr="00E7736E">
        <w:rPr>
          <w:szCs w:val="24"/>
        </w:rPr>
        <w:t>y 2020, municipal biodegradable waste disposed</w:t>
      </w:r>
      <w:r w:rsidR="003434C0">
        <w:rPr>
          <w:szCs w:val="24"/>
        </w:rPr>
        <w:t xml:space="preserve"> of</w:t>
      </w:r>
      <w:r w:rsidR="003434C0" w:rsidRPr="00E7736E">
        <w:rPr>
          <w:szCs w:val="24"/>
        </w:rPr>
        <w:t xml:space="preserve"> in landfills shall make up no more than 35% of municipal biodeg</w:t>
      </w:r>
      <w:r w:rsidR="003434C0">
        <w:rPr>
          <w:szCs w:val="24"/>
        </w:rPr>
        <w:t>radable waste generated in 2000.</w:t>
      </w:r>
      <w:r w:rsidR="003434C0" w:rsidRPr="00555876">
        <w:rPr>
          <w:rFonts w:eastAsia="Times New Roman"/>
          <w:lang w:val="en-US"/>
        </w:rPr>
        <w:t xml:space="preserve"> This Plan is </w:t>
      </w:r>
      <w:r w:rsidR="003434C0">
        <w:rPr>
          <w:rFonts w:eastAsia="Times New Roman"/>
          <w:lang w:val="en-US"/>
        </w:rPr>
        <w:t>scheduled</w:t>
      </w:r>
      <w:r w:rsidR="003434C0" w:rsidRPr="00555876">
        <w:rPr>
          <w:rFonts w:eastAsia="Times New Roman"/>
          <w:lang w:val="en-US"/>
        </w:rPr>
        <w:t xml:space="preserve"> to be updated by the </w:t>
      </w:r>
      <w:r w:rsidR="003434C0">
        <w:rPr>
          <w:rFonts w:eastAsia="Times New Roman"/>
          <w:lang w:val="en-US"/>
        </w:rPr>
        <w:t>middle</w:t>
      </w:r>
      <w:r w:rsidR="003434C0" w:rsidRPr="00555876">
        <w:rPr>
          <w:rFonts w:eastAsia="Times New Roman"/>
          <w:lang w:val="en-US"/>
        </w:rPr>
        <w:t xml:space="preserve"> of </w:t>
      </w:r>
      <w:r w:rsidR="003434C0" w:rsidRPr="003434C0">
        <w:rPr>
          <w:rFonts w:eastAsia="Times New Roman"/>
          <w:lang w:val="en-US"/>
        </w:rPr>
        <w:t>2020 and will cover 2021–-2027</w:t>
      </w:r>
      <w:r w:rsidR="003434C0" w:rsidRPr="00555876">
        <w:rPr>
          <w:rFonts w:eastAsia="Times New Roman"/>
          <w:lang w:val="en-US"/>
        </w:rPr>
        <w:t>.</w:t>
      </w:r>
    </w:p>
    <w:p w14:paraId="72866FDE" w14:textId="7E35D85B" w:rsidR="00CF7A19" w:rsidRPr="003A7E34" w:rsidRDefault="5E230566" w:rsidP="5E230566">
      <w:pPr>
        <w:spacing w:before="0"/>
        <w:rPr>
          <w:rFonts w:eastAsia="Times New Roman"/>
          <w:b/>
          <w:bCs/>
          <w:sz w:val="20"/>
          <w:szCs w:val="20"/>
          <w:lang w:val="en-US"/>
        </w:rPr>
      </w:pPr>
      <w:r w:rsidRPr="003A7E34">
        <w:rPr>
          <w:rFonts w:eastAsia="Times New Roman"/>
          <w:b/>
          <w:bCs/>
          <w:sz w:val="20"/>
          <w:szCs w:val="20"/>
          <w:lang w:val="en-US"/>
        </w:rPr>
        <w:t xml:space="preserve">Table 3.1.1.4. </w:t>
      </w:r>
      <w:r w:rsidRPr="003A7E34">
        <w:rPr>
          <w:rFonts w:eastAsia="Times New Roman"/>
          <w:bCs/>
          <w:sz w:val="20"/>
          <w:szCs w:val="20"/>
          <w:lang w:val="en-US"/>
        </w:rPr>
        <w:t>The summary table of policies and measures adopted and under implementation in Waste management sector</w:t>
      </w:r>
      <w:r w:rsidR="008F3CA5" w:rsidRPr="003A7E34">
        <w:rPr>
          <w:rFonts w:eastAsia="Times New Roman"/>
          <w:bCs/>
          <w:sz w:val="20"/>
          <w:szCs w:val="20"/>
          <w:lang w:val="en-US"/>
        </w:rPr>
        <w:t xml:space="preserve"> by 2030</w:t>
      </w:r>
      <w:r w:rsidRPr="003A7E34">
        <w:rPr>
          <w:rFonts w:eastAsia="Times New Roman"/>
          <w:bCs/>
          <w:sz w:val="20"/>
          <w:szCs w:val="20"/>
          <w:lang w:val="en-US"/>
        </w:rPr>
        <w:t>.</w:t>
      </w:r>
    </w:p>
    <w:tbl>
      <w:tblPr>
        <w:tblStyle w:val="TableGrid"/>
        <w:tblW w:w="9747" w:type="dxa"/>
        <w:tblLayout w:type="fixed"/>
        <w:tblLook w:val="04A0" w:firstRow="1" w:lastRow="0" w:firstColumn="1" w:lastColumn="0" w:noHBand="0" w:noVBand="1"/>
      </w:tblPr>
      <w:tblGrid>
        <w:gridCol w:w="1951"/>
        <w:gridCol w:w="2126"/>
        <w:gridCol w:w="1418"/>
        <w:gridCol w:w="1701"/>
        <w:gridCol w:w="1134"/>
        <w:gridCol w:w="1417"/>
      </w:tblGrid>
      <w:tr w:rsidR="003434C0" w:rsidRPr="003434C0" w14:paraId="6DF95463" w14:textId="77777777" w:rsidTr="00C30D60">
        <w:trPr>
          <w:trHeight w:val="439"/>
        </w:trPr>
        <w:tc>
          <w:tcPr>
            <w:tcW w:w="1951" w:type="dxa"/>
          </w:tcPr>
          <w:p w14:paraId="0A7B8F89" w14:textId="77777777" w:rsidR="003434C0" w:rsidRPr="003434C0" w:rsidRDefault="003434C0" w:rsidP="00C30D60">
            <w:pPr>
              <w:spacing w:before="0" w:after="0"/>
              <w:rPr>
                <w:rFonts w:eastAsia="Times New Roman"/>
                <w:b/>
                <w:bCs/>
                <w:sz w:val="20"/>
                <w:szCs w:val="20"/>
                <w:lang w:val="en-US"/>
              </w:rPr>
            </w:pPr>
            <w:r w:rsidRPr="003434C0">
              <w:rPr>
                <w:rFonts w:eastAsia="Times New Roman"/>
                <w:b/>
                <w:bCs/>
                <w:sz w:val="20"/>
                <w:szCs w:val="20"/>
                <w:lang w:val="en-US"/>
              </w:rPr>
              <w:t>Measures</w:t>
            </w:r>
          </w:p>
        </w:tc>
        <w:tc>
          <w:tcPr>
            <w:tcW w:w="2126" w:type="dxa"/>
          </w:tcPr>
          <w:p w14:paraId="413E40AE" w14:textId="77777777" w:rsidR="003434C0" w:rsidRPr="003434C0" w:rsidRDefault="003434C0" w:rsidP="003434C0">
            <w:pPr>
              <w:spacing w:before="0" w:after="0"/>
              <w:rPr>
                <w:rFonts w:eastAsia="Times New Roman"/>
                <w:b/>
                <w:bCs/>
                <w:sz w:val="20"/>
                <w:szCs w:val="20"/>
                <w:lang w:val="en-US"/>
              </w:rPr>
            </w:pPr>
            <w:r w:rsidRPr="003434C0">
              <w:rPr>
                <w:rFonts w:eastAsia="Times New Roman"/>
                <w:b/>
                <w:bCs/>
                <w:sz w:val="20"/>
                <w:szCs w:val="20"/>
                <w:lang w:val="en-US"/>
              </w:rPr>
              <w:t>Objective</w:t>
            </w:r>
          </w:p>
        </w:tc>
        <w:tc>
          <w:tcPr>
            <w:tcW w:w="1418" w:type="dxa"/>
          </w:tcPr>
          <w:p w14:paraId="0C4418BF" w14:textId="77777777" w:rsidR="003434C0" w:rsidRPr="003434C0" w:rsidRDefault="003434C0" w:rsidP="003434C0">
            <w:pPr>
              <w:spacing w:before="0" w:after="0"/>
              <w:rPr>
                <w:rFonts w:eastAsia="Times New Roman"/>
                <w:b/>
                <w:bCs/>
                <w:sz w:val="20"/>
                <w:szCs w:val="20"/>
                <w:lang w:val="en-US"/>
              </w:rPr>
            </w:pPr>
            <w:r w:rsidRPr="003434C0">
              <w:rPr>
                <w:rFonts w:eastAsia="Times New Roman"/>
                <w:b/>
                <w:bCs/>
                <w:sz w:val="20"/>
                <w:szCs w:val="20"/>
                <w:lang w:val="en-US"/>
              </w:rPr>
              <w:t>Implementation period</w:t>
            </w:r>
          </w:p>
        </w:tc>
        <w:tc>
          <w:tcPr>
            <w:tcW w:w="1701" w:type="dxa"/>
          </w:tcPr>
          <w:p w14:paraId="2B762072" w14:textId="77777777" w:rsidR="003434C0" w:rsidRPr="003434C0" w:rsidRDefault="003434C0" w:rsidP="003434C0">
            <w:pPr>
              <w:spacing w:before="0" w:after="0"/>
              <w:rPr>
                <w:rFonts w:eastAsia="Times New Roman"/>
                <w:b/>
                <w:bCs/>
                <w:sz w:val="20"/>
                <w:szCs w:val="20"/>
                <w:lang w:val="en-US"/>
              </w:rPr>
            </w:pPr>
            <w:r w:rsidRPr="003434C0">
              <w:rPr>
                <w:rFonts w:eastAsia="Times New Roman"/>
                <w:b/>
                <w:bCs/>
                <w:sz w:val="20"/>
                <w:szCs w:val="20"/>
                <w:lang w:val="en-US"/>
              </w:rPr>
              <w:t>Entities responsible for implementing the policy</w:t>
            </w:r>
          </w:p>
        </w:tc>
        <w:tc>
          <w:tcPr>
            <w:tcW w:w="1134" w:type="dxa"/>
          </w:tcPr>
          <w:p w14:paraId="6DC76CB5" w14:textId="77777777" w:rsidR="003434C0" w:rsidRPr="003434C0" w:rsidRDefault="003434C0" w:rsidP="003434C0">
            <w:pPr>
              <w:spacing w:before="0" w:after="0"/>
              <w:rPr>
                <w:rFonts w:eastAsia="Times New Roman"/>
                <w:b/>
                <w:bCs/>
                <w:sz w:val="20"/>
                <w:szCs w:val="20"/>
                <w:lang w:val="en-US"/>
              </w:rPr>
            </w:pPr>
            <w:r w:rsidRPr="003434C0">
              <w:rPr>
                <w:rFonts w:eastAsia="Times New Roman"/>
                <w:b/>
                <w:bCs/>
                <w:sz w:val="20"/>
                <w:szCs w:val="20"/>
                <w:lang w:val="en-US"/>
              </w:rPr>
              <w:t>GHG mitigation effect, ktCO</w:t>
            </w:r>
            <w:r w:rsidRPr="003434C0">
              <w:rPr>
                <w:rFonts w:eastAsia="Times New Roman"/>
                <w:b/>
                <w:bCs/>
                <w:sz w:val="20"/>
                <w:szCs w:val="20"/>
                <w:vertAlign w:val="subscript"/>
                <w:lang w:val="en-US"/>
              </w:rPr>
              <w:t>2eq</w:t>
            </w:r>
          </w:p>
        </w:tc>
        <w:tc>
          <w:tcPr>
            <w:tcW w:w="1417" w:type="dxa"/>
          </w:tcPr>
          <w:p w14:paraId="16A25DE8" w14:textId="77777777" w:rsidR="003434C0" w:rsidRPr="003434C0" w:rsidRDefault="003434C0" w:rsidP="003434C0">
            <w:pPr>
              <w:spacing w:before="0" w:after="0"/>
              <w:rPr>
                <w:rFonts w:eastAsia="Times New Roman"/>
                <w:b/>
                <w:bCs/>
                <w:sz w:val="20"/>
                <w:szCs w:val="20"/>
                <w:lang w:val="en-US"/>
              </w:rPr>
            </w:pPr>
            <w:r w:rsidRPr="003434C0">
              <w:rPr>
                <w:rFonts w:eastAsia="Times New Roman"/>
                <w:b/>
                <w:bCs/>
                <w:sz w:val="20"/>
                <w:szCs w:val="20"/>
                <w:lang w:val="en-US"/>
              </w:rPr>
              <w:t>Planned budget</w:t>
            </w:r>
            <w:r w:rsidRPr="003434C0">
              <w:rPr>
                <w:rFonts w:eastAsia="Times New Roman"/>
                <w:b/>
                <w:bCs/>
                <w:sz w:val="20"/>
                <w:szCs w:val="20"/>
                <w:vertAlign w:val="superscript"/>
                <w:lang w:val="en-US"/>
              </w:rPr>
              <w:t>1,2,3,</w:t>
            </w:r>
            <w:r w:rsidRPr="003434C0">
              <w:rPr>
                <w:rFonts w:eastAsia="Times New Roman"/>
                <w:b/>
                <w:bCs/>
                <w:sz w:val="20"/>
                <w:szCs w:val="20"/>
                <w:lang w:val="en-US"/>
              </w:rPr>
              <w:t>, MEUR</w:t>
            </w:r>
          </w:p>
        </w:tc>
      </w:tr>
      <w:tr w:rsidR="003434C0" w:rsidRPr="003434C0" w14:paraId="2A25FE8D" w14:textId="77777777" w:rsidTr="00C30D60">
        <w:trPr>
          <w:trHeight w:val="141"/>
        </w:trPr>
        <w:tc>
          <w:tcPr>
            <w:tcW w:w="9747" w:type="dxa"/>
            <w:gridSpan w:val="6"/>
          </w:tcPr>
          <w:p w14:paraId="11274245" w14:textId="77777777" w:rsidR="003434C0" w:rsidRPr="003434C0" w:rsidRDefault="003434C0" w:rsidP="003434C0">
            <w:pPr>
              <w:spacing w:before="0" w:after="0"/>
              <w:jc w:val="center"/>
              <w:rPr>
                <w:rFonts w:eastAsia="Times New Roman"/>
                <w:b/>
                <w:bCs/>
                <w:sz w:val="20"/>
                <w:szCs w:val="20"/>
                <w:lang w:val="en-US"/>
              </w:rPr>
            </w:pPr>
            <w:r w:rsidRPr="003434C0">
              <w:rPr>
                <w:rFonts w:eastAsia="Times New Roman"/>
                <w:b/>
                <w:bCs/>
                <w:sz w:val="20"/>
                <w:szCs w:val="20"/>
                <w:lang w:val="en-US"/>
              </w:rPr>
              <w:t>Adopted and under implementation measures</w:t>
            </w:r>
          </w:p>
        </w:tc>
      </w:tr>
      <w:tr w:rsidR="003434C0" w:rsidRPr="003434C0" w14:paraId="6E3524C8" w14:textId="77777777" w:rsidTr="003434C0">
        <w:trPr>
          <w:trHeight w:val="1380"/>
        </w:trPr>
        <w:tc>
          <w:tcPr>
            <w:tcW w:w="1951" w:type="dxa"/>
            <w:vMerge w:val="restart"/>
            <w:vAlign w:val="center"/>
          </w:tcPr>
          <w:p w14:paraId="0F69552D" w14:textId="77777777" w:rsidR="003434C0" w:rsidRDefault="003434C0" w:rsidP="003434C0">
            <w:pPr>
              <w:spacing w:before="0" w:after="0"/>
              <w:jc w:val="left"/>
              <w:rPr>
                <w:rFonts w:eastAsia="Times New Roman"/>
                <w:sz w:val="20"/>
                <w:szCs w:val="20"/>
                <w:lang w:val="en-US"/>
              </w:rPr>
            </w:pPr>
          </w:p>
          <w:p w14:paraId="53173978" w14:textId="77777777" w:rsidR="003434C0" w:rsidRDefault="003434C0" w:rsidP="003434C0">
            <w:pPr>
              <w:spacing w:before="0" w:after="0"/>
              <w:jc w:val="left"/>
              <w:rPr>
                <w:rFonts w:eastAsia="Times New Roman"/>
                <w:sz w:val="20"/>
                <w:szCs w:val="20"/>
                <w:lang w:val="en-US"/>
              </w:rPr>
            </w:pPr>
          </w:p>
          <w:p w14:paraId="3D04972C" w14:textId="77777777" w:rsidR="003434C0" w:rsidRDefault="003434C0" w:rsidP="003434C0">
            <w:pPr>
              <w:spacing w:before="0" w:after="0"/>
              <w:jc w:val="left"/>
              <w:rPr>
                <w:rFonts w:eastAsia="Times New Roman"/>
                <w:sz w:val="20"/>
                <w:szCs w:val="20"/>
                <w:lang w:val="en-US"/>
              </w:rPr>
            </w:pPr>
          </w:p>
          <w:p w14:paraId="74284002" w14:textId="77777777" w:rsidR="003434C0" w:rsidRDefault="003434C0" w:rsidP="003434C0">
            <w:pPr>
              <w:spacing w:before="0" w:after="0"/>
              <w:jc w:val="left"/>
              <w:rPr>
                <w:rFonts w:eastAsia="Times New Roman"/>
                <w:sz w:val="20"/>
                <w:szCs w:val="20"/>
                <w:lang w:val="en-US"/>
              </w:rPr>
            </w:pPr>
          </w:p>
          <w:p w14:paraId="472C8270" w14:textId="77777777" w:rsidR="003434C0" w:rsidRPr="003434C0" w:rsidRDefault="003434C0" w:rsidP="003434C0">
            <w:pPr>
              <w:spacing w:before="0" w:after="0"/>
              <w:jc w:val="left"/>
              <w:rPr>
                <w:rFonts w:eastAsia="Times New Roman"/>
                <w:sz w:val="20"/>
                <w:szCs w:val="20"/>
                <w:lang w:val="en-US"/>
              </w:rPr>
            </w:pPr>
          </w:p>
          <w:p w14:paraId="56F55D76" w14:textId="585359C9" w:rsidR="003434C0" w:rsidRPr="003434C0" w:rsidRDefault="003434C0" w:rsidP="003434C0">
            <w:pPr>
              <w:spacing w:before="0" w:after="0"/>
              <w:jc w:val="left"/>
              <w:rPr>
                <w:rFonts w:eastAsia="Times New Roman"/>
                <w:sz w:val="20"/>
                <w:szCs w:val="20"/>
                <w:lang w:val="en-US"/>
              </w:rPr>
            </w:pPr>
            <w:r w:rsidRPr="003434C0">
              <w:rPr>
                <w:rFonts w:eastAsia="Calibri"/>
                <w:sz w:val="20"/>
              </w:rPr>
              <w:t xml:space="preserve">W1. To reduce the quantity of waste disposed of in landfills </w:t>
            </w:r>
            <w:r>
              <w:rPr>
                <w:rFonts w:eastAsia="Calibri"/>
                <w:sz w:val="20"/>
              </w:rPr>
              <w:t>–</w:t>
            </w:r>
            <w:r w:rsidRPr="003434C0">
              <w:rPr>
                <w:rFonts w:eastAsia="Calibri"/>
                <w:sz w:val="20"/>
              </w:rPr>
              <w:t xml:space="preserve"> develop a </w:t>
            </w:r>
            <w:r w:rsidRPr="003434C0">
              <w:rPr>
                <w:rFonts w:eastAsia="Calibri"/>
                <w:sz w:val="20"/>
              </w:rPr>
              <w:lastRenderedPageBreak/>
              <w:t>rational recovery of material and energy resources of waste</w:t>
            </w:r>
          </w:p>
        </w:tc>
        <w:tc>
          <w:tcPr>
            <w:tcW w:w="2126" w:type="dxa"/>
          </w:tcPr>
          <w:p w14:paraId="1E0F67F6" w14:textId="34F92AB2" w:rsidR="003434C0" w:rsidRPr="003434C0" w:rsidRDefault="003434C0" w:rsidP="003434C0">
            <w:pPr>
              <w:spacing w:before="0" w:after="0"/>
              <w:rPr>
                <w:rFonts w:eastAsia="Times New Roman"/>
                <w:sz w:val="20"/>
                <w:szCs w:val="20"/>
                <w:lang w:val="en-US"/>
              </w:rPr>
            </w:pPr>
            <w:r w:rsidRPr="003434C0">
              <w:rPr>
                <w:rFonts w:eastAsia="Calibri"/>
                <w:sz w:val="20"/>
                <w:szCs w:val="20"/>
              </w:rPr>
              <w:lastRenderedPageBreak/>
              <w:t>By 2020, recycling or other recovery of municipal waste shall be at least 65% by weight</w:t>
            </w:r>
          </w:p>
        </w:tc>
        <w:tc>
          <w:tcPr>
            <w:tcW w:w="1418" w:type="dxa"/>
          </w:tcPr>
          <w:p w14:paraId="50141804" w14:textId="5803E5DC" w:rsidR="003434C0" w:rsidRPr="003434C0" w:rsidRDefault="003434C0" w:rsidP="003434C0">
            <w:pPr>
              <w:spacing w:before="0" w:after="0"/>
              <w:rPr>
                <w:rFonts w:eastAsia="Times New Roman"/>
                <w:sz w:val="20"/>
                <w:szCs w:val="20"/>
                <w:lang w:val="en-US"/>
              </w:rPr>
            </w:pPr>
            <w:r w:rsidRPr="003434C0">
              <w:rPr>
                <w:rFonts w:eastAsia="Times New Roman"/>
                <w:sz w:val="20"/>
                <w:szCs w:val="20"/>
                <w:lang w:val="en-US"/>
              </w:rPr>
              <w:t>2015 – 2020</w:t>
            </w:r>
          </w:p>
        </w:tc>
        <w:tc>
          <w:tcPr>
            <w:tcW w:w="1701" w:type="dxa"/>
          </w:tcPr>
          <w:p w14:paraId="2DEA2E84" w14:textId="5791C7C6" w:rsidR="003434C0" w:rsidRPr="003434C0" w:rsidRDefault="003434C0" w:rsidP="003434C0">
            <w:pPr>
              <w:spacing w:before="0" w:after="0"/>
              <w:rPr>
                <w:rFonts w:eastAsia="Times New Roman"/>
                <w:sz w:val="20"/>
                <w:szCs w:val="20"/>
                <w:lang w:val="en-US"/>
              </w:rPr>
            </w:pPr>
            <w:r w:rsidRPr="003434C0">
              <w:rPr>
                <w:rFonts w:eastAsia="Times New Roman"/>
                <w:sz w:val="20"/>
                <w:szCs w:val="20"/>
                <w:lang w:val="en-US"/>
              </w:rPr>
              <w:t>Ministry of Environment</w:t>
            </w:r>
          </w:p>
        </w:tc>
        <w:tc>
          <w:tcPr>
            <w:tcW w:w="1134" w:type="dxa"/>
          </w:tcPr>
          <w:p w14:paraId="0C07485C" w14:textId="7A4AB9CF" w:rsidR="003434C0" w:rsidRPr="003434C0" w:rsidRDefault="003434C0" w:rsidP="003434C0">
            <w:pPr>
              <w:spacing w:before="0" w:after="0"/>
              <w:rPr>
                <w:rFonts w:eastAsia="Times New Roman"/>
                <w:sz w:val="20"/>
                <w:szCs w:val="20"/>
                <w:lang w:val="en-US"/>
              </w:rPr>
            </w:pPr>
            <w:r w:rsidRPr="003434C0">
              <w:rPr>
                <w:rFonts w:eastAsia="Times New Roman"/>
                <w:sz w:val="20"/>
                <w:szCs w:val="20"/>
                <w:lang w:val="en-US"/>
              </w:rPr>
              <w:t>-</w:t>
            </w:r>
          </w:p>
        </w:tc>
        <w:tc>
          <w:tcPr>
            <w:tcW w:w="1417" w:type="dxa"/>
          </w:tcPr>
          <w:p w14:paraId="0E6FB310" w14:textId="57154A8A" w:rsidR="003434C0" w:rsidRPr="003434C0" w:rsidRDefault="003434C0" w:rsidP="003434C0">
            <w:pPr>
              <w:spacing w:before="0" w:after="0"/>
              <w:rPr>
                <w:rFonts w:eastAsia="Times New Roman"/>
                <w:color w:val="FF0000"/>
                <w:sz w:val="20"/>
                <w:szCs w:val="20"/>
                <w:lang w:val="en-US"/>
              </w:rPr>
            </w:pPr>
            <w:r w:rsidRPr="003434C0">
              <w:rPr>
                <w:rFonts w:eastAsia="Times New Roman"/>
                <w:sz w:val="20"/>
                <w:szCs w:val="20"/>
                <w:lang w:val="en-US"/>
              </w:rPr>
              <w:t>X</w:t>
            </w:r>
            <w:r w:rsidRPr="003434C0">
              <w:rPr>
                <w:rFonts w:eastAsia="Times New Roman"/>
                <w:sz w:val="20"/>
                <w:szCs w:val="20"/>
                <w:vertAlign w:val="superscript"/>
                <w:lang w:val="en-US"/>
              </w:rPr>
              <w:t>1,2,3</w:t>
            </w:r>
          </w:p>
        </w:tc>
      </w:tr>
      <w:tr w:rsidR="003434C0" w:rsidRPr="003434C0" w14:paraId="2314F335" w14:textId="77777777" w:rsidTr="00C30D60">
        <w:trPr>
          <w:trHeight w:val="557"/>
        </w:trPr>
        <w:tc>
          <w:tcPr>
            <w:tcW w:w="1951" w:type="dxa"/>
            <w:vMerge/>
          </w:tcPr>
          <w:p w14:paraId="11B9F19F" w14:textId="77777777" w:rsidR="003434C0" w:rsidRPr="003434C0" w:rsidRDefault="003434C0" w:rsidP="003434C0">
            <w:pPr>
              <w:spacing w:before="0" w:after="0"/>
              <w:rPr>
                <w:rFonts w:eastAsia="Times New Roman"/>
                <w:sz w:val="20"/>
                <w:szCs w:val="20"/>
                <w:lang w:val="en-US"/>
              </w:rPr>
            </w:pPr>
          </w:p>
        </w:tc>
        <w:tc>
          <w:tcPr>
            <w:tcW w:w="2126" w:type="dxa"/>
          </w:tcPr>
          <w:p w14:paraId="664A2312" w14:textId="7A33FFC5" w:rsidR="003434C0" w:rsidRPr="003434C0" w:rsidRDefault="003434C0" w:rsidP="003434C0">
            <w:pPr>
              <w:spacing w:before="0" w:after="0"/>
              <w:rPr>
                <w:rFonts w:eastAsia="Times New Roman"/>
                <w:sz w:val="20"/>
                <w:szCs w:val="20"/>
                <w:lang w:val="en-US"/>
              </w:rPr>
            </w:pPr>
            <w:r w:rsidRPr="003434C0">
              <w:rPr>
                <w:rFonts w:eastAsia="Calibri"/>
                <w:sz w:val="20"/>
                <w:szCs w:val="20"/>
              </w:rPr>
              <w:t xml:space="preserve">To ensure that by 2020, municipal biodegradable waste </w:t>
            </w:r>
            <w:r w:rsidRPr="003434C0">
              <w:rPr>
                <w:rFonts w:eastAsia="Calibri"/>
                <w:sz w:val="20"/>
                <w:szCs w:val="20"/>
              </w:rPr>
              <w:lastRenderedPageBreak/>
              <w:t>disposed of in landfills shall make up no more than 35% of municipal  biodegradable waste generated in 2000</w:t>
            </w:r>
          </w:p>
        </w:tc>
        <w:tc>
          <w:tcPr>
            <w:tcW w:w="1418" w:type="dxa"/>
          </w:tcPr>
          <w:p w14:paraId="45304686" w14:textId="77777777" w:rsidR="003434C0" w:rsidRPr="003434C0" w:rsidRDefault="003434C0" w:rsidP="003434C0">
            <w:pPr>
              <w:spacing w:before="0" w:after="0"/>
              <w:rPr>
                <w:rFonts w:eastAsia="Times New Roman"/>
                <w:sz w:val="20"/>
                <w:szCs w:val="20"/>
                <w:lang w:val="en-US"/>
              </w:rPr>
            </w:pPr>
            <w:r w:rsidRPr="003434C0">
              <w:rPr>
                <w:rFonts w:eastAsia="Times New Roman"/>
                <w:sz w:val="20"/>
                <w:szCs w:val="20"/>
                <w:lang w:val="en-US"/>
              </w:rPr>
              <w:lastRenderedPageBreak/>
              <w:t>2013 – 2020</w:t>
            </w:r>
          </w:p>
          <w:p w14:paraId="680E6C7A" w14:textId="77777777" w:rsidR="003434C0" w:rsidRPr="003434C0" w:rsidRDefault="003434C0" w:rsidP="003434C0">
            <w:pPr>
              <w:spacing w:before="0" w:after="0"/>
              <w:rPr>
                <w:rFonts w:eastAsia="Times New Roman"/>
                <w:sz w:val="20"/>
                <w:szCs w:val="20"/>
                <w:lang w:val="en-US"/>
              </w:rPr>
            </w:pPr>
          </w:p>
        </w:tc>
        <w:tc>
          <w:tcPr>
            <w:tcW w:w="1701" w:type="dxa"/>
          </w:tcPr>
          <w:p w14:paraId="0C647072" w14:textId="77777777" w:rsidR="003434C0" w:rsidRPr="003434C0" w:rsidRDefault="003434C0" w:rsidP="003434C0">
            <w:pPr>
              <w:spacing w:before="0" w:after="0"/>
              <w:rPr>
                <w:rFonts w:eastAsia="Times New Roman"/>
                <w:sz w:val="20"/>
                <w:szCs w:val="20"/>
                <w:lang w:val="en-US"/>
              </w:rPr>
            </w:pPr>
            <w:r w:rsidRPr="003434C0">
              <w:rPr>
                <w:rFonts w:eastAsia="Times New Roman"/>
                <w:sz w:val="20"/>
                <w:szCs w:val="20"/>
                <w:lang w:val="en-US"/>
              </w:rPr>
              <w:t>Ministry of Environment</w:t>
            </w:r>
          </w:p>
          <w:p w14:paraId="043A7D04" w14:textId="77777777" w:rsidR="003434C0" w:rsidRPr="003434C0" w:rsidRDefault="003434C0" w:rsidP="003434C0">
            <w:pPr>
              <w:spacing w:before="0" w:after="0"/>
              <w:rPr>
                <w:rFonts w:eastAsia="Times New Roman"/>
                <w:sz w:val="20"/>
                <w:szCs w:val="20"/>
                <w:lang w:val="en-US"/>
              </w:rPr>
            </w:pPr>
          </w:p>
        </w:tc>
        <w:tc>
          <w:tcPr>
            <w:tcW w:w="1134" w:type="dxa"/>
          </w:tcPr>
          <w:p w14:paraId="52DAAD63" w14:textId="77777777" w:rsidR="003434C0" w:rsidRPr="003434C0" w:rsidRDefault="003434C0" w:rsidP="003434C0">
            <w:pPr>
              <w:spacing w:before="0" w:after="0"/>
              <w:rPr>
                <w:rFonts w:eastAsia="Times New Roman"/>
                <w:sz w:val="20"/>
                <w:szCs w:val="20"/>
                <w:lang w:val="en-US"/>
              </w:rPr>
            </w:pPr>
            <w:r w:rsidRPr="003434C0">
              <w:rPr>
                <w:rFonts w:eastAsia="Times New Roman"/>
                <w:sz w:val="20"/>
                <w:szCs w:val="20"/>
                <w:lang w:val="en-US"/>
              </w:rPr>
              <w:t>3766</w:t>
            </w:r>
          </w:p>
        </w:tc>
        <w:tc>
          <w:tcPr>
            <w:tcW w:w="1417" w:type="dxa"/>
          </w:tcPr>
          <w:p w14:paraId="2A3A8BE1" w14:textId="77777777" w:rsidR="003434C0" w:rsidRPr="003434C0" w:rsidRDefault="003434C0" w:rsidP="003434C0">
            <w:pPr>
              <w:spacing w:before="0" w:after="0"/>
              <w:rPr>
                <w:rFonts w:eastAsia="Times New Roman"/>
                <w:sz w:val="20"/>
                <w:szCs w:val="20"/>
                <w:lang w:val="en-US"/>
              </w:rPr>
            </w:pPr>
            <w:r w:rsidRPr="003434C0">
              <w:rPr>
                <w:rFonts w:eastAsia="Times New Roman"/>
                <w:sz w:val="20"/>
                <w:szCs w:val="20"/>
                <w:lang w:val="en-US"/>
              </w:rPr>
              <w:t>X</w:t>
            </w:r>
            <w:r w:rsidRPr="003434C0">
              <w:rPr>
                <w:rFonts w:eastAsia="Times New Roman"/>
                <w:sz w:val="20"/>
                <w:szCs w:val="20"/>
                <w:vertAlign w:val="superscript"/>
                <w:lang w:val="en-US"/>
              </w:rPr>
              <w:t>1,2,3</w:t>
            </w:r>
          </w:p>
        </w:tc>
      </w:tr>
      <w:tr w:rsidR="003434C0" w:rsidRPr="003434C0" w14:paraId="4F68430F" w14:textId="77777777" w:rsidTr="00C30D60">
        <w:trPr>
          <w:trHeight w:val="413"/>
        </w:trPr>
        <w:tc>
          <w:tcPr>
            <w:tcW w:w="1951" w:type="dxa"/>
            <w:vMerge/>
          </w:tcPr>
          <w:p w14:paraId="75C30221" w14:textId="77777777" w:rsidR="003434C0" w:rsidRPr="003434C0" w:rsidRDefault="003434C0" w:rsidP="003434C0">
            <w:pPr>
              <w:spacing w:before="0" w:after="0"/>
              <w:rPr>
                <w:rFonts w:eastAsia="Times New Roman"/>
                <w:sz w:val="20"/>
                <w:szCs w:val="20"/>
                <w:lang w:val="en-US"/>
              </w:rPr>
            </w:pPr>
          </w:p>
        </w:tc>
        <w:tc>
          <w:tcPr>
            <w:tcW w:w="2126" w:type="dxa"/>
          </w:tcPr>
          <w:p w14:paraId="5535AFF0" w14:textId="77777777" w:rsidR="003434C0" w:rsidRPr="003434C0" w:rsidRDefault="003434C0" w:rsidP="003434C0">
            <w:pPr>
              <w:spacing w:before="0" w:after="0"/>
              <w:rPr>
                <w:rFonts w:eastAsia="Times New Roman"/>
                <w:sz w:val="20"/>
                <w:szCs w:val="20"/>
                <w:lang w:val="en-US"/>
              </w:rPr>
            </w:pPr>
            <w:r w:rsidRPr="003434C0">
              <w:rPr>
                <w:rFonts w:eastAsia="Times New Roman"/>
                <w:sz w:val="20"/>
                <w:szCs w:val="20"/>
                <w:lang w:val="en-US"/>
              </w:rPr>
              <w:t>Recovery of CH</w:t>
            </w:r>
            <w:r w:rsidRPr="003434C0">
              <w:rPr>
                <w:rFonts w:eastAsia="Times New Roman"/>
                <w:sz w:val="20"/>
                <w:szCs w:val="20"/>
                <w:vertAlign w:val="subscript"/>
                <w:lang w:val="en-US"/>
              </w:rPr>
              <w:t>4</w:t>
            </w:r>
            <w:r w:rsidRPr="003434C0">
              <w:rPr>
                <w:rFonts w:eastAsia="Times New Roman"/>
                <w:sz w:val="20"/>
                <w:szCs w:val="20"/>
                <w:lang w:val="en-US"/>
              </w:rPr>
              <w:t xml:space="preserve"> gas from landfills for energy production</w:t>
            </w:r>
          </w:p>
        </w:tc>
        <w:tc>
          <w:tcPr>
            <w:tcW w:w="1418" w:type="dxa"/>
          </w:tcPr>
          <w:p w14:paraId="07AB5F16" w14:textId="77777777" w:rsidR="003434C0" w:rsidRPr="003434C0" w:rsidRDefault="003434C0" w:rsidP="003434C0">
            <w:pPr>
              <w:spacing w:before="0" w:after="0"/>
              <w:rPr>
                <w:rFonts w:eastAsia="Times New Roman"/>
                <w:sz w:val="20"/>
                <w:szCs w:val="20"/>
                <w:lang w:val="en-US"/>
              </w:rPr>
            </w:pPr>
            <w:r w:rsidRPr="003434C0">
              <w:rPr>
                <w:rFonts w:eastAsia="Times New Roman"/>
                <w:sz w:val="20"/>
                <w:szCs w:val="20"/>
                <w:lang w:val="en-US"/>
              </w:rPr>
              <w:t>2013 – 2020</w:t>
            </w:r>
          </w:p>
        </w:tc>
        <w:tc>
          <w:tcPr>
            <w:tcW w:w="1701" w:type="dxa"/>
          </w:tcPr>
          <w:p w14:paraId="546B7AC0" w14:textId="77777777" w:rsidR="003434C0" w:rsidRPr="003434C0" w:rsidRDefault="003434C0" w:rsidP="003434C0">
            <w:pPr>
              <w:spacing w:before="0" w:after="0"/>
              <w:rPr>
                <w:rFonts w:eastAsia="Times New Roman"/>
                <w:sz w:val="20"/>
                <w:szCs w:val="20"/>
                <w:lang w:val="en-US"/>
              </w:rPr>
            </w:pPr>
            <w:r w:rsidRPr="003434C0">
              <w:rPr>
                <w:rFonts w:eastAsia="Times New Roman"/>
                <w:sz w:val="20"/>
                <w:szCs w:val="20"/>
                <w:lang w:val="en-US"/>
              </w:rPr>
              <w:t>Ministry of Environment</w:t>
            </w:r>
          </w:p>
        </w:tc>
        <w:tc>
          <w:tcPr>
            <w:tcW w:w="1134" w:type="dxa"/>
          </w:tcPr>
          <w:p w14:paraId="3A50F496" w14:textId="77777777" w:rsidR="003434C0" w:rsidRPr="003434C0" w:rsidRDefault="003434C0" w:rsidP="003434C0">
            <w:pPr>
              <w:spacing w:before="0" w:after="0"/>
              <w:rPr>
                <w:rFonts w:eastAsia="Times New Roman"/>
                <w:sz w:val="20"/>
                <w:szCs w:val="20"/>
                <w:lang w:val="en-US"/>
              </w:rPr>
            </w:pPr>
            <w:r w:rsidRPr="003434C0">
              <w:rPr>
                <w:rFonts w:eastAsia="Times New Roman"/>
                <w:sz w:val="20"/>
                <w:szCs w:val="20"/>
                <w:lang w:val="en-US"/>
              </w:rPr>
              <w:t>1940</w:t>
            </w:r>
          </w:p>
        </w:tc>
        <w:tc>
          <w:tcPr>
            <w:tcW w:w="1417" w:type="dxa"/>
          </w:tcPr>
          <w:p w14:paraId="4EC3FA5B" w14:textId="77777777" w:rsidR="003434C0" w:rsidRPr="003434C0" w:rsidRDefault="003434C0" w:rsidP="003434C0">
            <w:pPr>
              <w:spacing w:before="0" w:after="0"/>
              <w:rPr>
                <w:rFonts w:eastAsia="Times New Roman"/>
                <w:sz w:val="20"/>
                <w:szCs w:val="20"/>
                <w:vertAlign w:val="superscript"/>
                <w:lang w:val="en-US"/>
              </w:rPr>
            </w:pPr>
            <w:r w:rsidRPr="003434C0">
              <w:rPr>
                <w:rFonts w:eastAsia="Times New Roman"/>
                <w:sz w:val="20"/>
                <w:szCs w:val="20"/>
                <w:lang w:val="en-US"/>
              </w:rPr>
              <w:t>X</w:t>
            </w:r>
            <w:r w:rsidRPr="003434C0">
              <w:rPr>
                <w:rFonts w:eastAsia="Times New Roman"/>
                <w:sz w:val="20"/>
                <w:szCs w:val="20"/>
                <w:vertAlign w:val="superscript"/>
                <w:lang w:val="en-US"/>
              </w:rPr>
              <w:t>1,2,3</w:t>
            </w:r>
          </w:p>
        </w:tc>
      </w:tr>
      <w:tr w:rsidR="003434C0" w:rsidRPr="003434C0" w14:paraId="6EDDB94A" w14:textId="77777777" w:rsidTr="00C30D60">
        <w:trPr>
          <w:trHeight w:val="413"/>
        </w:trPr>
        <w:tc>
          <w:tcPr>
            <w:tcW w:w="1951" w:type="dxa"/>
            <w:vMerge/>
          </w:tcPr>
          <w:p w14:paraId="6DE173A8" w14:textId="77777777" w:rsidR="003434C0" w:rsidRPr="003434C0" w:rsidRDefault="003434C0" w:rsidP="003434C0">
            <w:pPr>
              <w:spacing w:before="0" w:after="0"/>
              <w:rPr>
                <w:rFonts w:eastAsia="Times New Roman"/>
                <w:sz w:val="20"/>
                <w:szCs w:val="20"/>
                <w:lang w:val="en-US"/>
              </w:rPr>
            </w:pPr>
          </w:p>
        </w:tc>
        <w:tc>
          <w:tcPr>
            <w:tcW w:w="2126" w:type="dxa"/>
          </w:tcPr>
          <w:p w14:paraId="7D1EF2BB" w14:textId="77777777" w:rsidR="003434C0" w:rsidRPr="003434C0" w:rsidRDefault="003434C0" w:rsidP="003434C0">
            <w:pPr>
              <w:spacing w:before="0" w:after="0"/>
              <w:rPr>
                <w:rFonts w:eastAsia="Times New Roman"/>
                <w:sz w:val="20"/>
                <w:szCs w:val="20"/>
                <w:lang w:val="en-US"/>
              </w:rPr>
            </w:pPr>
            <w:r w:rsidRPr="003434C0">
              <w:rPr>
                <w:rFonts w:eastAsia="Times New Roman"/>
                <w:sz w:val="20"/>
                <w:szCs w:val="20"/>
                <w:lang w:val="en-US"/>
              </w:rPr>
              <w:t>Incineration plants (Klaipėda, Vilnius and Kaunas)</w:t>
            </w:r>
          </w:p>
        </w:tc>
        <w:tc>
          <w:tcPr>
            <w:tcW w:w="1418" w:type="dxa"/>
          </w:tcPr>
          <w:p w14:paraId="2752F622" w14:textId="24AB77FE" w:rsidR="003434C0" w:rsidRPr="003434C0" w:rsidRDefault="003434C0" w:rsidP="003434C0">
            <w:pPr>
              <w:spacing w:before="0" w:after="0"/>
              <w:rPr>
                <w:rFonts w:eastAsia="Times New Roman"/>
                <w:sz w:val="20"/>
                <w:szCs w:val="20"/>
                <w:lang w:val="en-US"/>
              </w:rPr>
            </w:pPr>
            <w:r w:rsidRPr="003434C0">
              <w:rPr>
                <w:rFonts w:eastAsia="Times New Roman"/>
                <w:sz w:val="20"/>
                <w:szCs w:val="20"/>
                <w:lang w:val="en-US"/>
              </w:rPr>
              <w:t>Klaipėda is in operation from</w:t>
            </w:r>
            <w:r>
              <w:rPr>
                <w:rFonts w:eastAsia="Times New Roman"/>
                <w:sz w:val="20"/>
                <w:szCs w:val="20"/>
                <w:lang w:val="en-US"/>
              </w:rPr>
              <w:t xml:space="preserve"> 2013.</w:t>
            </w:r>
          </w:p>
          <w:p w14:paraId="34B9361E" w14:textId="10A85402" w:rsidR="003434C0" w:rsidRPr="003434C0" w:rsidRDefault="003434C0" w:rsidP="003434C0">
            <w:pPr>
              <w:spacing w:before="0" w:after="0"/>
              <w:rPr>
                <w:rFonts w:eastAsia="Times New Roman"/>
                <w:sz w:val="20"/>
                <w:szCs w:val="20"/>
                <w:lang w:val="en-US"/>
              </w:rPr>
            </w:pPr>
            <w:r w:rsidRPr="003434C0">
              <w:rPr>
                <w:rFonts w:eastAsia="Times New Roman"/>
                <w:sz w:val="20"/>
                <w:szCs w:val="20"/>
                <w:lang w:val="en-US"/>
              </w:rPr>
              <w:t>Vilnius and Kaunas will be in operation from 2020</w:t>
            </w:r>
            <w:r>
              <w:rPr>
                <w:rFonts w:eastAsia="Times New Roman"/>
                <w:sz w:val="20"/>
                <w:szCs w:val="20"/>
                <w:lang w:val="en-US"/>
              </w:rPr>
              <w:t>.</w:t>
            </w:r>
          </w:p>
        </w:tc>
        <w:tc>
          <w:tcPr>
            <w:tcW w:w="1701" w:type="dxa"/>
          </w:tcPr>
          <w:p w14:paraId="405DE67A" w14:textId="77777777" w:rsidR="003434C0" w:rsidRPr="003434C0" w:rsidRDefault="003434C0" w:rsidP="003434C0">
            <w:pPr>
              <w:spacing w:before="0" w:after="0"/>
              <w:rPr>
                <w:rFonts w:eastAsia="Times New Roman"/>
                <w:sz w:val="20"/>
                <w:szCs w:val="20"/>
                <w:lang w:val="en-US"/>
              </w:rPr>
            </w:pPr>
            <w:r w:rsidRPr="003434C0">
              <w:rPr>
                <w:rFonts w:eastAsia="Times New Roman"/>
                <w:sz w:val="20"/>
                <w:szCs w:val="20"/>
                <w:lang w:val="en-US"/>
              </w:rPr>
              <w:t>Private investor</w:t>
            </w:r>
          </w:p>
        </w:tc>
        <w:tc>
          <w:tcPr>
            <w:tcW w:w="1134" w:type="dxa"/>
          </w:tcPr>
          <w:p w14:paraId="6D5FBE65" w14:textId="77777777" w:rsidR="003434C0" w:rsidRPr="003434C0" w:rsidRDefault="003434C0" w:rsidP="003434C0">
            <w:pPr>
              <w:spacing w:before="0" w:after="0"/>
              <w:rPr>
                <w:rFonts w:eastAsia="Times New Roman"/>
                <w:sz w:val="20"/>
                <w:szCs w:val="20"/>
                <w:lang w:val="en-US"/>
              </w:rPr>
            </w:pPr>
          </w:p>
        </w:tc>
        <w:tc>
          <w:tcPr>
            <w:tcW w:w="1417" w:type="dxa"/>
          </w:tcPr>
          <w:p w14:paraId="0D180DFF" w14:textId="77777777" w:rsidR="003434C0" w:rsidRPr="003434C0" w:rsidRDefault="003434C0" w:rsidP="003434C0">
            <w:pPr>
              <w:spacing w:before="0" w:after="0"/>
              <w:rPr>
                <w:rFonts w:eastAsia="Times New Roman"/>
                <w:sz w:val="20"/>
                <w:szCs w:val="20"/>
                <w:vertAlign w:val="superscript"/>
                <w:lang w:val="en-US"/>
              </w:rPr>
            </w:pPr>
            <w:r w:rsidRPr="003434C0">
              <w:rPr>
                <w:rFonts w:eastAsia="Times New Roman"/>
                <w:sz w:val="20"/>
                <w:szCs w:val="20"/>
                <w:lang w:val="en-US"/>
              </w:rPr>
              <w:t>X</w:t>
            </w:r>
            <w:r w:rsidRPr="003434C0">
              <w:rPr>
                <w:rFonts w:eastAsia="Times New Roman"/>
                <w:sz w:val="20"/>
                <w:szCs w:val="20"/>
                <w:vertAlign w:val="superscript"/>
                <w:lang w:val="en-US"/>
              </w:rPr>
              <w:t>1,3</w:t>
            </w:r>
          </w:p>
        </w:tc>
      </w:tr>
      <w:tr w:rsidR="003434C0" w:rsidRPr="003434C0" w14:paraId="24002999" w14:textId="77777777" w:rsidTr="00C30D60">
        <w:trPr>
          <w:trHeight w:val="413"/>
        </w:trPr>
        <w:tc>
          <w:tcPr>
            <w:tcW w:w="7196" w:type="dxa"/>
            <w:gridSpan w:val="4"/>
          </w:tcPr>
          <w:p w14:paraId="4B1A3AED" w14:textId="77777777" w:rsidR="003434C0" w:rsidRPr="003434C0" w:rsidRDefault="003434C0" w:rsidP="003434C0">
            <w:pPr>
              <w:spacing w:before="0" w:after="0"/>
              <w:jc w:val="right"/>
              <w:rPr>
                <w:rFonts w:eastAsia="Times New Roman"/>
                <w:sz w:val="20"/>
                <w:szCs w:val="20"/>
                <w:lang w:val="en-US"/>
              </w:rPr>
            </w:pPr>
            <w:r w:rsidRPr="003434C0">
              <w:rPr>
                <w:rFonts w:eastAsia="Times New Roman"/>
                <w:sz w:val="20"/>
                <w:szCs w:val="20"/>
                <w:lang w:val="en-US"/>
              </w:rPr>
              <w:t>Total adopted:</w:t>
            </w:r>
          </w:p>
        </w:tc>
        <w:tc>
          <w:tcPr>
            <w:tcW w:w="1134" w:type="dxa"/>
          </w:tcPr>
          <w:p w14:paraId="48537748" w14:textId="77777777" w:rsidR="003434C0" w:rsidRPr="003434C0" w:rsidRDefault="003434C0" w:rsidP="003434C0">
            <w:pPr>
              <w:spacing w:before="0" w:after="0"/>
              <w:rPr>
                <w:rFonts w:eastAsia="Times New Roman"/>
                <w:sz w:val="20"/>
                <w:szCs w:val="20"/>
                <w:lang w:val="en-US"/>
              </w:rPr>
            </w:pPr>
            <w:r w:rsidRPr="003434C0">
              <w:rPr>
                <w:rFonts w:eastAsia="Times New Roman"/>
                <w:sz w:val="20"/>
                <w:szCs w:val="20"/>
                <w:lang w:val="en-US"/>
              </w:rPr>
              <w:t>6359</w:t>
            </w:r>
          </w:p>
        </w:tc>
        <w:tc>
          <w:tcPr>
            <w:tcW w:w="1417" w:type="dxa"/>
          </w:tcPr>
          <w:p w14:paraId="4513CF2F" w14:textId="77777777" w:rsidR="003434C0" w:rsidRPr="003434C0" w:rsidRDefault="003434C0" w:rsidP="003434C0">
            <w:pPr>
              <w:spacing w:before="0" w:after="0"/>
              <w:rPr>
                <w:rFonts w:eastAsia="Times New Roman"/>
                <w:sz w:val="20"/>
                <w:szCs w:val="20"/>
                <w:lang w:val="en-US"/>
              </w:rPr>
            </w:pPr>
          </w:p>
        </w:tc>
      </w:tr>
      <w:tr w:rsidR="003434C0" w:rsidRPr="003434C0" w14:paraId="3E0EB3CC" w14:textId="77777777" w:rsidTr="003434C0">
        <w:trPr>
          <w:trHeight w:val="216"/>
        </w:trPr>
        <w:tc>
          <w:tcPr>
            <w:tcW w:w="9747" w:type="dxa"/>
            <w:gridSpan w:val="6"/>
          </w:tcPr>
          <w:p w14:paraId="35489F29" w14:textId="77777777" w:rsidR="003434C0" w:rsidRPr="003434C0" w:rsidRDefault="003434C0" w:rsidP="003434C0">
            <w:pPr>
              <w:spacing w:before="0" w:after="0"/>
              <w:jc w:val="center"/>
              <w:rPr>
                <w:rFonts w:eastAsia="Times New Roman"/>
                <w:b/>
                <w:bCs/>
                <w:sz w:val="20"/>
                <w:szCs w:val="20"/>
                <w:lang w:val="en-US"/>
              </w:rPr>
            </w:pPr>
            <w:r w:rsidRPr="003434C0">
              <w:rPr>
                <w:rFonts w:eastAsia="Times New Roman"/>
                <w:b/>
                <w:bCs/>
                <w:sz w:val="20"/>
                <w:szCs w:val="20"/>
                <w:lang w:val="en-US"/>
              </w:rPr>
              <w:t>Planned/provisional measures</w:t>
            </w:r>
          </w:p>
        </w:tc>
      </w:tr>
      <w:tr w:rsidR="003434C0" w:rsidRPr="003434C0" w14:paraId="6637F6EB" w14:textId="77777777" w:rsidTr="00C30D60">
        <w:trPr>
          <w:trHeight w:val="358"/>
        </w:trPr>
        <w:tc>
          <w:tcPr>
            <w:tcW w:w="1951" w:type="dxa"/>
            <w:vMerge w:val="restart"/>
          </w:tcPr>
          <w:p w14:paraId="5E2BEF9F" w14:textId="77777777" w:rsidR="003434C0" w:rsidRPr="003434C0" w:rsidRDefault="003434C0" w:rsidP="003434C0">
            <w:pPr>
              <w:spacing w:before="0" w:after="0"/>
              <w:rPr>
                <w:rFonts w:eastAsia="Times New Roman"/>
                <w:sz w:val="20"/>
                <w:szCs w:val="20"/>
                <w:lang w:val="en-US"/>
              </w:rPr>
            </w:pPr>
            <w:r w:rsidRPr="003434C0">
              <w:rPr>
                <w:rFonts w:eastAsia="Times New Roman"/>
                <w:sz w:val="20"/>
                <w:szCs w:val="20"/>
                <w:lang w:val="en-US"/>
              </w:rPr>
              <w:t>W2. Minimization of the amount of landfilled waste</w:t>
            </w:r>
          </w:p>
          <w:p w14:paraId="56949F78" w14:textId="77777777" w:rsidR="003434C0" w:rsidRPr="003434C0" w:rsidRDefault="003434C0" w:rsidP="003434C0">
            <w:pPr>
              <w:spacing w:before="0" w:after="0"/>
              <w:rPr>
                <w:rFonts w:eastAsia="Times New Roman"/>
                <w:sz w:val="20"/>
                <w:szCs w:val="20"/>
                <w:lang w:val="en-US"/>
              </w:rPr>
            </w:pPr>
          </w:p>
        </w:tc>
        <w:tc>
          <w:tcPr>
            <w:tcW w:w="2126" w:type="dxa"/>
          </w:tcPr>
          <w:p w14:paraId="1EB6B056" w14:textId="77777777" w:rsidR="003434C0" w:rsidRPr="003434C0" w:rsidRDefault="003434C0" w:rsidP="003434C0">
            <w:pPr>
              <w:spacing w:before="0" w:after="0"/>
              <w:rPr>
                <w:rFonts w:eastAsia="Times New Roman"/>
                <w:sz w:val="20"/>
                <w:szCs w:val="20"/>
                <w:lang w:val="en-US"/>
              </w:rPr>
            </w:pPr>
            <w:r w:rsidRPr="003434C0">
              <w:rPr>
                <w:rFonts w:eastAsia="Times New Roman"/>
                <w:sz w:val="20"/>
                <w:szCs w:val="20"/>
                <w:lang w:val="en-US"/>
              </w:rPr>
              <w:t>60% of municipal waste (by weight) planned to be recycled by 2030</w:t>
            </w:r>
          </w:p>
        </w:tc>
        <w:tc>
          <w:tcPr>
            <w:tcW w:w="1418" w:type="dxa"/>
          </w:tcPr>
          <w:p w14:paraId="6197A2BD" w14:textId="77777777" w:rsidR="003434C0" w:rsidRPr="003434C0" w:rsidRDefault="003434C0" w:rsidP="003434C0">
            <w:pPr>
              <w:spacing w:before="0" w:after="0"/>
              <w:jc w:val="center"/>
              <w:rPr>
                <w:rFonts w:eastAsia="Times New Roman"/>
                <w:sz w:val="20"/>
                <w:szCs w:val="20"/>
                <w:lang w:val="en-US"/>
              </w:rPr>
            </w:pPr>
            <w:r w:rsidRPr="003434C0">
              <w:rPr>
                <w:rFonts w:eastAsia="Times New Roman"/>
                <w:sz w:val="20"/>
                <w:szCs w:val="20"/>
                <w:lang w:val="en-US"/>
              </w:rPr>
              <w:t>2021 – 2030</w:t>
            </w:r>
          </w:p>
        </w:tc>
        <w:tc>
          <w:tcPr>
            <w:tcW w:w="1701" w:type="dxa"/>
          </w:tcPr>
          <w:p w14:paraId="114B2227" w14:textId="77777777" w:rsidR="003434C0" w:rsidRPr="003434C0" w:rsidRDefault="003434C0" w:rsidP="003434C0">
            <w:pPr>
              <w:spacing w:before="0" w:after="0"/>
              <w:jc w:val="center"/>
              <w:rPr>
                <w:rFonts w:eastAsia="Times New Roman"/>
                <w:sz w:val="20"/>
                <w:szCs w:val="20"/>
                <w:lang w:val="en-US"/>
              </w:rPr>
            </w:pPr>
            <w:r w:rsidRPr="003434C0">
              <w:rPr>
                <w:rFonts w:eastAsia="Times New Roman"/>
                <w:sz w:val="20"/>
                <w:szCs w:val="20"/>
                <w:lang w:val="en-US"/>
              </w:rPr>
              <w:t>Ministry of Environment</w:t>
            </w:r>
          </w:p>
        </w:tc>
        <w:tc>
          <w:tcPr>
            <w:tcW w:w="1134" w:type="dxa"/>
          </w:tcPr>
          <w:p w14:paraId="0A69DE74" w14:textId="77777777" w:rsidR="003434C0" w:rsidRPr="003434C0" w:rsidRDefault="003434C0" w:rsidP="003434C0">
            <w:pPr>
              <w:spacing w:before="0" w:after="0"/>
              <w:jc w:val="center"/>
              <w:rPr>
                <w:rFonts w:eastAsia="Times New Roman"/>
                <w:sz w:val="20"/>
                <w:szCs w:val="20"/>
                <w:lang w:val="en-US"/>
              </w:rPr>
            </w:pPr>
            <w:r w:rsidRPr="003434C0">
              <w:rPr>
                <w:rFonts w:eastAsia="Times New Roman"/>
                <w:sz w:val="20"/>
                <w:szCs w:val="20"/>
                <w:lang w:val="en-US"/>
              </w:rPr>
              <w:t>865</w:t>
            </w:r>
          </w:p>
        </w:tc>
        <w:tc>
          <w:tcPr>
            <w:tcW w:w="1417" w:type="dxa"/>
          </w:tcPr>
          <w:p w14:paraId="1A87C908" w14:textId="77777777" w:rsidR="003434C0" w:rsidRPr="003434C0" w:rsidRDefault="003434C0" w:rsidP="003434C0">
            <w:pPr>
              <w:spacing w:before="0" w:after="0"/>
              <w:jc w:val="center"/>
              <w:rPr>
                <w:rFonts w:eastAsia="Times New Roman"/>
                <w:sz w:val="20"/>
                <w:szCs w:val="20"/>
                <w:lang w:val="en-US"/>
              </w:rPr>
            </w:pPr>
            <w:r w:rsidRPr="003434C0">
              <w:rPr>
                <w:rFonts w:eastAsia="Times New Roman"/>
                <w:sz w:val="20"/>
                <w:szCs w:val="20"/>
                <w:lang w:val="en-US"/>
              </w:rPr>
              <w:t>1.5</w:t>
            </w:r>
          </w:p>
        </w:tc>
      </w:tr>
      <w:tr w:rsidR="003434C0" w:rsidRPr="003434C0" w14:paraId="0897C0AE" w14:textId="77777777" w:rsidTr="00C30D60">
        <w:trPr>
          <w:trHeight w:val="411"/>
        </w:trPr>
        <w:tc>
          <w:tcPr>
            <w:tcW w:w="1951" w:type="dxa"/>
            <w:vMerge/>
          </w:tcPr>
          <w:p w14:paraId="0C088C5C" w14:textId="77777777" w:rsidR="003434C0" w:rsidRPr="003434C0" w:rsidRDefault="003434C0" w:rsidP="003434C0">
            <w:pPr>
              <w:spacing w:before="0" w:after="0"/>
              <w:rPr>
                <w:rFonts w:eastAsia="Times New Roman"/>
                <w:sz w:val="20"/>
                <w:szCs w:val="20"/>
                <w:lang w:val="en-US"/>
              </w:rPr>
            </w:pPr>
          </w:p>
        </w:tc>
        <w:tc>
          <w:tcPr>
            <w:tcW w:w="2126" w:type="dxa"/>
          </w:tcPr>
          <w:p w14:paraId="3EFD69FB" w14:textId="4AF027CF" w:rsidR="003434C0" w:rsidRPr="003434C0" w:rsidRDefault="003434C0" w:rsidP="003434C0">
            <w:pPr>
              <w:spacing w:before="0" w:after="0"/>
              <w:rPr>
                <w:rFonts w:eastAsia="Times New Roman"/>
                <w:sz w:val="20"/>
                <w:szCs w:val="20"/>
                <w:lang w:val="en-US"/>
              </w:rPr>
            </w:pPr>
            <w:r w:rsidRPr="003434C0">
              <w:rPr>
                <w:rFonts w:eastAsia="Times New Roman"/>
                <w:sz w:val="20"/>
                <w:szCs w:val="20"/>
                <w:lang w:val="en-US"/>
              </w:rPr>
              <w:t>Reducing the amount of food waste per capita</w:t>
            </w:r>
          </w:p>
        </w:tc>
        <w:tc>
          <w:tcPr>
            <w:tcW w:w="1418" w:type="dxa"/>
          </w:tcPr>
          <w:p w14:paraId="1AD7A3BE" w14:textId="77777777" w:rsidR="003434C0" w:rsidRPr="003434C0" w:rsidRDefault="003434C0" w:rsidP="003434C0">
            <w:pPr>
              <w:spacing w:before="0" w:after="0"/>
              <w:jc w:val="center"/>
              <w:rPr>
                <w:rFonts w:eastAsia="Times New Roman"/>
                <w:sz w:val="20"/>
                <w:szCs w:val="20"/>
                <w:lang w:val="en-US"/>
              </w:rPr>
            </w:pPr>
            <w:r w:rsidRPr="003434C0">
              <w:rPr>
                <w:rFonts w:eastAsia="Times New Roman"/>
                <w:sz w:val="20"/>
                <w:szCs w:val="20"/>
                <w:lang w:val="en-US"/>
              </w:rPr>
              <w:t>2021 – 2030</w:t>
            </w:r>
          </w:p>
        </w:tc>
        <w:tc>
          <w:tcPr>
            <w:tcW w:w="1701" w:type="dxa"/>
          </w:tcPr>
          <w:p w14:paraId="5DB17688" w14:textId="77777777" w:rsidR="003434C0" w:rsidRPr="003434C0" w:rsidRDefault="003434C0" w:rsidP="003434C0">
            <w:pPr>
              <w:spacing w:before="0" w:after="0"/>
              <w:jc w:val="center"/>
              <w:rPr>
                <w:rFonts w:eastAsia="Times New Roman"/>
                <w:sz w:val="20"/>
                <w:szCs w:val="20"/>
                <w:lang w:val="en-US"/>
              </w:rPr>
            </w:pPr>
            <w:r w:rsidRPr="003434C0">
              <w:rPr>
                <w:rFonts w:eastAsia="Times New Roman"/>
                <w:sz w:val="20"/>
                <w:szCs w:val="20"/>
                <w:lang w:val="en-US"/>
              </w:rPr>
              <w:t>Ministry of Environment</w:t>
            </w:r>
          </w:p>
        </w:tc>
        <w:tc>
          <w:tcPr>
            <w:tcW w:w="1134" w:type="dxa"/>
          </w:tcPr>
          <w:p w14:paraId="7C1D1652" w14:textId="77777777" w:rsidR="003434C0" w:rsidRPr="003434C0" w:rsidRDefault="003434C0" w:rsidP="003434C0">
            <w:pPr>
              <w:spacing w:before="0" w:after="0"/>
              <w:jc w:val="center"/>
              <w:rPr>
                <w:rFonts w:eastAsia="Times New Roman"/>
                <w:sz w:val="20"/>
                <w:szCs w:val="20"/>
                <w:lang w:val="en-US"/>
              </w:rPr>
            </w:pPr>
            <w:r w:rsidRPr="003434C0">
              <w:rPr>
                <w:rFonts w:eastAsia="Times New Roman"/>
                <w:sz w:val="20"/>
                <w:szCs w:val="20"/>
                <w:lang w:val="en-US"/>
              </w:rPr>
              <w:t>33</w:t>
            </w:r>
          </w:p>
        </w:tc>
        <w:tc>
          <w:tcPr>
            <w:tcW w:w="1417" w:type="dxa"/>
          </w:tcPr>
          <w:p w14:paraId="02EE3C9B" w14:textId="77777777" w:rsidR="003434C0" w:rsidRPr="003434C0" w:rsidRDefault="003434C0" w:rsidP="003434C0">
            <w:pPr>
              <w:spacing w:before="0" w:after="0"/>
              <w:rPr>
                <w:rFonts w:eastAsia="Times New Roman"/>
                <w:sz w:val="20"/>
                <w:szCs w:val="20"/>
                <w:lang w:val="en-US"/>
              </w:rPr>
            </w:pPr>
            <w:r w:rsidRPr="003434C0">
              <w:rPr>
                <w:rFonts w:eastAsia="Times New Roman"/>
                <w:sz w:val="20"/>
                <w:szCs w:val="20"/>
                <w:lang w:val="en-US"/>
              </w:rPr>
              <w:t>X</w:t>
            </w:r>
            <w:r w:rsidRPr="003434C0">
              <w:rPr>
                <w:rFonts w:eastAsia="Times New Roman"/>
                <w:sz w:val="20"/>
                <w:szCs w:val="20"/>
                <w:vertAlign w:val="superscript"/>
                <w:lang w:val="en-US"/>
              </w:rPr>
              <w:t>1,3</w:t>
            </w:r>
          </w:p>
        </w:tc>
      </w:tr>
      <w:tr w:rsidR="003434C0" w:rsidRPr="003434C0" w14:paraId="38075BFD" w14:textId="77777777" w:rsidTr="00C30D60">
        <w:trPr>
          <w:trHeight w:val="411"/>
        </w:trPr>
        <w:tc>
          <w:tcPr>
            <w:tcW w:w="7196" w:type="dxa"/>
            <w:gridSpan w:val="4"/>
          </w:tcPr>
          <w:p w14:paraId="40C799CC" w14:textId="77777777" w:rsidR="003434C0" w:rsidRPr="003434C0" w:rsidRDefault="003434C0" w:rsidP="003434C0">
            <w:pPr>
              <w:spacing w:before="0" w:after="0"/>
              <w:jc w:val="right"/>
              <w:rPr>
                <w:rFonts w:eastAsia="Times New Roman"/>
                <w:sz w:val="20"/>
                <w:szCs w:val="20"/>
                <w:lang w:val="en-US"/>
              </w:rPr>
            </w:pPr>
            <w:r w:rsidRPr="003434C0">
              <w:rPr>
                <w:rFonts w:eastAsia="Times New Roman"/>
                <w:sz w:val="20"/>
                <w:szCs w:val="20"/>
                <w:lang w:val="en-US"/>
              </w:rPr>
              <w:t>Total planned:</w:t>
            </w:r>
          </w:p>
        </w:tc>
        <w:tc>
          <w:tcPr>
            <w:tcW w:w="1134" w:type="dxa"/>
          </w:tcPr>
          <w:p w14:paraId="4463F5A0" w14:textId="77777777" w:rsidR="003434C0" w:rsidRPr="003434C0" w:rsidRDefault="003434C0" w:rsidP="003434C0">
            <w:pPr>
              <w:spacing w:before="0" w:after="0"/>
              <w:jc w:val="center"/>
              <w:rPr>
                <w:rFonts w:eastAsia="Times New Roman"/>
                <w:sz w:val="20"/>
                <w:szCs w:val="20"/>
                <w:lang w:val="en-US"/>
              </w:rPr>
            </w:pPr>
            <w:r w:rsidRPr="003434C0">
              <w:rPr>
                <w:rFonts w:eastAsia="Times New Roman"/>
                <w:sz w:val="20"/>
                <w:szCs w:val="20"/>
                <w:lang w:val="en-US"/>
              </w:rPr>
              <w:t>3518</w:t>
            </w:r>
          </w:p>
        </w:tc>
        <w:tc>
          <w:tcPr>
            <w:tcW w:w="1417" w:type="dxa"/>
          </w:tcPr>
          <w:p w14:paraId="49D2D377" w14:textId="77777777" w:rsidR="003434C0" w:rsidRPr="003434C0" w:rsidRDefault="003434C0" w:rsidP="003434C0">
            <w:pPr>
              <w:spacing w:before="0" w:after="0"/>
              <w:rPr>
                <w:rFonts w:eastAsia="Times New Roman"/>
                <w:sz w:val="20"/>
                <w:szCs w:val="20"/>
                <w:lang w:val="en-US"/>
              </w:rPr>
            </w:pPr>
          </w:p>
        </w:tc>
      </w:tr>
      <w:tr w:rsidR="003434C0" w:rsidRPr="003434C0" w14:paraId="58D5478B" w14:textId="77777777" w:rsidTr="00C30D60">
        <w:trPr>
          <w:trHeight w:val="411"/>
        </w:trPr>
        <w:tc>
          <w:tcPr>
            <w:tcW w:w="7196" w:type="dxa"/>
            <w:gridSpan w:val="4"/>
          </w:tcPr>
          <w:p w14:paraId="0D60D7FF" w14:textId="77777777" w:rsidR="003434C0" w:rsidRPr="003434C0" w:rsidRDefault="003434C0" w:rsidP="003434C0">
            <w:pPr>
              <w:spacing w:before="0" w:after="0"/>
              <w:jc w:val="right"/>
              <w:rPr>
                <w:rFonts w:eastAsia="Times New Roman"/>
                <w:sz w:val="20"/>
                <w:szCs w:val="20"/>
                <w:lang w:val="en-US"/>
              </w:rPr>
            </w:pPr>
            <w:r w:rsidRPr="003434C0">
              <w:rPr>
                <w:rFonts w:eastAsia="Times New Roman"/>
                <w:sz w:val="20"/>
                <w:szCs w:val="20"/>
                <w:lang w:val="en-US"/>
              </w:rPr>
              <w:t>Total:</w:t>
            </w:r>
          </w:p>
        </w:tc>
        <w:tc>
          <w:tcPr>
            <w:tcW w:w="1134" w:type="dxa"/>
          </w:tcPr>
          <w:p w14:paraId="574B185E" w14:textId="77777777" w:rsidR="003434C0" w:rsidRPr="003434C0" w:rsidRDefault="003434C0" w:rsidP="003434C0">
            <w:pPr>
              <w:spacing w:before="0" w:after="0"/>
              <w:jc w:val="center"/>
              <w:rPr>
                <w:rFonts w:eastAsia="Times New Roman"/>
                <w:sz w:val="20"/>
                <w:szCs w:val="20"/>
                <w:lang w:val="en-US"/>
              </w:rPr>
            </w:pPr>
            <w:r w:rsidRPr="003434C0">
              <w:rPr>
                <w:rFonts w:eastAsia="Times New Roman"/>
                <w:sz w:val="20"/>
                <w:szCs w:val="20"/>
                <w:lang w:val="en-US"/>
              </w:rPr>
              <w:t>9877</w:t>
            </w:r>
          </w:p>
        </w:tc>
        <w:tc>
          <w:tcPr>
            <w:tcW w:w="1417" w:type="dxa"/>
          </w:tcPr>
          <w:p w14:paraId="76F2B9F8" w14:textId="77777777" w:rsidR="003434C0" w:rsidRPr="003434C0" w:rsidRDefault="003434C0" w:rsidP="003434C0">
            <w:pPr>
              <w:spacing w:before="0" w:after="0"/>
              <w:rPr>
                <w:rFonts w:eastAsia="Times New Roman"/>
                <w:sz w:val="20"/>
                <w:szCs w:val="20"/>
                <w:lang w:val="en-US"/>
              </w:rPr>
            </w:pPr>
          </w:p>
        </w:tc>
      </w:tr>
    </w:tbl>
    <w:p w14:paraId="3819DC09" w14:textId="77777777" w:rsidR="003434C0" w:rsidRDefault="003434C0" w:rsidP="002F6BDB">
      <w:pPr>
        <w:spacing w:before="0"/>
        <w:rPr>
          <w:rFonts w:eastAsia="Times New Roman"/>
          <w:sz w:val="20"/>
          <w:szCs w:val="20"/>
          <w:vertAlign w:val="superscript"/>
          <w:lang w:val="en-US"/>
        </w:rPr>
      </w:pPr>
    </w:p>
    <w:p w14:paraId="733CAB68" w14:textId="77777777" w:rsidR="002F6BDB" w:rsidRPr="003A7E34" w:rsidRDefault="002F6BDB" w:rsidP="002F6BDB">
      <w:pPr>
        <w:spacing w:before="0"/>
        <w:rPr>
          <w:rFonts w:eastAsia="Times New Roman"/>
          <w:sz w:val="20"/>
          <w:szCs w:val="20"/>
          <w:lang w:val="en-US"/>
        </w:rPr>
      </w:pPr>
      <w:r w:rsidRPr="003A7E34">
        <w:rPr>
          <w:rFonts w:eastAsia="Times New Roman"/>
          <w:sz w:val="20"/>
          <w:szCs w:val="20"/>
          <w:vertAlign w:val="superscript"/>
          <w:lang w:val="en-US"/>
        </w:rPr>
        <w:t>1</w:t>
      </w:r>
      <w:r w:rsidRPr="003A7E34">
        <w:rPr>
          <w:rFonts w:eastAsia="Times New Roman"/>
          <w:sz w:val="20"/>
          <w:szCs w:val="20"/>
          <w:lang w:val="en-US"/>
        </w:rPr>
        <w:t xml:space="preserve">financing from EU funds </w:t>
      </w:r>
    </w:p>
    <w:p w14:paraId="7988A971" w14:textId="77777777" w:rsidR="002F6BDB" w:rsidRPr="003A7E34" w:rsidRDefault="002F6BDB" w:rsidP="002F6BDB">
      <w:pPr>
        <w:spacing w:before="0"/>
        <w:rPr>
          <w:rFonts w:eastAsia="Times New Roman"/>
          <w:sz w:val="20"/>
          <w:szCs w:val="20"/>
          <w:lang w:val="en-US"/>
        </w:rPr>
      </w:pPr>
      <w:r w:rsidRPr="003A7E34">
        <w:rPr>
          <w:rFonts w:eastAsia="Times New Roman"/>
          <w:sz w:val="20"/>
          <w:szCs w:val="20"/>
          <w:vertAlign w:val="superscript"/>
          <w:lang w:val="en-US"/>
        </w:rPr>
        <w:t>2</w:t>
      </w:r>
      <w:r w:rsidRPr="003A7E34">
        <w:rPr>
          <w:rFonts w:eastAsia="Times New Roman"/>
          <w:sz w:val="20"/>
          <w:szCs w:val="20"/>
          <w:lang w:val="en-US"/>
        </w:rPr>
        <w:t xml:space="preserve">financing from budget </w:t>
      </w:r>
    </w:p>
    <w:p w14:paraId="0AD94D37" w14:textId="77777777" w:rsidR="002F6BDB" w:rsidRPr="003A7E34" w:rsidRDefault="002F6BDB" w:rsidP="002F6BDB">
      <w:pPr>
        <w:spacing w:before="0"/>
        <w:rPr>
          <w:rFonts w:eastAsia="Times New Roman"/>
          <w:sz w:val="20"/>
          <w:szCs w:val="20"/>
          <w:lang w:val="en-US"/>
        </w:rPr>
      </w:pPr>
      <w:r w:rsidRPr="003A7E34">
        <w:rPr>
          <w:rFonts w:eastAsia="Times New Roman"/>
          <w:sz w:val="20"/>
          <w:szCs w:val="20"/>
          <w:vertAlign w:val="superscript"/>
          <w:lang w:val="en-US"/>
        </w:rPr>
        <w:t>3</w:t>
      </w:r>
      <w:r w:rsidRPr="003A7E34">
        <w:rPr>
          <w:rFonts w:eastAsia="Times New Roman"/>
          <w:sz w:val="20"/>
          <w:szCs w:val="20"/>
          <w:lang w:val="en-US"/>
        </w:rPr>
        <w:t>other sources</w:t>
      </w:r>
    </w:p>
    <w:p w14:paraId="0F02724F" w14:textId="77777777" w:rsidR="00D126BA" w:rsidRPr="003A7E34" w:rsidRDefault="00D126BA">
      <w:pPr>
        <w:rPr>
          <w:rFonts w:eastAsia="Times New Roman"/>
          <w:b/>
          <w:bCs/>
          <w:lang w:val="en-US"/>
        </w:rPr>
      </w:pPr>
    </w:p>
    <w:p w14:paraId="709ADD67" w14:textId="77777777" w:rsidR="00BA6C86" w:rsidRPr="003A7E34" w:rsidRDefault="372247B6" w:rsidP="00BA6C86">
      <w:pPr>
        <w:rPr>
          <w:rFonts w:eastAsia="Times New Roman"/>
        </w:rPr>
      </w:pPr>
      <w:r w:rsidRPr="003A7E34">
        <w:rPr>
          <w:rFonts w:eastAsia="Times New Roman"/>
          <w:b/>
          <w:bCs/>
          <w:lang w:val="en-US"/>
        </w:rPr>
        <w:t xml:space="preserve">LULUCF. </w:t>
      </w:r>
      <w:r w:rsidRPr="003A7E34">
        <w:rPr>
          <w:rFonts w:eastAsia="Times New Roman"/>
          <w:lang w:val="en-US"/>
        </w:rPr>
        <w:t xml:space="preserve">The National Forest Area Development Program 2012–2020 aims to increase forest coverage to 34.2% of the territory by 2020 through afforestation of abandoned lands and by providing financial incentives for forest regeneration. In the period of the Rural Development Program 2007–2013, an area of 17,200 ha was </w:t>
      </w:r>
      <w:r w:rsidR="00232F41" w:rsidRPr="003A7E34">
        <w:rPr>
          <w:rFonts w:eastAsia="Times New Roman"/>
          <w:lang w:val="en-US"/>
        </w:rPr>
        <w:t>afforested,</w:t>
      </w:r>
      <w:r w:rsidRPr="003A7E34">
        <w:rPr>
          <w:rFonts w:eastAsia="Times New Roman"/>
          <w:lang w:val="en-US"/>
        </w:rPr>
        <w:t xml:space="preserve"> and 8,400 ha were afforested in the period 2014–2016. The Forest Law, amended in 2011, provides that changing forest land to any other land is allowed only in exceptional cases.</w:t>
      </w:r>
      <w:r w:rsidR="00BA6C86" w:rsidRPr="003A7E34">
        <w:rPr>
          <w:rFonts w:eastAsia="Times New Roman"/>
          <w:lang w:val="en-US"/>
        </w:rPr>
        <w:t xml:space="preserve"> </w:t>
      </w:r>
      <w:r w:rsidR="00BA6C86" w:rsidRPr="003A7E34">
        <w:rPr>
          <w:rFonts w:eastAsia="Times New Roman"/>
        </w:rPr>
        <w:t xml:space="preserve">Aiming to promote sustainable forest management and increase LULUCF sector absorption potential a draft of the National Forest Programme for 2021-2030 envisage to be developed by the end of 2020. </w:t>
      </w:r>
    </w:p>
    <w:p w14:paraId="02548884" w14:textId="77777777" w:rsidR="00232F41" w:rsidRPr="003A7E34" w:rsidRDefault="00232F41">
      <w:pPr>
        <w:rPr>
          <w:rFonts w:eastAsia="Times New Roman"/>
          <w:lang w:val="en-US"/>
        </w:rPr>
      </w:pPr>
    </w:p>
    <w:p w14:paraId="391829AB" w14:textId="067C1132" w:rsidR="00CF7A19" w:rsidRPr="003A7E34" w:rsidRDefault="5E230566" w:rsidP="5E230566">
      <w:pPr>
        <w:rPr>
          <w:rFonts w:eastAsia="Times New Roman"/>
          <w:b/>
          <w:bCs/>
          <w:sz w:val="20"/>
          <w:szCs w:val="20"/>
          <w:lang w:val="en-US"/>
        </w:rPr>
      </w:pPr>
      <w:r w:rsidRPr="003A7E34">
        <w:rPr>
          <w:rFonts w:eastAsia="Times New Roman"/>
          <w:b/>
          <w:bCs/>
          <w:sz w:val="20"/>
          <w:szCs w:val="20"/>
          <w:lang w:val="en-US"/>
        </w:rPr>
        <w:t xml:space="preserve">Table 3.1.1.5. </w:t>
      </w:r>
      <w:r w:rsidRPr="003A7E34">
        <w:rPr>
          <w:rFonts w:eastAsia="Times New Roman"/>
          <w:sz w:val="20"/>
          <w:szCs w:val="20"/>
          <w:lang w:val="en-US"/>
        </w:rPr>
        <w:t>The summary table of policies and measures adopted and under implementation in LULUCF sector.</w:t>
      </w:r>
    </w:p>
    <w:tbl>
      <w:tblPr>
        <w:tblStyle w:val="TableGrid"/>
        <w:tblW w:w="9889" w:type="dxa"/>
        <w:tblLayout w:type="fixed"/>
        <w:tblLook w:val="04A0" w:firstRow="1" w:lastRow="0" w:firstColumn="1" w:lastColumn="0" w:noHBand="0" w:noVBand="1"/>
      </w:tblPr>
      <w:tblGrid>
        <w:gridCol w:w="1668"/>
        <w:gridCol w:w="1984"/>
        <w:gridCol w:w="1701"/>
        <w:gridCol w:w="1985"/>
        <w:gridCol w:w="1275"/>
        <w:gridCol w:w="1276"/>
      </w:tblGrid>
      <w:tr w:rsidR="003A7E34" w:rsidRPr="003A7E34" w14:paraId="0709A4B9" w14:textId="77777777" w:rsidTr="003B3B3A">
        <w:trPr>
          <w:trHeight w:val="691"/>
          <w:tblHeader/>
        </w:trPr>
        <w:tc>
          <w:tcPr>
            <w:tcW w:w="1668" w:type="dxa"/>
          </w:tcPr>
          <w:p w14:paraId="708F8754" w14:textId="77777777" w:rsidR="003C44DA" w:rsidRPr="003A7E34" w:rsidRDefault="003C44DA" w:rsidP="00232F41">
            <w:pPr>
              <w:spacing w:before="0" w:after="0"/>
              <w:rPr>
                <w:rFonts w:eastAsia="Times New Roman"/>
                <w:b/>
                <w:bCs/>
                <w:sz w:val="20"/>
                <w:szCs w:val="20"/>
                <w:lang w:val="en-US"/>
              </w:rPr>
            </w:pPr>
            <w:r w:rsidRPr="003A7E34">
              <w:rPr>
                <w:rFonts w:eastAsia="Times New Roman"/>
                <w:b/>
                <w:bCs/>
                <w:sz w:val="20"/>
                <w:szCs w:val="20"/>
                <w:lang w:val="en-US"/>
              </w:rPr>
              <w:t>Measures</w:t>
            </w:r>
          </w:p>
        </w:tc>
        <w:tc>
          <w:tcPr>
            <w:tcW w:w="1984" w:type="dxa"/>
          </w:tcPr>
          <w:p w14:paraId="4D47926F" w14:textId="77777777" w:rsidR="003C44DA" w:rsidRPr="003A7E34" w:rsidRDefault="003C44DA" w:rsidP="00232F41">
            <w:pPr>
              <w:spacing w:before="0" w:after="0"/>
              <w:rPr>
                <w:rFonts w:eastAsia="Times New Roman"/>
                <w:b/>
                <w:bCs/>
                <w:sz w:val="20"/>
                <w:szCs w:val="20"/>
                <w:lang w:val="en-US"/>
              </w:rPr>
            </w:pPr>
            <w:r w:rsidRPr="003A7E34">
              <w:rPr>
                <w:rFonts w:eastAsia="Times New Roman"/>
                <w:b/>
                <w:bCs/>
                <w:sz w:val="20"/>
                <w:szCs w:val="20"/>
                <w:lang w:val="en-US"/>
              </w:rPr>
              <w:t>Objective</w:t>
            </w:r>
          </w:p>
        </w:tc>
        <w:tc>
          <w:tcPr>
            <w:tcW w:w="1701" w:type="dxa"/>
          </w:tcPr>
          <w:p w14:paraId="466507AB" w14:textId="254088C2" w:rsidR="003C44DA" w:rsidRPr="003A7E34" w:rsidRDefault="00127590" w:rsidP="00232F41">
            <w:pPr>
              <w:spacing w:before="0" w:after="0"/>
              <w:rPr>
                <w:rFonts w:eastAsia="Times New Roman"/>
                <w:b/>
                <w:bCs/>
                <w:sz w:val="20"/>
                <w:szCs w:val="20"/>
                <w:lang w:val="en-US"/>
              </w:rPr>
            </w:pPr>
            <w:r w:rsidRPr="003A7E34">
              <w:rPr>
                <w:rFonts w:eastAsia="Times New Roman"/>
                <w:b/>
                <w:bCs/>
                <w:sz w:val="20"/>
                <w:szCs w:val="20"/>
                <w:lang w:val="en-US"/>
              </w:rPr>
              <w:t>Implementation period</w:t>
            </w:r>
          </w:p>
        </w:tc>
        <w:tc>
          <w:tcPr>
            <w:tcW w:w="1985" w:type="dxa"/>
          </w:tcPr>
          <w:p w14:paraId="2D599886" w14:textId="6E8D8645" w:rsidR="003C44DA" w:rsidRPr="003A7E34" w:rsidRDefault="003C44DA" w:rsidP="00232F41">
            <w:pPr>
              <w:spacing w:before="0" w:after="0"/>
              <w:rPr>
                <w:rFonts w:eastAsia="Times New Roman"/>
                <w:b/>
                <w:bCs/>
                <w:sz w:val="20"/>
                <w:szCs w:val="20"/>
                <w:lang w:val="en-US"/>
              </w:rPr>
            </w:pPr>
            <w:r w:rsidRPr="003A7E34">
              <w:rPr>
                <w:rFonts w:eastAsia="Times New Roman"/>
                <w:b/>
                <w:bCs/>
                <w:sz w:val="20"/>
                <w:szCs w:val="20"/>
                <w:lang w:val="en-US"/>
              </w:rPr>
              <w:t>Entities responsible for implementing the policy</w:t>
            </w:r>
          </w:p>
        </w:tc>
        <w:tc>
          <w:tcPr>
            <w:tcW w:w="1275" w:type="dxa"/>
          </w:tcPr>
          <w:p w14:paraId="4DC97BF9" w14:textId="3F469AFA" w:rsidR="003C44DA" w:rsidRPr="003A7E34" w:rsidRDefault="003C44DA" w:rsidP="00F417DB">
            <w:pPr>
              <w:spacing w:before="0" w:after="0"/>
              <w:rPr>
                <w:rFonts w:eastAsia="Times New Roman"/>
                <w:b/>
                <w:bCs/>
                <w:sz w:val="20"/>
                <w:szCs w:val="20"/>
                <w:lang w:val="en-US"/>
              </w:rPr>
            </w:pPr>
            <w:r w:rsidRPr="003A7E34">
              <w:rPr>
                <w:rFonts w:eastAsia="Times New Roman"/>
                <w:b/>
                <w:bCs/>
                <w:sz w:val="20"/>
                <w:szCs w:val="20"/>
                <w:lang w:val="en-US"/>
              </w:rPr>
              <w:t>GHG mitigation effect, ktCO</w:t>
            </w:r>
            <w:r w:rsidRPr="003A7E34">
              <w:rPr>
                <w:rFonts w:eastAsia="Times New Roman"/>
                <w:b/>
                <w:bCs/>
                <w:sz w:val="20"/>
                <w:szCs w:val="20"/>
                <w:vertAlign w:val="subscript"/>
                <w:lang w:val="en-US"/>
              </w:rPr>
              <w:t>2</w:t>
            </w:r>
            <w:r w:rsidRPr="003A7E34">
              <w:rPr>
                <w:rFonts w:eastAsia="Times New Roman"/>
                <w:b/>
                <w:bCs/>
                <w:sz w:val="20"/>
                <w:szCs w:val="20"/>
                <w:lang w:val="en-US"/>
              </w:rPr>
              <w:t xml:space="preserve">eq. </w:t>
            </w:r>
          </w:p>
        </w:tc>
        <w:tc>
          <w:tcPr>
            <w:tcW w:w="1276" w:type="dxa"/>
          </w:tcPr>
          <w:p w14:paraId="45A5DC85" w14:textId="0FE7FF0A" w:rsidR="003C44DA" w:rsidRPr="003A7E34" w:rsidRDefault="00232F41" w:rsidP="002F6BDB">
            <w:pPr>
              <w:spacing w:before="0" w:after="0"/>
              <w:rPr>
                <w:rFonts w:eastAsia="Times New Roman"/>
                <w:b/>
                <w:bCs/>
                <w:sz w:val="20"/>
                <w:szCs w:val="20"/>
                <w:lang w:val="en-US"/>
              </w:rPr>
            </w:pPr>
            <w:r w:rsidRPr="003A7E34">
              <w:rPr>
                <w:rFonts w:eastAsia="Times New Roman"/>
                <w:b/>
                <w:bCs/>
                <w:sz w:val="20"/>
                <w:szCs w:val="20"/>
                <w:lang w:val="en-US"/>
              </w:rPr>
              <w:t>Planned budget</w:t>
            </w:r>
            <w:r w:rsidR="002F6BDB" w:rsidRPr="003A7E34">
              <w:rPr>
                <w:rFonts w:eastAsia="Times New Roman"/>
                <w:b/>
                <w:bCs/>
                <w:sz w:val="20"/>
                <w:szCs w:val="20"/>
                <w:vertAlign w:val="superscript"/>
                <w:lang w:val="en-US"/>
              </w:rPr>
              <w:t>1,2,3</w:t>
            </w:r>
            <w:r w:rsidRPr="003A7E34">
              <w:rPr>
                <w:rFonts w:eastAsia="Times New Roman"/>
                <w:b/>
                <w:bCs/>
                <w:sz w:val="20"/>
                <w:szCs w:val="20"/>
                <w:lang w:val="en-US"/>
              </w:rPr>
              <w:t>, MEUR</w:t>
            </w:r>
          </w:p>
        </w:tc>
      </w:tr>
      <w:tr w:rsidR="003A7E34" w:rsidRPr="003A7E34" w14:paraId="110C0973" w14:textId="77777777" w:rsidTr="003B3B3A">
        <w:trPr>
          <w:trHeight w:val="700"/>
        </w:trPr>
        <w:tc>
          <w:tcPr>
            <w:tcW w:w="1668" w:type="dxa"/>
          </w:tcPr>
          <w:p w14:paraId="49AC8246" w14:textId="751FA60F" w:rsidR="003C44DA" w:rsidRPr="003A7E34" w:rsidRDefault="00917545" w:rsidP="002F6BDB">
            <w:pPr>
              <w:spacing w:before="0" w:after="0"/>
              <w:jc w:val="left"/>
              <w:rPr>
                <w:rFonts w:eastAsia="Times New Roman"/>
                <w:sz w:val="20"/>
                <w:szCs w:val="20"/>
                <w:lang w:val="en-US"/>
              </w:rPr>
            </w:pPr>
            <w:r w:rsidRPr="003A7E34">
              <w:rPr>
                <w:rFonts w:eastAsia="Times New Roman"/>
                <w:sz w:val="20"/>
                <w:szCs w:val="20"/>
                <w:lang w:val="en-US"/>
              </w:rPr>
              <w:t xml:space="preserve">L1. </w:t>
            </w:r>
            <w:r w:rsidR="003C44DA" w:rsidRPr="003A7E34">
              <w:rPr>
                <w:rFonts w:eastAsia="Times New Roman"/>
                <w:sz w:val="20"/>
                <w:szCs w:val="20"/>
                <w:lang w:val="en-US"/>
              </w:rPr>
              <w:t xml:space="preserve">Restoration of forestry potential and introduction of </w:t>
            </w:r>
            <w:r w:rsidR="003C44DA" w:rsidRPr="003A7E34">
              <w:rPr>
                <w:rFonts w:eastAsia="Times New Roman"/>
                <w:sz w:val="20"/>
                <w:szCs w:val="20"/>
                <w:lang w:val="en-US"/>
              </w:rPr>
              <w:lastRenderedPageBreak/>
              <w:t>prevention actions</w:t>
            </w:r>
          </w:p>
        </w:tc>
        <w:tc>
          <w:tcPr>
            <w:tcW w:w="1984" w:type="dxa"/>
          </w:tcPr>
          <w:p w14:paraId="7A0E9EFA" w14:textId="21418B0B" w:rsidR="003C44DA" w:rsidRPr="003A7E34" w:rsidRDefault="003C44DA" w:rsidP="00232F41">
            <w:pPr>
              <w:spacing w:before="0" w:after="0"/>
              <w:jc w:val="left"/>
              <w:rPr>
                <w:rFonts w:eastAsia="Times New Roman"/>
                <w:sz w:val="20"/>
                <w:szCs w:val="20"/>
                <w:lang w:val="en-US"/>
              </w:rPr>
            </w:pPr>
            <w:r w:rsidRPr="003A7E34">
              <w:rPr>
                <w:rFonts w:eastAsia="Times New Roman"/>
                <w:sz w:val="20"/>
                <w:szCs w:val="20"/>
                <w:lang w:val="en-US"/>
              </w:rPr>
              <w:lastRenderedPageBreak/>
              <w:t>Support restoration of forest</w:t>
            </w:r>
            <w:r w:rsidR="00140811" w:rsidRPr="003A7E34">
              <w:rPr>
                <w:rFonts w:eastAsia="Times New Roman"/>
                <w:sz w:val="20"/>
                <w:szCs w:val="20"/>
                <w:lang w:val="en-US"/>
              </w:rPr>
              <w:t>s</w:t>
            </w:r>
            <w:r w:rsidRPr="003A7E34">
              <w:rPr>
                <w:rFonts w:eastAsia="Times New Roman"/>
                <w:sz w:val="20"/>
                <w:szCs w:val="20"/>
                <w:lang w:val="en-US"/>
              </w:rPr>
              <w:t xml:space="preserve"> damaged by fires and other natural disasters</w:t>
            </w:r>
            <w:r w:rsidR="007C6700" w:rsidRPr="003A7E34">
              <w:rPr>
                <w:rFonts w:eastAsia="Times New Roman"/>
                <w:sz w:val="20"/>
                <w:szCs w:val="20"/>
                <w:lang w:val="en-US"/>
              </w:rPr>
              <w:t xml:space="preserve">. </w:t>
            </w:r>
          </w:p>
        </w:tc>
        <w:tc>
          <w:tcPr>
            <w:tcW w:w="1701" w:type="dxa"/>
          </w:tcPr>
          <w:p w14:paraId="58739B0A" w14:textId="3C435960" w:rsidR="003C44DA" w:rsidRPr="003A7E34" w:rsidRDefault="00DE69AA" w:rsidP="00232F41">
            <w:pPr>
              <w:spacing w:before="0" w:after="0"/>
              <w:rPr>
                <w:rFonts w:eastAsia="Times New Roman"/>
                <w:sz w:val="20"/>
                <w:szCs w:val="20"/>
                <w:lang w:val="en-US"/>
              </w:rPr>
            </w:pPr>
            <w:r w:rsidRPr="003A7E34">
              <w:rPr>
                <w:rFonts w:eastAsia="Times New Roman"/>
                <w:sz w:val="20"/>
                <w:szCs w:val="20"/>
                <w:lang w:val="en-US"/>
              </w:rPr>
              <w:t>2007–2020</w:t>
            </w:r>
          </w:p>
        </w:tc>
        <w:tc>
          <w:tcPr>
            <w:tcW w:w="1985" w:type="dxa"/>
          </w:tcPr>
          <w:p w14:paraId="59D85200" w14:textId="77777777" w:rsidR="00DE69AA" w:rsidRPr="003A7E34" w:rsidRDefault="00DE69AA" w:rsidP="00232F41">
            <w:pPr>
              <w:spacing w:before="0" w:after="0"/>
              <w:rPr>
                <w:rFonts w:eastAsia="Times New Roman"/>
                <w:sz w:val="20"/>
                <w:szCs w:val="20"/>
                <w:lang w:val="en-US"/>
              </w:rPr>
            </w:pPr>
            <w:r w:rsidRPr="003A7E34">
              <w:rPr>
                <w:rFonts w:eastAsia="Times New Roman"/>
                <w:sz w:val="20"/>
                <w:szCs w:val="20"/>
                <w:lang w:val="en-US"/>
              </w:rPr>
              <w:t>Ministry of Environment</w:t>
            </w:r>
          </w:p>
          <w:p w14:paraId="55E1E9DB" w14:textId="5ACEC10F" w:rsidR="003C44DA" w:rsidRPr="003A7E34" w:rsidRDefault="00DE69AA" w:rsidP="00232F41">
            <w:pPr>
              <w:spacing w:before="0" w:after="0"/>
              <w:rPr>
                <w:rFonts w:eastAsia="Times New Roman"/>
                <w:sz w:val="20"/>
                <w:szCs w:val="20"/>
                <w:lang w:val="en-US"/>
              </w:rPr>
            </w:pPr>
            <w:r w:rsidRPr="003A7E34">
              <w:rPr>
                <w:rFonts w:eastAsia="Times New Roman"/>
                <w:sz w:val="20"/>
                <w:szCs w:val="20"/>
                <w:lang w:val="en-US"/>
              </w:rPr>
              <w:t>Ministry of Agriculture</w:t>
            </w:r>
          </w:p>
        </w:tc>
        <w:tc>
          <w:tcPr>
            <w:tcW w:w="1275" w:type="dxa"/>
          </w:tcPr>
          <w:p w14:paraId="7C553F1D" w14:textId="5F83E982" w:rsidR="003C44DA" w:rsidRPr="003A7E34" w:rsidRDefault="003B3B3A" w:rsidP="00232F41">
            <w:pPr>
              <w:spacing w:before="0" w:after="0"/>
              <w:rPr>
                <w:rFonts w:eastAsia="Times New Roman"/>
                <w:sz w:val="20"/>
                <w:szCs w:val="20"/>
                <w:lang w:val="en-US"/>
              </w:rPr>
            </w:pPr>
            <w:r>
              <w:rPr>
                <w:rFonts w:eastAsia="Times New Roman"/>
                <w:sz w:val="20"/>
                <w:szCs w:val="20"/>
                <w:lang w:val="en-US"/>
              </w:rPr>
              <w:t>-</w:t>
            </w:r>
          </w:p>
        </w:tc>
        <w:tc>
          <w:tcPr>
            <w:tcW w:w="1276" w:type="dxa"/>
          </w:tcPr>
          <w:p w14:paraId="6D632EEC" w14:textId="4F9A9F02" w:rsidR="003C44DA" w:rsidRPr="003A7E34" w:rsidRDefault="00A1483D" w:rsidP="00232F41">
            <w:pPr>
              <w:spacing w:before="0" w:after="0"/>
              <w:rPr>
                <w:rFonts w:eastAsia="Times New Roman"/>
                <w:sz w:val="20"/>
                <w:szCs w:val="20"/>
                <w:lang w:val="en-US"/>
              </w:rPr>
            </w:pPr>
            <w:r>
              <w:rPr>
                <w:rFonts w:eastAsia="Times New Roman"/>
                <w:sz w:val="20"/>
                <w:szCs w:val="20"/>
                <w:lang w:val="en-US"/>
              </w:rPr>
              <w:t>X</w:t>
            </w:r>
            <w:r w:rsidRPr="00A1483D">
              <w:rPr>
                <w:rFonts w:eastAsia="Times New Roman"/>
                <w:sz w:val="20"/>
                <w:szCs w:val="20"/>
                <w:vertAlign w:val="superscript"/>
                <w:lang w:val="en-US"/>
              </w:rPr>
              <w:t>1</w:t>
            </w:r>
          </w:p>
        </w:tc>
      </w:tr>
      <w:tr w:rsidR="003A7E34" w:rsidRPr="003A7E34" w14:paraId="50970F03" w14:textId="77777777" w:rsidTr="003B3B3A">
        <w:trPr>
          <w:trHeight w:val="304"/>
        </w:trPr>
        <w:tc>
          <w:tcPr>
            <w:tcW w:w="1668" w:type="dxa"/>
          </w:tcPr>
          <w:p w14:paraId="64995B7D" w14:textId="47A60B65" w:rsidR="003C44DA" w:rsidRPr="003A7E34" w:rsidRDefault="00917545" w:rsidP="002F6BDB">
            <w:pPr>
              <w:spacing w:before="0" w:after="0"/>
              <w:jc w:val="left"/>
              <w:rPr>
                <w:rFonts w:eastAsia="Times New Roman"/>
                <w:sz w:val="20"/>
                <w:szCs w:val="20"/>
                <w:lang w:val="en-US"/>
              </w:rPr>
            </w:pPr>
            <w:r w:rsidRPr="003A7E34">
              <w:rPr>
                <w:rFonts w:eastAsia="Times New Roman"/>
                <w:sz w:val="20"/>
                <w:szCs w:val="20"/>
                <w:lang w:val="en-US"/>
              </w:rPr>
              <w:t xml:space="preserve">L2 </w:t>
            </w:r>
            <w:r w:rsidR="003C44DA" w:rsidRPr="003A7E34">
              <w:rPr>
                <w:rFonts w:eastAsia="Times New Roman"/>
                <w:sz w:val="20"/>
                <w:szCs w:val="20"/>
                <w:lang w:val="en-US"/>
              </w:rPr>
              <w:t>Promotion of planting of short rotation coppices</w:t>
            </w:r>
          </w:p>
        </w:tc>
        <w:tc>
          <w:tcPr>
            <w:tcW w:w="1984" w:type="dxa"/>
          </w:tcPr>
          <w:p w14:paraId="6A57ACCA" w14:textId="2DF93B81" w:rsidR="003C44DA" w:rsidRPr="003A7E34" w:rsidRDefault="003C44DA" w:rsidP="00F03733">
            <w:pPr>
              <w:spacing w:before="0" w:after="0"/>
              <w:jc w:val="left"/>
              <w:rPr>
                <w:rFonts w:eastAsia="Times New Roman"/>
                <w:sz w:val="20"/>
                <w:szCs w:val="20"/>
                <w:lang w:val="en-US"/>
              </w:rPr>
            </w:pPr>
            <w:r w:rsidRPr="003A7E34">
              <w:rPr>
                <w:rFonts w:eastAsia="Times New Roman"/>
                <w:sz w:val="20"/>
                <w:szCs w:val="20"/>
                <w:lang w:val="en-US"/>
              </w:rPr>
              <w:t xml:space="preserve">The support for planting of short rotation coppices with an aim to produce biomass as a source of energy which partially replaces imported </w:t>
            </w:r>
            <w:r w:rsidR="00CE6013" w:rsidRPr="003A7E34">
              <w:rPr>
                <w:rFonts w:eastAsia="Times New Roman"/>
                <w:sz w:val="20"/>
                <w:szCs w:val="20"/>
                <w:lang w:val="en-US"/>
              </w:rPr>
              <w:t>fossil fuels</w:t>
            </w:r>
            <w:r w:rsidRPr="003A7E34">
              <w:rPr>
                <w:rFonts w:eastAsia="Times New Roman"/>
                <w:sz w:val="20"/>
                <w:szCs w:val="20"/>
                <w:lang w:val="en-US"/>
              </w:rPr>
              <w:t xml:space="preserve"> (oil, gas, coal).</w:t>
            </w:r>
            <w:r w:rsidR="00DE69AA" w:rsidRPr="003A7E34">
              <w:rPr>
                <w:rFonts w:eastAsia="Times New Roman"/>
                <w:sz w:val="20"/>
                <w:szCs w:val="20"/>
                <w:lang w:val="en-US"/>
              </w:rPr>
              <w:t xml:space="preserve"> </w:t>
            </w:r>
          </w:p>
        </w:tc>
        <w:tc>
          <w:tcPr>
            <w:tcW w:w="1701" w:type="dxa"/>
          </w:tcPr>
          <w:p w14:paraId="76AEB345" w14:textId="3A5FC827" w:rsidR="003C44DA" w:rsidRPr="003A7E34" w:rsidRDefault="00DE69AA" w:rsidP="00232F41">
            <w:pPr>
              <w:spacing w:before="0" w:after="0"/>
              <w:rPr>
                <w:rFonts w:eastAsia="Times New Roman"/>
                <w:sz w:val="20"/>
                <w:szCs w:val="20"/>
                <w:lang w:val="en-US"/>
              </w:rPr>
            </w:pPr>
            <w:r w:rsidRPr="003A7E34">
              <w:rPr>
                <w:rFonts w:eastAsia="Times New Roman"/>
                <w:sz w:val="20"/>
                <w:szCs w:val="20"/>
                <w:lang w:val="en-US"/>
              </w:rPr>
              <w:t>2014–2020</w:t>
            </w:r>
          </w:p>
        </w:tc>
        <w:tc>
          <w:tcPr>
            <w:tcW w:w="1985" w:type="dxa"/>
          </w:tcPr>
          <w:p w14:paraId="5286F4DD" w14:textId="4FBC1CBF" w:rsidR="00DE69AA" w:rsidRPr="003A7E34" w:rsidRDefault="00DE69AA" w:rsidP="00232F41">
            <w:pPr>
              <w:spacing w:before="0" w:after="0"/>
              <w:rPr>
                <w:rFonts w:eastAsia="Times New Roman"/>
                <w:sz w:val="20"/>
                <w:szCs w:val="20"/>
                <w:lang w:val="en-US"/>
              </w:rPr>
            </w:pPr>
            <w:r w:rsidRPr="003A7E34">
              <w:rPr>
                <w:rFonts w:eastAsia="Times New Roman"/>
                <w:sz w:val="20"/>
                <w:szCs w:val="20"/>
                <w:lang w:val="en-US"/>
              </w:rPr>
              <w:t xml:space="preserve">Ministry of Agriculture </w:t>
            </w:r>
          </w:p>
          <w:p w14:paraId="3F9D3A4F" w14:textId="28BD7A2F" w:rsidR="003C44DA" w:rsidRPr="003A7E34" w:rsidRDefault="00DE69AA" w:rsidP="00232F41">
            <w:pPr>
              <w:spacing w:before="0" w:after="0"/>
              <w:rPr>
                <w:rFonts w:eastAsia="Times New Roman"/>
                <w:sz w:val="20"/>
                <w:szCs w:val="20"/>
                <w:lang w:val="en-US"/>
              </w:rPr>
            </w:pPr>
            <w:r w:rsidRPr="003A7E34">
              <w:rPr>
                <w:rFonts w:eastAsia="Times New Roman"/>
                <w:sz w:val="20"/>
                <w:szCs w:val="20"/>
                <w:lang w:val="en-US"/>
              </w:rPr>
              <w:t>Ministry of Energy</w:t>
            </w:r>
          </w:p>
        </w:tc>
        <w:tc>
          <w:tcPr>
            <w:tcW w:w="1275" w:type="dxa"/>
          </w:tcPr>
          <w:p w14:paraId="7002EAA8" w14:textId="632D3771" w:rsidR="003C44DA" w:rsidRPr="003A7E34" w:rsidRDefault="00DE69AA" w:rsidP="00232F41">
            <w:pPr>
              <w:spacing w:before="0" w:after="0"/>
              <w:rPr>
                <w:rFonts w:eastAsia="Times New Roman"/>
                <w:sz w:val="20"/>
                <w:szCs w:val="20"/>
                <w:lang w:val="en-US"/>
              </w:rPr>
            </w:pPr>
            <w:r w:rsidRPr="003A7E34">
              <w:rPr>
                <w:rFonts w:eastAsia="Times New Roman"/>
                <w:sz w:val="20"/>
                <w:szCs w:val="20"/>
                <w:lang w:val="en-US"/>
              </w:rPr>
              <w:t>-</w:t>
            </w:r>
          </w:p>
        </w:tc>
        <w:tc>
          <w:tcPr>
            <w:tcW w:w="1276" w:type="dxa"/>
          </w:tcPr>
          <w:p w14:paraId="3AF127F7" w14:textId="099D1644" w:rsidR="003C44DA" w:rsidRPr="003A7E34" w:rsidRDefault="00A1483D" w:rsidP="00232F41">
            <w:pPr>
              <w:spacing w:before="0" w:after="0"/>
              <w:rPr>
                <w:rFonts w:eastAsia="Times New Roman"/>
                <w:sz w:val="20"/>
                <w:szCs w:val="20"/>
                <w:lang w:val="en-US"/>
              </w:rPr>
            </w:pPr>
            <w:r>
              <w:rPr>
                <w:rFonts w:eastAsia="Times New Roman"/>
                <w:sz w:val="20"/>
                <w:szCs w:val="20"/>
                <w:lang w:val="en-US"/>
              </w:rPr>
              <w:t>X</w:t>
            </w:r>
            <w:r w:rsidRPr="00A1483D">
              <w:rPr>
                <w:rFonts w:eastAsia="Times New Roman"/>
                <w:sz w:val="20"/>
                <w:szCs w:val="20"/>
                <w:vertAlign w:val="superscript"/>
                <w:lang w:val="en-US"/>
              </w:rPr>
              <w:t>1</w:t>
            </w:r>
          </w:p>
        </w:tc>
      </w:tr>
      <w:tr w:rsidR="003A7E34" w:rsidRPr="003A7E34" w14:paraId="62865087" w14:textId="77777777" w:rsidTr="003B3B3A">
        <w:trPr>
          <w:trHeight w:val="278"/>
        </w:trPr>
        <w:tc>
          <w:tcPr>
            <w:tcW w:w="1668" w:type="dxa"/>
          </w:tcPr>
          <w:p w14:paraId="6853A41A" w14:textId="4DFFF3B7" w:rsidR="003C44DA" w:rsidRPr="003A7E34" w:rsidRDefault="00917545" w:rsidP="002F6BDB">
            <w:pPr>
              <w:spacing w:before="0" w:after="0"/>
              <w:jc w:val="left"/>
              <w:rPr>
                <w:rFonts w:eastAsia="Times New Roman"/>
                <w:sz w:val="20"/>
                <w:szCs w:val="20"/>
                <w:lang w:val="en-US"/>
              </w:rPr>
            </w:pPr>
            <w:r w:rsidRPr="003A7E34">
              <w:rPr>
                <w:rFonts w:eastAsia="Times New Roman"/>
                <w:sz w:val="20"/>
                <w:szCs w:val="20"/>
                <w:lang w:val="en-US"/>
              </w:rPr>
              <w:t>L3.</w:t>
            </w:r>
            <w:r w:rsidR="003C44DA" w:rsidRPr="003A7E34">
              <w:rPr>
                <w:rFonts w:eastAsia="Times New Roman"/>
                <w:sz w:val="20"/>
                <w:szCs w:val="20"/>
                <w:lang w:val="en-US"/>
              </w:rPr>
              <w:t xml:space="preserve"> Afforestation and damaged forest restoration</w:t>
            </w:r>
          </w:p>
        </w:tc>
        <w:tc>
          <w:tcPr>
            <w:tcW w:w="1984" w:type="dxa"/>
          </w:tcPr>
          <w:p w14:paraId="6BCB67E3" w14:textId="615B7CA5" w:rsidR="003C44DA" w:rsidRPr="003A7E34" w:rsidRDefault="00132360" w:rsidP="00232F41">
            <w:pPr>
              <w:spacing w:before="0" w:after="0"/>
              <w:jc w:val="left"/>
              <w:rPr>
                <w:rFonts w:eastAsia="Times New Roman"/>
                <w:sz w:val="20"/>
                <w:szCs w:val="20"/>
                <w:lang w:val="en-US"/>
              </w:rPr>
            </w:pPr>
            <w:r w:rsidRPr="003A7E34">
              <w:rPr>
                <w:rFonts w:eastAsia="Times New Roman"/>
                <w:sz w:val="20"/>
                <w:szCs w:val="20"/>
                <w:lang w:val="en-US"/>
              </w:rPr>
              <w:t>Provide support for afforestation/reforestation activities and restoration of degraded forest land areas.</w:t>
            </w:r>
            <w:r w:rsidR="00537BAA" w:rsidRPr="003A7E34">
              <w:rPr>
                <w:rFonts w:eastAsia="Times New Roman"/>
                <w:sz w:val="20"/>
                <w:szCs w:val="20"/>
                <w:lang w:val="en-US"/>
              </w:rPr>
              <w:t xml:space="preserve"> </w:t>
            </w:r>
          </w:p>
        </w:tc>
        <w:tc>
          <w:tcPr>
            <w:tcW w:w="1701" w:type="dxa"/>
          </w:tcPr>
          <w:p w14:paraId="0D410A14" w14:textId="5CF3A689" w:rsidR="003C44DA" w:rsidRPr="003A7E34" w:rsidRDefault="00F417DB" w:rsidP="00F417DB">
            <w:pPr>
              <w:spacing w:before="0" w:after="0"/>
              <w:rPr>
                <w:rFonts w:eastAsia="Times New Roman"/>
                <w:sz w:val="20"/>
                <w:szCs w:val="20"/>
                <w:lang w:val="en-US"/>
              </w:rPr>
            </w:pPr>
            <w:r w:rsidRPr="003A7E34">
              <w:rPr>
                <w:rFonts w:eastAsia="Times New Roman"/>
                <w:sz w:val="20"/>
                <w:szCs w:val="20"/>
                <w:lang w:val="en-US"/>
              </w:rPr>
              <w:t>2021</w:t>
            </w:r>
            <w:r w:rsidR="00132360" w:rsidRPr="003A7E34">
              <w:rPr>
                <w:rFonts w:eastAsia="Times New Roman"/>
                <w:sz w:val="20"/>
                <w:szCs w:val="20"/>
                <w:lang w:val="en-US"/>
              </w:rPr>
              <w:t>–2030</w:t>
            </w:r>
          </w:p>
        </w:tc>
        <w:tc>
          <w:tcPr>
            <w:tcW w:w="1985" w:type="dxa"/>
          </w:tcPr>
          <w:p w14:paraId="139A588A" w14:textId="77777777" w:rsidR="003C44DA" w:rsidRPr="003A7E34" w:rsidRDefault="00132360" w:rsidP="00232F41">
            <w:pPr>
              <w:spacing w:before="0" w:after="0"/>
              <w:rPr>
                <w:rFonts w:eastAsia="Times New Roman"/>
                <w:sz w:val="20"/>
                <w:szCs w:val="20"/>
                <w:lang w:val="en-US"/>
              </w:rPr>
            </w:pPr>
            <w:r w:rsidRPr="003A7E34">
              <w:rPr>
                <w:rFonts w:eastAsia="Times New Roman"/>
                <w:sz w:val="20"/>
                <w:szCs w:val="20"/>
                <w:lang w:val="en-US"/>
              </w:rPr>
              <w:t>Ministry of Environment</w:t>
            </w:r>
          </w:p>
          <w:p w14:paraId="0DD7E05F" w14:textId="17C2C969" w:rsidR="00132360" w:rsidRPr="003A7E34" w:rsidRDefault="00132360" w:rsidP="00232F41">
            <w:pPr>
              <w:spacing w:before="0" w:after="0"/>
              <w:rPr>
                <w:rFonts w:eastAsia="Times New Roman"/>
                <w:sz w:val="20"/>
                <w:szCs w:val="20"/>
                <w:lang w:val="en-US"/>
              </w:rPr>
            </w:pPr>
            <w:r w:rsidRPr="003A7E34">
              <w:rPr>
                <w:rFonts w:eastAsia="Times New Roman"/>
                <w:sz w:val="20"/>
                <w:szCs w:val="20"/>
                <w:lang w:val="en-US"/>
              </w:rPr>
              <w:t>Ministry of Agriculture</w:t>
            </w:r>
          </w:p>
        </w:tc>
        <w:tc>
          <w:tcPr>
            <w:tcW w:w="1275" w:type="dxa"/>
          </w:tcPr>
          <w:p w14:paraId="1B109633" w14:textId="3FCAC1EA" w:rsidR="003C44DA" w:rsidRPr="003A7E34" w:rsidRDefault="00F417DB" w:rsidP="00F417DB">
            <w:pPr>
              <w:spacing w:before="0" w:after="0"/>
              <w:rPr>
                <w:rFonts w:eastAsia="Times New Roman"/>
                <w:sz w:val="20"/>
                <w:szCs w:val="20"/>
                <w:lang w:val="en-US"/>
              </w:rPr>
            </w:pPr>
            <w:r w:rsidRPr="003A7E34">
              <w:rPr>
                <w:rFonts w:eastAsia="Times New Roman"/>
                <w:sz w:val="20"/>
                <w:szCs w:val="20"/>
                <w:lang w:val="en-US"/>
              </w:rPr>
              <w:t>741</w:t>
            </w:r>
          </w:p>
        </w:tc>
        <w:tc>
          <w:tcPr>
            <w:tcW w:w="1276" w:type="dxa"/>
          </w:tcPr>
          <w:p w14:paraId="665EEBBB" w14:textId="37590782" w:rsidR="003C44DA" w:rsidRPr="00A1483D" w:rsidRDefault="004E5780" w:rsidP="00232F41">
            <w:pPr>
              <w:spacing w:before="0" w:after="0"/>
              <w:rPr>
                <w:rFonts w:eastAsia="Times New Roman"/>
                <w:sz w:val="20"/>
                <w:szCs w:val="20"/>
                <w:vertAlign w:val="superscript"/>
                <w:lang w:val="en-US"/>
              </w:rPr>
            </w:pPr>
            <w:r w:rsidRPr="003A7E34">
              <w:rPr>
                <w:rFonts w:eastAsia="Times New Roman"/>
                <w:sz w:val="20"/>
                <w:szCs w:val="20"/>
                <w:lang w:val="en-US"/>
              </w:rPr>
              <w:t>80</w:t>
            </w:r>
            <w:r w:rsidR="00A1483D">
              <w:rPr>
                <w:rFonts w:eastAsia="Times New Roman"/>
                <w:sz w:val="20"/>
                <w:szCs w:val="20"/>
                <w:vertAlign w:val="superscript"/>
                <w:lang w:val="en-US"/>
              </w:rPr>
              <w:t>1</w:t>
            </w:r>
          </w:p>
        </w:tc>
      </w:tr>
      <w:tr w:rsidR="00C82977" w:rsidRPr="003A7E34" w14:paraId="0EF5AB7A" w14:textId="77777777" w:rsidTr="003B3B3A">
        <w:trPr>
          <w:trHeight w:val="278"/>
        </w:trPr>
        <w:tc>
          <w:tcPr>
            <w:tcW w:w="1668" w:type="dxa"/>
          </w:tcPr>
          <w:p w14:paraId="7C322B85" w14:textId="16F3F78E" w:rsidR="00C82977" w:rsidRPr="003A7E34" w:rsidRDefault="00C82977" w:rsidP="00C82977">
            <w:pPr>
              <w:spacing w:before="0" w:after="0"/>
              <w:jc w:val="left"/>
              <w:rPr>
                <w:rFonts w:eastAsia="Times New Roman"/>
                <w:sz w:val="20"/>
                <w:szCs w:val="20"/>
                <w:lang w:val="en-US"/>
              </w:rPr>
            </w:pPr>
            <w:r>
              <w:rPr>
                <w:rFonts w:eastAsia="Times New Roman"/>
                <w:sz w:val="20"/>
                <w:szCs w:val="20"/>
                <w:lang w:val="en-US"/>
              </w:rPr>
              <w:t>L</w:t>
            </w:r>
            <w:r w:rsidRPr="003A7E34">
              <w:rPr>
                <w:rFonts w:eastAsia="Times New Roman"/>
                <w:sz w:val="20"/>
                <w:szCs w:val="20"/>
                <w:lang w:val="en-US"/>
              </w:rPr>
              <w:t>4. Promoting the use of biomass for energy production</w:t>
            </w:r>
          </w:p>
        </w:tc>
        <w:tc>
          <w:tcPr>
            <w:tcW w:w="1984" w:type="dxa"/>
          </w:tcPr>
          <w:p w14:paraId="2BBC8188" w14:textId="778A940D" w:rsidR="00C82977" w:rsidRPr="003A7E34" w:rsidRDefault="00C82977" w:rsidP="00232F41">
            <w:pPr>
              <w:spacing w:before="0" w:after="0"/>
              <w:jc w:val="left"/>
              <w:rPr>
                <w:rFonts w:eastAsia="Times New Roman"/>
                <w:sz w:val="20"/>
                <w:szCs w:val="20"/>
                <w:lang w:val="en-US"/>
              </w:rPr>
            </w:pPr>
            <w:r w:rsidRPr="003A7E34">
              <w:rPr>
                <w:rFonts w:eastAsia="Times New Roman"/>
                <w:sz w:val="20"/>
                <w:szCs w:val="20"/>
                <w:lang w:val="en-US"/>
              </w:rPr>
              <w:t>Additional wood biofuel production from cutting residues.</w:t>
            </w:r>
          </w:p>
        </w:tc>
        <w:tc>
          <w:tcPr>
            <w:tcW w:w="1701" w:type="dxa"/>
          </w:tcPr>
          <w:p w14:paraId="79C20DC1" w14:textId="1A5EC1A4" w:rsidR="00C82977" w:rsidRPr="003A7E34" w:rsidRDefault="00C82977" w:rsidP="00F417DB">
            <w:pPr>
              <w:spacing w:before="0" w:after="0"/>
              <w:rPr>
                <w:rFonts w:eastAsia="Times New Roman"/>
                <w:sz w:val="20"/>
                <w:szCs w:val="20"/>
                <w:lang w:val="en-US"/>
              </w:rPr>
            </w:pPr>
            <w:r w:rsidRPr="003A7E34">
              <w:rPr>
                <w:rFonts w:eastAsia="Times New Roman"/>
                <w:sz w:val="20"/>
                <w:szCs w:val="20"/>
                <w:lang w:val="en-US"/>
              </w:rPr>
              <w:t xml:space="preserve">2021–2030 </w:t>
            </w:r>
          </w:p>
        </w:tc>
        <w:tc>
          <w:tcPr>
            <w:tcW w:w="1985" w:type="dxa"/>
          </w:tcPr>
          <w:p w14:paraId="24968CAB" w14:textId="40378147" w:rsidR="00C82977" w:rsidRPr="003A7E34" w:rsidRDefault="00C82977" w:rsidP="00232F41">
            <w:pPr>
              <w:spacing w:before="0" w:after="0"/>
              <w:rPr>
                <w:rFonts w:eastAsia="Times New Roman"/>
                <w:sz w:val="20"/>
                <w:szCs w:val="20"/>
                <w:lang w:val="en-US"/>
              </w:rPr>
            </w:pPr>
            <w:r w:rsidRPr="003A7E34">
              <w:rPr>
                <w:rFonts w:eastAsia="Times New Roman"/>
                <w:sz w:val="20"/>
                <w:szCs w:val="20"/>
                <w:lang w:val="en-US"/>
              </w:rPr>
              <w:t>Ministry of Environment</w:t>
            </w:r>
          </w:p>
        </w:tc>
        <w:tc>
          <w:tcPr>
            <w:tcW w:w="1275" w:type="dxa"/>
          </w:tcPr>
          <w:p w14:paraId="3E9F30A5" w14:textId="2C674C52" w:rsidR="00C82977" w:rsidRPr="003A7E34" w:rsidRDefault="00C82977" w:rsidP="00F417DB">
            <w:pPr>
              <w:spacing w:before="0" w:after="0"/>
              <w:rPr>
                <w:rFonts w:eastAsia="Times New Roman"/>
                <w:sz w:val="20"/>
                <w:szCs w:val="20"/>
                <w:lang w:val="en-US"/>
              </w:rPr>
            </w:pPr>
            <w:r w:rsidRPr="003A7E34">
              <w:rPr>
                <w:rFonts w:eastAsia="Times New Roman"/>
                <w:sz w:val="20"/>
                <w:szCs w:val="20"/>
                <w:lang w:val="en-US"/>
              </w:rPr>
              <w:t>256</w:t>
            </w:r>
          </w:p>
        </w:tc>
        <w:tc>
          <w:tcPr>
            <w:tcW w:w="1276" w:type="dxa"/>
          </w:tcPr>
          <w:p w14:paraId="7C1A1071" w14:textId="627811F7" w:rsidR="00C82977" w:rsidRPr="003A7E34" w:rsidRDefault="00C82977" w:rsidP="00232F41">
            <w:pPr>
              <w:spacing w:before="0" w:after="0"/>
              <w:rPr>
                <w:rFonts w:eastAsia="Times New Roman"/>
                <w:sz w:val="20"/>
                <w:szCs w:val="20"/>
                <w:lang w:val="en-US"/>
              </w:rPr>
            </w:pPr>
            <w:r w:rsidRPr="003A7E34">
              <w:rPr>
                <w:rFonts w:eastAsia="Times New Roman"/>
                <w:sz w:val="20"/>
                <w:szCs w:val="20"/>
                <w:lang w:val="en-US"/>
              </w:rPr>
              <w:t>45</w:t>
            </w:r>
            <w:r w:rsidRPr="003A7E34">
              <w:rPr>
                <w:rFonts w:eastAsia="Times New Roman"/>
                <w:sz w:val="20"/>
                <w:szCs w:val="20"/>
                <w:vertAlign w:val="superscript"/>
                <w:lang w:val="en-US"/>
              </w:rPr>
              <w:t>1</w:t>
            </w:r>
          </w:p>
        </w:tc>
      </w:tr>
      <w:tr w:rsidR="00C82977" w:rsidRPr="003A7E34" w14:paraId="3A2B2F6E" w14:textId="77777777" w:rsidTr="00CE6013">
        <w:trPr>
          <w:trHeight w:val="165"/>
        </w:trPr>
        <w:tc>
          <w:tcPr>
            <w:tcW w:w="7338" w:type="dxa"/>
            <w:gridSpan w:val="4"/>
          </w:tcPr>
          <w:p w14:paraId="522ECA28" w14:textId="55A84277" w:rsidR="00C82977" w:rsidRPr="003A7E34" w:rsidRDefault="00C82977" w:rsidP="00232F41">
            <w:pPr>
              <w:spacing w:before="0" w:after="0"/>
              <w:jc w:val="right"/>
              <w:rPr>
                <w:rFonts w:eastAsia="Times New Roman"/>
                <w:sz w:val="20"/>
                <w:szCs w:val="20"/>
                <w:lang w:val="en-US"/>
              </w:rPr>
            </w:pPr>
            <w:r w:rsidRPr="003A7E34">
              <w:rPr>
                <w:rFonts w:eastAsia="Times New Roman"/>
                <w:sz w:val="20"/>
                <w:szCs w:val="20"/>
                <w:lang w:val="en-US"/>
              </w:rPr>
              <w:t>Total adopted:</w:t>
            </w:r>
          </w:p>
        </w:tc>
        <w:tc>
          <w:tcPr>
            <w:tcW w:w="1275" w:type="dxa"/>
          </w:tcPr>
          <w:p w14:paraId="680E551E" w14:textId="112716E4" w:rsidR="00C82977" w:rsidRPr="003A7E34" w:rsidRDefault="00C82977" w:rsidP="00C82977">
            <w:pPr>
              <w:spacing w:before="0" w:after="0"/>
              <w:rPr>
                <w:rFonts w:eastAsia="Times New Roman"/>
                <w:sz w:val="20"/>
                <w:szCs w:val="20"/>
                <w:lang w:val="en-US"/>
              </w:rPr>
            </w:pPr>
            <w:r>
              <w:rPr>
                <w:rFonts w:eastAsia="Times New Roman"/>
                <w:sz w:val="20"/>
                <w:szCs w:val="20"/>
                <w:lang w:val="en-US"/>
              </w:rPr>
              <w:t>997</w:t>
            </w:r>
          </w:p>
        </w:tc>
        <w:tc>
          <w:tcPr>
            <w:tcW w:w="1276" w:type="dxa"/>
          </w:tcPr>
          <w:p w14:paraId="08E45205" w14:textId="2A343E1F" w:rsidR="00C82977" w:rsidRPr="003A7E34" w:rsidRDefault="00C82977" w:rsidP="00C82977">
            <w:pPr>
              <w:spacing w:before="0" w:after="0"/>
              <w:rPr>
                <w:rFonts w:eastAsia="Times New Roman"/>
                <w:sz w:val="20"/>
                <w:szCs w:val="20"/>
                <w:lang w:val="en-US"/>
              </w:rPr>
            </w:pPr>
            <w:r>
              <w:rPr>
                <w:rFonts w:eastAsia="Times New Roman"/>
                <w:sz w:val="20"/>
                <w:szCs w:val="20"/>
                <w:lang w:val="en-US"/>
              </w:rPr>
              <w:t>125</w:t>
            </w:r>
          </w:p>
        </w:tc>
      </w:tr>
    </w:tbl>
    <w:p w14:paraId="26939A5D" w14:textId="77777777" w:rsidR="002F6BDB" w:rsidRPr="003A7E34" w:rsidRDefault="002F6BDB" w:rsidP="002F6BDB">
      <w:pPr>
        <w:spacing w:before="0"/>
        <w:rPr>
          <w:rFonts w:eastAsia="Times New Roman"/>
          <w:sz w:val="20"/>
          <w:szCs w:val="20"/>
          <w:lang w:val="en-US"/>
        </w:rPr>
      </w:pPr>
      <w:r w:rsidRPr="003A7E34">
        <w:rPr>
          <w:rFonts w:eastAsia="Times New Roman"/>
          <w:sz w:val="20"/>
          <w:szCs w:val="20"/>
          <w:vertAlign w:val="superscript"/>
          <w:lang w:val="en-US"/>
        </w:rPr>
        <w:t>1</w:t>
      </w:r>
      <w:r w:rsidRPr="003A7E34">
        <w:rPr>
          <w:rFonts w:eastAsia="Times New Roman"/>
          <w:sz w:val="20"/>
          <w:szCs w:val="20"/>
          <w:lang w:val="en-US"/>
        </w:rPr>
        <w:t xml:space="preserve">financing from EU funds </w:t>
      </w:r>
    </w:p>
    <w:p w14:paraId="07959B39" w14:textId="77777777" w:rsidR="002F6BDB" w:rsidRPr="003A7E34" w:rsidRDefault="002F6BDB" w:rsidP="002F6BDB">
      <w:pPr>
        <w:spacing w:before="0"/>
        <w:rPr>
          <w:rFonts w:eastAsia="Times New Roman"/>
          <w:sz w:val="20"/>
          <w:szCs w:val="20"/>
          <w:lang w:val="en-US"/>
        </w:rPr>
      </w:pPr>
      <w:r w:rsidRPr="003A7E34">
        <w:rPr>
          <w:rFonts w:eastAsia="Times New Roman"/>
          <w:sz w:val="20"/>
          <w:szCs w:val="20"/>
          <w:vertAlign w:val="superscript"/>
          <w:lang w:val="en-US"/>
        </w:rPr>
        <w:t>2</w:t>
      </w:r>
      <w:r w:rsidRPr="003A7E34">
        <w:rPr>
          <w:rFonts w:eastAsia="Times New Roman"/>
          <w:sz w:val="20"/>
          <w:szCs w:val="20"/>
          <w:lang w:val="en-US"/>
        </w:rPr>
        <w:t xml:space="preserve">financing from budget </w:t>
      </w:r>
    </w:p>
    <w:p w14:paraId="117082BC" w14:textId="77777777" w:rsidR="002F6BDB" w:rsidRPr="003A7E34" w:rsidRDefault="002F6BDB" w:rsidP="002F6BDB">
      <w:pPr>
        <w:spacing w:before="0"/>
        <w:rPr>
          <w:rFonts w:eastAsia="Times New Roman"/>
          <w:sz w:val="20"/>
          <w:szCs w:val="20"/>
          <w:lang w:val="en-US"/>
        </w:rPr>
      </w:pPr>
      <w:r w:rsidRPr="003A7E34">
        <w:rPr>
          <w:rFonts w:eastAsia="Times New Roman"/>
          <w:sz w:val="20"/>
          <w:szCs w:val="20"/>
          <w:vertAlign w:val="superscript"/>
          <w:lang w:val="en-US"/>
        </w:rPr>
        <w:t>3</w:t>
      </w:r>
      <w:r w:rsidRPr="003A7E34">
        <w:rPr>
          <w:rFonts w:eastAsia="Times New Roman"/>
          <w:sz w:val="20"/>
          <w:szCs w:val="20"/>
          <w:lang w:val="en-US"/>
        </w:rPr>
        <w:t>other sources</w:t>
      </w:r>
    </w:p>
    <w:p w14:paraId="4EFA598A" w14:textId="77777777" w:rsidR="00BA6C86" w:rsidRPr="003A7E34" w:rsidRDefault="00BA6C86" w:rsidP="00BA6C86">
      <w:pPr>
        <w:spacing w:before="0"/>
        <w:rPr>
          <w:rFonts w:eastAsia="Times New Roman"/>
          <w:bCs/>
        </w:rPr>
      </w:pPr>
    </w:p>
    <w:p w14:paraId="33D73955" w14:textId="7549EA02" w:rsidR="00BA6C86" w:rsidRPr="003A7E34" w:rsidRDefault="00BA6C86" w:rsidP="00BA6C86">
      <w:pPr>
        <w:spacing w:before="0"/>
        <w:rPr>
          <w:rFonts w:eastAsia="Times New Roman"/>
          <w:bCs/>
        </w:rPr>
      </w:pPr>
      <w:r w:rsidRPr="003A7E34">
        <w:rPr>
          <w:rFonts w:eastAsia="Times New Roman"/>
          <w:bCs/>
        </w:rPr>
        <w:t xml:space="preserve">RES measures listed in Tables 3.1.2.1 and 3.1.2.2 as well as energy efficiency measures listed in Chapter 3.2 and Table 3.2.1 will contribute towards GHG emission reduction substantially.  </w:t>
      </w:r>
    </w:p>
    <w:p w14:paraId="05230B30" w14:textId="126F8880" w:rsidR="00CF7A19" w:rsidRPr="003A7E34" w:rsidRDefault="00CF7A19" w:rsidP="00232F41">
      <w:pPr>
        <w:pStyle w:val="ListParagraph"/>
        <w:spacing w:after="120" w:line="240" w:lineRule="auto"/>
        <w:ind w:left="0"/>
        <w:contextualSpacing w:val="0"/>
        <w:jc w:val="both"/>
        <w:rPr>
          <w:rFonts w:ascii="Times New Roman" w:eastAsia="Times New Roman" w:hAnsi="Times New Roman" w:cs="Times New Roman"/>
          <w:b/>
          <w:bCs/>
          <w:sz w:val="20"/>
          <w:szCs w:val="20"/>
          <w:lang w:val="en-US"/>
        </w:rPr>
      </w:pPr>
    </w:p>
    <w:p w14:paraId="1760E662" w14:textId="363A290A" w:rsidR="00B93F9F" w:rsidRPr="003A7E34" w:rsidRDefault="00B93F9F"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b/>
          <w:bCs/>
          <w:i/>
          <w:iCs/>
          <w:noProof/>
          <w:lang w:val="en-US"/>
        </w:rPr>
        <w:t>Where relevant</w:t>
      </w:r>
      <w:r w:rsidRPr="003A7E34">
        <w:rPr>
          <w:rFonts w:ascii="Times New Roman" w:eastAsia="Times New Roman" w:hAnsi="Times New Roman" w:cs="Times New Roman"/>
          <w:noProof/>
          <w:lang w:val="en-US"/>
        </w:rPr>
        <w:t>, regional cooperation in this area</w:t>
      </w:r>
    </w:p>
    <w:p w14:paraId="7A4A14D0" w14:textId="282324FF" w:rsidR="003D0C04" w:rsidRPr="003A7E34" w:rsidRDefault="372247B6">
      <w:pPr>
        <w:rPr>
          <w:rFonts w:eastAsia="Times New Roman"/>
          <w:lang w:val="en-US"/>
        </w:rPr>
      </w:pPr>
      <w:r w:rsidRPr="003A7E34">
        <w:rPr>
          <w:rFonts w:eastAsia="Times New Roman"/>
          <w:b/>
          <w:i/>
          <w:iCs/>
          <w:lang w:val="en-US"/>
        </w:rPr>
        <w:t xml:space="preserve">Regional cooperation in </w:t>
      </w:r>
      <w:r w:rsidR="00140811" w:rsidRPr="003A7E34">
        <w:rPr>
          <w:rFonts w:eastAsia="Times New Roman"/>
          <w:b/>
          <w:i/>
          <w:iCs/>
          <w:lang w:val="en-US"/>
        </w:rPr>
        <w:t xml:space="preserve">the field of </w:t>
      </w:r>
      <w:r w:rsidRPr="003A7E34">
        <w:rPr>
          <w:rFonts w:eastAsia="Times New Roman"/>
          <w:b/>
          <w:i/>
          <w:iCs/>
          <w:lang w:val="en-US"/>
        </w:rPr>
        <w:t>climate change</w:t>
      </w:r>
      <w:r w:rsidRPr="003A7E34">
        <w:rPr>
          <w:rFonts w:eastAsia="Times New Roman"/>
          <w:i/>
          <w:iCs/>
          <w:lang w:val="en-US"/>
        </w:rPr>
        <w:t>.</w:t>
      </w:r>
      <w:r w:rsidRPr="003A7E34">
        <w:rPr>
          <w:rFonts w:eastAsia="Times New Roman"/>
          <w:lang w:val="en-US"/>
        </w:rPr>
        <w:t xml:space="preserve"> The implementation of the Paris Agreement and the EU climate and energy targets till 2030 are being periodically discussed in different committees of the Baltic Assembly, which is represented by members of Parliament of Estonia, Latvia and Lithuania, Summits of Prime Ministers, the Baltic Council of Ministers and senior official group meetings</w:t>
      </w:r>
      <w:r w:rsidR="00140811" w:rsidRPr="003A7E34">
        <w:rPr>
          <w:rFonts w:eastAsia="Times New Roman"/>
          <w:lang w:val="en-US"/>
        </w:rPr>
        <w:t>,</w:t>
      </w:r>
      <w:r w:rsidRPr="003A7E34">
        <w:rPr>
          <w:rFonts w:eastAsia="Times New Roman"/>
          <w:lang w:val="en-US"/>
        </w:rPr>
        <w:t xml:space="preserve"> as well as the forums for the implementation of the European Union Strategy for the Baltic Sea Region (EUSBSR).</w:t>
      </w:r>
    </w:p>
    <w:p w14:paraId="674F0574" w14:textId="77777777" w:rsidR="005A6666" w:rsidRPr="003A7E34" w:rsidRDefault="005A6666">
      <w:pPr>
        <w:rPr>
          <w:rFonts w:eastAsia="Times New Roman"/>
          <w:lang w:val="en-US"/>
        </w:rPr>
      </w:pPr>
    </w:p>
    <w:p w14:paraId="24377CD9" w14:textId="2030D667" w:rsidR="00B93F9F" w:rsidRPr="003A7E34" w:rsidRDefault="00B93F9F"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Without prejudice to the applicability of state aid rules, financing measures, including Union support and the use of Union funds, in this area at national level, where applicable</w:t>
      </w:r>
    </w:p>
    <w:p w14:paraId="1BA80A1B" w14:textId="466F5A52" w:rsidR="00AC2BB9" w:rsidRPr="003A7E34" w:rsidRDefault="00AC2BB9" w:rsidP="00EA50D6">
      <w:pPr>
        <w:spacing w:before="0" w:after="0"/>
        <w:rPr>
          <w:rFonts w:eastAsia="Times New Roman"/>
          <w:lang w:val="en-US"/>
        </w:rPr>
      </w:pPr>
      <w:r w:rsidRPr="003A7E34">
        <w:rPr>
          <w:rFonts w:eastAsia="Times New Roman"/>
          <w:lang w:val="en-US"/>
        </w:rPr>
        <w:lastRenderedPageBreak/>
        <w:t>In 2015 conducted Study</w:t>
      </w:r>
      <w:r w:rsidRPr="003A7E34">
        <w:rPr>
          <w:rFonts w:eastAsia="Times New Roman"/>
          <w:b/>
          <w:bCs/>
          <w:lang w:val="en-US"/>
        </w:rPr>
        <w:t xml:space="preserve"> for the evaluation of the effects, benefits and costs for Lithuania by implementing the EU climate and energy policy targets till 2030</w:t>
      </w:r>
      <w:r w:rsidR="00CF7A19" w:rsidRPr="003A7E34">
        <w:rPr>
          <w:rStyle w:val="FootnoteReference"/>
          <w:rFonts w:eastAsia="Times New Roman"/>
          <w:b/>
          <w:bCs/>
          <w:lang w:val="en-US"/>
        </w:rPr>
        <w:footnoteReference w:id="18"/>
      </w:r>
      <w:r w:rsidRPr="003A7E34">
        <w:rPr>
          <w:rFonts w:eastAsia="Times New Roman"/>
          <w:lang w:val="en-US"/>
        </w:rPr>
        <w:t xml:space="preserve">estimated that the total needed investment under </w:t>
      </w:r>
      <w:r w:rsidR="00140811" w:rsidRPr="003A7E34">
        <w:rPr>
          <w:rFonts w:eastAsia="Times New Roman"/>
          <w:lang w:val="en-US"/>
        </w:rPr>
        <w:t xml:space="preserve">a </w:t>
      </w:r>
      <w:r w:rsidRPr="003A7E34">
        <w:rPr>
          <w:rFonts w:eastAsia="Times New Roman"/>
          <w:lang w:val="en-US"/>
        </w:rPr>
        <w:t xml:space="preserve">cost-efficient scenario for the implementation </w:t>
      </w:r>
      <w:r w:rsidR="00140811" w:rsidRPr="003A7E34">
        <w:rPr>
          <w:rFonts w:eastAsia="Times New Roman"/>
          <w:lang w:val="en-US"/>
        </w:rPr>
        <w:t xml:space="preserve">of </w:t>
      </w:r>
      <w:r w:rsidRPr="003A7E34">
        <w:rPr>
          <w:rFonts w:eastAsia="Times New Roman"/>
          <w:lang w:val="en-US"/>
        </w:rPr>
        <w:t>GHG emissions reduction, EE and RES targets in the period of 2021–2030 might amount to 7 569 million EUR, and the total quantity of the reduced GHG emissions would be 1 382</w:t>
      </w:r>
      <w:r w:rsidR="00132360" w:rsidRPr="003A7E34">
        <w:rPr>
          <w:rFonts w:eastAsia="Times New Roman"/>
          <w:lang w:val="en-US"/>
        </w:rPr>
        <w:t>.</w:t>
      </w:r>
      <w:r w:rsidRPr="003A7E34">
        <w:rPr>
          <w:rFonts w:eastAsia="Times New Roman"/>
          <w:lang w:val="en-US"/>
        </w:rPr>
        <w:t>7 kt CO</w:t>
      </w:r>
      <w:r w:rsidRPr="003A7E34">
        <w:rPr>
          <w:rFonts w:eastAsia="Times New Roman"/>
          <w:vertAlign w:val="subscript"/>
          <w:lang w:val="en-US"/>
        </w:rPr>
        <w:t>2</w:t>
      </w:r>
      <w:r w:rsidRPr="003A7E34">
        <w:rPr>
          <w:rFonts w:eastAsia="Times New Roman"/>
          <w:lang w:val="en-US"/>
        </w:rPr>
        <w:t>eq.</w:t>
      </w:r>
    </w:p>
    <w:p w14:paraId="18986F99" w14:textId="3932345F" w:rsidR="00AC2BB9" w:rsidRPr="003A7E34" w:rsidRDefault="00AC2BB9" w:rsidP="00EA50D6">
      <w:pPr>
        <w:spacing w:before="0" w:after="0"/>
        <w:rPr>
          <w:rFonts w:eastAsia="Times New Roman"/>
          <w:noProof/>
          <w:lang w:val="en-US"/>
        </w:rPr>
      </w:pPr>
      <w:r w:rsidRPr="003A7E34">
        <w:rPr>
          <w:rFonts w:eastAsia="Times New Roman"/>
          <w:noProof/>
          <w:lang w:val="en-US"/>
        </w:rPr>
        <w:t>Lithuania’s national target implementation</w:t>
      </w:r>
      <w:r w:rsidR="00140811" w:rsidRPr="003A7E34">
        <w:rPr>
          <w:rFonts w:eastAsia="Times New Roman"/>
          <w:noProof/>
          <w:lang w:val="en-US"/>
        </w:rPr>
        <w:t>,</w:t>
      </w:r>
      <w:r w:rsidRPr="003A7E34">
        <w:rPr>
          <w:rFonts w:eastAsia="Times New Roman"/>
          <w:noProof/>
          <w:lang w:val="en-US"/>
        </w:rPr>
        <w:t xml:space="preserve"> reducing GHG emissions by 9%, compared to 2005, in non-ETS sectors till 2030</w:t>
      </w:r>
      <w:r w:rsidR="00140811" w:rsidRPr="003A7E34">
        <w:rPr>
          <w:rFonts w:eastAsia="Times New Roman"/>
          <w:noProof/>
          <w:lang w:val="en-US"/>
        </w:rPr>
        <w:t>,</w:t>
      </w:r>
      <w:r w:rsidRPr="003A7E34">
        <w:rPr>
          <w:rFonts w:eastAsia="Times New Roman"/>
          <w:noProof/>
          <w:lang w:val="en-US"/>
        </w:rPr>
        <w:t xml:space="preserve"> </w:t>
      </w:r>
      <w:r w:rsidR="000346AA" w:rsidRPr="003A7E34">
        <w:rPr>
          <w:rFonts w:eastAsia="Times New Roman"/>
          <w:noProof/>
          <w:lang w:val="en-US"/>
        </w:rPr>
        <w:t xml:space="preserve">might </w:t>
      </w:r>
      <w:r w:rsidRPr="003A7E34">
        <w:rPr>
          <w:rFonts w:eastAsia="Times New Roman"/>
          <w:noProof/>
          <w:lang w:val="en-US"/>
        </w:rPr>
        <w:t xml:space="preserve">cost at least 4.8 billion EUR, from which aproximately 1.89 billion EUR </w:t>
      </w:r>
      <w:r w:rsidR="000346AA" w:rsidRPr="003A7E34">
        <w:rPr>
          <w:rFonts w:eastAsia="Times New Roman"/>
          <w:noProof/>
          <w:lang w:val="en-US"/>
        </w:rPr>
        <w:t xml:space="preserve">would be allocated for </w:t>
      </w:r>
      <w:r w:rsidRPr="003A7E34">
        <w:rPr>
          <w:rFonts w:eastAsia="Times New Roman"/>
          <w:noProof/>
          <w:lang w:val="en-US"/>
        </w:rPr>
        <w:t xml:space="preserve">agriculture sector and 2.96 billion EUR </w:t>
      </w:r>
      <w:r w:rsidR="000346AA" w:rsidRPr="003A7E34">
        <w:rPr>
          <w:rFonts w:eastAsia="Times New Roman"/>
          <w:noProof/>
          <w:lang w:val="en-US"/>
        </w:rPr>
        <w:t xml:space="preserve">for </w:t>
      </w:r>
      <w:r w:rsidRPr="003A7E34">
        <w:rPr>
          <w:rFonts w:eastAsia="Times New Roman"/>
          <w:noProof/>
          <w:lang w:val="en-US"/>
        </w:rPr>
        <w:t xml:space="preserve">transport sector. </w:t>
      </w:r>
    </w:p>
    <w:p w14:paraId="66385F2C" w14:textId="6E946B75" w:rsidR="00AC2BB9" w:rsidRPr="003A7E34" w:rsidRDefault="000346AA">
      <w:pPr>
        <w:rPr>
          <w:rFonts w:eastAsia="Times New Roman"/>
          <w:lang w:val="en-US"/>
        </w:rPr>
      </w:pPr>
      <w:r w:rsidRPr="003A7E34">
        <w:rPr>
          <w:rFonts w:eastAsia="Times New Roman"/>
          <w:lang w:val="en-US"/>
        </w:rPr>
        <w:t xml:space="preserve">The implementation of Lithuania’s climate and energy targets till 2020 comprise almost 80% of the financial resources from the EU structural and investment funds, </w:t>
      </w:r>
      <w:r w:rsidR="372247B6" w:rsidRPr="003A7E34">
        <w:rPr>
          <w:rFonts w:eastAsia="Times New Roman"/>
          <w:lang w:val="en-US"/>
        </w:rPr>
        <w:t xml:space="preserve">therefore EU financial instruments and the EU level policy measures in different economy sectors related to the achievement of more stringent GHG emissions reduction targets will be </w:t>
      </w:r>
      <w:r w:rsidRPr="003A7E34">
        <w:rPr>
          <w:rFonts w:eastAsia="Times New Roman"/>
          <w:lang w:val="en-US"/>
        </w:rPr>
        <w:t>of ut</w:t>
      </w:r>
      <w:r w:rsidR="372247B6" w:rsidRPr="003A7E34">
        <w:rPr>
          <w:rFonts w:eastAsia="Times New Roman"/>
          <w:lang w:val="en-US"/>
        </w:rPr>
        <w:t>most importance in the period from 2021 till 2030.</w:t>
      </w:r>
    </w:p>
    <w:p w14:paraId="6842B800" w14:textId="77777777" w:rsidR="00EE13C2" w:rsidRPr="00152D10" w:rsidRDefault="00EE13C2">
      <w:pPr>
        <w:rPr>
          <w:rFonts w:eastAsia="Times New Roman"/>
          <w:sz w:val="14"/>
          <w:lang w:val="en-US"/>
        </w:rPr>
      </w:pPr>
    </w:p>
    <w:p w14:paraId="4859E1AB" w14:textId="5599079B" w:rsidR="00713E7D" w:rsidRPr="003A7E34" w:rsidRDefault="00713E7D" w:rsidP="00C42AAE">
      <w:pPr>
        <w:pStyle w:val="Heading3"/>
        <w:numPr>
          <w:ilvl w:val="2"/>
          <w:numId w:val="21"/>
        </w:numPr>
        <w:rPr>
          <w:rFonts w:cs="Times New Roman"/>
          <w:noProof/>
          <w:lang w:val="en-US"/>
        </w:rPr>
      </w:pPr>
      <w:bookmarkStart w:id="67" w:name="_Toc530405575"/>
      <w:bookmarkStart w:id="68" w:name="_Toc530411806"/>
      <w:bookmarkStart w:id="69" w:name="_Toc530414155"/>
      <w:r w:rsidRPr="003A7E34">
        <w:rPr>
          <w:rFonts w:eastAsia="Times New Roman" w:cs="Times New Roman"/>
          <w:noProof/>
          <w:lang w:val="en-US"/>
        </w:rPr>
        <w:t>Renewable energy</w:t>
      </w:r>
      <w:bookmarkEnd w:id="67"/>
      <w:bookmarkEnd w:id="68"/>
      <w:bookmarkEnd w:id="69"/>
    </w:p>
    <w:p w14:paraId="03392CA8" w14:textId="46B818FC" w:rsidR="00247FA3" w:rsidRPr="003A7E34" w:rsidRDefault="00713E7D"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Policies and measures to achieve the national contribution to the binding 2030 Union target for renewable energy and trajectories </w:t>
      </w:r>
      <w:r w:rsidRPr="003A7E34">
        <w:rPr>
          <w:rFonts w:ascii="Times New Roman" w:eastAsia="Times New Roman" w:hAnsi="Times New Roman" w:cs="Times New Roman"/>
          <w:b/>
          <w:bCs/>
          <w:i/>
          <w:iCs/>
          <w:noProof/>
          <w:lang w:val="en-US"/>
        </w:rPr>
        <w:t>as referred to in point (a)(2) Article 4, and, where applicable or available, the elements</w:t>
      </w:r>
      <w:r w:rsidRPr="003A7E34">
        <w:rPr>
          <w:rFonts w:ascii="Times New Roman" w:eastAsia="Times New Roman" w:hAnsi="Times New Roman" w:cs="Times New Roman"/>
          <w:noProof/>
          <w:lang w:val="en-US"/>
        </w:rPr>
        <w:t xml:space="preserve"> referred to in point 2.1.2, including sector- and technology-specific measures</w:t>
      </w:r>
      <w:r w:rsidRPr="003A7E34">
        <w:rPr>
          <w:rFonts w:ascii="Times New Roman" w:eastAsia="Times New Roman" w:hAnsi="Times New Roman" w:cs="Times New Roman"/>
          <w:noProof/>
          <w:vertAlign w:val="superscript"/>
          <w:lang w:val="en-US"/>
        </w:rPr>
        <w:footnoteReference w:id="19"/>
      </w:r>
    </w:p>
    <w:p w14:paraId="5A4A1634" w14:textId="31D4789B" w:rsidR="00835338" w:rsidRPr="003A7E34" w:rsidRDefault="46DF7FC9" w:rsidP="46DF7FC9">
      <w:pPr>
        <w:spacing w:after="0"/>
        <w:rPr>
          <w:rFonts w:eastAsia="Times New Roman"/>
          <w:lang w:val="en-US"/>
        </w:rPr>
      </w:pPr>
      <w:r w:rsidRPr="003A7E34">
        <w:rPr>
          <w:rFonts w:eastAsia="Times New Roman"/>
          <w:lang w:val="en-US"/>
        </w:rPr>
        <w:t xml:space="preserve">Lithuania implements PaMs that aim to increase the share of electricity and district heating produced from RES and promote the use of RES in industry and in households. The law on energy from renewable sources adopted in 2011 and updated in 2015, established targets for 2020 </w:t>
      </w:r>
      <w:r w:rsidR="00F618BE" w:rsidRPr="003A7E34">
        <w:rPr>
          <w:rFonts w:eastAsia="Times New Roman"/>
          <w:lang w:val="en-US"/>
        </w:rPr>
        <w:t>(</w:t>
      </w:r>
      <w:r w:rsidRPr="003A7E34">
        <w:rPr>
          <w:rFonts w:eastAsia="Times New Roman"/>
          <w:lang w:val="en-US"/>
        </w:rPr>
        <w:t xml:space="preserve">see Chapter 1.1 Table </w:t>
      </w:r>
      <w:r w:rsidR="008F3CA5" w:rsidRPr="003A7E34">
        <w:rPr>
          <w:rFonts w:eastAsia="Times New Roman"/>
          <w:lang w:val="en-US"/>
        </w:rPr>
        <w:t>3.1.2.1.</w:t>
      </w:r>
      <w:r w:rsidR="00F618BE" w:rsidRPr="003A7E34">
        <w:rPr>
          <w:rFonts w:eastAsia="Times New Roman"/>
          <w:lang w:val="en-US"/>
        </w:rPr>
        <w:t>)</w:t>
      </w:r>
      <w:r w:rsidRPr="003A7E34">
        <w:rPr>
          <w:rFonts w:eastAsia="Times New Roman"/>
          <w:lang w:val="en-US"/>
        </w:rPr>
        <w:t>. Some of the RES targets were overachieved before 2020: the share of RES in total final energy consumption was 25.</w:t>
      </w:r>
      <w:r w:rsidR="00590E7C" w:rsidRPr="003A7E34">
        <w:rPr>
          <w:rFonts w:eastAsia="Times New Roman"/>
          <w:lang w:val="en-US"/>
        </w:rPr>
        <w:t>8</w:t>
      </w:r>
      <w:r w:rsidRPr="003A7E34">
        <w:rPr>
          <w:rFonts w:eastAsia="Times New Roman"/>
          <w:lang w:val="en-US"/>
        </w:rPr>
        <w:t>% in 201</w:t>
      </w:r>
      <w:r w:rsidR="00590E7C" w:rsidRPr="003A7E34">
        <w:rPr>
          <w:rFonts w:eastAsia="Times New Roman"/>
          <w:lang w:val="en-US"/>
        </w:rPr>
        <w:t>7</w:t>
      </w:r>
      <w:r w:rsidRPr="003A7E34">
        <w:rPr>
          <w:rFonts w:eastAsia="Times New Roman"/>
          <w:lang w:val="en-US"/>
        </w:rPr>
        <w:t xml:space="preserve">. </w:t>
      </w:r>
    </w:p>
    <w:p w14:paraId="780173B3" w14:textId="77777777" w:rsidR="00EE13C2" w:rsidRPr="006209E8" w:rsidRDefault="00EE13C2" w:rsidP="00EA50D6">
      <w:pPr>
        <w:spacing w:after="0"/>
        <w:rPr>
          <w:rFonts w:eastAsia="Times New Roman"/>
          <w:sz w:val="18"/>
          <w:lang w:val="en-US"/>
        </w:rPr>
      </w:pPr>
    </w:p>
    <w:p w14:paraId="2F8ABBB2" w14:textId="7DC90629" w:rsidR="00247FA3" w:rsidRDefault="5E230566" w:rsidP="5E230566">
      <w:pPr>
        <w:rPr>
          <w:rFonts w:eastAsia="Times New Roman"/>
          <w:sz w:val="20"/>
          <w:szCs w:val="20"/>
          <w:lang w:val="en-US"/>
        </w:rPr>
      </w:pPr>
      <w:r w:rsidRPr="003A7E34">
        <w:rPr>
          <w:rFonts w:eastAsia="Times New Roman"/>
          <w:b/>
          <w:bCs/>
          <w:sz w:val="20"/>
          <w:szCs w:val="20"/>
          <w:lang w:val="en-US"/>
        </w:rPr>
        <w:t xml:space="preserve">Table 3.1.2.1. </w:t>
      </w:r>
      <w:r w:rsidR="00C51D0F" w:rsidRPr="00C51D0F">
        <w:rPr>
          <w:rFonts w:eastAsia="Times New Roman"/>
          <w:sz w:val="20"/>
          <w:szCs w:val="20"/>
          <w:lang w:val="en-US"/>
        </w:rPr>
        <w:t>Policies and measures to achieve the national contribution to the binding 2030 Union target for renewable energy</w:t>
      </w:r>
    </w:p>
    <w:tbl>
      <w:tblPr>
        <w:tblStyle w:val="TableGrid"/>
        <w:tblW w:w="10314" w:type="dxa"/>
        <w:tblLayout w:type="fixed"/>
        <w:tblLook w:val="06A0" w:firstRow="1" w:lastRow="0" w:firstColumn="1" w:lastColumn="0" w:noHBand="1" w:noVBand="1"/>
      </w:tblPr>
      <w:tblGrid>
        <w:gridCol w:w="1809"/>
        <w:gridCol w:w="1276"/>
        <w:gridCol w:w="1701"/>
        <w:gridCol w:w="1559"/>
        <w:gridCol w:w="1418"/>
        <w:gridCol w:w="1417"/>
        <w:gridCol w:w="1134"/>
      </w:tblGrid>
      <w:tr w:rsidR="00C51D0F" w:rsidRPr="00555876" w14:paraId="022F29F7" w14:textId="14A7F6CA" w:rsidTr="00C51D0F">
        <w:trPr>
          <w:tblHeader/>
        </w:trPr>
        <w:tc>
          <w:tcPr>
            <w:tcW w:w="1809" w:type="dxa"/>
          </w:tcPr>
          <w:p w14:paraId="457D4A26" w14:textId="77777777" w:rsidR="00C51D0F" w:rsidRPr="00555876" w:rsidRDefault="00C51D0F" w:rsidP="00C30D60">
            <w:pPr>
              <w:spacing w:before="0" w:after="0"/>
              <w:rPr>
                <w:rFonts w:eastAsia="Times New Roman"/>
                <w:b/>
                <w:sz w:val="20"/>
                <w:szCs w:val="20"/>
                <w:lang w:val="en-US"/>
              </w:rPr>
            </w:pPr>
            <w:r>
              <w:rPr>
                <w:rFonts w:eastAsia="Times New Roman"/>
                <w:b/>
                <w:sz w:val="20"/>
                <w:szCs w:val="20"/>
                <w:lang w:val="en-US"/>
              </w:rPr>
              <w:t>M</w:t>
            </w:r>
            <w:r w:rsidRPr="00555876">
              <w:rPr>
                <w:rFonts w:eastAsia="Times New Roman"/>
                <w:b/>
                <w:sz w:val="20"/>
                <w:szCs w:val="20"/>
                <w:lang w:val="en-US"/>
              </w:rPr>
              <w:t>easure</w:t>
            </w:r>
            <w:r>
              <w:rPr>
                <w:rFonts w:eastAsia="Times New Roman"/>
                <w:b/>
                <w:sz w:val="20"/>
                <w:szCs w:val="20"/>
                <w:lang w:val="en-US"/>
              </w:rPr>
              <w:t>s</w:t>
            </w:r>
          </w:p>
        </w:tc>
        <w:tc>
          <w:tcPr>
            <w:tcW w:w="1276" w:type="dxa"/>
          </w:tcPr>
          <w:p w14:paraId="729274AF" w14:textId="77777777" w:rsidR="00C51D0F" w:rsidRPr="00555876" w:rsidRDefault="00C51D0F" w:rsidP="00C30D60">
            <w:pPr>
              <w:spacing w:before="0" w:after="0"/>
              <w:rPr>
                <w:rFonts w:eastAsia="Times New Roman"/>
                <w:b/>
                <w:sz w:val="20"/>
                <w:szCs w:val="20"/>
                <w:lang w:val="en-US"/>
              </w:rPr>
            </w:pPr>
            <w:r>
              <w:rPr>
                <w:rFonts w:eastAsia="Times New Roman"/>
                <w:b/>
                <w:sz w:val="20"/>
                <w:szCs w:val="20"/>
                <w:lang w:val="en-US"/>
              </w:rPr>
              <w:t>Objectives</w:t>
            </w:r>
          </w:p>
        </w:tc>
        <w:tc>
          <w:tcPr>
            <w:tcW w:w="1701" w:type="dxa"/>
          </w:tcPr>
          <w:p w14:paraId="77935874" w14:textId="77777777" w:rsidR="00C51D0F" w:rsidRPr="00555876" w:rsidRDefault="00C51D0F" w:rsidP="00C30D60">
            <w:pPr>
              <w:spacing w:before="0" w:after="0"/>
              <w:rPr>
                <w:rFonts w:eastAsia="Times New Roman"/>
                <w:b/>
                <w:sz w:val="20"/>
                <w:szCs w:val="20"/>
                <w:lang w:val="en-US"/>
              </w:rPr>
            </w:pPr>
            <w:r w:rsidRPr="00555876">
              <w:rPr>
                <w:rFonts w:eastAsia="Times New Roman"/>
                <w:b/>
                <w:bCs/>
                <w:sz w:val="20"/>
                <w:szCs w:val="20"/>
                <w:lang w:val="en-US"/>
              </w:rPr>
              <w:t>Implementation period</w:t>
            </w:r>
          </w:p>
        </w:tc>
        <w:tc>
          <w:tcPr>
            <w:tcW w:w="1559" w:type="dxa"/>
          </w:tcPr>
          <w:p w14:paraId="6AB55625" w14:textId="2BA31814" w:rsidR="00C51D0F" w:rsidRPr="00555876" w:rsidRDefault="00C51D0F" w:rsidP="00C30D60">
            <w:pPr>
              <w:spacing w:before="0" w:after="0"/>
              <w:rPr>
                <w:rFonts w:eastAsia="Times New Roman"/>
                <w:b/>
                <w:sz w:val="20"/>
                <w:szCs w:val="20"/>
                <w:lang w:val="en-US"/>
              </w:rPr>
            </w:pPr>
            <w:r w:rsidRPr="00C51D0F">
              <w:rPr>
                <w:rFonts w:eastAsia="Times New Roman"/>
                <w:b/>
                <w:bCs/>
                <w:sz w:val="20"/>
                <w:szCs w:val="20"/>
                <w:lang w:val="en-US"/>
              </w:rPr>
              <w:t>Entities responsible for implementing the policy</w:t>
            </w:r>
          </w:p>
        </w:tc>
        <w:tc>
          <w:tcPr>
            <w:tcW w:w="1418" w:type="dxa"/>
          </w:tcPr>
          <w:p w14:paraId="3116C724" w14:textId="6A618060" w:rsidR="00C51D0F" w:rsidRPr="00555876" w:rsidRDefault="00C51D0F" w:rsidP="00C30D60">
            <w:pPr>
              <w:spacing w:before="0" w:after="0"/>
              <w:rPr>
                <w:rFonts w:eastAsia="Times New Roman"/>
                <w:b/>
                <w:sz w:val="20"/>
                <w:szCs w:val="20"/>
                <w:lang w:val="en-US"/>
              </w:rPr>
            </w:pPr>
            <w:r w:rsidRPr="003A7E34">
              <w:rPr>
                <w:rFonts w:eastAsia="Times New Roman"/>
                <w:b/>
                <w:bCs/>
                <w:sz w:val="20"/>
                <w:szCs w:val="20"/>
                <w:lang w:val="en-US"/>
              </w:rPr>
              <w:t>GHG mitigation effect, ktCO</w:t>
            </w:r>
            <w:r w:rsidRPr="003A7E34">
              <w:rPr>
                <w:rFonts w:eastAsia="Times New Roman"/>
                <w:b/>
                <w:bCs/>
                <w:sz w:val="20"/>
                <w:szCs w:val="20"/>
                <w:vertAlign w:val="subscript"/>
                <w:lang w:val="en-US"/>
              </w:rPr>
              <w:t>2</w:t>
            </w:r>
            <w:r w:rsidRPr="003A7E34">
              <w:rPr>
                <w:rFonts w:eastAsia="Times New Roman"/>
                <w:b/>
                <w:bCs/>
                <w:sz w:val="20"/>
                <w:szCs w:val="20"/>
                <w:lang w:val="en-US"/>
              </w:rPr>
              <w:t>eq</w:t>
            </w:r>
          </w:p>
        </w:tc>
        <w:tc>
          <w:tcPr>
            <w:tcW w:w="1417" w:type="dxa"/>
          </w:tcPr>
          <w:p w14:paraId="49B6BAF5" w14:textId="78B7752A" w:rsidR="00C51D0F" w:rsidRPr="00555876" w:rsidRDefault="00C51D0F" w:rsidP="00C30D60">
            <w:pPr>
              <w:spacing w:before="0" w:after="0"/>
              <w:rPr>
                <w:rFonts w:eastAsia="Times New Roman"/>
                <w:b/>
                <w:sz w:val="20"/>
                <w:szCs w:val="20"/>
                <w:lang w:val="en-US"/>
              </w:rPr>
            </w:pPr>
            <w:r w:rsidRPr="00555876">
              <w:rPr>
                <w:rFonts w:eastAsia="Times New Roman"/>
                <w:b/>
                <w:sz w:val="20"/>
                <w:szCs w:val="20"/>
                <w:lang w:val="en-US"/>
              </w:rPr>
              <w:t>Expected result</w:t>
            </w:r>
          </w:p>
        </w:tc>
        <w:tc>
          <w:tcPr>
            <w:tcW w:w="1134" w:type="dxa"/>
          </w:tcPr>
          <w:p w14:paraId="0AB35357" w14:textId="24A8FB81" w:rsidR="00C51D0F" w:rsidRPr="00555876" w:rsidRDefault="00C51D0F" w:rsidP="00C30D60">
            <w:pPr>
              <w:spacing w:before="0" w:after="0"/>
              <w:rPr>
                <w:rFonts w:eastAsia="Times New Roman"/>
                <w:b/>
                <w:sz w:val="20"/>
                <w:szCs w:val="20"/>
                <w:lang w:val="en-US"/>
              </w:rPr>
            </w:pPr>
            <w:r w:rsidRPr="00C51D0F">
              <w:rPr>
                <w:rFonts w:eastAsia="Times New Roman"/>
                <w:b/>
                <w:bCs/>
                <w:sz w:val="20"/>
                <w:szCs w:val="20"/>
                <w:lang w:val="en-US"/>
              </w:rPr>
              <w:t>Planned budget</w:t>
            </w:r>
            <w:r w:rsidRPr="00C51D0F">
              <w:rPr>
                <w:rFonts w:eastAsia="Times New Roman"/>
                <w:b/>
                <w:bCs/>
                <w:sz w:val="20"/>
                <w:szCs w:val="20"/>
                <w:vertAlign w:val="superscript"/>
                <w:lang w:val="en-US"/>
              </w:rPr>
              <w:t>1,2,3</w:t>
            </w:r>
            <w:r w:rsidRPr="00C51D0F">
              <w:rPr>
                <w:rFonts w:eastAsia="Times New Roman"/>
                <w:b/>
                <w:bCs/>
                <w:sz w:val="20"/>
                <w:szCs w:val="20"/>
                <w:lang w:val="en-US"/>
              </w:rPr>
              <w:t>, MEUR</w:t>
            </w:r>
          </w:p>
        </w:tc>
      </w:tr>
      <w:tr w:rsidR="00C51D0F" w:rsidRPr="00555876" w14:paraId="66B9400B" w14:textId="73DB145D" w:rsidTr="00C51D0F">
        <w:tc>
          <w:tcPr>
            <w:tcW w:w="1809" w:type="dxa"/>
          </w:tcPr>
          <w:p w14:paraId="66699DDA" w14:textId="77777777" w:rsidR="00C51D0F" w:rsidRPr="00555876" w:rsidRDefault="00C51D0F" w:rsidP="00C30D60">
            <w:pPr>
              <w:spacing w:before="0" w:after="0"/>
              <w:rPr>
                <w:rFonts w:eastAsia="Times New Roman"/>
                <w:b/>
                <w:bCs/>
                <w:sz w:val="20"/>
                <w:szCs w:val="20"/>
                <w:lang w:val="en-US"/>
              </w:rPr>
            </w:pPr>
            <w:r w:rsidRPr="00555876">
              <w:rPr>
                <w:rFonts w:eastAsia="Times New Roman"/>
                <w:b/>
                <w:bCs/>
                <w:sz w:val="20"/>
                <w:szCs w:val="20"/>
                <w:lang w:val="en-US"/>
              </w:rPr>
              <w:t>RES in electricity sector</w:t>
            </w:r>
          </w:p>
        </w:tc>
        <w:tc>
          <w:tcPr>
            <w:tcW w:w="1276" w:type="dxa"/>
          </w:tcPr>
          <w:p w14:paraId="7CD9AC14" w14:textId="77777777" w:rsidR="00C51D0F" w:rsidRPr="00555876" w:rsidRDefault="00C51D0F" w:rsidP="00C30D60">
            <w:pPr>
              <w:spacing w:before="0" w:after="0"/>
              <w:rPr>
                <w:rFonts w:eastAsia="Times New Roman"/>
                <w:sz w:val="20"/>
                <w:szCs w:val="20"/>
                <w:lang w:val="en-US"/>
              </w:rPr>
            </w:pPr>
          </w:p>
        </w:tc>
        <w:tc>
          <w:tcPr>
            <w:tcW w:w="1701" w:type="dxa"/>
          </w:tcPr>
          <w:p w14:paraId="45AB8416" w14:textId="77777777" w:rsidR="00C51D0F" w:rsidRPr="00555876" w:rsidRDefault="00C51D0F" w:rsidP="00C30D60">
            <w:pPr>
              <w:spacing w:before="0" w:after="0"/>
              <w:rPr>
                <w:rFonts w:eastAsia="Times New Roman"/>
                <w:sz w:val="20"/>
                <w:szCs w:val="20"/>
                <w:lang w:val="en-US"/>
              </w:rPr>
            </w:pPr>
          </w:p>
        </w:tc>
        <w:tc>
          <w:tcPr>
            <w:tcW w:w="1559" w:type="dxa"/>
          </w:tcPr>
          <w:p w14:paraId="5FF70D8B" w14:textId="77777777" w:rsidR="00C51D0F" w:rsidRPr="00555876" w:rsidRDefault="00C51D0F" w:rsidP="00C30D60">
            <w:pPr>
              <w:spacing w:before="0" w:after="0"/>
              <w:rPr>
                <w:rFonts w:eastAsia="Times New Roman"/>
                <w:sz w:val="20"/>
                <w:szCs w:val="20"/>
                <w:lang w:val="en-US"/>
              </w:rPr>
            </w:pPr>
          </w:p>
        </w:tc>
        <w:tc>
          <w:tcPr>
            <w:tcW w:w="1418" w:type="dxa"/>
          </w:tcPr>
          <w:p w14:paraId="229D9F4D" w14:textId="77777777" w:rsidR="00C51D0F" w:rsidRPr="00555876" w:rsidRDefault="00C51D0F" w:rsidP="00C30D60">
            <w:pPr>
              <w:spacing w:before="0" w:after="0"/>
              <w:rPr>
                <w:rFonts w:eastAsia="Times New Roman"/>
                <w:sz w:val="20"/>
                <w:szCs w:val="20"/>
                <w:lang w:val="en-US"/>
              </w:rPr>
            </w:pPr>
          </w:p>
        </w:tc>
        <w:tc>
          <w:tcPr>
            <w:tcW w:w="1417" w:type="dxa"/>
          </w:tcPr>
          <w:p w14:paraId="23CF6743" w14:textId="421E61E0" w:rsidR="00C51D0F" w:rsidRPr="00555876" w:rsidRDefault="00C51D0F" w:rsidP="00C30D60">
            <w:pPr>
              <w:spacing w:before="0" w:after="0"/>
              <w:rPr>
                <w:rFonts w:eastAsia="Times New Roman"/>
                <w:sz w:val="20"/>
                <w:szCs w:val="20"/>
                <w:lang w:val="en-US"/>
              </w:rPr>
            </w:pPr>
          </w:p>
        </w:tc>
        <w:tc>
          <w:tcPr>
            <w:tcW w:w="1134" w:type="dxa"/>
          </w:tcPr>
          <w:p w14:paraId="36A9320A" w14:textId="77777777" w:rsidR="00C51D0F" w:rsidRPr="00555876" w:rsidRDefault="00C51D0F" w:rsidP="00C30D60">
            <w:pPr>
              <w:spacing w:before="0" w:after="0"/>
              <w:rPr>
                <w:rFonts w:eastAsia="Times New Roman"/>
                <w:sz w:val="20"/>
                <w:szCs w:val="20"/>
                <w:lang w:val="en-US"/>
              </w:rPr>
            </w:pPr>
          </w:p>
        </w:tc>
      </w:tr>
      <w:tr w:rsidR="00C51D0F" w:rsidRPr="00555876" w14:paraId="25BBD017" w14:textId="66262C29" w:rsidTr="00C51D0F">
        <w:tc>
          <w:tcPr>
            <w:tcW w:w="1809" w:type="dxa"/>
          </w:tcPr>
          <w:p w14:paraId="6BDAC381"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increase RES electricity production by applying f</w:t>
            </w:r>
            <w:r w:rsidRPr="00555876">
              <w:rPr>
                <w:rFonts w:eastAsia="Times New Roman"/>
                <w:sz w:val="20"/>
                <w:szCs w:val="20"/>
                <w:lang w:val="en-US"/>
              </w:rPr>
              <w:t>eed-in premium granted by auction procedures</w:t>
            </w:r>
          </w:p>
        </w:tc>
        <w:tc>
          <w:tcPr>
            <w:tcW w:w="1276" w:type="dxa"/>
            <w:vMerge w:val="restart"/>
            <w:vAlign w:val="center"/>
          </w:tcPr>
          <w:p w14:paraId="428B2014" w14:textId="77777777" w:rsidR="00C51D0F" w:rsidRPr="00555876" w:rsidRDefault="00C51D0F" w:rsidP="00C30D60">
            <w:pPr>
              <w:spacing w:before="0" w:after="0"/>
              <w:jc w:val="center"/>
              <w:rPr>
                <w:rFonts w:eastAsia="Times New Roman"/>
                <w:sz w:val="20"/>
                <w:szCs w:val="20"/>
                <w:lang w:val="en-US"/>
              </w:rPr>
            </w:pPr>
            <w:r>
              <w:rPr>
                <w:rFonts w:eastAsia="Times New Roman"/>
                <w:sz w:val="20"/>
                <w:szCs w:val="20"/>
                <w:lang w:val="en-US"/>
              </w:rPr>
              <w:t>T</w:t>
            </w:r>
            <w:r w:rsidRPr="00426193">
              <w:rPr>
                <w:rFonts w:eastAsia="Times New Roman"/>
                <w:sz w:val="20"/>
                <w:szCs w:val="20"/>
                <w:lang w:val="en-US"/>
              </w:rPr>
              <w:t>o increase the share of RES in the total energy balance</w:t>
            </w:r>
            <w:r>
              <w:rPr>
                <w:rFonts w:eastAsia="Times New Roman"/>
                <w:sz w:val="20"/>
                <w:szCs w:val="20"/>
                <w:lang w:val="en-US"/>
              </w:rPr>
              <w:t xml:space="preserve"> at least by 45% by 2030</w:t>
            </w:r>
          </w:p>
        </w:tc>
        <w:tc>
          <w:tcPr>
            <w:tcW w:w="1701" w:type="dxa"/>
          </w:tcPr>
          <w:p w14:paraId="6E5A6E9D"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2019-2030</w:t>
            </w:r>
          </w:p>
        </w:tc>
        <w:tc>
          <w:tcPr>
            <w:tcW w:w="1559" w:type="dxa"/>
          </w:tcPr>
          <w:p w14:paraId="6F95840C" w14:textId="77777777" w:rsidR="00C51D0F" w:rsidRDefault="00C51D0F" w:rsidP="00C30D60">
            <w:pPr>
              <w:spacing w:before="0" w:after="0"/>
              <w:rPr>
                <w:rFonts w:eastAsia="Times New Roman"/>
                <w:sz w:val="20"/>
                <w:szCs w:val="20"/>
                <w:lang w:val="en-US"/>
              </w:rPr>
            </w:pPr>
            <w:r>
              <w:rPr>
                <w:rFonts w:eastAsia="Times New Roman"/>
                <w:sz w:val="20"/>
                <w:szCs w:val="20"/>
                <w:lang w:val="en-US"/>
              </w:rPr>
              <w:t xml:space="preserve">NCC, </w:t>
            </w:r>
          </w:p>
          <w:p w14:paraId="1E526497" w14:textId="55F7A237" w:rsidR="00C51D0F" w:rsidRPr="00555876" w:rsidRDefault="00C51D0F" w:rsidP="00C30D60">
            <w:pPr>
              <w:spacing w:before="0" w:after="0"/>
              <w:rPr>
                <w:rFonts w:eastAsia="Times New Roman"/>
                <w:sz w:val="20"/>
                <w:szCs w:val="20"/>
                <w:lang w:val="en-US"/>
              </w:rPr>
            </w:pPr>
            <w:r>
              <w:rPr>
                <w:rFonts w:eastAsia="Times New Roman"/>
                <w:sz w:val="20"/>
                <w:szCs w:val="20"/>
                <w:lang w:val="en-US"/>
              </w:rPr>
              <w:t>Ministry of Energy</w:t>
            </w:r>
          </w:p>
        </w:tc>
        <w:tc>
          <w:tcPr>
            <w:tcW w:w="1418" w:type="dxa"/>
            <w:vMerge w:val="restart"/>
          </w:tcPr>
          <w:p w14:paraId="0754A7B2" w14:textId="30202A54" w:rsidR="00C51D0F" w:rsidRPr="00555876" w:rsidRDefault="00C51D0F" w:rsidP="00C51D0F">
            <w:pPr>
              <w:spacing w:before="0" w:after="0"/>
              <w:rPr>
                <w:rFonts w:eastAsia="Times New Roman"/>
                <w:sz w:val="20"/>
                <w:szCs w:val="20"/>
                <w:lang w:val="en-US"/>
              </w:rPr>
            </w:pPr>
            <w:r w:rsidRPr="00C51D0F">
              <w:rPr>
                <w:rFonts w:eastAsia="Times New Roman"/>
                <w:sz w:val="20"/>
                <w:szCs w:val="20"/>
                <w:lang w:val="en-US"/>
              </w:rPr>
              <w:t>1244</w:t>
            </w:r>
          </w:p>
        </w:tc>
        <w:tc>
          <w:tcPr>
            <w:tcW w:w="1417" w:type="dxa"/>
          </w:tcPr>
          <w:p w14:paraId="59E9A987" w14:textId="5F88348B"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Increase in the</w:t>
            </w:r>
          </w:p>
          <w:p w14:paraId="7419947B"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production of</w:t>
            </w:r>
          </w:p>
          <w:p w14:paraId="146216DE"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electricity from</w:t>
            </w:r>
          </w:p>
          <w:p w14:paraId="1213F095"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renewable</w:t>
            </w:r>
          </w:p>
          <w:p w14:paraId="220144DE"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energy sources</w:t>
            </w:r>
            <w:r>
              <w:rPr>
                <w:rFonts w:eastAsia="Times New Roman"/>
                <w:sz w:val="20"/>
                <w:szCs w:val="20"/>
                <w:lang w:val="en-US"/>
              </w:rPr>
              <w:t>, at least by 2,5 TWh by 2030</w:t>
            </w:r>
          </w:p>
        </w:tc>
        <w:tc>
          <w:tcPr>
            <w:tcW w:w="1134" w:type="dxa"/>
          </w:tcPr>
          <w:p w14:paraId="6178FBDB" w14:textId="77777777" w:rsidR="00C51D0F" w:rsidRPr="00555876" w:rsidRDefault="00C51D0F" w:rsidP="00C30D60">
            <w:pPr>
              <w:spacing w:before="0" w:after="0"/>
              <w:rPr>
                <w:rFonts w:eastAsia="Times New Roman"/>
                <w:sz w:val="20"/>
                <w:szCs w:val="20"/>
                <w:lang w:val="en-US"/>
              </w:rPr>
            </w:pPr>
          </w:p>
        </w:tc>
      </w:tr>
      <w:tr w:rsidR="00C51D0F" w:rsidRPr="00555876" w14:paraId="0A8921AA" w14:textId="6BD9B450" w:rsidTr="00C51D0F">
        <w:tc>
          <w:tcPr>
            <w:tcW w:w="1809" w:type="dxa"/>
          </w:tcPr>
          <w:p w14:paraId="312ADB39"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carry out e</w:t>
            </w:r>
            <w:r w:rsidRPr="00555876">
              <w:rPr>
                <w:rFonts w:eastAsia="Times New Roman"/>
                <w:sz w:val="20"/>
                <w:szCs w:val="20"/>
                <w:lang w:val="en-US"/>
              </w:rPr>
              <w:t xml:space="preserve">xplorations for RES development </w:t>
            </w:r>
            <w:r w:rsidRPr="00555876">
              <w:rPr>
                <w:rFonts w:eastAsia="Times New Roman"/>
                <w:sz w:val="20"/>
                <w:szCs w:val="20"/>
                <w:lang w:val="en-US"/>
              </w:rPr>
              <w:lastRenderedPageBreak/>
              <w:t>possibilities in the Baltic sea</w:t>
            </w:r>
          </w:p>
        </w:tc>
        <w:tc>
          <w:tcPr>
            <w:tcW w:w="1276" w:type="dxa"/>
            <w:vMerge/>
          </w:tcPr>
          <w:p w14:paraId="5428DD84" w14:textId="77777777" w:rsidR="00C51D0F" w:rsidRPr="00555876" w:rsidRDefault="00C51D0F" w:rsidP="00C30D60">
            <w:pPr>
              <w:spacing w:before="0" w:after="0"/>
              <w:rPr>
                <w:rFonts w:eastAsia="Times New Roman"/>
                <w:sz w:val="20"/>
                <w:szCs w:val="20"/>
                <w:lang w:val="en-US"/>
              </w:rPr>
            </w:pPr>
          </w:p>
        </w:tc>
        <w:tc>
          <w:tcPr>
            <w:tcW w:w="1701" w:type="dxa"/>
          </w:tcPr>
          <w:p w14:paraId="3EC6F98E"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 xml:space="preserve"> </w:t>
            </w:r>
            <w:r>
              <w:rPr>
                <w:rFonts w:eastAsia="Times New Roman"/>
                <w:sz w:val="20"/>
                <w:szCs w:val="20"/>
                <w:lang w:val="en-US"/>
              </w:rPr>
              <w:t>2018-2020</w:t>
            </w:r>
          </w:p>
        </w:tc>
        <w:tc>
          <w:tcPr>
            <w:tcW w:w="1559" w:type="dxa"/>
          </w:tcPr>
          <w:p w14:paraId="08FB4358" w14:textId="77777777" w:rsidR="00C51D0F" w:rsidRDefault="00C51D0F" w:rsidP="00C30D60">
            <w:pPr>
              <w:spacing w:before="0" w:after="0"/>
              <w:rPr>
                <w:rFonts w:eastAsia="Times New Roman"/>
                <w:sz w:val="20"/>
                <w:szCs w:val="20"/>
                <w:lang w:val="en-US"/>
              </w:rPr>
            </w:pPr>
            <w:r>
              <w:rPr>
                <w:rFonts w:eastAsia="Times New Roman"/>
                <w:sz w:val="20"/>
                <w:szCs w:val="20"/>
                <w:lang w:val="en-US"/>
              </w:rPr>
              <w:t xml:space="preserve">Lithuanian energy agency, </w:t>
            </w:r>
          </w:p>
          <w:p w14:paraId="726085F0" w14:textId="2A53302E" w:rsidR="00C51D0F" w:rsidRPr="00555876" w:rsidRDefault="00C51D0F" w:rsidP="00C30D60">
            <w:pPr>
              <w:spacing w:before="0" w:after="0"/>
              <w:rPr>
                <w:rFonts w:eastAsia="Times New Roman"/>
                <w:sz w:val="20"/>
                <w:szCs w:val="20"/>
                <w:lang w:val="en-US"/>
              </w:rPr>
            </w:pPr>
            <w:r>
              <w:rPr>
                <w:rFonts w:eastAsia="Times New Roman"/>
                <w:sz w:val="20"/>
                <w:szCs w:val="20"/>
                <w:lang w:val="en-US"/>
              </w:rPr>
              <w:t xml:space="preserve">Ministry of </w:t>
            </w:r>
            <w:r>
              <w:rPr>
                <w:rFonts w:eastAsia="Times New Roman"/>
                <w:sz w:val="20"/>
                <w:szCs w:val="20"/>
                <w:lang w:val="en-US"/>
              </w:rPr>
              <w:lastRenderedPageBreak/>
              <w:t>Energy</w:t>
            </w:r>
          </w:p>
        </w:tc>
        <w:tc>
          <w:tcPr>
            <w:tcW w:w="1418" w:type="dxa"/>
            <w:vMerge/>
          </w:tcPr>
          <w:p w14:paraId="0A102513" w14:textId="5F471E82" w:rsidR="00C51D0F" w:rsidRDefault="00C51D0F" w:rsidP="00C30D60">
            <w:pPr>
              <w:spacing w:before="0" w:after="0"/>
              <w:rPr>
                <w:rFonts w:eastAsia="Times New Roman"/>
                <w:sz w:val="20"/>
                <w:szCs w:val="20"/>
                <w:lang w:val="en-US"/>
              </w:rPr>
            </w:pPr>
          </w:p>
        </w:tc>
        <w:tc>
          <w:tcPr>
            <w:tcW w:w="1417" w:type="dxa"/>
          </w:tcPr>
          <w:p w14:paraId="7BFF41B8" w14:textId="5DFE9111" w:rsidR="00C51D0F" w:rsidRPr="00555876" w:rsidRDefault="00C51D0F" w:rsidP="00C30D60">
            <w:pPr>
              <w:spacing w:before="0" w:after="0"/>
              <w:rPr>
                <w:rFonts w:eastAsia="Times New Roman"/>
                <w:sz w:val="20"/>
                <w:szCs w:val="20"/>
                <w:lang w:val="en-US"/>
              </w:rPr>
            </w:pPr>
            <w:r>
              <w:rPr>
                <w:rFonts w:eastAsia="Times New Roman"/>
                <w:sz w:val="20"/>
                <w:szCs w:val="20"/>
                <w:lang w:val="en-US"/>
              </w:rPr>
              <w:t>The share of explorations, 100% by 2020</w:t>
            </w:r>
          </w:p>
        </w:tc>
        <w:tc>
          <w:tcPr>
            <w:tcW w:w="1134" w:type="dxa"/>
          </w:tcPr>
          <w:p w14:paraId="19E744B8" w14:textId="77777777" w:rsidR="00C51D0F" w:rsidRDefault="00C51D0F" w:rsidP="00C30D60">
            <w:pPr>
              <w:spacing w:before="0" w:after="0"/>
              <w:rPr>
                <w:rFonts w:eastAsia="Times New Roman"/>
                <w:sz w:val="20"/>
                <w:szCs w:val="20"/>
                <w:lang w:val="en-US"/>
              </w:rPr>
            </w:pPr>
          </w:p>
        </w:tc>
      </w:tr>
      <w:tr w:rsidR="00C51D0F" w:rsidRPr="00555876" w14:paraId="3FFC6F21" w14:textId="0E27E4AD" w:rsidTr="00C51D0F">
        <w:tc>
          <w:tcPr>
            <w:tcW w:w="1809" w:type="dxa"/>
          </w:tcPr>
          <w:p w14:paraId="49DD26F0"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increase self-consumer development by applying f</w:t>
            </w:r>
            <w:r w:rsidRPr="00555876">
              <w:rPr>
                <w:rFonts w:eastAsia="Times New Roman"/>
                <w:sz w:val="20"/>
                <w:szCs w:val="20"/>
                <w:lang w:val="en-US"/>
              </w:rPr>
              <w:t>inancial support for self-consumers (for individual households and for multi-apartment buildings)</w:t>
            </w:r>
          </w:p>
        </w:tc>
        <w:tc>
          <w:tcPr>
            <w:tcW w:w="1276" w:type="dxa"/>
            <w:vMerge/>
          </w:tcPr>
          <w:p w14:paraId="442B9729" w14:textId="77777777" w:rsidR="00C51D0F" w:rsidRPr="00555876" w:rsidRDefault="00C51D0F" w:rsidP="00C30D60">
            <w:pPr>
              <w:spacing w:before="0" w:after="0"/>
              <w:rPr>
                <w:rFonts w:eastAsia="Times New Roman"/>
                <w:sz w:val="20"/>
                <w:szCs w:val="20"/>
                <w:lang w:val="en-US"/>
              </w:rPr>
            </w:pPr>
          </w:p>
        </w:tc>
        <w:tc>
          <w:tcPr>
            <w:tcW w:w="1701" w:type="dxa"/>
          </w:tcPr>
          <w:p w14:paraId="5752CECB"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2018-2030</w:t>
            </w:r>
          </w:p>
        </w:tc>
        <w:tc>
          <w:tcPr>
            <w:tcW w:w="1559" w:type="dxa"/>
          </w:tcPr>
          <w:p w14:paraId="09B18AB3" w14:textId="77777777" w:rsidR="00C51D0F" w:rsidRDefault="00C51D0F" w:rsidP="00C30D60">
            <w:pPr>
              <w:spacing w:before="0" w:after="0"/>
              <w:rPr>
                <w:rFonts w:eastAsia="Times New Roman"/>
                <w:sz w:val="20"/>
                <w:szCs w:val="20"/>
                <w:lang w:val="en-US"/>
              </w:rPr>
            </w:pPr>
            <w:r>
              <w:rPr>
                <w:rFonts w:eastAsia="Times New Roman"/>
                <w:sz w:val="20"/>
                <w:szCs w:val="20"/>
                <w:lang w:val="en-US"/>
              </w:rPr>
              <w:t xml:space="preserve">Ministry of Energy, </w:t>
            </w:r>
          </w:p>
          <w:p w14:paraId="1ED425DA" w14:textId="7B22A056" w:rsidR="00C51D0F" w:rsidRPr="00555876" w:rsidRDefault="00C51D0F" w:rsidP="00C30D60">
            <w:pPr>
              <w:spacing w:before="0" w:after="0"/>
              <w:rPr>
                <w:rFonts w:eastAsia="Times New Roman"/>
                <w:sz w:val="20"/>
                <w:szCs w:val="20"/>
                <w:lang w:val="en-US"/>
              </w:rPr>
            </w:pPr>
            <w:r>
              <w:rPr>
                <w:rFonts w:eastAsia="Times New Roman"/>
                <w:sz w:val="20"/>
                <w:szCs w:val="20"/>
                <w:lang w:val="en-US"/>
              </w:rPr>
              <w:t>Ministry of Environment</w:t>
            </w:r>
          </w:p>
        </w:tc>
        <w:tc>
          <w:tcPr>
            <w:tcW w:w="1418" w:type="dxa"/>
            <w:vMerge/>
          </w:tcPr>
          <w:p w14:paraId="4F0530E4" w14:textId="75B57D5F" w:rsidR="00C51D0F" w:rsidRPr="00555876" w:rsidRDefault="00C51D0F" w:rsidP="00C30D60">
            <w:pPr>
              <w:spacing w:before="0" w:after="0"/>
              <w:rPr>
                <w:rFonts w:eastAsia="Times New Roman"/>
                <w:sz w:val="20"/>
                <w:szCs w:val="20"/>
                <w:lang w:val="en-US"/>
              </w:rPr>
            </w:pPr>
          </w:p>
        </w:tc>
        <w:tc>
          <w:tcPr>
            <w:tcW w:w="1417" w:type="dxa"/>
          </w:tcPr>
          <w:p w14:paraId="4BBCE972" w14:textId="0E7C3B8C"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Increase in the</w:t>
            </w:r>
          </w:p>
          <w:p w14:paraId="29549EAB"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production of</w:t>
            </w:r>
          </w:p>
          <w:p w14:paraId="2E57E14F"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electricity from</w:t>
            </w:r>
          </w:p>
          <w:p w14:paraId="7C6B6FB5"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renewable</w:t>
            </w:r>
          </w:p>
          <w:p w14:paraId="40A9750E"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energy sources</w:t>
            </w:r>
            <w:r>
              <w:rPr>
                <w:rFonts w:eastAsia="Times New Roman"/>
                <w:sz w:val="20"/>
                <w:szCs w:val="20"/>
                <w:lang w:val="en-US"/>
              </w:rPr>
              <w:t>, by 1,6 TWh by 2030</w:t>
            </w:r>
          </w:p>
        </w:tc>
        <w:tc>
          <w:tcPr>
            <w:tcW w:w="1134" w:type="dxa"/>
          </w:tcPr>
          <w:p w14:paraId="2B7C8BA1" w14:textId="77777777" w:rsidR="00C51D0F" w:rsidRPr="00555876" w:rsidRDefault="00C51D0F" w:rsidP="00C30D60">
            <w:pPr>
              <w:spacing w:before="0" w:after="0"/>
              <w:rPr>
                <w:rFonts w:eastAsia="Times New Roman"/>
                <w:sz w:val="20"/>
                <w:szCs w:val="20"/>
                <w:lang w:val="en-US"/>
              </w:rPr>
            </w:pPr>
          </w:p>
        </w:tc>
      </w:tr>
      <w:tr w:rsidR="00C51D0F" w:rsidRPr="00555876" w14:paraId="7995C98D" w14:textId="309AC848" w:rsidTr="00C51D0F">
        <w:tc>
          <w:tcPr>
            <w:tcW w:w="1809" w:type="dxa"/>
          </w:tcPr>
          <w:p w14:paraId="5240250C"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r</w:t>
            </w:r>
            <w:r w:rsidRPr="00555876">
              <w:rPr>
                <w:rFonts w:eastAsia="Times New Roman"/>
                <w:sz w:val="20"/>
                <w:szCs w:val="20"/>
                <w:lang w:val="en-US"/>
              </w:rPr>
              <w:t>educ</w:t>
            </w:r>
            <w:r>
              <w:rPr>
                <w:rFonts w:eastAsia="Times New Roman"/>
                <w:sz w:val="20"/>
                <w:szCs w:val="20"/>
                <w:lang w:val="en-US"/>
              </w:rPr>
              <w:t>e</w:t>
            </w:r>
            <w:r w:rsidRPr="00555876">
              <w:rPr>
                <w:rFonts w:eastAsia="Times New Roman"/>
                <w:sz w:val="20"/>
                <w:szCs w:val="20"/>
                <w:lang w:val="en-US"/>
              </w:rPr>
              <w:t xml:space="preserve"> </w:t>
            </w:r>
            <w:r w:rsidRPr="006209E8">
              <w:rPr>
                <w:rFonts w:eastAsia="Times New Roman"/>
                <w:sz w:val="20"/>
                <w:szCs w:val="20"/>
                <w:lang w:val="en-US"/>
              </w:rPr>
              <w:t>administrative procedures for self-consumers (for individual households and for</w:t>
            </w:r>
            <w:r w:rsidRPr="00555876">
              <w:rPr>
                <w:rFonts w:eastAsia="Times New Roman"/>
                <w:sz w:val="20"/>
                <w:szCs w:val="20"/>
                <w:lang w:val="en-US"/>
              </w:rPr>
              <w:t xml:space="preserve"> multi-apartment buildings)</w:t>
            </w:r>
          </w:p>
        </w:tc>
        <w:tc>
          <w:tcPr>
            <w:tcW w:w="1276" w:type="dxa"/>
            <w:vMerge/>
          </w:tcPr>
          <w:p w14:paraId="01DA11F5" w14:textId="77777777" w:rsidR="00C51D0F" w:rsidRPr="00555876" w:rsidRDefault="00C51D0F" w:rsidP="00C30D60">
            <w:pPr>
              <w:spacing w:before="0" w:after="0"/>
              <w:rPr>
                <w:rFonts w:eastAsia="Times New Roman"/>
                <w:sz w:val="20"/>
                <w:szCs w:val="20"/>
                <w:lang w:val="en-US"/>
              </w:rPr>
            </w:pPr>
          </w:p>
        </w:tc>
        <w:tc>
          <w:tcPr>
            <w:tcW w:w="1701" w:type="dxa"/>
          </w:tcPr>
          <w:p w14:paraId="25EF9A41"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2018-2019</w:t>
            </w:r>
          </w:p>
        </w:tc>
        <w:tc>
          <w:tcPr>
            <w:tcW w:w="1559" w:type="dxa"/>
          </w:tcPr>
          <w:p w14:paraId="73FD7692"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Ministry of Energy</w:t>
            </w:r>
          </w:p>
        </w:tc>
        <w:tc>
          <w:tcPr>
            <w:tcW w:w="1418" w:type="dxa"/>
            <w:vMerge/>
          </w:tcPr>
          <w:p w14:paraId="5A0A6F37" w14:textId="74FCD1AA" w:rsidR="00C51D0F" w:rsidRDefault="00C51D0F" w:rsidP="00C30D60">
            <w:pPr>
              <w:spacing w:before="0" w:after="0"/>
              <w:rPr>
                <w:rFonts w:eastAsia="Times New Roman"/>
                <w:sz w:val="20"/>
                <w:szCs w:val="20"/>
                <w:lang w:val="en-US"/>
              </w:rPr>
            </w:pPr>
          </w:p>
        </w:tc>
        <w:tc>
          <w:tcPr>
            <w:tcW w:w="1417" w:type="dxa"/>
          </w:tcPr>
          <w:p w14:paraId="5DBAB067" w14:textId="72E1C333" w:rsidR="00C51D0F" w:rsidRPr="00555876" w:rsidRDefault="00C51D0F" w:rsidP="00C30D60">
            <w:pPr>
              <w:spacing w:before="0" w:after="0"/>
              <w:rPr>
                <w:rFonts w:eastAsia="Times New Roman"/>
                <w:sz w:val="20"/>
                <w:szCs w:val="20"/>
                <w:lang w:val="en-US"/>
              </w:rPr>
            </w:pPr>
            <w:r>
              <w:rPr>
                <w:rFonts w:eastAsia="Times New Roman"/>
                <w:sz w:val="20"/>
                <w:szCs w:val="20"/>
                <w:lang w:val="en-US"/>
              </w:rPr>
              <w:t>De</w:t>
            </w:r>
            <w:r w:rsidRPr="00555876">
              <w:rPr>
                <w:rFonts w:eastAsia="Times New Roman"/>
                <w:sz w:val="20"/>
                <w:szCs w:val="20"/>
                <w:lang w:val="en-US"/>
              </w:rPr>
              <w:t>crease in the</w:t>
            </w:r>
          </w:p>
          <w:p w14:paraId="5E0E58E0"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documents and procedures, 90% by 2020</w:t>
            </w:r>
          </w:p>
          <w:p w14:paraId="67747412" w14:textId="77777777" w:rsidR="00C51D0F" w:rsidRPr="00555876" w:rsidRDefault="00C51D0F" w:rsidP="00C30D60">
            <w:pPr>
              <w:spacing w:before="0" w:after="0"/>
              <w:rPr>
                <w:rFonts w:eastAsia="Times New Roman"/>
                <w:sz w:val="20"/>
                <w:szCs w:val="20"/>
                <w:lang w:val="en-US"/>
              </w:rPr>
            </w:pPr>
          </w:p>
        </w:tc>
        <w:tc>
          <w:tcPr>
            <w:tcW w:w="1134" w:type="dxa"/>
          </w:tcPr>
          <w:p w14:paraId="3D024F38" w14:textId="77777777" w:rsidR="00C51D0F" w:rsidRDefault="00C51D0F" w:rsidP="00C30D60">
            <w:pPr>
              <w:spacing w:before="0" w:after="0"/>
              <w:rPr>
                <w:rFonts w:eastAsia="Times New Roman"/>
                <w:sz w:val="20"/>
                <w:szCs w:val="20"/>
                <w:lang w:val="en-US"/>
              </w:rPr>
            </w:pPr>
          </w:p>
        </w:tc>
      </w:tr>
      <w:tr w:rsidR="00C51D0F" w:rsidRPr="00555876" w14:paraId="624A0F9A" w14:textId="7796684C" w:rsidTr="00C51D0F">
        <w:tc>
          <w:tcPr>
            <w:tcW w:w="1809" w:type="dxa"/>
          </w:tcPr>
          <w:p w14:paraId="02621F76"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e</w:t>
            </w:r>
            <w:r w:rsidRPr="00555876">
              <w:rPr>
                <w:rFonts w:eastAsia="Times New Roman"/>
                <w:sz w:val="20"/>
                <w:szCs w:val="20"/>
                <w:lang w:val="en-US"/>
              </w:rPr>
              <w:t xml:space="preserve">stablish a favorable regulatory environment for trade of guarantee of origin </w:t>
            </w:r>
          </w:p>
        </w:tc>
        <w:tc>
          <w:tcPr>
            <w:tcW w:w="1276" w:type="dxa"/>
            <w:vMerge/>
          </w:tcPr>
          <w:p w14:paraId="095DA173" w14:textId="77777777" w:rsidR="00C51D0F" w:rsidRPr="00555876" w:rsidRDefault="00C51D0F" w:rsidP="00C30D60">
            <w:pPr>
              <w:spacing w:before="0" w:after="0"/>
              <w:rPr>
                <w:rFonts w:eastAsia="Times New Roman"/>
                <w:sz w:val="20"/>
                <w:szCs w:val="20"/>
                <w:lang w:val="en-US"/>
              </w:rPr>
            </w:pPr>
          </w:p>
        </w:tc>
        <w:tc>
          <w:tcPr>
            <w:tcW w:w="1701" w:type="dxa"/>
          </w:tcPr>
          <w:p w14:paraId="6807795E"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2020-2030</w:t>
            </w:r>
          </w:p>
        </w:tc>
        <w:tc>
          <w:tcPr>
            <w:tcW w:w="1559" w:type="dxa"/>
          </w:tcPr>
          <w:p w14:paraId="01C7EBA7"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Ministry of Energy, LITGRID AB</w:t>
            </w:r>
          </w:p>
        </w:tc>
        <w:tc>
          <w:tcPr>
            <w:tcW w:w="1418" w:type="dxa"/>
            <w:vMerge/>
          </w:tcPr>
          <w:p w14:paraId="649F10BE" w14:textId="6B5181F9" w:rsidR="00C51D0F" w:rsidRDefault="00C51D0F" w:rsidP="00C30D60">
            <w:pPr>
              <w:spacing w:before="0" w:after="0"/>
              <w:rPr>
                <w:rFonts w:eastAsia="Times New Roman"/>
                <w:sz w:val="20"/>
                <w:szCs w:val="20"/>
                <w:lang w:val="en-US"/>
              </w:rPr>
            </w:pPr>
          </w:p>
        </w:tc>
        <w:tc>
          <w:tcPr>
            <w:tcW w:w="1417" w:type="dxa"/>
          </w:tcPr>
          <w:p w14:paraId="6DA8080F" w14:textId="61646C64" w:rsidR="00C51D0F" w:rsidRPr="00555876" w:rsidRDefault="00C51D0F" w:rsidP="00C30D60">
            <w:pPr>
              <w:spacing w:before="0" w:after="0"/>
              <w:rPr>
                <w:rFonts w:eastAsia="Times New Roman"/>
                <w:sz w:val="20"/>
                <w:szCs w:val="20"/>
                <w:lang w:val="en-US"/>
              </w:rPr>
            </w:pPr>
            <w:r>
              <w:rPr>
                <w:rFonts w:eastAsia="Times New Roman"/>
                <w:sz w:val="20"/>
                <w:szCs w:val="20"/>
                <w:lang w:val="en-US"/>
              </w:rPr>
              <w:t>Participation in the market of guarantee of origin by RES producers, 100% by 2030</w:t>
            </w:r>
          </w:p>
        </w:tc>
        <w:tc>
          <w:tcPr>
            <w:tcW w:w="1134" w:type="dxa"/>
          </w:tcPr>
          <w:p w14:paraId="602C1FBF" w14:textId="77777777" w:rsidR="00C51D0F" w:rsidRDefault="00C51D0F" w:rsidP="00C30D60">
            <w:pPr>
              <w:spacing w:before="0" w:after="0"/>
              <w:rPr>
                <w:rFonts w:eastAsia="Times New Roman"/>
                <w:sz w:val="20"/>
                <w:szCs w:val="20"/>
                <w:lang w:val="en-US"/>
              </w:rPr>
            </w:pPr>
          </w:p>
        </w:tc>
      </w:tr>
      <w:tr w:rsidR="00C51D0F" w:rsidRPr="00555876" w14:paraId="790F2527" w14:textId="02B62605" w:rsidTr="00C51D0F">
        <w:tc>
          <w:tcPr>
            <w:tcW w:w="1809" w:type="dxa"/>
          </w:tcPr>
          <w:p w14:paraId="4E4563EE"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e</w:t>
            </w:r>
            <w:r w:rsidRPr="00555876">
              <w:rPr>
                <w:rFonts w:eastAsia="Times New Roman"/>
                <w:sz w:val="20"/>
                <w:szCs w:val="20"/>
                <w:lang w:val="en-US"/>
              </w:rPr>
              <w:t>stablish a favorable regulatory environment for repowering</w:t>
            </w:r>
          </w:p>
        </w:tc>
        <w:tc>
          <w:tcPr>
            <w:tcW w:w="1276" w:type="dxa"/>
            <w:vMerge/>
          </w:tcPr>
          <w:p w14:paraId="57178B42" w14:textId="77777777" w:rsidR="00C51D0F" w:rsidRPr="00555876" w:rsidRDefault="00C51D0F" w:rsidP="00C30D60">
            <w:pPr>
              <w:spacing w:before="0" w:after="0"/>
              <w:rPr>
                <w:rFonts w:eastAsia="Times New Roman"/>
                <w:sz w:val="20"/>
                <w:szCs w:val="20"/>
                <w:lang w:val="en-US"/>
              </w:rPr>
            </w:pPr>
          </w:p>
        </w:tc>
        <w:tc>
          <w:tcPr>
            <w:tcW w:w="1701" w:type="dxa"/>
          </w:tcPr>
          <w:p w14:paraId="3D464F19"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2020-2030</w:t>
            </w:r>
          </w:p>
        </w:tc>
        <w:tc>
          <w:tcPr>
            <w:tcW w:w="1559" w:type="dxa"/>
          </w:tcPr>
          <w:p w14:paraId="4D55500B"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Ministry of Energy</w:t>
            </w:r>
          </w:p>
        </w:tc>
        <w:tc>
          <w:tcPr>
            <w:tcW w:w="1418" w:type="dxa"/>
            <w:vMerge/>
          </w:tcPr>
          <w:p w14:paraId="2B7174DE" w14:textId="51A49BE5" w:rsidR="00C51D0F" w:rsidRDefault="00C51D0F" w:rsidP="00C30D60">
            <w:pPr>
              <w:spacing w:before="0" w:after="0"/>
              <w:rPr>
                <w:rFonts w:eastAsia="Times New Roman"/>
                <w:sz w:val="20"/>
                <w:szCs w:val="20"/>
                <w:lang w:val="en-US"/>
              </w:rPr>
            </w:pPr>
          </w:p>
        </w:tc>
        <w:tc>
          <w:tcPr>
            <w:tcW w:w="1417" w:type="dxa"/>
          </w:tcPr>
          <w:p w14:paraId="5CEC874B" w14:textId="52413A96" w:rsidR="00C51D0F" w:rsidRPr="00555876" w:rsidRDefault="00C51D0F" w:rsidP="00C30D60">
            <w:pPr>
              <w:spacing w:before="0" w:after="0"/>
              <w:rPr>
                <w:rFonts w:eastAsia="Times New Roman"/>
                <w:sz w:val="20"/>
                <w:szCs w:val="20"/>
                <w:lang w:val="en-US"/>
              </w:rPr>
            </w:pPr>
            <w:r>
              <w:rPr>
                <w:rFonts w:eastAsia="Times New Roman"/>
                <w:sz w:val="20"/>
                <w:szCs w:val="20"/>
                <w:lang w:val="en-US"/>
              </w:rPr>
              <w:t>Repowered RES power plants, 50% by 2030</w:t>
            </w:r>
          </w:p>
        </w:tc>
        <w:tc>
          <w:tcPr>
            <w:tcW w:w="1134" w:type="dxa"/>
          </w:tcPr>
          <w:p w14:paraId="20DD511B" w14:textId="77777777" w:rsidR="00C51D0F" w:rsidRDefault="00C51D0F" w:rsidP="00C30D60">
            <w:pPr>
              <w:spacing w:before="0" w:after="0"/>
              <w:rPr>
                <w:rFonts w:eastAsia="Times New Roman"/>
                <w:sz w:val="20"/>
                <w:szCs w:val="20"/>
                <w:lang w:val="en-US"/>
              </w:rPr>
            </w:pPr>
          </w:p>
        </w:tc>
      </w:tr>
      <w:tr w:rsidR="00C51D0F" w:rsidRPr="00555876" w14:paraId="37D94EE9" w14:textId="65ABAD25" w:rsidTr="00C51D0F">
        <w:tc>
          <w:tcPr>
            <w:tcW w:w="1809" w:type="dxa"/>
          </w:tcPr>
          <w:p w14:paraId="5511525C"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 xml:space="preserve">To apply </w:t>
            </w:r>
            <w:r w:rsidRPr="00555876">
              <w:rPr>
                <w:rFonts w:eastAsia="Times New Roman"/>
                <w:sz w:val="20"/>
                <w:szCs w:val="20"/>
                <w:lang w:val="en-US"/>
              </w:rPr>
              <w:t>PSO exemption for consumers who buy electricity directly from RES producers</w:t>
            </w:r>
          </w:p>
        </w:tc>
        <w:tc>
          <w:tcPr>
            <w:tcW w:w="1276" w:type="dxa"/>
            <w:vMerge/>
          </w:tcPr>
          <w:p w14:paraId="149183BE" w14:textId="77777777" w:rsidR="00C51D0F" w:rsidRPr="00555876" w:rsidRDefault="00C51D0F" w:rsidP="00C30D60">
            <w:pPr>
              <w:spacing w:before="0" w:after="0"/>
              <w:rPr>
                <w:rFonts w:eastAsia="Times New Roman"/>
                <w:sz w:val="20"/>
                <w:szCs w:val="20"/>
                <w:lang w:val="en-US"/>
              </w:rPr>
            </w:pPr>
          </w:p>
        </w:tc>
        <w:tc>
          <w:tcPr>
            <w:tcW w:w="1701" w:type="dxa"/>
          </w:tcPr>
          <w:p w14:paraId="2D77CE37"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2020-2030</w:t>
            </w:r>
          </w:p>
        </w:tc>
        <w:tc>
          <w:tcPr>
            <w:tcW w:w="1559" w:type="dxa"/>
          </w:tcPr>
          <w:p w14:paraId="682EE4AD"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Ministry of Energy</w:t>
            </w:r>
          </w:p>
        </w:tc>
        <w:tc>
          <w:tcPr>
            <w:tcW w:w="1418" w:type="dxa"/>
            <w:vMerge/>
          </w:tcPr>
          <w:p w14:paraId="2B1842AE" w14:textId="7FFF6F11" w:rsidR="00C51D0F" w:rsidRPr="00555876" w:rsidRDefault="00C51D0F" w:rsidP="00C30D60">
            <w:pPr>
              <w:spacing w:before="0" w:after="0"/>
              <w:rPr>
                <w:rFonts w:eastAsia="Times New Roman"/>
                <w:sz w:val="20"/>
                <w:szCs w:val="20"/>
                <w:lang w:val="en-US"/>
              </w:rPr>
            </w:pPr>
          </w:p>
        </w:tc>
        <w:tc>
          <w:tcPr>
            <w:tcW w:w="1417" w:type="dxa"/>
          </w:tcPr>
          <w:p w14:paraId="6A07B2BD" w14:textId="1B3A6A99"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Increase in the</w:t>
            </w:r>
          </w:p>
          <w:p w14:paraId="4460DA19"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production of</w:t>
            </w:r>
          </w:p>
          <w:p w14:paraId="529BB7F7"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electricity from</w:t>
            </w:r>
          </w:p>
          <w:p w14:paraId="3AED5220"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RES without support, 2,9 TWh by 2030</w:t>
            </w:r>
          </w:p>
          <w:p w14:paraId="3D7475D5"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energy sources</w:t>
            </w:r>
          </w:p>
        </w:tc>
        <w:tc>
          <w:tcPr>
            <w:tcW w:w="1134" w:type="dxa"/>
          </w:tcPr>
          <w:p w14:paraId="061E4939" w14:textId="77777777" w:rsidR="00C51D0F" w:rsidRPr="00555876" w:rsidRDefault="00C51D0F" w:rsidP="00C30D60">
            <w:pPr>
              <w:spacing w:before="0" w:after="0"/>
              <w:rPr>
                <w:rFonts w:eastAsia="Times New Roman"/>
                <w:sz w:val="20"/>
                <w:szCs w:val="20"/>
                <w:lang w:val="en-US"/>
              </w:rPr>
            </w:pPr>
          </w:p>
        </w:tc>
      </w:tr>
      <w:tr w:rsidR="00C51D0F" w:rsidRPr="00555876" w14:paraId="099775A3" w14:textId="2C4A709D" w:rsidTr="00C51D0F">
        <w:tc>
          <w:tcPr>
            <w:tcW w:w="1809" w:type="dxa"/>
          </w:tcPr>
          <w:p w14:paraId="26B51504"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apply f</w:t>
            </w:r>
            <w:r w:rsidRPr="00555876">
              <w:rPr>
                <w:rFonts w:eastAsia="Times New Roman"/>
                <w:sz w:val="20"/>
                <w:szCs w:val="20"/>
                <w:lang w:val="en-US"/>
              </w:rPr>
              <w:t xml:space="preserve">inancial engineering measures for </w:t>
            </w:r>
            <w:r>
              <w:rPr>
                <w:rFonts w:eastAsia="Times New Roman"/>
                <w:sz w:val="20"/>
                <w:szCs w:val="20"/>
                <w:lang w:val="en-US"/>
              </w:rPr>
              <w:t>small-scale power plants</w:t>
            </w:r>
          </w:p>
        </w:tc>
        <w:tc>
          <w:tcPr>
            <w:tcW w:w="1276" w:type="dxa"/>
            <w:vMerge/>
          </w:tcPr>
          <w:p w14:paraId="0BF4022A" w14:textId="77777777" w:rsidR="00C51D0F" w:rsidRPr="00555876" w:rsidRDefault="00C51D0F" w:rsidP="00C30D60">
            <w:pPr>
              <w:spacing w:before="0" w:after="0"/>
              <w:rPr>
                <w:rFonts w:eastAsia="Times New Roman"/>
                <w:sz w:val="20"/>
                <w:szCs w:val="20"/>
                <w:lang w:val="en-US"/>
              </w:rPr>
            </w:pPr>
          </w:p>
        </w:tc>
        <w:tc>
          <w:tcPr>
            <w:tcW w:w="1701" w:type="dxa"/>
          </w:tcPr>
          <w:p w14:paraId="2B03B237"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2022-2025</w:t>
            </w:r>
          </w:p>
        </w:tc>
        <w:tc>
          <w:tcPr>
            <w:tcW w:w="1559" w:type="dxa"/>
          </w:tcPr>
          <w:p w14:paraId="47D8C138"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Ministry of Energy</w:t>
            </w:r>
          </w:p>
        </w:tc>
        <w:tc>
          <w:tcPr>
            <w:tcW w:w="1418" w:type="dxa"/>
            <w:vMerge/>
          </w:tcPr>
          <w:p w14:paraId="43A6FCA9" w14:textId="6FB0AC2F" w:rsidR="00C51D0F" w:rsidRPr="00555876" w:rsidRDefault="00C51D0F" w:rsidP="00C30D60">
            <w:pPr>
              <w:spacing w:before="0" w:after="0"/>
              <w:rPr>
                <w:rFonts w:eastAsia="Times New Roman"/>
                <w:sz w:val="20"/>
                <w:szCs w:val="20"/>
                <w:lang w:val="en-US"/>
              </w:rPr>
            </w:pPr>
          </w:p>
        </w:tc>
        <w:tc>
          <w:tcPr>
            <w:tcW w:w="1417" w:type="dxa"/>
          </w:tcPr>
          <w:p w14:paraId="617967FE" w14:textId="1232D8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 xml:space="preserve">Increase in the production of electricity from </w:t>
            </w:r>
            <w:r>
              <w:rPr>
                <w:rFonts w:eastAsia="Times New Roman"/>
                <w:sz w:val="20"/>
                <w:szCs w:val="20"/>
                <w:lang w:val="en-US"/>
              </w:rPr>
              <w:t>RES, 0,03 TWh by 2025</w:t>
            </w:r>
          </w:p>
        </w:tc>
        <w:tc>
          <w:tcPr>
            <w:tcW w:w="1134" w:type="dxa"/>
          </w:tcPr>
          <w:p w14:paraId="3ECEF35A" w14:textId="77777777" w:rsidR="00C51D0F" w:rsidRPr="00555876" w:rsidRDefault="00C51D0F" w:rsidP="00C30D60">
            <w:pPr>
              <w:spacing w:before="0" w:after="0"/>
              <w:rPr>
                <w:rFonts w:eastAsia="Times New Roman"/>
                <w:sz w:val="20"/>
                <w:szCs w:val="20"/>
                <w:lang w:val="en-US"/>
              </w:rPr>
            </w:pPr>
          </w:p>
        </w:tc>
      </w:tr>
      <w:tr w:rsidR="00C51D0F" w:rsidRPr="00555876" w14:paraId="0E00AB1E" w14:textId="2A942016" w:rsidTr="00C51D0F">
        <w:tc>
          <w:tcPr>
            <w:tcW w:w="1809" w:type="dxa"/>
          </w:tcPr>
          <w:p w14:paraId="12889315"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p</w:t>
            </w:r>
            <w:r w:rsidRPr="00555876">
              <w:rPr>
                <w:rFonts w:eastAsia="Times New Roman"/>
                <w:sz w:val="20"/>
                <w:szCs w:val="20"/>
                <w:lang w:val="en-US"/>
              </w:rPr>
              <w:t>romot</w:t>
            </w:r>
            <w:r>
              <w:rPr>
                <w:rFonts w:eastAsia="Times New Roman"/>
                <w:sz w:val="20"/>
                <w:szCs w:val="20"/>
                <w:lang w:val="en-US"/>
              </w:rPr>
              <w:t>e</w:t>
            </w:r>
            <w:r w:rsidRPr="00555876">
              <w:rPr>
                <w:rFonts w:eastAsia="Times New Roman"/>
                <w:sz w:val="20"/>
                <w:szCs w:val="20"/>
                <w:lang w:val="en-US"/>
              </w:rPr>
              <w:t xml:space="preserve"> of ESCO activities in area of self-consumers</w:t>
            </w:r>
          </w:p>
        </w:tc>
        <w:tc>
          <w:tcPr>
            <w:tcW w:w="1276" w:type="dxa"/>
            <w:vMerge/>
          </w:tcPr>
          <w:p w14:paraId="1C7F4E32" w14:textId="77777777" w:rsidR="00C51D0F" w:rsidRPr="00555876" w:rsidRDefault="00C51D0F" w:rsidP="00C30D60">
            <w:pPr>
              <w:spacing w:before="0" w:after="0"/>
              <w:rPr>
                <w:rFonts w:eastAsia="Times New Roman"/>
                <w:sz w:val="20"/>
                <w:szCs w:val="20"/>
                <w:lang w:val="en-US"/>
              </w:rPr>
            </w:pPr>
          </w:p>
        </w:tc>
        <w:tc>
          <w:tcPr>
            <w:tcW w:w="1701" w:type="dxa"/>
          </w:tcPr>
          <w:p w14:paraId="5AE7852A"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 xml:space="preserve"> </w:t>
            </w:r>
            <w:r>
              <w:rPr>
                <w:rFonts w:eastAsia="Times New Roman"/>
                <w:sz w:val="20"/>
                <w:szCs w:val="20"/>
                <w:lang w:val="en-US"/>
              </w:rPr>
              <w:t>2019-2020</w:t>
            </w:r>
          </w:p>
        </w:tc>
        <w:tc>
          <w:tcPr>
            <w:tcW w:w="1559" w:type="dxa"/>
          </w:tcPr>
          <w:p w14:paraId="7EEC9484"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Ministry of Energy</w:t>
            </w:r>
          </w:p>
        </w:tc>
        <w:tc>
          <w:tcPr>
            <w:tcW w:w="1418" w:type="dxa"/>
            <w:vMerge/>
          </w:tcPr>
          <w:p w14:paraId="102A276A" w14:textId="14118BC7" w:rsidR="00C51D0F" w:rsidRDefault="00C51D0F" w:rsidP="00C30D60">
            <w:pPr>
              <w:spacing w:before="0" w:after="0"/>
              <w:rPr>
                <w:rFonts w:eastAsia="Times New Roman"/>
                <w:sz w:val="20"/>
                <w:szCs w:val="20"/>
                <w:lang w:val="en-US"/>
              </w:rPr>
            </w:pPr>
          </w:p>
        </w:tc>
        <w:tc>
          <w:tcPr>
            <w:tcW w:w="1417" w:type="dxa"/>
          </w:tcPr>
          <w:p w14:paraId="550A7A3F" w14:textId="0013BC44" w:rsidR="00C51D0F" w:rsidRPr="00555876" w:rsidRDefault="00C51D0F" w:rsidP="00C30D60">
            <w:pPr>
              <w:spacing w:before="0" w:after="0"/>
              <w:rPr>
                <w:rFonts w:eastAsia="Times New Roman"/>
                <w:sz w:val="20"/>
                <w:szCs w:val="20"/>
                <w:lang w:val="en-US"/>
              </w:rPr>
            </w:pPr>
            <w:r>
              <w:rPr>
                <w:rFonts w:eastAsia="Times New Roman"/>
                <w:sz w:val="20"/>
                <w:szCs w:val="20"/>
                <w:lang w:val="en-US"/>
              </w:rPr>
              <w:t>I</w:t>
            </w:r>
            <w:r w:rsidRPr="00555876">
              <w:rPr>
                <w:rFonts w:eastAsia="Times New Roman"/>
                <w:sz w:val="20"/>
                <w:szCs w:val="20"/>
                <w:lang w:val="en-US"/>
              </w:rPr>
              <w:t>ncrease in the share of self-consumers</w:t>
            </w:r>
            <w:r>
              <w:rPr>
                <w:rFonts w:eastAsia="Times New Roman"/>
                <w:sz w:val="20"/>
                <w:szCs w:val="20"/>
                <w:lang w:val="en-US"/>
              </w:rPr>
              <w:t xml:space="preserve"> who use services of </w:t>
            </w:r>
            <w:r>
              <w:rPr>
                <w:rFonts w:eastAsia="Times New Roman"/>
                <w:sz w:val="20"/>
                <w:szCs w:val="20"/>
                <w:lang w:val="en-US"/>
              </w:rPr>
              <w:lastRenderedPageBreak/>
              <w:t>ESCO, 5% by 2020</w:t>
            </w:r>
          </w:p>
        </w:tc>
        <w:tc>
          <w:tcPr>
            <w:tcW w:w="1134" w:type="dxa"/>
          </w:tcPr>
          <w:p w14:paraId="0F9FBE31" w14:textId="77777777" w:rsidR="00C51D0F" w:rsidRDefault="00C51D0F" w:rsidP="00C30D60">
            <w:pPr>
              <w:spacing w:before="0" w:after="0"/>
              <w:rPr>
                <w:rFonts w:eastAsia="Times New Roman"/>
                <w:sz w:val="20"/>
                <w:szCs w:val="20"/>
                <w:lang w:val="en-US"/>
              </w:rPr>
            </w:pPr>
          </w:p>
        </w:tc>
      </w:tr>
      <w:tr w:rsidR="00C51D0F" w:rsidRPr="00555876" w14:paraId="116289CB" w14:textId="31018C27" w:rsidTr="00C51D0F">
        <w:tc>
          <w:tcPr>
            <w:tcW w:w="1809" w:type="dxa"/>
          </w:tcPr>
          <w:p w14:paraId="4AB14469"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p</w:t>
            </w:r>
            <w:r w:rsidRPr="00555876">
              <w:rPr>
                <w:rFonts w:eastAsia="Times New Roman"/>
                <w:sz w:val="20"/>
                <w:szCs w:val="20"/>
                <w:lang w:val="en-US"/>
              </w:rPr>
              <w:t>repar</w:t>
            </w:r>
            <w:r>
              <w:rPr>
                <w:rFonts w:eastAsia="Times New Roman"/>
                <w:sz w:val="20"/>
                <w:szCs w:val="20"/>
                <w:lang w:val="en-US"/>
              </w:rPr>
              <w:t>e</w:t>
            </w:r>
            <w:r w:rsidRPr="00555876">
              <w:rPr>
                <w:rFonts w:eastAsia="Times New Roman"/>
                <w:sz w:val="20"/>
                <w:szCs w:val="20"/>
                <w:lang w:val="en-US"/>
              </w:rPr>
              <w:t xml:space="preserve"> and confirm of plans for municipalities to</w:t>
            </w:r>
          </w:p>
          <w:p w14:paraId="0D9A57EC"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promote the use of renewable energy sources</w:t>
            </w:r>
          </w:p>
        </w:tc>
        <w:tc>
          <w:tcPr>
            <w:tcW w:w="1276" w:type="dxa"/>
            <w:vMerge w:val="restart"/>
            <w:vAlign w:val="center"/>
          </w:tcPr>
          <w:p w14:paraId="752BC229" w14:textId="77777777" w:rsidR="00C51D0F" w:rsidRPr="00555876" w:rsidRDefault="00C51D0F" w:rsidP="00C30D60">
            <w:pPr>
              <w:spacing w:before="0" w:after="0"/>
              <w:jc w:val="center"/>
              <w:rPr>
                <w:rFonts w:eastAsia="Times New Roman"/>
                <w:sz w:val="20"/>
                <w:szCs w:val="20"/>
                <w:lang w:val="en-US"/>
              </w:rPr>
            </w:pPr>
            <w:r>
              <w:rPr>
                <w:rFonts w:eastAsia="Times New Roman"/>
                <w:sz w:val="20"/>
                <w:szCs w:val="20"/>
                <w:lang w:val="en-US"/>
              </w:rPr>
              <w:t>To increase the participation of municipalities in RES development, 100% by 2030</w:t>
            </w:r>
          </w:p>
        </w:tc>
        <w:tc>
          <w:tcPr>
            <w:tcW w:w="1701" w:type="dxa"/>
          </w:tcPr>
          <w:p w14:paraId="2AC49F66"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2019-2021</w:t>
            </w:r>
          </w:p>
        </w:tc>
        <w:tc>
          <w:tcPr>
            <w:tcW w:w="1559" w:type="dxa"/>
          </w:tcPr>
          <w:p w14:paraId="5423D350"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Municipalities, Ministry of Energy</w:t>
            </w:r>
          </w:p>
        </w:tc>
        <w:tc>
          <w:tcPr>
            <w:tcW w:w="1418" w:type="dxa"/>
          </w:tcPr>
          <w:p w14:paraId="3305E2B0" w14:textId="77777777" w:rsidR="00C51D0F" w:rsidRDefault="00C51D0F" w:rsidP="00C30D60">
            <w:pPr>
              <w:spacing w:before="0" w:after="0"/>
              <w:rPr>
                <w:rFonts w:eastAsia="Times New Roman"/>
                <w:sz w:val="20"/>
                <w:szCs w:val="20"/>
                <w:lang w:val="en-US"/>
              </w:rPr>
            </w:pPr>
          </w:p>
        </w:tc>
        <w:tc>
          <w:tcPr>
            <w:tcW w:w="1417" w:type="dxa"/>
          </w:tcPr>
          <w:p w14:paraId="7D6E73EF" w14:textId="7AB9552F" w:rsidR="00C51D0F" w:rsidRPr="00555876" w:rsidRDefault="00C51D0F" w:rsidP="00C30D60">
            <w:pPr>
              <w:spacing w:before="0" w:after="0"/>
              <w:rPr>
                <w:rFonts w:eastAsia="Times New Roman"/>
                <w:sz w:val="20"/>
                <w:szCs w:val="20"/>
                <w:lang w:val="en-US"/>
              </w:rPr>
            </w:pPr>
            <w:r>
              <w:rPr>
                <w:rFonts w:eastAsia="Times New Roman"/>
                <w:sz w:val="20"/>
                <w:szCs w:val="20"/>
                <w:lang w:val="en-US"/>
              </w:rPr>
              <w:t>Confirmed municipalities plans, 60 by 2022</w:t>
            </w:r>
          </w:p>
        </w:tc>
        <w:tc>
          <w:tcPr>
            <w:tcW w:w="1134" w:type="dxa"/>
          </w:tcPr>
          <w:p w14:paraId="236A94D4" w14:textId="77777777" w:rsidR="00C51D0F" w:rsidRDefault="00C51D0F" w:rsidP="00C30D60">
            <w:pPr>
              <w:spacing w:before="0" w:after="0"/>
              <w:rPr>
                <w:rFonts w:eastAsia="Times New Roman"/>
                <w:sz w:val="20"/>
                <w:szCs w:val="20"/>
                <w:lang w:val="en-US"/>
              </w:rPr>
            </w:pPr>
          </w:p>
        </w:tc>
      </w:tr>
      <w:tr w:rsidR="00C51D0F" w:rsidRPr="00555876" w14:paraId="605EC852" w14:textId="15FA1418" w:rsidTr="00C51D0F">
        <w:tc>
          <w:tcPr>
            <w:tcW w:w="1809" w:type="dxa"/>
          </w:tcPr>
          <w:p w14:paraId="0C4CEEDD"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e</w:t>
            </w:r>
            <w:r w:rsidRPr="00555876">
              <w:rPr>
                <w:rFonts w:eastAsia="Times New Roman"/>
                <w:sz w:val="20"/>
                <w:szCs w:val="20"/>
                <w:lang w:val="en-US"/>
              </w:rPr>
              <w:t>stablish a favorable regulatory environment for renewable energy communities</w:t>
            </w:r>
            <w:r>
              <w:rPr>
                <w:rFonts w:eastAsia="Times New Roman"/>
                <w:sz w:val="20"/>
                <w:szCs w:val="20"/>
                <w:lang w:val="en-US"/>
              </w:rPr>
              <w:t xml:space="preserve"> to participate in the auctions</w:t>
            </w:r>
          </w:p>
        </w:tc>
        <w:tc>
          <w:tcPr>
            <w:tcW w:w="1276" w:type="dxa"/>
            <w:vMerge/>
          </w:tcPr>
          <w:p w14:paraId="7E745E03" w14:textId="77777777" w:rsidR="00C51D0F" w:rsidRPr="00555876" w:rsidRDefault="00C51D0F" w:rsidP="00C30D60">
            <w:pPr>
              <w:spacing w:before="0" w:after="0"/>
              <w:rPr>
                <w:rFonts w:eastAsia="Times New Roman"/>
                <w:sz w:val="20"/>
                <w:szCs w:val="20"/>
                <w:lang w:val="en-US"/>
              </w:rPr>
            </w:pPr>
          </w:p>
        </w:tc>
        <w:tc>
          <w:tcPr>
            <w:tcW w:w="1701" w:type="dxa"/>
          </w:tcPr>
          <w:p w14:paraId="51478F1A"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2020-2030</w:t>
            </w:r>
          </w:p>
        </w:tc>
        <w:tc>
          <w:tcPr>
            <w:tcW w:w="1559" w:type="dxa"/>
          </w:tcPr>
          <w:p w14:paraId="4149B595"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Ministry of Energy, Municipalities</w:t>
            </w:r>
          </w:p>
        </w:tc>
        <w:tc>
          <w:tcPr>
            <w:tcW w:w="1418" w:type="dxa"/>
          </w:tcPr>
          <w:p w14:paraId="317B66A3" w14:textId="77777777" w:rsidR="00C51D0F" w:rsidRPr="00555876" w:rsidRDefault="00C51D0F" w:rsidP="00C30D60">
            <w:pPr>
              <w:spacing w:before="0" w:after="0"/>
              <w:rPr>
                <w:rFonts w:eastAsia="Times New Roman"/>
                <w:sz w:val="20"/>
                <w:szCs w:val="20"/>
                <w:lang w:val="en-US"/>
              </w:rPr>
            </w:pPr>
          </w:p>
        </w:tc>
        <w:tc>
          <w:tcPr>
            <w:tcW w:w="1417" w:type="dxa"/>
          </w:tcPr>
          <w:p w14:paraId="43C7E680" w14:textId="5085A0EC"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Increase in the</w:t>
            </w:r>
          </w:p>
          <w:p w14:paraId="66E2A061"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production of</w:t>
            </w:r>
          </w:p>
          <w:p w14:paraId="1F2F87F3"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electricity from</w:t>
            </w:r>
          </w:p>
          <w:p w14:paraId="7D7F3F87"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renewable</w:t>
            </w:r>
          </w:p>
          <w:p w14:paraId="15B51E79"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energy sources</w:t>
            </w:r>
            <w:r>
              <w:rPr>
                <w:rFonts w:eastAsia="Times New Roman"/>
                <w:sz w:val="20"/>
                <w:szCs w:val="20"/>
                <w:lang w:val="en-US"/>
              </w:rPr>
              <w:t>, by 0,002 TWh by 2022</w:t>
            </w:r>
          </w:p>
        </w:tc>
        <w:tc>
          <w:tcPr>
            <w:tcW w:w="1134" w:type="dxa"/>
          </w:tcPr>
          <w:p w14:paraId="35E19AFC" w14:textId="77777777" w:rsidR="00C51D0F" w:rsidRPr="00555876" w:rsidRDefault="00C51D0F" w:rsidP="00C30D60">
            <w:pPr>
              <w:spacing w:before="0" w:after="0"/>
              <w:rPr>
                <w:rFonts w:eastAsia="Times New Roman"/>
                <w:sz w:val="20"/>
                <w:szCs w:val="20"/>
                <w:lang w:val="en-US"/>
              </w:rPr>
            </w:pPr>
          </w:p>
        </w:tc>
      </w:tr>
      <w:tr w:rsidR="00C51D0F" w:rsidRPr="00555876" w14:paraId="13F9A0CE" w14:textId="285F39C7" w:rsidTr="00C51D0F">
        <w:tc>
          <w:tcPr>
            <w:tcW w:w="1809" w:type="dxa"/>
          </w:tcPr>
          <w:p w14:paraId="2F37CCC1"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e</w:t>
            </w:r>
            <w:r w:rsidRPr="00555876">
              <w:rPr>
                <w:rFonts w:eastAsia="Times New Roman"/>
                <w:sz w:val="20"/>
                <w:szCs w:val="20"/>
                <w:lang w:val="en-US"/>
              </w:rPr>
              <w:t xml:space="preserve">stablishing an information system about renewable energy </w:t>
            </w:r>
          </w:p>
        </w:tc>
        <w:tc>
          <w:tcPr>
            <w:tcW w:w="1276" w:type="dxa"/>
            <w:vMerge/>
          </w:tcPr>
          <w:p w14:paraId="0AB6CF39" w14:textId="77777777" w:rsidR="00C51D0F" w:rsidRPr="00555876" w:rsidRDefault="00C51D0F" w:rsidP="00C30D60">
            <w:pPr>
              <w:spacing w:before="0" w:after="0"/>
              <w:rPr>
                <w:rFonts w:eastAsia="Times New Roman"/>
                <w:sz w:val="20"/>
                <w:szCs w:val="20"/>
                <w:lang w:val="en-US"/>
              </w:rPr>
            </w:pPr>
          </w:p>
        </w:tc>
        <w:tc>
          <w:tcPr>
            <w:tcW w:w="1701" w:type="dxa"/>
          </w:tcPr>
          <w:p w14:paraId="22387FA5"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2019-2030</w:t>
            </w:r>
          </w:p>
        </w:tc>
        <w:tc>
          <w:tcPr>
            <w:tcW w:w="1559" w:type="dxa"/>
          </w:tcPr>
          <w:p w14:paraId="6C85B0C9"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Municipalities, Ministry of Energy</w:t>
            </w:r>
          </w:p>
        </w:tc>
        <w:tc>
          <w:tcPr>
            <w:tcW w:w="1418" w:type="dxa"/>
          </w:tcPr>
          <w:p w14:paraId="5E6C0BE0" w14:textId="77777777" w:rsidR="00C51D0F" w:rsidRDefault="00C51D0F" w:rsidP="00C30D60">
            <w:pPr>
              <w:spacing w:before="0" w:after="0"/>
              <w:rPr>
                <w:rFonts w:eastAsia="Times New Roman"/>
                <w:sz w:val="20"/>
                <w:szCs w:val="20"/>
                <w:lang w:val="en-US"/>
              </w:rPr>
            </w:pPr>
          </w:p>
        </w:tc>
        <w:tc>
          <w:tcPr>
            <w:tcW w:w="1417" w:type="dxa"/>
          </w:tcPr>
          <w:p w14:paraId="5FDBF2AC" w14:textId="5314C23A" w:rsidR="00C51D0F" w:rsidRPr="00555876" w:rsidRDefault="00C51D0F" w:rsidP="00C30D60">
            <w:pPr>
              <w:spacing w:before="0" w:after="0"/>
              <w:rPr>
                <w:rFonts w:eastAsia="Times New Roman"/>
                <w:sz w:val="20"/>
                <w:szCs w:val="20"/>
                <w:lang w:val="en-US"/>
              </w:rPr>
            </w:pPr>
            <w:r>
              <w:rPr>
                <w:rFonts w:eastAsia="Times New Roman"/>
                <w:sz w:val="20"/>
                <w:szCs w:val="20"/>
                <w:lang w:val="en-US"/>
              </w:rPr>
              <w:t>P</w:t>
            </w:r>
            <w:r w:rsidRPr="00D96A64">
              <w:rPr>
                <w:rFonts w:eastAsia="Times New Roman"/>
                <w:sz w:val="20"/>
                <w:szCs w:val="20"/>
                <w:lang w:val="en-US"/>
              </w:rPr>
              <w:t>articipation of municipalities in informing</w:t>
            </w:r>
            <w:r>
              <w:rPr>
                <w:rFonts w:eastAsia="Times New Roman"/>
                <w:sz w:val="20"/>
                <w:szCs w:val="20"/>
                <w:lang w:val="en-US"/>
              </w:rPr>
              <w:t xml:space="preserve"> system of RES, 5 by 2022</w:t>
            </w:r>
          </w:p>
        </w:tc>
        <w:tc>
          <w:tcPr>
            <w:tcW w:w="1134" w:type="dxa"/>
          </w:tcPr>
          <w:p w14:paraId="68384AA7" w14:textId="77777777" w:rsidR="00C51D0F" w:rsidRDefault="00C51D0F" w:rsidP="00C30D60">
            <w:pPr>
              <w:spacing w:before="0" w:after="0"/>
              <w:rPr>
                <w:rFonts w:eastAsia="Times New Roman"/>
                <w:sz w:val="20"/>
                <w:szCs w:val="20"/>
                <w:lang w:val="en-US"/>
              </w:rPr>
            </w:pPr>
          </w:p>
        </w:tc>
      </w:tr>
      <w:tr w:rsidR="00C51D0F" w:rsidRPr="00555876" w14:paraId="1D080890" w14:textId="34C1B46F" w:rsidTr="00C51D0F">
        <w:tc>
          <w:tcPr>
            <w:tcW w:w="1809" w:type="dxa"/>
          </w:tcPr>
          <w:p w14:paraId="6A9ABD06" w14:textId="77777777" w:rsidR="00C51D0F" w:rsidRPr="00555876" w:rsidRDefault="00C51D0F" w:rsidP="00C30D60">
            <w:pPr>
              <w:spacing w:before="0" w:after="0"/>
              <w:rPr>
                <w:rFonts w:eastAsia="Times New Roman"/>
                <w:b/>
                <w:bCs/>
                <w:sz w:val="20"/>
                <w:szCs w:val="20"/>
                <w:lang w:val="en-US"/>
              </w:rPr>
            </w:pPr>
            <w:r w:rsidRPr="00555876">
              <w:rPr>
                <w:rFonts w:eastAsia="Times New Roman"/>
                <w:b/>
                <w:bCs/>
                <w:sz w:val="20"/>
                <w:szCs w:val="20"/>
                <w:lang w:val="en-US"/>
              </w:rPr>
              <w:t>RES in H&amp;C sector</w:t>
            </w:r>
          </w:p>
        </w:tc>
        <w:tc>
          <w:tcPr>
            <w:tcW w:w="1276" w:type="dxa"/>
          </w:tcPr>
          <w:p w14:paraId="4D52863E" w14:textId="77777777" w:rsidR="00C51D0F" w:rsidRPr="00555876" w:rsidRDefault="00C51D0F" w:rsidP="00C30D60">
            <w:pPr>
              <w:spacing w:before="0" w:after="0"/>
              <w:rPr>
                <w:rFonts w:eastAsia="Times New Roman"/>
                <w:sz w:val="20"/>
                <w:szCs w:val="20"/>
                <w:lang w:val="en-US"/>
              </w:rPr>
            </w:pPr>
          </w:p>
        </w:tc>
        <w:tc>
          <w:tcPr>
            <w:tcW w:w="1701" w:type="dxa"/>
          </w:tcPr>
          <w:p w14:paraId="71F4C40C" w14:textId="77777777" w:rsidR="00C51D0F" w:rsidRPr="00555876" w:rsidRDefault="00C51D0F" w:rsidP="00C30D60">
            <w:pPr>
              <w:spacing w:before="0" w:after="0"/>
              <w:rPr>
                <w:rFonts w:eastAsia="Times New Roman"/>
                <w:sz w:val="20"/>
                <w:szCs w:val="20"/>
                <w:lang w:val="en-US"/>
              </w:rPr>
            </w:pPr>
          </w:p>
        </w:tc>
        <w:tc>
          <w:tcPr>
            <w:tcW w:w="1559" w:type="dxa"/>
          </w:tcPr>
          <w:p w14:paraId="56120428" w14:textId="77777777" w:rsidR="00C51D0F" w:rsidRPr="00555876" w:rsidRDefault="00C51D0F" w:rsidP="00C30D60">
            <w:pPr>
              <w:spacing w:before="0" w:after="0"/>
              <w:rPr>
                <w:rFonts w:eastAsia="Times New Roman"/>
                <w:sz w:val="20"/>
                <w:szCs w:val="20"/>
                <w:lang w:val="en-US"/>
              </w:rPr>
            </w:pPr>
          </w:p>
        </w:tc>
        <w:tc>
          <w:tcPr>
            <w:tcW w:w="1418" w:type="dxa"/>
          </w:tcPr>
          <w:p w14:paraId="7E8C4D4F" w14:textId="77777777" w:rsidR="00C51D0F" w:rsidRPr="00555876" w:rsidRDefault="00C51D0F" w:rsidP="00C30D60">
            <w:pPr>
              <w:spacing w:before="0" w:after="0"/>
              <w:rPr>
                <w:rFonts w:eastAsia="Times New Roman"/>
                <w:sz w:val="20"/>
                <w:szCs w:val="20"/>
                <w:lang w:val="en-US"/>
              </w:rPr>
            </w:pPr>
          </w:p>
        </w:tc>
        <w:tc>
          <w:tcPr>
            <w:tcW w:w="1417" w:type="dxa"/>
          </w:tcPr>
          <w:p w14:paraId="0C365FDB" w14:textId="3CE37F02" w:rsidR="00C51D0F" w:rsidRPr="00555876" w:rsidRDefault="00C51D0F" w:rsidP="00C30D60">
            <w:pPr>
              <w:spacing w:before="0" w:after="0"/>
              <w:rPr>
                <w:rFonts w:eastAsia="Times New Roman"/>
                <w:sz w:val="20"/>
                <w:szCs w:val="20"/>
                <w:lang w:val="en-US"/>
              </w:rPr>
            </w:pPr>
          </w:p>
        </w:tc>
        <w:tc>
          <w:tcPr>
            <w:tcW w:w="1134" w:type="dxa"/>
          </w:tcPr>
          <w:p w14:paraId="0633E6C3" w14:textId="77777777" w:rsidR="00C51D0F" w:rsidRPr="00555876" w:rsidRDefault="00C51D0F" w:rsidP="00C30D60">
            <w:pPr>
              <w:spacing w:before="0" w:after="0"/>
              <w:rPr>
                <w:rFonts w:eastAsia="Times New Roman"/>
                <w:sz w:val="20"/>
                <w:szCs w:val="20"/>
                <w:lang w:val="en-US"/>
              </w:rPr>
            </w:pPr>
          </w:p>
        </w:tc>
      </w:tr>
      <w:tr w:rsidR="00C51D0F" w:rsidRPr="00555876" w14:paraId="3901579B" w14:textId="592AFE43" w:rsidTr="00C51D0F">
        <w:tc>
          <w:tcPr>
            <w:tcW w:w="1809" w:type="dxa"/>
          </w:tcPr>
          <w:p w14:paraId="583D3209"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i</w:t>
            </w:r>
            <w:r w:rsidRPr="00555876">
              <w:rPr>
                <w:rFonts w:eastAsia="Times New Roman"/>
                <w:sz w:val="20"/>
                <w:szCs w:val="20"/>
                <w:lang w:val="en-US"/>
              </w:rPr>
              <w:t>mplement</w:t>
            </w:r>
            <w:r>
              <w:rPr>
                <w:rFonts w:eastAsia="Times New Roman"/>
                <w:sz w:val="20"/>
                <w:szCs w:val="20"/>
                <w:lang w:val="en-US"/>
              </w:rPr>
              <w:t xml:space="preserve"> projects</w:t>
            </w:r>
            <w:r w:rsidRPr="00555876">
              <w:rPr>
                <w:rFonts w:eastAsia="Times New Roman"/>
                <w:sz w:val="20"/>
                <w:szCs w:val="20"/>
                <w:lang w:val="en-US"/>
              </w:rPr>
              <w:t xml:space="preserve"> of RES cogeneration power plants (priority for Vilnius and Kaunas)</w:t>
            </w:r>
          </w:p>
        </w:tc>
        <w:tc>
          <w:tcPr>
            <w:tcW w:w="1276" w:type="dxa"/>
            <w:vMerge w:val="restart"/>
            <w:vAlign w:val="center"/>
          </w:tcPr>
          <w:p w14:paraId="3EB5662D" w14:textId="77777777" w:rsidR="00C51D0F" w:rsidRPr="00555876" w:rsidRDefault="00C51D0F" w:rsidP="00C30D60">
            <w:pPr>
              <w:spacing w:before="0" w:after="0"/>
              <w:jc w:val="center"/>
              <w:rPr>
                <w:rFonts w:eastAsia="Times New Roman"/>
                <w:sz w:val="20"/>
                <w:szCs w:val="20"/>
                <w:lang w:val="en-US"/>
              </w:rPr>
            </w:pPr>
            <w:r>
              <w:rPr>
                <w:rFonts w:eastAsia="Times New Roman"/>
                <w:sz w:val="20"/>
                <w:szCs w:val="20"/>
                <w:lang w:val="en-US"/>
              </w:rPr>
              <w:t>T</w:t>
            </w:r>
            <w:r w:rsidRPr="00426193">
              <w:rPr>
                <w:rFonts w:eastAsia="Times New Roman"/>
                <w:sz w:val="20"/>
                <w:szCs w:val="20"/>
                <w:lang w:val="en-US"/>
              </w:rPr>
              <w:t xml:space="preserve">o increase the share of RES in the </w:t>
            </w:r>
            <w:r>
              <w:rPr>
                <w:rFonts w:eastAsia="Times New Roman"/>
                <w:sz w:val="20"/>
                <w:szCs w:val="20"/>
                <w:lang w:val="en-US"/>
              </w:rPr>
              <w:t>district heating and cooling sector by 90% by 2030</w:t>
            </w:r>
          </w:p>
        </w:tc>
        <w:tc>
          <w:tcPr>
            <w:tcW w:w="1701" w:type="dxa"/>
          </w:tcPr>
          <w:p w14:paraId="501D9D32"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2018-2023</w:t>
            </w:r>
          </w:p>
        </w:tc>
        <w:tc>
          <w:tcPr>
            <w:tcW w:w="1559" w:type="dxa"/>
          </w:tcPr>
          <w:p w14:paraId="1B2460A2"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Ministry of Energy; Ministry of Finance; Ministry of Environment; Lietuvos Energija, UAB</w:t>
            </w:r>
          </w:p>
        </w:tc>
        <w:tc>
          <w:tcPr>
            <w:tcW w:w="1418" w:type="dxa"/>
          </w:tcPr>
          <w:p w14:paraId="407FC587" w14:textId="77777777" w:rsidR="00C51D0F" w:rsidRPr="00555876" w:rsidRDefault="00C51D0F" w:rsidP="00C30D60">
            <w:pPr>
              <w:spacing w:before="0" w:after="0"/>
              <w:rPr>
                <w:rFonts w:eastAsia="Times New Roman"/>
                <w:sz w:val="20"/>
                <w:szCs w:val="20"/>
                <w:lang w:val="en-US"/>
              </w:rPr>
            </w:pPr>
          </w:p>
        </w:tc>
        <w:tc>
          <w:tcPr>
            <w:tcW w:w="1417" w:type="dxa"/>
          </w:tcPr>
          <w:p w14:paraId="5D9BD5AE" w14:textId="7BCE9D91"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Increase in the</w:t>
            </w:r>
          </w:p>
          <w:p w14:paraId="3E616235"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nominal thermal capacity</w:t>
            </w:r>
            <w:r w:rsidRPr="00555876">
              <w:rPr>
                <w:rFonts w:eastAsia="Times New Roman"/>
                <w:sz w:val="20"/>
                <w:szCs w:val="20"/>
                <w:lang w:val="en-US"/>
              </w:rPr>
              <w:t xml:space="preserve"> </w:t>
            </w:r>
            <w:r>
              <w:rPr>
                <w:rFonts w:eastAsia="Times New Roman"/>
                <w:sz w:val="20"/>
                <w:szCs w:val="20"/>
                <w:lang w:val="en-US"/>
              </w:rPr>
              <w:t xml:space="preserve">of </w:t>
            </w:r>
            <w:r w:rsidRPr="00D94D60">
              <w:rPr>
                <w:rFonts w:eastAsia="Times New Roman"/>
                <w:sz w:val="20"/>
                <w:szCs w:val="20"/>
                <w:lang w:val="en-US"/>
              </w:rPr>
              <w:t>high efficiency cogeneration</w:t>
            </w:r>
            <w:r>
              <w:rPr>
                <w:rFonts w:eastAsia="Times New Roman"/>
                <w:sz w:val="20"/>
                <w:szCs w:val="20"/>
                <w:lang w:val="en-US"/>
              </w:rPr>
              <w:t>, 439 MW by 2030</w:t>
            </w:r>
          </w:p>
        </w:tc>
        <w:tc>
          <w:tcPr>
            <w:tcW w:w="1134" w:type="dxa"/>
          </w:tcPr>
          <w:p w14:paraId="61693F75" w14:textId="77777777" w:rsidR="00C51D0F" w:rsidRPr="00555876" w:rsidRDefault="00C51D0F" w:rsidP="00C30D60">
            <w:pPr>
              <w:spacing w:before="0" w:after="0"/>
              <w:rPr>
                <w:rFonts w:eastAsia="Times New Roman"/>
                <w:sz w:val="20"/>
                <w:szCs w:val="20"/>
                <w:lang w:val="en-US"/>
              </w:rPr>
            </w:pPr>
          </w:p>
        </w:tc>
      </w:tr>
      <w:tr w:rsidR="00C51D0F" w:rsidRPr="00555876" w14:paraId="79FA4BC9" w14:textId="7AC1F815" w:rsidTr="00C51D0F">
        <w:tc>
          <w:tcPr>
            <w:tcW w:w="1809" w:type="dxa"/>
          </w:tcPr>
          <w:p w14:paraId="038AB2AC"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m</w:t>
            </w:r>
            <w:r w:rsidRPr="00555876">
              <w:rPr>
                <w:rFonts w:eastAsia="Times New Roman"/>
                <w:sz w:val="20"/>
                <w:szCs w:val="20"/>
                <w:lang w:val="en-US"/>
              </w:rPr>
              <w:t>oderniz</w:t>
            </w:r>
            <w:r>
              <w:rPr>
                <w:rFonts w:eastAsia="Times New Roman"/>
                <w:sz w:val="20"/>
                <w:szCs w:val="20"/>
                <w:lang w:val="en-US"/>
              </w:rPr>
              <w:t>e</w:t>
            </w:r>
            <w:r w:rsidRPr="00555876">
              <w:rPr>
                <w:rFonts w:eastAsia="Times New Roman"/>
                <w:sz w:val="20"/>
                <w:szCs w:val="20"/>
                <w:lang w:val="en-US"/>
              </w:rPr>
              <w:t xml:space="preserve"> or replace of biomass boilers with other RES technologies</w:t>
            </w:r>
          </w:p>
        </w:tc>
        <w:tc>
          <w:tcPr>
            <w:tcW w:w="1276" w:type="dxa"/>
            <w:vMerge/>
          </w:tcPr>
          <w:p w14:paraId="7AF53065" w14:textId="77777777" w:rsidR="00C51D0F" w:rsidRPr="00555876" w:rsidRDefault="00C51D0F" w:rsidP="00C30D60">
            <w:pPr>
              <w:spacing w:before="0" w:after="0"/>
              <w:rPr>
                <w:rFonts w:eastAsia="Times New Roman"/>
                <w:sz w:val="20"/>
                <w:szCs w:val="20"/>
                <w:lang w:val="en-US"/>
              </w:rPr>
            </w:pPr>
          </w:p>
        </w:tc>
        <w:tc>
          <w:tcPr>
            <w:tcW w:w="1701" w:type="dxa"/>
          </w:tcPr>
          <w:p w14:paraId="2B4E9093"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2018-2030</w:t>
            </w:r>
          </w:p>
        </w:tc>
        <w:tc>
          <w:tcPr>
            <w:tcW w:w="1559" w:type="dxa"/>
          </w:tcPr>
          <w:p w14:paraId="000D10E0"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Ministry of Energy</w:t>
            </w:r>
          </w:p>
        </w:tc>
        <w:tc>
          <w:tcPr>
            <w:tcW w:w="1418" w:type="dxa"/>
          </w:tcPr>
          <w:p w14:paraId="4A319E2C" w14:textId="77777777" w:rsidR="00C51D0F" w:rsidRPr="00944CDB" w:rsidRDefault="00C51D0F" w:rsidP="00C30D60">
            <w:pPr>
              <w:spacing w:before="0" w:after="0"/>
              <w:rPr>
                <w:rFonts w:eastAsia="Times New Roman"/>
                <w:sz w:val="20"/>
                <w:szCs w:val="20"/>
                <w:lang w:val="en-US"/>
              </w:rPr>
            </w:pPr>
          </w:p>
        </w:tc>
        <w:tc>
          <w:tcPr>
            <w:tcW w:w="1417" w:type="dxa"/>
          </w:tcPr>
          <w:p w14:paraId="104D2111" w14:textId="1EFC255A" w:rsidR="00C51D0F" w:rsidRPr="00555876" w:rsidRDefault="00C51D0F" w:rsidP="00C30D60">
            <w:pPr>
              <w:spacing w:before="0" w:after="0"/>
              <w:rPr>
                <w:rFonts w:eastAsia="Times New Roman"/>
                <w:sz w:val="20"/>
                <w:szCs w:val="20"/>
                <w:lang w:val="en-US"/>
              </w:rPr>
            </w:pPr>
            <w:r w:rsidRPr="00944CDB">
              <w:rPr>
                <w:rFonts w:eastAsia="Times New Roman"/>
                <w:sz w:val="20"/>
                <w:szCs w:val="20"/>
                <w:lang w:val="en-US"/>
              </w:rPr>
              <w:t xml:space="preserve">The nominal thermal </w:t>
            </w:r>
            <w:r>
              <w:rPr>
                <w:rFonts w:eastAsia="Times New Roman"/>
                <w:sz w:val="20"/>
                <w:szCs w:val="20"/>
                <w:lang w:val="en-US"/>
              </w:rPr>
              <w:t>capacity</w:t>
            </w:r>
            <w:r w:rsidRPr="00944CDB">
              <w:rPr>
                <w:rFonts w:eastAsia="Times New Roman"/>
                <w:sz w:val="20"/>
                <w:szCs w:val="20"/>
                <w:lang w:val="en-US"/>
              </w:rPr>
              <w:t xml:space="preserve"> of the replaced equipment</w:t>
            </w:r>
            <w:r>
              <w:rPr>
                <w:rFonts w:eastAsia="Times New Roman"/>
                <w:sz w:val="20"/>
                <w:szCs w:val="20"/>
                <w:lang w:val="en-US"/>
              </w:rPr>
              <w:t>, 600 MW by 2030</w:t>
            </w:r>
          </w:p>
        </w:tc>
        <w:tc>
          <w:tcPr>
            <w:tcW w:w="1134" w:type="dxa"/>
          </w:tcPr>
          <w:p w14:paraId="7E572D0B" w14:textId="77777777" w:rsidR="00C51D0F" w:rsidRPr="00944CDB" w:rsidRDefault="00C51D0F" w:rsidP="00C30D60">
            <w:pPr>
              <w:spacing w:before="0" w:after="0"/>
              <w:rPr>
                <w:rFonts w:eastAsia="Times New Roman"/>
                <w:sz w:val="20"/>
                <w:szCs w:val="20"/>
                <w:lang w:val="en-US"/>
              </w:rPr>
            </w:pPr>
          </w:p>
        </w:tc>
      </w:tr>
      <w:tr w:rsidR="00C51D0F" w:rsidRPr="00555876" w14:paraId="2B730722" w14:textId="7441F52D" w:rsidTr="00C51D0F">
        <w:tc>
          <w:tcPr>
            <w:tcW w:w="1809" w:type="dxa"/>
          </w:tcPr>
          <w:p w14:paraId="123A57E0"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p</w:t>
            </w:r>
            <w:r w:rsidRPr="00555876">
              <w:rPr>
                <w:rFonts w:eastAsia="Times New Roman"/>
                <w:sz w:val="20"/>
                <w:szCs w:val="20"/>
                <w:lang w:val="en-US"/>
              </w:rPr>
              <w:t>romot</w:t>
            </w:r>
            <w:r>
              <w:rPr>
                <w:rFonts w:eastAsia="Times New Roman"/>
                <w:sz w:val="20"/>
                <w:szCs w:val="20"/>
                <w:lang w:val="en-US"/>
              </w:rPr>
              <w:t>e</w:t>
            </w:r>
            <w:r w:rsidRPr="00555876">
              <w:rPr>
                <w:rFonts w:eastAsia="Times New Roman"/>
                <w:sz w:val="20"/>
                <w:szCs w:val="20"/>
                <w:lang w:val="en-US"/>
              </w:rPr>
              <w:t xml:space="preserve"> to use of biomass in the sector of district heating</w:t>
            </w:r>
          </w:p>
        </w:tc>
        <w:tc>
          <w:tcPr>
            <w:tcW w:w="1276" w:type="dxa"/>
            <w:vMerge/>
          </w:tcPr>
          <w:p w14:paraId="6349E565" w14:textId="77777777" w:rsidR="00C51D0F" w:rsidRPr="00555876" w:rsidRDefault="00C51D0F" w:rsidP="00C30D60">
            <w:pPr>
              <w:spacing w:before="0" w:after="0"/>
              <w:rPr>
                <w:rFonts w:eastAsia="Times New Roman"/>
                <w:sz w:val="20"/>
                <w:szCs w:val="20"/>
                <w:lang w:val="en-US"/>
              </w:rPr>
            </w:pPr>
          </w:p>
        </w:tc>
        <w:tc>
          <w:tcPr>
            <w:tcW w:w="1701" w:type="dxa"/>
          </w:tcPr>
          <w:p w14:paraId="24F2364D"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2018-2023</w:t>
            </w:r>
          </w:p>
        </w:tc>
        <w:tc>
          <w:tcPr>
            <w:tcW w:w="1559" w:type="dxa"/>
          </w:tcPr>
          <w:p w14:paraId="7B19DCF2"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Ministry of Energy</w:t>
            </w:r>
          </w:p>
        </w:tc>
        <w:tc>
          <w:tcPr>
            <w:tcW w:w="1418" w:type="dxa"/>
          </w:tcPr>
          <w:p w14:paraId="7D12D0BA" w14:textId="77777777" w:rsidR="00C51D0F" w:rsidRPr="00227F85" w:rsidRDefault="00C51D0F" w:rsidP="00C30D60">
            <w:pPr>
              <w:spacing w:before="0" w:after="0"/>
              <w:rPr>
                <w:rFonts w:eastAsia="Times New Roman"/>
                <w:sz w:val="20"/>
                <w:szCs w:val="20"/>
                <w:lang w:val="en-US"/>
              </w:rPr>
            </w:pPr>
          </w:p>
        </w:tc>
        <w:tc>
          <w:tcPr>
            <w:tcW w:w="1417" w:type="dxa"/>
          </w:tcPr>
          <w:p w14:paraId="2A3E19DD" w14:textId="7267396C" w:rsidR="00C51D0F" w:rsidRPr="00555876" w:rsidRDefault="00C51D0F" w:rsidP="00C30D60">
            <w:pPr>
              <w:spacing w:before="0" w:after="0"/>
              <w:rPr>
                <w:rFonts w:eastAsia="Times New Roman"/>
                <w:sz w:val="20"/>
                <w:szCs w:val="20"/>
                <w:lang w:val="en-US"/>
              </w:rPr>
            </w:pPr>
            <w:r w:rsidRPr="00227F85">
              <w:rPr>
                <w:rFonts w:eastAsia="Times New Roman"/>
                <w:sz w:val="20"/>
                <w:szCs w:val="20"/>
                <w:lang w:val="en-US"/>
              </w:rPr>
              <w:t>Additional capacities</w:t>
            </w:r>
            <w:r>
              <w:rPr>
                <w:rFonts w:eastAsia="Times New Roman"/>
                <w:sz w:val="20"/>
                <w:szCs w:val="20"/>
                <w:lang w:val="en-US"/>
              </w:rPr>
              <w:t xml:space="preserve"> of RES power plants, 70 MW by 2030 </w:t>
            </w:r>
          </w:p>
        </w:tc>
        <w:tc>
          <w:tcPr>
            <w:tcW w:w="1134" w:type="dxa"/>
          </w:tcPr>
          <w:p w14:paraId="2167A3E7" w14:textId="77777777" w:rsidR="00C51D0F" w:rsidRPr="00227F85" w:rsidRDefault="00C51D0F" w:rsidP="00C30D60">
            <w:pPr>
              <w:spacing w:before="0" w:after="0"/>
              <w:rPr>
                <w:rFonts w:eastAsia="Times New Roman"/>
                <w:sz w:val="20"/>
                <w:szCs w:val="20"/>
                <w:lang w:val="en-US"/>
              </w:rPr>
            </w:pPr>
          </w:p>
        </w:tc>
      </w:tr>
      <w:tr w:rsidR="00C51D0F" w:rsidRPr="00555876" w14:paraId="43299438" w14:textId="47118688" w:rsidTr="00C51D0F">
        <w:tc>
          <w:tcPr>
            <w:tcW w:w="1809" w:type="dxa"/>
          </w:tcPr>
          <w:p w14:paraId="76E560A4"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p</w:t>
            </w:r>
            <w:r w:rsidRPr="00555876">
              <w:rPr>
                <w:rFonts w:eastAsia="Times New Roman"/>
                <w:sz w:val="20"/>
                <w:szCs w:val="20"/>
                <w:lang w:val="en-US"/>
              </w:rPr>
              <w:t>romot</w:t>
            </w:r>
            <w:r>
              <w:rPr>
                <w:rFonts w:eastAsia="Times New Roman"/>
                <w:sz w:val="20"/>
                <w:szCs w:val="20"/>
                <w:lang w:val="en-US"/>
              </w:rPr>
              <w:t>e</w:t>
            </w:r>
            <w:r w:rsidRPr="00555876">
              <w:rPr>
                <w:rFonts w:eastAsia="Times New Roman"/>
                <w:sz w:val="20"/>
                <w:szCs w:val="20"/>
                <w:lang w:val="en-US"/>
              </w:rPr>
              <w:t xml:space="preserve"> to use of RES in the sector of district </w:t>
            </w:r>
            <w:r w:rsidRPr="00555876">
              <w:rPr>
                <w:rFonts w:eastAsia="Times New Roman"/>
                <w:sz w:val="20"/>
                <w:szCs w:val="20"/>
                <w:lang w:val="en-US"/>
              </w:rPr>
              <w:lastRenderedPageBreak/>
              <w:t>heating and to evaluate possibilities of use of solar energy technologies, heat pumps and heat storage</w:t>
            </w:r>
          </w:p>
        </w:tc>
        <w:tc>
          <w:tcPr>
            <w:tcW w:w="1276" w:type="dxa"/>
            <w:vMerge/>
          </w:tcPr>
          <w:p w14:paraId="58B963BF" w14:textId="77777777" w:rsidR="00C51D0F" w:rsidRPr="00555876" w:rsidRDefault="00C51D0F" w:rsidP="00C30D60">
            <w:pPr>
              <w:spacing w:before="0" w:after="0"/>
              <w:rPr>
                <w:rFonts w:eastAsia="Times New Roman"/>
                <w:sz w:val="20"/>
                <w:szCs w:val="20"/>
                <w:lang w:val="en-US"/>
              </w:rPr>
            </w:pPr>
          </w:p>
        </w:tc>
        <w:tc>
          <w:tcPr>
            <w:tcW w:w="1701" w:type="dxa"/>
          </w:tcPr>
          <w:p w14:paraId="5B346D14"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 xml:space="preserve"> </w:t>
            </w:r>
            <w:r>
              <w:rPr>
                <w:rFonts w:eastAsia="Times New Roman"/>
                <w:sz w:val="20"/>
                <w:szCs w:val="20"/>
                <w:lang w:val="en-US"/>
              </w:rPr>
              <w:t>2021-2030</w:t>
            </w:r>
          </w:p>
        </w:tc>
        <w:tc>
          <w:tcPr>
            <w:tcW w:w="1559" w:type="dxa"/>
          </w:tcPr>
          <w:p w14:paraId="0549782E"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Ministry of Energy</w:t>
            </w:r>
          </w:p>
        </w:tc>
        <w:tc>
          <w:tcPr>
            <w:tcW w:w="1418" w:type="dxa"/>
          </w:tcPr>
          <w:p w14:paraId="3BB305FB" w14:textId="77777777" w:rsidR="00C51D0F" w:rsidRPr="00555876" w:rsidRDefault="00C51D0F" w:rsidP="00C30D60">
            <w:pPr>
              <w:spacing w:before="0" w:after="0"/>
              <w:rPr>
                <w:rFonts w:eastAsia="Times New Roman"/>
                <w:sz w:val="20"/>
                <w:szCs w:val="20"/>
                <w:lang w:val="en-US"/>
              </w:rPr>
            </w:pPr>
          </w:p>
        </w:tc>
        <w:tc>
          <w:tcPr>
            <w:tcW w:w="1417" w:type="dxa"/>
          </w:tcPr>
          <w:p w14:paraId="6E941D01" w14:textId="2EEFAC55"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 xml:space="preserve"> </w:t>
            </w:r>
            <w:r w:rsidRPr="00944CDB">
              <w:rPr>
                <w:rFonts w:eastAsia="Times New Roman"/>
                <w:sz w:val="20"/>
                <w:szCs w:val="20"/>
                <w:lang w:val="en-US"/>
              </w:rPr>
              <w:t xml:space="preserve">The nominal thermal </w:t>
            </w:r>
            <w:r>
              <w:rPr>
                <w:rFonts w:eastAsia="Times New Roman"/>
                <w:sz w:val="20"/>
                <w:szCs w:val="20"/>
                <w:lang w:val="en-US"/>
              </w:rPr>
              <w:t>capacity</w:t>
            </w:r>
            <w:r w:rsidRPr="00944CDB">
              <w:rPr>
                <w:rFonts w:eastAsia="Times New Roman"/>
                <w:sz w:val="20"/>
                <w:szCs w:val="20"/>
                <w:lang w:val="en-US"/>
              </w:rPr>
              <w:t xml:space="preserve"> of the </w:t>
            </w:r>
            <w:r>
              <w:rPr>
                <w:rFonts w:eastAsia="Times New Roman"/>
                <w:sz w:val="20"/>
                <w:szCs w:val="20"/>
                <w:lang w:val="en-US"/>
              </w:rPr>
              <w:lastRenderedPageBreak/>
              <w:t>new</w:t>
            </w:r>
            <w:r w:rsidRPr="00944CDB">
              <w:rPr>
                <w:rFonts w:eastAsia="Times New Roman"/>
                <w:sz w:val="20"/>
                <w:szCs w:val="20"/>
                <w:lang w:val="en-US"/>
              </w:rPr>
              <w:t xml:space="preserve"> equipment</w:t>
            </w:r>
            <w:r>
              <w:rPr>
                <w:rFonts w:eastAsia="Times New Roman"/>
                <w:sz w:val="20"/>
                <w:szCs w:val="20"/>
                <w:lang w:val="en-US"/>
              </w:rPr>
              <w:t>, 200 MW by 2030</w:t>
            </w:r>
          </w:p>
        </w:tc>
        <w:tc>
          <w:tcPr>
            <w:tcW w:w="1134" w:type="dxa"/>
          </w:tcPr>
          <w:p w14:paraId="0662FCA8" w14:textId="77777777" w:rsidR="00C51D0F" w:rsidRPr="00555876" w:rsidRDefault="00C51D0F" w:rsidP="00C30D60">
            <w:pPr>
              <w:spacing w:before="0" w:after="0"/>
              <w:rPr>
                <w:rFonts w:eastAsia="Times New Roman"/>
                <w:sz w:val="20"/>
                <w:szCs w:val="20"/>
                <w:lang w:val="en-US"/>
              </w:rPr>
            </w:pPr>
          </w:p>
        </w:tc>
      </w:tr>
      <w:tr w:rsidR="00C51D0F" w:rsidRPr="00555876" w14:paraId="2F2596E1" w14:textId="45772659" w:rsidTr="00C51D0F">
        <w:tc>
          <w:tcPr>
            <w:tcW w:w="1809" w:type="dxa"/>
          </w:tcPr>
          <w:p w14:paraId="2D27EEB4"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 xml:space="preserve">To </w:t>
            </w:r>
            <w:r w:rsidRPr="00555876">
              <w:rPr>
                <w:rFonts w:eastAsia="Times New Roman"/>
                <w:sz w:val="20"/>
                <w:szCs w:val="20"/>
                <w:lang w:val="en-US"/>
              </w:rPr>
              <w:t xml:space="preserve">replace of </w:t>
            </w:r>
            <w:r w:rsidRPr="003A380A">
              <w:rPr>
                <w:rFonts w:eastAsia="Times New Roman"/>
                <w:bCs/>
                <w:sz w:val="20"/>
                <w:szCs w:val="20"/>
              </w:rPr>
              <w:t>inefficient</w:t>
            </w:r>
            <w:r w:rsidRPr="00555876">
              <w:rPr>
                <w:rFonts w:eastAsia="Times New Roman"/>
                <w:sz w:val="20"/>
                <w:szCs w:val="20"/>
                <w:lang w:val="en-US"/>
              </w:rPr>
              <w:t xml:space="preserve"> boilers with other RES technologies</w:t>
            </w:r>
            <w:r>
              <w:rPr>
                <w:rFonts w:eastAsia="Times New Roman"/>
                <w:sz w:val="20"/>
                <w:szCs w:val="20"/>
                <w:lang w:val="en-US"/>
              </w:rPr>
              <w:t xml:space="preserve"> or to connect to district heating system</w:t>
            </w:r>
          </w:p>
        </w:tc>
        <w:tc>
          <w:tcPr>
            <w:tcW w:w="1276" w:type="dxa"/>
            <w:vAlign w:val="center"/>
          </w:tcPr>
          <w:p w14:paraId="6FFD385E" w14:textId="77777777" w:rsidR="00C51D0F" w:rsidRPr="00555876" w:rsidRDefault="00C51D0F" w:rsidP="00C30D60">
            <w:pPr>
              <w:spacing w:before="0" w:after="0"/>
              <w:jc w:val="center"/>
              <w:rPr>
                <w:rFonts w:eastAsia="Times New Roman"/>
                <w:sz w:val="20"/>
                <w:szCs w:val="20"/>
                <w:lang w:val="en-US"/>
              </w:rPr>
            </w:pPr>
            <w:r>
              <w:rPr>
                <w:rFonts w:eastAsia="Times New Roman"/>
                <w:sz w:val="20"/>
                <w:szCs w:val="20"/>
                <w:lang w:val="en-US"/>
              </w:rPr>
              <w:t>To pr</w:t>
            </w:r>
            <w:r w:rsidRPr="00555876">
              <w:rPr>
                <w:rFonts w:eastAsia="Times New Roman"/>
                <w:sz w:val="20"/>
                <w:szCs w:val="20"/>
                <w:lang w:val="en-US"/>
              </w:rPr>
              <w:t>omot</w:t>
            </w:r>
            <w:r>
              <w:rPr>
                <w:rFonts w:eastAsia="Times New Roman"/>
                <w:sz w:val="20"/>
                <w:szCs w:val="20"/>
                <w:lang w:val="en-US"/>
              </w:rPr>
              <w:t>e</w:t>
            </w:r>
            <w:r w:rsidRPr="00555876">
              <w:rPr>
                <w:rFonts w:eastAsia="Times New Roman"/>
                <w:sz w:val="20"/>
                <w:szCs w:val="20"/>
                <w:lang w:val="en-US"/>
              </w:rPr>
              <w:t xml:space="preserve"> to use of RES in the sector of heating for households</w:t>
            </w:r>
          </w:p>
        </w:tc>
        <w:tc>
          <w:tcPr>
            <w:tcW w:w="1701" w:type="dxa"/>
          </w:tcPr>
          <w:p w14:paraId="60686B34"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2019-2022</w:t>
            </w:r>
          </w:p>
        </w:tc>
        <w:tc>
          <w:tcPr>
            <w:tcW w:w="1559" w:type="dxa"/>
          </w:tcPr>
          <w:p w14:paraId="20E589E0"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Ministry of Energy, Ministry of Environment</w:t>
            </w:r>
          </w:p>
        </w:tc>
        <w:tc>
          <w:tcPr>
            <w:tcW w:w="1418" w:type="dxa"/>
          </w:tcPr>
          <w:p w14:paraId="763F9A2F" w14:textId="77777777" w:rsidR="00C51D0F" w:rsidRDefault="00C51D0F" w:rsidP="00C30D60">
            <w:pPr>
              <w:spacing w:before="0" w:after="0"/>
              <w:rPr>
                <w:rFonts w:eastAsia="Times New Roman"/>
                <w:sz w:val="20"/>
                <w:szCs w:val="20"/>
                <w:lang w:val="en-US"/>
              </w:rPr>
            </w:pPr>
          </w:p>
        </w:tc>
        <w:tc>
          <w:tcPr>
            <w:tcW w:w="1417" w:type="dxa"/>
          </w:tcPr>
          <w:p w14:paraId="20E72401" w14:textId="444716B9" w:rsidR="00C51D0F" w:rsidRPr="00555876" w:rsidRDefault="00C51D0F" w:rsidP="00C30D60">
            <w:pPr>
              <w:spacing w:before="0" w:after="0"/>
              <w:rPr>
                <w:rFonts w:eastAsia="Times New Roman"/>
                <w:sz w:val="20"/>
                <w:szCs w:val="20"/>
                <w:lang w:val="en-US"/>
              </w:rPr>
            </w:pPr>
            <w:r>
              <w:rPr>
                <w:rFonts w:eastAsia="Times New Roman"/>
                <w:sz w:val="20"/>
                <w:szCs w:val="20"/>
                <w:lang w:val="en-US"/>
              </w:rPr>
              <w:t>De</w:t>
            </w:r>
            <w:r w:rsidRPr="00555876">
              <w:rPr>
                <w:rFonts w:eastAsia="Times New Roman"/>
                <w:sz w:val="20"/>
                <w:szCs w:val="20"/>
                <w:lang w:val="en-US"/>
              </w:rPr>
              <w:t>crease in the</w:t>
            </w:r>
          </w:p>
          <w:p w14:paraId="5E5CF4BB"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Energy consumption</w:t>
            </w:r>
            <w:r w:rsidRPr="00555876">
              <w:rPr>
                <w:rFonts w:eastAsia="Times New Roman"/>
                <w:sz w:val="20"/>
                <w:szCs w:val="20"/>
                <w:lang w:val="en-US"/>
              </w:rPr>
              <w:t xml:space="preserve"> </w:t>
            </w:r>
            <w:r>
              <w:rPr>
                <w:rFonts w:eastAsia="Times New Roman"/>
                <w:sz w:val="20"/>
                <w:szCs w:val="20"/>
                <w:lang w:val="en-US"/>
              </w:rPr>
              <w:t>in the households, 14 ktne by 2030</w:t>
            </w:r>
          </w:p>
        </w:tc>
        <w:tc>
          <w:tcPr>
            <w:tcW w:w="1134" w:type="dxa"/>
          </w:tcPr>
          <w:p w14:paraId="0706F8B5" w14:textId="77777777" w:rsidR="00C51D0F" w:rsidRDefault="00C51D0F" w:rsidP="00C30D60">
            <w:pPr>
              <w:spacing w:before="0" w:after="0"/>
              <w:rPr>
                <w:rFonts w:eastAsia="Times New Roman"/>
                <w:sz w:val="20"/>
                <w:szCs w:val="20"/>
                <w:lang w:val="en-US"/>
              </w:rPr>
            </w:pPr>
          </w:p>
        </w:tc>
      </w:tr>
      <w:tr w:rsidR="00C51D0F" w:rsidRPr="00555876" w14:paraId="19172DF9" w14:textId="0D63B3A9" w:rsidTr="00C51D0F">
        <w:tc>
          <w:tcPr>
            <w:tcW w:w="1809" w:type="dxa"/>
          </w:tcPr>
          <w:p w14:paraId="501A139F" w14:textId="77777777" w:rsidR="00C51D0F" w:rsidRPr="001814EC" w:rsidRDefault="00C51D0F" w:rsidP="00C30D60">
            <w:pPr>
              <w:spacing w:before="0" w:after="0"/>
              <w:rPr>
                <w:rFonts w:eastAsia="Times New Roman"/>
                <w:b/>
                <w:sz w:val="20"/>
                <w:szCs w:val="20"/>
                <w:lang w:val="en-US"/>
              </w:rPr>
            </w:pPr>
            <w:r w:rsidRPr="001814EC">
              <w:rPr>
                <w:rFonts w:eastAsia="Times New Roman"/>
                <w:b/>
                <w:sz w:val="20"/>
                <w:szCs w:val="20"/>
                <w:lang w:val="en-US"/>
              </w:rPr>
              <w:t>RES in transport sector</w:t>
            </w:r>
          </w:p>
        </w:tc>
        <w:tc>
          <w:tcPr>
            <w:tcW w:w="1276" w:type="dxa"/>
          </w:tcPr>
          <w:p w14:paraId="136FAB75" w14:textId="77777777" w:rsidR="00C51D0F" w:rsidRPr="00555876" w:rsidRDefault="00C51D0F" w:rsidP="00C30D60">
            <w:pPr>
              <w:spacing w:before="0" w:after="0"/>
              <w:rPr>
                <w:rFonts w:eastAsia="Times New Roman"/>
                <w:sz w:val="20"/>
                <w:szCs w:val="20"/>
                <w:lang w:val="en-US"/>
              </w:rPr>
            </w:pPr>
          </w:p>
        </w:tc>
        <w:tc>
          <w:tcPr>
            <w:tcW w:w="1701" w:type="dxa"/>
          </w:tcPr>
          <w:p w14:paraId="3E11622C" w14:textId="77777777" w:rsidR="00C51D0F" w:rsidRPr="00555876" w:rsidRDefault="00C51D0F" w:rsidP="00C30D60">
            <w:pPr>
              <w:spacing w:before="0" w:after="0"/>
              <w:rPr>
                <w:rFonts w:eastAsia="Times New Roman"/>
                <w:sz w:val="20"/>
                <w:szCs w:val="20"/>
                <w:lang w:val="en-US"/>
              </w:rPr>
            </w:pPr>
          </w:p>
        </w:tc>
        <w:tc>
          <w:tcPr>
            <w:tcW w:w="1559" w:type="dxa"/>
          </w:tcPr>
          <w:p w14:paraId="3BF01471" w14:textId="77777777" w:rsidR="00C51D0F" w:rsidRPr="00555876" w:rsidRDefault="00C51D0F" w:rsidP="00C30D60">
            <w:pPr>
              <w:spacing w:before="0" w:after="0"/>
              <w:rPr>
                <w:rFonts w:eastAsia="Times New Roman"/>
                <w:sz w:val="20"/>
                <w:szCs w:val="20"/>
                <w:lang w:val="en-US"/>
              </w:rPr>
            </w:pPr>
          </w:p>
        </w:tc>
        <w:tc>
          <w:tcPr>
            <w:tcW w:w="1418" w:type="dxa"/>
          </w:tcPr>
          <w:p w14:paraId="2DBC3C04" w14:textId="77777777" w:rsidR="00C51D0F" w:rsidRPr="00555876" w:rsidRDefault="00C51D0F" w:rsidP="00C30D60">
            <w:pPr>
              <w:spacing w:before="0" w:after="0"/>
              <w:rPr>
                <w:rFonts w:eastAsia="Times New Roman"/>
                <w:sz w:val="20"/>
                <w:szCs w:val="20"/>
                <w:lang w:val="en-US"/>
              </w:rPr>
            </w:pPr>
          </w:p>
        </w:tc>
        <w:tc>
          <w:tcPr>
            <w:tcW w:w="1417" w:type="dxa"/>
          </w:tcPr>
          <w:p w14:paraId="044D0075" w14:textId="7DFEA992" w:rsidR="00C51D0F" w:rsidRPr="00555876" w:rsidRDefault="00C51D0F" w:rsidP="00C30D60">
            <w:pPr>
              <w:spacing w:before="0" w:after="0"/>
              <w:rPr>
                <w:rFonts w:eastAsia="Times New Roman"/>
                <w:sz w:val="20"/>
                <w:szCs w:val="20"/>
                <w:lang w:val="en-US"/>
              </w:rPr>
            </w:pPr>
          </w:p>
        </w:tc>
        <w:tc>
          <w:tcPr>
            <w:tcW w:w="1134" w:type="dxa"/>
          </w:tcPr>
          <w:p w14:paraId="44F01AAF" w14:textId="77777777" w:rsidR="00C51D0F" w:rsidRPr="00555876" w:rsidRDefault="00C51D0F" w:rsidP="00C30D60">
            <w:pPr>
              <w:spacing w:before="0" w:after="0"/>
              <w:rPr>
                <w:rFonts w:eastAsia="Times New Roman"/>
                <w:sz w:val="20"/>
                <w:szCs w:val="20"/>
                <w:lang w:val="en-US"/>
              </w:rPr>
            </w:pPr>
          </w:p>
        </w:tc>
      </w:tr>
      <w:tr w:rsidR="00C51D0F" w:rsidRPr="00555876" w14:paraId="7B8E4954" w14:textId="507A4BA1" w:rsidTr="00C51D0F">
        <w:tc>
          <w:tcPr>
            <w:tcW w:w="1809" w:type="dxa"/>
          </w:tcPr>
          <w:p w14:paraId="294B560B"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promote</w:t>
            </w:r>
            <w:r w:rsidRPr="00555876">
              <w:rPr>
                <w:rFonts w:eastAsia="Times New Roman"/>
                <w:sz w:val="20"/>
                <w:szCs w:val="20"/>
                <w:lang w:val="en-US"/>
              </w:rPr>
              <w:t xml:space="preserve"> production of I generation</w:t>
            </w:r>
            <w:r>
              <w:rPr>
                <w:rFonts w:eastAsia="Times New Roman"/>
                <w:sz w:val="20"/>
                <w:szCs w:val="20"/>
                <w:lang w:val="en-US"/>
              </w:rPr>
              <w:t xml:space="preserve"> biofuels</w:t>
            </w:r>
          </w:p>
        </w:tc>
        <w:tc>
          <w:tcPr>
            <w:tcW w:w="1276" w:type="dxa"/>
            <w:vMerge w:val="restart"/>
            <w:vAlign w:val="center"/>
          </w:tcPr>
          <w:p w14:paraId="4A309A65" w14:textId="77777777" w:rsidR="00C51D0F" w:rsidRPr="00555876" w:rsidRDefault="00C51D0F" w:rsidP="00C30D60">
            <w:pPr>
              <w:spacing w:before="0" w:after="0"/>
              <w:jc w:val="center"/>
              <w:rPr>
                <w:rFonts w:eastAsia="Times New Roman"/>
                <w:sz w:val="20"/>
                <w:szCs w:val="20"/>
                <w:lang w:val="en-US"/>
              </w:rPr>
            </w:pPr>
            <w:r>
              <w:rPr>
                <w:rFonts w:eastAsia="Times New Roman"/>
                <w:sz w:val="20"/>
                <w:szCs w:val="20"/>
                <w:lang w:val="en-US"/>
              </w:rPr>
              <w:t>T</w:t>
            </w:r>
            <w:r w:rsidRPr="00426193">
              <w:rPr>
                <w:rFonts w:eastAsia="Times New Roman"/>
                <w:sz w:val="20"/>
                <w:szCs w:val="20"/>
                <w:lang w:val="en-US"/>
              </w:rPr>
              <w:t xml:space="preserve">o increase the share of RES in the </w:t>
            </w:r>
            <w:r>
              <w:rPr>
                <w:rFonts w:eastAsia="Times New Roman"/>
                <w:sz w:val="20"/>
                <w:szCs w:val="20"/>
                <w:lang w:val="en-US"/>
              </w:rPr>
              <w:t>transport sector by 15% by 2030</w:t>
            </w:r>
          </w:p>
        </w:tc>
        <w:tc>
          <w:tcPr>
            <w:tcW w:w="1701" w:type="dxa"/>
          </w:tcPr>
          <w:p w14:paraId="459FE996"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2019-2030</w:t>
            </w:r>
          </w:p>
        </w:tc>
        <w:tc>
          <w:tcPr>
            <w:tcW w:w="1559" w:type="dxa"/>
          </w:tcPr>
          <w:p w14:paraId="22D0F19E" w14:textId="77777777" w:rsidR="00C51D0F" w:rsidRDefault="00C51D0F" w:rsidP="00C30D60">
            <w:pPr>
              <w:spacing w:before="0" w:after="0"/>
              <w:rPr>
                <w:rFonts w:eastAsia="Times New Roman"/>
                <w:sz w:val="20"/>
                <w:szCs w:val="20"/>
                <w:lang w:val="en-US"/>
              </w:rPr>
            </w:pPr>
            <w:r>
              <w:rPr>
                <w:rFonts w:eastAsia="Times New Roman"/>
                <w:sz w:val="20"/>
                <w:szCs w:val="20"/>
                <w:lang w:val="en-US"/>
              </w:rPr>
              <w:t>Fuel suppliers,</w:t>
            </w:r>
          </w:p>
          <w:p w14:paraId="44D1F0DF"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Ministry of Energy, Ministry of Environment, Ministry of Transport and Communication</w:t>
            </w:r>
          </w:p>
        </w:tc>
        <w:tc>
          <w:tcPr>
            <w:tcW w:w="1418" w:type="dxa"/>
          </w:tcPr>
          <w:p w14:paraId="23A39B59" w14:textId="77777777" w:rsidR="00C51D0F" w:rsidRPr="00555876" w:rsidRDefault="00C51D0F" w:rsidP="00C30D60">
            <w:pPr>
              <w:spacing w:before="0" w:after="0"/>
              <w:rPr>
                <w:rFonts w:eastAsia="Times New Roman"/>
                <w:sz w:val="20"/>
                <w:szCs w:val="20"/>
                <w:lang w:val="en-US"/>
              </w:rPr>
            </w:pPr>
          </w:p>
        </w:tc>
        <w:tc>
          <w:tcPr>
            <w:tcW w:w="1417" w:type="dxa"/>
          </w:tcPr>
          <w:p w14:paraId="451276E0" w14:textId="65811230"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Increase in the</w:t>
            </w:r>
          </w:p>
          <w:p w14:paraId="70673D5F"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production of</w:t>
            </w:r>
          </w:p>
          <w:p w14:paraId="43AA6916"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I generation biofuels, 7% by 2030</w:t>
            </w:r>
          </w:p>
        </w:tc>
        <w:tc>
          <w:tcPr>
            <w:tcW w:w="1134" w:type="dxa"/>
          </w:tcPr>
          <w:p w14:paraId="7EB436DA" w14:textId="77777777" w:rsidR="00C51D0F" w:rsidRPr="00555876" w:rsidRDefault="00C51D0F" w:rsidP="00C30D60">
            <w:pPr>
              <w:spacing w:before="0" w:after="0"/>
              <w:rPr>
                <w:rFonts w:eastAsia="Times New Roman"/>
                <w:sz w:val="20"/>
                <w:szCs w:val="20"/>
                <w:lang w:val="en-US"/>
              </w:rPr>
            </w:pPr>
          </w:p>
        </w:tc>
      </w:tr>
      <w:tr w:rsidR="00C51D0F" w:rsidRPr="00555876" w14:paraId="0FA018BD" w14:textId="5FE4836B" w:rsidTr="00C51D0F">
        <w:tc>
          <w:tcPr>
            <w:tcW w:w="1809" w:type="dxa"/>
          </w:tcPr>
          <w:p w14:paraId="1CA021A4"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promote</w:t>
            </w:r>
            <w:r w:rsidRPr="00555876">
              <w:rPr>
                <w:rFonts w:eastAsia="Times New Roman"/>
                <w:sz w:val="20"/>
                <w:szCs w:val="20"/>
                <w:lang w:val="en-US"/>
              </w:rPr>
              <w:t xml:space="preserve"> production of II generation</w:t>
            </w:r>
            <w:r>
              <w:rPr>
                <w:rFonts w:eastAsia="Times New Roman"/>
                <w:sz w:val="20"/>
                <w:szCs w:val="20"/>
                <w:lang w:val="en-US"/>
              </w:rPr>
              <w:t xml:space="preserve"> biofuels</w:t>
            </w:r>
          </w:p>
        </w:tc>
        <w:tc>
          <w:tcPr>
            <w:tcW w:w="1276" w:type="dxa"/>
            <w:vMerge/>
          </w:tcPr>
          <w:p w14:paraId="46374973" w14:textId="77777777" w:rsidR="00C51D0F" w:rsidRPr="00555876" w:rsidRDefault="00C51D0F" w:rsidP="00C30D60">
            <w:pPr>
              <w:spacing w:before="0" w:after="0"/>
              <w:rPr>
                <w:rFonts w:eastAsia="Times New Roman"/>
                <w:sz w:val="20"/>
                <w:szCs w:val="20"/>
                <w:lang w:val="en-US"/>
              </w:rPr>
            </w:pPr>
          </w:p>
        </w:tc>
        <w:tc>
          <w:tcPr>
            <w:tcW w:w="1701" w:type="dxa"/>
          </w:tcPr>
          <w:p w14:paraId="52099572"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2019-2030</w:t>
            </w:r>
          </w:p>
        </w:tc>
        <w:tc>
          <w:tcPr>
            <w:tcW w:w="1559" w:type="dxa"/>
          </w:tcPr>
          <w:p w14:paraId="54B719FE"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 xml:space="preserve">Ministry of Energy </w:t>
            </w:r>
          </w:p>
        </w:tc>
        <w:tc>
          <w:tcPr>
            <w:tcW w:w="1418" w:type="dxa"/>
          </w:tcPr>
          <w:p w14:paraId="1734E38E" w14:textId="77777777" w:rsidR="00C51D0F" w:rsidRPr="00555876" w:rsidRDefault="00C51D0F" w:rsidP="00C30D60">
            <w:pPr>
              <w:spacing w:before="0" w:after="0"/>
              <w:rPr>
                <w:rFonts w:eastAsia="Times New Roman"/>
                <w:sz w:val="20"/>
                <w:szCs w:val="20"/>
                <w:lang w:val="en-US"/>
              </w:rPr>
            </w:pPr>
          </w:p>
        </w:tc>
        <w:tc>
          <w:tcPr>
            <w:tcW w:w="1417" w:type="dxa"/>
          </w:tcPr>
          <w:p w14:paraId="0F6D0E7A" w14:textId="3DA8FE69"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Increase in the</w:t>
            </w:r>
          </w:p>
          <w:p w14:paraId="65D112B1"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production of</w:t>
            </w:r>
          </w:p>
          <w:p w14:paraId="20C70F3B"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I generation biofuels, 3,5% by 2030</w:t>
            </w:r>
          </w:p>
        </w:tc>
        <w:tc>
          <w:tcPr>
            <w:tcW w:w="1134" w:type="dxa"/>
          </w:tcPr>
          <w:p w14:paraId="5C928EFD" w14:textId="77777777" w:rsidR="00C51D0F" w:rsidRPr="00555876" w:rsidRDefault="00C51D0F" w:rsidP="00C30D60">
            <w:pPr>
              <w:spacing w:before="0" w:after="0"/>
              <w:rPr>
                <w:rFonts w:eastAsia="Times New Roman"/>
                <w:sz w:val="20"/>
                <w:szCs w:val="20"/>
                <w:lang w:val="en-US"/>
              </w:rPr>
            </w:pPr>
          </w:p>
        </w:tc>
      </w:tr>
      <w:tr w:rsidR="00C51D0F" w:rsidRPr="00555876" w14:paraId="5F5E6685" w14:textId="15CAC5D1" w:rsidTr="00C51D0F">
        <w:tc>
          <w:tcPr>
            <w:tcW w:w="1809" w:type="dxa"/>
          </w:tcPr>
          <w:p w14:paraId="0BE1B705"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provide f</w:t>
            </w:r>
            <w:r w:rsidRPr="00555876">
              <w:rPr>
                <w:rFonts w:eastAsia="Times New Roman"/>
                <w:sz w:val="20"/>
                <w:szCs w:val="20"/>
                <w:lang w:val="en-US"/>
              </w:rPr>
              <w:t>inancial support for biomethane used in transport</w:t>
            </w:r>
          </w:p>
        </w:tc>
        <w:tc>
          <w:tcPr>
            <w:tcW w:w="1276" w:type="dxa"/>
            <w:vMerge/>
          </w:tcPr>
          <w:p w14:paraId="6D3702AC" w14:textId="77777777" w:rsidR="00C51D0F" w:rsidRPr="00555876" w:rsidRDefault="00C51D0F" w:rsidP="00C30D60">
            <w:pPr>
              <w:spacing w:before="0" w:after="0"/>
              <w:rPr>
                <w:rFonts w:eastAsia="Times New Roman"/>
                <w:sz w:val="20"/>
                <w:szCs w:val="20"/>
                <w:lang w:val="en-US"/>
              </w:rPr>
            </w:pPr>
          </w:p>
        </w:tc>
        <w:tc>
          <w:tcPr>
            <w:tcW w:w="1701" w:type="dxa"/>
          </w:tcPr>
          <w:p w14:paraId="726E61BD"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2019-2030</w:t>
            </w:r>
          </w:p>
        </w:tc>
        <w:tc>
          <w:tcPr>
            <w:tcW w:w="1559" w:type="dxa"/>
          </w:tcPr>
          <w:p w14:paraId="0FA8872D"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Ministry of Agriculture, Ministry of Environment, Ministry of Energy</w:t>
            </w:r>
          </w:p>
        </w:tc>
        <w:tc>
          <w:tcPr>
            <w:tcW w:w="1418" w:type="dxa"/>
          </w:tcPr>
          <w:p w14:paraId="11F343B4" w14:textId="77777777" w:rsidR="00C51D0F" w:rsidRPr="00555876" w:rsidRDefault="00C51D0F" w:rsidP="00C30D60">
            <w:pPr>
              <w:spacing w:before="0" w:after="0"/>
              <w:rPr>
                <w:rFonts w:eastAsia="Times New Roman"/>
                <w:sz w:val="20"/>
                <w:szCs w:val="20"/>
                <w:lang w:val="en-US"/>
              </w:rPr>
            </w:pPr>
          </w:p>
        </w:tc>
        <w:tc>
          <w:tcPr>
            <w:tcW w:w="1417" w:type="dxa"/>
          </w:tcPr>
          <w:p w14:paraId="4F567208" w14:textId="03E20C01"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Increase in the</w:t>
            </w:r>
          </w:p>
          <w:p w14:paraId="42618EF3"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consumption of</w:t>
            </w:r>
          </w:p>
          <w:p w14:paraId="33B5C54A"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biomethane in transport</w:t>
            </w:r>
            <w:r>
              <w:rPr>
                <w:rFonts w:eastAsia="Times New Roman"/>
                <w:sz w:val="20"/>
                <w:szCs w:val="20"/>
                <w:lang w:val="en-US"/>
              </w:rPr>
              <w:t>, 52,4 ktne by 2022</w:t>
            </w:r>
          </w:p>
        </w:tc>
        <w:tc>
          <w:tcPr>
            <w:tcW w:w="1134" w:type="dxa"/>
          </w:tcPr>
          <w:p w14:paraId="1F13B2F4" w14:textId="77777777" w:rsidR="00C51D0F" w:rsidRPr="00555876" w:rsidRDefault="00C51D0F" w:rsidP="00C30D60">
            <w:pPr>
              <w:spacing w:before="0" w:after="0"/>
              <w:rPr>
                <w:rFonts w:eastAsia="Times New Roman"/>
                <w:sz w:val="20"/>
                <w:szCs w:val="20"/>
                <w:lang w:val="en-US"/>
              </w:rPr>
            </w:pPr>
          </w:p>
        </w:tc>
      </w:tr>
      <w:tr w:rsidR="00C51D0F" w:rsidRPr="00555876" w14:paraId="1A85992A" w14:textId="728800DD" w:rsidTr="00C51D0F">
        <w:tc>
          <w:tcPr>
            <w:tcW w:w="1809" w:type="dxa"/>
          </w:tcPr>
          <w:p w14:paraId="438FF6D3"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provide f</w:t>
            </w:r>
            <w:r w:rsidRPr="00555876">
              <w:rPr>
                <w:rFonts w:eastAsia="Times New Roman"/>
                <w:sz w:val="20"/>
                <w:szCs w:val="20"/>
                <w:lang w:val="en-US"/>
              </w:rPr>
              <w:t>inancial support for biodiesel produced from</w:t>
            </w:r>
            <w:r w:rsidRPr="00555876">
              <w:rPr>
                <w:rFonts w:eastAsia="Times New Roman"/>
                <w:color w:val="333333"/>
                <w:sz w:val="20"/>
                <w:szCs w:val="20"/>
                <w:lang w:val="en-US"/>
              </w:rPr>
              <w:t xml:space="preserve"> </w:t>
            </w:r>
            <w:r w:rsidRPr="00555876">
              <w:rPr>
                <w:rFonts w:eastAsia="Times New Roman"/>
                <w:sz w:val="20"/>
                <w:szCs w:val="20"/>
                <w:lang w:val="en-US"/>
              </w:rPr>
              <w:t>used cooking oil</w:t>
            </w:r>
          </w:p>
        </w:tc>
        <w:tc>
          <w:tcPr>
            <w:tcW w:w="1276" w:type="dxa"/>
            <w:vMerge/>
          </w:tcPr>
          <w:p w14:paraId="04FCD5D2" w14:textId="77777777" w:rsidR="00C51D0F" w:rsidRPr="00555876" w:rsidRDefault="00C51D0F" w:rsidP="00C30D60">
            <w:pPr>
              <w:spacing w:before="0" w:after="0"/>
              <w:rPr>
                <w:rFonts w:eastAsia="Times New Roman"/>
                <w:sz w:val="20"/>
                <w:szCs w:val="20"/>
                <w:lang w:val="en-US"/>
              </w:rPr>
            </w:pPr>
          </w:p>
        </w:tc>
        <w:tc>
          <w:tcPr>
            <w:tcW w:w="1701" w:type="dxa"/>
          </w:tcPr>
          <w:p w14:paraId="72A3929B"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2019-2022</w:t>
            </w:r>
          </w:p>
        </w:tc>
        <w:tc>
          <w:tcPr>
            <w:tcW w:w="1559" w:type="dxa"/>
          </w:tcPr>
          <w:p w14:paraId="083C42CB"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Ministry of Energy</w:t>
            </w:r>
          </w:p>
        </w:tc>
        <w:tc>
          <w:tcPr>
            <w:tcW w:w="1418" w:type="dxa"/>
          </w:tcPr>
          <w:p w14:paraId="3B28677D" w14:textId="77777777" w:rsidR="00C51D0F" w:rsidRPr="00555876" w:rsidRDefault="00C51D0F" w:rsidP="00C30D60">
            <w:pPr>
              <w:spacing w:before="0" w:after="0"/>
              <w:rPr>
                <w:rFonts w:eastAsia="Times New Roman"/>
                <w:sz w:val="20"/>
                <w:szCs w:val="20"/>
                <w:lang w:val="en-US"/>
              </w:rPr>
            </w:pPr>
          </w:p>
        </w:tc>
        <w:tc>
          <w:tcPr>
            <w:tcW w:w="1417" w:type="dxa"/>
          </w:tcPr>
          <w:p w14:paraId="0ADB0A3D" w14:textId="08583651"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Increase in the</w:t>
            </w:r>
          </w:p>
          <w:p w14:paraId="10248B3F"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consumption of</w:t>
            </w:r>
          </w:p>
          <w:p w14:paraId="64FEB57E"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biodiesel in transport</w:t>
            </w:r>
            <w:r>
              <w:rPr>
                <w:rFonts w:eastAsia="Times New Roman"/>
                <w:sz w:val="20"/>
                <w:szCs w:val="20"/>
                <w:lang w:val="en-US"/>
              </w:rPr>
              <w:t>, 16 ktne by 2022</w:t>
            </w:r>
          </w:p>
        </w:tc>
        <w:tc>
          <w:tcPr>
            <w:tcW w:w="1134" w:type="dxa"/>
          </w:tcPr>
          <w:p w14:paraId="6696115F" w14:textId="77777777" w:rsidR="00C51D0F" w:rsidRPr="00555876" w:rsidRDefault="00C51D0F" w:rsidP="00C30D60">
            <w:pPr>
              <w:spacing w:before="0" w:after="0"/>
              <w:rPr>
                <w:rFonts w:eastAsia="Times New Roman"/>
                <w:sz w:val="20"/>
                <w:szCs w:val="20"/>
                <w:lang w:val="en-US"/>
              </w:rPr>
            </w:pPr>
          </w:p>
        </w:tc>
      </w:tr>
      <w:tr w:rsidR="00C51D0F" w:rsidRPr="00555876" w14:paraId="0A3406AC" w14:textId="5AC9A88E" w:rsidTr="00C51D0F">
        <w:tc>
          <w:tcPr>
            <w:tcW w:w="1809" w:type="dxa"/>
          </w:tcPr>
          <w:p w14:paraId="12519370"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obligate to blend biomethane to gas</w:t>
            </w:r>
          </w:p>
        </w:tc>
        <w:tc>
          <w:tcPr>
            <w:tcW w:w="1276" w:type="dxa"/>
            <w:vMerge/>
          </w:tcPr>
          <w:p w14:paraId="5E91E57C" w14:textId="77777777" w:rsidR="00C51D0F" w:rsidRPr="00555876" w:rsidRDefault="00C51D0F" w:rsidP="00C30D60">
            <w:pPr>
              <w:spacing w:before="0" w:after="0"/>
              <w:rPr>
                <w:rFonts w:eastAsia="Times New Roman"/>
                <w:sz w:val="20"/>
                <w:szCs w:val="20"/>
                <w:lang w:val="en-US"/>
              </w:rPr>
            </w:pPr>
          </w:p>
        </w:tc>
        <w:tc>
          <w:tcPr>
            <w:tcW w:w="1701" w:type="dxa"/>
          </w:tcPr>
          <w:p w14:paraId="1E1DAFEC"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2020-2030</w:t>
            </w:r>
          </w:p>
        </w:tc>
        <w:tc>
          <w:tcPr>
            <w:tcW w:w="1559" w:type="dxa"/>
          </w:tcPr>
          <w:p w14:paraId="73F2BD75"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Ministry of Energy</w:t>
            </w:r>
          </w:p>
        </w:tc>
        <w:tc>
          <w:tcPr>
            <w:tcW w:w="1418" w:type="dxa"/>
          </w:tcPr>
          <w:p w14:paraId="494E193D" w14:textId="77777777" w:rsidR="00C51D0F" w:rsidRPr="00555876" w:rsidRDefault="00C51D0F" w:rsidP="00C30D60">
            <w:pPr>
              <w:spacing w:before="0" w:after="0"/>
              <w:rPr>
                <w:rFonts w:eastAsia="Times New Roman"/>
                <w:sz w:val="20"/>
                <w:szCs w:val="20"/>
                <w:lang w:val="en-US"/>
              </w:rPr>
            </w:pPr>
          </w:p>
        </w:tc>
        <w:tc>
          <w:tcPr>
            <w:tcW w:w="1417" w:type="dxa"/>
          </w:tcPr>
          <w:p w14:paraId="425B31B5" w14:textId="7954E7D0"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Increase in the</w:t>
            </w:r>
          </w:p>
          <w:p w14:paraId="3F8EBE80"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consumption of</w:t>
            </w:r>
          </w:p>
          <w:p w14:paraId="622F14DB"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biomethane</w:t>
            </w:r>
          </w:p>
          <w:p w14:paraId="43400607"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in transport</w:t>
            </w:r>
            <w:r>
              <w:rPr>
                <w:rFonts w:eastAsia="Times New Roman"/>
                <w:sz w:val="20"/>
                <w:szCs w:val="20"/>
                <w:lang w:val="en-US"/>
              </w:rPr>
              <w:t>, 1% by 2030</w:t>
            </w:r>
          </w:p>
        </w:tc>
        <w:tc>
          <w:tcPr>
            <w:tcW w:w="1134" w:type="dxa"/>
          </w:tcPr>
          <w:p w14:paraId="0554442E" w14:textId="77777777" w:rsidR="00C51D0F" w:rsidRPr="00555876" w:rsidRDefault="00C51D0F" w:rsidP="00C30D60">
            <w:pPr>
              <w:spacing w:before="0" w:after="0"/>
              <w:rPr>
                <w:rFonts w:eastAsia="Times New Roman"/>
                <w:sz w:val="20"/>
                <w:szCs w:val="20"/>
                <w:lang w:val="en-US"/>
              </w:rPr>
            </w:pPr>
          </w:p>
        </w:tc>
      </w:tr>
      <w:tr w:rsidR="00C51D0F" w:rsidRPr="00555876" w14:paraId="2E8D498D" w14:textId="0B720B1F" w:rsidTr="00C51D0F">
        <w:tc>
          <w:tcPr>
            <w:tcW w:w="1809" w:type="dxa"/>
          </w:tcPr>
          <w:p w14:paraId="08F0BCF2"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e</w:t>
            </w:r>
            <w:r w:rsidRPr="00555876">
              <w:rPr>
                <w:rFonts w:eastAsia="Times New Roman"/>
                <w:sz w:val="20"/>
                <w:szCs w:val="20"/>
                <w:lang w:val="en-US"/>
              </w:rPr>
              <w:t xml:space="preserve">stablish a favorable regulatory environment for </w:t>
            </w:r>
            <w:r w:rsidRPr="00555876">
              <w:rPr>
                <w:rFonts w:eastAsia="Times New Roman"/>
                <w:sz w:val="20"/>
                <w:szCs w:val="20"/>
                <w:lang w:val="en-US"/>
              </w:rPr>
              <w:lastRenderedPageBreak/>
              <w:t>trade of guarantee of origin</w:t>
            </w:r>
          </w:p>
        </w:tc>
        <w:tc>
          <w:tcPr>
            <w:tcW w:w="1276" w:type="dxa"/>
            <w:vMerge/>
          </w:tcPr>
          <w:p w14:paraId="168D35D5" w14:textId="77777777" w:rsidR="00C51D0F" w:rsidRPr="00555876" w:rsidRDefault="00C51D0F" w:rsidP="00C30D60">
            <w:pPr>
              <w:spacing w:before="0" w:after="0"/>
              <w:rPr>
                <w:rFonts w:eastAsia="Times New Roman"/>
                <w:sz w:val="20"/>
                <w:szCs w:val="20"/>
                <w:lang w:val="en-US"/>
              </w:rPr>
            </w:pPr>
          </w:p>
        </w:tc>
        <w:tc>
          <w:tcPr>
            <w:tcW w:w="1701" w:type="dxa"/>
          </w:tcPr>
          <w:p w14:paraId="4256DC68"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2018-2030</w:t>
            </w:r>
          </w:p>
        </w:tc>
        <w:tc>
          <w:tcPr>
            <w:tcW w:w="1559" w:type="dxa"/>
          </w:tcPr>
          <w:p w14:paraId="19526C2F"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Ministry of Energy</w:t>
            </w:r>
          </w:p>
        </w:tc>
        <w:tc>
          <w:tcPr>
            <w:tcW w:w="1418" w:type="dxa"/>
          </w:tcPr>
          <w:p w14:paraId="597983E4" w14:textId="77777777" w:rsidR="00C51D0F" w:rsidRPr="00555876" w:rsidRDefault="00C51D0F" w:rsidP="00C30D60">
            <w:pPr>
              <w:spacing w:before="0" w:after="0"/>
              <w:rPr>
                <w:rFonts w:eastAsia="Times New Roman"/>
                <w:sz w:val="20"/>
                <w:szCs w:val="20"/>
                <w:lang w:val="en-US"/>
              </w:rPr>
            </w:pPr>
          </w:p>
        </w:tc>
        <w:tc>
          <w:tcPr>
            <w:tcW w:w="1417" w:type="dxa"/>
          </w:tcPr>
          <w:p w14:paraId="0A0CF7DB" w14:textId="26DF241F"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Increase in the biogas producers</w:t>
            </w:r>
            <w:r>
              <w:t xml:space="preserve"> </w:t>
            </w:r>
            <w:r w:rsidRPr="00B21476">
              <w:rPr>
                <w:rFonts w:eastAsia="Times New Roman"/>
                <w:sz w:val="20"/>
                <w:szCs w:val="20"/>
                <w:lang w:val="en-US"/>
              </w:rPr>
              <w:t xml:space="preserve">registered in </w:t>
            </w:r>
            <w:r w:rsidRPr="00B21476">
              <w:rPr>
                <w:rFonts w:eastAsia="Times New Roman"/>
                <w:sz w:val="20"/>
                <w:szCs w:val="20"/>
                <w:lang w:val="en-US"/>
              </w:rPr>
              <w:lastRenderedPageBreak/>
              <w:t>the register of guarantees of origin</w:t>
            </w:r>
            <w:r>
              <w:rPr>
                <w:rFonts w:eastAsia="Times New Roman"/>
                <w:sz w:val="20"/>
                <w:szCs w:val="20"/>
                <w:lang w:val="en-US"/>
              </w:rPr>
              <w:t>, 100% by 2030</w:t>
            </w:r>
          </w:p>
        </w:tc>
        <w:tc>
          <w:tcPr>
            <w:tcW w:w="1134" w:type="dxa"/>
          </w:tcPr>
          <w:p w14:paraId="3121527E" w14:textId="77777777" w:rsidR="00C51D0F" w:rsidRPr="00555876" w:rsidRDefault="00C51D0F" w:rsidP="00C30D60">
            <w:pPr>
              <w:spacing w:before="0" w:after="0"/>
              <w:rPr>
                <w:rFonts w:eastAsia="Times New Roman"/>
                <w:sz w:val="20"/>
                <w:szCs w:val="20"/>
                <w:lang w:val="en-US"/>
              </w:rPr>
            </w:pPr>
          </w:p>
        </w:tc>
      </w:tr>
      <w:tr w:rsidR="00C51D0F" w:rsidRPr="00555876" w14:paraId="7BA3AC7B" w14:textId="1E48AC1A" w:rsidTr="00C51D0F">
        <w:tc>
          <w:tcPr>
            <w:tcW w:w="1809" w:type="dxa"/>
          </w:tcPr>
          <w:p w14:paraId="7D4B7A83" w14:textId="77777777" w:rsidR="00C51D0F" w:rsidRPr="00555876" w:rsidRDefault="00C51D0F" w:rsidP="00C30D60">
            <w:pPr>
              <w:spacing w:before="0" w:after="0"/>
              <w:rPr>
                <w:rFonts w:eastAsia="Times New Roman"/>
                <w:sz w:val="20"/>
                <w:szCs w:val="20"/>
                <w:lang w:val="en-US"/>
              </w:rPr>
            </w:pPr>
            <w:r>
              <w:rPr>
                <w:rFonts w:eastAsia="Times New Roman"/>
                <w:sz w:val="20"/>
                <w:szCs w:val="20"/>
                <w:lang w:val="en-US"/>
              </w:rPr>
              <w:t>To d</w:t>
            </w:r>
            <w:r w:rsidRPr="00555876">
              <w:rPr>
                <w:rFonts w:eastAsia="Times New Roman"/>
                <w:sz w:val="20"/>
                <w:szCs w:val="20"/>
                <w:lang w:val="en-US"/>
              </w:rPr>
              <w:t xml:space="preserve">evelopment infrastructure of biomethane </w:t>
            </w:r>
          </w:p>
        </w:tc>
        <w:tc>
          <w:tcPr>
            <w:tcW w:w="1276" w:type="dxa"/>
            <w:vMerge/>
          </w:tcPr>
          <w:p w14:paraId="53A8010E" w14:textId="77777777" w:rsidR="00C51D0F" w:rsidRPr="00555876" w:rsidRDefault="00C51D0F" w:rsidP="00C30D60">
            <w:pPr>
              <w:spacing w:before="0" w:after="0"/>
              <w:rPr>
                <w:rFonts w:eastAsia="Times New Roman"/>
                <w:sz w:val="20"/>
                <w:szCs w:val="20"/>
                <w:lang w:val="en-US"/>
              </w:rPr>
            </w:pPr>
          </w:p>
        </w:tc>
        <w:tc>
          <w:tcPr>
            <w:tcW w:w="1701" w:type="dxa"/>
          </w:tcPr>
          <w:p w14:paraId="6F3D4D86" w14:textId="77777777"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 xml:space="preserve"> </w:t>
            </w:r>
            <w:r>
              <w:rPr>
                <w:rFonts w:eastAsia="Times New Roman"/>
                <w:sz w:val="20"/>
                <w:szCs w:val="20"/>
                <w:lang w:val="en-US"/>
              </w:rPr>
              <w:t>2019-2030</w:t>
            </w:r>
          </w:p>
        </w:tc>
        <w:tc>
          <w:tcPr>
            <w:tcW w:w="1559" w:type="dxa"/>
          </w:tcPr>
          <w:p w14:paraId="1DD40CE9" w14:textId="77777777" w:rsidR="00C51D0F" w:rsidRPr="00555876" w:rsidRDefault="00C51D0F" w:rsidP="00C30D60">
            <w:pPr>
              <w:spacing w:before="0" w:after="0"/>
              <w:rPr>
                <w:rFonts w:eastAsia="Times New Roman"/>
                <w:sz w:val="20"/>
                <w:szCs w:val="20"/>
                <w:lang w:val="en-US"/>
              </w:rPr>
            </w:pPr>
            <w:r w:rsidRPr="00324C22">
              <w:rPr>
                <w:rFonts w:eastAsia="Times New Roman"/>
                <w:sz w:val="20"/>
                <w:szCs w:val="20"/>
                <w:lang w:val="en-US"/>
              </w:rPr>
              <w:t>Municipalities</w:t>
            </w:r>
            <w:r>
              <w:rPr>
                <w:rFonts w:eastAsia="Times New Roman"/>
                <w:sz w:val="20"/>
                <w:szCs w:val="20"/>
                <w:lang w:val="en-US"/>
              </w:rPr>
              <w:t>, Ministry of Transport and Communication, Ministry of Energy</w:t>
            </w:r>
          </w:p>
        </w:tc>
        <w:tc>
          <w:tcPr>
            <w:tcW w:w="1418" w:type="dxa"/>
          </w:tcPr>
          <w:p w14:paraId="357A1505" w14:textId="77777777" w:rsidR="00C51D0F" w:rsidRPr="00555876" w:rsidRDefault="00C51D0F" w:rsidP="00C30D60">
            <w:pPr>
              <w:spacing w:before="0" w:after="0"/>
              <w:rPr>
                <w:rFonts w:eastAsia="Times New Roman"/>
                <w:sz w:val="20"/>
                <w:szCs w:val="20"/>
                <w:lang w:val="en-US"/>
              </w:rPr>
            </w:pPr>
          </w:p>
        </w:tc>
        <w:tc>
          <w:tcPr>
            <w:tcW w:w="1417" w:type="dxa"/>
          </w:tcPr>
          <w:p w14:paraId="6B000A9A" w14:textId="6963D1F2" w:rsidR="00C51D0F" w:rsidRPr="00555876" w:rsidRDefault="00C51D0F" w:rsidP="00C30D60">
            <w:pPr>
              <w:spacing w:before="0" w:after="0"/>
              <w:rPr>
                <w:rFonts w:eastAsia="Times New Roman"/>
                <w:sz w:val="20"/>
                <w:szCs w:val="20"/>
                <w:lang w:val="en-US"/>
              </w:rPr>
            </w:pPr>
            <w:r w:rsidRPr="00555876">
              <w:rPr>
                <w:rFonts w:eastAsia="Times New Roman"/>
                <w:sz w:val="20"/>
                <w:szCs w:val="20"/>
                <w:lang w:val="en-US"/>
              </w:rPr>
              <w:t xml:space="preserve"> </w:t>
            </w:r>
          </w:p>
        </w:tc>
        <w:tc>
          <w:tcPr>
            <w:tcW w:w="1134" w:type="dxa"/>
          </w:tcPr>
          <w:p w14:paraId="64FF172B" w14:textId="77777777" w:rsidR="00C51D0F" w:rsidRPr="00555876" w:rsidRDefault="00C51D0F" w:rsidP="00C30D60">
            <w:pPr>
              <w:spacing w:before="0" w:after="0"/>
              <w:rPr>
                <w:rFonts w:eastAsia="Times New Roman"/>
                <w:sz w:val="20"/>
                <w:szCs w:val="20"/>
                <w:lang w:val="en-US"/>
              </w:rPr>
            </w:pPr>
          </w:p>
        </w:tc>
      </w:tr>
    </w:tbl>
    <w:p w14:paraId="525C452C" w14:textId="77777777" w:rsidR="00C51D0F" w:rsidRPr="00C51D0F" w:rsidRDefault="00C51D0F" w:rsidP="00C51D0F">
      <w:pPr>
        <w:rPr>
          <w:rFonts w:eastAsia="Times New Roman"/>
          <w:noProof/>
          <w:sz w:val="20"/>
          <w:szCs w:val="20"/>
          <w:lang w:val="en-US"/>
        </w:rPr>
      </w:pPr>
      <w:r w:rsidRPr="00C51D0F">
        <w:rPr>
          <w:rFonts w:eastAsia="Times New Roman"/>
          <w:noProof/>
          <w:sz w:val="20"/>
          <w:szCs w:val="20"/>
          <w:vertAlign w:val="superscript"/>
          <w:lang w:val="en-US"/>
        </w:rPr>
        <w:t>1</w:t>
      </w:r>
      <w:r w:rsidRPr="00C51D0F">
        <w:rPr>
          <w:rFonts w:eastAsia="Times New Roman"/>
          <w:noProof/>
          <w:sz w:val="20"/>
          <w:szCs w:val="20"/>
          <w:lang w:val="en-US"/>
        </w:rPr>
        <w:t xml:space="preserve">financing from EU funds </w:t>
      </w:r>
    </w:p>
    <w:p w14:paraId="38D685F9" w14:textId="77777777" w:rsidR="00C51D0F" w:rsidRPr="00C51D0F" w:rsidRDefault="00C51D0F" w:rsidP="00C51D0F">
      <w:pPr>
        <w:rPr>
          <w:rFonts w:eastAsia="Times New Roman"/>
          <w:noProof/>
          <w:sz w:val="20"/>
          <w:szCs w:val="20"/>
          <w:lang w:val="en-US"/>
        </w:rPr>
      </w:pPr>
      <w:r w:rsidRPr="00C51D0F">
        <w:rPr>
          <w:rFonts w:eastAsia="Times New Roman"/>
          <w:noProof/>
          <w:sz w:val="20"/>
          <w:szCs w:val="20"/>
          <w:vertAlign w:val="superscript"/>
          <w:lang w:val="en-US"/>
        </w:rPr>
        <w:t>2</w:t>
      </w:r>
      <w:r w:rsidRPr="00C51D0F">
        <w:rPr>
          <w:rFonts w:eastAsia="Times New Roman"/>
          <w:noProof/>
          <w:sz w:val="20"/>
          <w:szCs w:val="20"/>
          <w:lang w:val="en-US"/>
        </w:rPr>
        <w:t xml:space="preserve">financing from budget </w:t>
      </w:r>
    </w:p>
    <w:p w14:paraId="2A9BC0B8" w14:textId="18DE64E5" w:rsidR="00247FA3" w:rsidRPr="00C51D0F" w:rsidRDefault="00C51D0F" w:rsidP="00C51D0F">
      <w:pPr>
        <w:pStyle w:val="ListParagraph"/>
        <w:spacing w:line="240" w:lineRule="auto"/>
        <w:ind w:left="0"/>
        <w:jc w:val="both"/>
        <w:rPr>
          <w:rFonts w:ascii="Times New Roman" w:eastAsia="Times New Roman" w:hAnsi="Times New Roman" w:cs="Times New Roman"/>
          <w:noProof/>
          <w:sz w:val="20"/>
          <w:szCs w:val="20"/>
          <w:lang w:val="en-US"/>
        </w:rPr>
      </w:pPr>
      <w:r w:rsidRPr="00C51D0F">
        <w:rPr>
          <w:rFonts w:ascii="Times New Roman" w:eastAsia="Times New Roman" w:hAnsi="Times New Roman" w:cs="Times New Roman"/>
          <w:noProof/>
          <w:sz w:val="20"/>
          <w:szCs w:val="20"/>
          <w:vertAlign w:val="superscript"/>
          <w:lang w:val="en-US"/>
        </w:rPr>
        <w:t>3</w:t>
      </w:r>
      <w:r w:rsidRPr="00C51D0F">
        <w:rPr>
          <w:rFonts w:ascii="Times New Roman" w:eastAsia="Times New Roman" w:hAnsi="Times New Roman" w:cs="Times New Roman"/>
          <w:noProof/>
          <w:sz w:val="20"/>
          <w:szCs w:val="20"/>
          <w:lang w:val="en-US"/>
        </w:rPr>
        <w:t>other sources</w:t>
      </w:r>
    </w:p>
    <w:p w14:paraId="343B2AC9" w14:textId="3B8DACDE" w:rsidR="00713E7D" w:rsidRPr="003A7E34" w:rsidRDefault="00713E7D" w:rsidP="00C42AAE">
      <w:pPr>
        <w:pStyle w:val="ListParagraph"/>
        <w:numPr>
          <w:ilvl w:val="3"/>
          <w:numId w:val="21"/>
        </w:numPr>
        <w:spacing w:after="120"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b/>
          <w:bCs/>
          <w:i/>
          <w:iCs/>
          <w:noProof/>
          <w:lang w:val="en-US"/>
        </w:rPr>
        <w:t>Where relevant,</w:t>
      </w:r>
      <w:r w:rsidRPr="003A7E34">
        <w:rPr>
          <w:rFonts w:ascii="Times New Roman" w:eastAsia="Times New Roman" w:hAnsi="Times New Roman" w:cs="Times New Roman"/>
          <w:noProof/>
          <w:lang w:val="en-US"/>
        </w:rPr>
        <w:t xml:space="preserve"> specific measures for regional cooperation, as well as, </w:t>
      </w:r>
      <w:r w:rsidRPr="003A7E34">
        <w:rPr>
          <w:rFonts w:ascii="Times New Roman" w:eastAsia="Times New Roman" w:hAnsi="Times New Roman" w:cs="Times New Roman"/>
          <w:b/>
          <w:bCs/>
          <w:i/>
          <w:iCs/>
          <w:noProof/>
          <w:lang w:val="en-US"/>
        </w:rPr>
        <w:t>as an option,</w:t>
      </w:r>
      <w:r w:rsidRPr="003A7E34">
        <w:rPr>
          <w:rFonts w:ascii="Times New Roman" w:eastAsia="Times New Roman" w:hAnsi="Times New Roman" w:cs="Times New Roman"/>
          <w:noProof/>
          <w:lang w:val="en-US"/>
        </w:rPr>
        <w:t xml:space="preserve"> the estimated excess production of energy from renewable sources which could be transferred to other Member States in order to achieve the national contribution and trajectories referred to in point 2.1.2</w:t>
      </w:r>
    </w:p>
    <w:p w14:paraId="60E1BDD7" w14:textId="1E4EEA6A" w:rsidR="007768C1" w:rsidRPr="003A7E34" w:rsidRDefault="11268707" w:rsidP="00EE13C2">
      <w:pPr>
        <w:pStyle w:val="ListParagraph"/>
        <w:spacing w:after="120" w:line="240" w:lineRule="auto"/>
        <w:ind w:left="0"/>
        <w:jc w:val="both"/>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 xml:space="preserve">Not </w:t>
      </w:r>
      <w:r w:rsidR="6996B333" w:rsidRPr="003A7E34">
        <w:rPr>
          <w:rFonts w:ascii="Times New Roman" w:eastAsia="Times New Roman" w:hAnsi="Times New Roman" w:cs="Times New Roman"/>
          <w:noProof/>
          <w:lang w:val="en-US"/>
        </w:rPr>
        <w:t>a</w:t>
      </w:r>
      <w:r w:rsidRPr="003A7E34">
        <w:rPr>
          <w:rFonts w:ascii="Times New Roman" w:eastAsia="Times New Roman" w:hAnsi="Times New Roman" w:cs="Times New Roman"/>
          <w:noProof/>
          <w:lang w:val="en-US"/>
        </w:rPr>
        <w:t>pplica</w:t>
      </w:r>
      <w:r w:rsidR="6996B333" w:rsidRPr="003A7E34">
        <w:rPr>
          <w:rFonts w:ascii="Times New Roman" w:eastAsia="Times New Roman" w:hAnsi="Times New Roman" w:cs="Times New Roman"/>
          <w:noProof/>
          <w:lang w:val="en-US"/>
        </w:rPr>
        <w:t>ble.</w:t>
      </w:r>
    </w:p>
    <w:p w14:paraId="5CE52F2B" w14:textId="3DEFF702" w:rsidR="00713E7D" w:rsidRPr="003A7E34" w:rsidRDefault="00713E7D" w:rsidP="00C42AAE">
      <w:pPr>
        <w:pStyle w:val="ListParagraph"/>
        <w:numPr>
          <w:ilvl w:val="3"/>
          <w:numId w:val="21"/>
        </w:numPr>
        <w:spacing w:after="120"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Specific measures on financial support, </w:t>
      </w:r>
      <w:r w:rsidRPr="003A7E34">
        <w:rPr>
          <w:rFonts w:ascii="Times New Roman" w:eastAsia="Times New Roman" w:hAnsi="Times New Roman" w:cs="Times New Roman"/>
          <w:b/>
          <w:bCs/>
          <w:i/>
          <w:iCs/>
          <w:noProof/>
          <w:lang w:val="en-US"/>
        </w:rPr>
        <w:t>where applicable</w:t>
      </w:r>
      <w:r w:rsidRPr="003A7E34">
        <w:rPr>
          <w:rFonts w:ascii="Times New Roman" w:eastAsia="Times New Roman" w:hAnsi="Times New Roman" w:cs="Times New Roman"/>
          <w:noProof/>
          <w:lang w:val="en-US"/>
        </w:rPr>
        <w:t xml:space="preserve"> including Union support and the use of Union funds, for the promotion of the production and use of energy from renewable sources in electricity, heating and cooling, and transport</w:t>
      </w:r>
    </w:p>
    <w:p w14:paraId="28CFD9EE" w14:textId="77777777" w:rsidR="00B76C03" w:rsidRPr="003A7E34" w:rsidRDefault="00B76C03" w:rsidP="00EE13C2">
      <w:pPr>
        <w:spacing w:before="0"/>
        <w:rPr>
          <w:rFonts w:eastAsia="Times New Roman"/>
          <w:noProof/>
          <w:lang w:val="en-US"/>
        </w:rPr>
      </w:pPr>
      <w:r w:rsidRPr="003A7E34">
        <w:rPr>
          <w:rFonts w:eastAsia="Times New Roman"/>
          <w:noProof/>
          <w:lang w:val="en-US"/>
        </w:rPr>
        <w:t xml:space="preserve">Seeking to promote the production and use of energy from renewable sources in electricity, heating and cooling sector Ministry of Energy implements following measures financed from 2014-2020 EU structural funds which will contribute to the achievement of 2030 target: </w:t>
      </w:r>
    </w:p>
    <w:p w14:paraId="48E836FC" w14:textId="3A91386E" w:rsidR="00B76C03" w:rsidRPr="003A7E34" w:rsidRDefault="00B76C03" w:rsidP="00C42AAE">
      <w:pPr>
        <w:pStyle w:val="ListParagraph"/>
        <w:numPr>
          <w:ilvl w:val="0"/>
          <w:numId w:val="30"/>
        </w:numPr>
        <w:spacing w:after="0" w:line="240" w:lineRule="auto"/>
        <w:jc w:val="both"/>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“Promotion of high efficiency biofuel cogeneration in Vilnius“ </w:t>
      </w:r>
      <w:r w:rsidR="00EE13C2" w:rsidRPr="003A7E34">
        <w:rPr>
          <w:rFonts w:ascii="Times New Roman" w:eastAsia="Times New Roman" w:hAnsi="Times New Roman" w:cs="Times New Roman"/>
          <w:noProof/>
          <w:lang w:val="en-US"/>
        </w:rPr>
        <w:t>–</w:t>
      </w:r>
      <w:r w:rsidRPr="003A7E34">
        <w:rPr>
          <w:rFonts w:ascii="Times New Roman" w:eastAsia="Times New Roman" w:hAnsi="Times New Roman" w:cs="Times New Roman"/>
          <w:noProof/>
          <w:lang w:val="en-US"/>
        </w:rPr>
        <w:t xml:space="preserve"> 94</w:t>
      </w:r>
      <w:r w:rsidR="00EE13C2" w:rsidRPr="003A7E34">
        <w:rPr>
          <w:rFonts w:ascii="Times New Roman" w:eastAsia="Times New Roman" w:hAnsi="Times New Roman" w:cs="Times New Roman"/>
          <w:noProof/>
          <w:lang w:val="en-US"/>
        </w:rPr>
        <w:t>.</w:t>
      </w:r>
      <w:r w:rsidRPr="003A7E34">
        <w:rPr>
          <w:rFonts w:ascii="Times New Roman" w:eastAsia="Times New Roman" w:hAnsi="Times New Roman" w:cs="Times New Roman"/>
          <w:noProof/>
          <w:lang w:val="en-US"/>
        </w:rPr>
        <w:t>5 MEUR;</w:t>
      </w:r>
    </w:p>
    <w:p w14:paraId="0F922BE1" w14:textId="154C9F2F" w:rsidR="00B76C03" w:rsidRPr="003A7E34" w:rsidRDefault="00454F72" w:rsidP="00C42AAE">
      <w:pPr>
        <w:pStyle w:val="ListParagraph"/>
        <w:numPr>
          <w:ilvl w:val="0"/>
          <w:numId w:val="30"/>
        </w:numPr>
        <w:spacing w:after="0" w:line="240" w:lineRule="auto"/>
        <w:jc w:val="both"/>
        <w:rPr>
          <w:rFonts w:ascii="Times New Roman" w:hAnsi="Times New Roman" w:cs="Times New Roman"/>
          <w:noProof/>
          <w:lang w:val="en-US"/>
        </w:rPr>
      </w:pPr>
      <w:r w:rsidRPr="003A7E34">
        <w:rPr>
          <w:rFonts w:ascii="Times New Roman" w:eastAsia="Times New Roman" w:hAnsi="Times New Roman" w:cs="Times New Roman"/>
          <w:noProof/>
          <w:lang w:val="en-US"/>
        </w:rPr>
        <w:t>“</w:t>
      </w:r>
      <w:r w:rsidR="00B76C03" w:rsidRPr="003A7E34">
        <w:rPr>
          <w:rFonts w:ascii="Times New Roman" w:eastAsia="Times New Roman" w:hAnsi="Times New Roman" w:cs="Times New Roman"/>
          <w:noProof/>
          <w:lang w:val="en-US"/>
        </w:rPr>
        <w:t>Promotion of small capacity biofuel cogeneration“ – 12 MEUR;</w:t>
      </w:r>
    </w:p>
    <w:p w14:paraId="75AA1167" w14:textId="1E87E2D2" w:rsidR="00B76C03" w:rsidRPr="003A7E34" w:rsidRDefault="00454F72" w:rsidP="00C42AAE">
      <w:pPr>
        <w:pStyle w:val="ListParagraph"/>
        <w:numPr>
          <w:ilvl w:val="0"/>
          <w:numId w:val="30"/>
        </w:numPr>
        <w:spacing w:after="0" w:line="240" w:lineRule="auto"/>
        <w:jc w:val="both"/>
        <w:rPr>
          <w:rFonts w:ascii="Times New Roman" w:hAnsi="Times New Roman" w:cs="Times New Roman"/>
          <w:noProof/>
          <w:lang w:val="en-US"/>
        </w:rPr>
      </w:pPr>
      <w:r w:rsidRPr="003A7E34">
        <w:rPr>
          <w:rFonts w:ascii="Times New Roman" w:eastAsia="Times New Roman" w:hAnsi="Times New Roman" w:cs="Times New Roman"/>
          <w:noProof/>
          <w:lang w:val="en-US"/>
        </w:rPr>
        <w:t>“</w:t>
      </w:r>
      <w:r w:rsidR="372247B6" w:rsidRPr="003A7E34">
        <w:rPr>
          <w:rFonts w:ascii="Times New Roman" w:eastAsia="Times New Roman" w:hAnsi="Times New Roman" w:cs="Times New Roman"/>
          <w:noProof/>
          <w:lang w:val="en-US"/>
        </w:rPr>
        <w:t xml:space="preserve">Promotion of </w:t>
      </w:r>
      <w:r w:rsidR="372247B6" w:rsidRPr="003A7E34">
        <w:rPr>
          <w:rFonts w:ascii="Times New Roman" w:eastAsia="Times New Roman" w:hAnsi="Times New Roman" w:cs="Times New Roman"/>
          <w:lang w:val="en-US"/>
        </w:rPr>
        <w:t xml:space="preserve">use of biofuel for heat energy </w:t>
      </w:r>
      <w:r w:rsidR="007451F7" w:rsidRPr="003A7E34">
        <w:rPr>
          <w:rFonts w:ascii="Times New Roman" w:eastAsia="Times New Roman" w:hAnsi="Times New Roman" w:cs="Times New Roman"/>
          <w:lang w:val="en-US"/>
        </w:rPr>
        <w:t>generation</w:t>
      </w:r>
      <w:r w:rsidRPr="003A7E34">
        <w:rPr>
          <w:rFonts w:ascii="Times New Roman" w:eastAsia="Times New Roman" w:hAnsi="Times New Roman" w:cs="Times New Roman"/>
          <w:lang w:val="en-US"/>
        </w:rPr>
        <w:t>”</w:t>
      </w:r>
      <w:r w:rsidR="007451F7" w:rsidRPr="003A7E34">
        <w:rPr>
          <w:rFonts w:ascii="Times New Roman" w:eastAsia="Times New Roman" w:hAnsi="Times New Roman" w:cs="Times New Roman"/>
          <w:lang w:val="en-US"/>
        </w:rPr>
        <w:t xml:space="preserve"> </w:t>
      </w:r>
      <w:r w:rsidR="00EE13C2" w:rsidRPr="003A7E34">
        <w:rPr>
          <w:rFonts w:ascii="Times New Roman" w:eastAsia="Times New Roman" w:hAnsi="Times New Roman" w:cs="Times New Roman"/>
          <w:lang w:val="en-US"/>
        </w:rPr>
        <w:t>–</w:t>
      </w:r>
      <w:r w:rsidR="372247B6" w:rsidRPr="003A7E34">
        <w:rPr>
          <w:rFonts w:ascii="Times New Roman" w:eastAsia="Times New Roman" w:hAnsi="Times New Roman" w:cs="Times New Roman"/>
          <w:lang w:val="en-US"/>
        </w:rPr>
        <w:t xml:space="preserve"> 17 MEUR;</w:t>
      </w:r>
    </w:p>
    <w:p w14:paraId="186AA53D" w14:textId="67E4791F" w:rsidR="00B76C03" w:rsidRPr="003A7E34" w:rsidRDefault="00454F72" w:rsidP="00C42AAE">
      <w:pPr>
        <w:pStyle w:val="ListParagraph"/>
        <w:numPr>
          <w:ilvl w:val="0"/>
          <w:numId w:val="30"/>
        </w:numPr>
        <w:spacing w:after="0" w:line="240" w:lineRule="auto"/>
        <w:jc w:val="both"/>
        <w:rPr>
          <w:rFonts w:ascii="Times New Roman" w:hAnsi="Times New Roman" w:cs="Times New Roman"/>
          <w:noProof/>
          <w:lang w:val="en-US"/>
        </w:rPr>
      </w:pPr>
      <w:r w:rsidRPr="003A7E34">
        <w:rPr>
          <w:rFonts w:ascii="Times New Roman" w:eastAsia="Times New Roman" w:hAnsi="Times New Roman" w:cs="Times New Roman"/>
          <w:noProof/>
          <w:lang w:val="en-US"/>
        </w:rPr>
        <w:t>“</w:t>
      </w:r>
      <w:r w:rsidR="00B76C03" w:rsidRPr="003A7E34">
        <w:rPr>
          <w:rFonts w:ascii="Times New Roman" w:eastAsia="Times New Roman" w:hAnsi="Times New Roman" w:cs="Times New Roman"/>
          <w:noProof/>
          <w:lang w:val="en-US"/>
        </w:rPr>
        <w:t>Replacement of old biofuel boilers with new ones“ – 10 MEUR.</w:t>
      </w:r>
    </w:p>
    <w:p w14:paraId="367339E2" w14:textId="2BF66C7B" w:rsidR="00B76C03" w:rsidRPr="003A7E34" w:rsidRDefault="00B76C03" w:rsidP="00EA50D6">
      <w:pPr>
        <w:spacing w:after="0"/>
        <w:rPr>
          <w:rFonts w:eastAsia="Times New Roman"/>
          <w:noProof/>
          <w:lang w:val="en-US"/>
        </w:rPr>
      </w:pPr>
      <w:r w:rsidRPr="003A7E34">
        <w:rPr>
          <w:rFonts w:eastAsia="Times New Roman"/>
          <w:noProof/>
          <w:lang w:val="en-US"/>
        </w:rPr>
        <w:t>Ministry of Agriculture in 2014-2020 allocates 45</w:t>
      </w:r>
      <w:r w:rsidR="00EE13C2" w:rsidRPr="003A7E34">
        <w:rPr>
          <w:rFonts w:eastAsia="Times New Roman"/>
          <w:noProof/>
          <w:lang w:val="en-US"/>
        </w:rPr>
        <w:t>.</w:t>
      </w:r>
      <w:r w:rsidRPr="003A7E34">
        <w:rPr>
          <w:rFonts w:eastAsia="Times New Roman"/>
          <w:noProof/>
          <w:lang w:val="en-US"/>
        </w:rPr>
        <w:t xml:space="preserve">2 MEUR for the measure </w:t>
      </w:r>
      <w:r w:rsidRPr="003A7E34">
        <w:rPr>
          <w:rFonts w:eastAsia="Times New Roman"/>
          <w:i/>
          <w:iCs/>
          <w:noProof/>
          <w:lang w:val="en-US"/>
        </w:rPr>
        <w:t xml:space="preserve">Support for the production of biogas from agriculture and other wastes. </w:t>
      </w:r>
      <w:r w:rsidRPr="003A7E34">
        <w:rPr>
          <w:rFonts w:eastAsia="Times New Roman"/>
          <w:noProof/>
          <w:lang w:val="en-US"/>
        </w:rPr>
        <w:t>Farmers, small and micro enterprises engaged in livestock or poultry farming are able to receive support for the production of renewable energy from biogas.</w:t>
      </w:r>
    </w:p>
    <w:p w14:paraId="1BBC7B38" w14:textId="01230517" w:rsidR="00B76C03" w:rsidRPr="003A7E34" w:rsidRDefault="00B76C03">
      <w:pPr>
        <w:rPr>
          <w:rFonts w:eastAsia="Times New Roman"/>
          <w:noProof/>
          <w:lang w:val="en-US"/>
        </w:rPr>
      </w:pPr>
      <w:r w:rsidRPr="003A7E34">
        <w:rPr>
          <w:rFonts w:eastAsia="Times New Roman"/>
          <w:noProof/>
          <w:lang w:val="en-US"/>
        </w:rPr>
        <w:t>Ministry of Economy in 2014-2020 plans to allocate 10 MEUR for the development of RES in industry (micro, small, medium and large enterprises).</w:t>
      </w:r>
    </w:p>
    <w:p w14:paraId="696F875D" w14:textId="77777777" w:rsidR="007768C1" w:rsidRPr="003A7E34" w:rsidRDefault="007768C1" w:rsidP="00EA50D6">
      <w:pPr>
        <w:pStyle w:val="ListParagraph"/>
        <w:spacing w:line="240" w:lineRule="auto"/>
        <w:ind w:left="1560"/>
        <w:jc w:val="both"/>
        <w:rPr>
          <w:rFonts w:ascii="Times New Roman" w:eastAsia="Times New Roman" w:hAnsi="Times New Roman" w:cs="Times New Roman"/>
          <w:noProof/>
          <w:lang w:val="en-US"/>
        </w:rPr>
      </w:pPr>
    </w:p>
    <w:p w14:paraId="5F4F6FC4" w14:textId="68844653" w:rsidR="00713E7D" w:rsidRPr="003A7E34" w:rsidRDefault="3D9A4349"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b/>
          <w:bCs/>
          <w:i/>
          <w:iCs/>
          <w:noProof/>
          <w:lang w:val="en-US"/>
        </w:rPr>
        <w:t>Where applicable, the assessment of the support for electricity from renewable sources that Member States are to carry out pursuant to Article 6(4) of Directive (EU) 2018/...</w:t>
      </w:r>
    </w:p>
    <w:p w14:paraId="136719C1" w14:textId="09016378" w:rsidR="3D9A4349" w:rsidRPr="003A7E34" w:rsidRDefault="3D9A4349" w:rsidP="3D9A4349">
      <w:pPr>
        <w:rPr>
          <w:rFonts w:eastAsia="Times New Roman"/>
          <w:noProof/>
          <w:lang w:val="en-US"/>
        </w:rPr>
      </w:pPr>
      <w:r w:rsidRPr="003A7E34">
        <w:rPr>
          <w:rFonts w:eastAsia="Times New Roman"/>
          <w:noProof/>
          <w:lang w:val="en-US"/>
        </w:rPr>
        <w:t>This part to be defined in the final version of the Plan.</w:t>
      </w:r>
    </w:p>
    <w:p w14:paraId="057FA8AB" w14:textId="6F6BDB9D" w:rsidR="00713E7D" w:rsidRPr="003A7E34" w:rsidRDefault="3D9A4349"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Specific measures to introduce one </w:t>
      </w:r>
      <w:r w:rsidRPr="003A7E34">
        <w:rPr>
          <w:rFonts w:ascii="Times New Roman" w:eastAsia="Times New Roman" w:hAnsi="Times New Roman" w:cs="Times New Roman"/>
          <w:b/>
          <w:bCs/>
          <w:i/>
          <w:iCs/>
          <w:noProof/>
          <w:lang w:val="en-US"/>
        </w:rPr>
        <w:t>or more contact points</w:t>
      </w:r>
      <w:r w:rsidRPr="003A7E34">
        <w:rPr>
          <w:rFonts w:ascii="Times New Roman" w:eastAsia="Times New Roman" w:hAnsi="Times New Roman" w:cs="Times New Roman"/>
          <w:noProof/>
          <w:lang w:val="en-US"/>
        </w:rPr>
        <w:t xml:space="preserve">, streamline administrative procedures, provide information and training, and </w:t>
      </w:r>
      <w:r w:rsidRPr="003A7E34">
        <w:rPr>
          <w:rFonts w:ascii="Times New Roman" w:eastAsia="Times New Roman" w:hAnsi="Times New Roman" w:cs="Times New Roman"/>
          <w:b/>
          <w:bCs/>
          <w:i/>
          <w:iCs/>
          <w:noProof/>
          <w:lang w:val="en-US"/>
        </w:rPr>
        <w:t>facilitate the uptake of power purchase agreements</w:t>
      </w:r>
    </w:p>
    <w:p w14:paraId="39908C3D" w14:textId="09016378" w:rsidR="3D9A4349" w:rsidRPr="003A7E34" w:rsidRDefault="3D9A4349" w:rsidP="3D9A4349">
      <w:pPr>
        <w:rPr>
          <w:rFonts w:eastAsia="Times New Roman"/>
          <w:noProof/>
          <w:lang w:val="en-US"/>
        </w:rPr>
      </w:pPr>
      <w:r w:rsidRPr="003A7E34">
        <w:rPr>
          <w:rFonts w:eastAsia="Times New Roman"/>
          <w:noProof/>
          <w:lang w:val="en-US"/>
        </w:rPr>
        <w:t>This part to be defined in the final version of the Plan.</w:t>
      </w:r>
    </w:p>
    <w:p w14:paraId="0D766245" w14:textId="0D3563CB" w:rsidR="00713E7D" w:rsidRPr="003A7E34" w:rsidRDefault="3D9A4349" w:rsidP="00EA50D6">
      <w:pPr>
        <w:pStyle w:val="ListParagraph"/>
        <w:spacing w:line="240" w:lineRule="auto"/>
        <w:ind w:left="1560"/>
        <w:jc w:val="both"/>
        <w:rPr>
          <w:rFonts w:ascii="Times New Roman" w:eastAsia="Times New Roman" w:hAnsi="Times New Roman" w:cs="Times New Roman"/>
          <w:b/>
          <w:bCs/>
          <w:i/>
          <w:iCs/>
          <w:noProof/>
          <w:lang w:val="en-US"/>
        </w:rPr>
      </w:pPr>
      <w:r w:rsidRPr="003A7E34">
        <w:rPr>
          <w:rFonts w:ascii="Times New Roman" w:eastAsia="Times New Roman" w:hAnsi="Times New Roman" w:cs="Times New Roman"/>
          <w:b/>
          <w:bCs/>
          <w:i/>
          <w:iCs/>
          <w:noProof/>
          <w:lang w:val="en-US"/>
        </w:rPr>
        <w:lastRenderedPageBreak/>
        <w:t>Summary of the policies and measures under the enabling framework Member States have to put in place pursuant to Article 21(6) and Article 22(5) of Directive (EU) 2018/... to promote and facilitate the development of renewable self-consumption and renewable energy communities</w:t>
      </w:r>
    </w:p>
    <w:p w14:paraId="47AAA83A" w14:textId="09016378" w:rsidR="3D9A4349" w:rsidRPr="003A7E34" w:rsidRDefault="3D9A4349" w:rsidP="3D9A4349">
      <w:pPr>
        <w:rPr>
          <w:rFonts w:eastAsia="Times New Roman"/>
          <w:noProof/>
          <w:lang w:val="en-US"/>
        </w:rPr>
      </w:pPr>
      <w:r w:rsidRPr="003A7E34">
        <w:rPr>
          <w:rFonts w:eastAsia="Times New Roman"/>
          <w:noProof/>
          <w:lang w:val="en-US"/>
        </w:rPr>
        <w:t>This part to be defined in the final version of the Plan.</w:t>
      </w:r>
    </w:p>
    <w:p w14:paraId="11A4A2BF" w14:textId="32761F50" w:rsidR="00713E7D" w:rsidRPr="003A7E34" w:rsidRDefault="3D9A4349" w:rsidP="00C42AAE">
      <w:pPr>
        <w:pStyle w:val="ListParagraph"/>
        <w:numPr>
          <w:ilvl w:val="3"/>
          <w:numId w:val="21"/>
        </w:numPr>
        <w:spacing w:line="240" w:lineRule="auto"/>
        <w:ind w:left="1560" w:hanging="284"/>
        <w:jc w:val="both"/>
        <w:rPr>
          <w:rFonts w:ascii="Times New Roman" w:hAnsi="Times New Roman" w:cs="Times New Roman"/>
          <w:b/>
          <w:bCs/>
          <w:i/>
          <w:iCs/>
          <w:noProof/>
          <w:lang w:val="en-US"/>
        </w:rPr>
      </w:pPr>
      <w:r w:rsidRPr="003A7E34">
        <w:rPr>
          <w:rFonts w:ascii="Times New Roman" w:eastAsia="Times New Roman" w:hAnsi="Times New Roman" w:cs="Times New Roman"/>
          <w:noProof/>
          <w:lang w:val="en-US"/>
        </w:rPr>
        <w:t xml:space="preserve">Assessment of the necessity to build new infrastructure for district heating and cooling produced from </w:t>
      </w:r>
      <w:r w:rsidRPr="003A7E34">
        <w:rPr>
          <w:rFonts w:ascii="Times New Roman" w:eastAsia="Times New Roman" w:hAnsi="Times New Roman" w:cs="Times New Roman"/>
          <w:b/>
          <w:bCs/>
          <w:i/>
          <w:iCs/>
          <w:noProof/>
          <w:lang w:val="en-US"/>
        </w:rPr>
        <w:t>renewable sources</w:t>
      </w:r>
    </w:p>
    <w:p w14:paraId="52819F0A" w14:textId="6F3FB407" w:rsidR="3D9A4349" w:rsidRPr="003A7E34" w:rsidRDefault="3D9A4349" w:rsidP="3D9A4349">
      <w:pPr>
        <w:rPr>
          <w:rFonts w:eastAsia="Times New Roman"/>
          <w:noProof/>
          <w:lang w:val="en-US"/>
        </w:rPr>
      </w:pPr>
      <w:r w:rsidRPr="003A7E34">
        <w:rPr>
          <w:rFonts w:eastAsia="Times New Roman"/>
          <w:noProof/>
          <w:lang w:val="en-US"/>
        </w:rPr>
        <w:t>This part to be defined in mo</w:t>
      </w:r>
      <w:r w:rsidR="0040611A" w:rsidRPr="003A7E34">
        <w:rPr>
          <w:rFonts w:eastAsia="Times New Roman"/>
          <w:noProof/>
          <w:lang w:val="en-US"/>
        </w:rPr>
        <w:t>r</w:t>
      </w:r>
      <w:r w:rsidRPr="003A7E34">
        <w:rPr>
          <w:rFonts w:eastAsia="Times New Roman"/>
          <w:noProof/>
          <w:lang w:val="en-US"/>
        </w:rPr>
        <w:t>e detailed way in the final version of the Plan.</w:t>
      </w:r>
    </w:p>
    <w:p w14:paraId="63BF8C74" w14:textId="682F0D85" w:rsidR="007768C1" w:rsidRPr="003A7E34" w:rsidRDefault="3D9A4349" w:rsidP="3D9A4349">
      <w:pPr>
        <w:spacing w:before="0"/>
        <w:rPr>
          <w:rFonts w:eastAsia="Times New Roman"/>
          <w:noProof/>
          <w:lang w:val="en-US"/>
        </w:rPr>
      </w:pPr>
      <w:r w:rsidRPr="003A7E34">
        <w:rPr>
          <w:rFonts w:eastAsia="Times New Roman"/>
          <w:noProof/>
          <w:lang w:val="en-US"/>
        </w:rPr>
        <w:t>In 2016, a total of 8.9 TWh of heat energy was produced and supplied to the networks. It is estimated that as the number of district heating customers grows, accompanied by rapid investments in more efficient energy consumption, by 2020 district heating systems will supply 8.9 TWh, by 2030 – 8.5 TWh of heat energy. At the end of 2016, biofuel units with condensing economisers used by heat supply companies and independent heat producers accounted for a total of 1589 MW of heat power. The peak demand for DHS systems in 2016 was 3212 MW, lowest – 379 MW. Our forecast for 2030 is that about 3000 MW DHS systems capacity is needed. Excluding measures financed from 2014-2020 EU structural funds, additional 200 MW capacity from RES and heat storage facilities are needed to achieve 2030 target.</w:t>
      </w:r>
    </w:p>
    <w:p w14:paraId="74043D45" w14:textId="433158DD" w:rsidR="00713E7D" w:rsidRPr="003A7E34" w:rsidRDefault="3D9A4349"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b/>
          <w:bCs/>
          <w:i/>
          <w:iCs/>
          <w:noProof/>
          <w:lang w:val="en-US"/>
        </w:rPr>
        <w:t>Where applicable</w:t>
      </w:r>
      <w:r w:rsidRPr="003A7E34">
        <w:rPr>
          <w:rFonts w:ascii="Times New Roman" w:eastAsia="Times New Roman" w:hAnsi="Times New Roman" w:cs="Times New Roman"/>
          <w:noProof/>
          <w:lang w:val="en-US"/>
        </w:rPr>
        <w:t>, specific measures on the promotion of the use of energy from biomass, especially for new biomass mobilisation taking into account:</w:t>
      </w:r>
    </w:p>
    <w:p w14:paraId="61AF6FA2" w14:textId="238D4158" w:rsidR="00713E7D" w:rsidRPr="003A7E34" w:rsidRDefault="3D9A4349" w:rsidP="3D9A4349">
      <w:pPr>
        <w:pStyle w:val="ListParagraph"/>
        <w:spacing w:line="240" w:lineRule="auto"/>
        <w:ind w:left="1560"/>
        <w:jc w:val="both"/>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 xml:space="preserve">– biomass availability, </w:t>
      </w:r>
      <w:r w:rsidRPr="003A7E34">
        <w:rPr>
          <w:rFonts w:ascii="Times New Roman" w:eastAsia="Times New Roman" w:hAnsi="Times New Roman" w:cs="Times New Roman"/>
          <w:b/>
          <w:bCs/>
          <w:i/>
          <w:iCs/>
          <w:noProof/>
          <w:lang w:val="en-US"/>
        </w:rPr>
        <w:t>including sustainable biomass</w:t>
      </w:r>
      <w:r w:rsidRPr="003A7E34">
        <w:rPr>
          <w:rFonts w:ascii="Times New Roman" w:eastAsia="Times New Roman" w:hAnsi="Times New Roman" w:cs="Times New Roman"/>
          <w:noProof/>
          <w:lang w:val="en-US"/>
        </w:rPr>
        <w:t>: both domestic potential and imports from third countries</w:t>
      </w:r>
    </w:p>
    <w:p w14:paraId="225A8587" w14:textId="626E109F" w:rsidR="00713E7D" w:rsidRPr="003A7E34" w:rsidRDefault="3D9A4349" w:rsidP="3D9A4349">
      <w:pPr>
        <w:pStyle w:val="ListParagraph"/>
        <w:spacing w:line="240" w:lineRule="auto"/>
        <w:ind w:left="1560"/>
        <w:jc w:val="both"/>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 other biomass uses by other sectors (agriculture and forest-based sectors); as well as measures for the sustainability of biomass production and use.</w:t>
      </w:r>
    </w:p>
    <w:p w14:paraId="244DD6F4" w14:textId="159913A7" w:rsidR="00E27A36" w:rsidRPr="003A7E34" w:rsidRDefault="2EDF55A3" w:rsidP="00EA50D6">
      <w:pPr>
        <w:rPr>
          <w:rFonts w:eastAsia="Times New Roman"/>
          <w:noProof/>
          <w:lang w:val="en-US"/>
        </w:rPr>
      </w:pPr>
      <w:r w:rsidRPr="003A7E34">
        <w:rPr>
          <w:rFonts w:eastAsia="Times New Roman"/>
          <w:noProof/>
          <w:lang w:val="en-US"/>
        </w:rPr>
        <w:t>Biomass is one of the major primary energy sources especially in DHS sektor. To ensure stable supply of biomass and reasonable pricing, the following measures will be applied:</w:t>
      </w:r>
    </w:p>
    <w:p w14:paraId="69D51C9A" w14:textId="3104D523" w:rsidR="00E27A36" w:rsidRPr="003A7E34" w:rsidRDefault="2EDF55A3" w:rsidP="00C42AAE">
      <w:pPr>
        <w:pStyle w:val="ListParagraph"/>
        <w:numPr>
          <w:ilvl w:val="0"/>
          <w:numId w:val="31"/>
        </w:numPr>
        <w:rPr>
          <w:rFonts w:ascii="Times New Roman" w:hAnsi="Times New Roman" w:cs="Times New Roman"/>
          <w:lang w:val="en-US"/>
        </w:rPr>
      </w:pPr>
      <w:r w:rsidRPr="003A7E34">
        <w:rPr>
          <w:rFonts w:ascii="Times New Roman" w:eastAsia="Times New Roman" w:hAnsi="Times New Roman" w:cs="Times New Roman"/>
          <w:noProof/>
          <w:lang w:val="en-US"/>
        </w:rPr>
        <w:t>Maintain the competitiveness of the biomass market by reducing barriers to import biomass from third countries;</w:t>
      </w:r>
    </w:p>
    <w:p w14:paraId="0734983C" w14:textId="33E7F116" w:rsidR="00E27A36" w:rsidRPr="003A7E34" w:rsidRDefault="2EDF55A3" w:rsidP="00C42AAE">
      <w:pPr>
        <w:pStyle w:val="ListParagraph"/>
        <w:numPr>
          <w:ilvl w:val="0"/>
          <w:numId w:val="31"/>
        </w:numPr>
        <w:rPr>
          <w:rFonts w:ascii="Times New Roman" w:hAnsi="Times New Roman" w:cs="Times New Roman"/>
          <w:lang w:val="en-US"/>
        </w:rPr>
      </w:pPr>
      <w:r w:rsidRPr="003A7E34">
        <w:rPr>
          <w:rFonts w:ascii="Times New Roman" w:eastAsia="Times New Roman" w:hAnsi="Times New Roman" w:cs="Times New Roman"/>
          <w:noProof/>
          <w:lang w:val="en-US"/>
        </w:rPr>
        <w:t>Spreading of Biomass Exchange platform to other countries;</w:t>
      </w:r>
    </w:p>
    <w:p w14:paraId="226FBF68" w14:textId="73BD994B" w:rsidR="00E27A36" w:rsidRPr="003A7E34" w:rsidRDefault="2EDF55A3" w:rsidP="00C42AAE">
      <w:pPr>
        <w:pStyle w:val="ListParagraph"/>
        <w:numPr>
          <w:ilvl w:val="0"/>
          <w:numId w:val="31"/>
        </w:numPr>
        <w:jc w:val="both"/>
        <w:rPr>
          <w:rFonts w:ascii="Times New Roman" w:hAnsi="Times New Roman" w:cs="Times New Roman"/>
          <w:lang w:val="en-US"/>
        </w:rPr>
      </w:pPr>
      <w:r w:rsidRPr="003A7E34">
        <w:rPr>
          <w:rFonts w:ascii="Times New Roman" w:eastAsia="Times New Roman" w:hAnsi="Times New Roman" w:cs="Times New Roman"/>
          <w:noProof/>
          <w:lang w:val="en-US"/>
        </w:rPr>
        <w:t>Iincreasing the sales of the lower biomass quality by providing support to biomass suppliers for the equipment of biomass harvesting residues;</w:t>
      </w:r>
    </w:p>
    <w:p w14:paraId="73AE6B18" w14:textId="10FBEB9C" w:rsidR="00E27A36" w:rsidRPr="003A7E34" w:rsidRDefault="2EDF55A3" w:rsidP="00C42AAE">
      <w:pPr>
        <w:pStyle w:val="ListParagraph"/>
        <w:numPr>
          <w:ilvl w:val="0"/>
          <w:numId w:val="31"/>
        </w:numPr>
        <w:jc w:val="both"/>
        <w:rPr>
          <w:rFonts w:ascii="Times New Roman" w:hAnsi="Times New Roman" w:cs="Times New Roman"/>
          <w:lang w:val="en-US"/>
        </w:rPr>
      </w:pPr>
      <w:r w:rsidRPr="003A7E34">
        <w:rPr>
          <w:rFonts w:ascii="Times New Roman" w:eastAsia="Times New Roman" w:hAnsi="Times New Roman" w:cs="Times New Roman"/>
          <w:noProof/>
          <w:lang w:val="en-US"/>
        </w:rPr>
        <w:t>Increase the usage of the forest felling residues and small-scale non-liquid wood.</w:t>
      </w:r>
    </w:p>
    <w:p w14:paraId="2CD1FEA5" w14:textId="77777777" w:rsidR="2EDF55A3" w:rsidRPr="003A7E34" w:rsidRDefault="2EDF55A3" w:rsidP="008223E8">
      <w:pPr>
        <w:spacing w:before="0"/>
        <w:jc w:val="left"/>
        <w:rPr>
          <w:rFonts w:eastAsia="Times New Roman"/>
          <w:b/>
          <w:bCs/>
          <w:noProof/>
          <w:lang w:val="en-US"/>
        </w:rPr>
      </w:pPr>
    </w:p>
    <w:p w14:paraId="02ACE43C" w14:textId="0A67ADFA" w:rsidR="00E27A36" w:rsidRPr="003A7E34" w:rsidRDefault="00E27A36" w:rsidP="00C42AAE">
      <w:pPr>
        <w:pStyle w:val="Heading3"/>
        <w:numPr>
          <w:ilvl w:val="2"/>
          <w:numId w:val="21"/>
        </w:numPr>
        <w:spacing w:before="0" w:after="120"/>
        <w:rPr>
          <w:rFonts w:cs="Times New Roman"/>
          <w:noProof/>
          <w:lang w:val="en-US"/>
        </w:rPr>
      </w:pPr>
      <w:bookmarkStart w:id="70" w:name="_Toc530405576"/>
      <w:bookmarkStart w:id="71" w:name="_Toc530411807"/>
      <w:bookmarkStart w:id="72" w:name="_Toc530414156"/>
      <w:r w:rsidRPr="003A7E34">
        <w:rPr>
          <w:rFonts w:eastAsia="Times New Roman" w:cs="Times New Roman"/>
          <w:noProof/>
          <w:lang w:val="en-US"/>
        </w:rPr>
        <w:t>Other elements of the dimension</w:t>
      </w:r>
      <w:bookmarkEnd w:id="70"/>
      <w:bookmarkEnd w:id="71"/>
      <w:bookmarkEnd w:id="72"/>
    </w:p>
    <w:p w14:paraId="02BF3237" w14:textId="7A0C5760" w:rsidR="00E27A36" w:rsidRPr="003A7E34" w:rsidRDefault="00E27A36" w:rsidP="00C42AAE">
      <w:pPr>
        <w:pStyle w:val="ListParagraph"/>
        <w:numPr>
          <w:ilvl w:val="3"/>
          <w:numId w:val="21"/>
        </w:numPr>
        <w:spacing w:after="120"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Where applicable, national policies and measures affecting the EU ETS sector and assessment of the complementarity and impacts on the EU ETS</w:t>
      </w:r>
    </w:p>
    <w:p w14:paraId="29C8BE0D" w14:textId="5C34AF76" w:rsidR="00576114" w:rsidRPr="003A7E34" w:rsidRDefault="00576114" w:rsidP="00576114">
      <w:pPr>
        <w:spacing w:before="0"/>
        <w:rPr>
          <w:rFonts w:eastAsia="Times New Roman"/>
          <w:noProof/>
          <w:lang w:val="en-US"/>
        </w:rPr>
      </w:pPr>
      <w:r w:rsidRPr="003A7E34">
        <w:rPr>
          <w:rFonts w:eastAsia="Times New Roman"/>
          <w:noProof/>
          <w:lang w:val="en-US"/>
        </w:rPr>
        <w:t>All policies and measures listed in Section 3.1.1 to some extent affect the operators of stationary installations and aircraft operators participating in the EU ETS. In 201</w:t>
      </w:r>
      <w:r w:rsidR="00127C44" w:rsidRPr="003A7E34">
        <w:rPr>
          <w:rFonts w:eastAsia="Times New Roman"/>
          <w:noProof/>
          <w:lang w:val="en-US"/>
        </w:rPr>
        <w:t>7</w:t>
      </w:r>
      <w:r w:rsidRPr="003A7E34">
        <w:rPr>
          <w:rFonts w:eastAsia="Times New Roman"/>
          <w:lang w:val="en-US"/>
        </w:rPr>
        <w:t>, 89</w:t>
      </w:r>
      <w:r w:rsidRPr="003A7E34">
        <w:rPr>
          <w:rFonts w:eastAsia="Times New Roman"/>
          <w:noProof/>
          <w:lang w:val="en-US"/>
        </w:rPr>
        <w:t xml:space="preserve"> installations and 1 aircraft operator from Lithuania carried out activities that fall under the scope of the EU ETS. Most of these installations are small district heating units. </w:t>
      </w:r>
    </w:p>
    <w:p w14:paraId="152FBCD6" w14:textId="3D4C3A39" w:rsidR="00576114" w:rsidRPr="003A7E34" w:rsidRDefault="00576114" w:rsidP="00576114">
      <w:pPr>
        <w:spacing w:before="0"/>
        <w:rPr>
          <w:rFonts w:eastAsia="Times New Roman"/>
          <w:noProof/>
          <w:lang w:val="en-US"/>
        </w:rPr>
      </w:pPr>
      <w:r w:rsidRPr="003A7E34">
        <w:rPr>
          <w:rFonts w:eastAsia="Times New Roman"/>
          <w:noProof/>
          <w:lang w:val="en-US"/>
        </w:rPr>
        <w:t>In 2016 the EU ETS emissions in Lithuania amounted to 6</w:t>
      </w:r>
      <w:r w:rsidR="00127C44" w:rsidRPr="003A7E34">
        <w:rPr>
          <w:rFonts w:eastAsia="Times New Roman"/>
          <w:noProof/>
          <w:lang w:val="en-US"/>
        </w:rPr>
        <w:t>.</w:t>
      </w:r>
      <w:r w:rsidRPr="003A7E34">
        <w:rPr>
          <w:rFonts w:eastAsia="Times New Roman"/>
          <w:noProof/>
          <w:lang w:val="en-US"/>
        </w:rPr>
        <w:t>16 kt CO</w:t>
      </w:r>
      <w:r w:rsidRPr="003A7E34">
        <w:rPr>
          <w:rFonts w:eastAsia="Times New Roman"/>
          <w:vertAlign w:val="subscript"/>
          <w:lang w:val="en-US"/>
        </w:rPr>
        <w:t>2</w:t>
      </w:r>
      <w:r w:rsidRPr="003A7E34">
        <w:rPr>
          <w:rFonts w:eastAsia="Times New Roman"/>
          <w:noProof/>
          <w:lang w:val="en-US"/>
        </w:rPr>
        <w:t xml:space="preserve">eq. and constituted 35% of total GHG emissions in Lithuania (excluding LULUCF). The EU level mechanisms in the ETS sector, such as the market stability reserve, and the innovation and modernization funds, will affect the EU and Lithuania’s ETS operators, </w:t>
      </w:r>
      <w:r w:rsidR="00626132" w:rsidRPr="003A7E34">
        <w:rPr>
          <w:rFonts w:eastAsia="Times New Roman"/>
          <w:noProof/>
          <w:lang w:val="en-US"/>
        </w:rPr>
        <w:t xml:space="preserve">and encourage them to invest to the modernization of production by installing new energy efficient technologies or switching to RES. </w:t>
      </w:r>
    </w:p>
    <w:p w14:paraId="174C62B2" w14:textId="2C1D8530" w:rsidR="00626132" w:rsidRPr="003A7E34" w:rsidRDefault="00626132" w:rsidP="00576114">
      <w:pPr>
        <w:spacing w:before="0"/>
        <w:rPr>
          <w:rFonts w:eastAsia="Times New Roman"/>
          <w:noProof/>
          <w:lang w:val="en-US"/>
        </w:rPr>
      </w:pPr>
      <w:r w:rsidRPr="003A7E34">
        <w:rPr>
          <w:rFonts w:eastAsia="Times New Roman"/>
          <w:noProof/>
          <w:lang w:val="en-US"/>
        </w:rPr>
        <w:lastRenderedPageBreak/>
        <w:t>As the main measures in the ETS sector are a fuel switch from conventional (gas, oil ect.) to RES (biomass mostly), energy efficiency (building renovation and other) is affected by the targets and objectives set in the National Energy Independence Strategy (2018). Electricity savings in industry will amount to 1 TWh by 2030. Intended energy efficiency measures would allow saving 35 TWh of energy and would lead to the reduction of  GHG emissions by 1 144 kt CO</w:t>
      </w:r>
      <w:r w:rsidRPr="003A7E34">
        <w:rPr>
          <w:rFonts w:eastAsia="Times New Roman"/>
          <w:vertAlign w:val="subscript"/>
          <w:lang w:val="en-US"/>
        </w:rPr>
        <w:t>2</w:t>
      </w:r>
      <w:r w:rsidRPr="003A7E34">
        <w:rPr>
          <w:rFonts w:eastAsia="Times New Roman"/>
          <w:noProof/>
          <w:lang w:val="en-US"/>
        </w:rPr>
        <w:t xml:space="preserve"> eq. in a 10 year period. It is estimated that a 45 % use of RES would increase from 1 102 ktoe in 2012 to 1 860 ktoe in 2030. This would decrease the use of natural gas by 960.6 ktoe in the energy sector. A summary of policies and measures in the energy and industry sectors related to EU ETS is presented in Section 3.1.1.</w:t>
      </w:r>
    </w:p>
    <w:p w14:paraId="373D8AC3" w14:textId="77777777" w:rsidR="00492A80" w:rsidRPr="003A7E34" w:rsidRDefault="00492A80" w:rsidP="00576114">
      <w:pPr>
        <w:spacing w:before="0"/>
        <w:rPr>
          <w:rFonts w:eastAsia="Times New Roman"/>
          <w:noProof/>
          <w:lang w:val="en-US"/>
        </w:rPr>
      </w:pPr>
    </w:p>
    <w:p w14:paraId="201E3B22" w14:textId="4ECAB473" w:rsidR="00B35613" w:rsidRPr="003A7E34" w:rsidRDefault="00576114" w:rsidP="00C42AAE">
      <w:pPr>
        <w:pStyle w:val="ListParagraph"/>
        <w:numPr>
          <w:ilvl w:val="3"/>
          <w:numId w:val="21"/>
        </w:numPr>
        <w:spacing w:after="120" w:line="240" w:lineRule="auto"/>
        <w:rPr>
          <w:rFonts w:ascii="Times New Roman" w:eastAsia="Calibri" w:hAnsi="Times New Roman" w:cs="Times New Roman"/>
          <w:b/>
          <w:bCs/>
          <w:noProof/>
          <w:lang w:val="en-US"/>
        </w:rPr>
      </w:pPr>
      <w:r w:rsidRPr="003A7E34">
        <w:rPr>
          <w:rFonts w:ascii="Times New Roman" w:eastAsia="Times New Roman" w:hAnsi="Times New Roman" w:cs="Times New Roman"/>
          <w:noProof/>
          <w:lang w:val="en-US"/>
        </w:rPr>
        <w:t xml:space="preserve"> </w:t>
      </w:r>
      <w:r w:rsidR="00B35613" w:rsidRPr="003A7E34">
        <w:rPr>
          <w:rFonts w:ascii="Times New Roman" w:eastAsia="Times New Roman" w:hAnsi="Times New Roman" w:cs="Times New Roman"/>
          <w:b/>
          <w:bCs/>
          <w:noProof/>
          <w:lang w:val="en-US"/>
        </w:rPr>
        <w:t>Strategies, plans and measures on adaptation to climate change</w:t>
      </w:r>
    </w:p>
    <w:p w14:paraId="53D56960" w14:textId="77777777" w:rsidR="00127C44" w:rsidRPr="003A7E34" w:rsidRDefault="00127C44" w:rsidP="00626132">
      <w:pPr>
        <w:pStyle w:val="ListParagraph"/>
        <w:spacing w:line="240" w:lineRule="auto"/>
        <w:ind w:left="0"/>
        <w:jc w:val="both"/>
        <w:rPr>
          <w:rFonts w:ascii="Times New Roman" w:hAnsi="Times New Roman" w:cs="Times New Roman"/>
          <w:b/>
          <w:noProof/>
        </w:rPr>
      </w:pPr>
    </w:p>
    <w:p w14:paraId="792053FB" w14:textId="6802660F" w:rsidR="00626132" w:rsidRPr="003A7E34" w:rsidRDefault="00626132" w:rsidP="00626132">
      <w:pPr>
        <w:pStyle w:val="ListParagraph"/>
        <w:spacing w:line="240" w:lineRule="auto"/>
        <w:ind w:left="0"/>
        <w:jc w:val="both"/>
        <w:rPr>
          <w:rFonts w:ascii="Times New Roman" w:hAnsi="Times New Roman" w:cs="Times New Roman"/>
        </w:rPr>
      </w:pPr>
      <w:r w:rsidRPr="003A7E34">
        <w:rPr>
          <w:rFonts w:ascii="Times New Roman" w:hAnsi="Times New Roman" w:cs="Times New Roman"/>
          <w:b/>
          <w:noProof/>
        </w:rPr>
        <w:t>The Strategy for National Climate Change Management Policy for 2013 – 2050</w:t>
      </w:r>
      <w:r w:rsidRPr="003A7E34">
        <w:rPr>
          <w:rFonts w:ascii="Times New Roman" w:hAnsi="Times New Roman" w:cs="Times New Roman"/>
          <w:noProof/>
        </w:rPr>
        <w:t xml:space="preserve"> is an integrated Strategy, which covers both adaptation to climate change and climate change mitigation policies. The strategic goal of Lithuania's climate change adaptation policy as determined by the Strategy is to reduce vulnerability of natural ecosystems and domestic economic sectors by implementing measures for maintaining and increasing their resilience to climate change and ensuring favourable conditions for social life and economic activities. The specific short-term by 2020 climate change adaptation goals and objectives are set in the following sectors: agriculture, soil; forestry, ecosystems, biodiversity, landscape; water resources; energy, transport, industry; public health. Indicative medium-term (by 2030 and 2040) and long-term (by 2050) adaptation to  climate change goals and objectives are the following:</w:t>
      </w:r>
    </w:p>
    <w:p w14:paraId="6842CF8C" w14:textId="77777777" w:rsidR="00626132" w:rsidRPr="003A7E34" w:rsidRDefault="00626132" w:rsidP="00626132">
      <w:pPr>
        <w:spacing w:before="0" w:after="0"/>
        <w:rPr>
          <w:noProof/>
          <w:lang w:val="en-US"/>
        </w:rPr>
      </w:pPr>
      <w:bookmarkStart w:id="73" w:name="part_5533d2eb6ed14ebaacc395e7175b155b"/>
      <w:bookmarkEnd w:id="73"/>
      <w:r w:rsidRPr="003A7E34">
        <w:rPr>
          <w:noProof/>
        </w:rPr>
        <w:t>The first goal is related to continuous monitoring and survey of the most vulnerable economic sectors and ensuring resilience of such sectors, especially agriculture, to climate change</w:t>
      </w:r>
      <w:bookmarkStart w:id="74" w:name="part_c2efb20027834a3cb367cb0ca0f110d2"/>
      <w:bookmarkEnd w:id="74"/>
      <w:r w:rsidRPr="003A7E34">
        <w:rPr>
          <w:noProof/>
        </w:rPr>
        <w:t>. This goal will be reached implementing the following objectives:</w:t>
      </w:r>
    </w:p>
    <w:p w14:paraId="6621285D" w14:textId="77777777" w:rsidR="00626132" w:rsidRPr="003A7E34" w:rsidRDefault="00626132" w:rsidP="00626132">
      <w:pPr>
        <w:pStyle w:val="ListParagraph"/>
        <w:numPr>
          <w:ilvl w:val="0"/>
          <w:numId w:val="51"/>
        </w:numPr>
        <w:spacing w:after="0" w:line="240" w:lineRule="auto"/>
        <w:jc w:val="both"/>
        <w:rPr>
          <w:rFonts w:ascii="Times New Roman" w:hAnsi="Times New Roman" w:cs="Times New Roman"/>
          <w:noProof/>
        </w:rPr>
      </w:pPr>
      <w:r w:rsidRPr="003A7E34">
        <w:rPr>
          <w:rFonts w:ascii="Times New Roman" w:hAnsi="Times New Roman" w:cs="Times New Roman"/>
          <w:noProof/>
        </w:rPr>
        <w:t>ensuring continuous monitoring of climate change sensitive sectors and effective implementation of measures reducing climate change effects;</w:t>
      </w:r>
      <w:bookmarkStart w:id="75" w:name="part_ea26b75421814f5a91eb2a70a266849e"/>
      <w:bookmarkEnd w:id="75"/>
    </w:p>
    <w:p w14:paraId="21167751" w14:textId="77777777" w:rsidR="00626132" w:rsidRPr="003A7E34" w:rsidRDefault="00626132" w:rsidP="00626132">
      <w:pPr>
        <w:pStyle w:val="ListParagraph"/>
        <w:numPr>
          <w:ilvl w:val="0"/>
          <w:numId w:val="51"/>
        </w:numPr>
        <w:spacing w:after="0" w:line="240" w:lineRule="auto"/>
        <w:jc w:val="both"/>
        <w:rPr>
          <w:rFonts w:ascii="Times New Roman" w:hAnsi="Times New Roman" w:cs="Times New Roman"/>
          <w:noProof/>
        </w:rPr>
      </w:pPr>
      <w:r w:rsidRPr="003A7E34">
        <w:rPr>
          <w:rFonts w:ascii="Times New Roman" w:hAnsi="Times New Roman" w:cs="Times New Roman"/>
          <w:noProof/>
        </w:rPr>
        <w:t>ensuring the resilience of the engineering infrastructure to climate change;</w:t>
      </w:r>
      <w:bookmarkStart w:id="76" w:name="part_05dc40b346ac4d3690fc0bad57549fc8"/>
      <w:bookmarkEnd w:id="76"/>
    </w:p>
    <w:p w14:paraId="75EC17BE" w14:textId="77777777" w:rsidR="00626132" w:rsidRPr="003A7E34" w:rsidRDefault="00626132" w:rsidP="00626132">
      <w:pPr>
        <w:pStyle w:val="ListParagraph"/>
        <w:numPr>
          <w:ilvl w:val="0"/>
          <w:numId w:val="51"/>
        </w:numPr>
        <w:spacing w:after="0" w:line="240" w:lineRule="auto"/>
        <w:jc w:val="both"/>
        <w:rPr>
          <w:rFonts w:ascii="Times New Roman" w:hAnsi="Times New Roman" w:cs="Times New Roman"/>
          <w:noProof/>
        </w:rPr>
      </w:pPr>
      <w:r w:rsidRPr="003A7E34">
        <w:rPr>
          <w:rFonts w:ascii="Times New Roman" w:hAnsi="Times New Roman" w:cs="Times New Roman"/>
          <w:noProof/>
        </w:rPr>
        <w:t>monitoring, investigating and assessing the impact of climate change on the agricultural sector and, in the context of changes, adapting agricultural production to climate change;</w:t>
      </w:r>
      <w:bookmarkStart w:id="77" w:name="part_65c17ff03bc5448e8525a6cd7efae85d"/>
      <w:bookmarkEnd w:id="77"/>
    </w:p>
    <w:p w14:paraId="7D57D280" w14:textId="77777777" w:rsidR="00626132" w:rsidRPr="003A7E34" w:rsidRDefault="00626132" w:rsidP="00626132">
      <w:pPr>
        <w:pStyle w:val="ListParagraph"/>
        <w:numPr>
          <w:ilvl w:val="0"/>
          <w:numId w:val="51"/>
        </w:numPr>
        <w:spacing w:after="0" w:line="240" w:lineRule="auto"/>
        <w:jc w:val="both"/>
        <w:rPr>
          <w:rFonts w:ascii="Times New Roman" w:hAnsi="Times New Roman" w:cs="Times New Roman"/>
          <w:noProof/>
        </w:rPr>
      </w:pPr>
      <w:r w:rsidRPr="003A7E34">
        <w:rPr>
          <w:rFonts w:ascii="Times New Roman" w:hAnsi="Times New Roman" w:cs="Times New Roman"/>
          <w:noProof/>
        </w:rPr>
        <w:t>organising proper selection and implementation of measures increasing resilience of agricultural and other sensitive sectors to climate change;</w:t>
      </w:r>
      <w:bookmarkStart w:id="78" w:name="part_4f108c9b634a4fe681994ad171da0bb0"/>
      <w:bookmarkEnd w:id="78"/>
    </w:p>
    <w:p w14:paraId="2D3369B8" w14:textId="77777777" w:rsidR="00626132" w:rsidRPr="003A7E34" w:rsidRDefault="00626132" w:rsidP="00626132">
      <w:pPr>
        <w:pStyle w:val="ListParagraph"/>
        <w:numPr>
          <w:ilvl w:val="0"/>
          <w:numId w:val="51"/>
        </w:numPr>
        <w:spacing w:after="0" w:line="240" w:lineRule="auto"/>
        <w:jc w:val="both"/>
        <w:rPr>
          <w:rFonts w:ascii="Times New Roman" w:hAnsi="Times New Roman" w:cs="Times New Roman"/>
          <w:noProof/>
        </w:rPr>
      </w:pPr>
      <w:r w:rsidRPr="003A7E34">
        <w:rPr>
          <w:rFonts w:ascii="Times New Roman" w:hAnsi="Times New Roman" w:cs="Times New Roman"/>
          <w:noProof/>
        </w:rPr>
        <w:t>ensuring sparing use of such natural resources as water, biodiversity and soil</w:t>
      </w:r>
      <w:bookmarkStart w:id="79" w:name="part_336cbf6f414c4a19b8545a012521a316"/>
      <w:bookmarkEnd w:id="79"/>
      <w:r w:rsidRPr="003A7E34">
        <w:rPr>
          <w:rFonts w:ascii="Times New Roman" w:hAnsi="Times New Roman" w:cs="Times New Roman"/>
          <w:noProof/>
        </w:rPr>
        <w:t>.</w:t>
      </w:r>
    </w:p>
    <w:p w14:paraId="63CCEA72" w14:textId="77777777" w:rsidR="006B3BE4" w:rsidRPr="003A7E34" w:rsidRDefault="006B3BE4" w:rsidP="00626132">
      <w:pPr>
        <w:spacing w:before="0" w:after="0"/>
        <w:rPr>
          <w:noProof/>
        </w:rPr>
      </w:pPr>
    </w:p>
    <w:p w14:paraId="286B7D01" w14:textId="77777777" w:rsidR="00626132" w:rsidRPr="003A7E34" w:rsidRDefault="00626132" w:rsidP="00626132">
      <w:pPr>
        <w:spacing w:before="0" w:after="0"/>
        <w:rPr>
          <w:noProof/>
        </w:rPr>
      </w:pPr>
      <w:r w:rsidRPr="003A7E34">
        <w:rPr>
          <w:noProof/>
        </w:rPr>
        <w:t xml:space="preserve">The second goal  is related to promotion of cooperation with other countries in relation to climate change adaptation. </w:t>
      </w:r>
      <w:bookmarkStart w:id="80" w:name="part_9af1c651e1f84cb7a3463f706171dd67"/>
      <w:bookmarkEnd w:id="80"/>
      <w:r w:rsidRPr="003A7E34">
        <w:rPr>
          <w:noProof/>
        </w:rPr>
        <w:t xml:space="preserve">In order to attain the goal </w:t>
      </w:r>
      <w:bookmarkStart w:id="81" w:name="part_34e7692d9da0453e9a69702d56930195"/>
      <w:bookmarkEnd w:id="81"/>
      <w:r w:rsidRPr="003A7E34">
        <w:rPr>
          <w:noProof/>
        </w:rPr>
        <w:t>these objectives are set:</w:t>
      </w:r>
    </w:p>
    <w:p w14:paraId="3EA75BF1" w14:textId="77777777" w:rsidR="00626132" w:rsidRPr="003A7E34" w:rsidRDefault="00626132" w:rsidP="00626132">
      <w:pPr>
        <w:pStyle w:val="ListParagraph"/>
        <w:numPr>
          <w:ilvl w:val="0"/>
          <w:numId w:val="52"/>
        </w:numPr>
        <w:spacing w:after="0" w:line="240" w:lineRule="auto"/>
        <w:jc w:val="both"/>
        <w:rPr>
          <w:rFonts w:ascii="Times New Roman" w:hAnsi="Times New Roman" w:cs="Times New Roman"/>
          <w:noProof/>
          <w:lang w:val="en-US"/>
        </w:rPr>
      </w:pPr>
      <w:r w:rsidRPr="003A7E34">
        <w:rPr>
          <w:rFonts w:ascii="Times New Roman" w:hAnsi="Times New Roman" w:cs="Times New Roman"/>
          <w:noProof/>
        </w:rPr>
        <w:t>ensuring long-term effective management of financial and technical resources and implementation of measures in third countries;</w:t>
      </w:r>
      <w:bookmarkStart w:id="82" w:name="part_c98c0f368dfd469d9383e86fcfd02dfa"/>
      <w:bookmarkEnd w:id="82"/>
    </w:p>
    <w:p w14:paraId="357EF874" w14:textId="77777777" w:rsidR="00626132" w:rsidRPr="003A7E34" w:rsidRDefault="00626132" w:rsidP="00626132">
      <w:pPr>
        <w:pStyle w:val="ListParagraph"/>
        <w:numPr>
          <w:ilvl w:val="0"/>
          <w:numId w:val="52"/>
        </w:numPr>
        <w:spacing w:after="0" w:line="240" w:lineRule="auto"/>
        <w:jc w:val="both"/>
        <w:rPr>
          <w:rFonts w:ascii="Times New Roman" w:hAnsi="Times New Roman" w:cs="Times New Roman"/>
          <w:noProof/>
          <w:lang w:val="en-US"/>
        </w:rPr>
      </w:pPr>
      <w:r w:rsidRPr="003A7E34">
        <w:rPr>
          <w:rFonts w:ascii="Times New Roman" w:hAnsi="Times New Roman" w:cs="Times New Roman"/>
          <w:noProof/>
        </w:rPr>
        <w:t xml:space="preserve">continuous support for preparation and implementation of pilot climate change adaptation projects in developing countries in order to increase their resilience to climate change. </w:t>
      </w:r>
    </w:p>
    <w:p w14:paraId="194998CB" w14:textId="77777777" w:rsidR="006B3BE4" w:rsidRPr="003A7E34" w:rsidRDefault="006B3BE4" w:rsidP="00626132">
      <w:pPr>
        <w:pStyle w:val="ListParagraph"/>
        <w:spacing w:after="0" w:line="240" w:lineRule="auto"/>
        <w:ind w:left="0"/>
        <w:jc w:val="both"/>
        <w:rPr>
          <w:rFonts w:ascii="Times New Roman" w:hAnsi="Times New Roman" w:cs="Times New Roman"/>
          <w:noProof/>
        </w:rPr>
      </w:pPr>
    </w:p>
    <w:p w14:paraId="7979F7D8" w14:textId="054AC709" w:rsidR="00626132" w:rsidRPr="003A7E34" w:rsidRDefault="00626132" w:rsidP="00626132">
      <w:pPr>
        <w:pStyle w:val="ListParagraph"/>
        <w:spacing w:after="0" w:line="240" w:lineRule="auto"/>
        <w:ind w:left="0"/>
        <w:jc w:val="both"/>
        <w:rPr>
          <w:rFonts w:ascii="Times New Roman" w:hAnsi="Times New Roman" w:cs="Times New Roman"/>
          <w:noProof/>
        </w:rPr>
      </w:pPr>
      <w:r w:rsidRPr="003A7E34">
        <w:rPr>
          <w:rFonts w:ascii="Times New Roman" w:hAnsi="Times New Roman" w:cs="Times New Roman"/>
          <w:noProof/>
        </w:rPr>
        <w:t xml:space="preserve">Following guiding principles of the Strategy </w:t>
      </w:r>
      <w:r w:rsidRPr="003A7E34">
        <w:rPr>
          <w:rFonts w:ascii="Times New Roman" w:eastAsia="Times New Roman" w:hAnsi="Times New Roman" w:cs="Times New Roman"/>
        </w:rPr>
        <w:t>sectorial ministries, municipal and other institutions within their remit are responsible for mainstreaming climate goals</w:t>
      </w:r>
      <w:r w:rsidRPr="003A7E34">
        <w:rPr>
          <w:rFonts w:ascii="Times New Roman" w:eastAsia="Times New Roman" w:hAnsi="Times New Roman"/>
        </w:rPr>
        <w:t xml:space="preserve"> </w:t>
      </w:r>
      <w:r w:rsidRPr="003A7E34">
        <w:rPr>
          <w:rFonts w:ascii="Times New Roman" w:eastAsia="Times New Roman" w:hAnsi="Times New Roman" w:cs="Times New Roman"/>
        </w:rPr>
        <w:t>and objectives into sectoral strategies and programmes and implementing related measures in Lithuania.</w:t>
      </w:r>
      <w:r w:rsidRPr="003A7E34">
        <w:rPr>
          <w:rFonts w:ascii="Times New Roman" w:hAnsi="Times New Roman" w:cs="Times New Roman"/>
          <w:noProof/>
        </w:rPr>
        <w:t xml:space="preserve"> </w:t>
      </w:r>
    </w:p>
    <w:p w14:paraId="57261865" w14:textId="2AC8E0CE" w:rsidR="00626132" w:rsidRPr="003A7E34" w:rsidRDefault="00626132" w:rsidP="00626132">
      <w:pPr>
        <w:pStyle w:val="ListParagraph"/>
        <w:spacing w:after="0" w:line="240" w:lineRule="auto"/>
        <w:ind w:left="0"/>
        <w:jc w:val="both"/>
        <w:rPr>
          <w:rFonts w:ascii="Times New Roman" w:hAnsi="Times New Roman" w:cs="Times New Roman"/>
          <w:noProof/>
        </w:rPr>
      </w:pPr>
      <w:r w:rsidRPr="003A7E34">
        <w:rPr>
          <w:rFonts w:ascii="Times New Roman" w:hAnsi="Times New Roman" w:cs="Times New Roman"/>
          <w:noProof/>
        </w:rPr>
        <w:t>Update of the Strategy  aiming to set legally biding adaptation to climate change goals and objetives for the period 2021</w:t>
      </w:r>
      <w:r w:rsidR="006B3BE4" w:rsidRPr="003A7E34">
        <w:rPr>
          <w:rFonts w:ascii="Times New Roman" w:hAnsi="Times New Roman" w:cs="Times New Roman"/>
          <w:noProof/>
        </w:rPr>
        <w:t xml:space="preserve"> –</w:t>
      </w:r>
      <w:r w:rsidRPr="003A7E34">
        <w:rPr>
          <w:rFonts w:ascii="Times New Roman" w:hAnsi="Times New Roman" w:cs="Times New Roman"/>
          <w:noProof/>
        </w:rPr>
        <w:t xml:space="preserve"> 2030  is planned by the end of 2019.</w:t>
      </w:r>
    </w:p>
    <w:p w14:paraId="2DA035D7" w14:textId="77777777" w:rsidR="00626132" w:rsidRPr="003A7E34" w:rsidRDefault="00626132" w:rsidP="008223E8">
      <w:pPr>
        <w:spacing w:before="0"/>
        <w:rPr>
          <w:rFonts w:eastAsia="Times New Roman"/>
          <w:lang w:val="en-US"/>
        </w:rPr>
      </w:pPr>
    </w:p>
    <w:p w14:paraId="58E5BE97" w14:textId="53150421" w:rsidR="00E86BD1" w:rsidRPr="003A7E34" w:rsidRDefault="5E230566" w:rsidP="00E86BD1">
      <w:pPr>
        <w:spacing w:before="0"/>
        <w:rPr>
          <w:rFonts w:eastAsia="Times New Roman"/>
          <w:sz w:val="20"/>
          <w:szCs w:val="20"/>
          <w:lang w:val="en-US"/>
        </w:rPr>
      </w:pPr>
      <w:r w:rsidRPr="003A7E34">
        <w:rPr>
          <w:rFonts w:eastAsia="Times New Roman"/>
          <w:b/>
          <w:bCs/>
          <w:sz w:val="20"/>
          <w:szCs w:val="20"/>
          <w:lang w:val="en-US"/>
        </w:rPr>
        <w:t xml:space="preserve">Table 3.1.3.1. </w:t>
      </w:r>
      <w:r w:rsidRPr="003A7E34">
        <w:rPr>
          <w:rFonts w:eastAsia="Times New Roman"/>
          <w:sz w:val="20"/>
          <w:szCs w:val="20"/>
          <w:lang w:val="en-US"/>
        </w:rPr>
        <w:t>The summary table of adaptation policies and measures in different sector</w:t>
      </w:r>
      <w:r w:rsidR="00576114" w:rsidRPr="003A7E34">
        <w:rPr>
          <w:rFonts w:eastAsia="Times New Roman"/>
          <w:sz w:val="20"/>
          <w:szCs w:val="20"/>
          <w:lang w:val="en-US"/>
        </w:rPr>
        <w:t>s</w:t>
      </w:r>
      <w:r w:rsidRPr="003A7E34">
        <w:rPr>
          <w:rFonts w:eastAsia="Times New Roman"/>
          <w:sz w:val="20"/>
          <w:szCs w:val="20"/>
          <w:lang w:val="en-US"/>
        </w:rPr>
        <w:t xml:space="preserve"> in 2021 – 2030.</w:t>
      </w:r>
    </w:p>
    <w:tbl>
      <w:tblPr>
        <w:tblStyle w:val="TableGrid"/>
        <w:tblW w:w="9464" w:type="dxa"/>
        <w:tblLayout w:type="fixed"/>
        <w:tblLook w:val="04A0" w:firstRow="1" w:lastRow="0" w:firstColumn="1" w:lastColumn="0" w:noHBand="0" w:noVBand="1"/>
      </w:tblPr>
      <w:tblGrid>
        <w:gridCol w:w="2517"/>
        <w:gridCol w:w="3685"/>
        <w:gridCol w:w="2268"/>
        <w:gridCol w:w="994"/>
      </w:tblGrid>
      <w:tr w:rsidR="003A7E34" w:rsidRPr="003A7E34" w14:paraId="0248AA7E" w14:textId="77777777" w:rsidTr="008F3CA5">
        <w:trPr>
          <w:trHeight w:val="632"/>
        </w:trPr>
        <w:tc>
          <w:tcPr>
            <w:tcW w:w="2517" w:type="dxa"/>
          </w:tcPr>
          <w:p w14:paraId="1602E25A" w14:textId="77777777" w:rsidR="008F3CA5" w:rsidRPr="003A7E34" w:rsidRDefault="008F3CA5" w:rsidP="008F3CA5">
            <w:pPr>
              <w:spacing w:before="0" w:after="0"/>
              <w:rPr>
                <w:rFonts w:eastAsia="Times New Roman"/>
                <w:b/>
                <w:bCs/>
                <w:sz w:val="20"/>
                <w:szCs w:val="20"/>
                <w:lang w:val="en-US"/>
              </w:rPr>
            </w:pPr>
            <w:r w:rsidRPr="003A7E34">
              <w:rPr>
                <w:rFonts w:eastAsia="Times New Roman"/>
                <w:b/>
                <w:bCs/>
                <w:sz w:val="20"/>
                <w:szCs w:val="20"/>
                <w:lang w:val="en-US"/>
              </w:rPr>
              <w:lastRenderedPageBreak/>
              <w:t>Measures</w:t>
            </w:r>
          </w:p>
        </w:tc>
        <w:tc>
          <w:tcPr>
            <w:tcW w:w="3685" w:type="dxa"/>
          </w:tcPr>
          <w:p w14:paraId="07B25779" w14:textId="77777777" w:rsidR="008F3CA5" w:rsidRPr="003A7E34" w:rsidRDefault="008F3CA5" w:rsidP="008F3CA5">
            <w:pPr>
              <w:spacing w:before="0" w:after="0"/>
              <w:rPr>
                <w:rFonts w:eastAsia="Times New Roman"/>
                <w:b/>
                <w:bCs/>
                <w:sz w:val="20"/>
                <w:szCs w:val="20"/>
                <w:lang w:val="en-US"/>
              </w:rPr>
            </w:pPr>
            <w:r w:rsidRPr="003A7E34">
              <w:rPr>
                <w:rFonts w:eastAsia="Times New Roman"/>
                <w:b/>
                <w:bCs/>
                <w:sz w:val="20"/>
                <w:szCs w:val="20"/>
                <w:lang w:val="en-US"/>
              </w:rPr>
              <w:t>Objectives</w:t>
            </w:r>
          </w:p>
        </w:tc>
        <w:tc>
          <w:tcPr>
            <w:tcW w:w="2268" w:type="dxa"/>
          </w:tcPr>
          <w:p w14:paraId="5FD284B3" w14:textId="77777777" w:rsidR="008F3CA5" w:rsidRPr="003A7E34" w:rsidRDefault="008F3CA5" w:rsidP="008F3CA5">
            <w:pPr>
              <w:spacing w:before="0" w:after="0"/>
              <w:rPr>
                <w:rFonts w:eastAsia="Times New Roman"/>
                <w:b/>
                <w:bCs/>
                <w:sz w:val="20"/>
                <w:szCs w:val="20"/>
                <w:lang w:val="en-US"/>
              </w:rPr>
            </w:pPr>
            <w:r w:rsidRPr="003A7E34">
              <w:rPr>
                <w:rFonts w:eastAsia="Times New Roman"/>
                <w:b/>
                <w:bCs/>
                <w:sz w:val="20"/>
                <w:szCs w:val="20"/>
                <w:lang w:val="en-US"/>
              </w:rPr>
              <w:t>Entities responsible for implementing the policy</w:t>
            </w:r>
          </w:p>
        </w:tc>
        <w:tc>
          <w:tcPr>
            <w:tcW w:w="994" w:type="dxa"/>
          </w:tcPr>
          <w:p w14:paraId="2A39B104" w14:textId="77777777" w:rsidR="008F3CA5" w:rsidRPr="003A7E34" w:rsidRDefault="008F3CA5" w:rsidP="008F3CA5">
            <w:pPr>
              <w:spacing w:before="0" w:after="0"/>
              <w:rPr>
                <w:rFonts w:eastAsia="Times New Roman"/>
                <w:b/>
                <w:bCs/>
                <w:sz w:val="20"/>
                <w:szCs w:val="20"/>
                <w:lang w:val="en-US"/>
              </w:rPr>
            </w:pPr>
            <w:r w:rsidRPr="003A7E34">
              <w:rPr>
                <w:rFonts w:eastAsia="Times New Roman"/>
                <w:b/>
                <w:bCs/>
                <w:sz w:val="20"/>
                <w:szCs w:val="20"/>
                <w:lang w:val="en-US"/>
              </w:rPr>
              <w:t>Planned budget</w:t>
            </w:r>
            <w:r w:rsidRPr="003A7E34">
              <w:rPr>
                <w:rFonts w:eastAsia="Times New Roman"/>
                <w:b/>
                <w:bCs/>
                <w:sz w:val="20"/>
                <w:szCs w:val="20"/>
                <w:vertAlign w:val="superscript"/>
                <w:lang w:val="en-US"/>
              </w:rPr>
              <w:t>1,2,3</w:t>
            </w:r>
            <w:r w:rsidRPr="003A7E34">
              <w:rPr>
                <w:rFonts w:eastAsia="Times New Roman"/>
                <w:b/>
                <w:bCs/>
                <w:sz w:val="20"/>
                <w:szCs w:val="20"/>
                <w:lang w:val="en-US"/>
              </w:rPr>
              <w:t>, MEUR</w:t>
            </w:r>
          </w:p>
        </w:tc>
      </w:tr>
      <w:tr w:rsidR="003A7E34" w:rsidRPr="003A7E34" w14:paraId="6BD58894" w14:textId="77777777" w:rsidTr="008F3CA5">
        <w:trPr>
          <w:trHeight w:val="314"/>
        </w:trPr>
        <w:tc>
          <w:tcPr>
            <w:tcW w:w="9464" w:type="dxa"/>
            <w:gridSpan w:val="4"/>
          </w:tcPr>
          <w:p w14:paraId="38C1548D" w14:textId="77777777" w:rsidR="008F3CA5" w:rsidRPr="003A7E34" w:rsidRDefault="008F3CA5" w:rsidP="008F3CA5">
            <w:pPr>
              <w:spacing w:before="0" w:after="0"/>
              <w:jc w:val="center"/>
              <w:rPr>
                <w:rFonts w:eastAsia="Times New Roman"/>
                <w:b/>
                <w:bCs/>
                <w:sz w:val="20"/>
                <w:szCs w:val="20"/>
                <w:lang w:val="en-US"/>
              </w:rPr>
            </w:pPr>
            <w:r w:rsidRPr="003A7E34">
              <w:rPr>
                <w:rFonts w:eastAsia="Times New Roman"/>
                <w:b/>
                <w:bCs/>
                <w:sz w:val="20"/>
                <w:szCs w:val="20"/>
                <w:lang w:val="en-US"/>
              </w:rPr>
              <w:t>Cross-cutting measures</w:t>
            </w:r>
          </w:p>
        </w:tc>
      </w:tr>
      <w:tr w:rsidR="003A7E34" w:rsidRPr="003A7E34" w14:paraId="341917FB" w14:textId="77777777" w:rsidTr="008F3CA5">
        <w:trPr>
          <w:trHeight w:val="635"/>
        </w:trPr>
        <w:tc>
          <w:tcPr>
            <w:tcW w:w="2517" w:type="dxa"/>
          </w:tcPr>
          <w:p w14:paraId="79E5810F"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Times New Roman"/>
                <w:sz w:val="20"/>
                <w:szCs w:val="20"/>
                <w:lang w:val="en-US"/>
              </w:rPr>
              <w:t>Ensure continuous improvement of the meteorological and hydrological monitoring network</w:t>
            </w:r>
          </w:p>
        </w:tc>
        <w:tc>
          <w:tcPr>
            <w:tcW w:w="3685" w:type="dxa"/>
          </w:tcPr>
          <w:p w14:paraId="749520D8"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Regular update of the meteorological and hydrological observation system</w:t>
            </w:r>
          </w:p>
        </w:tc>
        <w:tc>
          <w:tcPr>
            <w:tcW w:w="2268" w:type="dxa"/>
          </w:tcPr>
          <w:p w14:paraId="1819FD2D"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Environment (Lithuanian Hydrometeorological Service)</w:t>
            </w:r>
          </w:p>
        </w:tc>
        <w:tc>
          <w:tcPr>
            <w:tcW w:w="994" w:type="dxa"/>
          </w:tcPr>
          <w:p w14:paraId="381260D2"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15.81</w:t>
            </w:r>
            <w:r w:rsidRPr="003A7E34">
              <w:rPr>
                <w:rFonts w:eastAsia="Times New Roman"/>
                <w:b/>
                <w:bCs/>
                <w:sz w:val="20"/>
                <w:szCs w:val="20"/>
                <w:vertAlign w:val="superscript"/>
                <w:lang w:val="en-US"/>
              </w:rPr>
              <w:t>1</w:t>
            </w:r>
          </w:p>
        </w:tc>
      </w:tr>
      <w:tr w:rsidR="003A7E34" w:rsidRPr="003A7E34" w14:paraId="59846335" w14:textId="77777777" w:rsidTr="008F3CA5">
        <w:trPr>
          <w:trHeight w:val="635"/>
        </w:trPr>
        <w:tc>
          <w:tcPr>
            <w:tcW w:w="2517" w:type="dxa"/>
          </w:tcPr>
          <w:p w14:paraId="41B9BACC"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Times New Roman"/>
                <w:sz w:val="20"/>
                <w:szCs w:val="20"/>
                <w:lang w:val="en-US"/>
              </w:rPr>
              <w:t>Improvement of the geological monitoring network</w:t>
            </w:r>
          </w:p>
        </w:tc>
        <w:tc>
          <w:tcPr>
            <w:tcW w:w="3685" w:type="dxa"/>
          </w:tcPr>
          <w:p w14:paraId="0D3FE9F2"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Regular update of the surface and underground water monitoring system – to supplement it with indicators from studies on climate change effects</w:t>
            </w:r>
          </w:p>
        </w:tc>
        <w:tc>
          <w:tcPr>
            <w:tcW w:w="2268" w:type="dxa"/>
          </w:tcPr>
          <w:p w14:paraId="67FEA77A"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Environment (Lithuanian Geological Service)</w:t>
            </w:r>
          </w:p>
        </w:tc>
        <w:tc>
          <w:tcPr>
            <w:tcW w:w="994" w:type="dxa"/>
          </w:tcPr>
          <w:p w14:paraId="2F6BE6DC"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w:t>
            </w:r>
          </w:p>
        </w:tc>
      </w:tr>
      <w:tr w:rsidR="003A7E34" w:rsidRPr="003A7E34" w14:paraId="0F25D63B" w14:textId="77777777" w:rsidTr="008F3CA5">
        <w:trPr>
          <w:trHeight w:val="635"/>
        </w:trPr>
        <w:tc>
          <w:tcPr>
            <w:tcW w:w="2517" w:type="dxa"/>
          </w:tcPr>
          <w:p w14:paraId="46DEC790"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Times New Roman"/>
                <w:sz w:val="20"/>
                <w:szCs w:val="20"/>
                <w:lang w:val="en-US"/>
              </w:rPr>
              <w:t xml:space="preserve">Modernize the weather forecast and warning system to Multi-hazard Impact-based Services </w:t>
            </w:r>
          </w:p>
        </w:tc>
        <w:tc>
          <w:tcPr>
            <w:tcW w:w="3685" w:type="dxa"/>
          </w:tcPr>
          <w:p w14:paraId="6B9ABAF3"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 xml:space="preserve">In 2022, modernize the weather forecast and warning system to Multi-hazard Impact-based Services </w:t>
            </w:r>
          </w:p>
        </w:tc>
        <w:tc>
          <w:tcPr>
            <w:tcW w:w="2268" w:type="dxa"/>
          </w:tcPr>
          <w:p w14:paraId="2A02DBBD"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Environment (Lithuanian Hydrometeorological Service)</w:t>
            </w:r>
          </w:p>
        </w:tc>
        <w:tc>
          <w:tcPr>
            <w:tcW w:w="994" w:type="dxa"/>
          </w:tcPr>
          <w:p w14:paraId="4AB4A4DF" w14:textId="77777777" w:rsidR="008F3CA5" w:rsidRPr="003A7E34" w:rsidRDefault="008F3CA5" w:rsidP="008F3CA5">
            <w:pPr>
              <w:spacing w:before="0" w:after="0"/>
              <w:rPr>
                <w:rFonts w:eastAsia="Times New Roman"/>
                <w:sz w:val="20"/>
                <w:szCs w:val="20"/>
                <w:vertAlign w:val="superscript"/>
                <w:lang w:val="en-US"/>
              </w:rPr>
            </w:pPr>
            <w:r w:rsidRPr="003A7E34">
              <w:rPr>
                <w:rFonts w:eastAsia="Times New Roman"/>
                <w:sz w:val="20"/>
                <w:szCs w:val="20"/>
                <w:lang w:val="en-US"/>
              </w:rPr>
              <w:t>0.15</w:t>
            </w:r>
            <w:r w:rsidRPr="003A7E34">
              <w:rPr>
                <w:rFonts w:eastAsia="Times New Roman"/>
                <w:sz w:val="20"/>
                <w:szCs w:val="20"/>
                <w:vertAlign w:val="superscript"/>
                <w:lang w:val="en-US"/>
              </w:rPr>
              <w:t>1,2</w:t>
            </w:r>
          </w:p>
        </w:tc>
      </w:tr>
      <w:tr w:rsidR="003A7E34" w:rsidRPr="003A7E34" w14:paraId="06D6A91A" w14:textId="77777777" w:rsidTr="008F3CA5">
        <w:trPr>
          <w:trHeight w:val="635"/>
        </w:trPr>
        <w:tc>
          <w:tcPr>
            <w:tcW w:w="2517" w:type="dxa"/>
          </w:tcPr>
          <w:p w14:paraId="39985965"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Times New Roman"/>
                <w:sz w:val="20"/>
                <w:szCs w:val="20"/>
                <w:lang w:val="en-US"/>
              </w:rPr>
              <w:t>Improvement of the Climate scenarios and adaptation options</w:t>
            </w:r>
          </w:p>
        </w:tc>
        <w:tc>
          <w:tcPr>
            <w:tcW w:w="3685" w:type="dxa"/>
          </w:tcPr>
          <w:p w14:paraId="24AA47DE"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Regular update the climate scenarios and climate adaptation measures.</w:t>
            </w:r>
          </w:p>
        </w:tc>
        <w:tc>
          <w:tcPr>
            <w:tcW w:w="2268" w:type="dxa"/>
          </w:tcPr>
          <w:p w14:paraId="3393D0C3"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Vilnius university, Geoscience institute</w:t>
            </w:r>
          </w:p>
        </w:tc>
        <w:tc>
          <w:tcPr>
            <w:tcW w:w="994" w:type="dxa"/>
          </w:tcPr>
          <w:p w14:paraId="48BC9CC2"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3</w:t>
            </w:r>
          </w:p>
        </w:tc>
      </w:tr>
      <w:tr w:rsidR="003A7E34" w:rsidRPr="003A7E34" w14:paraId="16132AF6" w14:textId="77777777" w:rsidTr="008F3CA5">
        <w:trPr>
          <w:trHeight w:val="635"/>
        </w:trPr>
        <w:tc>
          <w:tcPr>
            <w:tcW w:w="2517" w:type="dxa"/>
          </w:tcPr>
          <w:p w14:paraId="74221020"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Times New Roman"/>
                <w:sz w:val="20"/>
                <w:szCs w:val="20"/>
                <w:lang w:val="en-US"/>
              </w:rPr>
              <w:t>Improvement of risk management plans</w:t>
            </w:r>
          </w:p>
        </w:tc>
        <w:tc>
          <w:tcPr>
            <w:tcW w:w="3685" w:type="dxa"/>
          </w:tcPr>
          <w:p w14:paraId="59D198FB"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 xml:space="preserve">By 2030, prepare national and local plans for the recognition of climate risks and adaptation </w:t>
            </w:r>
          </w:p>
        </w:tc>
        <w:tc>
          <w:tcPr>
            <w:tcW w:w="2268" w:type="dxa"/>
          </w:tcPr>
          <w:p w14:paraId="58E6AAAD"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Interior</w:t>
            </w:r>
          </w:p>
          <w:p w14:paraId="242E925B"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Environment, Municipalities</w:t>
            </w:r>
          </w:p>
        </w:tc>
        <w:tc>
          <w:tcPr>
            <w:tcW w:w="994" w:type="dxa"/>
          </w:tcPr>
          <w:p w14:paraId="29B168EE" w14:textId="77777777" w:rsidR="008F3CA5" w:rsidRPr="003A7E34" w:rsidRDefault="008F3CA5" w:rsidP="008F3CA5">
            <w:pPr>
              <w:spacing w:before="0" w:after="0"/>
              <w:rPr>
                <w:rFonts w:eastAsia="Times New Roman"/>
                <w:sz w:val="20"/>
                <w:szCs w:val="20"/>
                <w:vertAlign w:val="superscript"/>
                <w:lang w:val="en-US"/>
              </w:rPr>
            </w:pPr>
            <w:r w:rsidRPr="003A7E34">
              <w:rPr>
                <w:rFonts w:eastAsia="Times New Roman"/>
                <w:sz w:val="20"/>
                <w:szCs w:val="20"/>
                <w:lang w:val="en-US"/>
              </w:rPr>
              <w:t>0.1</w:t>
            </w:r>
            <w:r w:rsidRPr="003A7E34">
              <w:rPr>
                <w:rFonts w:eastAsia="Times New Roman"/>
                <w:sz w:val="20"/>
                <w:szCs w:val="20"/>
                <w:vertAlign w:val="superscript"/>
                <w:lang w:val="en-US"/>
              </w:rPr>
              <w:t>3</w:t>
            </w:r>
          </w:p>
        </w:tc>
      </w:tr>
      <w:tr w:rsidR="003A7E34" w:rsidRPr="003A7E34" w14:paraId="08D5D6ED" w14:textId="77777777" w:rsidTr="008F3CA5">
        <w:trPr>
          <w:trHeight w:val="635"/>
        </w:trPr>
        <w:tc>
          <w:tcPr>
            <w:tcW w:w="2517" w:type="dxa"/>
          </w:tcPr>
          <w:p w14:paraId="7863D131"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Times New Roman"/>
                <w:sz w:val="20"/>
                <w:szCs w:val="20"/>
                <w:lang w:val="en-US"/>
              </w:rPr>
              <w:t xml:space="preserve">Participation in international cooperation </w:t>
            </w:r>
          </w:p>
        </w:tc>
        <w:tc>
          <w:tcPr>
            <w:tcW w:w="3685" w:type="dxa"/>
          </w:tcPr>
          <w:p w14:paraId="285D3CFD"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Constantly Participate in the international cooperation for climate adaptation and in the development of an international climate adaptation policy</w:t>
            </w:r>
          </w:p>
        </w:tc>
        <w:tc>
          <w:tcPr>
            <w:tcW w:w="2268" w:type="dxa"/>
          </w:tcPr>
          <w:p w14:paraId="1BF976E0"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 xml:space="preserve">Ministry of Environment </w:t>
            </w:r>
          </w:p>
        </w:tc>
        <w:tc>
          <w:tcPr>
            <w:tcW w:w="994" w:type="dxa"/>
          </w:tcPr>
          <w:p w14:paraId="4C52355C"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0.1</w:t>
            </w:r>
            <w:r w:rsidRPr="003A7E34">
              <w:rPr>
                <w:rFonts w:eastAsia="Times New Roman"/>
                <w:sz w:val="20"/>
                <w:szCs w:val="20"/>
                <w:vertAlign w:val="superscript"/>
                <w:lang w:val="en-US"/>
              </w:rPr>
              <w:t>2</w:t>
            </w:r>
          </w:p>
        </w:tc>
      </w:tr>
      <w:tr w:rsidR="003A7E34" w:rsidRPr="003A7E34" w14:paraId="7070F5AF" w14:textId="77777777" w:rsidTr="008F3CA5">
        <w:trPr>
          <w:trHeight w:val="635"/>
        </w:trPr>
        <w:tc>
          <w:tcPr>
            <w:tcW w:w="2517" w:type="dxa"/>
          </w:tcPr>
          <w:p w14:paraId="0EA30709"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Times New Roman"/>
                <w:sz w:val="20"/>
                <w:szCs w:val="20"/>
                <w:lang w:val="en-US"/>
              </w:rPr>
              <w:t>Improvement of the warning system</w:t>
            </w:r>
          </w:p>
        </w:tc>
        <w:tc>
          <w:tcPr>
            <w:tcW w:w="3685" w:type="dxa"/>
          </w:tcPr>
          <w:p w14:paraId="1F519BF2"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Regular update and strengthen capability to respond to the consequences of extreme natural phenomena caused by climate change</w:t>
            </w:r>
          </w:p>
        </w:tc>
        <w:tc>
          <w:tcPr>
            <w:tcW w:w="2268" w:type="dxa"/>
          </w:tcPr>
          <w:p w14:paraId="18D844D2"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 xml:space="preserve">Ministry of Interior </w:t>
            </w:r>
          </w:p>
        </w:tc>
        <w:tc>
          <w:tcPr>
            <w:tcW w:w="994" w:type="dxa"/>
          </w:tcPr>
          <w:p w14:paraId="3BD4DEB7"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w:t>
            </w:r>
          </w:p>
        </w:tc>
      </w:tr>
      <w:tr w:rsidR="003A7E34" w:rsidRPr="003A7E34" w14:paraId="3269F081" w14:textId="77777777" w:rsidTr="008F3CA5">
        <w:trPr>
          <w:trHeight w:val="635"/>
        </w:trPr>
        <w:tc>
          <w:tcPr>
            <w:tcW w:w="2517" w:type="dxa"/>
          </w:tcPr>
          <w:p w14:paraId="388E274C"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Times New Roman"/>
                <w:sz w:val="20"/>
                <w:szCs w:val="20"/>
                <w:lang w:val="en-US"/>
              </w:rPr>
              <w:t>Improvement of national building standards</w:t>
            </w:r>
          </w:p>
        </w:tc>
        <w:tc>
          <w:tcPr>
            <w:tcW w:w="3685" w:type="dxa"/>
          </w:tcPr>
          <w:p w14:paraId="408657AA"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 xml:space="preserve">By 2030, national building standards should be developed keeping in mind that infrastructure projects need to withstand the current and future impacts of climate change. </w:t>
            </w:r>
          </w:p>
        </w:tc>
        <w:tc>
          <w:tcPr>
            <w:tcW w:w="2268" w:type="dxa"/>
          </w:tcPr>
          <w:p w14:paraId="7CDDF26A"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Environment</w:t>
            </w:r>
          </w:p>
        </w:tc>
        <w:tc>
          <w:tcPr>
            <w:tcW w:w="994" w:type="dxa"/>
          </w:tcPr>
          <w:p w14:paraId="69A9CEA8" w14:textId="77777777" w:rsidR="008F3CA5" w:rsidRPr="003A7E34" w:rsidRDefault="008F3CA5" w:rsidP="008F3CA5">
            <w:pPr>
              <w:spacing w:before="0" w:after="0"/>
              <w:rPr>
                <w:rFonts w:eastAsia="Times New Roman"/>
                <w:sz w:val="20"/>
                <w:szCs w:val="20"/>
                <w:vertAlign w:val="superscript"/>
                <w:lang w:val="en-US"/>
              </w:rPr>
            </w:pPr>
            <w:r w:rsidRPr="003A7E34">
              <w:rPr>
                <w:rFonts w:eastAsia="Times New Roman"/>
                <w:sz w:val="20"/>
                <w:szCs w:val="20"/>
                <w:lang w:val="en-US"/>
              </w:rPr>
              <w:t>0.1</w:t>
            </w:r>
            <w:r w:rsidRPr="003A7E34">
              <w:rPr>
                <w:rFonts w:eastAsia="Times New Roman"/>
                <w:sz w:val="20"/>
                <w:szCs w:val="20"/>
                <w:vertAlign w:val="superscript"/>
                <w:lang w:val="en-US"/>
              </w:rPr>
              <w:t>1</w:t>
            </w:r>
          </w:p>
        </w:tc>
      </w:tr>
      <w:tr w:rsidR="003A7E34" w:rsidRPr="003A7E34" w14:paraId="1ECBACF2" w14:textId="77777777" w:rsidTr="008F3CA5">
        <w:trPr>
          <w:trHeight w:val="509"/>
        </w:trPr>
        <w:tc>
          <w:tcPr>
            <w:tcW w:w="2517" w:type="dxa"/>
          </w:tcPr>
          <w:p w14:paraId="253C46CD"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Times New Roman"/>
                <w:sz w:val="20"/>
                <w:szCs w:val="20"/>
                <w:lang w:val="en-US"/>
              </w:rPr>
              <w:t>Counselling of the business sector on adaption to climate change</w:t>
            </w:r>
          </w:p>
        </w:tc>
        <w:tc>
          <w:tcPr>
            <w:tcW w:w="3685" w:type="dxa"/>
          </w:tcPr>
          <w:p w14:paraId="1474FA52"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By 2023, develop an information and consultation infrastructure for business.</w:t>
            </w:r>
          </w:p>
        </w:tc>
        <w:tc>
          <w:tcPr>
            <w:tcW w:w="2268" w:type="dxa"/>
          </w:tcPr>
          <w:p w14:paraId="66B3D914"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Economy</w:t>
            </w:r>
          </w:p>
        </w:tc>
        <w:tc>
          <w:tcPr>
            <w:tcW w:w="994" w:type="dxa"/>
          </w:tcPr>
          <w:p w14:paraId="1C9BC470"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w:t>
            </w:r>
          </w:p>
        </w:tc>
      </w:tr>
      <w:tr w:rsidR="003A7E34" w:rsidRPr="003A7E34" w14:paraId="32ABA6E9" w14:textId="77777777" w:rsidTr="008F3CA5">
        <w:trPr>
          <w:trHeight w:val="509"/>
        </w:trPr>
        <w:tc>
          <w:tcPr>
            <w:tcW w:w="2517" w:type="dxa"/>
          </w:tcPr>
          <w:p w14:paraId="06B6727F"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Times New Roman"/>
                <w:sz w:val="20"/>
                <w:szCs w:val="20"/>
                <w:lang w:val="en-US"/>
              </w:rPr>
              <w:t>Improvement and upgrading ICT</w:t>
            </w:r>
            <w:r w:rsidRPr="003A7E34">
              <w:rPr>
                <w:rFonts w:eastAsia="Calibri"/>
              </w:rPr>
              <w:t xml:space="preserve"> </w:t>
            </w:r>
            <w:r w:rsidRPr="003A7E34">
              <w:rPr>
                <w:rFonts w:eastAsia="Times New Roman"/>
                <w:sz w:val="20"/>
                <w:szCs w:val="20"/>
                <w:lang w:val="en-US"/>
              </w:rPr>
              <w:t>infrastructure</w:t>
            </w:r>
          </w:p>
        </w:tc>
        <w:tc>
          <w:tcPr>
            <w:tcW w:w="3685" w:type="dxa"/>
          </w:tcPr>
          <w:p w14:paraId="2053168E"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Improvement and upgrade ICT (the telecommunication network and its elements such as terrestrial cables, submarine cables, wireless antennas, satellite networks, towers, telecom offices, data centres and customer premises equipment) infrastructure to adapt to the effects of climate change</w:t>
            </w:r>
          </w:p>
        </w:tc>
        <w:tc>
          <w:tcPr>
            <w:tcW w:w="2268" w:type="dxa"/>
          </w:tcPr>
          <w:p w14:paraId="2E9503B4"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Communications Regulatory Authority of the Republic of Lithuania</w:t>
            </w:r>
          </w:p>
        </w:tc>
        <w:tc>
          <w:tcPr>
            <w:tcW w:w="994" w:type="dxa"/>
          </w:tcPr>
          <w:p w14:paraId="25BBDA1F"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w:t>
            </w:r>
          </w:p>
        </w:tc>
      </w:tr>
      <w:tr w:rsidR="003A7E34" w:rsidRPr="003A7E34" w14:paraId="4DFFC08F" w14:textId="77777777" w:rsidTr="008F3CA5">
        <w:trPr>
          <w:trHeight w:val="509"/>
        </w:trPr>
        <w:tc>
          <w:tcPr>
            <w:tcW w:w="2517" w:type="dxa"/>
          </w:tcPr>
          <w:p w14:paraId="7E2F15B4" w14:textId="77777777" w:rsidR="008F3CA5" w:rsidRPr="003A7E34" w:rsidRDefault="008F3CA5" w:rsidP="008F3CA5">
            <w:pPr>
              <w:numPr>
                <w:ilvl w:val="0"/>
                <w:numId w:val="23"/>
              </w:numPr>
              <w:spacing w:before="0" w:after="0"/>
              <w:ind w:left="0" w:firstLine="360"/>
              <w:jc w:val="left"/>
              <w:rPr>
                <w:rFonts w:eastAsia="Times New Roman"/>
                <w:sz w:val="20"/>
                <w:szCs w:val="20"/>
                <w:lang w:val="en-US"/>
              </w:rPr>
            </w:pPr>
            <w:r w:rsidRPr="003A7E34">
              <w:rPr>
                <w:rFonts w:eastAsia="Times New Roman"/>
                <w:sz w:val="20"/>
                <w:szCs w:val="20"/>
                <w:lang w:val="en-US"/>
              </w:rPr>
              <w:t>Improvement of power generation infrastructure, energy distribution networks and energy storage</w:t>
            </w:r>
          </w:p>
        </w:tc>
        <w:tc>
          <w:tcPr>
            <w:tcW w:w="3685" w:type="dxa"/>
          </w:tcPr>
          <w:p w14:paraId="6F608B28" w14:textId="013A57DA"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Improvement and upgrade of</w:t>
            </w:r>
            <w:r w:rsidRPr="003A7E34">
              <w:rPr>
                <w:rFonts w:eastAsia="Calibri"/>
              </w:rPr>
              <w:t xml:space="preserve"> </w:t>
            </w:r>
            <w:r w:rsidRPr="003A7E34">
              <w:rPr>
                <w:rFonts w:eastAsia="Times New Roman"/>
                <w:sz w:val="20"/>
                <w:szCs w:val="20"/>
                <w:lang w:val="en-US"/>
              </w:rPr>
              <w:t>power generation infrastructure, energy distribution networks and energy storage to adapt to the effects of climate change</w:t>
            </w:r>
          </w:p>
        </w:tc>
        <w:tc>
          <w:tcPr>
            <w:tcW w:w="2268" w:type="dxa"/>
          </w:tcPr>
          <w:p w14:paraId="65C7659B"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Energy</w:t>
            </w:r>
          </w:p>
        </w:tc>
        <w:tc>
          <w:tcPr>
            <w:tcW w:w="994" w:type="dxa"/>
          </w:tcPr>
          <w:p w14:paraId="2D91D0B0" w14:textId="77777777" w:rsidR="008F3CA5" w:rsidRPr="003A7E34" w:rsidRDefault="008F3CA5" w:rsidP="008F3CA5">
            <w:pPr>
              <w:spacing w:before="0" w:after="0"/>
              <w:rPr>
                <w:rFonts w:eastAsia="Times New Roman"/>
                <w:sz w:val="20"/>
                <w:szCs w:val="20"/>
                <w:vertAlign w:val="superscript"/>
                <w:lang w:val="en-US"/>
              </w:rPr>
            </w:pPr>
            <w:r w:rsidRPr="003A7E34">
              <w:rPr>
                <w:rFonts w:eastAsia="Times New Roman"/>
                <w:sz w:val="20"/>
                <w:szCs w:val="20"/>
                <w:lang w:val="en-US"/>
              </w:rPr>
              <w:t>X</w:t>
            </w:r>
            <w:r w:rsidRPr="003A7E34">
              <w:rPr>
                <w:rFonts w:eastAsia="Times New Roman"/>
                <w:sz w:val="20"/>
                <w:szCs w:val="20"/>
                <w:vertAlign w:val="superscript"/>
                <w:lang w:val="en-US"/>
              </w:rPr>
              <w:t>1</w:t>
            </w:r>
          </w:p>
        </w:tc>
      </w:tr>
      <w:tr w:rsidR="003A7E34" w:rsidRPr="003A7E34" w14:paraId="4E77C0BE" w14:textId="77777777" w:rsidTr="008F3CA5">
        <w:trPr>
          <w:trHeight w:val="509"/>
        </w:trPr>
        <w:tc>
          <w:tcPr>
            <w:tcW w:w="2517" w:type="dxa"/>
          </w:tcPr>
          <w:p w14:paraId="678B18DF" w14:textId="77777777" w:rsidR="008F3CA5" w:rsidRPr="003A7E34" w:rsidRDefault="008F3CA5" w:rsidP="008F3CA5">
            <w:pPr>
              <w:numPr>
                <w:ilvl w:val="0"/>
                <w:numId w:val="23"/>
              </w:numPr>
              <w:spacing w:before="0" w:after="0"/>
              <w:ind w:left="0" w:firstLine="284"/>
              <w:jc w:val="left"/>
              <w:rPr>
                <w:rFonts w:eastAsia="Times New Roman"/>
                <w:sz w:val="20"/>
                <w:szCs w:val="20"/>
                <w:lang w:val="en-US"/>
              </w:rPr>
            </w:pPr>
            <w:r w:rsidRPr="003A7E34">
              <w:rPr>
                <w:rFonts w:eastAsia="Times New Roman"/>
                <w:sz w:val="20"/>
                <w:szCs w:val="20"/>
                <w:lang w:val="en-US"/>
              </w:rPr>
              <w:lastRenderedPageBreak/>
              <w:t>Improvement of waste infrastructure</w:t>
            </w:r>
          </w:p>
        </w:tc>
        <w:tc>
          <w:tcPr>
            <w:tcW w:w="3685" w:type="dxa"/>
          </w:tcPr>
          <w:p w14:paraId="5E460491" w14:textId="3648F57A"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Improvement of waste infrastructure to adapt to the effects of climate change</w:t>
            </w:r>
          </w:p>
        </w:tc>
        <w:tc>
          <w:tcPr>
            <w:tcW w:w="2268" w:type="dxa"/>
          </w:tcPr>
          <w:p w14:paraId="3F2A1B8C"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Environment</w:t>
            </w:r>
          </w:p>
        </w:tc>
        <w:tc>
          <w:tcPr>
            <w:tcW w:w="994" w:type="dxa"/>
          </w:tcPr>
          <w:p w14:paraId="4D6FA0C7"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w:t>
            </w:r>
          </w:p>
        </w:tc>
      </w:tr>
      <w:tr w:rsidR="003A7E34" w:rsidRPr="003A7E34" w14:paraId="58B52971" w14:textId="77777777" w:rsidTr="008F3CA5">
        <w:trPr>
          <w:trHeight w:val="213"/>
        </w:trPr>
        <w:tc>
          <w:tcPr>
            <w:tcW w:w="8470" w:type="dxa"/>
            <w:gridSpan w:val="3"/>
          </w:tcPr>
          <w:p w14:paraId="632A19AE" w14:textId="77777777" w:rsidR="008F3CA5" w:rsidRPr="003A7E34" w:rsidRDefault="008F3CA5" w:rsidP="008F3CA5">
            <w:pPr>
              <w:spacing w:before="0" w:after="0"/>
              <w:jc w:val="right"/>
              <w:rPr>
                <w:rFonts w:eastAsia="Times New Roman"/>
                <w:sz w:val="20"/>
                <w:szCs w:val="20"/>
                <w:lang w:val="en-US"/>
              </w:rPr>
            </w:pPr>
            <w:r w:rsidRPr="003A7E34">
              <w:rPr>
                <w:rFonts w:eastAsia="Times New Roman"/>
                <w:sz w:val="20"/>
                <w:szCs w:val="20"/>
                <w:lang w:val="en-US"/>
              </w:rPr>
              <w:t>Total cross-cutting measures:</w:t>
            </w:r>
          </w:p>
        </w:tc>
        <w:tc>
          <w:tcPr>
            <w:tcW w:w="994" w:type="dxa"/>
          </w:tcPr>
          <w:p w14:paraId="61280E30" w14:textId="77777777" w:rsidR="008F3CA5" w:rsidRPr="003A7E34" w:rsidRDefault="008F3CA5" w:rsidP="008F3CA5">
            <w:pPr>
              <w:spacing w:before="0" w:after="0"/>
              <w:rPr>
                <w:rFonts w:eastAsia="Times New Roman"/>
                <w:sz w:val="20"/>
                <w:szCs w:val="20"/>
                <w:lang w:val="en-US"/>
              </w:rPr>
            </w:pPr>
          </w:p>
        </w:tc>
      </w:tr>
      <w:tr w:rsidR="003A7E34" w:rsidRPr="003A7E34" w14:paraId="3CB98017" w14:textId="77777777" w:rsidTr="008F3CA5">
        <w:trPr>
          <w:trHeight w:val="333"/>
        </w:trPr>
        <w:tc>
          <w:tcPr>
            <w:tcW w:w="8470" w:type="dxa"/>
            <w:gridSpan w:val="3"/>
          </w:tcPr>
          <w:p w14:paraId="3903C45E" w14:textId="77777777" w:rsidR="008F3CA5" w:rsidRPr="003A7E34" w:rsidRDefault="008F3CA5" w:rsidP="008F3CA5">
            <w:pPr>
              <w:spacing w:before="0" w:after="0"/>
              <w:jc w:val="center"/>
              <w:rPr>
                <w:rFonts w:eastAsia="Times New Roman"/>
                <w:b/>
                <w:bCs/>
                <w:sz w:val="20"/>
                <w:szCs w:val="20"/>
                <w:lang w:val="en-US"/>
              </w:rPr>
            </w:pPr>
            <w:r w:rsidRPr="003A7E34">
              <w:rPr>
                <w:rFonts w:eastAsia="Times New Roman"/>
                <w:b/>
                <w:bCs/>
                <w:sz w:val="20"/>
                <w:szCs w:val="20"/>
                <w:lang w:val="en-US"/>
              </w:rPr>
              <w:t>Public health</w:t>
            </w:r>
          </w:p>
        </w:tc>
        <w:tc>
          <w:tcPr>
            <w:tcW w:w="994" w:type="dxa"/>
          </w:tcPr>
          <w:p w14:paraId="60912EB3" w14:textId="77777777" w:rsidR="008F3CA5" w:rsidRPr="003A7E34" w:rsidRDefault="008F3CA5" w:rsidP="008F3CA5">
            <w:pPr>
              <w:spacing w:before="0" w:after="0"/>
              <w:jc w:val="center"/>
              <w:rPr>
                <w:rFonts w:eastAsia="Times New Roman"/>
                <w:b/>
                <w:bCs/>
                <w:sz w:val="20"/>
                <w:szCs w:val="20"/>
                <w:lang w:val="en-US"/>
              </w:rPr>
            </w:pPr>
          </w:p>
        </w:tc>
      </w:tr>
      <w:tr w:rsidR="003A7E34" w:rsidRPr="003A7E34" w14:paraId="1645720B" w14:textId="77777777" w:rsidTr="008F3CA5">
        <w:trPr>
          <w:trHeight w:val="635"/>
        </w:trPr>
        <w:tc>
          <w:tcPr>
            <w:tcW w:w="2517" w:type="dxa"/>
          </w:tcPr>
          <w:p w14:paraId="3373BDE2"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Calibri"/>
                <w:sz w:val="20"/>
                <w:szCs w:val="20"/>
              </w:rPr>
              <w:t>Improvement of the phenological observations and pollen monitoring and forecasting system</w:t>
            </w:r>
          </w:p>
        </w:tc>
        <w:tc>
          <w:tcPr>
            <w:tcW w:w="3685" w:type="dxa"/>
          </w:tcPr>
          <w:p w14:paraId="7A486489" w14:textId="77777777" w:rsidR="008F3CA5" w:rsidRPr="003A7E34" w:rsidRDefault="008F3CA5" w:rsidP="008F3CA5">
            <w:pPr>
              <w:spacing w:before="0" w:after="0"/>
              <w:rPr>
                <w:rFonts w:eastAsia="Times New Roman"/>
                <w:sz w:val="20"/>
                <w:szCs w:val="20"/>
                <w:lang w:val="en-US"/>
              </w:rPr>
            </w:pPr>
            <w:r w:rsidRPr="003A7E34">
              <w:rPr>
                <w:rFonts w:eastAsia="Calibri"/>
                <w:sz w:val="20"/>
                <w:szCs w:val="20"/>
              </w:rPr>
              <w:t>By 2025, improve the phenological observations and pollen monitoring and forecasting system.</w:t>
            </w:r>
          </w:p>
        </w:tc>
        <w:tc>
          <w:tcPr>
            <w:tcW w:w="2268" w:type="dxa"/>
          </w:tcPr>
          <w:p w14:paraId="4645C904"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Environment (Lithuanian Hydrometeorological Service),</w:t>
            </w:r>
            <w:r w:rsidRPr="003A7E34">
              <w:rPr>
                <w:rFonts w:eastAsia="Calibri"/>
              </w:rPr>
              <w:t xml:space="preserve"> </w:t>
            </w:r>
            <w:r w:rsidRPr="003A7E34">
              <w:rPr>
                <w:rFonts w:eastAsia="Times New Roman"/>
                <w:sz w:val="20"/>
                <w:szCs w:val="20"/>
                <w:lang w:val="en-US"/>
              </w:rPr>
              <w:t>Ministry of Health, Šiauliai university</w:t>
            </w:r>
          </w:p>
        </w:tc>
        <w:tc>
          <w:tcPr>
            <w:tcW w:w="994" w:type="dxa"/>
          </w:tcPr>
          <w:p w14:paraId="7E3D71D8"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2,3</w:t>
            </w:r>
          </w:p>
        </w:tc>
      </w:tr>
      <w:tr w:rsidR="003A7E34" w:rsidRPr="003A7E34" w14:paraId="5D46F680" w14:textId="77777777" w:rsidTr="008F3CA5">
        <w:trPr>
          <w:trHeight w:val="635"/>
        </w:trPr>
        <w:tc>
          <w:tcPr>
            <w:tcW w:w="2517" w:type="dxa"/>
          </w:tcPr>
          <w:p w14:paraId="0134CC2B"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Calibri"/>
                <w:sz w:val="20"/>
                <w:szCs w:val="20"/>
              </w:rPr>
              <w:t>Improvement of the climate change and health indicators system</w:t>
            </w:r>
          </w:p>
        </w:tc>
        <w:tc>
          <w:tcPr>
            <w:tcW w:w="3685" w:type="dxa"/>
          </w:tcPr>
          <w:p w14:paraId="61893BA0" w14:textId="77777777" w:rsidR="008F3CA5" w:rsidRPr="003A7E34" w:rsidRDefault="008F3CA5" w:rsidP="008F3CA5">
            <w:pPr>
              <w:spacing w:before="0" w:after="0"/>
              <w:rPr>
                <w:rFonts w:eastAsia="Times New Roman"/>
                <w:sz w:val="20"/>
                <w:szCs w:val="20"/>
                <w:lang w:val="en-US"/>
              </w:rPr>
            </w:pPr>
            <w:r w:rsidRPr="003A7E34">
              <w:rPr>
                <w:rFonts w:eastAsia="Calibri"/>
                <w:sz w:val="20"/>
                <w:szCs w:val="20"/>
              </w:rPr>
              <w:t xml:space="preserve">Regular improvement and update of the climate change and health indicators system </w:t>
            </w:r>
          </w:p>
        </w:tc>
        <w:tc>
          <w:tcPr>
            <w:tcW w:w="2268" w:type="dxa"/>
          </w:tcPr>
          <w:p w14:paraId="68C15732"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Health</w:t>
            </w:r>
          </w:p>
        </w:tc>
        <w:tc>
          <w:tcPr>
            <w:tcW w:w="994" w:type="dxa"/>
          </w:tcPr>
          <w:p w14:paraId="5C3AF7F2" w14:textId="77777777" w:rsidR="008F3CA5" w:rsidRPr="003A7E34" w:rsidRDefault="008F3CA5" w:rsidP="008F3CA5">
            <w:pPr>
              <w:spacing w:before="0" w:after="0"/>
              <w:rPr>
                <w:rFonts w:eastAsia="Times New Roman"/>
                <w:sz w:val="20"/>
                <w:szCs w:val="20"/>
                <w:vertAlign w:val="superscript"/>
                <w:lang w:val="en-US"/>
              </w:rPr>
            </w:pPr>
            <w:r w:rsidRPr="003A7E34">
              <w:rPr>
                <w:rFonts w:eastAsia="Times New Roman"/>
                <w:sz w:val="20"/>
                <w:szCs w:val="20"/>
                <w:lang w:val="en-US"/>
              </w:rPr>
              <w:t>0.15</w:t>
            </w:r>
            <w:r w:rsidRPr="003A7E34">
              <w:rPr>
                <w:rFonts w:eastAsia="Times New Roman"/>
                <w:sz w:val="20"/>
                <w:szCs w:val="20"/>
                <w:vertAlign w:val="superscript"/>
                <w:lang w:val="en-US"/>
              </w:rPr>
              <w:t>2</w:t>
            </w:r>
          </w:p>
        </w:tc>
      </w:tr>
      <w:tr w:rsidR="003A7E34" w:rsidRPr="003A7E34" w14:paraId="59E41D89" w14:textId="77777777" w:rsidTr="008F3CA5">
        <w:trPr>
          <w:trHeight w:val="635"/>
        </w:trPr>
        <w:tc>
          <w:tcPr>
            <w:tcW w:w="2517" w:type="dxa"/>
          </w:tcPr>
          <w:p w14:paraId="066B6272"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Calibri"/>
                <w:sz w:val="20"/>
                <w:szCs w:val="20"/>
              </w:rPr>
              <w:t xml:space="preserve">Raising awareness about the risks on health posed by climate change </w:t>
            </w:r>
          </w:p>
        </w:tc>
        <w:tc>
          <w:tcPr>
            <w:tcW w:w="3685" w:type="dxa"/>
          </w:tcPr>
          <w:p w14:paraId="60AC7000" w14:textId="77777777" w:rsidR="008F3CA5" w:rsidRPr="003A7E34" w:rsidRDefault="008F3CA5" w:rsidP="008F3CA5">
            <w:pPr>
              <w:spacing w:before="0" w:after="0"/>
              <w:rPr>
                <w:rFonts w:eastAsia="Times New Roman"/>
                <w:sz w:val="20"/>
                <w:szCs w:val="20"/>
                <w:lang w:val="en-US"/>
              </w:rPr>
            </w:pPr>
            <w:r w:rsidRPr="003A7E34">
              <w:rPr>
                <w:rFonts w:eastAsia="Calibri"/>
                <w:sz w:val="20"/>
                <w:szCs w:val="20"/>
              </w:rPr>
              <w:t>Organization of regular workshops to health care and public health specialists</w:t>
            </w:r>
          </w:p>
        </w:tc>
        <w:tc>
          <w:tcPr>
            <w:tcW w:w="2268" w:type="dxa"/>
          </w:tcPr>
          <w:p w14:paraId="52519FDE"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Health</w:t>
            </w:r>
          </w:p>
        </w:tc>
        <w:tc>
          <w:tcPr>
            <w:tcW w:w="994" w:type="dxa"/>
          </w:tcPr>
          <w:p w14:paraId="206EE8C2"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0.06</w:t>
            </w:r>
            <w:r w:rsidRPr="003A7E34">
              <w:rPr>
                <w:rFonts w:eastAsia="Times New Roman"/>
                <w:sz w:val="20"/>
                <w:szCs w:val="20"/>
                <w:vertAlign w:val="superscript"/>
                <w:lang w:val="en-US"/>
              </w:rPr>
              <w:t>2</w:t>
            </w:r>
          </w:p>
        </w:tc>
      </w:tr>
      <w:tr w:rsidR="003A7E34" w:rsidRPr="003A7E34" w14:paraId="6F0EC533" w14:textId="77777777" w:rsidTr="008F3CA5">
        <w:trPr>
          <w:trHeight w:val="1210"/>
        </w:trPr>
        <w:tc>
          <w:tcPr>
            <w:tcW w:w="2517" w:type="dxa"/>
          </w:tcPr>
          <w:p w14:paraId="1F4E006A"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Calibri"/>
                <w:sz w:val="20"/>
                <w:szCs w:val="20"/>
              </w:rPr>
              <w:t>Creation of a working group on Health in Climate Change</w:t>
            </w:r>
          </w:p>
        </w:tc>
        <w:tc>
          <w:tcPr>
            <w:tcW w:w="3685" w:type="dxa"/>
          </w:tcPr>
          <w:p w14:paraId="0E72AEB7" w14:textId="77777777" w:rsidR="008F3CA5" w:rsidRPr="003A7E34" w:rsidRDefault="008F3CA5" w:rsidP="008F3CA5">
            <w:pPr>
              <w:spacing w:before="0" w:after="0"/>
              <w:rPr>
                <w:rFonts w:eastAsia="Times New Roman"/>
                <w:sz w:val="20"/>
                <w:szCs w:val="20"/>
                <w:lang w:val="en-US"/>
              </w:rPr>
            </w:pPr>
            <w:r w:rsidRPr="003A7E34">
              <w:rPr>
                <w:rFonts w:eastAsia="Calibri"/>
                <w:sz w:val="20"/>
                <w:szCs w:val="20"/>
              </w:rPr>
              <w:t xml:space="preserve">Regular review of the heat plan and the prepared national plan for Health in Climate Change by 2022, covering cold, heat, ultraviolet radiation, pollen and other extreme events that have an impact on human health </w:t>
            </w:r>
          </w:p>
        </w:tc>
        <w:tc>
          <w:tcPr>
            <w:tcW w:w="2268" w:type="dxa"/>
          </w:tcPr>
          <w:p w14:paraId="60A54B8A"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Environment</w:t>
            </w:r>
          </w:p>
          <w:p w14:paraId="404FDBA7"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Health</w:t>
            </w:r>
          </w:p>
        </w:tc>
        <w:tc>
          <w:tcPr>
            <w:tcW w:w="994" w:type="dxa"/>
          </w:tcPr>
          <w:p w14:paraId="52AA6C6F"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0.05</w:t>
            </w:r>
            <w:r w:rsidRPr="003A7E34">
              <w:rPr>
                <w:rFonts w:eastAsia="Times New Roman"/>
                <w:sz w:val="20"/>
                <w:szCs w:val="20"/>
                <w:vertAlign w:val="superscript"/>
                <w:lang w:val="en-US"/>
              </w:rPr>
              <w:t>2</w:t>
            </w:r>
          </w:p>
        </w:tc>
      </w:tr>
      <w:tr w:rsidR="003A7E34" w:rsidRPr="003A7E34" w14:paraId="01D427B5" w14:textId="77777777" w:rsidTr="008F3CA5">
        <w:trPr>
          <w:trHeight w:val="377"/>
        </w:trPr>
        <w:tc>
          <w:tcPr>
            <w:tcW w:w="8470" w:type="dxa"/>
            <w:gridSpan w:val="3"/>
          </w:tcPr>
          <w:p w14:paraId="24B01E6E" w14:textId="77777777" w:rsidR="008F3CA5" w:rsidRPr="003A7E34" w:rsidRDefault="008F3CA5" w:rsidP="008F3CA5">
            <w:pPr>
              <w:spacing w:before="0" w:after="0"/>
              <w:jc w:val="right"/>
              <w:rPr>
                <w:rFonts w:eastAsia="Times New Roman"/>
                <w:sz w:val="20"/>
                <w:szCs w:val="20"/>
                <w:lang w:val="en-US"/>
              </w:rPr>
            </w:pPr>
            <w:r w:rsidRPr="003A7E34">
              <w:rPr>
                <w:rFonts w:eastAsia="Times New Roman"/>
                <w:sz w:val="20"/>
                <w:szCs w:val="20"/>
                <w:lang w:val="en-US"/>
              </w:rPr>
              <w:t>Total public health:</w:t>
            </w:r>
          </w:p>
        </w:tc>
        <w:tc>
          <w:tcPr>
            <w:tcW w:w="994" w:type="dxa"/>
          </w:tcPr>
          <w:p w14:paraId="138C20D4" w14:textId="77777777" w:rsidR="008F3CA5" w:rsidRPr="003A7E34" w:rsidRDefault="008F3CA5" w:rsidP="008F3CA5">
            <w:pPr>
              <w:spacing w:before="0" w:after="0"/>
              <w:rPr>
                <w:rFonts w:eastAsia="Times New Roman"/>
                <w:sz w:val="20"/>
                <w:szCs w:val="20"/>
                <w:lang w:val="en-US"/>
              </w:rPr>
            </w:pPr>
          </w:p>
        </w:tc>
      </w:tr>
      <w:tr w:rsidR="003A7E34" w:rsidRPr="003A7E34" w14:paraId="0948C59D" w14:textId="77777777" w:rsidTr="008F3CA5">
        <w:trPr>
          <w:trHeight w:val="359"/>
        </w:trPr>
        <w:tc>
          <w:tcPr>
            <w:tcW w:w="9464" w:type="dxa"/>
            <w:gridSpan w:val="4"/>
          </w:tcPr>
          <w:p w14:paraId="4303F131" w14:textId="77777777" w:rsidR="008F3CA5" w:rsidRPr="003A7E34" w:rsidRDefault="008F3CA5" w:rsidP="008F3CA5">
            <w:pPr>
              <w:spacing w:before="0" w:after="0"/>
              <w:jc w:val="center"/>
              <w:rPr>
                <w:rFonts w:eastAsia="Times New Roman"/>
                <w:b/>
                <w:bCs/>
                <w:sz w:val="20"/>
                <w:szCs w:val="20"/>
                <w:lang w:val="en-US"/>
              </w:rPr>
            </w:pPr>
            <w:r w:rsidRPr="003A7E34">
              <w:rPr>
                <w:rFonts w:eastAsia="Times New Roman"/>
                <w:b/>
                <w:bCs/>
                <w:sz w:val="20"/>
                <w:szCs w:val="20"/>
                <w:lang w:val="en-US"/>
              </w:rPr>
              <w:t>Agriculture, soil</w:t>
            </w:r>
          </w:p>
        </w:tc>
      </w:tr>
      <w:tr w:rsidR="003A7E34" w:rsidRPr="003A7E34" w14:paraId="5935776A" w14:textId="77777777" w:rsidTr="008F3CA5">
        <w:trPr>
          <w:trHeight w:val="635"/>
        </w:trPr>
        <w:tc>
          <w:tcPr>
            <w:tcW w:w="2517" w:type="dxa"/>
          </w:tcPr>
          <w:p w14:paraId="47D1D63A"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Times New Roman"/>
                <w:sz w:val="20"/>
                <w:szCs w:val="20"/>
                <w:lang w:val="en-US"/>
              </w:rPr>
              <w:t>Counselling of the agriculture sector on adaption to climate change</w:t>
            </w:r>
          </w:p>
        </w:tc>
        <w:tc>
          <w:tcPr>
            <w:tcW w:w="3685" w:type="dxa"/>
          </w:tcPr>
          <w:p w14:paraId="58143FC4"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By 2027, develop an information and consultation structure for farmers and municipality specialists on how to adapt to climate change</w:t>
            </w:r>
          </w:p>
        </w:tc>
        <w:tc>
          <w:tcPr>
            <w:tcW w:w="2268" w:type="dxa"/>
          </w:tcPr>
          <w:p w14:paraId="1BDF3419"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Agriculture</w:t>
            </w:r>
          </w:p>
        </w:tc>
        <w:tc>
          <w:tcPr>
            <w:tcW w:w="994" w:type="dxa"/>
          </w:tcPr>
          <w:p w14:paraId="5CDE5A27"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w:t>
            </w:r>
          </w:p>
        </w:tc>
      </w:tr>
      <w:tr w:rsidR="003A7E34" w:rsidRPr="003A7E34" w14:paraId="640CB39F" w14:textId="77777777" w:rsidTr="008F3CA5">
        <w:trPr>
          <w:trHeight w:val="635"/>
        </w:trPr>
        <w:tc>
          <w:tcPr>
            <w:tcW w:w="2517" w:type="dxa"/>
          </w:tcPr>
          <w:p w14:paraId="7332F0E6"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Times New Roman"/>
                <w:sz w:val="20"/>
                <w:szCs w:val="20"/>
                <w:lang w:val="en-US"/>
              </w:rPr>
              <w:t xml:space="preserve"> An integrated control system for plant protection from harmful organisms</w:t>
            </w:r>
          </w:p>
        </w:tc>
        <w:tc>
          <w:tcPr>
            <w:tcW w:w="3685" w:type="dxa"/>
          </w:tcPr>
          <w:p w14:paraId="0450AE21"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Regular use of IOC principles encourages the cultivation of healthy plants, with the least possible disturbance to agricultural ecosystems</w:t>
            </w:r>
          </w:p>
        </w:tc>
        <w:tc>
          <w:tcPr>
            <w:tcW w:w="2268" w:type="dxa"/>
          </w:tcPr>
          <w:p w14:paraId="2634E428"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Agriculture</w:t>
            </w:r>
          </w:p>
        </w:tc>
        <w:tc>
          <w:tcPr>
            <w:tcW w:w="994" w:type="dxa"/>
          </w:tcPr>
          <w:p w14:paraId="5621A6E6"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1,2</w:t>
            </w:r>
          </w:p>
        </w:tc>
      </w:tr>
      <w:tr w:rsidR="003A7E34" w:rsidRPr="003A7E34" w14:paraId="199A4240" w14:textId="77777777" w:rsidTr="008F3CA5">
        <w:trPr>
          <w:trHeight w:val="635"/>
        </w:trPr>
        <w:tc>
          <w:tcPr>
            <w:tcW w:w="2517" w:type="dxa"/>
          </w:tcPr>
          <w:p w14:paraId="5653D472"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Times New Roman"/>
                <w:sz w:val="20"/>
                <w:szCs w:val="20"/>
                <w:lang w:val="en-US"/>
              </w:rPr>
              <w:t xml:space="preserve">Promotion of crop, animal and plant insurance </w:t>
            </w:r>
          </w:p>
        </w:tc>
        <w:tc>
          <w:tcPr>
            <w:tcW w:w="3685" w:type="dxa"/>
          </w:tcPr>
          <w:p w14:paraId="6909F2A7"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Provide partial (up to 65 %) support for farmers annually to offset the crop, animal and plant insurance costs</w:t>
            </w:r>
          </w:p>
        </w:tc>
        <w:tc>
          <w:tcPr>
            <w:tcW w:w="2268" w:type="dxa"/>
          </w:tcPr>
          <w:p w14:paraId="3DAED752"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Agriculture</w:t>
            </w:r>
          </w:p>
        </w:tc>
        <w:tc>
          <w:tcPr>
            <w:tcW w:w="994" w:type="dxa"/>
          </w:tcPr>
          <w:p w14:paraId="778738C8"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2,3</w:t>
            </w:r>
          </w:p>
        </w:tc>
      </w:tr>
      <w:tr w:rsidR="003A7E34" w:rsidRPr="003A7E34" w14:paraId="104049CB" w14:textId="77777777" w:rsidTr="008F3CA5">
        <w:trPr>
          <w:trHeight w:val="635"/>
        </w:trPr>
        <w:tc>
          <w:tcPr>
            <w:tcW w:w="2517" w:type="dxa"/>
          </w:tcPr>
          <w:p w14:paraId="4DEC52D0"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Times New Roman"/>
                <w:sz w:val="20"/>
                <w:szCs w:val="20"/>
                <w:lang w:val="en-US"/>
              </w:rPr>
              <w:t>Selection of agricultural plant species resilient to climate change and their breeding</w:t>
            </w:r>
          </w:p>
        </w:tc>
        <w:tc>
          <w:tcPr>
            <w:tcW w:w="3685" w:type="dxa"/>
          </w:tcPr>
          <w:p w14:paraId="7E31CCED"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Constantly ensure the selection of agricultural plant species resilient to climate change and promote their breeding.</w:t>
            </w:r>
          </w:p>
        </w:tc>
        <w:tc>
          <w:tcPr>
            <w:tcW w:w="2268" w:type="dxa"/>
          </w:tcPr>
          <w:p w14:paraId="578F985B"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Agriculture</w:t>
            </w:r>
          </w:p>
        </w:tc>
        <w:tc>
          <w:tcPr>
            <w:tcW w:w="994" w:type="dxa"/>
          </w:tcPr>
          <w:p w14:paraId="3AD4C96E"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1,2</w:t>
            </w:r>
          </w:p>
        </w:tc>
      </w:tr>
      <w:tr w:rsidR="003A7E34" w:rsidRPr="003A7E34" w14:paraId="3D473D07" w14:textId="77777777" w:rsidTr="008F3CA5">
        <w:trPr>
          <w:trHeight w:val="635"/>
        </w:trPr>
        <w:tc>
          <w:tcPr>
            <w:tcW w:w="2517" w:type="dxa"/>
          </w:tcPr>
          <w:p w14:paraId="0D5BB981"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Times New Roman"/>
                <w:sz w:val="20"/>
                <w:szCs w:val="20"/>
                <w:lang w:val="en-US"/>
              </w:rPr>
              <w:t xml:space="preserve"> Exploration of agrochemical properties of soil</w:t>
            </w:r>
          </w:p>
        </w:tc>
        <w:tc>
          <w:tcPr>
            <w:tcW w:w="3685" w:type="dxa"/>
          </w:tcPr>
          <w:p w14:paraId="12E84BA7"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To implement a continuous monitoring system to monitor soil conditions and improve farming methods in order to ensure the reduction of useful soil loss by 2030.</w:t>
            </w:r>
          </w:p>
        </w:tc>
        <w:tc>
          <w:tcPr>
            <w:tcW w:w="2268" w:type="dxa"/>
          </w:tcPr>
          <w:p w14:paraId="74AB0B93"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Agriculture</w:t>
            </w:r>
          </w:p>
        </w:tc>
        <w:tc>
          <w:tcPr>
            <w:tcW w:w="994" w:type="dxa"/>
          </w:tcPr>
          <w:p w14:paraId="60E7F24C"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1,2</w:t>
            </w:r>
          </w:p>
        </w:tc>
      </w:tr>
      <w:tr w:rsidR="003A7E34" w:rsidRPr="003A7E34" w14:paraId="3DAF9D6A" w14:textId="77777777" w:rsidTr="008F3CA5">
        <w:trPr>
          <w:trHeight w:val="635"/>
        </w:trPr>
        <w:tc>
          <w:tcPr>
            <w:tcW w:w="2517" w:type="dxa"/>
          </w:tcPr>
          <w:p w14:paraId="70FD1333"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Times New Roman"/>
                <w:sz w:val="20"/>
                <w:szCs w:val="20"/>
                <w:lang w:val="en-US"/>
              </w:rPr>
              <w:t>Ensure continuous improvement of the agrometeorological monitoring network and forecasting system</w:t>
            </w:r>
          </w:p>
        </w:tc>
        <w:tc>
          <w:tcPr>
            <w:tcW w:w="3685" w:type="dxa"/>
          </w:tcPr>
          <w:p w14:paraId="37D68DAE"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Regular improvement and update of agrometeorological observations and implementation of agrometeorological forecasting by 2025.</w:t>
            </w:r>
          </w:p>
        </w:tc>
        <w:tc>
          <w:tcPr>
            <w:tcW w:w="2268" w:type="dxa"/>
          </w:tcPr>
          <w:p w14:paraId="3D061352"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Environment (Lithuanian Hydrometeorological Service)</w:t>
            </w:r>
          </w:p>
        </w:tc>
        <w:tc>
          <w:tcPr>
            <w:tcW w:w="994" w:type="dxa"/>
          </w:tcPr>
          <w:p w14:paraId="2D1FF2BA"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1,2</w:t>
            </w:r>
          </w:p>
        </w:tc>
      </w:tr>
      <w:tr w:rsidR="003A7E34" w:rsidRPr="003A7E34" w14:paraId="55F7646E" w14:textId="77777777" w:rsidTr="008F3CA5">
        <w:trPr>
          <w:trHeight w:val="416"/>
        </w:trPr>
        <w:tc>
          <w:tcPr>
            <w:tcW w:w="8470" w:type="dxa"/>
            <w:gridSpan w:val="3"/>
          </w:tcPr>
          <w:p w14:paraId="1536CF2A" w14:textId="77777777" w:rsidR="008F3CA5" w:rsidRPr="003A7E34" w:rsidRDefault="008F3CA5" w:rsidP="008F3CA5">
            <w:pPr>
              <w:spacing w:before="0" w:after="0"/>
              <w:jc w:val="right"/>
              <w:rPr>
                <w:rFonts w:eastAsia="Times New Roman"/>
                <w:sz w:val="20"/>
                <w:szCs w:val="20"/>
                <w:lang w:val="en-US"/>
              </w:rPr>
            </w:pPr>
            <w:r w:rsidRPr="003A7E34">
              <w:rPr>
                <w:rFonts w:eastAsia="Times New Roman"/>
                <w:sz w:val="20"/>
                <w:szCs w:val="20"/>
                <w:lang w:val="en-US"/>
              </w:rPr>
              <w:t>Total agriculture, soil:</w:t>
            </w:r>
          </w:p>
        </w:tc>
        <w:tc>
          <w:tcPr>
            <w:tcW w:w="994" w:type="dxa"/>
          </w:tcPr>
          <w:p w14:paraId="72B6480F" w14:textId="77777777" w:rsidR="008F3CA5" w:rsidRPr="003A7E34" w:rsidRDefault="008F3CA5" w:rsidP="008F3CA5">
            <w:pPr>
              <w:spacing w:before="0" w:after="0"/>
              <w:rPr>
                <w:rFonts w:eastAsia="Times New Roman"/>
                <w:sz w:val="20"/>
                <w:szCs w:val="20"/>
                <w:lang w:val="en-US"/>
              </w:rPr>
            </w:pPr>
          </w:p>
        </w:tc>
      </w:tr>
      <w:tr w:rsidR="003A7E34" w:rsidRPr="003A7E34" w14:paraId="0F6070B3" w14:textId="77777777" w:rsidTr="008F3CA5">
        <w:trPr>
          <w:trHeight w:val="351"/>
        </w:trPr>
        <w:tc>
          <w:tcPr>
            <w:tcW w:w="9464" w:type="dxa"/>
            <w:gridSpan w:val="4"/>
          </w:tcPr>
          <w:p w14:paraId="0ED4A8E7" w14:textId="77777777" w:rsidR="008F3CA5" w:rsidRPr="003A7E34" w:rsidRDefault="008F3CA5" w:rsidP="008F3CA5">
            <w:pPr>
              <w:spacing w:before="0" w:after="0"/>
              <w:jc w:val="center"/>
              <w:rPr>
                <w:rFonts w:eastAsia="Times New Roman"/>
                <w:sz w:val="20"/>
                <w:szCs w:val="20"/>
                <w:lang w:val="en-US"/>
              </w:rPr>
            </w:pPr>
            <w:r w:rsidRPr="003A7E34">
              <w:rPr>
                <w:rFonts w:eastAsia="Times New Roman"/>
                <w:b/>
                <w:bCs/>
                <w:sz w:val="20"/>
                <w:szCs w:val="20"/>
                <w:lang w:val="en-US"/>
              </w:rPr>
              <w:t>Forestry, ecosystems, biodiversity and landscape</w:t>
            </w:r>
          </w:p>
        </w:tc>
      </w:tr>
      <w:tr w:rsidR="003A7E34" w:rsidRPr="003A7E34" w14:paraId="3A88A3B6" w14:textId="77777777" w:rsidTr="008F3CA5">
        <w:trPr>
          <w:trHeight w:val="132"/>
        </w:trPr>
        <w:tc>
          <w:tcPr>
            <w:tcW w:w="2517" w:type="dxa"/>
          </w:tcPr>
          <w:p w14:paraId="01D04126" w14:textId="77777777" w:rsidR="008F3CA5" w:rsidRPr="003A7E34" w:rsidRDefault="008F3CA5" w:rsidP="008F3CA5">
            <w:pPr>
              <w:numPr>
                <w:ilvl w:val="0"/>
                <w:numId w:val="23"/>
              </w:numPr>
              <w:spacing w:before="0" w:after="0"/>
              <w:ind w:left="0" w:firstLine="0"/>
              <w:contextualSpacing/>
              <w:jc w:val="left"/>
              <w:rPr>
                <w:rFonts w:eastAsia="Times New Roman"/>
                <w:sz w:val="20"/>
                <w:szCs w:val="20"/>
                <w:lang w:val="en-US"/>
              </w:rPr>
            </w:pPr>
            <w:r w:rsidRPr="003A7E34">
              <w:rPr>
                <w:rFonts w:eastAsia="Times New Roman"/>
                <w:sz w:val="20"/>
                <w:szCs w:val="20"/>
                <w:lang w:val="en-US"/>
              </w:rPr>
              <w:t xml:space="preserve"> To continue the </w:t>
            </w:r>
            <w:r w:rsidRPr="003A7E34">
              <w:rPr>
                <w:rFonts w:eastAsia="Times New Roman"/>
                <w:sz w:val="20"/>
                <w:szCs w:val="20"/>
                <w:lang w:val="en-US"/>
              </w:rPr>
              <w:lastRenderedPageBreak/>
              <w:t xml:space="preserve">protection of protected species and the regulation of invasive species </w:t>
            </w:r>
          </w:p>
        </w:tc>
        <w:tc>
          <w:tcPr>
            <w:tcW w:w="3685" w:type="dxa"/>
          </w:tcPr>
          <w:p w14:paraId="2D5FF22C" w14:textId="77777777" w:rsidR="008F3CA5" w:rsidRPr="003A7E34" w:rsidRDefault="008F3CA5" w:rsidP="008F3CA5">
            <w:pPr>
              <w:tabs>
                <w:tab w:val="left" w:pos="1035"/>
              </w:tabs>
              <w:spacing w:before="0" w:after="0"/>
              <w:rPr>
                <w:rFonts w:eastAsia="Times New Roman"/>
                <w:sz w:val="20"/>
                <w:szCs w:val="20"/>
                <w:lang w:val="en-US"/>
              </w:rPr>
            </w:pPr>
            <w:r w:rsidRPr="003A7E34">
              <w:rPr>
                <w:rFonts w:eastAsia="Times New Roman"/>
                <w:sz w:val="20"/>
                <w:szCs w:val="20"/>
                <w:lang w:val="en-US"/>
              </w:rPr>
              <w:lastRenderedPageBreak/>
              <w:t xml:space="preserve">To continue the research of the condition </w:t>
            </w:r>
            <w:r w:rsidRPr="003A7E34">
              <w:rPr>
                <w:rFonts w:eastAsia="Times New Roman"/>
                <w:sz w:val="20"/>
                <w:szCs w:val="20"/>
                <w:lang w:val="en-US"/>
              </w:rPr>
              <w:lastRenderedPageBreak/>
              <w:t>of protected and invasive species. By 2025 to draw up protection documents and documents regulating their abundance and to implement measures for protecting protected and invasive species and for regulating their abundance;</w:t>
            </w:r>
          </w:p>
        </w:tc>
        <w:tc>
          <w:tcPr>
            <w:tcW w:w="2268" w:type="dxa"/>
          </w:tcPr>
          <w:p w14:paraId="54DA51A2"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lastRenderedPageBreak/>
              <w:t xml:space="preserve">Ministry of </w:t>
            </w:r>
            <w:r w:rsidRPr="003A7E34">
              <w:rPr>
                <w:rFonts w:eastAsia="Times New Roman"/>
                <w:sz w:val="20"/>
                <w:szCs w:val="20"/>
                <w:lang w:val="en-US"/>
              </w:rPr>
              <w:lastRenderedPageBreak/>
              <w:t>Environment??</w:t>
            </w:r>
          </w:p>
        </w:tc>
        <w:tc>
          <w:tcPr>
            <w:tcW w:w="994" w:type="dxa"/>
          </w:tcPr>
          <w:p w14:paraId="567AA7EA"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lastRenderedPageBreak/>
              <w:t>X</w:t>
            </w:r>
            <w:r w:rsidRPr="003A7E34">
              <w:rPr>
                <w:rFonts w:eastAsia="Times New Roman"/>
                <w:sz w:val="20"/>
                <w:szCs w:val="20"/>
                <w:vertAlign w:val="superscript"/>
                <w:lang w:val="en-US"/>
              </w:rPr>
              <w:t>1</w:t>
            </w:r>
          </w:p>
        </w:tc>
      </w:tr>
      <w:tr w:rsidR="003A7E34" w:rsidRPr="003A7E34" w14:paraId="14A5D704" w14:textId="77777777" w:rsidTr="008F3CA5">
        <w:trPr>
          <w:trHeight w:val="635"/>
        </w:trPr>
        <w:tc>
          <w:tcPr>
            <w:tcW w:w="2517" w:type="dxa"/>
          </w:tcPr>
          <w:p w14:paraId="26FD3F95" w14:textId="77777777" w:rsidR="008F3CA5" w:rsidRPr="003A7E34" w:rsidRDefault="008F3CA5" w:rsidP="008F3CA5">
            <w:pPr>
              <w:numPr>
                <w:ilvl w:val="0"/>
                <w:numId w:val="23"/>
              </w:numPr>
              <w:tabs>
                <w:tab w:val="left" w:pos="0"/>
              </w:tabs>
              <w:spacing w:before="0" w:after="0"/>
              <w:ind w:left="0" w:firstLine="0"/>
              <w:jc w:val="left"/>
              <w:rPr>
                <w:rFonts w:eastAsia="Times New Roman"/>
                <w:sz w:val="20"/>
                <w:szCs w:val="20"/>
                <w:lang w:val="en-US"/>
              </w:rPr>
            </w:pPr>
            <w:r w:rsidRPr="003A7E34">
              <w:rPr>
                <w:rFonts w:eastAsia="Times New Roman"/>
                <w:sz w:val="20"/>
                <w:szCs w:val="20"/>
                <w:lang w:val="en-US"/>
              </w:rPr>
              <w:t>Protection of protected areas and the natural framework</w:t>
            </w:r>
          </w:p>
        </w:tc>
        <w:tc>
          <w:tcPr>
            <w:tcW w:w="3685" w:type="dxa"/>
          </w:tcPr>
          <w:p w14:paraId="5C7CEF06"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By 2025, develop the system of protected areas and the natural framework to recover and proliferate natural landscape elements in these areas;</w:t>
            </w:r>
          </w:p>
          <w:p w14:paraId="3FEAA65A"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Regularly conduct the planning of protected territories, to modernize and upgrade the framework, and to strengthen the monitoring system and territory management capabilities</w:t>
            </w:r>
          </w:p>
        </w:tc>
        <w:tc>
          <w:tcPr>
            <w:tcW w:w="2268" w:type="dxa"/>
          </w:tcPr>
          <w:p w14:paraId="27FC9720"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 xml:space="preserve">Ministry of Environment (State Service for Protected Areas) </w:t>
            </w:r>
          </w:p>
        </w:tc>
        <w:tc>
          <w:tcPr>
            <w:tcW w:w="994" w:type="dxa"/>
          </w:tcPr>
          <w:p w14:paraId="203E6498"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w:t>
            </w:r>
          </w:p>
        </w:tc>
      </w:tr>
      <w:tr w:rsidR="003A7E34" w:rsidRPr="003A7E34" w14:paraId="51FCEA47" w14:textId="77777777" w:rsidTr="008F3CA5">
        <w:trPr>
          <w:trHeight w:val="635"/>
        </w:trPr>
        <w:tc>
          <w:tcPr>
            <w:tcW w:w="2517" w:type="dxa"/>
          </w:tcPr>
          <w:p w14:paraId="393665FB" w14:textId="77777777" w:rsidR="008F3CA5" w:rsidRPr="003A7E34" w:rsidRDefault="008F3CA5" w:rsidP="008F3CA5">
            <w:pPr>
              <w:numPr>
                <w:ilvl w:val="0"/>
                <w:numId w:val="23"/>
              </w:numPr>
              <w:tabs>
                <w:tab w:val="left" w:pos="0"/>
              </w:tabs>
              <w:spacing w:before="0" w:after="0"/>
              <w:ind w:left="0" w:firstLine="0"/>
              <w:jc w:val="left"/>
              <w:rPr>
                <w:rFonts w:eastAsia="Times New Roman"/>
                <w:sz w:val="20"/>
                <w:szCs w:val="20"/>
                <w:lang w:val="en-US"/>
              </w:rPr>
            </w:pPr>
            <w:r w:rsidRPr="003A7E34">
              <w:rPr>
                <w:rFonts w:eastAsia="Times New Roman"/>
                <w:sz w:val="20"/>
                <w:szCs w:val="20"/>
                <w:lang w:val="en-US"/>
              </w:rPr>
              <w:t>To draw up nature management plans</w:t>
            </w:r>
          </w:p>
        </w:tc>
        <w:tc>
          <w:tcPr>
            <w:tcW w:w="3685" w:type="dxa"/>
          </w:tcPr>
          <w:p w14:paraId="76F32A7E"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eastAsia="lt-LT"/>
              </w:rPr>
              <w:t>By 2030 draw up nature management plans for habitats and territories important for animals' protection, where species and natural habitats of EU significance, which are most susceptible to climate change and are most vulnerable, can be found</w:t>
            </w:r>
          </w:p>
        </w:tc>
        <w:tc>
          <w:tcPr>
            <w:tcW w:w="2268" w:type="dxa"/>
          </w:tcPr>
          <w:p w14:paraId="69B21B95"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 xml:space="preserve">Ministry of Environment (State Service for Protected Areas) </w:t>
            </w:r>
          </w:p>
        </w:tc>
        <w:tc>
          <w:tcPr>
            <w:tcW w:w="994" w:type="dxa"/>
          </w:tcPr>
          <w:p w14:paraId="70D90E0D"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w:t>
            </w:r>
          </w:p>
        </w:tc>
      </w:tr>
      <w:tr w:rsidR="003A7E34" w:rsidRPr="003A7E34" w14:paraId="1FC37838" w14:textId="77777777" w:rsidTr="008F3CA5">
        <w:trPr>
          <w:trHeight w:val="635"/>
        </w:trPr>
        <w:tc>
          <w:tcPr>
            <w:tcW w:w="2517" w:type="dxa"/>
          </w:tcPr>
          <w:p w14:paraId="6EB492A9" w14:textId="77777777" w:rsidR="008F3CA5" w:rsidRPr="003A7E34" w:rsidRDefault="008F3CA5" w:rsidP="008F3CA5">
            <w:pPr>
              <w:numPr>
                <w:ilvl w:val="0"/>
                <w:numId w:val="23"/>
              </w:numPr>
              <w:spacing w:before="0" w:after="0"/>
              <w:ind w:left="0" w:firstLine="0"/>
              <w:jc w:val="left"/>
              <w:rPr>
                <w:rFonts w:eastAsia="Calibri"/>
                <w:sz w:val="20"/>
                <w:szCs w:val="20"/>
                <w:lang w:val="en-US"/>
              </w:rPr>
            </w:pPr>
            <w:r w:rsidRPr="003A7E34">
              <w:rPr>
                <w:rFonts w:eastAsia="Times New Roman"/>
                <w:sz w:val="20"/>
                <w:szCs w:val="20"/>
                <w:lang w:val="en-US"/>
              </w:rPr>
              <w:t xml:space="preserve"> Implementation of biodiversity conservation projects</w:t>
            </w:r>
          </w:p>
          <w:p w14:paraId="206B5AAD" w14:textId="77777777" w:rsidR="008F3CA5" w:rsidRPr="003A7E34" w:rsidRDefault="008F3CA5" w:rsidP="008F3CA5">
            <w:pPr>
              <w:tabs>
                <w:tab w:val="left" w:pos="0"/>
              </w:tabs>
              <w:spacing w:before="0" w:after="0"/>
              <w:rPr>
                <w:rFonts w:eastAsia="Times New Roman"/>
                <w:sz w:val="20"/>
                <w:szCs w:val="20"/>
                <w:lang w:val="en-US"/>
              </w:rPr>
            </w:pPr>
          </w:p>
        </w:tc>
        <w:tc>
          <w:tcPr>
            <w:tcW w:w="3685" w:type="dxa"/>
          </w:tcPr>
          <w:p w14:paraId="51826D4C"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To stabilize the loss of biodiversity caused by climate change in Lithuania and in the Baltic biogeographical region by 2030</w:t>
            </w:r>
          </w:p>
        </w:tc>
        <w:tc>
          <w:tcPr>
            <w:tcW w:w="2268" w:type="dxa"/>
          </w:tcPr>
          <w:p w14:paraId="13A7DD45"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 xml:space="preserve">Ministry of Environment (State Service for Protected Areas) </w:t>
            </w:r>
          </w:p>
        </w:tc>
        <w:tc>
          <w:tcPr>
            <w:tcW w:w="994" w:type="dxa"/>
          </w:tcPr>
          <w:p w14:paraId="29E05FAF"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w:t>
            </w:r>
          </w:p>
        </w:tc>
      </w:tr>
      <w:tr w:rsidR="003A7E34" w:rsidRPr="003A7E34" w14:paraId="0B8A715C" w14:textId="77777777" w:rsidTr="008F3CA5">
        <w:trPr>
          <w:trHeight w:val="635"/>
        </w:trPr>
        <w:tc>
          <w:tcPr>
            <w:tcW w:w="2517" w:type="dxa"/>
          </w:tcPr>
          <w:p w14:paraId="28E7C64D" w14:textId="77777777" w:rsidR="008F3CA5" w:rsidRPr="003A7E34" w:rsidRDefault="008F3CA5" w:rsidP="008F3CA5">
            <w:pPr>
              <w:numPr>
                <w:ilvl w:val="0"/>
                <w:numId w:val="23"/>
              </w:numPr>
              <w:tabs>
                <w:tab w:val="left" w:pos="0"/>
              </w:tabs>
              <w:spacing w:before="0" w:after="0"/>
              <w:ind w:left="0" w:firstLine="0"/>
              <w:jc w:val="left"/>
              <w:rPr>
                <w:rFonts w:eastAsia="Times New Roman"/>
                <w:sz w:val="20"/>
                <w:szCs w:val="20"/>
                <w:lang w:val="en-US"/>
              </w:rPr>
            </w:pPr>
            <w:r w:rsidRPr="003A7E34">
              <w:rPr>
                <w:rFonts w:eastAsia="Times New Roman"/>
                <w:sz w:val="20"/>
                <w:szCs w:val="20"/>
                <w:lang w:val="en-US"/>
              </w:rPr>
              <w:t xml:space="preserve">Increase of the ecological sustainability of forest ecosystems </w:t>
            </w:r>
          </w:p>
        </w:tc>
        <w:tc>
          <w:tcPr>
            <w:tcW w:w="3685" w:type="dxa"/>
          </w:tcPr>
          <w:p w14:paraId="5EAF3629" w14:textId="77777777" w:rsidR="008F3CA5" w:rsidRPr="003A7E34" w:rsidRDefault="008F3CA5" w:rsidP="008F3CA5">
            <w:pPr>
              <w:tabs>
                <w:tab w:val="left" w:pos="855"/>
              </w:tabs>
              <w:spacing w:before="0" w:after="0"/>
              <w:rPr>
                <w:rFonts w:eastAsia="Times New Roman"/>
                <w:sz w:val="20"/>
                <w:szCs w:val="20"/>
                <w:lang w:val="en-US"/>
              </w:rPr>
            </w:pPr>
            <w:r w:rsidRPr="003A7E34">
              <w:rPr>
                <w:rFonts w:eastAsia="Times New Roman"/>
                <w:sz w:val="20"/>
                <w:szCs w:val="20"/>
                <w:lang w:val="en-US"/>
              </w:rPr>
              <w:t>To promote major logging in state-owned and private forests based on the principles of sustainable development by 2020</w:t>
            </w:r>
          </w:p>
        </w:tc>
        <w:tc>
          <w:tcPr>
            <w:tcW w:w="2268" w:type="dxa"/>
          </w:tcPr>
          <w:p w14:paraId="02BDB9F6"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Agriculture</w:t>
            </w:r>
          </w:p>
          <w:p w14:paraId="4393B788"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Environment</w:t>
            </w:r>
          </w:p>
        </w:tc>
        <w:tc>
          <w:tcPr>
            <w:tcW w:w="994" w:type="dxa"/>
          </w:tcPr>
          <w:p w14:paraId="14F4B9D9"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w:t>
            </w:r>
          </w:p>
        </w:tc>
      </w:tr>
      <w:tr w:rsidR="003A7E34" w:rsidRPr="003A7E34" w14:paraId="79936D4C" w14:textId="77777777" w:rsidTr="008F3CA5">
        <w:trPr>
          <w:trHeight w:val="635"/>
        </w:trPr>
        <w:tc>
          <w:tcPr>
            <w:tcW w:w="2517" w:type="dxa"/>
          </w:tcPr>
          <w:p w14:paraId="592B7A63" w14:textId="77777777" w:rsidR="008F3CA5" w:rsidRPr="003A7E34" w:rsidRDefault="008F3CA5" w:rsidP="008F3CA5">
            <w:pPr>
              <w:numPr>
                <w:ilvl w:val="0"/>
                <w:numId w:val="23"/>
              </w:numPr>
              <w:tabs>
                <w:tab w:val="left" w:pos="0"/>
              </w:tabs>
              <w:spacing w:before="0" w:after="0"/>
              <w:ind w:left="0" w:firstLine="0"/>
              <w:jc w:val="left"/>
              <w:rPr>
                <w:rFonts w:eastAsia="Times New Roman"/>
                <w:sz w:val="20"/>
                <w:szCs w:val="20"/>
                <w:lang w:val="en-US"/>
              </w:rPr>
            </w:pPr>
            <w:r w:rsidRPr="003A7E34">
              <w:rPr>
                <w:rFonts w:eastAsia="Times New Roman"/>
                <w:sz w:val="20"/>
                <w:szCs w:val="20"/>
                <w:lang w:val="en-US"/>
              </w:rPr>
              <w:t xml:space="preserve"> Increase of environmental and landscape stability of forest ecosystems</w:t>
            </w:r>
          </w:p>
        </w:tc>
        <w:tc>
          <w:tcPr>
            <w:tcW w:w="3685" w:type="dxa"/>
          </w:tcPr>
          <w:p w14:paraId="740308FE" w14:textId="77777777" w:rsidR="008F3CA5" w:rsidRPr="003A7E34" w:rsidRDefault="008F3CA5" w:rsidP="008F3CA5">
            <w:pPr>
              <w:tabs>
                <w:tab w:val="left" w:pos="855"/>
              </w:tabs>
              <w:spacing w:before="0" w:after="0"/>
              <w:rPr>
                <w:rFonts w:eastAsia="Times New Roman"/>
                <w:sz w:val="20"/>
                <w:szCs w:val="20"/>
                <w:lang w:val="en-US"/>
              </w:rPr>
            </w:pPr>
            <w:r w:rsidRPr="003A7E34">
              <w:rPr>
                <w:rFonts w:eastAsia="Times New Roman"/>
                <w:sz w:val="20"/>
                <w:szCs w:val="20"/>
                <w:lang w:val="en-US"/>
              </w:rPr>
              <w:t>Regularly restore the forestry potential and implement prevention measures in forests affected by fires, natural disasters, pests, diseases and climate change-related incidents</w:t>
            </w:r>
          </w:p>
        </w:tc>
        <w:tc>
          <w:tcPr>
            <w:tcW w:w="2268" w:type="dxa"/>
          </w:tcPr>
          <w:p w14:paraId="337D0118"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Agriculture</w:t>
            </w:r>
          </w:p>
          <w:p w14:paraId="5D9FC31E"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Environment</w:t>
            </w:r>
          </w:p>
        </w:tc>
        <w:tc>
          <w:tcPr>
            <w:tcW w:w="994" w:type="dxa"/>
          </w:tcPr>
          <w:p w14:paraId="550D4817"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1,3</w:t>
            </w:r>
          </w:p>
        </w:tc>
      </w:tr>
      <w:tr w:rsidR="003A7E34" w:rsidRPr="003A7E34" w14:paraId="5B6F33E6" w14:textId="77777777" w:rsidTr="008F3CA5">
        <w:trPr>
          <w:trHeight w:val="635"/>
        </w:trPr>
        <w:tc>
          <w:tcPr>
            <w:tcW w:w="2517" w:type="dxa"/>
          </w:tcPr>
          <w:p w14:paraId="27D4FFBC" w14:textId="77777777" w:rsidR="008F3CA5" w:rsidRPr="003A7E34" w:rsidRDefault="008F3CA5" w:rsidP="008F3CA5">
            <w:pPr>
              <w:numPr>
                <w:ilvl w:val="0"/>
                <w:numId w:val="23"/>
              </w:numPr>
              <w:tabs>
                <w:tab w:val="left" w:pos="0"/>
              </w:tabs>
              <w:spacing w:before="0" w:after="0"/>
              <w:ind w:left="0" w:firstLine="0"/>
              <w:jc w:val="left"/>
              <w:rPr>
                <w:rFonts w:eastAsia="Times New Roman"/>
                <w:sz w:val="20"/>
                <w:szCs w:val="20"/>
                <w:lang w:val="en-US"/>
              </w:rPr>
            </w:pPr>
            <w:r w:rsidRPr="003A7E34">
              <w:rPr>
                <w:rFonts w:eastAsia="Times New Roman"/>
                <w:sz w:val="20"/>
                <w:szCs w:val="20"/>
                <w:lang w:val="en-US"/>
              </w:rPr>
              <w:t xml:space="preserve"> Improvement of the forest fire protection system</w:t>
            </w:r>
          </w:p>
        </w:tc>
        <w:tc>
          <w:tcPr>
            <w:tcW w:w="3685" w:type="dxa"/>
          </w:tcPr>
          <w:p w14:paraId="3163A431" w14:textId="77777777" w:rsidR="008F3CA5" w:rsidRPr="003A7E34" w:rsidRDefault="008F3CA5" w:rsidP="008F3CA5">
            <w:pPr>
              <w:tabs>
                <w:tab w:val="left" w:pos="855"/>
              </w:tabs>
              <w:spacing w:before="0" w:after="0"/>
              <w:rPr>
                <w:rFonts w:eastAsia="Times New Roman"/>
                <w:sz w:val="20"/>
                <w:szCs w:val="20"/>
                <w:lang w:val="en-US"/>
              </w:rPr>
            </w:pPr>
            <w:r w:rsidRPr="003A7E34">
              <w:rPr>
                <w:rFonts w:eastAsia="Times New Roman"/>
                <w:sz w:val="20"/>
                <w:szCs w:val="20"/>
                <w:lang w:val="en-US"/>
              </w:rPr>
              <w:t>Regular update the forest fire protection system, paying particular attention to the adaptation of forest infrastructure</w:t>
            </w:r>
          </w:p>
        </w:tc>
        <w:tc>
          <w:tcPr>
            <w:tcW w:w="2268" w:type="dxa"/>
          </w:tcPr>
          <w:p w14:paraId="569EBDEC"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Environment</w:t>
            </w:r>
          </w:p>
        </w:tc>
        <w:tc>
          <w:tcPr>
            <w:tcW w:w="994" w:type="dxa"/>
          </w:tcPr>
          <w:p w14:paraId="22E8E393"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1,3</w:t>
            </w:r>
          </w:p>
        </w:tc>
      </w:tr>
      <w:tr w:rsidR="003A7E34" w:rsidRPr="003A7E34" w14:paraId="7FD07277" w14:textId="77777777" w:rsidTr="008F3CA5">
        <w:trPr>
          <w:trHeight w:val="376"/>
        </w:trPr>
        <w:tc>
          <w:tcPr>
            <w:tcW w:w="8470" w:type="dxa"/>
            <w:gridSpan w:val="3"/>
          </w:tcPr>
          <w:p w14:paraId="5426F2EB" w14:textId="77777777" w:rsidR="008F3CA5" w:rsidRPr="003A7E34" w:rsidRDefault="008F3CA5" w:rsidP="008F3CA5">
            <w:pPr>
              <w:spacing w:before="0" w:after="0"/>
              <w:jc w:val="right"/>
              <w:rPr>
                <w:rFonts w:eastAsia="Times New Roman"/>
                <w:sz w:val="20"/>
                <w:szCs w:val="20"/>
                <w:lang w:val="en-US"/>
              </w:rPr>
            </w:pPr>
            <w:r w:rsidRPr="003A7E34">
              <w:rPr>
                <w:rFonts w:eastAsia="Times New Roman"/>
                <w:sz w:val="20"/>
                <w:szCs w:val="20"/>
                <w:lang w:val="en-US"/>
              </w:rPr>
              <w:t>Total Forestry, ecosystem, biodiversity and landscape:</w:t>
            </w:r>
          </w:p>
        </w:tc>
        <w:tc>
          <w:tcPr>
            <w:tcW w:w="994" w:type="dxa"/>
          </w:tcPr>
          <w:p w14:paraId="7541FE94" w14:textId="77777777" w:rsidR="008F3CA5" w:rsidRPr="003A7E34" w:rsidRDefault="008F3CA5" w:rsidP="008F3CA5">
            <w:pPr>
              <w:spacing w:before="0" w:after="0"/>
              <w:rPr>
                <w:rFonts w:eastAsia="Times New Roman"/>
                <w:sz w:val="20"/>
                <w:szCs w:val="20"/>
                <w:lang w:val="en-US"/>
              </w:rPr>
            </w:pPr>
          </w:p>
        </w:tc>
      </w:tr>
      <w:tr w:rsidR="003A7E34" w:rsidRPr="003A7E34" w14:paraId="56A84CB9" w14:textId="77777777" w:rsidTr="008F3CA5">
        <w:trPr>
          <w:trHeight w:val="245"/>
        </w:trPr>
        <w:tc>
          <w:tcPr>
            <w:tcW w:w="9464" w:type="dxa"/>
            <w:gridSpan w:val="4"/>
          </w:tcPr>
          <w:p w14:paraId="7AC4456C" w14:textId="77777777" w:rsidR="008F3CA5" w:rsidRPr="003A7E34" w:rsidRDefault="008F3CA5" w:rsidP="008F3CA5">
            <w:pPr>
              <w:spacing w:before="0" w:after="0"/>
              <w:jc w:val="center"/>
              <w:rPr>
                <w:rFonts w:eastAsia="Times New Roman"/>
                <w:b/>
                <w:bCs/>
                <w:sz w:val="20"/>
                <w:szCs w:val="20"/>
                <w:lang w:val="en-US"/>
              </w:rPr>
            </w:pPr>
            <w:r w:rsidRPr="003A7E34">
              <w:rPr>
                <w:rFonts w:eastAsia="Times New Roman"/>
                <w:b/>
                <w:bCs/>
                <w:sz w:val="20"/>
                <w:szCs w:val="20"/>
                <w:lang w:val="en-US"/>
              </w:rPr>
              <w:t>Water resources</w:t>
            </w:r>
          </w:p>
        </w:tc>
      </w:tr>
      <w:tr w:rsidR="003A7E34" w:rsidRPr="003A7E34" w14:paraId="4AB59F1A" w14:textId="77777777" w:rsidTr="008F3CA5">
        <w:trPr>
          <w:trHeight w:val="635"/>
        </w:trPr>
        <w:tc>
          <w:tcPr>
            <w:tcW w:w="2517" w:type="dxa"/>
          </w:tcPr>
          <w:p w14:paraId="1194453A"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Times New Roman"/>
                <w:sz w:val="20"/>
                <w:szCs w:val="20"/>
                <w:lang w:val="en-US"/>
              </w:rPr>
              <w:t>To ensure the implementation of the water supply and wastewater management system</w:t>
            </w:r>
          </w:p>
        </w:tc>
        <w:tc>
          <w:tcPr>
            <w:tcW w:w="3685" w:type="dxa"/>
          </w:tcPr>
          <w:p w14:paraId="00308AC1"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By 2030, to modernize the run-off rain water treatment infrastructure and ensure its development in urbanized areas in order to protect urbanized areas against risks posed by excess water and prevent the release of pollutants into the environment (surface waters)</w:t>
            </w:r>
          </w:p>
        </w:tc>
        <w:tc>
          <w:tcPr>
            <w:tcW w:w="2268" w:type="dxa"/>
          </w:tcPr>
          <w:p w14:paraId="6147C8EE"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Municipalities</w:t>
            </w:r>
          </w:p>
        </w:tc>
        <w:tc>
          <w:tcPr>
            <w:tcW w:w="994" w:type="dxa"/>
          </w:tcPr>
          <w:p w14:paraId="19F442DC"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1,3</w:t>
            </w:r>
          </w:p>
        </w:tc>
      </w:tr>
      <w:tr w:rsidR="003A7E34" w:rsidRPr="003A7E34" w14:paraId="7CC3084A" w14:textId="77777777" w:rsidTr="008F3CA5">
        <w:trPr>
          <w:trHeight w:val="635"/>
        </w:trPr>
        <w:tc>
          <w:tcPr>
            <w:tcW w:w="2517" w:type="dxa"/>
          </w:tcPr>
          <w:p w14:paraId="34A59697"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Times New Roman"/>
                <w:sz w:val="20"/>
                <w:szCs w:val="20"/>
                <w:lang w:val="en-US"/>
              </w:rPr>
              <w:t xml:space="preserve">To ensure the implementation of the flood risk assessment and management system, </w:t>
            </w:r>
          </w:p>
        </w:tc>
        <w:tc>
          <w:tcPr>
            <w:tcW w:w="3685" w:type="dxa"/>
          </w:tcPr>
          <w:p w14:paraId="4F8EF925"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Regular update all flood managing and forecasting system</w:t>
            </w:r>
          </w:p>
        </w:tc>
        <w:tc>
          <w:tcPr>
            <w:tcW w:w="2268" w:type="dxa"/>
          </w:tcPr>
          <w:p w14:paraId="3AF8D590"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Environment (Environmental Protection Agency)</w:t>
            </w:r>
          </w:p>
        </w:tc>
        <w:tc>
          <w:tcPr>
            <w:tcW w:w="994" w:type="dxa"/>
          </w:tcPr>
          <w:p w14:paraId="7725B5F9"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1,2</w:t>
            </w:r>
          </w:p>
        </w:tc>
      </w:tr>
      <w:tr w:rsidR="003A7E34" w:rsidRPr="003A7E34" w14:paraId="32270F5C" w14:textId="77777777" w:rsidTr="008F3CA5">
        <w:trPr>
          <w:trHeight w:val="635"/>
        </w:trPr>
        <w:tc>
          <w:tcPr>
            <w:tcW w:w="2517" w:type="dxa"/>
          </w:tcPr>
          <w:p w14:paraId="6122023B"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Times New Roman"/>
                <w:sz w:val="20"/>
                <w:szCs w:val="20"/>
                <w:lang w:val="en-US"/>
              </w:rPr>
              <w:t>Create drainage systems and reclamation ditches</w:t>
            </w:r>
          </w:p>
        </w:tc>
        <w:tc>
          <w:tcPr>
            <w:tcW w:w="3685" w:type="dxa"/>
          </w:tcPr>
          <w:p w14:paraId="70BC7B4E"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 xml:space="preserve">To create and improve conditions for surplus (spring floods or summer rains) water draining from fields by 2030 </w:t>
            </w:r>
          </w:p>
        </w:tc>
        <w:tc>
          <w:tcPr>
            <w:tcW w:w="2268" w:type="dxa"/>
          </w:tcPr>
          <w:p w14:paraId="09D3526E"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Agriculture</w:t>
            </w:r>
          </w:p>
        </w:tc>
        <w:tc>
          <w:tcPr>
            <w:tcW w:w="994" w:type="dxa"/>
          </w:tcPr>
          <w:p w14:paraId="0B0DF971"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1,2</w:t>
            </w:r>
          </w:p>
        </w:tc>
      </w:tr>
      <w:tr w:rsidR="003A7E34" w:rsidRPr="003A7E34" w14:paraId="720B642E" w14:textId="77777777" w:rsidTr="008F3CA5">
        <w:trPr>
          <w:trHeight w:val="635"/>
        </w:trPr>
        <w:tc>
          <w:tcPr>
            <w:tcW w:w="2517" w:type="dxa"/>
          </w:tcPr>
          <w:p w14:paraId="1F8515D0" w14:textId="77777777" w:rsidR="008F3CA5" w:rsidRPr="003A7E34" w:rsidRDefault="008F3CA5" w:rsidP="008F3CA5">
            <w:pPr>
              <w:numPr>
                <w:ilvl w:val="0"/>
                <w:numId w:val="23"/>
              </w:numPr>
              <w:spacing w:before="0" w:after="0"/>
              <w:ind w:left="0" w:firstLine="0"/>
              <w:jc w:val="left"/>
              <w:rPr>
                <w:rFonts w:eastAsia="Times New Roman"/>
                <w:sz w:val="20"/>
                <w:szCs w:val="20"/>
                <w:lang w:val="en-US"/>
              </w:rPr>
            </w:pPr>
            <w:r w:rsidRPr="003A7E34">
              <w:rPr>
                <w:rFonts w:eastAsia="Times New Roman"/>
                <w:sz w:val="20"/>
                <w:szCs w:val="20"/>
                <w:lang w:val="en-US"/>
              </w:rPr>
              <w:t xml:space="preserve">To reduce the negative effects of the rising </w:t>
            </w:r>
            <w:r w:rsidRPr="003A7E34">
              <w:rPr>
                <w:rFonts w:eastAsia="Times New Roman"/>
                <w:sz w:val="20"/>
                <w:szCs w:val="20"/>
                <w:lang w:val="en-US"/>
              </w:rPr>
              <w:lastRenderedPageBreak/>
              <w:t xml:space="preserve">water level and of extreme weather phenomena on the quality of the surface water and groundwater </w:t>
            </w:r>
          </w:p>
        </w:tc>
        <w:tc>
          <w:tcPr>
            <w:tcW w:w="3685" w:type="dxa"/>
          </w:tcPr>
          <w:p w14:paraId="4FA29AC9"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lastRenderedPageBreak/>
              <w:t xml:space="preserve">Regular improvement of water resources management and enhancement of water </w:t>
            </w:r>
            <w:r w:rsidRPr="003A7E34">
              <w:rPr>
                <w:rFonts w:eastAsia="Times New Roman"/>
                <w:sz w:val="20"/>
                <w:szCs w:val="20"/>
                <w:lang w:val="en-US"/>
              </w:rPr>
              <w:lastRenderedPageBreak/>
              <w:t>quality</w:t>
            </w:r>
          </w:p>
        </w:tc>
        <w:tc>
          <w:tcPr>
            <w:tcW w:w="2268" w:type="dxa"/>
          </w:tcPr>
          <w:p w14:paraId="2C190323" w14:textId="77777777" w:rsidR="008F3CA5" w:rsidRPr="003A7E34" w:rsidRDefault="008F3CA5" w:rsidP="008F3CA5">
            <w:pPr>
              <w:tabs>
                <w:tab w:val="left" w:pos="548"/>
              </w:tabs>
              <w:spacing w:before="0" w:after="0"/>
              <w:rPr>
                <w:rFonts w:eastAsia="Times New Roman"/>
                <w:sz w:val="20"/>
                <w:szCs w:val="20"/>
                <w:lang w:val="en-US"/>
              </w:rPr>
            </w:pPr>
            <w:r w:rsidRPr="003A7E34">
              <w:rPr>
                <w:rFonts w:eastAsia="Times New Roman"/>
                <w:sz w:val="20"/>
                <w:szCs w:val="20"/>
                <w:lang w:val="en-US"/>
              </w:rPr>
              <w:lastRenderedPageBreak/>
              <w:t xml:space="preserve">Ministry of Environment (Environmental </w:t>
            </w:r>
            <w:r w:rsidRPr="003A7E34">
              <w:rPr>
                <w:rFonts w:eastAsia="Times New Roman"/>
                <w:sz w:val="20"/>
                <w:szCs w:val="20"/>
                <w:lang w:val="en-US"/>
              </w:rPr>
              <w:lastRenderedPageBreak/>
              <w:t>Protection Agency)</w:t>
            </w:r>
          </w:p>
        </w:tc>
        <w:tc>
          <w:tcPr>
            <w:tcW w:w="994" w:type="dxa"/>
          </w:tcPr>
          <w:p w14:paraId="569A21B1"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lastRenderedPageBreak/>
              <w:t>X</w:t>
            </w:r>
            <w:r w:rsidRPr="003A7E34">
              <w:rPr>
                <w:rFonts w:eastAsia="Times New Roman"/>
                <w:sz w:val="20"/>
                <w:szCs w:val="20"/>
                <w:vertAlign w:val="superscript"/>
                <w:lang w:val="en-US"/>
              </w:rPr>
              <w:t>1,2</w:t>
            </w:r>
          </w:p>
        </w:tc>
      </w:tr>
      <w:tr w:rsidR="003A7E34" w:rsidRPr="003A7E34" w14:paraId="1BDBA05E" w14:textId="77777777" w:rsidTr="008F3CA5">
        <w:trPr>
          <w:trHeight w:val="231"/>
        </w:trPr>
        <w:tc>
          <w:tcPr>
            <w:tcW w:w="8470" w:type="dxa"/>
            <w:gridSpan w:val="3"/>
          </w:tcPr>
          <w:p w14:paraId="3A0F3398" w14:textId="77777777" w:rsidR="008F3CA5" w:rsidRPr="003A7E34" w:rsidRDefault="008F3CA5" w:rsidP="008F3CA5">
            <w:pPr>
              <w:tabs>
                <w:tab w:val="left" w:pos="548"/>
              </w:tabs>
              <w:spacing w:before="0" w:after="0"/>
              <w:jc w:val="right"/>
              <w:rPr>
                <w:rFonts w:eastAsia="Times New Roman"/>
                <w:sz w:val="20"/>
                <w:szCs w:val="20"/>
                <w:lang w:val="en-US"/>
              </w:rPr>
            </w:pPr>
            <w:r w:rsidRPr="003A7E34">
              <w:rPr>
                <w:rFonts w:eastAsia="Times New Roman"/>
                <w:sz w:val="20"/>
                <w:szCs w:val="20"/>
                <w:lang w:val="en-US"/>
              </w:rPr>
              <w:t>Total water:</w:t>
            </w:r>
          </w:p>
        </w:tc>
        <w:tc>
          <w:tcPr>
            <w:tcW w:w="994" w:type="dxa"/>
          </w:tcPr>
          <w:p w14:paraId="743B23DC" w14:textId="77777777" w:rsidR="008F3CA5" w:rsidRPr="003A7E34" w:rsidRDefault="008F3CA5" w:rsidP="008F3CA5">
            <w:pPr>
              <w:spacing w:before="0" w:after="0"/>
              <w:rPr>
                <w:rFonts w:eastAsia="Times New Roman"/>
                <w:sz w:val="20"/>
                <w:szCs w:val="20"/>
                <w:lang w:val="en-US"/>
              </w:rPr>
            </w:pPr>
          </w:p>
        </w:tc>
      </w:tr>
      <w:tr w:rsidR="003A7E34" w:rsidRPr="003A7E34" w14:paraId="524C308A" w14:textId="77777777" w:rsidTr="008F3CA5">
        <w:trPr>
          <w:trHeight w:val="325"/>
        </w:trPr>
        <w:tc>
          <w:tcPr>
            <w:tcW w:w="9464" w:type="dxa"/>
            <w:gridSpan w:val="4"/>
          </w:tcPr>
          <w:p w14:paraId="53A3E9C6" w14:textId="77777777" w:rsidR="008F3CA5" w:rsidRPr="003A7E34" w:rsidRDefault="008F3CA5" w:rsidP="008F3CA5">
            <w:pPr>
              <w:spacing w:before="0" w:after="0"/>
              <w:jc w:val="center"/>
              <w:rPr>
                <w:rFonts w:eastAsia="Times New Roman"/>
                <w:b/>
                <w:bCs/>
                <w:sz w:val="20"/>
                <w:szCs w:val="20"/>
                <w:lang w:val="en-US"/>
              </w:rPr>
            </w:pPr>
            <w:r w:rsidRPr="003A7E34">
              <w:rPr>
                <w:rFonts w:eastAsia="Times New Roman"/>
                <w:b/>
                <w:bCs/>
                <w:sz w:val="20"/>
                <w:szCs w:val="20"/>
                <w:lang w:val="en-US"/>
              </w:rPr>
              <w:t>Transport</w:t>
            </w:r>
          </w:p>
        </w:tc>
      </w:tr>
      <w:tr w:rsidR="003A7E34" w:rsidRPr="003A7E34" w14:paraId="5AF0592E" w14:textId="77777777" w:rsidTr="008F3CA5">
        <w:trPr>
          <w:trHeight w:val="635"/>
        </w:trPr>
        <w:tc>
          <w:tcPr>
            <w:tcW w:w="2517" w:type="dxa"/>
          </w:tcPr>
          <w:p w14:paraId="4FEEEF48" w14:textId="77777777" w:rsidR="008F3CA5" w:rsidRPr="003A7E34" w:rsidRDefault="008F3CA5" w:rsidP="008F3CA5">
            <w:pPr>
              <w:numPr>
                <w:ilvl w:val="0"/>
                <w:numId w:val="23"/>
              </w:numPr>
              <w:spacing w:before="0" w:after="0"/>
              <w:ind w:left="0" w:firstLine="0"/>
              <w:contextualSpacing/>
              <w:jc w:val="left"/>
              <w:rPr>
                <w:rFonts w:eastAsia="Times New Roman"/>
                <w:sz w:val="20"/>
                <w:szCs w:val="20"/>
                <w:lang w:val="en-US"/>
              </w:rPr>
            </w:pPr>
            <w:r w:rsidRPr="003A7E34">
              <w:rPr>
                <w:rFonts w:eastAsia="Times New Roman"/>
                <w:sz w:val="20"/>
                <w:szCs w:val="20"/>
                <w:lang w:val="en-US"/>
              </w:rPr>
              <w:t xml:space="preserve">To decrease the impacts of extreme weather on the transportation infrastructure elements and road surfaces. </w:t>
            </w:r>
          </w:p>
        </w:tc>
        <w:tc>
          <w:tcPr>
            <w:tcW w:w="3685" w:type="dxa"/>
          </w:tcPr>
          <w:p w14:paraId="1C5E6C22"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 xml:space="preserve"> Improvement of the road infrastructure by 2030</w:t>
            </w:r>
          </w:p>
        </w:tc>
        <w:tc>
          <w:tcPr>
            <w:tcW w:w="2268" w:type="dxa"/>
          </w:tcPr>
          <w:p w14:paraId="6D67190F"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Transport</w:t>
            </w:r>
          </w:p>
        </w:tc>
        <w:tc>
          <w:tcPr>
            <w:tcW w:w="994" w:type="dxa"/>
          </w:tcPr>
          <w:p w14:paraId="273943F2"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500</w:t>
            </w:r>
            <w:r w:rsidRPr="003A7E34">
              <w:rPr>
                <w:rFonts w:eastAsia="Times New Roman"/>
                <w:sz w:val="20"/>
                <w:szCs w:val="20"/>
                <w:vertAlign w:val="superscript"/>
                <w:lang w:val="en-US"/>
              </w:rPr>
              <w:t>1</w:t>
            </w:r>
          </w:p>
        </w:tc>
      </w:tr>
      <w:tr w:rsidR="003A7E34" w:rsidRPr="003A7E34" w14:paraId="6CE39A1C" w14:textId="77777777" w:rsidTr="008F3CA5">
        <w:trPr>
          <w:trHeight w:val="635"/>
        </w:trPr>
        <w:tc>
          <w:tcPr>
            <w:tcW w:w="2517" w:type="dxa"/>
          </w:tcPr>
          <w:p w14:paraId="519A1160" w14:textId="77777777" w:rsidR="008F3CA5" w:rsidRPr="003A7E34" w:rsidRDefault="008F3CA5" w:rsidP="008F3CA5">
            <w:pPr>
              <w:numPr>
                <w:ilvl w:val="0"/>
                <w:numId w:val="23"/>
              </w:numPr>
              <w:spacing w:before="0" w:after="0"/>
              <w:ind w:left="0" w:firstLine="0"/>
              <w:contextualSpacing/>
              <w:jc w:val="left"/>
              <w:rPr>
                <w:rFonts w:eastAsia="Times New Roman"/>
                <w:sz w:val="20"/>
                <w:szCs w:val="20"/>
                <w:lang w:val="en-US"/>
              </w:rPr>
            </w:pPr>
            <w:r w:rsidRPr="003A7E34">
              <w:rPr>
                <w:rFonts w:eastAsia="Times New Roman"/>
                <w:sz w:val="20"/>
                <w:szCs w:val="20"/>
                <w:lang w:val="en-US"/>
              </w:rPr>
              <w:t xml:space="preserve"> Ensure continuous improvement of the Road Weather Information System</w:t>
            </w:r>
          </w:p>
        </w:tc>
        <w:tc>
          <w:tcPr>
            <w:tcW w:w="3685" w:type="dxa"/>
          </w:tcPr>
          <w:p w14:paraId="1E997DA6"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Regular improvement and update of the Road Weather Information System</w:t>
            </w:r>
          </w:p>
        </w:tc>
        <w:tc>
          <w:tcPr>
            <w:tcW w:w="2268" w:type="dxa"/>
          </w:tcPr>
          <w:p w14:paraId="017600C1"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Transport</w:t>
            </w:r>
          </w:p>
        </w:tc>
        <w:tc>
          <w:tcPr>
            <w:tcW w:w="994" w:type="dxa"/>
          </w:tcPr>
          <w:p w14:paraId="2707AF7A"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w:t>
            </w:r>
          </w:p>
        </w:tc>
      </w:tr>
      <w:tr w:rsidR="003A7E34" w:rsidRPr="003A7E34" w14:paraId="74981425" w14:textId="77777777" w:rsidTr="008F3CA5">
        <w:trPr>
          <w:trHeight w:val="635"/>
        </w:trPr>
        <w:tc>
          <w:tcPr>
            <w:tcW w:w="2517" w:type="dxa"/>
          </w:tcPr>
          <w:p w14:paraId="729C11C0" w14:textId="77777777" w:rsidR="008F3CA5" w:rsidRPr="003A7E34" w:rsidRDefault="008F3CA5" w:rsidP="008F3CA5">
            <w:pPr>
              <w:numPr>
                <w:ilvl w:val="0"/>
                <w:numId w:val="23"/>
              </w:numPr>
              <w:spacing w:before="0" w:after="0"/>
              <w:ind w:left="0" w:firstLine="0"/>
              <w:contextualSpacing/>
              <w:jc w:val="left"/>
              <w:rPr>
                <w:rFonts w:eastAsia="Times New Roman"/>
                <w:sz w:val="20"/>
                <w:szCs w:val="20"/>
                <w:lang w:val="en-US"/>
              </w:rPr>
            </w:pPr>
            <w:r w:rsidRPr="003A7E34">
              <w:rPr>
                <w:rFonts w:eastAsia="Times New Roman"/>
                <w:sz w:val="20"/>
                <w:szCs w:val="20"/>
                <w:lang w:val="en-US"/>
              </w:rPr>
              <w:t>To decrease the impacts of extreme weather on the airport infrastructure</w:t>
            </w:r>
          </w:p>
        </w:tc>
        <w:tc>
          <w:tcPr>
            <w:tcW w:w="3685" w:type="dxa"/>
          </w:tcPr>
          <w:p w14:paraId="6861F8A5"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Improvement of the airport infrastructure by 2030</w:t>
            </w:r>
          </w:p>
        </w:tc>
        <w:tc>
          <w:tcPr>
            <w:tcW w:w="2268" w:type="dxa"/>
          </w:tcPr>
          <w:p w14:paraId="118CC290"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Ministry of Transport</w:t>
            </w:r>
          </w:p>
          <w:p w14:paraId="6010C203" w14:textId="77777777" w:rsidR="008F3CA5" w:rsidRPr="003A7E34" w:rsidRDefault="008F3CA5" w:rsidP="008F3CA5">
            <w:pPr>
              <w:spacing w:before="0" w:after="0"/>
              <w:rPr>
                <w:rFonts w:eastAsia="Times New Roman"/>
                <w:sz w:val="20"/>
                <w:szCs w:val="20"/>
                <w:lang w:val="en-US"/>
              </w:rPr>
            </w:pPr>
          </w:p>
        </w:tc>
        <w:tc>
          <w:tcPr>
            <w:tcW w:w="994" w:type="dxa"/>
          </w:tcPr>
          <w:p w14:paraId="7DEFD3AA" w14:textId="77777777" w:rsidR="008F3CA5" w:rsidRPr="003A7E34" w:rsidRDefault="008F3CA5" w:rsidP="008F3CA5">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w:t>
            </w:r>
          </w:p>
        </w:tc>
      </w:tr>
      <w:tr w:rsidR="008F3CA5" w:rsidRPr="003A7E34" w14:paraId="75B15D99" w14:textId="77777777" w:rsidTr="008F3CA5">
        <w:trPr>
          <w:trHeight w:val="206"/>
        </w:trPr>
        <w:tc>
          <w:tcPr>
            <w:tcW w:w="8470" w:type="dxa"/>
            <w:gridSpan w:val="3"/>
          </w:tcPr>
          <w:p w14:paraId="0949C528" w14:textId="77777777" w:rsidR="008F3CA5" w:rsidRPr="003A7E34" w:rsidRDefault="008F3CA5" w:rsidP="008F3CA5">
            <w:pPr>
              <w:spacing w:before="0" w:after="0"/>
              <w:jc w:val="right"/>
              <w:rPr>
                <w:rFonts w:eastAsia="Times New Roman"/>
                <w:sz w:val="20"/>
                <w:szCs w:val="20"/>
                <w:lang w:val="en-US"/>
              </w:rPr>
            </w:pPr>
            <w:r w:rsidRPr="003A7E34">
              <w:rPr>
                <w:rFonts w:eastAsia="Times New Roman"/>
                <w:sz w:val="20"/>
                <w:szCs w:val="20"/>
                <w:lang w:val="en-US"/>
              </w:rPr>
              <w:t>Total transport:</w:t>
            </w:r>
          </w:p>
        </w:tc>
        <w:tc>
          <w:tcPr>
            <w:tcW w:w="994" w:type="dxa"/>
          </w:tcPr>
          <w:p w14:paraId="6E1D50CB" w14:textId="77777777" w:rsidR="008F3CA5" w:rsidRPr="003A7E34" w:rsidRDefault="008F3CA5" w:rsidP="008F3CA5">
            <w:pPr>
              <w:spacing w:before="0" w:after="0"/>
              <w:rPr>
                <w:rFonts w:eastAsia="Times New Roman"/>
                <w:sz w:val="20"/>
                <w:szCs w:val="20"/>
                <w:lang w:val="en-US"/>
              </w:rPr>
            </w:pPr>
          </w:p>
        </w:tc>
      </w:tr>
    </w:tbl>
    <w:p w14:paraId="56AFC2B3" w14:textId="44EC2F8E" w:rsidR="07449648" w:rsidRPr="003A7E34" w:rsidRDefault="07449648" w:rsidP="07449648">
      <w:pPr>
        <w:spacing w:before="0"/>
        <w:rPr>
          <w:rFonts w:eastAsia="Times New Roman"/>
          <w:sz w:val="20"/>
          <w:szCs w:val="20"/>
          <w:lang w:val="en-US"/>
        </w:rPr>
      </w:pPr>
    </w:p>
    <w:p w14:paraId="1793560C" w14:textId="77777777" w:rsidR="00E03E9C" w:rsidRPr="003A7E34" w:rsidRDefault="00E03E9C" w:rsidP="00E03E9C">
      <w:pPr>
        <w:spacing w:before="0"/>
        <w:rPr>
          <w:rFonts w:eastAsia="Times New Roman"/>
          <w:sz w:val="20"/>
          <w:szCs w:val="20"/>
          <w:lang w:val="en-US"/>
        </w:rPr>
      </w:pPr>
      <w:r w:rsidRPr="003A7E34">
        <w:rPr>
          <w:rFonts w:eastAsia="Times New Roman"/>
          <w:sz w:val="20"/>
          <w:szCs w:val="20"/>
          <w:vertAlign w:val="superscript"/>
          <w:lang w:val="en-US"/>
        </w:rPr>
        <w:t>1</w:t>
      </w:r>
      <w:r w:rsidRPr="003A7E34">
        <w:rPr>
          <w:rFonts w:eastAsia="Times New Roman"/>
          <w:sz w:val="20"/>
          <w:szCs w:val="20"/>
          <w:lang w:val="en-US"/>
        </w:rPr>
        <w:t xml:space="preserve">financing from EU funds </w:t>
      </w:r>
    </w:p>
    <w:p w14:paraId="0A58D0A5" w14:textId="77777777" w:rsidR="00E03E9C" w:rsidRPr="003A7E34" w:rsidRDefault="00E03E9C" w:rsidP="00E03E9C">
      <w:pPr>
        <w:spacing w:before="0"/>
        <w:rPr>
          <w:rFonts w:eastAsia="Times New Roman"/>
          <w:sz w:val="20"/>
          <w:szCs w:val="20"/>
          <w:lang w:val="en-US"/>
        </w:rPr>
      </w:pPr>
      <w:r w:rsidRPr="003A7E34">
        <w:rPr>
          <w:rFonts w:eastAsia="Times New Roman"/>
          <w:sz w:val="20"/>
          <w:szCs w:val="20"/>
          <w:vertAlign w:val="superscript"/>
          <w:lang w:val="en-US"/>
        </w:rPr>
        <w:t>2</w:t>
      </w:r>
      <w:r w:rsidRPr="003A7E34">
        <w:rPr>
          <w:rFonts w:eastAsia="Times New Roman"/>
          <w:sz w:val="20"/>
          <w:szCs w:val="20"/>
          <w:lang w:val="en-US"/>
        </w:rPr>
        <w:t xml:space="preserve">financing from budget </w:t>
      </w:r>
    </w:p>
    <w:p w14:paraId="0C490BF5" w14:textId="77777777" w:rsidR="00E03E9C" w:rsidRPr="003A7E34" w:rsidRDefault="00E03E9C" w:rsidP="00E03E9C">
      <w:pPr>
        <w:spacing w:before="0"/>
        <w:rPr>
          <w:rFonts w:eastAsia="Times New Roman"/>
          <w:sz w:val="20"/>
          <w:szCs w:val="20"/>
          <w:lang w:val="en-US"/>
        </w:rPr>
      </w:pPr>
      <w:r w:rsidRPr="003A7E34">
        <w:rPr>
          <w:rFonts w:eastAsia="Times New Roman"/>
          <w:sz w:val="20"/>
          <w:szCs w:val="20"/>
          <w:vertAlign w:val="superscript"/>
          <w:lang w:val="en-US"/>
        </w:rPr>
        <w:t>3</w:t>
      </w:r>
      <w:r w:rsidRPr="003A7E34">
        <w:rPr>
          <w:rFonts w:eastAsia="Times New Roman"/>
          <w:sz w:val="20"/>
          <w:szCs w:val="20"/>
          <w:lang w:val="en-US"/>
        </w:rPr>
        <w:t>other sources</w:t>
      </w:r>
    </w:p>
    <w:p w14:paraId="7A7D1DD5" w14:textId="77777777" w:rsidR="00492A80" w:rsidRPr="003A7E34" w:rsidRDefault="00492A80" w:rsidP="004367DB">
      <w:pPr>
        <w:spacing w:before="0"/>
        <w:jc w:val="left"/>
        <w:rPr>
          <w:rFonts w:eastAsia="Times New Roman"/>
          <w:noProof/>
          <w:lang w:val="en-US"/>
        </w:rPr>
      </w:pPr>
    </w:p>
    <w:p w14:paraId="7736095D" w14:textId="4F01288A" w:rsidR="00B35613" w:rsidRPr="003A7E34" w:rsidRDefault="00626132" w:rsidP="004367DB">
      <w:pPr>
        <w:spacing w:before="0"/>
        <w:jc w:val="left"/>
        <w:rPr>
          <w:rFonts w:eastAsia="Times New Roman"/>
          <w:noProof/>
          <w:lang w:val="en-US"/>
        </w:rPr>
      </w:pPr>
      <w:r w:rsidRPr="003A7E34">
        <w:rPr>
          <w:rFonts w:eastAsia="Times New Roman"/>
          <w:noProof/>
          <w:lang w:val="en-US"/>
        </w:rPr>
        <w:t>Guidance for the Lithuania’s municipalities on mitigation and adaptation to climate change was developed in 2018</w:t>
      </w:r>
      <w:r w:rsidRPr="003A7E34">
        <w:rPr>
          <w:rStyle w:val="FootnoteReference"/>
          <w:rFonts w:eastAsia="Times New Roman"/>
          <w:noProof/>
          <w:lang w:val="en-US"/>
        </w:rPr>
        <w:footnoteReference w:id="20"/>
      </w:r>
      <w:r w:rsidRPr="003A7E34">
        <w:rPr>
          <w:rFonts w:eastAsia="Times New Roman"/>
          <w:noProof/>
          <w:lang w:val="en-US"/>
        </w:rPr>
        <w:t xml:space="preserve">. </w:t>
      </w:r>
    </w:p>
    <w:p w14:paraId="6F12386E" w14:textId="4D3D31EC" w:rsidR="00B35613" w:rsidRPr="003A7E34" w:rsidRDefault="00B35613" w:rsidP="004367DB">
      <w:pPr>
        <w:spacing w:before="0"/>
        <w:rPr>
          <w:rFonts w:eastAsia="Times New Roman"/>
          <w:lang w:val="en-US"/>
        </w:rPr>
      </w:pPr>
      <w:r w:rsidRPr="003A7E34">
        <w:rPr>
          <w:rFonts w:eastAsia="Times New Roman"/>
          <w:lang w:val="en-US"/>
        </w:rPr>
        <w:t xml:space="preserve">The municipalities are responsible for coordinating the regional adaptation work and supporting local actors in their adaptation work. Several municipalities </w:t>
      </w:r>
      <w:r w:rsidR="00626132" w:rsidRPr="003A7E34">
        <w:rPr>
          <w:rFonts w:eastAsia="Times New Roman"/>
          <w:lang w:val="en-US"/>
        </w:rPr>
        <w:t>developed</w:t>
      </w:r>
      <w:r w:rsidRPr="003A7E34">
        <w:rPr>
          <w:rFonts w:eastAsia="Times New Roman"/>
          <w:lang w:val="en-US"/>
        </w:rPr>
        <w:t xml:space="preserve"> adaptation action plans to improve adaptive capacity</w:t>
      </w:r>
      <w:r w:rsidR="00626132" w:rsidRPr="003A7E34">
        <w:rPr>
          <w:rFonts w:eastAsia="Times New Roman"/>
          <w:lang w:val="en-US"/>
        </w:rPr>
        <w:t xml:space="preserve"> </w:t>
      </w:r>
      <w:r w:rsidR="00626132" w:rsidRPr="003A7E34">
        <w:t>and infrastructure resilience</w:t>
      </w:r>
      <w:r w:rsidRPr="003A7E34">
        <w:rPr>
          <w:rFonts w:eastAsia="Times New Roman"/>
          <w:lang w:val="en-US"/>
        </w:rPr>
        <w:t>.</w:t>
      </w:r>
    </w:p>
    <w:p w14:paraId="290BD9B6" w14:textId="6F9676B1" w:rsidR="00B35613" w:rsidRPr="003A7E34" w:rsidRDefault="00B35613" w:rsidP="004367DB">
      <w:pPr>
        <w:spacing w:before="0"/>
        <w:rPr>
          <w:rFonts w:eastAsia="Times New Roman"/>
          <w:noProof/>
          <w:lang w:val="en-US"/>
        </w:rPr>
      </w:pPr>
      <w:r w:rsidRPr="003A7E34">
        <w:rPr>
          <w:rFonts w:eastAsia="Times New Roman"/>
          <w:noProof/>
          <w:lang w:val="en-US"/>
        </w:rPr>
        <w:t>National Risk Assessment, performed in 2013 and coordinated by The Fire and Rescue Department under the Ministry of Interior comprises the evaluation of all threats in Lithuania, including the threats caused by climate change. An updated Risk Assessment was carried out in 2015.</w:t>
      </w:r>
    </w:p>
    <w:p w14:paraId="7BF60D24" w14:textId="59CBE330" w:rsidR="00E27A36" w:rsidRPr="003A7E34" w:rsidRDefault="3D9A4349" w:rsidP="00C42AAE">
      <w:pPr>
        <w:pStyle w:val="ListParagraph"/>
        <w:numPr>
          <w:ilvl w:val="3"/>
          <w:numId w:val="21"/>
        </w:numPr>
        <w:spacing w:after="120"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Policies and measures to achieve other national targets, where applicable</w:t>
      </w:r>
    </w:p>
    <w:p w14:paraId="2398DEC7" w14:textId="0CED7791" w:rsidR="3D9A4349" w:rsidRPr="003A7E34" w:rsidRDefault="00626132" w:rsidP="3D9A4349">
      <w:pPr>
        <w:rPr>
          <w:rFonts w:eastAsia="Times New Roman"/>
          <w:noProof/>
          <w:lang w:val="en-US"/>
        </w:rPr>
      </w:pPr>
      <w:r w:rsidRPr="003A7E34">
        <w:rPr>
          <w:rFonts w:eastAsia="Calibri"/>
          <w:bCs/>
        </w:rPr>
        <w:t xml:space="preserve">In 2014, a study on the “Naming of environmentally harmful subsidies, and determination of their common values in the tax system setting. Methodology for evaluation of environmentally harmful </w:t>
      </w:r>
      <w:r w:rsidR="00C9239D" w:rsidRPr="003A7E34">
        <w:rPr>
          <w:rFonts w:eastAsia="Calibri"/>
          <w:bCs/>
        </w:rPr>
        <w:t>subsidies</w:t>
      </w:r>
      <w:r w:rsidRPr="003A7E34">
        <w:rPr>
          <w:rFonts w:eastAsia="Calibri"/>
          <w:bCs/>
        </w:rPr>
        <w:t xml:space="preserve"> was carried out in Lithuania</w:t>
      </w:r>
      <w:r w:rsidR="00492A80" w:rsidRPr="003A7E34">
        <w:rPr>
          <w:rFonts w:eastAsia="Calibri"/>
          <w:bCs/>
        </w:rPr>
        <w:t>.</w:t>
      </w:r>
      <w:r w:rsidR="00492A80" w:rsidRPr="003A7E34">
        <w:rPr>
          <w:rStyle w:val="FootnoteReference"/>
          <w:rFonts w:eastAsia="Calibri"/>
          <w:bCs/>
        </w:rPr>
        <w:footnoteReference w:id="21"/>
      </w:r>
      <w:r w:rsidRPr="003A7E34">
        <w:rPr>
          <w:rFonts w:eastAsia="Calibri"/>
          <w:bCs/>
        </w:rPr>
        <w:t xml:space="preserve"> The study has identified 37 environmentally harmful subsidies in Lithuania, composing of 79% of the National budget subsidies and 22% of EU support subsidies. The study proposed to review the tax subsidy incentives, which are related to natural resources, mobile pollution sources and energy products gradually abandoning them</w:t>
      </w:r>
      <w:r w:rsidRPr="003A7E34">
        <w:rPr>
          <w:rFonts w:eastAsia="Times New Roman"/>
          <w:noProof/>
          <w:lang w:val="en-US"/>
        </w:rPr>
        <w:t>.</w:t>
      </w:r>
    </w:p>
    <w:p w14:paraId="03BC2CCC" w14:textId="4F93D0A1" w:rsidR="00E27A36" w:rsidRPr="003A7E34" w:rsidRDefault="00E27A36" w:rsidP="00C42AAE">
      <w:pPr>
        <w:pStyle w:val="ListParagraph"/>
        <w:numPr>
          <w:ilvl w:val="3"/>
          <w:numId w:val="21"/>
        </w:numPr>
        <w:spacing w:after="120"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Policies and measures to achieve low emission mobility (including electrification of transport)</w:t>
      </w:r>
    </w:p>
    <w:p w14:paraId="04829781" w14:textId="397109CE" w:rsidR="000612B5" w:rsidRPr="003A7E34" w:rsidRDefault="000612B5" w:rsidP="004367DB">
      <w:pPr>
        <w:spacing w:before="0"/>
        <w:rPr>
          <w:rFonts w:eastAsia="Times New Roman"/>
          <w:noProof/>
          <w:lang w:val="en-US"/>
        </w:rPr>
      </w:pPr>
      <w:r w:rsidRPr="003A7E34">
        <w:rPr>
          <w:rFonts w:eastAsia="Times New Roman"/>
          <w:noProof/>
          <w:lang w:val="en-US"/>
        </w:rPr>
        <w:t>Policies and measures to achieve low-emission mobility (including electrification of transport), under implementation and planned, are d</w:t>
      </w:r>
      <w:r w:rsidR="002434DA" w:rsidRPr="003A7E34">
        <w:rPr>
          <w:rFonts w:eastAsia="Times New Roman"/>
          <w:noProof/>
          <w:lang w:val="en-US"/>
        </w:rPr>
        <w:t>e</w:t>
      </w:r>
      <w:r w:rsidRPr="003A7E34">
        <w:rPr>
          <w:rFonts w:eastAsia="Times New Roman"/>
          <w:noProof/>
          <w:lang w:val="en-US"/>
        </w:rPr>
        <w:t>scribed in the Section 3.1.1.</w:t>
      </w:r>
    </w:p>
    <w:p w14:paraId="58FBA0EF" w14:textId="0D4A58B6" w:rsidR="00713E7D" w:rsidRPr="003A7E34" w:rsidRDefault="3D9A4349" w:rsidP="00C42AAE">
      <w:pPr>
        <w:pStyle w:val="ListParagraph"/>
        <w:numPr>
          <w:ilvl w:val="3"/>
          <w:numId w:val="21"/>
        </w:numPr>
        <w:spacing w:after="120" w:line="240" w:lineRule="auto"/>
        <w:ind w:left="1560" w:hanging="284"/>
        <w:jc w:val="both"/>
        <w:rPr>
          <w:rFonts w:ascii="Times New Roman" w:hAnsi="Times New Roman" w:cs="Times New Roman"/>
          <w:b/>
          <w:bCs/>
          <w:i/>
          <w:iCs/>
          <w:noProof/>
          <w:lang w:val="en-US"/>
        </w:rPr>
      </w:pPr>
      <w:r w:rsidRPr="003A7E34">
        <w:rPr>
          <w:rFonts w:ascii="Times New Roman" w:eastAsia="Times New Roman" w:hAnsi="Times New Roman" w:cs="Times New Roman"/>
          <w:b/>
          <w:bCs/>
          <w:i/>
          <w:iCs/>
          <w:noProof/>
          <w:lang w:val="en-US"/>
        </w:rPr>
        <w:lastRenderedPageBreak/>
        <w:t>Where applicable, national policies, timelines and measures planned to phase out energy subsidies, in particular for fossil fuels</w:t>
      </w:r>
    </w:p>
    <w:p w14:paraId="5EB2F9DB" w14:textId="09016378" w:rsidR="3D9A4349" w:rsidRPr="003A7E34" w:rsidRDefault="3D9A4349" w:rsidP="3D9A4349">
      <w:pPr>
        <w:rPr>
          <w:rFonts w:eastAsia="Times New Roman"/>
          <w:noProof/>
          <w:lang w:val="en-US"/>
        </w:rPr>
      </w:pPr>
      <w:r w:rsidRPr="003A7E34">
        <w:rPr>
          <w:rFonts w:eastAsia="Times New Roman"/>
          <w:noProof/>
          <w:lang w:val="en-US"/>
        </w:rPr>
        <w:t>This part to be defined in the final version of the Plan.</w:t>
      </w:r>
    </w:p>
    <w:p w14:paraId="79537AC2" w14:textId="77777777" w:rsidR="004367DB" w:rsidRPr="003A7E34" w:rsidRDefault="004367DB" w:rsidP="004367DB">
      <w:pPr>
        <w:spacing w:before="0"/>
        <w:rPr>
          <w:rFonts w:eastAsia="Times New Roman"/>
          <w:b/>
          <w:bCs/>
          <w:i/>
          <w:iCs/>
          <w:noProof/>
          <w:lang w:val="en-US"/>
        </w:rPr>
      </w:pPr>
    </w:p>
    <w:p w14:paraId="4DF8CFCE" w14:textId="62793480" w:rsidR="00BD71C0" w:rsidRPr="003A7E34" w:rsidRDefault="372247B6" w:rsidP="00C42AAE">
      <w:pPr>
        <w:pStyle w:val="Heading2"/>
        <w:numPr>
          <w:ilvl w:val="1"/>
          <w:numId w:val="21"/>
        </w:numPr>
        <w:spacing w:before="0" w:after="120"/>
        <w:rPr>
          <w:rFonts w:cs="Times New Roman"/>
          <w:lang w:val="en-US"/>
        </w:rPr>
      </w:pPr>
      <w:bookmarkStart w:id="83" w:name="_Toc530405577"/>
      <w:bookmarkStart w:id="84" w:name="_Toc530411808"/>
      <w:bookmarkStart w:id="85" w:name="_Toc530414157"/>
      <w:r w:rsidRPr="003A7E34">
        <w:rPr>
          <w:rFonts w:eastAsia="Times New Roman" w:cs="Times New Roman"/>
          <w:lang w:val="en-US"/>
        </w:rPr>
        <w:t>Dimension energy efficiency</w:t>
      </w:r>
      <w:bookmarkEnd w:id="83"/>
      <w:bookmarkEnd w:id="84"/>
      <w:bookmarkEnd w:id="85"/>
    </w:p>
    <w:p w14:paraId="20F825A2" w14:textId="50D705D8" w:rsidR="008D3507" w:rsidRPr="003A7E34" w:rsidRDefault="372247B6" w:rsidP="00EA50D6">
      <w:pPr>
        <w:tabs>
          <w:tab w:val="left" w:pos="426"/>
          <w:tab w:val="right" w:pos="993"/>
        </w:tabs>
        <w:spacing w:before="0" w:after="0" w:line="276" w:lineRule="auto"/>
        <w:contextualSpacing/>
        <w:rPr>
          <w:rFonts w:eastAsia="Times New Roman"/>
          <w:lang w:val="en-US"/>
        </w:rPr>
      </w:pPr>
      <w:r w:rsidRPr="003A7E34">
        <w:rPr>
          <w:rFonts w:eastAsia="Times New Roman"/>
          <w:lang w:val="en-US"/>
        </w:rPr>
        <w:t xml:space="preserve">According to the updated </w:t>
      </w:r>
      <w:r w:rsidRPr="003A7E34">
        <w:rPr>
          <w:rFonts w:eastAsia="Times New Roman"/>
          <w:b/>
          <w:lang w:val="en-US"/>
        </w:rPr>
        <w:t xml:space="preserve">National Energy Independence </w:t>
      </w:r>
      <w:r w:rsidR="00134ACC" w:rsidRPr="003A7E34">
        <w:rPr>
          <w:rFonts w:eastAsia="Times New Roman"/>
          <w:b/>
          <w:lang w:val="en-US"/>
        </w:rPr>
        <w:t>Strategy</w:t>
      </w:r>
      <w:r w:rsidRPr="003A7E34">
        <w:rPr>
          <w:rFonts w:eastAsia="Times New Roman"/>
          <w:lang w:val="en-US"/>
        </w:rPr>
        <w:t xml:space="preserve">, energy efficiency </w:t>
      </w:r>
      <w:r w:rsidRPr="003A7E34">
        <w:rPr>
          <w:rFonts w:eastAsia="Times New Roman"/>
          <w:noProof/>
          <w:lang w:val="en-US"/>
        </w:rPr>
        <w:t>contributions’</w:t>
      </w:r>
      <w:r w:rsidR="00D871C8" w:rsidRPr="003A7E34">
        <w:rPr>
          <w:rFonts w:eastAsia="Times New Roman"/>
          <w:lang w:val="en-US"/>
        </w:rPr>
        <w:t xml:space="preserve"> </w:t>
      </w:r>
      <w:r w:rsidRPr="003A7E34">
        <w:rPr>
          <w:rFonts w:eastAsia="Times New Roman"/>
          <w:lang w:val="en-US"/>
        </w:rPr>
        <w:t>improvement in Lithuania will continue to be carried out in accordance with the following principles:</w:t>
      </w:r>
    </w:p>
    <w:p w14:paraId="6AC88A0C" w14:textId="77777777" w:rsidR="008D3507" w:rsidRPr="003A7E34" w:rsidRDefault="46DF7FC9" w:rsidP="00C42AAE">
      <w:pPr>
        <w:pStyle w:val="ListParagraph"/>
        <w:numPr>
          <w:ilvl w:val="0"/>
          <w:numId w:val="6"/>
        </w:numPr>
        <w:tabs>
          <w:tab w:val="left" w:pos="426"/>
          <w:tab w:val="left" w:pos="1134"/>
          <w:tab w:val="left" w:pos="1276"/>
        </w:tabs>
        <w:spacing w:after="0"/>
        <w:jc w:val="both"/>
        <w:rPr>
          <w:rFonts w:ascii="Times New Roman" w:eastAsia="Times New Roman" w:hAnsi="Times New Roman" w:cs="Times New Roman"/>
          <w:u w:val="single"/>
          <w:lang w:val="en-US" w:eastAsia="lt-LT"/>
        </w:rPr>
      </w:pPr>
      <w:r w:rsidRPr="003A7E34">
        <w:rPr>
          <w:rFonts w:ascii="Times New Roman" w:eastAsia="Times New Roman" w:hAnsi="Times New Roman" w:cs="Times New Roman"/>
          <w:i/>
          <w:iCs/>
          <w:lang w:val="en-US" w:eastAsia="lt-LT"/>
        </w:rPr>
        <w:t>Economic feasibility</w:t>
      </w:r>
      <w:r w:rsidRPr="003A7E34">
        <w:rPr>
          <w:rFonts w:ascii="Times New Roman" w:eastAsia="Times New Roman" w:hAnsi="Times New Roman" w:cs="Times New Roman"/>
          <w:lang w:val="en-US" w:eastAsia="lt-LT"/>
        </w:rPr>
        <w:t>;</w:t>
      </w:r>
    </w:p>
    <w:p w14:paraId="2A64D22A" w14:textId="77777777" w:rsidR="008D3507" w:rsidRPr="003A7E34" w:rsidRDefault="46DF7FC9" w:rsidP="00C42AAE">
      <w:pPr>
        <w:pStyle w:val="ListParagraph"/>
        <w:numPr>
          <w:ilvl w:val="0"/>
          <w:numId w:val="6"/>
        </w:numPr>
        <w:tabs>
          <w:tab w:val="left" w:pos="426"/>
          <w:tab w:val="left" w:pos="1134"/>
          <w:tab w:val="left" w:pos="1276"/>
        </w:tabs>
        <w:spacing w:after="0"/>
        <w:jc w:val="both"/>
        <w:rPr>
          <w:rFonts w:ascii="Times New Roman" w:eastAsia="Calibri" w:hAnsi="Times New Roman" w:cs="Times New Roman"/>
          <w:u w:val="single"/>
          <w:lang w:val="en-US"/>
        </w:rPr>
      </w:pPr>
      <w:r w:rsidRPr="003A7E34">
        <w:rPr>
          <w:rFonts w:ascii="Times New Roman" w:eastAsia="Times New Roman" w:hAnsi="Times New Roman" w:cs="Times New Roman"/>
          <w:i/>
          <w:iCs/>
          <w:lang w:val="en-US"/>
        </w:rPr>
        <w:t>Proactive training and education of energy consumers</w:t>
      </w:r>
      <w:r w:rsidRPr="003A7E34">
        <w:rPr>
          <w:rFonts w:ascii="Times New Roman" w:eastAsia="Times New Roman" w:hAnsi="Times New Roman" w:cs="Times New Roman"/>
          <w:lang w:val="en-US"/>
        </w:rPr>
        <w:t>;</w:t>
      </w:r>
    </w:p>
    <w:p w14:paraId="78DF6CFF" w14:textId="77777777" w:rsidR="008D3507" w:rsidRPr="003A7E34" w:rsidRDefault="46DF7FC9" w:rsidP="00C42AAE">
      <w:pPr>
        <w:pStyle w:val="ListParagraph"/>
        <w:numPr>
          <w:ilvl w:val="0"/>
          <w:numId w:val="6"/>
        </w:numPr>
        <w:tabs>
          <w:tab w:val="left" w:pos="426"/>
          <w:tab w:val="left" w:pos="1276"/>
        </w:tabs>
        <w:spacing w:after="0"/>
        <w:jc w:val="both"/>
        <w:rPr>
          <w:rFonts w:ascii="Times New Roman" w:eastAsia="Calibri" w:hAnsi="Times New Roman" w:cs="Times New Roman"/>
          <w:lang w:val="en-US"/>
        </w:rPr>
      </w:pPr>
      <w:r w:rsidRPr="003A7E34">
        <w:rPr>
          <w:rFonts w:ascii="Times New Roman" w:eastAsia="Times New Roman" w:hAnsi="Times New Roman" w:cs="Times New Roman"/>
          <w:i/>
          <w:iCs/>
          <w:lang w:val="en-US"/>
        </w:rPr>
        <w:t>Competition</w:t>
      </w:r>
      <w:r w:rsidRPr="003A7E34">
        <w:rPr>
          <w:rFonts w:ascii="Times New Roman" w:eastAsia="Times New Roman" w:hAnsi="Times New Roman" w:cs="Times New Roman"/>
          <w:lang w:val="en-US"/>
        </w:rPr>
        <w:t>.</w:t>
      </w:r>
    </w:p>
    <w:p w14:paraId="07FEFBB3" w14:textId="77777777" w:rsidR="004367DB" w:rsidRPr="003A7E34" w:rsidRDefault="004367DB" w:rsidP="00EA50D6">
      <w:pPr>
        <w:tabs>
          <w:tab w:val="right" w:pos="709"/>
          <w:tab w:val="left" w:pos="993"/>
        </w:tabs>
        <w:spacing w:before="0" w:after="0" w:line="276" w:lineRule="auto"/>
        <w:contextualSpacing/>
        <w:rPr>
          <w:rFonts w:eastAsia="Times New Roman"/>
          <w:lang w:val="en-US"/>
        </w:rPr>
      </w:pPr>
    </w:p>
    <w:p w14:paraId="2E656760" w14:textId="22509208" w:rsidR="008D3507" w:rsidRPr="003A7E34" w:rsidRDefault="372247B6" w:rsidP="00EA50D6">
      <w:pPr>
        <w:tabs>
          <w:tab w:val="right" w:pos="709"/>
          <w:tab w:val="left" w:pos="993"/>
        </w:tabs>
        <w:spacing w:before="0" w:after="0" w:line="276" w:lineRule="auto"/>
        <w:contextualSpacing/>
        <w:rPr>
          <w:rFonts w:eastAsia="Times New Roman"/>
          <w:lang w:val="en-US"/>
        </w:rPr>
      </w:pPr>
      <w:r w:rsidRPr="003A7E34">
        <w:rPr>
          <w:rFonts w:eastAsia="Times New Roman"/>
          <w:lang w:val="en-US"/>
        </w:rPr>
        <w:t>The main directions for achieving energy efficiency target:</w:t>
      </w:r>
    </w:p>
    <w:p w14:paraId="033BA7B8" w14:textId="4C4E0FCB" w:rsidR="008D3507" w:rsidRPr="003A7E34" w:rsidRDefault="46DF7FC9" w:rsidP="00C42AAE">
      <w:pPr>
        <w:pStyle w:val="ListParagraph"/>
        <w:numPr>
          <w:ilvl w:val="0"/>
          <w:numId w:val="6"/>
        </w:numPr>
        <w:tabs>
          <w:tab w:val="left" w:pos="720"/>
          <w:tab w:val="left" w:pos="1134"/>
        </w:tabs>
        <w:spacing w:after="0"/>
        <w:rPr>
          <w:rFonts w:ascii="Times New Roman" w:hAnsi="Times New Roman" w:cs="Times New Roman"/>
          <w:lang w:val="en-US"/>
        </w:rPr>
      </w:pPr>
      <w:r w:rsidRPr="003A7E34">
        <w:rPr>
          <w:rFonts w:ascii="Times New Roman" w:eastAsia="Times New Roman" w:hAnsi="Times New Roman" w:cs="Times New Roman"/>
          <w:lang w:val="en-US"/>
        </w:rPr>
        <w:t>To promote integrated renovation of multi-apartment and public buildings (prioritizing renovation in quarters) and to save about 2.6–3 TWh of energy in the renovated multi-apartment and public buildings by 2020 and 5–6 TWh by 2030 (by adding up savings in each year).</w:t>
      </w:r>
    </w:p>
    <w:p w14:paraId="229DE928" w14:textId="77777777" w:rsidR="008D3507" w:rsidRPr="003A7E34" w:rsidRDefault="46DF7FC9" w:rsidP="00C42AAE">
      <w:pPr>
        <w:pStyle w:val="ListParagraph"/>
        <w:numPr>
          <w:ilvl w:val="0"/>
          <w:numId w:val="6"/>
        </w:numPr>
        <w:tabs>
          <w:tab w:val="left" w:pos="720"/>
          <w:tab w:val="left" w:pos="1134"/>
        </w:tabs>
        <w:spacing w:after="0"/>
        <w:rPr>
          <w:rFonts w:ascii="Times New Roman" w:hAnsi="Times New Roman" w:cs="Times New Roman"/>
          <w:lang w:val="en-US"/>
        </w:rPr>
      </w:pPr>
      <w:r w:rsidRPr="003A7E34">
        <w:rPr>
          <w:rFonts w:ascii="Times New Roman" w:eastAsia="Times New Roman" w:hAnsi="Times New Roman" w:cs="Times New Roman"/>
          <w:lang w:val="en-US"/>
        </w:rPr>
        <w:t xml:space="preserve">To quickly develop low-energy-intensive industries and industries increasing energy efficiency, the deploy and acquire the most up-to-date and environmentally-friendly technologies and equipment. </w:t>
      </w:r>
    </w:p>
    <w:p w14:paraId="1F065690" w14:textId="26ABB5ED" w:rsidR="008D3507" w:rsidRPr="003A7E34" w:rsidRDefault="46DF7FC9" w:rsidP="00C42AAE">
      <w:pPr>
        <w:pStyle w:val="ListParagraph"/>
        <w:numPr>
          <w:ilvl w:val="0"/>
          <w:numId w:val="6"/>
        </w:numPr>
        <w:tabs>
          <w:tab w:val="left" w:pos="426"/>
          <w:tab w:val="left" w:pos="1276"/>
        </w:tabs>
        <w:spacing w:after="0"/>
        <w:rPr>
          <w:rFonts w:ascii="Times New Roman" w:eastAsia="Calibri" w:hAnsi="Times New Roman" w:cs="Times New Roman"/>
          <w:lang w:val="en-US"/>
        </w:rPr>
      </w:pPr>
      <w:r w:rsidRPr="003A7E34">
        <w:rPr>
          <w:rFonts w:ascii="Times New Roman" w:eastAsia="Times New Roman" w:hAnsi="Times New Roman" w:cs="Times New Roman"/>
          <w:lang w:val="en-US"/>
        </w:rPr>
        <w:t>To increase energy efficiency in the transport sector by renovating the fleet, switching to modern and efficient public transport, optimizing the infrastructure for the use of transport and alternative fuel by electrifying or using alternative fuels.</w:t>
      </w:r>
    </w:p>
    <w:p w14:paraId="231E1950" w14:textId="77777777" w:rsidR="004367DB" w:rsidRPr="003A7E34" w:rsidRDefault="004367DB" w:rsidP="00EA50D6">
      <w:pPr>
        <w:spacing w:before="0"/>
        <w:rPr>
          <w:rFonts w:eastAsia="Times New Roman"/>
          <w:noProof/>
          <w:lang w:val="en-US"/>
        </w:rPr>
      </w:pPr>
    </w:p>
    <w:p w14:paraId="5133912D" w14:textId="5C0ABDBE" w:rsidR="008D3507" w:rsidRPr="003A7E34" w:rsidRDefault="008D3507" w:rsidP="00EA50D6">
      <w:pPr>
        <w:spacing w:before="0"/>
        <w:rPr>
          <w:rFonts w:eastAsia="Times New Roman"/>
          <w:noProof/>
          <w:lang w:val="en-US"/>
        </w:rPr>
      </w:pPr>
      <w:r w:rsidRPr="003A7E34">
        <w:rPr>
          <w:rFonts w:eastAsia="Times New Roman"/>
          <w:noProof/>
          <w:lang w:val="en-US"/>
        </w:rPr>
        <w:t>Energy Efficiency Action Plan for 2017-2019 approved by Order No 1-181 of 7 July 2017 of the Minister of Energy of the Republic of Lithuania. The Action Plan describes energy efficiency improvement policies:</w:t>
      </w:r>
    </w:p>
    <w:p w14:paraId="42555466" w14:textId="77777777" w:rsidR="008D3507" w:rsidRPr="003A7E34" w:rsidRDefault="008D3507" w:rsidP="00C42AAE">
      <w:pPr>
        <w:pStyle w:val="ListParagraph"/>
        <w:numPr>
          <w:ilvl w:val="0"/>
          <w:numId w:val="32"/>
        </w:numPr>
        <w:rPr>
          <w:rFonts w:ascii="Times New Roman" w:hAnsi="Times New Roman" w:cs="Times New Roman"/>
          <w:noProof/>
          <w:lang w:val="en-US"/>
        </w:rPr>
      </w:pPr>
      <w:r w:rsidRPr="003A7E34">
        <w:rPr>
          <w:rFonts w:ascii="Times New Roman" w:eastAsia="Times New Roman" w:hAnsi="Times New Roman" w:cs="Times New Roman"/>
          <w:noProof/>
          <w:lang w:val="en-US"/>
        </w:rPr>
        <w:t>taxes on fuel;</w:t>
      </w:r>
    </w:p>
    <w:p w14:paraId="5E9399DB" w14:textId="77777777" w:rsidR="008D3507" w:rsidRPr="003A7E34" w:rsidRDefault="008D3507" w:rsidP="00C42AAE">
      <w:pPr>
        <w:pStyle w:val="ListParagraph"/>
        <w:numPr>
          <w:ilvl w:val="0"/>
          <w:numId w:val="32"/>
        </w:numPr>
        <w:rPr>
          <w:rFonts w:ascii="Times New Roman" w:hAnsi="Times New Roman" w:cs="Times New Roman"/>
          <w:noProof/>
          <w:lang w:val="en-US"/>
        </w:rPr>
      </w:pPr>
      <w:r w:rsidRPr="003A7E34">
        <w:rPr>
          <w:rFonts w:ascii="Times New Roman" w:eastAsia="Times New Roman" w:hAnsi="Times New Roman" w:cs="Times New Roman"/>
          <w:noProof/>
          <w:lang w:val="en-US"/>
        </w:rPr>
        <w:t>renovation of apartment buildings;</w:t>
      </w:r>
    </w:p>
    <w:p w14:paraId="5F82475D" w14:textId="77777777" w:rsidR="008D3507" w:rsidRPr="003A7E34" w:rsidRDefault="008D3507" w:rsidP="00C42AAE">
      <w:pPr>
        <w:pStyle w:val="ListParagraph"/>
        <w:numPr>
          <w:ilvl w:val="0"/>
          <w:numId w:val="32"/>
        </w:numPr>
        <w:rPr>
          <w:rFonts w:ascii="Times New Roman" w:hAnsi="Times New Roman" w:cs="Times New Roman"/>
          <w:noProof/>
          <w:lang w:val="en-US"/>
        </w:rPr>
      </w:pPr>
      <w:r w:rsidRPr="003A7E34">
        <w:rPr>
          <w:rFonts w:ascii="Times New Roman" w:eastAsia="Times New Roman" w:hAnsi="Times New Roman" w:cs="Times New Roman"/>
          <w:noProof/>
          <w:lang w:val="en-US"/>
        </w:rPr>
        <w:t>increasing the energy efficiency of public buildings;</w:t>
      </w:r>
    </w:p>
    <w:p w14:paraId="23F8AEB4" w14:textId="77777777" w:rsidR="008D3507" w:rsidRPr="003A7E34" w:rsidRDefault="008D3507" w:rsidP="00C42AAE">
      <w:pPr>
        <w:pStyle w:val="ListParagraph"/>
        <w:numPr>
          <w:ilvl w:val="0"/>
          <w:numId w:val="32"/>
        </w:numPr>
        <w:rPr>
          <w:rFonts w:ascii="Times New Roman" w:hAnsi="Times New Roman" w:cs="Times New Roman"/>
          <w:noProof/>
          <w:lang w:val="en-US"/>
        </w:rPr>
      </w:pPr>
      <w:r w:rsidRPr="003A7E34">
        <w:rPr>
          <w:rFonts w:ascii="Times New Roman" w:eastAsia="Times New Roman" w:hAnsi="Times New Roman" w:cs="Times New Roman"/>
          <w:noProof/>
          <w:lang w:val="en-US"/>
        </w:rPr>
        <w:t>energy audits in industry;</w:t>
      </w:r>
    </w:p>
    <w:p w14:paraId="1652E2CB" w14:textId="77777777" w:rsidR="008D3507" w:rsidRPr="003A7E34" w:rsidRDefault="008D3507" w:rsidP="00C42AAE">
      <w:pPr>
        <w:pStyle w:val="ListParagraph"/>
        <w:numPr>
          <w:ilvl w:val="0"/>
          <w:numId w:val="32"/>
        </w:numPr>
        <w:rPr>
          <w:rFonts w:ascii="Times New Roman" w:hAnsi="Times New Roman" w:cs="Times New Roman"/>
          <w:noProof/>
          <w:lang w:val="en-US"/>
        </w:rPr>
      </w:pPr>
      <w:r w:rsidRPr="003A7E34">
        <w:rPr>
          <w:rFonts w:ascii="Times New Roman" w:eastAsia="Times New Roman" w:hAnsi="Times New Roman" w:cs="Times New Roman"/>
          <w:noProof/>
          <w:lang w:val="en-US"/>
        </w:rPr>
        <w:t>agreements with energy suppliers on consumer education and counseling;</w:t>
      </w:r>
    </w:p>
    <w:p w14:paraId="2CD3DBF1" w14:textId="77777777" w:rsidR="008D3507" w:rsidRPr="003A7E34" w:rsidRDefault="008D3507" w:rsidP="00C42AAE">
      <w:pPr>
        <w:pStyle w:val="ListParagraph"/>
        <w:numPr>
          <w:ilvl w:val="0"/>
          <w:numId w:val="32"/>
        </w:numPr>
        <w:rPr>
          <w:rFonts w:ascii="Times New Roman" w:hAnsi="Times New Roman" w:cs="Times New Roman"/>
          <w:noProof/>
          <w:lang w:val="en-US"/>
        </w:rPr>
      </w:pPr>
      <w:r w:rsidRPr="003A7E34">
        <w:rPr>
          <w:rFonts w:ascii="Times New Roman" w:eastAsia="Times New Roman" w:hAnsi="Times New Roman" w:cs="Times New Roman"/>
          <w:noProof/>
          <w:lang w:val="en-US"/>
        </w:rPr>
        <w:t>agreements with energy companies on energy saving;</w:t>
      </w:r>
    </w:p>
    <w:p w14:paraId="5D48E2FB" w14:textId="56A97288" w:rsidR="00BD71C0" w:rsidRPr="003A7E34" w:rsidRDefault="008D3507" w:rsidP="00C42AAE">
      <w:pPr>
        <w:pStyle w:val="ListParagraph"/>
        <w:numPr>
          <w:ilvl w:val="0"/>
          <w:numId w:val="32"/>
        </w:numPr>
        <w:rPr>
          <w:rFonts w:ascii="Times New Roman" w:hAnsi="Times New Roman" w:cs="Times New Roman"/>
          <w:noProof/>
          <w:lang w:val="en-US"/>
        </w:rPr>
      </w:pPr>
      <w:r w:rsidRPr="003A7E34">
        <w:rPr>
          <w:rFonts w:ascii="Times New Roman" w:eastAsia="Times New Roman" w:hAnsi="Times New Roman" w:cs="Times New Roman"/>
          <w:noProof/>
          <w:lang w:val="en-US"/>
        </w:rPr>
        <w:t>replacement of boilers in households</w:t>
      </w:r>
    </w:p>
    <w:p w14:paraId="104D056D" w14:textId="77777777" w:rsidR="004367DB" w:rsidRPr="003A7E34" w:rsidRDefault="004367DB">
      <w:pPr>
        <w:rPr>
          <w:rFonts w:eastAsia="Times New Roman"/>
          <w:lang w:val="en-US"/>
        </w:rPr>
      </w:pPr>
    </w:p>
    <w:p w14:paraId="1F7B77FC" w14:textId="3E9E82D6" w:rsidR="009A4E95" w:rsidRPr="003A7E34" w:rsidRDefault="5E230566" w:rsidP="5E230566">
      <w:pPr>
        <w:rPr>
          <w:rFonts w:eastAsia="Times New Roman"/>
          <w:sz w:val="20"/>
          <w:szCs w:val="20"/>
          <w:lang w:val="en-US"/>
        </w:rPr>
      </w:pPr>
      <w:r w:rsidRPr="003A7E34">
        <w:rPr>
          <w:rFonts w:eastAsia="Times New Roman"/>
          <w:b/>
          <w:bCs/>
          <w:sz w:val="20"/>
          <w:szCs w:val="20"/>
          <w:lang w:val="en-US"/>
        </w:rPr>
        <w:t xml:space="preserve">Table 3.2.1. </w:t>
      </w:r>
      <w:r w:rsidRPr="003A7E34">
        <w:rPr>
          <w:rFonts w:eastAsia="Times New Roman"/>
          <w:sz w:val="20"/>
          <w:szCs w:val="20"/>
          <w:lang w:val="en-US"/>
        </w:rPr>
        <w:t xml:space="preserve">The summary table of policies and measures adopted and under implementation in EE sector. </w:t>
      </w:r>
    </w:p>
    <w:tbl>
      <w:tblPr>
        <w:tblStyle w:val="TableGrid"/>
        <w:tblW w:w="9889" w:type="dxa"/>
        <w:tblLayout w:type="fixed"/>
        <w:tblLook w:val="04A0" w:firstRow="1" w:lastRow="0" w:firstColumn="1" w:lastColumn="0" w:noHBand="0" w:noVBand="1"/>
      </w:tblPr>
      <w:tblGrid>
        <w:gridCol w:w="1809"/>
        <w:gridCol w:w="1985"/>
        <w:gridCol w:w="1701"/>
        <w:gridCol w:w="1701"/>
        <w:gridCol w:w="1417"/>
        <w:gridCol w:w="1276"/>
      </w:tblGrid>
      <w:tr w:rsidR="003A7E34" w:rsidRPr="003A7E34" w14:paraId="55ECFF72" w14:textId="77777777" w:rsidTr="46DF7FC9">
        <w:trPr>
          <w:trHeight w:val="553"/>
        </w:trPr>
        <w:tc>
          <w:tcPr>
            <w:tcW w:w="1809" w:type="dxa"/>
          </w:tcPr>
          <w:p w14:paraId="5EB6CBCC" w14:textId="77777777" w:rsidR="009A4E95" w:rsidRPr="003A7E34" w:rsidRDefault="009A4E95" w:rsidP="004367DB">
            <w:pPr>
              <w:spacing w:before="0" w:after="0"/>
              <w:rPr>
                <w:rFonts w:eastAsia="Times New Roman"/>
                <w:b/>
                <w:bCs/>
                <w:sz w:val="20"/>
                <w:szCs w:val="20"/>
                <w:lang w:val="en-US"/>
              </w:rPr>
            </w:pPr>
            <w:r w:rsidRPr="003A7E34">
              <w:rPr>
                <w:rFonts w:eastAsia="Times New Roman"/>
                <w:b/>
                <w:bCs/>
                <w:sz w:val="20"/>
                <w:szCs w:val="20"/>
                <w:lang w:val="en-US"/>
              </w:rPr>
              <w:t>Measures</w:t>
            </w:r>
          </w:p>
        </w:tc>
        <w:tc>
          <w:tcPr>
            <w:tcW w:w="1985" w:type="dxa"/>
          </w:tcPr>
          <w:p w14:paraId="25B5355E" w14:textId="77777777" w:rsidR="009A4E95" w:rsidRPr="003A7E34" w:rsidRDefault="009A4E95" w:rsidP="004367DB">
            <w:pPr>
              <w:spacing w:before="0" w:after="0"/>
              <w:rPr>
                <w:rFonts w:eastAsia="Times New Roman"/>
                <w:b/>
                <w:bCs/>
                <w:sz w:val="20"/>
                <w:szCs w:val="20"/>
                <w:lang w:val="en-US"/>
              </w:rPr>
            </w:pPr>
            <w:r w:rsidRPr="003A7E34">
              <w:rPr>
                <w:rFonts w:eastAsia="Times New Roman"/>
                <w:b/>
                <w:bCs/>
                <w:sz w:val="20"/>
                <w:szCs w:val="20"/>
                <w:lang w:val="en-US"/>
              </w:rPr>
              <w:t>Objective</w:t>
            </w:r>
          </w:p>
        </w:tc>
        <w:tc>
          <w:tcPr>
            <w:tcW w:w="1701" w:type="dxa"/>
          </w:tcPr>
          <w:p w14:paraId="33CD0BF9" w14:textId="77777777" w:rsidR="009A4E95" w:rsidRPr="003A7E34" w:rsidRDefault="009A4E95" w:rsidP="004367DB">
            <w:pPr>
              <w:spacing w:before="0" w:after="0"/>
              <w:rPr>
                <w:rFonts w:eastAsia="Times New Roman"/>
                <w:b/>
                <w:bCs/>
                <w:sz w:val="20"/>
                <w:szCs w:val="20"/>
                <w:lang w:val="en-US"/>
              </w:rPr>
            </w:pPr>
            <w:r w:rsidRPr="003A7E34">
              <w:rPr>
                <w:rFonts w:eastAsia="Times New Roman"/>
                <w:b/>
                <w:bCs/>
                <w:sz w:val="20"/>
                <w:szCs w:val="20"/>
                <w:lang w:val="en-US"/>
              </w:rPr>
              <w:t>Implementation period</w:t>
            </w:r>
          </w:p>
        </w:tc>
        <w:tc>
          <w:tcPr>
            <w:tcW w:w="1701" w:type="dxa"/>
          </w:tcPr>
          <w:p w14:paraId="5C512B78" w14:textId="77777777" w:rsidR="009A4E95" w:rsidRPr="003A7E34" w:rsidRDefault="009A4E95" w:rsidP="004367DB">
            <w:pPr>
              <w:spacing w:before="0" w:after="0"/>
              <w:rPr>
                <w:rFonts w:eastAsia="Times New Roman"/>
                <w:b/>
                <w:bCs/>
                <w:sz w:val="20"/>
                <w:szCs w:val="20"/>
                <w:lang w:val="en-US"/>
              </w:rPr>
            </w:pPr>
            <w:r w:rsidRPr="003A7E34">
              <w:rPr>
                <w:rFonts w:eastAsia="Times New Roman"/>
                <w:b/>
                <w:bCs/>
                <w:sz w:val="20"/>
                <w:szCs w:val="20"/>
                <w:lang w:val="en-US"/>
              </w:rPr>
              <w:t>Entities responsible for implementing the policy</w:t>
            </w:r>
          </w:p>
        </w:tc>
        <w:tc>
          <w:tcPr>
            <w:tcW w:w="1417" w:type="dxa"/>
          </w:tcPr>
          <w:p w14:paraId="30FD7688" w14:textId="00DB574C" w:rsidR="009A4E95" w:rsidRPr="003A7E34" w:rsidRDefault="009A4E95" w:rsidP="00F417DB">
            <w:pPr>
              <w:spacing w:before="0" w:after="0"/>
              <w:rPr>
                <w:rFonts w:eastAsia="Times New Roman"/>
                <w:b/>
                <w:bCs/>
                <w:sz w:val="20"/>
                <w:szCs w:val="20"/>
                <w:lang w:val="en-US"/>
              </w:rPr>
            </w:pPr>
            <w:r w:rsidRPr="003A7E34">
              <w:rPr>
                <w:rFonts w:eastAsia="Times New Roman"/>
                <w:b/>
                <w:bCs/>
                <w:sz w:val="20"/>
                <w:szCs w:val="20"/>
                <w:lang w:val="en-US"/>
              </w:rPr>
              <w:t>GHG mitigation effect, ktCO</w:t>
            </w:r>
            <w:r w:rsidRPr="003A7E34">
              <w:rPr>
                <w:rFonts w:eastAsia="Times New Roman"/>
                <w:b/>
                <w:bCs/>
                <w:sz w:val="20"/>
                <w:szCs w:val="20"/>
                <w:vertAlign w:val="subscript"/>
                <w:lang w:val="en-US"/>
              </w:rPr>
              <w:t>2</w:t>
            </w:r>
            <w:r w:rsidRPr="003A7E34">
              <w:rPr>
                <w:rFonts w:eastAsia="Times New Roman"/>
                <w:b/>
                <w:bCs/>
                <w:sz w:val="20"/>
                <w:szCs w:val="20"/>
                <w:lang w:val="en-US"/>
              </w:rPr>
              <w:t>eq</w:t>
            </w:r>
          </w:p>
        </w:tc>
        <w:tc>
          <w:tcPr>
            <w:tcW w:w="1276" w:type="dxa"/>
          </w:tcPr>
          <w:p w14:paraId="054F7FF8" w14:textId="4F8E64DD" w:rsidR="009A4E95" w:rsidRPr="003A7E34" w:rsidRDefault="46DF7FC9" w:rsidP="46DF7FC9">
            <w:pPr>
              <w:spacing w:before="0" w:after="0"/>
              <w:rPr>
                <w:rFonts w:eastAsia="Times New Roman"/>
                <w:b/>
                <w:bCs/>
                <w:sz w:val="20"/>
                <w:szCs w:val="20"/>
                <w:lang w:val="en-US"/>
              </w:rPr>
            </w:pPr>
            <w:r w:rsidRPr="003A7E34">
              <w:rPr>
                <w:rFonts w:eastAsia="Times New Roman"/>
                <w:b/>
                <w:bCs/>
                <w:sz w:val="20"/>
                <w:szCs w:val="20"/>
                <w:lang w:val="en-US"/>
              </w:rPr>
              <w:t>Planned budget</w:t>
            </w:r>
            <w:r w:rsidRPr="003A7E34">
              <w:rPr>
                <w:rFonts w:eastAsia="Times New Roman"/>
                <w:b/>
                <w:bCs/>
                <w:sz w:val="20"/>
                <w:szCs w:val="20"/>
                <w:vertAlign w:val="superscript"/>
                <w:lang w:val="en-US"/>
              </w:rPr>
              <w:t>1,2,3,</w:t>
            </w:r>
            <w:r w:rsidRPr="003A7E34">
              <w:rPr>
                <w:rFonts w:eastAsia="Times New Roman"/>
                <w:b/>
                <w:bCs/>
                <w:sz w:val="20"/>
                <w:szCs w:val="20"/>
                <w:lang w:val="en-US"/>
              </w:rPr>
              <w:t xml:space="preserve"> MEUR</w:t>
            </w:r>
          </w:p>
        </w:tc>
      </w:tr>
      <w:tr w:rsidR="003A7E34" w:rsidRPr="003A7E34" w14:paraId="2C25A405" w14:textId="77777777" w:rsidTr="46DF7FC9">
        <w:trPr>
          <w:trHeight w:val="188"/>
        </w:trPr>
        <w:tc>
          <w:tcPr>
            <w:tcW w:w="1809" w:type="dxa"/>
          </w:tcPr>
          <w:p w14:paraId="001094A8" w14:textId="40F87A80" w:rsidR="009A4E95" w:rsidRPr="003A7E34" w:rsidRDefault="006C728E" w:rsidP="004367DB">
            <w:pPr>
              <w:spacing w:before="0" w:after="0"/>
              <w:jc w:val="left"/>
              <w:rPr>
                <w:rFonts w:eastAsia="Times New Roman"/>
                <w:sz w:val="20"/>
                <w:szCs w:val="20"/>
                <w:lang w:val="en-US"/>
              </w:rPr>
            </w:pPr>
            <w:r w:rsidRPr="003A7E34">
              <w:rPr>
                <w:rFonts w:eastAsia="Times New Roman"/>
                <w:sz w:val="20"/>
                <w:szCs w:val="20"/>
                <w:lang w:val="en-US"/>
              </w:rPr>
              <w:t xml:space="preserve">EE1. </w:t>
            </w:r>
            <w:r w:rsidR="009A4E95" w:rsidRPr="003A7E34">
              <w:rPr>
                <w:rFonts w:eastAsia="Times New Roman"/>
                <w:sz w:val="20"/>
                <w:szCs w:val="20"/>
                <w:lang w:val="en-US"/>
              </w:rPr>
              <w:t>Renovation (modernization) of multi-apartment</w:t>
            </w:r>
            <w:r w:rsidR="00127C44" w:rsidRPr="003A7E34">
              <w:rPr>
                <w:rFonts w:eastAsia="Times New Roman"/>
                <w:sz w:val="20"/>
                <w:szCs w:val="20"/>
                <w:lang w:val="en-US"/>
              </w:rPr>
              <w:t>s</w:t>
            </w:r>
          </w:p>
        </w:tc>
        <w:tc>
          <w:tcPr>
            <w:tcW w:w="1985" w:type="dxa"/>
          </w:tcPr>
          <w:p w14:paraId="17239526" w14:textId="51631229" w:rsidR="009A4E95" w:rsidRPr="003A7E34" w:rsidRDefault="006C728E" w:rsidP="004367DB">
            <w:pPr>
              <w:spacing w:before="0" w:after="0"/>
              <w:jc w:val="left"/>
              <w:rPr>
                <w:rFonts w:eastAsia="Times New Roman"/>
                <w:sz w:val="20"/>
                <w:szCs w:val="20"/>
                <w:lang w:val="en-US"/>
              </w:rPr>
            </w:pPr>
            <w:r w:rsidRPr="003A7E34">
              <w:rPr>
                <w:rFonts w:eastAsia="Times New Roman"/>
                <w:sz w:val="20"/>
                <w:szCs w:val="20"/>
                <w:lang w:val="en-US"/>
              </w:rPr>
              <w:t>Increase energy savings in old multi-apartments.</w:t>
            </w:r>
          </w:p>
        </w:tc>
        <w:tc>
          <w:tcPr>
            <w:tcW w:w="1701" w:type="dxa"/>
          </w:tcPr>
          <w:p w14:paraId="4B1D9B69" w14:textId="49AAFA1F" w:rsidR="009A4E95" w:rsidRPr="003A7E34" w:rsidRDefault="00B82131" w:rsidP="004367DB">
            <w:pPr>
              <w:spacing w:before="0" w:after="0"/>
              <w:rPr>
                <w:rFonts w:eastAsia="Times New Roman"/>
                <w:sz w:val="20"/>
                <w:szCs w:val="20"/>
                <w:lang w:val="en-US"/>
              </w:rPr>
            </w:pPr>
            <w:r w:rsidRPr="003A7E34">
              <w:rPr>
                <w:rFonts w:eastAsia="Times New Roman"/>
                <w:sz w:val="20"/>
                <w:szCs w:val="20"/>
                <w:lang w:val="en-US"/>
              </w:rPr>
              <w:t xml:space="preserve">2020 – 2030 </w:t>
            </w:r>
          </w:p>
        </w:tc>
        <w:tc>
          <w:tcPr>
            <w:tcW w:w="1701" w:type="dxa"/>
          </w:tcPr>
          <w:p w14:paraId="49DFF303" w14:textId="22FF614D" w:rsidR="009A4E95" w:rsidRPr="003A7E34" w:rsidRDefault="009A4E95" w:rsidP="004367DB">
            <w:pPr>
              <w:spacing w:before="0" w:after="0"/>
              <w:rPr>
                <w:rFonts w:eastAsia="Times New Roman"/>
                <w:sz w:val="20"/>
                <w:szCs w:val="20"/>
                <w:lang w:val="en-US"/>
              </w:rPr>
            </w:pPr>
            <w:r w:rsidRPr="003A7E34">
              <w:rPr>
                <w:rFonts w:eastAsia="Times New Roman"/>
                <w:sz w:val="20"/>
                <w:szCs w:val="20"/>
                <w:lang w:val="en-US"/>
              </w:rPr>
              <w:t>Ministry of Environment</w:t>
            </w:r>
          </w:p>
        </w:tc>
        <w:tc>
          <w:tcPr>
            <w:tcW w:w="1417" w:type="dxa"/>
            <w:vAlign w:val="center"/>
          </w:tcPr>
          <w:p w14:paraId="2F7AA8FC" w14:textId="49E87CF6" w:rsidR="009A4E95" w:rsidRPr="003A7E34" w:rsidRDefault="009A4E95" w:rsidP="004367DB">
            <w:pPr>
              <w:spacing w:before="0" w:after="0"/>
              <w:rPr>
                <w:rFonts w:eastAsia="Times New Roman"/>
                <w:sz w:val="20"/>
                <w:szCs w:val="20"/>
                <w:lang w:val="en-US"/>
              </w:rPr>
            </w:pPr>
            <w:r w:rsidRPr="003A7E34">
              <w:rPr>
                <w:rFonts w:eastAsia="Times New Roman"/>
                <w:sz w:val="20"/>
                <w:szCs w:val="20"/>
                <w:lang w:val="en-US"/>
              </w:rPr>
              <w:t>25</w:t>
            </w:r>
            <w:r w:rsidR="008961F9" w:rsidRPr="003A7E34">
              <w:rPr>
                <w:rFonts w:eastAsia="Times New Roman"/>
                <w:sz w:val="20"/>
                <w:szCs w:val="20"/>
                <w:lang w:val="en-US"/>
              </w:rPr>
              <w:t>0</w:t>
            </w:r>
          </w:p>
        </w:tc>
        <w:tc>
          <w:tcPr>
            <w:tcW w:w="1276" w:type="dxa"/>
          </w:tcPr>
          <w:p w14:paraId="0FB19ECC" w14:textId="754F96A8" w:rsidR="009A4E95" w:rsidRPr="003A7E34" w:rsidRDefault="00B82131" w:rsidP="004367DB">
            <w:pPr>
              <w:spacing w:before="0" w:after="0"/>
              <w:rPr>
                <w:rFonts w:eastAsia="Times New Roman"/>
                <w:sz w:val="20"/>
                <w:szCs w:val="20"/>
                <w:vertAlign w:val="superscript"/>
                <w:lang w:val="en-US"/>
              </w:rPr>
            </w:pPr>
            <w:r w:rsidRPr="003A7E34">
              <w:rPr>
                <w:rFonts w:eastAsia="Times New Roman"/>
                <w:sz w:val="20"/>
                <w:szCs w:val="20"/>
                <w:lang w:val="en-US"/>
              </w:rPr>
              <w:t>1800</w:t>
            </w:r>
            <w:r w:rsidR="00127C44" w:rsidRPr="003A7E34">
              <w:rPr>
                <w:rFonts w:eastAsia="Times New Roman"/>
                <w:sz w:val="20"/>
                <w:szCs w:val="20"/>
                <w:vertAlign w:val="superscript"/>
                <w:lang w:val="en-US"/>
              </w:rPr>
              <w:t>2,3</w:t>
            </w:r>
          </w:p>
        </w:tc>
      </w:tr>
      <w:tr w:rsidR="003A7E34" w:rsidRPr="003A7E34" w14:paraId="4CCB517A" w14:textId="77777777" w:rsidTr="46DF7FC9">
        <w:trPr>
          <w:trHeight w:val="345"/>
        </w:trPr>
        <w:tc>
          <w:tcPr>
            <w:tcW w:w="1809" w:type="dxa"/>
          </w:tcPr>
          <w:p w14:paraId="3B12183A" w14:textId="46630AB1" w:rsidR="009A4E95" w:rsidRPr="003A7E34" w:rsidRDefault="006C728E" w:rsidP="004367DB">
            <w:pPr>
              <w:spacing w:before="0" w:after="0"/>
              <w:jc w:val="left"/>
              <w:rPr>
                <w:rFonts w:eastAsia="Times New Roman"/>
                <w:sz w:val="20"/>
                <w:szCs w:val="20"/>
                <w:lang w:val="en-US"/>
              </w:rPr>
            </w:pPr>
            <w:r w:rsidRPr="003A7E34">
              <w:rPr>
                <w:rFonts w:eastAsia="Times New Roman"/>
                <w:sz w:val="20"/>
                <w:szCs w:val="20"/>
                <w:lang w:val="en-US"/>
              </w:rPr>
              <w:t xml:space="preserve">EE2. </w:t>
            </w:r>
            <w:r w:rsidR="009A4E95" w:rsidRPr="003A7E34">
              <w:rPr>
                <w:rFonts w:eastAsia="Times New Roman"/>
                <w:sz w:val="20"/>
                <w:szCs w:val="20"/>
                <w:lang w:val="en-US"/>
              </w:rPr>
              <w:t>Public buildings renovation</w:t>
            </w:r>
          </w:p>
        </w:tc>
        <w:tc>
          <w:tcPr>
            <w:tcW w:w="1985" w:type="dxa"/>
          </w:tcPr>
          <w:p w14:paraId="40383CB1" w14:textId="2094FB38" w:rsidR="009A4E95" w:rsidRPr="003A7E34" w:rsidRDefault="00A6674C" w:rsidP="004367DB">
            <w:pPr>
              <w:spacing w:before="0" w:after="0"/>
              <w:jc w:val="left"/>
              <w:rPr>
                <w:rFonts w:eastAsia="Times New Roman"/>
                <w:sz w:val="20"/>
                <w:szCs w:val="20"/>
                <w:lang w:val="en-US"/>
              </w:rPr>
            </w:pPr>
            <w:r w:rsidRPr="003A7E34">
              <w:rPr>
                <w:rFonts w:eastAsia="Times New Roman"/>
                <w:sz w:val="20"/>
                <w:szCs w:val="20"/>
                <w:lang w:val="en-US"/>
              </w:rPr>
              <w:t>Increase energy efficiency of old public buildings</w:t>
            </w:r>
          </w:p>
        </w:tc>
        <w:tc>
          <w:tcPr>
            <w:tcW w:w="1701" w:type="dxa"/>
          </w:tcPr>
          <w:p w14:paraId="487D210D" w14:textId="6D8E11D2" w:rsidR="009A4E95" w:rsidRPr="003A7E34" w:rsidRDefault="00731887" w:rsidP="004367DB">
            <w:pPr>
              <w:spacing w:before="0" w:after="0"/>
              <w:rPr>
                <w:rFonts w:eastAsia="Times New Roman"/>
                <w:sz w:val="20"/>
                <w:szCs w:val="20"/>
                <w:lang w:val="en-US"/>
              </w:rPr>
            </w:pPr>
            <w:r w:rsidRPr="003A7E34">
              <w:rPr>
                <w:rFonts w:eastAsia="Times New Roman"/>
                <w:sz w:val="20"/>
                <w:szCs w:val="20"/>
                <w:lang w:val="en-US"/>
              </w:rPr>
              <w:t>2018 – 2020</w:t>
            </w:r>
          </w:p>
        </w:tc>
        <w:tc>
          <w:tcPr>
            <w:tcW w:w="1701" w:type="dxa"/>
          </w:tcPr>
          <w:p w14:paraId="0369C5E5" w14:textId="66606C50" w:rsidR="009A4E95" w:rsidRPr="003A7E34" w:rsidRDefault="009A4E95" w:rsidP="004367DB">
            <w:pPr>
              <w:spacing w:before="0" w:after="0"/>
              <w:rPr>
                <w:rFonts w:eastAsia="Times New Roman"/>
                <w:sz w:val="20"/>
                <w:szCs w:val="20"/>
                <w:lang w:val="en-US"/>
              </w:rPr>
            </w:pPr>
            <w:r w:rsidRPr="003A7E34">
              <w:rPr>
                <w:rFonts w:eastAsia="Times New Roman"/>
                <w:sz w:val="20"/>
                <w:szCs w:val="20"/>
                <w:lang w:val="en-US"/>
              </w:rPr>
              <w:t xml:space="preserve">Ministry of Energy </w:t>
            </w:r>
          </w:p>
        </w:tc>
        <w:tc>
          <w:tcPr>
            <w:tcW w:w="1417" w:type="dxa"/>
            <w:vAlign w:val="center"/>
          </w:tcPr>
          <w:p w14:paraId="0BD99153" w14:textId="7051C3E8" w:rsidR="009A4E95" w:rsidRPr="003A7E34" w:rsidRDefault="008961F9" w:rsidP="004367DB">
            <w:pPr>
              <w:spacing w:before="0" w:after="0"/>
              <w:rPr>
                <w:rFonts w:eastAsia="Times New Roman"/>
                <w:sz w:val="20"/>
                <w:szCs w:val="20"/>
                <w:lang w:val="en-US"/>
              </w:rPr>
            </w:pPr>
            <w:r w:rsidRPr="003A7E34">
              <w:rPr>
                <w:rFonts w:eastAsia="Times New Roman"/>
                <w:sz w:val="20"/>
                <w:szCs w:val="20"/>
                <w:lang w:val="en-US"/>
              </w:rPr>
              <w:t>28</w:t>
            </w:r>
          </w:p>
        </w:tc>
        <w:tc>
          <w:tcPr>
            <w:tcW w:w="1276" w:type="dxa"/>
          </w:tcPr>
          <w:p w14:paraId="34A8DA4B" w14:textId="3575A7FA" w:rsidR="009A4E95" w:rsidRPr="003A7E34" w:rsidRDefault="00A6674C" w:rsidP="004367DB">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w:t>
            </w:r>
          </w:p>
        </w:tc>
      </w:tr>
      <w:tr w:rsidR="003A7E34" w:rsidRPr="003A7E34" w14:paraId="4A069D99" w14:textId="77777777" w:rsidTr="46DF7FC9">
        <w:trPr>
          <w:trHeight w:val="167"/>
        </w:trPr>
        <w:tc>
          <w:tcPr>
            <w:tcW w:w="1809" w:type="dxa"/>
          </w:tcPr>
          <w:p w14:paraId="2F01942E" w14:textId="7C5FD475" w:rsidR="009A4E95" w:rsidRPr="003A7E34" w:rsidRDefault="006C728E" w:rsidP="004367DB">
            <w:pPr>
              <w:spacing w:before="0" w:after="0"/>
              <w:jc w:val="left"/>
              <w:rPr>
                <w:rFonts w:eastAsia="Times New Roman"/>
                <w:sz w:val="20"/>
                <w:szCs w:val="20"/>
                <w:lang w:val="en-US"/>
              </w:rPr>
            </w:pPr>
            <w:r w:rsidRPr="003A7E34">
              <w:rPr>
                <w:rFonts w:eastAsia="Times New Roman"/>
                <w:sz w:val="20"/>
                <w:szCs w:val="20"/>
                <w:lang w:val="en-US"/>
              </w:rPr>
              <w:t xml:space="preserve">EE3. </w:t>
            </w:r>
            <w:r w:rsidR="009A4E95" w:rsidRPr="003A7E34">
              <w:rPr>
                <w:rFonts w:eastAsia="Times New Roman"/>
                <w:sz w:val="20"/>
                <w:szCs w:val="20"/>
                <w:lang w:val="en-US"/>
              </w:rPr>
              <w:t>Implementing</w:t>
            </w:r>
            <w:r w:rsidR="00D871C8" w:rsidRPr="003A7E34">
              <w:rPr>
                <w:rFonts w:eastAsia="Times New Roman"/>
                <w:sz w:val="20"/>
                <w:szCs w:val="20"/>
                <w:lang w:val="en-US"/>
              </w:rPr>
              <w:t xml:space="preserve"> </w:t>
            </w:r>
            <w:r w:rsidR="009A4E95" w:rsidRPr="003A7E34">
              <w:rPr>
                <w:rFonts w:eastAsia="Times New Roman"/>
                <w:sz w:val="20"/>
                <w:szCs w:val="20"/>
                <w:lang w:val="en-US"/>
              </w:rPr>
              <w:lastRenderedPageBreak/>
              <w:t>Directive 2010/31/EU</w:t>
            </w:r>
            <w:r w:rsidR="00D871C8" w:rsidRPr="003A7E34">
              <w:rPr>
                <w:rFonts w:eastAsia="Times New Roman"/>
                <w:sz w:val="20"/>
                <w:szCs w:val="20"/>
                <w:lang w:val="en-US"/>
              </w:rPr>
              <w:t xml:space="preserve"> </w:t>
            </w:r>
            <w:r w:rsidR="009A4E95" w:rsidRPr="003A7E34">
              <w:rPr>
                <w:rFonts w:eastAsia="Times New Roman"/>
                <w:sz w:val="20"/>
                <w:szCs w:val="20"/>
                <w:lang w:val="en-US"/>
              </w:rPr>
              <w:t>(nearly</w:t>
            </w:r>
            <w:r w:rsidR="00D871C8" w:rsidRPr="003A7E34">
              <w:rPr>
                <w:rFonts w:eastAsia="Times New Roman"/>
                <w:sz w:val="20"/>
                <w:szCs w:val="20"/>
                <w:lang w:val="en-US"/>
              </w:rPr>
              <w:t xml:space="preserve"> </w:t>
            </w:r>
            <w:r w:rsidR="009A4E95" w:rsidRPr="003A7E34">
              <w:rPr>
                <w:rFonts w:eastAsia="Times New Roman"/>
                <w:sz w:val="20"/>
                <w:szCs w:val="20"/>
                <w:lang w:val="en-US"/>
              </w:rPr>
              <w:t>zero-</w:t>
            </w:r>
            <w:r w:rsidR="00D871C8" w:rsidRPr="003A7E34">
              <w:rPr>
                <w:rFonts w:eastAsia="Times New Roman"/>
                <w:sz w:val="20"/>
                <w:szCs w:val="20"/>
                <w:lang w:val="en-US"/>
              </w:rPr>
              <w:t xml:space="preserve"> </w:t>
            </w:r>
            <w:r w:rsidR="009A4E95" w:rsidRPr="003A7E34">
              <w:rPr>
                <w:rFonts w:eastAsia="Times New Roman"/>
                <w:sz w:val="20"/>
                <w:szCs w:val="20"/>
                <w:lang w:val="en-US"/>
              </w:rPr>
              <w:t>energy</w:t>
            </w:r>
            <w:r w:rsidR="00D871C8" w:rsidRPr="003A7E34">
              <w:rPr>
                <w:rFonts w:eastAsia="Times New Roman"/>
                <w:sz w:val="20"/>
                <w:szCs w:val="20"/>
                <w:lang w:val="en-US"/>
              </w:rPr>
              <w:t xml:space="preserve"> </w:t>
            </w:r>
            <w:r w:rsidR="009A4E95" w:rsidRPr="003A7E34">
              <w:rPr>
                <w:rFonts w:eastAsia="Times New Roman"/>
                <w:sz w:val="20"/>
                <w:szCs w:val="20"/>
                <w:lang w:val="en-US"/>
              </w:rPr>
              <w:t>buildings)</w:t>
            </w:r>
          </w:p>
        </w:tc>
        <w:tc>
          <w:tcPr>
            <w:tcW w:w="1985" w:type="dxa"/>
          </w:tcPr>
          <w:p w14:paraId="6A9E80E6" w14:textId="6612C903" w:rsidR="009A4E95" w:rsidRPr="003A7E34" w:rsidRDefault="00091816" w:rsidP="004367DB">
            <w:pPr>
              <w:spacing w:before="0" w:after="0"/>
              <w:jc w:val="left"/>
              <w:rPr>
                <w:rFonts w:eastAsia="Times New Roman"/>
                <w:sz w:val="20"/>
                <w:szCs w:val="20"/>
                <w:lang w:val="en-US"/>
              </w:rPr>
            </w:pPr>
            <w:r w:rsidRPr="003A7E34">
              <w:rPr>
                <w:rFonts w:eastAsia="Times New Roman"/>
                <w:sz w:val="20"/>
                <w:szCs w:val="20"/>
                <w:lang w:val="en-US"/>
              </w:rPr>
              <w:lastRenderedPageBreak/>
              <w:t xml:space="preserve">As of 2020 new </w:t>
            </w:r>
            <w:r w:rsidRPr="003A7E34">
              <w:rPr>
                <w:rFonts w:eastAsia="Times New Roman"/>
                <w:sz w:val="20"/>
                <w:szCs w:val="20"/>
                <w:lang w:val="en-US"/>
              </w:rPr>
              <w:lastRenderedPageBreak/>
              <w:t xml:space="preserve">buildings should be of A++ energy efficiency class. </w:t>
            </w:r>
          </w:p>
        </w:tc>
        <w:tc>
          <w:tcPr>
            <w:tcW w:w="1701" w:type="dxa"/>
          </w:tcPr>
          <w:p w14:paraId="5DC3EFBD" w14:textId="2A842369" w:rsidR="009A4E95" w:rsidRPr="003A7E34" w:rsidRDefault="009A4E95" w:rsidP="004367DB">
            <w:pPr>
              <w:spacing w:before="0" w:after="0"/>
              <w:rPr>
                <w:rFonts w:eastAsia="Times New Roman"/>
                <w:sz w:val="20"/>
                <w:szCs w:val="20"/>
                <w:lang w:val="en-US"/>
              </w:rPr>
            </w:pPr>
            <w:r w:rsidRPr="003A7E34">
              <w:rPr>
                <w:rFonts w:eastAsia="Times New Roman"/>
                <w:sz w:val="20"/>
                <w:szCs w:val="20"/>
                <w:lang w:val="en-US"/>
              </w:rPr>
              <w:lastRenderedPageBreak/>
              <w:t>From 2020</w:t>
            </w:r>
          </w:p>
        </w:tc>
        <w:tc>
          <w:tcPr>
            <w:tcW w:w="1701" w:type="dxa"/>
          </w:tcPr>
          <w:p w14:paraId="40D10CFD" w14:textId="40CD1975" w:rsidR="009A4E95" w:rsidRPr="003A7E34" w:rsidRDefault="009A4E95" w:rsidP="004367DB">
            <w:pPr>
              <w:spacing w:before="0" w:after="0"/>
              <w:rPr>
                <w:rFonts w:eastAsia="Times New Roman"/>
                <w:sz w:val="20"/>
                <w:szCs w:val="20"/>
                <w:lang w:val="en-US"/>
              </w:rPr>
            </w:pPr>
            <w:r w:rsidRPr="003A7E34">
              <w:rPr>
                <w:rFonts w:eastAsia="Times New Roman"/>
                <w:sz w:val="20"/>
                <w:szCs w:val="20"/>
                <w:lang w:val="en-US"/>
              </w:rPr>
              <w:t xml:space="preserve">Ministry of </w:t>
            </w:r>
            <w:r w:rsidRPr="003A7E34">
              <w:rPr>
                <w:rFonts w:eastAsia="Times New Roman"/>
                <w:sz w:val="20"/>
                <w:szCs w:val="20"/>
                <w:lang w:val="en-US"/>
              </w:rPr>
              <w:lastRenderedPageBreak/>
              <w:t>Environment</w:t>
            </w:r>
          </w:p>
        </w:tc>
        <w:tc>
          <w:tcPr>
            <w:tcW w:w="1417" w:type="dxa"/>
            <w:vAlign w:val="center"/>
          </w:tcPr>
          <w:p w14:paraId="2EEC0BE5" w14:textId="1E254623" w:rsidR="009A4E95" w:rsidRPr="003A7E34" w:rsidRDefault="009A4E95" w:rsidP="004367DB">
            <w:pPr>
              <w:spacing w:before="0" w:after="0"/>
              <w:rPr>
                <w:rFonts w:eastAsia="Times New Roman"/>
                <w:sz w:val="20"/>
                <w:szCs w:val="20"/>
                <w:lang w:val="en-US"/>
              </w:rPr>
            </w:pPr>
            <w:r w:rsidRPr="003A7E34">
              <w:rPr>
                <w:rFonts w:eastAsia="Times New Roman"/>
                <w:sz w:val="20"/>
                <w:szCs w:val="20"/>
                <w:lang w:val="en-US"/>
              </w:rPr>
              <w:lastRenderedPageBreak/>
              <w:t>44</w:t>
            </w:r>
          </w:p>
        </w:tc>
        <w:tc>
          <w:tcPr>
            <w:tcW w:w="1276" w:type="dxa"/>
          </w:tcPr>
          <w:p w14:paraId="30911CB2" w14:textId="5A990345" w:rsidR="009A4E95" w:rsidRPr="003A7E34" w:rsidRDefault="00127C44" w:rsidP="004367DB">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3</w:t>
            </w:r>
          </w:p>
        </w:tc>
      </w:tr>
      <w:tr w:rsidR="003A7E34" w:rsidRPr="003A7E34" w14:paraId="1C497BB9" w14:textId="77777777" w:rsidTr="46DF7FC9">
        <w:trPr>
          <w:trHeight w:val="188"/>
        </w:trPr>
        <w:tc>
          <w:tcPr>
            <w:tcW w:w="1809" w:type="dxa"/>
          </w:tcPr>
          <w:p w14:paraId="7AD8D49D" w14:textId="00726F05" w:rsidR="009A4E95" w:rsidRPr="003A7E34" w:rsidRDefault="006C728E" w:rsidP="004367DB">
            <w:pPr>
              <w:spacing w:before="0" w:after="0"/>
              <w:jc w:val="left"/>
              <w:rPr>
                <w:rFonts w:eastAsia="Times New Roman"/>
                <w:sz w:val="20"/>
                <w:szCs w:val="20"/>
                <w:lang w:val="en-US"/>
              </w:rPr>
            </w:pPr>
            <w:r w:rsidRPr="003A7E34">
              <w:rPr>
                <w:rFonts w:eastAsia="Times New Roman"/>
                <w:sz w:val="20"/>
                <w:szCs w:val="20"/>
                <w:lang w:val="en-US"/>
              </w:rPr>
              <w:t xml:space="preserve">EE4. </w:t>
            </w:r>
            <w:r w:rsidR="009A4E95" w:rsidRPr="003A7E34">
              <w:rPr>
                <w:rFonts w:eastAsia="Times New Roman"/>
                <w:sz w:val="20"/>
                <w:szCs w:val="20"/>
                <w:lang w:val="en-US"/>
              </w:rPr>
              <w:t>Implementing</w:t>
            </w:r>
            <w:r w:rsidR="00D871C8" w:rsidRPr="003A7E34">
              <w:rPr>
                <w:rFonts w:eastAsia="Times New Roman"/>
                <w:sz w:val="20"/>
                <w:szCs w:val="20"/>
                <w:lang w:val="en-US"/>
              </w:rPr>
              <w:t xml:space="preserve"> </w:t>
            </w:r>
            <w:r w:rsidR="009A4E95" w:rsidRPr="003A7E34">
              <w:rPr>
                <w:rFonts w:eastAsia="Times New Roman"/>
                <w:sz w:val="20"/>
                <w:szCs w:val="20"/>
                <w:lang w:val="en-US"/>
              </w:rPr>
              <w:t>Directive 2010/31/EU</w:t>
            </w:r>
            <w:r w:rsidR="00D871C8" w:rsidRPr="003A7E34">
              <w:rPr>
                <w:rFonts w:eastAsia="Times New Roman"/>
                <w:sz w:val="20"/>
                <w:szCs w:val="20"/>
                <w:lang w:val="en-US"/>
              </w:rPr>
              <w:t xml:space="preserve"> </w:t>
            </w:r>
            <w:r w:rsidR="009A4E95" w:rsidRPr="003A7E34">
              <w:rPr>
                <w:rFonts w:eastAsia="Times New Roman"/>
                <w:sz w:val="20"/>
                <w:szCs w:val="20"/>
                <w:lang w:val="en-US"/>
              </w:rPr>
              <w:t>(nearly</w:t>
            </w:r>
            <w:r w:rsidR="00D871C8" w:rsidRPr="003A7E34">
              <w:rPr>
                <w:rFonts w:eastAsia="Times New Roman"/>
                <w:sz w:val="20"/>
                <w:szCs w:val="20"/>
                <w:lang w:val="en-US"/>
              </w:rPr>
              <w:t xml:space="preserve"> </w:t>
            </w:r>
            <w:r w:rsidR="009A4E95" w:rsidRPr="003A7E34">
              <w:rPr>
                <w:rFonts w:eastAsia="Times New Roman"/>
                <w:sz w:val="20"/>
                <w:szCs w:val="20"/>
                <w:lang w:val="en-US"/>
              </w:rPr>
              <w:t>zero-</w:t>
            </w:r>
            <w:r w:rsidR="00D871C8" w:rsidRPr="003A7E34">
              <w:rPr>
                <w:rFonts w:eastAsia="Times New Roman"/>
                <w:sz w:val="20"/>
                <w:szCs w:val="20"/>
                <w:lang w:val="en-US"/>
              </w:rPr>
              <w:t xml:space="preserve"> </w:t>
            </w:r>
            <w:r w:rsidR="009A4E95" w:rsidRPr="003A7E34">
              <w:rPr>
                <w:rFonts w:eastAsia="Times New Roman"/>
                <w:sz w:val="20"/>
                <w:szCs w:val="20"/>
                <w:lang w:val="en-US"/>
              </w:rPr>
              <w:t>energy</w:t>
            </w:r>
            <w:r w:rsidR="00D871C8" w:rsidRPr="003A7E34">
              <w:rPr>
                <w:rFonts w:eastAsia="Times New Roman"/>
                <w:sz w:val="20"/>
                <w:szCs w:val="20"/>
                <w:lang w:val="en-US"/>
              </w:rPr>
              <w:t xml:space="preserve"> </w:t>
            </w:r>
            <w:r w:rsidR="009A4E95" w:rsidRPr="003A7E34">
              <w:rPr>
                <w:rFonts w:eastAsia="Times New Roman"/>
                <w:sz w:val="20"/>
                <w:szCs w:val="20"/>
                <w:lang w:val="en-US"/>
              </w:rPr>
              <w:t>public buildings)</w:t>
            </w:r>
          </w:p>
        </w:tc>
        <w:tc>
          <w:tcPr>
            <w:tcW w:w="1985" w:type="dxa"/>
          </w:tcPr>
          <w:p w14:paraId="6B6189A9" w14:textId="08C9619D" w:rsidR="009A4E95" w:rsidRPr="003A7E34" w:rsidRDefault="00091816" w:rsidP="004367DB">
            <w:pPr>
              <w:spacing w:before="0" w:after="0"/>
              <w:jc w:val="left"/>
              <w:rPr>
                <w:rFonts w:eastAsia="Times New Roman"/>
                <w:sz w:val="20"/>
                <w:szCs w:val="20"/>
                <w:lang w:val="en-US"/>
              </w:rPr>
            </w:pPr>
            <w:r w:rsidRPr="003A7E34">
              <w:rPr>
                <w:rFonts w:eastAsia="Times New Roman"/>
                <w:sz w:val="20"/>
                <w:szCs w:val="20"/>
                <w:lang w:val="en-US"/>
              </w:rPr>
              <w:t>As of 2019 new public buildings should be of A++ energy efficiency class.</w:t>
            </w:r>
          </w:p>
        </w:tc>
        <w:tc>
          <w:tcPr>
            <w:tcW w:w="1701" w:type="dxa"/>
          </w:tcPr>
          <w:p w14:paraId="17EB178D" w14:textId="48D1F8B7" w:rsidR="009A4E95" w:rsidRPr="003A7E34" w:rsidRDefault="009A4E95" w:rsidP="004367DB">
            <w:pPr>
              <w:spacing w:before="0" w:after="0"/>
              <w:rPr>
                <w:rFonts w:eastAsia="Times New Roman"/>
                <w:sz w:val="20"/>
                <w:szCs w:val="20"/>
                <w:lang w:val="en-US"/>
              </w:rPr>
            </w:pPr>
            <w:r w:rsidRPr="003A7E34">
              <w:rPr>
                <w:rFonts w:eastAsia="Times New Roman"/>
                <w:sz w:val="20"/>
                <w:szCs w:val="20"/>
                <w:lang w:val="en-US"/>
              </w:rPr>
              <w:t>From 2019</w:t>
            </w:r>
          </w:p>
        </w:tc>
        <w:tc>
          <w:tcPr>
            <w:tcW w:w="1701" w:type="dxa"/>
          </w:tcPr>
          <w:p w14:paraId="30F33924" w14:textId="36FF36F7" w:rsidR="009A4E95" w:rsidRPr="003A7E34" w:rsidRDefault="009A4E95" w:rsidP="004367DB">
            <w:pPr>
              <w:spacing w:before="0" w:after="0"/>
              <w:rPr>
                <w:rFonts w:eastAsia="Times New Roman"/>
                <w:sz w:val="20"/>
                <w:szCs w:val="20"/>
                <w:lang w:val="en-US"/>
              </w:rPr>
            </w:pPr>
            <w:r w:rsidRPr="003A7E34">
              <w:rPr>
                <w:rFonts w:eastAsia="Times New Roman"/>
                <w:sz w:val="20"/>
                <w:szCs w:val="20"/>
                <w:lang w:val="en-US"/>
              </w:rPr>
              <w:t>Ministry of Environment</w:t>
            </w:r>
          </w:p>
        </w:tc>
        <w:tc>
          <w:tcPr>
            <w:tcW w:w="1417" w:type="dxa"/>
            <w:vAlign w:val="center"/>
          </w:tcPr>
          <w:p w14:paraId="7DE3E767" w14:textId="0573A4BC" w:rsidR="009A4E95" w:rsidRPr="003A7E34" w:rsidRDefault="009A4E95" w:rsidP="004367DB">
            <w:pPr>
              <w:spacing w:before="0" w:after="0"/>
              <w:rPr>
                <w:rFonts w:eastAsia="Times New Roman"/>
                <w:sz w:val="20"/>
                <w:szCs w:val="20"/>
                <w:lang w:val="en-US"/>
              </w:rPr>
            </w:pPr>
            <w:r w:rsidRPr="003A7E34">
              <w:rPr>
                <w:rFonts w:eastAsia="Times New Roman"/>
                <w:sz w:val="20"/>
                <w:szCs w:val="20"/>
                <w:lang w:val="en-US"/>
              </w:rPr>
              <w:t>130</w:t>
            </w:r>
          </w:p>
        </w:tc>
        <w:tc>
          <w:tcPr>
            <w:tcW w:w="1276" w:type="dxa"/>
          </w:tcPr>
          <w:p w14:paraId="2B3145A4" w14:textId="31B7FD52" w:rsidR="009A4E95" w:rsidRPr="003A7E34" w:rsidRDefault="00127C44" w:rsidP="004367DB">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3</w:t>
            </w:r>
          </w:p>
        </w:tc>
      </w:tr>
      <w:tr w:rsidR="003A7E34" w:rsidRPr="003A7E34" w14:paraId="40DE5B4B" w14:textId="77777777" w:rsidTr="46DF7FC9">
        <w:trPr>
          <w:trHeight w:val="188"/>
        </w:trPr>
        <w:tc>
          <w:tcPr>
            <w:tcW w:w="1809" w:type="dxa"/>
          </w:tcPr>
          <w:p w14:paraId="4A715520" w14:textId="394E7735" w:rsidR="009A4E95" w:rsidRPr="003A7E34" w:rsidRDefault="006C728E" w:rsidP="004367DB">
            <w:pPr>
              <w:spacing w:before="0" w:after="0"/>
              <w:jc w:val="left"/>
              <w:rPr>
                <w:rFonts w:eastAsia="Times New Roman"/>
                <w:sz w:val="20"/>
                <w:szCs w:val="20"/>
                <w:lang w:val="en-US"/>
              </w:rPr>
            </w:pPr>
            <w:r w:rsidRPr="003A7E34">
              <w:rPr>
                <w:rFonts w:eastAsia="Times New Roman"/>
                <w:sz w:val="20"/>
                <w:szCs w:val="20"/>
                <w:lang w:val="en-US"/>
              </w:rPr>
              <w:t xml:space="preserve">EE5. </w:t>
            </w:r>
            <w:r w:rsidR="009A4E95" w:rsidRPr="003A7E34">
              <w:rPr>
                <w:rFonts w:eastAsia="Times New Roman"/>
                <w:sz w:val="20"/>
                <w:szCs w:val="20"/>
                <w:lang w:val="en-US"/>
              </w:rPr>
              <w:t>Promote energy efficiency in buildings</w:t>
            </w:r>
          </w:p>
        </w:tc>
        <w:tc>
          <w:tcPr>
            <w:tcW w:w="1985" w:type="dxa"/>
          </w:tcPr>
          <w:p w14:paraId="78DB8004" w14:textId="62451EB1" w:rsidR="009A4E95" w:rsidRPr="003A7E34" w:rsidRDefault="00A6674C" w:rsidP="00A6674C">
            <w:pPr>
              <w:spacing w:after="0"/>
              <w:rPr>
                <w:rFonts w:eastAsia="Times New Roman"/>
                <w:sz w:val="20"/>
                <w:szCs w:val="20"/>
                <w:lang w:val="en-US"/>
              </w:rPr>
            </w:pPr>
            <w:r w:rsidRPr="003A7E34">
              <w:rPr>
                <w:lang w:val="en-US"/>
              </w:rPr>
              <w:t>P</w:t>
            </w:r>
            <w:r w:rsidR="00EA54EC" w:rsidRPr="003A7E34">
              <w:rPr>
                <w:rFonts w:eastAsia="Times New Roman"/>
                <w:sz w:val="20"/>
                <w:szCs w:val="20"/>
                <w:lang w:val="en-US"/>
              </w:rPr>
              <w:t>romoti</w:t>
            </w:r>
            <w:r w:rsidRPr="003A7E34">
              <w:rPr>
                <w:rFonts w:eastAsia="Times New Roman"/>
                <w:sz w:val="20"/>
                <w:szCs w:val="20"/>
                <w:lang w:val="en-US"/>
              </w:rPr>
              <w:t>ng</w:t>
            </w:r>
            <w:r w:rsidR="00EA54EC" w:rsidRPr="003A7E34">
              <w:rPr>
                <w:rFonts w:eastAsia="Times New Roman"/>
                <w:sz w:val="20"/>
                <w:szCs w:val="20"/>
                <w:lang w:val="en-US"/>
              </w:rPr>
              <w:t xml:space="preserve"> </w:t>
            </w:r>
            <w:r w:rsidRPr="003A7E34">
              <w:rPr>
                <w:rFonts w:eastAsia="Times New Roman"/>
                <w:sz w:val="20"/>
                <w:szCs w:val="20"/>
                <w:lang w:val="en-US"/>
              </w:rPr>
              <w:t>consumers to use energy more efficiently (awareness raising and financing of projects).</w:t>
            </w:r>
          </w:p>
        </w:tc>
        <w:tc>
          <w:tcPr>
            <w:tcW w:w="1701" w:type="dxa"/>
          </w:tcPr>
          <w:p w14:paraId="17CB2007" w14:textId="04DACE68" w:rsidR="009A4E95" w:rsidRPr="003A7E34" w:rsidRDefault="00B82131" w:rsidP="004367DB">
            <w:pPr>
              <w:spacing w:before="0" w:after="0"/>
              <w:rPr>
                <w:rFonts w:eastAsia="Times New Roman"/>
                <w:sz w:val="20"/>
                <w:szCs w:val="20"/>
                <w:lang w:val="en-US"/>
              </w:rPr>
            </w:pPr>
            <w:r w:rsidRPr="003A7E34">
              <w:rPr>
                <w:rFonts w:eastAsia="Times New Roman"/>
                <w:sz w:val="20"/>
                <w:szCs w:val="20"/>
                <w:lang w:val="en-US"/>
              </w:rPr>
              <w:t>2018</w:t>
            </w:r>
            <w:r w:rsidR="00EA54EC" w:rsidRPr="003A7E34">
              <w:rPr>
                <w:rFonts w:eastAsia="Times New Roman"/>
                <w:sz w:val="20"/>
                <w:szCs w:val="20"/>
                <w:lang w:val="en-US"/>
              </w:rPr>
              <w:t>–</w:t>
            </w:r>
            <w:r w:rsidRPr="003A7E34">
              <w:rPr>
                <w:rFonts w:eastAsia="Times New Roman"/>
                <w:sz w:val="20"/>
                <w:szCs w:val="20"/>
                <w:lang w:val="en-US"/>
              </w:rPr>
              <w:t>2029</w:t>
            </w:r>
          </w:p>
        </w:tc>
        <w:tc>
          <w:tcPr>
            <w:tcW w:w="1701" w:type="dxa"/>
          </w:tcPr>
          <w:p w14:paraId="669868B5" w14:textId="682A9D23" w:rsidR="009A4E95" w:rsidRPr="003A7E34" w:rsidRDefault="00B82131" w:rsidP="004367DB">
            <w:pPr>
              <w:spacing w:before="0" w:after="0"/>
              <w:rPr>
                <w:rFonts w:eastAsia="Times New Roman"/>
                <w:sz w:val="20"/>
                <w:szCs w:val="20"/>
                <w:lang w:val="en-US"/>
              </w:rPr>
            </w:pPr>
            <w:r w:rsidRPr="003A7E34">
              <w:rPr>
                <w:rFonts w:eastAsia="Times New Roman"/>
                <w:sz w:val="20"/>
                <w:szCs w:val="20"/>
                <w:lang w:val="en-US"/>
              </w:rPr>
              <w:t>Ministry of Energy</w:t>
            </w:r>
          </w:p>
        </w:tc>
        <w:tc>
          <w:tcPr>
            <w:tcW w:w="1417" w:type="dxa"/>
            <w:vAlign w:val="center"/>
          </w:tcPr>
          <w:p w14:paraId="7FF5E27C" w14:textId="777B6785" w:rsidR="009A4E95" w:rsidRPr="003A7E34" w:rsidRDefault="00B82131" w:rsidP="004367DB">
            <w:pPr>
              <w:spacing w:before="0" w:after="0"/>
              <w:rPr>
                <w:rFonts w:eastAsia="Times New Roman"/>
                <w:b/>
                <w:bCs/>
                <w:sz w:val="20"/>
                <w:szCs w:val="20"/>
                <w:lang w:val="en-US"/>
              </w:rPr>
            </w:pPr>
            <w:r w:rsidRPr="003A7E34">
              <w:rPr>
                <w:rFonts w:eastAsia="Times New Roman"/>
                <w:sz w:val="20"/>
                <w:szCs w:val="20"/>
                <w:lang w:val="en-US"/>
              </w:rPr>
              <w:t>14</w:t>
            </w:r>
          </w:p>
        </w:tc>
        <w:tc>
          <w:tcPr>
            <w:tcW w:w="1276" w:type="dxa"/>
          </w:tcPr>
          <w:p w14:paraId="16FE9D1F" w14:textId="5E0EFC66" w:rsidR="009A4E95" w:rsidRPr="003A7E34" w:rsidRDefault="00A6674C" w:rsidP="004367DB">
            <w:pPr>
              <w:spacing w:before="0" w:after="0"/>
              <w:rPr>
                <w:rFonts w:eastAsia="Times New Roman"/>
                <w:sz w:val="20"/>
                <w:szCs w:val="20"/>
                <w:lang w:val="en-US"/>
              </w:rPr>
            </w:pPr>
            <w:r w:rsidRPr="003A7E34">
              <w:rPr>
                <w:rFonts w:eastAsia="Times New Roman"/>
                <w:sz w:val="20"/>
                <w:szCs w:val="20"/>
                <w:lang w:val="en-US"/>
              </w:rPr>
              <w:t>X</w:t>
            </w:r>
            <w:r w:rsidRPr="003A7E34">
              <w:rPr>
                <w:rFonts w:eastAsia="Times New Roman"/>
                <w:sz w:val="20"/>
                <w:szCs w:val="20"/>
                <w:vertAlign w:val="superscript"/>
                <w:lang w:val="en-US"/>
              </w:rPr>
              <w:t>1</w:t>
            </w:r>
          </w:p>
        </w:tc>
      </w:tr>
      <w:tr w:rsidR="003A7E34" w:rsidRPr="003A7E34" w14:paraId="2AF089DB" w14:textId="77777777" w:rsidTr="46DF7FC9">
        <w:trPr>
          <w:trHeight w:val="188"/>
        </w:trPr>
        <w:tc>
          <w:tcPr>
            <w:tcW w:w="7196" w:type="dxa"/>
            <w:gridSpan w:val="4"/>
          </w:tcPr>
          <w:p w14:paraId="0F337A82" w14:textId="461EC1B4" w:rsidR="009A4E95" w:rsidRPr="003A7E34" w:rsidRDefault="009A4E95" w:rsidP="004367DB">
            <w:pPr>
              <w:spacing w:before="0" w:after="0"/>
              <w:jc w:val="right"/>
              <w:rPr>
                <w:rFonts w:eastAsia="Times New Roman"/>
                <w:sz w:val="20"/>
                <w:szCs w:val="20"/>
                <w:lang w:val="en-US"/>
              </w:rPr>
            </w:pPr>
            <w:r w:rsidRPr="003A7E34">
              <w:rPr>
                <w:rFonts w:eastAsia="Times New Roman"/>
                <w:sz w:val="20"/>
                <w:szCs w:val="20"/>
                <w:lang w:val="en-US"/>
              </w:rPr>
              <w:t>Total:</w:t>
            </w:r>
          </w:p>
        </w:tc>
        <w:tc>
          <w:tcPr>
            <w:tcW w:w="1417" w:type="dxa"/>
          </w:tcPr>
          <w:p w14:paraId="44EF7B75" w14:textId="2796DB87" w:rsidR="009A4E95" w:rsidRPr="003A7E34" w:rsidRDefault="00051A89" w:rsidP="004367DB">
            <w:pPr>
              <w:spacing w:before="0" w:after="0"/>
              <w:rPr>
                <w:rFonts w:eastAsia="Times New Roman"/>
                <w:b/>
                <w:bCs/>
                <w:sz w:val="20"/>
                <w:szCs w:val="20"/>
                <w:lang w:val="en-US"/>
              </w:rPr>
            </w:pPr>
            <w:r w:rsidRPr="003A7E34">
              <w:rPr>
                <w:rFonts w:eastAsia="Times New Roman"/>
                <w:b/>
                <w:bCs/>
                <w:sz w:val="20"/>
                <w:szCs w:val="20"/>
                <w:lang w:val="en-US"/>
              </w:rPr>
              <w:t>466</w:t>
            </w:r>
          </w:p>
        </w:tc>
        <w:tc>
          <w:tcPr>
            <w:tcW w:w="1276" w:type="dxa"/>
          </w:tcPr>
          <w:p w14:paraId="3260141E" w14:textId="77777777" w:rsidR="009A4E95" w:rsidRPr="003A7E34" w:rsidRDefault="009A4E95" w:rsidP="004367DB">
            <w:pPr>
              <w:spacing w:before="0" w:after="0"/>
              <w:rPr>
                <w:rFonts w:eastAsia="Times New Roman"/>
                <w:sz w:val="20"/>
                <w:szCs w:val="20"/>
                <w:lang w:val="en-US"/>
              </w:rPr>
            </w:pPr>
          </w:p>
        </w:tc>
      </w:tr>
    </w:tbl>
    <w:p w14:paraId="3C7CD70D" w14:textId="77777777" w:rsidR="00E03E9C" w:rsidRPr="003A7E34" w:rsidRDefault="00E03E9C" w:rsidP="00E03E9C">
      <w:pPr>
        <w:spacing w:before="0"/>
        <w:rPr>
          <w:rFonts w:eastAsia="Times New Roman"/>
          <w:sz w:val="20"/>
          <w:szCs w:val="20"/>
          <w:lang w:val="en-US"/>
        </w:rPr>
      </w:pPr>
      <w:r w:rsidRPr="003A7E34">
        <w:rPr>
          <w:rFonts w:eastAsia="Times New Roman"/>
          <w:sz w:val="20"/>
          <w:szCs w:val="20"/>
          <w:vertAlign w:val="superscript"/>
          <w:lang w:val="en-US"/>
        </w:rPr>
        <w:t>1</w:t>
      </w:r>
      <w:r w:rsidRPr="003A7E34">
        <w:rPr>
          <w:rFonts w:eastAsia="Times New Roman"/>
          <w:sz w:val="20"/>
          <w:szCs w:val="20"/>
          <w:lang w:val="en-US"/>
        </w:rPr>
        <w:t xml:space="preserve">financing from EU funds </w:t>
      </w:r>
    </w:p>
    <w:p w14:paraId="1C52E6F7" w14:textId="77777777" w:rsidR="00E03E9C" w:rsidRPr="003A7E34" w:rsidRDefault="00E03E9C" w:rsidP="00E03E9C">
      <w:pPr>
        <w:spacing w:before="0"/>
        <w:rPr>
          <w:rFonts w:eastAsia="Times New Roman"/>
          <w:sz w:val="20"/>
          <w:szCs w:val="20"/>
          <w:lang w:val="en-US"/>
        </w:rPr>
      </w:pPr>
      <w:r w:rsidRPr="003A7E34">
        <w:rPr>
          <w:rFonts w:eastAsia="Times New Roman"/>
          <w:sz w:val="20"/>
          <w:szCs w:val="20"/>
          <w:vertAlign w:val="superscript"/>
          <w:lang w:val="en-US"/>
        </w:rPr>
        <w:t>2</w:t>
      </w:r>
      <w:r w:rsidRPr="003A7E34">
        <w:rPr>
          <w:rFonts w:eastAsia="Times New Roman"/>
          <w:sz w:val="20"/>
          <w:szCs w:val="20"/>
          <w:lang w:val="en-US"/>
        </w:rPr>
        <w:t xml:space="preserve">financing from budget </w:t>
      </w:r>
    </w:p>
    <w:p w14:paraId="33735205" w14:textId="77777777" w:rsidR="00E03E9C" w:rsidRPr="003A7E34" w:rsidRDefault="00E03E9C" w:rsidP="00E03E9C">
      <w:pPr>
        <w:spacing w:before="0"/>
        <w:rPr>
          <w:rFonts w:eastAsia="Times New Roman"/>
          <w:sz w:val="20"/>
          <w:szCs w:val="20"/>
          <w:lang w:val="en-US"/>
        </w:rPr>
      </w:pPr>
      <w:r w:rsidRPr="003A7E34">
        <w:rPr>
          <w:rFonts w:eastAsia="Times New Roman"/>
          <w:sz w:val="20"/>
          <w:szCs w:val="20"/>
          <w:vertAlign w:val="superscript"/>
          <w:lang w:val="en-US"/>
        </w:rPr>
        <w:t>3</w:t>
      </w:r>
      <w:r w:rsidRPr="003A7E34">
        <w:rPr>
          <w:rFonts w:eastAsia="Times New Roman"/>
          <w:sz w:val="20"/>
          <w:szCs w:val="20"/>
          <w:lang w:val="en-US"/>
        </w:rPr>
        <w:t>other sources</w:t>
      </w:r>
    </w:p>
    <w:p w14:paraId="3D9BBE46" w14:textId="77777777" w:rsidR="008D3507" w:rsidRPr="003A7E34" w:rsidRDefault="008D3507">
      <w:pPr>
        <w:rPr>
          <w:rFonts w:eastAsia="Times New Roman"/>
          <w:noProof/>
          <w:lang w:val="en-US"/>
        </w:rPr>
      </w:pPr>
    </w:p>
    <w:p w14:paraId="4335380D" w14:textId="4DE35A5F" w:rsidR="00BD71C0" w:rsidRPr="003A7E34" w:rsidRDefault="00BD71C0"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Energy efficiency obligation schemes and alternative </w:t>
      </w:r>
      <w:r w:rsidRPr="003A7E34">
        <w:rPr>
          <w:rFonts w:ascii="Times New Roman" w:eastAsia="Times New Roman" w:hAnsi="Times New Roman" w:cs="Times New Roman"/>
          <w:b/>
          <w:bCs/>
          <w:i/>
          <w:iCs/>
          <w:noProof/>
          <w:lang w:val="en-US"/>
        </w:rPr>
        <w:t>policy</w:t>
      </w:r>
      <w:r w:rsidRPr="003A7E34">
        <w:rPr>
          <w:rFonts w:ascii="Times New Roman" w:eastAsia="Times New Roman" w:hAnsi="Times New Roman" w:cs="Times New Roman"/>
          <w:noProof/>
          <w:lang w:val="en-US"/>
        </w:rPr>
        <w:t xml:space="preserve"> measures under Articles 7a and 7b of Directive 2012/27/EU </w:t>
      </w:r>
      <w:r w:rsidRPr="003A7E34">
        <w:rPr>
          <w:rFonts w:ascii="Times New Roman" w:eastAsia="Times New Roman" w:hAnsi="Times New Roman" w:cs="Times New Roman"/>
          <w:b/>
          <w:bCs/>
          <w:i/>
          <w:iCs/>
          <w:noProof/>
          <w:lang w:val="en-US"/>
        </w:rPr>
        <w:t>and</w:t>
      </w:r>
      <w:r w:rsidRPr="003A7E34">
        <w:rPr>
          <w:rFonts w:ascii="Times New Roman" w:eastAsia="Times New Roman" w:hAnsi="Times New Roman" w:cs="Times New Roman"/>
          <w:noProof/>
          <w:lang w:val="en-US"/>
        </w:rPr>
        <w:t xml:space="preserve"> to be prepared in accordance with Annex II</w:t>
      </w:r>
    </w:p>
    <w:p w14:paraId="6518D385" w14:textId="760C2EED" w:rsidR="66564572" w:rsidRPr="003A7E34" w:rsidRDefault="66564572">
      <w:pPr>
        <w:rPr>
          <w:rFonts w:eastAsia="Times New Roman"/>
          <w:noProof/>
          <w:lang w:val="en-US"/>
        </w:rPr>
      </w:pPr>
      <w:r w:rsidRPr="003A7E34">
        <w:rPr>
          <w:rFonts w:eastAsia="Times New Roman"/>
          <w:noProof/>
          <w:lang w:val="en-US"/>
        </w:rPr>
        <w:t>According to the new Energy efficiency directive, the mandatory energy savings for the Republic of Lithuania is 25,003 TWh. This amount is equal to 2021. 1 January by 2030 1 January each year, energy savings will be achieved, according to the statistical information provided by the Lithuanian Department of Statistics corresponding to 0.8% of the average final energy consumed from 2016-2018.</w:t>
      </w:r>
    </w:p>
    <w:p w14:paraId="7A15BFEF" w14:textId="760C2EED" w:rsidR="66564572" w:rsidRPr="003A7E34" w:rsidRDefault="66564572" w:rsidP="00EA50D6">
      <w:pPr>
        <w:ind w:left="720"/>
        <w:rPr>
          <w:rFonts w:eastAsia="Times New Roman"/>
          <w:noProof/>
          <w:lang w:val="en-US"/>
        </w:rPr>
      </w:pPr>
      <w:r w:rsidRPr="003A7E34">
        <w:rPr>
          <w:rFonts w:eastAsia="Times New Roman"/>
          <w:noProof/>
          <w:lang w:val="en-US"/>
        </w:rPr>
        <w:t>The energy efficiency improvement policies and measures foreseen till 2030:</w:t>
      </w:r>
    </w:p>
    <w:p w14:paraId="684EA83A" w14:textId="760C2EED" w:rsidR="66564572" w:rsidRPr="003A7E34" w:rsidRDefault="66564572" w:rsidP="00C42AAE">
      <w:pPr>
        <w:pStyle w:val="ListParagraph"/>
        <w:numPr>
          <w:ilvl w:val="1"/>
          <w:numId w:val="34"/>
        </w:numPr>
        <w:jc w:val="both"/>
        <w:rPr>
          <w:rFonts w:ascii="Times New Roman" w:hAnsi="Times New Roman" w:cs="Times New Roman"/>
          <w:lang w:val="en-US"/>
        </w:rPr>
      </w:pPr>
      <w:r w:rsidRPr="003A7E34">
        <w:rPr>
          <w:rFonts w:ascii="Times New Roman" w:eastAsia="Times New Roman" w:hAnsi="Times New Roman" w:cs="Times New Roman"/>
          <w:noProof/>
          <w:lang w:val="en-US"/>
        </w:rPr>
        <w:t>renovation of apartment buildings;</w:t>
      </w:r>
    </w:p>
    <w:p w14:paraId="5433A68F" w14:textId="760C2EED" w:rsidR="66564572" w:rsidRPr="003A7E34" w:rsidRDefault="66564572" w:rsidP="00C42AAE">
      <w:pPr>
        <w:pStyle w:val="ListParagraph"/>
        <w:numPr>
          <w:ilvl w:val="1"/>
          <w:numId w:val="34"/>
        </w:numPr>
        <w:jc w:val="both"/>
        <w:rPr>
          <w:rFonts w:ascii="Times New Roman" w:hAnsi="Times New Roman" w:cs="Times New Roman"/>
          <w:lang w:val="en-US"/>
        </w:rPr>
      </w:pPr>
      <w:r w:rsidRPr="003A7E34">
        <w:rPr>
          <w:rFonts w:ascii="Times New Roman" w:eastAsia="Times New Roman" w:hAnsi="Times New Roman" w:cs="Times New Roman"/>
          <w:noProof/>
          <w:lang w:val="en-US"/>
        </w:rPr>
        <w:t>increasing the energy efficiency of public buildings;</w:t>
      </w:r>
    </w:p>
    <w:p w14:paraId="0213BC25" w14:textId="760C2EED" w:rsidR="66564572" w:rsidRPr="003A7E34" w:rsidRDefault="66564572" w:rsidP="00C42AAE">
      <w:pPr>
        <w:pStyle w:val="ListParagraph"/>
        <w:numPr>
          <w:ilvl w:val="1"/>
          <w:numId w:val="34"/>
        </w:numPr>
        <w:jc w:val="both"/>
        <w:rPr>
          <w:rFonts w:ascii="Times New Roman" w:hAnsi="Times New Roman" w:cs="Times New Roman"/>
          <w:lang w:val="en-US"/>
        </w:rPr>
      </w:pPr>
      <w:r w:rsidRPr="003A7E34">
        <w:rPr>
          <w:rFonts w:ascii="Times New Roman" w:eastAsia="Times New Roman" w:hAnsi="Times New Roman" w:cs="Times New Roman"/>
          <w:noProof/>
          <w:lang w:val="en-US"/>
        </w:rPr>
        <w:t>energy audits in industry;</w:t>
      </w:r>
    </w:p>
    <w:p w14:paraId="161DB476" w14:textId="760C2EED" w:rsidR="66564572" w:rsidRPr="003A7E34" w:rsidRDefault="66564572" w:rsidP="00C42AAE">
      <w:pPr>
        <w:pStyle w:val="ListParagraph"/>
        <w:numPr>
          <w:ilvl w:val="1"/>
          <w:numId w:val="34"/>
        </w:numPr>
        <w:jc w:val="both"/>
        <w:rPr>
          <w:rFonts w:ascii="Times New Roman" w:hAnsi="Times New Roman" w:cs="Times New Roman"/>
          <w:lang w:val="en-US"/>
        </w:rPr>
      </w:pPr>
      <w:r w:rsidRPr="003A7E34">
        <w:rPr>
          <w:rFonts w:ascii="Times New Roman" w:eastAsia="Times New Roman" w:hAnsi="Times New Roman" w:cs="Times New Roman"/>
          <w:noProof/>
          <w:lang w:val="en-US"/>
        </w:rPr>
        <w:t>agreements with energy suppliers on consumer education and counseling;</w:t>
      </w:r>
    </w:p>
    <w:p w14:paraId="4356BA64" w14:textId="760C2EED" w:rsidR="66564572" w:rsidRPr="003A7E34" w:rsidRDefault="66564572" w:rsidP="00C42AAE">
      <w:pPr>
        <w:pStyle w:val="ListParagraph"/>
        <w:numPr>
          <w:ilvl w:val="1"/>
          <w:numId w:val="34"/>
        </w:numPr>
        <w:jc w:val="both"/>
        <w:rPr>
          <w:rFonts w:ascii="Times New Roman" w:hAnsi="Times New Roman" w:cs="Times New Roman"/>
          <w:lang w:val="en-US"/>
        </w:rPr>
      </w:pPr>
      <w:r w:rsidRPr="003A7E34">
        <w:rPr>
          <w:rFonts w:ascii="Times New Roman" w:eastAsia="Times New Roman" w:hAnsi="Times New Roman" w:cs="Times New Roman"/>
          <w:noProof/>
          <w:lang w:val="en-US"/>
        </w:rPr>
        <w:t>agreements with energy companies on energy saving;</w:t>
      </w:r>
    </w:p>
    <w:p w14:paraId="58F6F848" w14:textId="760C2EED" w:rsidR="66564572" w:rsidRPr="003A7E34" w:rsidRDefault="66564572" w:rsidP="00C42AAE">
      <w:pPr>
        <w:pStyle w:val="ListParagraph"/>
        <w:numPr>
          <w:ilvl w:val="1"/>
          <w:numId w:val="34"/>
        </w:numPr>
        <w:jc w:val="both"/>
        <w:rPr>
          <w:rFonts w:ascii="Times New Roman" w:hAnsi="Times New Roman" w:cs="Times New Roman"/>
          <w:lang w:val="en-US"/>
        </w:rPr>
      </w:pPr>
      <w:r w:rsidRPr="003A7E34">
        <w:rPr>
          <w:rFonts w:ascii="Times New Roman" w:eastAsia="Times New Roman" w:hAnsi="Times New Roman" w:cs="Times New Roman"/>
          <w:noProof/>
          <w:lang w:val="en-US"/>
        </w:rPr>
        <w:t>replacement of boilers in households</w:t>
      </w:r>
    </w:p>
    <w:p w14:paraId="3C9161FA" w14:textId="760C2EED" w:rsidR="66564572" w:rsidRPr="003A7E34" w:rsidRDefault="66564572" w:rsidP="00C42AAE">
      <w:pPr>
        <w:pStyle w:val="ListParagraph"/>
        <w:numPr>
          <w:ilvl w:val="1"/>
          <w:numId w:val="34"/>
        </w:numPr>
        <w:jc w:val="both"/>
        <w:rPr>
          <w:rFonts w:ascii="Times New Roman" w:hAnsi="Times New Roman" w:cs="Times New Roman"/>
          <w:lang w:val="en-US"/>
        </w:rPr>
      </w:pPr>
      <w:r w:rsidRPr="003A7E34">
        <w:rPr>
          <w:rFonts w:ascii="Times New Roman" w:eastAsia="Times New Roman" w:hAnsi="Times New Roman" w:cs="Times New Roman"/>
          <w:noProof/>
          <w:lang w:val="en-US"/>
        </w:rPr>
        <w:t>Support ennergy efficiency in high intensity industry</w:t>
      </w:r>
    </w:p>
    <w:p w14:paraId="5B12874B" w14:textId="760C2EED" w:rsidR="66564572" w:rsidRPr="003A7E34" w:rsidRDefault="66564572" w:rsidP="00C42AAE">
      <w:pPr>
        <w:pStyle w:val="ListParagraph"/>
        <w:numPr>
          <w:ilvl w:val="1"/>
          <w:numId w:val="34"/>
        </w:numPr>
        <w:jc w:val="both"/>
        <w:rPr>
          <w:rFonts w:ascii="Times New Roman" w:hAnsi="Times New Roman" w:cs="Times New Roman"/>
          <w:lang w:val="en-US"/>
        </w:rPr>
      </w:pPr>
      <w:r w:rsidRPr="003A7E34">
        <w:rPr>
          <w:rFonts w:ascii="Times New Roman" w:eastAsia="Times New Roman" w:hAnsi="Times New Roman" w:cs="Times New Roman"/>
          <w:b/>
          <w:bCs/>
          <w:noProof/>
          <w:lang w:val="en-US"/>
        </w:rPr>
        <w:t xml:space="preserve">Taxes on fuel. </w:t>
      </w:r>
    </w:p>
    <w:p w14:paraId="7D51955A" w14:textId="77777777" w:rsidR="004367DB" w:rsidRPr="003A7E34" w:rsidRDefault="004367DB">
      <w:pPr>
        <w:rPr>
          <w:rFonts w:eastAsia="Times New Roman"/>
          <w:noProof/>
          <w:lang w:val="en-US"/>
        </w:rPr>
      </w:pPr>
    </w:p>
    <w:p w14:paraId="216F6E2E" w14:textId="3D4E3B9C" w:rsidR="66564572" w:rsidRPr="003A7E34" w:rsidRDefault="66564572">
      <w:pPr>
        <w:rPr>
          <w:rFonts w:eastAsia="Times New Roman"/>
          <w:noProof/>
          <w:lang w:val="en-US"/>
        </w:rPr>
      </w:pPr>
      <w:r w:rsidRPr="003A7E34">
        <w:rPr>
          <w:rFonts w:eastAsia="Times New Roman"/>
          <w:noProof/>
          <w:lang w:val="en-US"/>
        </w:rPr>
        <w:t>Taking into account the amount of fuel (gasoline, diesel and liquefied petroleum gas) sold in Lithuania and the demand elasticity and taking into account the experience of other countries (Sweden, Spain, Germany and Estonia) in calculating the impact of tax energy efficiency improvement measures on fuel consumption, it is estimated that in 2030 5,4 TWh of energy was saved on higher fuel taxes and excise taxes.</w:t>
      </w:r>
    </w:p>
    <w:p w14:paraId="14704688" w14:textId="486F9EFB" w:rsidR="66564572" w:rsidRPr="003A7E34" w:rsidRDefault="66564572">
      <w:pPr>
        <w:rPr>
          <w:rFonts w:eastAsia="Times New Roman"/>
          <w:noProof/>
          <w:lang w:val="en-US"/>
        </w:rPr>
      </w:pPr>
      <w:r w:rsidRPr="003A7E34">
        <w:rPr>
          <w:rFonts w:eastAsia="Times New Roman"/>
          <w:b/>
          <w:bCs/>
          <w:i/>
          <w:noProof/>
          <w:lang w:val="en-US"/>
        </w:rPr>
        <w:t>Renovation of multi-apartment buildings</w:t>
      </w:r>
      <w:r w:rsidR="004367DB" w:rsidRPr="003A7E34">
        <w:rPr>
          <w:rFonts w:eastAsia="Times New Roman"/>
          <w:b/>
          <w:bCs/>
          <w:noProof/>
          <w:lang w:val="en-US"/>
        </w:rPr>
        <w:t xml:space="preserve">. </w:t>
      </w:r>
      <w:r w:rsidRPr="003A7E34">
        <w:rPr>
          <w:rFonts w:eastAsia="Times New Roman"/>
          <w:noProof/>
          <w:lang w:val="en-US"/>
        </w:rPr>
        <w:t xml:space="preserve">By the end of 2030, the cost of thermal energy (fuel) in multi-apartment buildings constructed in accordance with the technical norms of the building regulations up to 1993 should not be less than 20 </w:t>
      </w:r>
      <w:r w:rsidR="00906CD3" w:rsidRPr="003A7E34">
        <w:rPr>
          <w:rFonts w:eastAsia="Times New Roman"/>
          <w:noProof/>
          <w:lang w:val="en-US"/>
        </w:rPr>
        <w:t>%</w:t>
      </w:r>
      <w:r w:rsidRPr="003A7E34">
        <w:rPr>
          <w:rFonts w:eastAsia="Times New Roman"/>
          <w:noProof/>
          <w:lang w:val="en-US"/>
        </w:rPr>
        <w:t xml:space="preserve"> after renoavtion a and by the end of 2030 should be renovated about 5 000 multi-apartament buildings and 6 TWh of enenrgy saved. It is planned that each around 500 buildings will be renovated.</w:t>
      </w:r>
    </w:p>
    <w:p w14:paraId="5D57322F" w14:textId="696BD3CD" w:rsidR="66564572" w:rsidRPr="003A7E34" w:rsidRDefault="66564572">
      <w:pPr>
        <w:rPr>
          <w:rFonts w:eastAsia="Times New Roman"/>
          <w:noProof/>
          <w:lang w:val="en-US"/>
        </w:rPr>
      </w:pPr>
      <w:r w:rsidRPr="003A7E34">
        <w:rPr>
          <w:rFonts w:eastAsia="Times New Roman"/>
          <w:b/>
          <w:bCs/>
          <w:i/>
          <w:noProof/>
          <w:lang w:val="en-US"/>
        </w:rPr>
        <w:lastRenderedPageBreak/>
        <w:t>Renovation of public buildings</w:t>
      </w:r>
      <w:r w:rsidRPr="003A7E34">
        <w:rPr>
          <w:rFonts w:eastAsia="Times New Roman"/>
          <w:noProof/>
          <w:lang w:val="en-US"/>
        </w:rPr>
        <w:t>.</w:t>
      </w:r>
      <w:r w:rsidR="004367DB" w:rsidRPr="003A7E34">
        <w:rPr>
          <w:rFonts w:eastAsia="Times New Roman"/>
          <w:noProof/>
          <w:lang w:val="en-US"/>
        </w:rPr>
        <w:t xml:space="preserve"> </w:t>
      </w:r>
      <w:r w:rsidRPr="003A7E34">
        <w:rPr>
          <w:rFonts w:eastAsia="Times New Roman"/>
          <w:noProof/>
          <w:lang w:val="en-US"/>
        </w:rPr>
        <w:t>In order to renovated annually at least 3% the Government of the Republic of Lithuania, by approving the Public Buildings Program, has set the following objectives for the state owned and used heating and / or cooling public buildings owned and used by it to renovate up to 330 000 m2 by 2030 of public buildings and save about 2 TWh of energy.</w:t>
      </w:r>
    </w:p>
    <w:p w14:paraId="20127981" w14:textId="72DFF979" w:rsidR="66564572" w:rsidRPr="003A7E34" w:rsidRDefault="66564572">
      <w:pPr>
        <w:rPr>
          <w:rFonts w:eastAsia="Times New Roman"/>
          <w:noProof/>
          <w:lang w:val="en-US"/>
        </w:rPr>
      </w:pPr>
      <w:r w:rsidRPr="003A7E34">
        <w:rPr>
          <w:rFonts w:eastAsia="Times New Roman"/>
          <w:b/>
          <w:bCs/>
          <w:i/>
          <w:noProof/>
          <w:lang w:val="en-US"/>
        </w:rPr>
        <w:t>Energy audits in industry</w:t>
      </w:r>
      <w:r w:rsidR="004367DB" w:rsidRPr="003A7E34">
        <w:rPr>
          <w:rFonts w:eastAsia="Times New Roman"/>
          <w:b/>
          <w:bCs/>
          <w:noProof/>
          <w:lang w:val="en-US"/>
        </w:rPr>
        <w:t xml:space="preserve">. </w:t>
      </w:r>
      <w:r w:rsidRPr="003A7E34">
        <w:rPr>
          <w:rFonts w:eastAsia="Times New Roman"/>
          <w:noProof/>
          <w:lang w:val="en-US"/>
        </w:rPr>
        <w:t>In Lithuania, there is foreseen</w:t>
      </w:r>
      <w:r w:rsidR="00D871C8" w:rsidRPr="003A7E34">
        <w:rPr>
          <w:rFonts w:eastAsia="Times New Roman"/>
          <w:noProof/>
          <w:lang w:val="en-US"/>
        </w:rPr>
        <w:t xml:space="preserve"> </w:t>
      </w:r>
      <w:r w:rsidRPr="003A7E34">
        <w:rPr>
          <w:rFonts w:eastAsia="Times New Roman"/>
          <w:noProof/>
          <w:lang w:val="en-US"/>
        </w:rPr>
        <w:t>support industrial enterprises seeking to carry out energy audits and implement energy efficiency improvement measures recommended in the audit report through European Union structural and budget funds. It is planned that around 2 TWh of energy will be saved after implementation of energy efficiency measures.</w:t>
      </w:r>
    </w:p>
    <w:p w14:paraId="435D444E" w14:textId="04A4ADC7" w:rsidR="66564572" w:rsidRPr="003A7E34" w:rsidRDefault="66564572">
      <w:pPr>
        <w:rPr>
          <w:rFonts w:eastAsia="Times New Roman"/>
          <w:noProof/>
          <w:lang w:val="en-US"/>
        </w:rPr>
      </w:pPr>
      <w:r w:rsidRPr="003A7E34">
        <w:rPr>
          <w:rFonts w:eastAsia="Times New Roman"/>
          <w:b/>
          <w:bCs/>
          <w:i/>
          <w:noProof/>
          <w:lang w:val="en-US"/>
        </w:rPr>
        <w:t>Agreements with energy suppliers on consumer education and counseling</w:t>
      </w:r>
      <w:r w:rsidR="004367DB" w:rsidRPr="003A7E34">
        <w:rPr>
          <w:rFonts w:eastAsia="Times New Roman"/>
          <w:b/>
          <w:bCs/>
          <w:noProof/>
          <w:lang w:val="en-US"/>
        </w:rPr>
        <w:t xml:space="preserve">. </w:t>
      </w:r>
      <w:r w:rsidRPr="003A7E34">
        <w:rPr>
          <w:rFonts w:eastAsia="Times New Roman"/>
          <w:noProof/>
          <w:lang w:val="en-US"/>
        </w:rPr>
        <w:t>The Law on Efficiency regulates agreements with energy suppliers on consumer education and counseling. Under this law, energy suppliers are obliged to enter into agreements with the Ministry of Energy of the Republic of Lithuania (hereinafter - the Ministry of Energy) on consumer education and consulting.</w:t>
      </w:r>
    </w:p>
    <w:p w14:paraId="7D743A5B" w14:textId="760C2EED" w:rsidR="66564572" w:rsidRPr="003A7E34" w:rsidRDefault="66564572">
      <w:pPr>
        <w:rPr>
          <w:rFonts w:eastAsia="Times New Roman"/>
          <w:noProof/>
          <w:lang w:val="en-US"/>
        </w:rPr>
      </w:pPr>
      <w:r w:rsidRPr="003A7E34">
        <w:rPr>
          <w:rFonts w:eastAsia="Times New Roman"/>
          <w:noProof/>
          <w:lang w:val="en-US"/>
        </w:rPr>
        <w:t>Agreements on consumer education and advice must include:</w:t>
      </w:r>
    </w:p>
    <w:p w14:paraId="2540329A" w14:textId="760C2EED" w:rsidR="66564572" w:rsidRPr="003A7E34" w:rsidRDefault="66564572">
      <w:pPr>
        <w:rPr>
          <w:rFonts w:eastAsia="Times New Roman"/>
          <w:noProof/>
          <w:lang w:val="en-US"/>
        </w:rPr>
      </w:pPr>
      <w:r w:rsidRPr="003A7E34">
        <w:rPr>
          <w:rFonts w:eastAsia="Times New Roman"/>
          <w:noProof/>
          <w:lang w:val="en-US"/>
        </w:rPr>
        <w:t>sets out the scope of consumer education and counseling and a timetable for counseling;</w:t>
      </w:r>
    </w:p>
    <w:p w14:paraId="3C65FF6B" w14:textId="760C2EED" w:rsidR="66564572" w:rsidRPr="003A7E34" w:rsidRDefault="66564572" w:rsidP="00C42AAE">
      <w:pPr>
        <w:pStyle w:val="ListParagraph"/>
        <w:numPr>
          <w:ilvl w:val="0"/>
          <w:numId w:val="35"/>
        </w:numPr>
        <w:jc w:val="both"/>
        <w:rPr>
          <w:rFonts w:ascii="Times New Roman" w:hAnsi="Times New Roman" w:cs="Times New Roman"/>
          <w:lang w:val="en-US"/>
        </w:rPr>
      </w:pPr>
      <w:r w:rsidRPr="003A7E34">
        <w:rPr>
          <w:rFonts w:ascii="Times New Roman" w:eastAsia="Times New Roman" w:hAnsi="Times New Roman" w:cs="Times New Roman"/>
          <w:noProof/>
          <w:lang w:val="en-US"/>
        </w:rPr>
        <w:t>the procedure for reporting on the scope of consumer education and counseling (form of report, submission periods);</w:t>
      </w:r>
    </w:p>
    <w:p w14:paraId="3AF4D0E6" w14:textId="760C2EED" w:rsidR="66564572" w:rsidRPr="003A7E34" w:rsidRDefault="66564572" w:rsidP="00C42AAE">
      <w:pPr>
        <w:pStyle w:val="ListParagraph"/>
        <w:numPr>
          <w:ilvl w:val="0"/>
          <w:numId w:val="35"/>
        </w:numPr>
        <w:jc w:val="both"/>
        <w:rPr>
          <w:rFonts w:ascii="Times New Roman" w:hAnsi="Times New Roman" w:cs="Times New Roman"/>
          <w:lang w:val="en-US"/>
        </w:rPr>
      </w:pPr>
      <w:r w:rsidRPr="003A7E34">
        <w:rPr>
          <w:rFonts w:ascii="Times New Roman" w:eastAsia="Times New Roman" w:hAnsi="Times New Roman" w:cs="Times New Roman"/>
          <w:noProof/>
          <w:lang w:val="en-US"/>
        </w:rPr>
        <w:t>information on consumer education and counseling tools;</w:t>
      </w:r>
    </w:p>
    <w:p w14:paraId="772FA909" w14:textId="760C2EED" w:rsidR="66564572" w:rsidRPr="003A7E34" w:rsidRDefault="66564572" w:rsidP="00C42AAE">
      <w:pPr>
        <w:pStyle w:val="ListParagraph"/>
        <w:numPr>
          <w:ilvl w:val="0"/>
          <w:numId w:val="35"/>
        </w:numPr>
        <w:jc w:val="both"/>
        <w:rPr>
          <w:rFonts w:ascii="Times New Roman" w:hAnsi="Times New Roman" w:cs="Times New Roman"/>
          <w:lang w:val="en-US"/>
        </w:rPr>
      </w:pPr>
      <w:r w:rsidRPr="003A7E34">
        <w:rPr>
          <w:rFonts w:ascii="Times New Roman" w:eastAsia="Times New Roman" w:hAnsi="Times New Roman" w:cs="Times New Roman"/>
          <w:noProof/>
          <w:lang w:val="en-US"/>
        </w:rPr>
        <w:t>the duration of the agreement and the procedure for its extension.</w:t>
      </w:r>
    </w:p>
    <w:p w14:paraId="35774DB3" w14:textId="3579606E" w:rsidR="66564572" w:rsidRPr="003A7E34" w:rsidRDefault="66564572" w:rsidP="00C42AAE">
      <w:pPr>
        <w:pStyle w:val="ListParagraph"/>
        <w:numPr>
          <w:ilvl w:val="0"/>
          <w:numId w:val="35"/>
        </w:numPr>
        <w:jc w:val="both"/>
        <w:rPr>
          <w:rFonts w:ascii="Times New Roman" w:hAnsi="Times New Roman" w:cs="Times New Roman"/>
          <w:lang w:val="en-US"/>
        </w:rPr>
      </w:pPr>
      <w:r w:rsidRPr="003A7E34">
        <w:rPr>
          <w:rFonts w:ascii="Times New Roman" w:eastAsia="Times New Roman" w:hAnsi="Times New Roman" w:cs="Times New Roman"/>
          <w:noProof/>
          <w:lang w:val="en-US"/>
        </w:rPr>
        <w:t>Energy providers will ensure the implementation of the volume and means of education and counseling provided by the agreements among themselves or through other persons. Newly established energy suppliers must sign, within 6 months from the date of their establishment, agreements with the Ministry of Energy on consumer education and counseling. It is planned that around 5 TWh of energy will be saved by this measure.</w:t>
      </w:r>
    </w:p>
    <w:p w14:paraId="0C7536ED" w14:textId="77777777" w:rsidR="004367DB" w:rsidRPr="003A7E34" w:rsidRDefault="004367DB" w:rsidP="004367DB">
      <w:pPr>
        <w:rPr>
          <w:lang w:val="en-US"/>
        </w:rPr>
      </w:pPr>
    </w:p>
    <w:p w14:paraId="5BD4BA6C" w14:textId="1DDD0952" w:rsidR="66564572" w:rsidRPr="003A7E34" w:rsidRDefault="66564572">
      <w:pPr>
        <w:rPr>
          <w:rFonts w:eastAsia="Times New Roman"/>
          <w:noProof/>
          <w:lang w:val="en-US"/>
        </w:rPr>
      </w:pPr>
      <w:r w:rsidRPr="003A7E34">
        <w:rPr>
          <w:rFonts w:eastAsia="Times New Roman"/>
          <w:b/>
          <w:bCs/>
          <w:i/>
          <w:noProof/>
          <w:lang w:val="en-US"/>
        </w:rPr>
        <w:t>Agreements with energy companies on energy saving</w:t>
      </w:r>
      <w:r w:rsidR="004367DB" w:rsidRPr="003A7E34">
        <w:rPr>
          <w:rFonts w:eastAsia="Times New Roman"/>
          <w:b/>
          <w:bCs/>
          <w:noProof/>
          <w:lang w:val="en-US"/>
        </w:rPr>
        <w:t xml:space="preserve">. </w:t>
      </w:r>
      <w:r w:rsidRPr="003A7E34">
        <w:rPr>
          <w:rFonts w:eastAsia="Times New Roman"/>
          <w:noProof/>
          <w:lang w:val="en-US"/>
        </w:rPr>
        <w:t>The Law on Efficiency regulates energy savings agreements legally. Under this law, the electricity and gas transmission system and distribution network operators, which the state directly or through its controlled companies owned at least 1/2 of votes at the general meeting of shareholders of the shares (hereinafter - State controlled operators) an obligation to the Ministry of Energy publicly available agreements for energy savings. Other energy companies can also enter into energy saving agreements with the Ministry of Energy.</w:t>
      </w:r>
    </w:p>
    <w:p w14:paraId="0562AC4D" w14:textId="760C2EED" w:rsidR="66564572" w:rsidRPr="003A7E34" w:rsidRDefault="66564572">
      <w:pPr>
        <w:rPr>
          <w:rFonts w:eastAsia="Times New Roman"/>
          <w:noProof/>
          <w:lang w:val="en-US"/>
        </w:rPr>
      </w:pPr>
      <w:r w:rsidRPr="003A7E34">
        <w:rPr>
          <w:rFonts w:eastAsia="Times New Roman"/>
          <w:noProof/>
          <w:lang w:val="en-US"/>
        </w:rPr>
        <w:t>The amount of energy saved to energy companies shall be determined in proportion to the final energy delivered to the customers in the preceding years.</w:t>
      </w:r>
    </w:p>
    <w:p w14:paraId="63B9BF4A" w14:textId="760C2EED" w:rsidR="66564572" w:rsidRPr="003A7E34" w:rsidRDefault="66564572">
      <w:pPr>
        <w:rPr>
          <w:rFonts w:eastAsia="Times New Roman"/>
          <w:noProof/>
          <w:lang w:val="en-US"/>
        </w:rPr>
      </w:pPr>
      <w:r w:rsidRPr="003A7E34">
        <w:rPr>
          <w:rFonts w:eastAsia="Times New Roman"/>
          <w:noProof/>
          <w:lang w:val="en-US"/>
        </w:rPr>
        <w:t>Energy savings agreements specify:</w:t>
      </w:r>
    </w:p>
    <w:p w14:paraId="5E1F12D4" w14:textId="760C2EED" w:rsidR="66564572" w:rsidRPr="003A7E34" w:rsidRDefault="66564572">
      <w:pPr>
        <w:rPr>
          <w:rFonts w:eastAsia="Times New Roman"/>
          <w:noProof/>
          <w:lang w:val="en-US"/>
        </w:rPr>
      </w:pPr>
      <w:r w:rsidRPr="003A7E34">
        <w:rPr>
          <w:rFonts w:eastAsia="Times New Roman"/>
          <w:noProof/>
          <w:lang w:val="en-US"/>
        </w:rPr>
        <w:t>the energy savings and / or greenhouse gas savings required by the energy company and a timetable for saving this amount;</w:t>
      </w:r>
    </w:p>
    <w:p w14:paraId="4DE813F9" w14:textId="760C2EED" w:rsidR="66564572" w:rsidRPr="003A7E34" w:rsidRDefault="66564572" w:rsidP="00C42AAE">
      <w:pPr>
        <w:pStyle w:val="ListParagraph"/>
        <w:numPr>
          <w:ilvl w:val="0"/>
          <w:numId w:val="36"/>
        </w:numPr>
        <w:jc w:val="both"/>
        <w:rPr>
          <w:rFonts w:ascii="Times New Roman" w:hAnsi="Times New Roman" w:cs="Times New Roman"/>
          <w:lang w:val="en-US"/>
        </w:rPr>
      </w:pPr>
      <w:r w:rsidRPr="003A7E34">
        <w:rPr>
          <w:rFonts w:ascii="Times New Roman" w:eastAsia="Times New Roman" w:hAnsi="Times New Roman" w:cs="Times New Roman"/>
          <w:noProof/>
          <w:lang w:val="en-US"/>
        </w:rPr>
        <w:t>the procedure for submission of reports on the amount of energy saved (report form, submission periods);</w:t>
      </w:r>
    </w:p>
    <w:p w14:paraId="6017F949" w14:textId="760C2EED" w:rsidR="66564572" w:rsidRPr="003A7E34" w:rsidRDefault="66564572" w:rsidP="00C42AAE">
      <w:pPr>
        <w:pStyle w:val="ListParagraph"/>
        <w:numPr>
          <w:ilvl w:val="0"/>
          <w:numId w:val="36"/>
        </w:numPr>
        <w:jc w:val="both"/>
        <w:rPr>
          <w:rFonts w:ascii="Times New Roman" w:hAnsi="Times New Roman" w:cs="Times New Roman"/>
          <w:lang w:val="en-US"/>
        </w:rPr>
      </w:pPr>
      <w:r w:rsidRPr="003A7E34">
        <w:rPr>
          <w:rFonts w:ascii="Times New Roman" w:eastAsia="Times New Roman" w:hAnsi="Times New Roman" w:cs="Times New Roman"/>
          <w:noProof/>
          <w:lang w:val="en-US"/>
        </w:rPr>
        <w:t>information on energy efficiency improvement measures that ensure mandatory energy savings;</w:t>
      </w:r>
    </w:p>
    <w:p w14:paraId="30188743" w14:textId="760C2EED" w:rsidR="66564572" w:rsidRPr="003A7E34" w:rsidRDefault="66564572" w:rsidP="00C42AAE">
      <w:pPr>
        <w:pStyle w:val="ListParagraph"/>
        <w:numPr>
          <w:ilvl w:val="0"/>
          <w:numId w:val="36"/>
        </w:numPr>
        <w:jc w:val="both"/>
        <w:rPr>
          <w:rFonts w:ascii="Times New Roman" w:hAnsi="Times New Roman" w:cs="Times New Roman"/>
          <w:lang w:val="en-US"/>
        </w:rPr>
      </w:pPr>
      <w:r w:rsidRPr="003A7E34">
        <w:rPr>
          <w:rFonts w:ascii="Times New Roman" w:eastAsia="Times New Roman" w:hAnsi="Times New Roman" w:cs="Times New Roman"/>
          <w:noProof/>
          <w:lang w:val="en-US"/>
        </w:rPr>
        <w:t>Financial indicators of investments in energy efficiency improvement measures and their calculation methods;</w:t>
      </w:r>
    </w:p>
    <w:p w14:paraId="18AF1CCB" w14:textId="760C2EED" w:rsidR="66564572" w:rsidRPr="003A7E34" w:rsidRDefault="66564572" w:rsidP="00C42AAE">
      <w:pPr>
        <w:pStyle w:val="ListParagraph"/>
        <w:numPr>
          <w:ilvl w:val="0"/>
          <w:numId w:val="36"/>
        </w:numPr>
        <w:jc w:val="both"/>
        <w:rPr>
          <w:rFonts w:ascii="Times New Roman" w:hAnsi="Times New Roman" w:cs="Times New Roman"/>
          <w:lang w:val="en-US"/>
        </w:rPr>
      </w:pPr>
      <w:r w:rsidRPr="003A7E34">
        <w:rPr>
          <w:rFonts w:ascii="Times New Roman" w:eastAsia="Times New Roman" w:hAnsi="Times New Roman" w:cs="Times New Roman"/>
          <w:noProof/>
          <w:lang w:val="en-US"/>
        </w:rPr>
        <w:t>the duration of the agreement and the procedure for its extension.</w:t>
      </w:r>
    </w:p>
    <w:p w14:paraId="5B6F06F4" w14:textId="760C2EED" w:rsidR="66564572" w:rsidRPr="003A7E34" w:rsidRDefault="66564572" w:rsidP="00C42AAE">
      <w:pPr>
        <w:pStyle w:val="ListParagraph"/>
        <w:numPr>
          <w:ilvl w:val="0"/>
          <w:numId w:val="36"/>
        </w:numPr>
        <w:jc w:val="both"/>
        <w:rPr>
          <w:rFonts w:ascii="Times New Roman" w:hAnsi="Times New Roman" w:cs="Times New Roman"/>
          <w:lang w:val="en-US"/>
        </w:rPr>
      </w:pPr>
      <w:r w:rsidRPr="003A7E34">
        <w:rPr>
          <w:rFonts w:ascii="Times New Roman" w:eastAsia="Times New Roman" w:hAnsi="Times New Roman" w:cs="Times New Roman"/>
          <w:noProof/>
          <w:lang w:val="en-US"/>
        </w:rPr>
        <w:t xml:space="preserve">Energy companies are required to save on energy savings agreements with the energy levels (itself or through other persons) of the introduction of cost-based energy efficiency measures in final energy </w:t>
      </w:r>
      <w:r w:rsidRPr="003A7E34">
        <w:rPr>
          <w:rFonts w:ascii="Times New Roman" w:eastAsia="Times New Roman" w:hAnsi="Times New Roman" w:cs="Times New Roman"/>
          <w:noProof/>
          <w:lang w:val="en-US"/>
        </w:rPr>
        <w:lastRenderedPageBreak/>
        <w:t>users facilities (facilities, equipment, transport). It foreesen that this measure will save about 6 TWh by the 2030.</w:t>
      </w:r>
    </w:p>
    <w:p w14:paraId="2980CE3C" w14:textId="77777777" w:rsidR="004367DB" w:rsidRPr="003A7E34" w:rsidRDefault="004367DB">
      <w:pPr>
        <w:rPr>
          <w:rFonts w:eastAsia="Times New Roman"/>
          <w:b/>
          <w:bCs/>
          <w:noProof/>
          <w:lang w:val="en-US"/>
        </w:rPr>
      </w:pPr>
    </w:p>
    <w:p w14:paraId="2800A804" w14:textId="755F6E7E" w:rsidR="66564572" w:rsidRPr="003A7E34" w:rsidRDefault="66564572">
      <w:pPr>
        <w:rPr>
          <w:rFonts w:eastAsia="Times New Roman"/>
          <w:noProof/>
          <w:lang w:val="en-US"/>
        </w:rPr>
      </w:pPr>
      <w:r w:rsidRPr="003A7E34">
        <w:rPr>
          <w:rFonts w:eastAsia="Times New Roman"/>
          <w:b/>
          <w:bCs/>
          <w:i/>
          <w:noProof/>
          <w:lang w:val="en-US"/>
        </w:rPr>
        <w:t>Replacement of boilers in household</w:t>
      </w:r>
      <w:r w:rsidRPr="003A7E34">
        <w:rPr>
          <w:rFonts w:eastAsia="Times New Roman"/>
          <w:b/>
          <w:bCs/>
          <w:noProof/>
          <w:lang w:val="en-US"/>
        </w:rPr>
        <w:t>s</w:t>
      </w:r>
      <w:r w:rsidR="004367DB" w:rsidRPr="003A7E34">
        <w:rPr>
          <w:rFonts w:eastAsia="Times New Roman"/>
          <w:b/>
          <w:bCs/>
          <w:noProof/>
          <w:lang w:val="en-US"/>
        </w:rPr>
        <w:t xml:space="preserve">. </w:t>
      </w:r>
      <w:r w:rsidRPr="003A7E34">
        <w:rPr>
          <w:rFonts w:eastAsia="Times New Roman"/>
          <w:noProof/>
          <w:lang w:val="en-US"/>
        </w:rPr>
        <w:t>The implementation of the measures provided for in the plan will achieve the main goal - by 2030 9000 biofuel boilers will be installed in households, other heat-utilizing energy efficiency measures will be installed, which will save at least 100 GWh per year or 5,5 TWh till 2030.</w:t>
      </w:r>
    </w:p>
    <w:p w14:paraId="5A5187D6" w14:textId="760C2EED" w:rsidR="66564572" w:rsidRPr="003A7E34" w:rsidRDefault="66564572">
      <w:pPr>
        <w:rPr>
          <w:rFonts w:eastAsia="Times New Roman"/>
          <w:noProof/>
          <w:lang w:val="en-US"/>
        </w:rPr>
      </w:pPr>
      <w:r w:rsidRPr="003A7E34">
        <w:rPr>
          <w:rFonts w:eastAsia="Times New Roman"/>
          <w:noProof/>
          <w:lang w:val="en-US"/>
        </w:rPr>
        <w:t>The measure will compensate up to 30%. the costs of households not connected to a centralized heat supply system would be incurred by replacing inefficiently using biomass individual boilers into individual boilers using more efficient technologies.</w:t>
      </w:r>
    </w:p>
    <w:p w14:paraId="4CC1D983" w14:textId="44598120" w:rsidR="66564572" w:rsidRPr="003A7E34" w:rsidRDefault="66564572">
      <w:pPr>
        <w:rPr>
          <w:rFonts w:eastAsia="Times New Roman"/>
          <w:noProof/>
          <w:lang w:val="en-US"/>
        </w:rPr>
      </w:pPr>
      <w:r w:rsidRPr="003A7E34">
        <w:rPr>
          <w:rFonts w:eastAsia="Times New Roman"/>
          <w:b/>
          <w:bCs/>
          <w:i/>
          <w:noProof/>
          <w:lang w:val="en-US"/>
        </w:rPr>
        <w:t>Support ennergy efficiency in high intensity industry</w:t>
      </w:r>
      <w:r w:rsidR="004367DB" w:rsidRPr="003A7E34">
        <w:rPr>
          <w:rFonts w:eastAsia="Times New Roman"/>
          <w:b/>
          <w:bCs/>
          <w:noProof/>
          <w:lang w:val="en-US"/>
        </w:rPr>
        <w:t xml:space="preserve">. </w:t>
      </w:r>
      <w:r w:rsidRPr="003A7E34">
        <w:rPr>
          <w:rFonts w:eastAsia="Times New Roman"/>
          <w:noProof/>
          <w:lang w:val="en-US"/>
        </w:rPr>
        <w:t>The support mechanism, which will stimulate the implementation of energy efficiency measures (recommended in energy efficiency audit reports) in all the largest Lithuanian industry companies. The companies will get compensation for implementation of energy efficiency measures. It is planned that around 5 TWh of energy will be saved.</w:t>
      </w:r>
    </w:p>
    <w:p w14:paraId="28B3C278" w14:textId="77777777" w:rsidR="008131AC" w:rsidRPr="003A7E34" w:rsidRDefault="008131AC" w:rsidP="00EA50D6">
      <w:pPr>
        <w:pStyle w:val="ListParagraph"/>
        <w:spacing w:line="240" w:lineRule="auto"/>
        <w:ind w:left="1560"/>
        <w:jc w:val="both"/>
        <w:rPr>
          <w:rFonts w:ascii="Times New Roman" w:eastAsia="Times New Roman" w:hAnsi="Times New Roman" w:cs="Times New Roman"/>
          <w:noProof/>
          <w:lang w:val="en-US"/>
        </w:rPr>
      </w:pPr>
    </w:p>
    <w:p w14:paraId="1060FF0F" w14:textId="5B79DA26" w:rsidR="008131AC" w:rsidRPr="003A7E34" w:rsidRDefault="00BD71C0"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Long-term </w:t>
      </w:r>
      <w:r w:rsidRPr="003A7E34">
        <w:rPr>
          <w:rFonts w:ascii="Times New Roman" w:eastAsia="Times New Roman" w:hAnsi="Times New Roman" w:cs="Times New Roman"/>
          <w:b/>
          <w:bCs/>
          <w:i/>
          <w:iCs/>
          <w:noProof/>
          <w:lang w:val="en-US"/>
        </w:rPr>
        <w:t>renovation</w:t>
      </w:r>
      <w:r w:rsidRPr="003A7E34">
        <w:rPr>
          <w:rFonts w:ascii="Times New Roman" w:eastAsia="Times New Roman" w:hAnsi="Times New Roman" w:cs="Times New Roman"/>
          <w:noProof/>
          <w:lang w:val="en-US"/>
        </w:rPr>
        <w:t xml:space="preserve"> strategy </w:t>
      </w:r>
      <w:r w:rsidRPr="003A7E34">
        <w:rPr>
          <w:rFonts w:ascii="Times New Roman" w:eastAsia="Times New Roman" w:hAnsi="Times New Roman" w:cs="Times New Roman"/>
          <w:b/>
          <w:bCs/>
          <w:i/>
          <w:iCs/>
          <w:noProof/>
          <w:lang w:val="en-US"/>
        </w:rPr>
        <w:t>to support</w:t>
      </w:r>
      <w:r w:rsidRPr="003A7E34">
        <w:rPr>
          <w:rFonts w:ascii="Times New Roman" w:eastAsia="Times New Roman" w:hAnsi="Times New Roman" w:cs="Times New Roman"/>
          <w:noProof/>
          <w:lang w:val="en-US"/>
        </w:rPr>
        <w:t xml:space="preserve"> the renovation of the national stock of residential and non-residential buildings, both public and private</w:t>
      </w:r>
      <w:r w:rsidRPr="003A7E34">
        <w:rPr>
          <w:rFonts w:ascii="Times New Roman" w:eastAsia="Times New Roman" w:hAnsi="Times New Roman" w:cs="Times New Roman"/>
          <w:noProof/>
          <w:vertAlign w:val="superscript"/>
          <w:lang w:val="en-US"/>
        </w:rPr>
        <w:footnoteReference w:id="22"/>
      </w:r>
      <w:r w:rsidRPr="003A7E34">
        <w:rPr>
          <w:rFonts w:ascii="Times New Roman" w:eastAsia="Times New Roman" w:hAnsi="Times New Roman" w:cs="Times New Roman"/>
          <w:noProof/>
          <w:lang w:val="en-US"/>
        </w:rPr>
        <w:t xml:space="preserve">, including policies, measures </w:t>
      </w:r>
      <w:r w:rsidRPr="003A7E34">
        <w:rPr>
          <w:rFonts w:ascii="Times New Roman" w:eastAsia="Times New Roman" w:hAnsi="Times New Roman" w:cs="Times New Roman"/>
          <w:b/>
          <w:bCs/>
          <w:i/>
          <w:iCs/>
          <w:noProof/>
          <w:lang w:val="en-US"/>
        </w:rPr>
        <w:t>and actions</w:t>
      </w:r>
      <w:r w:rsidRPr="003A7E34">
        <w:rPr>
          <w:rFonts w:ascii="Times New Roman" w:eastAsia="Times New Roman" w:hAnsi="Times New Roman" w:cs="Times New Roman"/>
          <w:noProof/>
          <w:lang w:val="en-US"/>
        </w:rPr>
        <w:t xml:space="preserve"> to stimulate cost-effective deep </w:t>
      </w:r>
      <w:r w:rsidRPr="003A7E34">
        <w:rPr>
          <w:rFonts w:ascii="Times New Roman" w:eastAsia="Times New Roman" w:hAnsi="Times New Roman" w:cs="Times New Roman"/>
          <w:b/>
          <w:bCs/>
          <w:i/>
          <w:iCs/>
          <w:noProof/>
          <w:lang w:val="en-US"/>
        </w:rPr>
        <w:t>renovation and policies and actions to target the worst performing segments of the national building stock, in accordance with Article 2a of Directive 2010/31/EU</w:t>
      </w:r>
    </w:p>
    <w:p w14:paraId="35D26024" w14:textId="2ECB9C41" w:rsidR="00173625" w:rsidRPr="003A7E34" w:rsidRDefault="372247B6">
      <w:pPr>
        <w:rPr>
          <w:rFonts w:eastAsia="Times New Roman"/>
          <w:lang w:val="en-US"/>
        </w:rPr>
      </w:pPr>
      <w:r w:rsidRPr="003A7E34">
        <w:rPr>
          <w:rFonts w:eastAsia="Times New Roman"/>
          <w:noProof/>
          <w:lang w:val="en-US"/>
        </w:rPr>
        <w:t>The 2020 target set in Programme of Public building renovation is to renovate area of 700 000 m</w:t>
      </w:r>
      <w:r w:rsidRPr="003A7E34">
        <w:rPr>
          <w:rFonts w:eastAsia="Times New Roman"/>
          <w:noProof/>
          <w:vertAlign w:val="superscript"/>
          <w:lang w:val="en-US"/>
        </w:rPr>
        <w:t xml:space="preserve">2 </w:t>
      </w:r>
      <w:r w:rsidRPr="003A7E34">
        <w:rPr>
          <w:rFonts w:eastAsia="Times New Roman"/>
          <w:noProof/>
          <w:lang w:val="en-US"/>
        </w:rPr>
        <w:t>of the public buildings by saving 60 GWh of the annual primary energy and to reduce GHG emissions by 14 ktCO</w:t>
      </w:r>
      <w:r w:rsidRPr="003A7E34">
        <w:rPr>
          <w:rFonts w:eastAsia="Times New Roman"/>
          <w:noProof/>
          <w:vertAlign w:val="subscript"/>
          <w:lang w:val="en-US"/>
        </w:rPr>
        <w:t>2</w:t>
      </w:r>
      <w:r w:rsidRPr="003A7E34">
        <w:rPr>
          <w:rFonts w:eastAsia="Times New Roman"/>
          <w:noProof/>
          <w:lang w:val="en-US"/>
        </w:rPr>
        <w:t>eq. It is planned to renovate public buildings by reaching C class of building energy performance. At present there are no renovation and modernization strategies approved beyound</w:t>
      </w:r>
      <w:r w:rsidR="00D871C8" w:rsidRPr="003A7E34">
        <w:rPr>
          <w:rFonts w:eastAsia="Times New Roman"/>
          <w:noProof/>
          <w:lang w:val="en-US"/>
        </w:rPr>
        <w:t xml:space="preserve"> </w:t>
      </w:r>
      <w:r w:rsidRPr="003A7E34">
        <w:rPr>
          <w:rFonts w:eastAsia="Times New Roman"/>
          <w:noProof/>
          <w:lang w:val="en-US"/>
        </w:rPr>
        <w:t>2020. However,</w:t>
      </w:r>
      <w:r w:rsidRPr="003A7E34">
        <w:rPr>
          <w:rFonts w:eastAsia="Times New Roman"/>
          <w:lang w:val="en-US"/>
        </w:rPr>
        <w:t xml:space="preserve"> in Recommendations on the main Lithuania’s Republic energy strategic directions, approved by the Order No 1-1314 of Minister of Energy on 24 November 2016, it is foreseen to incentivize comprehensive modernization of multi-apartment and public buildings (priority giving for the quartered renovation) and to renovate 25% of buildings stock till 2020 (2.6-3 TWh accumulative saving of energy) and 50% of buildings stock till 2030 (5-6 TWh accumulative saving of energy).</w:t>
      </w:r>
    </w:p>
    <w:p w14:paraId="62BF243C" w14:textId="1ACF507B" w:rsidR="00173625" w:rsidRPr="003A7E34" w:rsidRDefault="00173625" w:rsidP="00EA50D6">
      <w:pPr>
        <w:spacing w:before="0" w:after="0"/>
        <w:rPr>
          <w:rFonts w:eastAsia="Times New Roman"/>
          <w:noProof/>
          <w:lang w:val="en-US"/>
        </w:rPr>
      </w:pPr>
      <w:r w:rsidRPr="003A7E34">
        <w:rPr>
          <w:rFonts w:eastAsia="Times New Roman"/>
          <w:noProof/>
          <w:lang w:val="en-US"/>
        </w:rPr>
        <w:t>According to the Building Technical Regulation STR 2.01.02:2016 „Design and Certification of Energy Performance of buildings“ additional rating definitions of low energy buildings, which are applicable to buildings of energy efficiency class B, A and A+, and nearly zero energy buildings as A++ class buildings are introduced. All new buildings starting from 2021 shall fulfill</w:t>
      </w:r>
      <w:r w:rsidR="00D871C8" w:rsidRPr="003A7E34">
        <w:rPr>
          <w:rFonts w:eastAsia="Times New Roman"/>
          <w:noProof/>
          <w:lang w:val="en-US"/>
        </w:rPr>
        <w:t xml:space="preserve"> </w:t>
      </w:r>
      <w:r w:rsidRPr="003A7E34">
        <w:rPr>
          <w:rFonts w:eastAsia="Times New Roman"/>
          <w:noProof/>
          <w:lang w:val="en-US"/>
        </w:rPr>
        <w:t>nearly zero energy buildings requirements. All new public buildings starting from 2019 shall fulfill</w:t>
      </w:r>
      <w:r w:rsidR="00D871C8" w:rsidRPr="003A7E34">
        <w:rPr>
          <w:rFonts w:eastAsia="Times New Roman"/>
          <w:noProof/>
          <w:lang w:val="en-US"/>
        </w:rPr>
        <w:t xml:space="preserve"> </w:t>
      </w:r>
      <w:r w:rsidRPr="003A7E34">
        <w:rPr>
          <w:rFonts w:eastAsia="Times New Roman"/>
          <w:noProof/>
          <w:lang w:val="en-US"/>
        </w:rPr>
        <w:t>nearly zero energy buildings requirements. The energy performance requirements for the energy performance class are not obligatory for existing buildings, but it is planned to add the option of energy efficiency class A in the Investment plans of the Modernization Projects of Multi-apartment Buildings.</w:t>
      </w:r>
    </w:p>
    <w:p w14:paraId="59DE05DC" w14:textId="77777777" w:rsidR="00173625" w:rsidRPr="003A7E34" w:rsidRDefault="00173625" w:rsidP="00EA50D6">
      <w:pPr>
        <w:spacing w:before="0" w:after="0"/>
        <w:rPr>
          <w:rFonts w:eastAsia="Times New Roman"/>
          <w:noProof/>
          <w:lang w:val="en-US"/>
        </w:rPr>
      </w:pPr>
      <w:r w:rsidRPr="003A7E34">
        <w:rPr>
          <w:rFonts w:eastAsia="Times New Roman"/>
          <w:noProof/>
          <w:lang w:val="en-US"/>
        </w:rPr>
        <w:t xml:space="preserve">In aiming for better maintenance of the existing housing (public) stock and insurance of its longer exploitation period existing legislation has to provide favourable conditions for modernization and maintenance of the existing buildings stock and to encourage the private sector and also various financial institutions to participate in these activities. </w:t>
      </w:r>
    </w:p>
    <w:p w14:paraId="5E2468B9" w14:textId="620D007E" w:rsidR="00173625" w:rsidRPr="003A7E34" w:rsidRDefault="39F1765D" w:rsidP="39F1765D">
      <w:pPr>
        <w:rPr>
          <w:rFonts w:eastAsia="Times New Roman"/>
          <w:noProof/>
          <w:lang w:val="en-US"/>
        </w:rPr>
      </w:pPr>
      <w:r w:rsidRPr="003A7E34">
        <w:rPr>
          <w:rFonts w:eastAsia="Times New Roman"/>
          <w:noProof/>
          <w:lang w:val="en-US"/>
        </w:rPr>
        <w:t xml:space="preserve">The Ministry of Environment is responsible and preparing draft </w:t>
      </w:r>
      <w:r w:rsidRPr="003A7E34">
        <w:rPr>
          <w:rFonts w:eastAsia="Times New Roman"/>
          <w:b/>
          <w:noProof/>
          <w:lang w:val="en-US"/>
        </w:rPr>
        <w:t>Comprehensive Plan of Territory of the Republic of Lithuania for 2030</w:t>
      </w:r>
      <w:r w:rsidRPr="003A7E34">
        <w:rPr>
          <w:rFonts w:eastAsia="Times New Roman"/>
          <w:noProof/>
          <w:lang w:val="en-US"/>
        </w:rPr>
        <w:t xml:space="preserve"> </w:t>
      </w:r>
      <w:r w:rsidRPr="003A7E34">
        <w:rPr>
          <w:rFonts w:eastAsia="Times New Roman"/>
          <w:b/>
          <w:noProof/>
          <w:lang w:val="en-US"/>
        </w:rPr>
        <w:t>and guidelines for 2050</w:t>
      </w:r>
      <w:r w:rsidRPr="003A7E34">
        <w:rPr>
          <w:rFonts w:eastAsia="Times New Roman"/>
          <w:noProof/>
          <w:lang w:val="en-US"/>
        </w:rPr>
        <w:t xml:space="preserve">. The main Plan’s goals to promote sustainable </w:t>
      </w:r>
      <w:r w:rsidRPr="003A7E34">
        <w:rPr>
          <w:rFonts w:eastAsia="Times New Roman"/>
          <w:noProof/>
          <w:lang w:val="en-US"/>
        </w:rPr>
        <w:lastRenderedPageBreak/>
        <w:t>low carbon, climate resilient Lithuania‘s economy development will ensure an efficient use, maintenance, renovation and modernization of existing housing and public buildings, as well as efficient energy performance. The conditions of the existing housing stock and public buildings will improve, with its value being preserved and increased where possible, the dwellings will be adjusted to the new needs of households. Using legal, public awareness raising and educational measures, awareness of the housing owner and the capacity to duly manage and maintain their real estate will be developed.</w:t>
      </w:r>
    </w:p>
    <w:p w14:paraId="3B468917" w14:textId="77777777" w:rsidR="00173625" w:rsidRPr="003A7E34" w:rsidRDefault="00173625">
      <w:pPr>
        <w:rPr>
          <w:rFonts w:eastAsia="Times New Roman"/>
          <w:noProof/>
          <w:lang w:val="en-US"/>
        </w:rPr>
      </w:pPr>
    </w:p>
    <w:p w14:paraId="56AEF781" w14:textId="74258BBB" w:rsidR="00BD71C0" w:rsidRPr="003A7E34" w:rsidRDefault="00BD71C0"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Description of policy and measures to promote energy services in the public sector and measures to remove regulatory and non-regulatory barriers that impede the uptake of energy performance contracting and other energy efficiency service models</w:t>
      </w:r>
      <w:r w:rsidRPr="003A7E34">
        <w:rPr>
          <w:rFonts w:ascii="Times New Roman" w:eastAsia="Times New Roman" w:hAnsi="Times New Roman" w:cs="Times New Roman"/>
          <w:noProof/>
          <w:vertAlign w:val="superscript"/>
          <w:lang w:val="en-US"/>
        </w:rPr>
        <w:footnoteReference w:id="23"/>
      </w:r>
    </w:p>
    <w:p w14:paraId="0D1CF588" w14:textId="6E1103B3" w:rsidR="7A88BD29" w:rsidRPr="003A7E34" w:rsidRDefault="7A88BD29" w:rsidP="009302E5">
      <w:pPr>
        <w:ind w:firstLine="567"/>
        <w:rPr>
          <w:rFonts w:eastAsia="Times New Roman"/>
          <w:noProof/>
          <w:lang w:val="en-US"/>
        </w:rPr>
      </w:pPr>
      <w:r w:rsidRPr="003A7E34">
        <w:rPr>
          <w:rFonts w:eastAsia="Times New Roman"/>
          <w:noProof/>
          <w:lang w:val="en-US"/>
        </w:rPr>
        <w:t>Barriers to regulation that may restrict energy efficiency in Lithuania:</w:t>
      </w:r>
    </w:p>
    <w:p w14:paraId="61555622" w14:textId="77777777" w:rsidR="009302E5" w:rsidRPr="003A7E34" w:rsidRDefault="7A88BD29" w:rsidP="00C42AAE">
      <w:pPr>
        <w:pStyle w:val="ListParagraph"/>
        <w:numPr>
          <w:ilvl w:val="0"/>
          <w:numId w:val="38"/>
        </w:numPr>
        <w:jc w:val="both"/>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Every year, state or municipal budget institutions (in other words, actual users of public buildings) receive funds from the budget. Appropriations from the state or local budgets are transferred to the accounts of those bodies (namely wages) or suppliers (namely specific expenses), within the limits of the annual appropriations or other programs implemented limits. The State Treasury Department transfers appropriations to state budget institutions directly to suppliers paid for goods, works and services provided to budgetary institutions. Thus, in most cases, state or municipal budgetary institutions have no right to use the annual appropriations freely, and unused appropriations must be returned to state or municipal budgets. In this situation, actual users of public buildings are not financially motivated to participate in contracts using energy performance contracts.</w:t>
      </w:r>
    </w:p>
    <w:p w14:paraId="317826D0" w14:textId="15887D5A" w:rsidR="7A88BD29" w:rsidRPr="003A7E34" w:rsidRDefault="7A88BD29" w:rsidP="00C42AAE">
      <w:pPr>
        <w:pStyle w:val="ListParagraph"/>
        <w:numPr>
          <w:ilvl w:val="0"/>
          <w:numId w:val="37"/>
        </w:numPr>
        <w:jc w:val="both"/>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The Law on Public Procurement is not suitable for concluding long-term energy efficiency service contracts. Pursuant to Article 18 of the Law on Public Procurement, the term of a procurement contract may not exceed 3 years, except for exceptions regulated by specific legal acts. However, the agreement on energy efficiency (Eng. Energy performance contract) concluded on the basis of public-private partnership requires a long and complex procedures, the Public Procurement Office on the award of the contract extension to be regarded as an exceptional measure, as well as energy efficiency projects (public renovation of buildings, renovation of street lighting in the area) are not included in current or long-term programs approved by the Public investment program, so there is currently no legal preconditions to create the energy efficiency of procurement services for more than 3 years.</w:t>
      </w:r>
    </w:p>
    <w:p w14:paraId="374C36C3" w14:textId="19813ADD" w:rsidR="7A88BD29" w:rsidRPr="003A7E34" w:rsidRDefault="7A88BD29" w:rsidP="00C42AAE">
      <w:pPr>
        <w:pStyle w:val="ListParagraph"/>
        <w:numPr>
          <w:ilvl w:val="0"/>
          <w:numId w:val="37"/>
        </w:numPr>
        <w:jc w:val="both"/>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The Law on Public Procurement complicates the procurement of several objects (goods, works, services), the number of potential participants in the joint procurement is limited. Contracting authorities intending to participate in the purchase of several items may have to prove that it was not possible to prevent the purchase of several items. The current legal regulation does not contain a single definition of a universal or public procurement contract for energy efficiency.</w:t>
      </w:r>
    </w:p>
    <w:p w14:paraId="66FCCC17" w14:textId="77777777" w:rsidR="009D01A9" w:rsidRPr="003A7E34" w:rsidRDefault="009D01A9" w:rsidP="00EA50D6">
      <w:pPr>
        <w:spacing w:before="0" w:after="160" w:line="259" w:lineRule="auto"/>
        <w:jc w:val="left"/>
        <w:rPr>
          <w:rFonts w:eastAsia="Times New Roman"/>
          <w:noProof/>
          <w:lang w:val="en-US"/>
        </w:rPr>
      </w:pPr>
    </w:p>
    <w:p w14:paraId="22EDBB22" w14:textId="2E71FBFA" w:rsidR="00BD71C0" w:rsidRPr="003A7E34" w:rsidRDefault="00BD71C0"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Other planned policies, measures and programmes to achieve the indicative national energy efficiency </w:t>
      </w:r>
      <w:r w:rsidRPr="003A7E34">
        <w:rPr>
          <w:rFonts w:ascii="Times New Roman" w:eastAsia="Times New Roman" w:hAnsi="Times New Roman" w:cs="Times New Roman"/>
          <w:b/>
          <w:bCs/>
          <w:i/>
          <w:iCs/>
          <w:noProof/>
          <w:lang w:val="en-US"/>
        </w:rPr>
        <w:t>contributions</w:t>
      </w:r>
      <w:r w:rsidRPr="003A7E34">
        <w:rPr>
          <w:rFonts w:ascii="Times New Roman" w:eastAsia="Times New Roman" w:hAnsi="Times New Roman" w:cs="Times New Roman"/>
          <w:noProof/>
          <w:lang w:val="en-US"/>
        </w:rPr>
        <w:t xml:space="preserve"> for 2030 as well as other objectives referred to in point 2.2 (for example measures to promote the exemplary role of public buildings and energy-efficient </w:t>
      </w:r>
      <w:r w:rsidRPr="003A7E34">
        <w:rPr>
          <w:rFonts w:ascii="Times New Roman" w:eastAsia="Times New Roman" w:hAnsi="Times New Roman" w:cs="Times New Roman"/>
          <w:noProof/>
          <w:lang w:val="en-US"/>
        </w:rPr>
        <w:lastRenderedPageBreak/>
        <w:t>public procurement, measures to promote energy audits and energy management systems</w:t>
      </w:r>
      <w:r w:rsidRPr="003A7E34">
        <w:rPr>
          <w:rFonts w:ascii="Times New Roman" w:eastAsia="Times New Roman" w:hAnsi="Times New Roman" w:cs="Times New Roman"/>
          <w:noProof/>
          <w:vertAlign w:val="superscript"/>
          <w:lang w:val="en-US"/>
        </w:rPr>
        <w:footnoteReference w:id="24"/>
      </w:r>
      <w:r w:rsidRPr="003A7E34">
        <w:rPr>
          <w:rFonts w:ascii="Times New Roman" w:eastAsia="Times New Roman" w:hAnsi="Times New Roman" w:cs="Times New Roman"/>
          <w:noProof/>
          <w:lang w:val="en-US"/>
        </w:rPr>
        <w:t>, consumer information and training measures</w:t>
      </w:r>
      <w:r w:rsidRPr="003A7E34">
        <w:rPr>
          <w:rFonts w:ascii="Times New Roman" w:eastAsia="Times New Roman" w:hAnsi="Times New Roman" w:cs="Times New Roman"/>
          <w:noProof/>
          <w:vertAlign w:val="superscript"/>
          <w:lang w:val="en-US"/>
        </w:rPr>
        <w:footnoteReference w:id="25"/>
      </w:r>
      <w:r w:rsidRPr="003A7E34">
        <w:rPr>
          <w:rFonts w:ascii="Times New Roman" w:eastAsia="Times New Roman" w:hAnsi="Times New Roman" w:cs="Times New Roman"/>
          <w:noProof/>
          <w:lang w:val="en-US"/>
        </w:rPr>
        <w:t>, and other measures to promote energy efficiency</w:t>
      </w:r>
      <w:r w:rsidRPr="003A7E34">
        <w:rPr>
          <w:rFonts w:ascii="Times New Roman" w:eastAsia="Times New Roman" w:hAnsi="Times New Roman" w:cs="Times New Roman"/>
          <w:noProof/>
          <w:vertAlign w:val="superscript"/>
          <w:lang w:val="en-US"/>
        </w:rPr>
        <w:footnoteReference w:id="26"/>
      </w:r>
      <w:r w:rsidRPr="003A7E34">
        <w:rPr>
          <w:rFonts w:ascii="Times New Roman" w:eastAsia="Times New Roman" w:hAnsi="Times New Roman" w:cs="Times New Roman"/>
          <w:noProof/>
          <w:lang w:val="en-US"/>
        </w:rPr>
        <w:t>)</w:t>
      </w:r>
    </w:p>
    <w:p w14:paraId="65DC7564" w14:textId="19662A33" w:rsidR="008131AC" w:rsidRPr="003A7E34" w:rsidRDefault="372247B6">
      <w:pPr>
        <w:rPr>
          <w:rFonts w:eastAsia="Times New Roman"/>
          <w:noProof/>
          <w:lang w:val="en-US"/>
        </w:rPr>
      </w:pPr>
      <w:r w:rsidRPr="003A7E34">
        <w:rPr>
          <w:rFonts w:eastAsia="Times New Roman"/>
          <w:lang w:val="en-US"/>
        </w:rPr>
        <w:t>In order to achieve environmental</w:t>
      </w:r>
      <w:r w:rsidRPr="003A7E34">
        <w:rPr>
          <w:rFonts w:eastAsia="Times New Roman"/>
          <w:b/>
          <w:bCs/>
          <w:lang w:val="en-US"/>
        </w:rPr>
        <w:t xml:space="preserve"> </w:t>
      </w:r>
      <w:r w:rsidRPr="003A7E34">
        <w:rPr>
          <w:rFonts w:eastAsia="Times New Roman"/>
          <w:lang w:val="en-US"/>
        </w:rPr>
        <w:t xml:space="preserve">benefits, such as more accurate material ordering leading to less waste to landfill and </w:t>
      </w:r>
      <w:r w:rsidR="009D01A9" w:rsidRPr="003A7E34">
        <w:rPr>
          <w:rFonts w:eastAsia="Times New Roman"/>
          <w:lang w:val="en-US"/>
        </w:rPr>
        <w:t>optimized</w:t>
      </w:r>
      <w:r w:rsidRPr="003A7E34">
        <w:rPr>
          <w:rFonts w:eastAsia="Times New Roman"/>
          <w:lang w:val="en-US"/>
        </w:rPr>
        <w:t xml:space="preserve"> simulation of energy analysis leading to lower energy demands from the built environment, introduction, specification and use of Building Information Modelling (BIM) for public estate and public construction projects is planned.</w:t>
      </w:r>
    </w:p>
    <w:p w14:paraId="1530DF18" w14:textId="559079C8" w:rsidR="00BD71C0" w:rsidRPr="003A7E34" w:rsidRDefault="00BD71C0" w:rsidP="00C42AAE">
      <w:pPr>
        <w:pStyle w:val="ListParagraph"/>
        <w:numPr>
          <w:ilvl w:val="3"/>
          <w:numId w:val="21"/>
        </w:numPr>
        <w:spacing w:line="240" w:lineRule="auto"/>
        <w:ind w:left="1560" w:hanging="284"/>
        <w:jc w:val="both"/>
        <w:rPr>
          <w:rFonts w:ascii="Times New Roman" w:hAnsi="Times New Roman" w:cs="Times New Roman"/>
          <w:b/>
          <w:bCs/>
          <w:i/>
          <w:iCs/>
          <w:noProof/>
          <w:lang w:val="en-US"/>
        </w:rPr>
      </w:pPr>
      <w:r w:rsidRPr="003A7E34">
        <w:rPr>
          <w:rFonts w:ascii="Times New Roman" w:eastAsia="Times New Roman" w:hAnsi="Times New Roman" w:cs="Times New Roman"/>
          <w:b/>
          <w:bCs/>
          <w:i/>
          <w:iCs/>
          <w:noProof/>
          <w:lang w:val="en-US"/>
        </w:rPr>
        <w:t>Where applicable, a description of policies and measures to promote the role of local energy communities in contributing to the implementation of policies and measures in points i, ii, iii and iv</w:t>
      </w:r>
    </w:p>
    <w:p w14:paraId="2AF5B678" w14:textId="77777777" w:rsidR="00B441C9" w:rsidRPr="003A7E34" w:rsidRDefault="00B441C9" w:rsidP="00EA50D6">
      <w:pPr>
        <w:pStyle w:val="ListParagraph"/>
        <w:spacing w:after="0" w:line="240" w:lineRule="auto"/>
        <w:ind w:left="27"/>
        <w:contextualSpacing w:val="0"/>
        <w:jc w:val="both"/>
        <w:rPr>
          <w:rFonts w:ascii="Times New Roman" w:eastAsia="Times New Roman" w:hAnsi="Times New Roman" w:cs="Times New Roman"/>
          <w:noProof/>
          <w:lang w:val="en-US"/>
        </w:rPr>
      </w:pPr>
    </w:p>
    <w:p w14:paraId="33B8FE03" w14:textId="7BD4BA22" w:rsidR="006660C5" w:rsidRPr="003A7E34" w:rsidRDefault="39F1765D" w:rsidP="39F1765D">
      <w:pPr>
        <w:pStyle w:val="ListParagraph"/>
        <w:spacing w:after="0" w:line="240" w:lineRule="auto"/>
        <w:ind w:left="27"/>
        <w:contextualSpacing w:val="0"/>
        <w:jc w:val="both"/>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 xml:space="preserve">With the view to contribute to the achievement of the indicative national energy efficiency target for 2030 Lithuania is being implemented following measures financed from 2014-2020 EU structural funds: </w:t>
      </w:r>
    </w:p>
    <w:p w14:paraId="5AF59134" w14:textId="77777777" w:rsidR="006660C5" w:rsidRPr="003A7E34" w:rsidRDefault="006660C5" w:rsidP="00C42AAE">
      <w:pPr>
        <w:pStyle w:val="ListParagraph"/>
        <w:numPr>
          <w:ilvl w:val="0"/>
          <w:numId w:val="39"/>
        </w:numPr>
        <w:spacing w:after="0"/>
        <w:rPr>
          <w:rFonts w:ascii="Times New Roman" w:hAnsi="Times New Roman" w:cs="Times New Roman"/>
          <w:noProof/>
          <w:lang w:val="en-US"/>
        </w:rPr>
      </w:pPr>
      <w:r w:rsidRPr="003A7E34">
        <w:rPr>
          <w:rFonts w:ascii="Times New Roman" w:eastAsia="Times New Roman" w:hAnsi="Times New Roman" w:cs="Times New Roman"/>
          <w:noProof/>
          <w:lang w:val="en-US"/>
        </w:rPr>
        <w:t>“Renovation of public buildings belonged to central government“ – ~29 MEUR;</w:t>
      </w:r>
    </w:p>
    <w:p w14:paraId="19D0691C" w14:textId="51A029C0" w:rsidR="006660C5" w:rsidRPr="003A7E34" w:rsidRDefault="0077472D" w:rsidP="00C42AAE">
      <w:pPr>
        <w:pStyle w:val="ListParagraph"/>
        <w:numPr>
          <w:ilvl w:val="0"/>
          <w:numId w:val="39"/>
        </w:numPr>
        <w:spacing w:after="0"/>
        <w:rPr>
          <w:rFonts w:ascii="Times New Roman" w:hAnsi="Times New Roman" w:cs="Times New Roman"/>
          <w:noProof/>
          <w:lang w:val="en-US"/>
        </w:rPr>
      </w:pPr>
      <w:r w:rsidRPr="003A7E34">
        <w:rPr>
          <w:rFonts w:ascii="Times New Roman" w:eastAsia="Times New Roman" w:hAnsi="Times New Roman" w:cs="Times New Roman"/>
          <w:noProof/>
          <w:lang w:val="en-US"/>
        </w:rPr>
        <w:t>“</w:t>
      </w:r>
      <w:r w:rsidR="006660C5" w:rsidRPr="003A7E34">
        <w:rPr>
          <w:rFonts w:ascii="Times New Roman" w:eastAsia="Times New Roman" w:hAnsi="Times New Roman" w:cs="Times New Roman"/>
          <w:noProof/>
          <w:lang w:val="en-US"/>
        </w:rPr>
        <w:t>Replacement of old depreciated boilers in households with more efficient technologies using RES for heat energy“ – 32 MEUR;</w:t>
      </w:r>
    </w:p>
    <w:p w14:paraId="6B5D1C41" w14:textId="395DB6C5" w:rsidR="006660C5" w:rsidRPr="003A7E34" w:rsidRDefault="0077472D" w:rsidP="00C42AAE">
      <w:pPr>
        <w:pStyle w:val="ListParagraph"/>
        <w:numPr>
          <w:ilvl w:val="0"/>
          <w:numId w:val="39"/>
        </w:numPr>
        <w:spacing w:after="0"/>
        <w:rPr>
          <w:rFonts w:ascii="Times New Roman" w:hAnsi="Times New Roman" w:cs="Times New Roman"/>
          <w:noProof/>
          <w:lang w:val="en-US"/>
        </w:rPr>
      </w:pPr>
      <w:r w:rsidRPr="003A7E34">
        <w:rPr>
          <w:rFonts w:ascii="Times New Roman" w:eastAsia="Times New Roman" w:hAnsi="Times New Roman" w:cs="Times New Roman"/>
          <w:noProof/>
          <w:lang w:val="en-US"/>
        </w:rPr>
        <w:t>“</w:t>
      </w:r>
      <w:r w:rsidR="006660C5" w:rsidRPr="003A7E34">
        <w:rPr>
          <w:rFonts w:ascii="Times New Roman" w:eastAsia="Times New Roman" w:hAnsi="Times New Roman" w:cs="Times New Roman"/>
          <w:noProof/>
          <w:lang w:val="en-US"/>
        </w:rPr>
        <w:t>Modernization and development of heat distribution network“ – 69</w:t>
      </w:r>
      <w:r w:rsidR="009D01A9" w:rsidRPr="003A7E34">
        <w:rPr>
          <w:rFonts w:ascii="Times New Roman" w:eastAsia="Times New Roman" w:hAnsi="Times New Roman" w:cs="Times New Roman"/>
          <w:noProof/>
          <w:lang w:val="en-US"/>
        </w:rPr>
        <w:t>.</w:t>
      </w:r>
      <w:r w:rsidR="006660C5" w:rsidRPr="003A7E34">
        <w:rPr>
          <w:rFonts w:ascii="Times New Roman" w:eastAsia="Times New Roman" w:hAnsi="Times New Roman" w:cs="Times New Roman"/>
          <w:noProof/>
          <w:lang w:val="en-US"/>
        </w:rPr>
        <w:t>5 MEUR;</w:t>
      </w:r>
    </w:p>
    <w:p w14:paraId="6E11D595" w14:textId="2ADD25A8" w:rsidR="006660C5" w:rsidRPr="003A7E34" w:rsidRDefault="0077472D" w:rsidP="00C42AAE">
      <w:pPr>
        <w:pStyle w:val="ListParagraph"/>
        <w:numPr>
          <w:ilvl w:val="0"/>
          <w:numId w:val="39"/>
        </w:numPr>
        <w:spacing w:after="0"/>
        <w:rPr>
          <w:rFonts w:ascii="Times New Roman" w:hAnsi="Times New Roman" w:cs="Times New Roman"/>
          <w:noProof/>
          <w:lang w:val="en-US"/>
        </w:rPr>
      </w:pPr>
      <w:r w:rsidRPr="003A7E34">
        <w:rPr>
          <w:rFonts w:ascii="Times New Roman" w:eastAsia="Times New Roman" w:hAnsi="Times New Roman" w:cs="Times New Roman"/>
          <w:noProof/>
          <w:lang w:val="en-US"/>
        </w:rPr>
        <w:t>“</w:t>
      </w:r>
      <w:r w:rsidR="372247B6" w:rsidRPr="003A7E34">
        <w:rPr>
          <w:rFonts w:ascii="Times New Roman" w:eastAsia="Times New Roman" w:hAnsi="Times New Roman" w:cs="Times New Roman"/>
          <w:noProof/>
          <w:lang w:val="en-US"/>
        </w:rPr>
        <w:t>Modernization and development of electricity distribution network</w:t>
      </w:r>
      <w:r w:rsidRPr="003A7E34">
        <w:rPr>
          <w:rFonts w:ascii="Times New Roman" w:eastAsia="Times New Roman" w:hAnsi="Times New Roman" w:cs="Times New Roman"/>
          <w:noProof/>
          <w:lang w:val="en-US"/>
        </w:rPr>
        <w:t>”</w:t>
      </w:r>
      <w:r w:rsidR="372247B6" w:rsidRPr="003A7E34">
        <w:rPr>
          <w:rFonts w:ascii="Times New Roman" w:eastAsia="Times New Roman" w:hAnsi="Times New Roman" w:cs="Times New Roman"/>
          <w:lang w:val="en-US"/>
        </w:rPr>
        <w:t xml:space="preserve"> – 20</w:t>
      </w:r>
      <w:r w:rsidR="009D01A9" w:rsidRPr="003A7E34">
        <w:rPr>
          <w:rFonts w:ascii="Times New Roman" w:eastAsia="Times New Roman" w:hAnsi="Times New Roman" w:cs="Times New Roman"/>
          <w:lang w:val="en-US"/>
        </w:rPr>
        <w:t>.</w:t>
      </w:r>
      <w:r w:rsidR="372247B6" w:rsidRPr="003A7E34">
        <w:rPr>
          <w:rFonts w:ascii="Times New Roman" w:eastAsia="Times New Roman" w:hAnsi="Times New Roman" w:cs="Times New Roman"/>
          <w:lang w:val="en-US"/>
        </w:rPr>
        <w:t>3 MEUR.</w:t>
      </w:r>
    </w:p>
    <w:p w14:paraId="3A2CD089" w14:textId="77777777" w:rsidR="009D01A9" w:rsidRPr="003A7E34" w:rsidRDefault="009D01A9" w:rsidP="00EA50D6">
      <w:pPr>
        <w:pStyle w:val="ListParagraph"/>
        <w:spacing w:after="0" w:line="240" w:lineRule="auto"/>
        <w:ind w:left="27"/>
        <w:contextualSpacing w:val="0"/>
        <w:jc w:val="both"/>
        <w:rPr>
          <w:rFonts w:ascii="Times New Roman" w:eastAsia="Times New Roman" w:hAnsi="Times New Roman" w:cs="Times New Roman"/>
          <w:noProof/>
          <w:lang w:val="en-US"/>
        </w:rPr>
      </w:pPr>
    </w:p>
    <w:p w14:paraId="0B573F34" w14:textId="1B44D1AE" w:rsidR="00B441C9" w:rsidRPr="003A7E34" w:rsidRDefault="372247B6" w:rsidP="00EA50D6">
      <w:pPr>
        <w:pStyle w:val="ListParagraph"/>
        <w:spacing w:after="0" w:line="240" w:lineRule="auto"/>
        <w:ind w:left="27"/>
        <w:contextualSpacing w:val="0"/>
        <w:jc w:val="both"/>
        <w:rPr>
          <w:rFonts w:ascii="Times New Roman" w:eastAsia="Times New Roman" w:hAnsi="Times New Roman" w:cs="Times New Roman"/>
          <w:lang w:val="en-US"/>
        </w:rPr>
      </w:pPr>
      <w:r w:rsidRPr="003A7E34">
        <w:rPr>
          <w:rFonts w:ascii="Times New Roman" w:eastAsia="Times New Roman" w:hAnsi="Times New Roman" w:cs="Times New Roman"/>
          <w:noProof/>
          <w:lang w:val="en-US"/>
        </w:rPr>
        <w:t xml:space="preserve">Additionally, in 2015 Lithuania established Energy Efficiency Fund, which </w:t>
      </w:r>
      <w:r w:rsidRPr="003A7E34">
        <w:rPr>
          <w:rFonts w:ascii="Times New Roman" w:eastAsia="Times New Roman" w:hAnsi="Times New Roman" w:cs="Times New Roman"/>
          <w:lang w:val="en-US"/>
        </w:rPr>
        <w:t>will seek to encourage investment in energy efficiency projects using the following financing tools: loans for the modernization of central government buildings and guarantees for loans from commercial banks for the modernization of street lighting projects. Fund manages 79,65 million Euro.</w:t>
      </w:r>
    </w:p>
    <w:p w14:paraId="16BB8A65" w14:textId="4B85F683" w:rsidR="006660C5" w:rsidRPr="003A7E34" w:rsidRDefault="372247B6" w:rsidP="00EA50D6">
      <w:pPr>
        <w:pStyle w:val="ListParagraph"/>
        <w:spacing w:after="0" w:line="240" w:lineRule="auto"/>
        <w:ind w:left="27"/>
        <w:contextualSpacing w:val="0"/>
        <w:jc w:val="both"/>
        <w:rPr>
          <w:rFonts w:ascii="Times New Roman" w:eastAsia="Times New Roman" w:hAnsi="Times New Roman" w:cs="Times New Roman"/>
          <w:lang w:val="en-US"/>
        </w:rPr>
      </w:pPr>
      <w:r w:rsidRPr="003A7E34">
        <w:rPr>
          <w:rFonts w:ascii="Times New Roman" w:eastAsia="Times New Roman" w:hAnsi="Times New Roman" w:cs="Times New Roman"/>
          <w:lang w:val="en-US"/>
        </w:rPr>
        <w:t xml:space="preserve">It is also planned to invest about 40 MEUR </w:t>
      </w:r>
      <w:r w:rsidR="00A70D9B" w:rsidRPr="003A7E34">
        <w:rPr>
          <w:rFonts w:ascii="Times New Roman" w:eastAsia="Times New Roman" w:hAnsi="Times New Roman" w:cs="Times New Roman"/>
          <w:lang w:val="en-US"/>
        </w:rPr>
        <w:t xml:space="preserve">the </w:t>
      </w:r>
      <w:r w:rsidRPr="003A7E34">
        <w:rPr>
          <w:rFonts w:ascii="Times New Roman" w:eastAsia="Times New Roman" w:hAnsi="Times New Roman" w:cs="Times New Roman"/>
          <w:lang w:val="en-US"/>
        </w:rPr>
        <w:t>EU structural funds to smart metering projects being implemented at the level of final consumers.</w:t>
      </w:r>
    </w:p>
    <w:p w14:paraId="7643C2CC" w14:textId="77777777" w:rsidR="00B441C9" w:rsidRPr="003A7E34" w:rsidRDefault="00B441C9" w:rsidP="00EA50D6">
      <w:pPr>
        <w:pStyle w:val="ListParagraph"/>
        <w:spacing w:after="0" w:line="240" w:lineRule="auto"/>
        <w:ind w:left="27"/>
        <w:contextualSpacing w:val="0"/>
        <w:jc w:val="both"/>
        <w:rPr>
          <w:rFonts w:ascii="Times New Roman" w:eastAsia="Times New Roman" w:hAnsi="Times New Roman" w:cs="Times New Roman"/>
          <w:lang w:val="en-US"/>
        </w:rPr>
      </w:pPr>
    </w:p>
    <w:p w14:paraId="0EEB6A19" w14:textId="77ABD61E" w:rsidR="00BD71C0" w:rsidRPr="003A7E34" w:rsidRDefault="00BD71C0"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Description of measures to develop measures to utilise energy efficiency potentials of gas and electricity infrastructure</w:t>
      </w:r>
      <w:r w:rsidRPr="003A7E34">
        <w:rPr>
          <w:rFonts w:ascii="Times New Roman" w:eastAsia="Times New Roman" w:hAnsi="Times New Roman" w:cs="Times New Roman"/>
          <w:noProof/>
          <w:vertAlign w:val="superscript"/>
          <w:lang w:val="en-US"/>
        </w:rPr>
        <w:footnoteReference w:id="27"/>
      </w:r>
    </w:p>
    <w:p w14:paraId="1642451F" w14:textId="19DC2718" w:rsidR="008131AC" w:rsidRPr="003A7E34" w:rsidRDefault="3D9A4349" w:rsidP="3D9A4349">
      <w:pPr>
        <w:rPr>
          <w:rFonts w:eastAsia="Times New Roman"/>
          <w:noProof/>
          <w:lang w:val="en-US"/>
        </w:rPr>
      </w:pPr>
      <w:r w:rsidRPr="003A7E34">
        <w:rPr>
          <w:rFonts w:eastAsia="Times New Roman"/>
          <w:noProof/>
          <w:lang w:val="en-US"/>
        </w:rPr>
        <w:t>This part to be defined in the final version of the Plan.</w:t>
      </w:r>
    </w:p>
    <w:p w14:paraId="7851F468" w14:textId="0762726F" w:rsidR="00BD71C0" w:rsidRPr="003A7E34" w:rsidRDefault="00BD71C0"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Regional cooperation in this area, where applicable</w:t>
      </w:r>
    </w:p>
    <w:p w14:paraId="66CCBA54" w14:textId="0F15ABB4" w:rsidR="008131AC" w:rsidRPr="003A7E34" w:rsidRDefault="009720F1" w:rsidP="009D01A9">
      <w:pPr>
        <w:rPr>
          <w:rFonts w:eastAsia="Times New Roman"/>
          <w:noProof/>
          <w:lang w:val="en-US"/>
        </w:rPr>
      </w:pPr>
      <w:r w:rsidRPr="003A7E34">
        <w:rPr>
          <w:rFonts w:eastAsia="Times New Roman"/>
          <w:noProof/>
          <w:lang w:val="en-US"/>
        </w:rPr>
        <w:t>This part to be defined in the final version of the Plan.</w:t>
      </w:r>
    </w:p>
    <w:p w14:paraId="75C627FB" w14:textId="6A12CADA" w:rsidR="00BD71C0" w:rsidRPr="003A7E34" w:rsidRDefault="3D9A4349"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Financing measures, including Union support and the use of Union funds, in the area at national level</w:t>
      </w:r>
    </w:p>
    <w:p w14:paraId="45A472A0" w14:textId="09016378" w:rsidR="3D9A4349" w:rsidRPr="003A7E34" w:rsidRDefault="3D9A4349" w:rsidP="3D9A4349">
      <w:pPr>
        <w:rPr>
          <w:rFonts w:eastAsia="Times New Roman"/>
          <w:noProof/>
          <w:lang w:val="en-US"/>
        </w:rPr>
      </w:pPr>
      <w:r w:rsidRPr="003A7E34">
        <w:rPr>
          <w:rFonts w:eastAsia="Times New Roman"/>
          <w:noProof/>
          <w:lang w:val="en-US"/>
        </w:rPr>
        <w:t>This part to be defined in the final version of the Plan.</w:t>
      </w:r>
    </w:p>
    <w:p w14:paraId="6DFD08E6" w14:textId="77777777" w:rsidR="009D01A9" w:rsidRPr="003A7E34" w:rsidRDefault="009D01A9" w:rsidP="009D01A9">
      <w:pPr>
        <w:rPr>
          <w:noProof/>
          <w:lang w:val="en-US"/>
        </w:rPr>
      </w:pPr>
    </w:p>
    <w:p w14:paraId="3672A6F7" w14:textId="43CF44FD" w:rsidR="002434DA" w:rsidRPr="003A7E34" w:rsidRDefault="002434DA" w:rsidP="00EA50D6">
      <w:pPr>
        <w:spacing w:before="0" w:after="160" w:line="259" w:lineRule="auto"/>
        <w:jc w:val="left"/>
        <w:rPr>
          <w:rFonts w:eastAsia="Times New Roman"/>
          <w:noProof/>
          <w:lang w:val="en-US"/>
        </w:rPr>
      </w:pPr>
      <w:r w:rsidRPr="003A7E34">
        <w:rPr>
          <w:rFonts w:eastAsia="Times New Roman"/>
          <w:noProof/>
          <w:lang w:val="en-US"/>
        </w:rPr>
        <w:br w:type="page"/>
      </w:r>
    </w:p>
    <w:p w14:paraId="019682FE" w14:textId="77777777" w:rsidR="002F75C1" w:rsidRPr="003A7E34" w:rsidRDefault="002F75C1">
      <w:pPr>
        <w:rPr>
          <w:rFonts w:eastAsia="Times New Roman"/>
          <w:noProof/>
          <w:lang w:val="en-US"/>
        </w:rPr>
      </w:pPr>
    </w:p>
    <w:p w14:paraId="1959E374" w14:textId="69C6426D" w:rsidR="002F75C1" w:rsidRPr="003A7E34" w:rsidRDefault="002F75C1" w:rsidP="00C42AAE">
      <w:pPr>
        <w:pStyle w:val="Heading2"/>
        <w:numPr>
          <w:ilvl w:val="1"/>
          <w:numId w:val="21"/>
        </w:numPr>
        <w:ind w:left="0" w:right="113"/>
        <w:rPr>
          <w:rFonts w:cs="Times New Roman"/>
          <w:lang w:val="en-US"/>
        </w:rPr>
      </w:pPr>
      <w:bookmarkStart w:id="86" w:name="_Toc530405578"/>
      <w:bookmarkStart w:id="87" w:name="_Toc530411809"/>
      <w:bookmarkStart w:id="88" w:name="_Toc530414158"/>
      <w:r w:rsidRPr="003A7E34">
        <w:rPr>
          <w:rFonts w:cs="Times New Roman"/>
          <w:lang w:val="en-US"/>
        </w:rPr>
        <w:t>Dimension energy security</w:t>
      </w:r>
      <w:r w:rsidRPr="003A7E34">
        <w:rPr>
          <w:rFonts w:eastAsia="Times New Roman" w:cs="Times New Roman"/>
          <w:vertAlign w:val="superscript"/>
          <w:lang w:val="en-US"/>
        </w:rPr>
        <w:footnoteReference w:id="28"/>
      </w:r>
      <w:bookmarkEnd w:id="86"/>
      <w:bookmarkEnd w:id="87"/>
      <w:bookmarkEnd w:id="88"/>
      <w:r w:rsidRPr="003A7E34">
        <w:rPr>
          <w:rFonts w:eastAsia="Times New Roman" w:cs="Times New Roman"/>
          <w:lang w:val="en-US"/>
        </w:rPr>
        <w:t xml:space="preserve"> </w:t>
      </w:r>
    </w:p>
    <w:p w14:paraId="28778B6B" w14:textId="2F0039D1" w:rsidR="002F75C1" w:rsidRPr="003A7E34" w:rsidRDefault="002F75C1" w:rsidP="00C42AAE">
      <w:pPr>
        <w:pStyle w:val="ListParagraph"/>
        <w:numPr>
          <w:ilvl w:val="3"/>
          <w:numId w:val="21"/>
        </w:numPr>
        <w:spacing w:line="240" w:lineRule="auto"/>
        <w:ind w:left="0" w:right="113" w:hanging="284"/>
        <w:jc w:val="both"/>
        <w:rPr>
          <w:rFonts w:ascii="Times New Roman" w:hAnsi="Times New Roman" w:cs="Times New Roman"/>
          <w:noProof/>
          <w:vertAlign w:val="superscript"/>
          <w:lang w:val="en-US"/>
        </w:rPr>
      </w:pPr>
      <w:r w:rsidRPr="003A7E34">
        <w:rPr>
          <w:rFonts w:ascii="Times New Roman" w:eastAsia="Times New Roman" w:hAnsi="Times New Roman" w:cs="Times New Roman"/>
          <w:noProof/>
          <w:lang w:val="en-US"/>
        </w:rPr>
        <w:t xml:space="preserve">Policies and measures </w:t>
      </w:r>
      <w:r w:rsidRPr="003A7E34">
        <w:rPr>
          <w:rFonts w:ascii="Times New Roman" w:eastAsia="Times New Roman" w:hAnsi="Times New Roman" w:cs="Times New Roman"/>
          <w:b/>
          <w:bCs/>
          <w:i/>
          <w:iCs/>
          <w:noProof/>
          <w:lang w:val="en-US"/>
        </w:rPr>
        <w:t>related to the elements</w:t>
      </w:r>
      <w:r w:rsidRPr="003A7E34">
        <w:rPr>
          <w:rFonts w:ascii="Times New Roman" w:eastAsia="Times New Roman" w:hAnsi="Times New Roman" w:cs="Times New Roman"/>
          <w:noProof/>
          <w:lang w:val="en-US"/>
        </w:rPr>
        <w:t xml:space="preserve"> set out in point 2.3</w:t>
      </w:r>
      <w:r w:rsidRPr="003A7E34">
        <w:rPr>
          <w:rFonts w:ascii="Times New Roman" w:eastAsia="Times New Roman" w:hAnsi="Times New Roman" w:cs="Times New Roman"/>
          <w:noProof/>
          <w:vertAlign w:val="superscript"/>
          <w:lang w:val="en-US"/>
        </w:rPr>
        <w:footnoteReference w:id="29"/>
      </w:r>
    </w:p>
    <w:p w14:paraId="09DD1E4A" w14:textId="56F7C851" w:rsidR="3D2C8231" w:rsidRPr="003A7E34" w:rsidRDefault="3D9A4349" w:rsidP="3D2C8231">
      <w:pPr>
        <w:spacing w:after="0"/>
        <w:ind w:right="113"/>
        <w:rPr>
          <w:rFonts w:eastAsia="Times New Roman"/>
          <w:noProof/>
          <w:lang w:val="en-US"/>
        </w:rPr>
      </w:pPr>
      <w:r w:rsidRPr="003A7E34">
        <w:rPr>
          <w:rFonts w:eastAsia="Times New Roman"/>
          <w:noProof/>
          <w:lang w:val="en-US"/>
        </w:rPr>
        <w:t>Regarding policies and measures Lithuania will follow the objectives of the EU’s energy policy which are as follows:</w:t>
      </w:r>
    </w:p>
    <w:p w14:paraId="2B856BC8" w14:textId="076C20E9" w:rsidR="3D2C8231" w:rsidRPr="003A7E34" w:rsidRDefault="3D9A4349" w:rsidP="00C42AAE">
      <w:pPr>
        <w:pStyle w:val="ListParagraph"/>
        <w:numPr>
          <w:ilvl w:val="0"/>
          <w:numId w:val="7"/>
        </w:numPr>
        <w:spacing w:after="160" w:line="240" w:lineRule="auto"/>
        <w:ind w:left="0" w:right="113"/>
        <w:jc w:val="both"/>
        <w:rPr>
          <w:rFonts w:ascii="Times New Roman" w:hAnsi="Times New Roman" w:cs="Times New Roman"/>
          <w:noProof/>
          <w:lang w:val="en-US"/>
        </w:rPr>
      </w:pPr>
      <w:r w:rsidRPr="003A7E34">
        <w:rPr>
          <w:rFonts w:ascii="Times New Roman" w:eastAsia="Times New Roman" w:hAnsi="Times New Roman" w:cs="Times New Roman"/>
          <w:b/>
          <w:bCs/>
          <w:noProof/>
          <w:lang w:val="en-US"/>
        </w:rPr>
        <w:t>Completion of the EU’s internal energy market.</w:t>
      </w:r>
      <w:r w:rsidRPr="003A7E34">
        <w:rPr>
          <w:rFonts w:ascii="Times New Roman" w:eastAsia="Times New Roman" w:hAnsi="Times New Roman" w:cs="Times New Roman"/>
          <w:noProof/>
          <w:lang w:val="en-US"/>
        </w:rPr>
        <w:t xml:space="preserve"> After having been isolated from the EU’s internal energy market and networks for a long time, Lithuania supports the EU’s infrastructural, regulatory, and financial measures aimed at further integration into the EU’s internal energy market, while taking advantage of the benefits it offers in respect to increased energy security, competitiveness, and sustainable development.  A fully integrated and effectively functioning internal energy market of the EU is a priority objective of Lithuania.</w:t>
      </w:r>
    </w:p>
    <w:p w14:paraId="62BF6757" w14:textId="178AE20E" w:rsidR="3D2C8231" w:rsidRPr="003A7E34" w:rsidRDefault="3D9A4349" w:rsidP="00C42AAE">
      <w:pPr>
        <w:pStyle w:val="ListParagraph"/>
        <w:numPr>
          <w:ilvl w:val="0"/>
          <w:numId w:val="7"/>
        </w:numPr>
        <w:spacing w:after="160" w:line="240" w:lineRule="auto"/>
        <w:ind w:left="0" w:right="113"/>
        <w:jc w:val="both"/>
        <w:rPr>
          <w:rFonts w:ascii="Times New Roman" w:hAnsi="Times New Roman" w:cs="Times New Roman"/>
          <w:noProof/>
          <w:lang w:val="en-US"/>
        </w:rPr>
      </w:pPr>
      <w:r w:rsidRPr="003A7E34">
        <w:rPr>
          <w:rFonts w:ascii="Times New Roman" w:eastAsia="Times New Roman" w:hAnsi="Times New Roman" w:cs="Times New Roman"/>
          <w:b/>
          <w:bCs/>
          <w:noProof/>
          <w:lang w:val="en-US"/>
        </w:rPr>
        <w:t xml:space="preserve">Assurance of energy security in the Baltic region. </w:t>
      </w:r>
      <w:r w:rsidRPr="003A7E34">
        <w:rPr>
          <w:rFonts w:ascii="Times New Roman" w:eastAsia="Times New Roman" w:hAnsi="Times New Roman" w:cs="Times New Roman"/>
          <w:noProof/>
          <w:lang w:val="en-US"/>
        </w:rPr>
        <w:t>The aim will be to implement, as quickly and fully as possible, the provisions of the European Energy Security Strategy and to ensure that the results of the implementation of the measures of this Strategy are regularly reviewed at the EU level.</w:t>
      </w:r>
    </w:p>
    <w:p w14:paraId="4A890A7B" w14:textId="6889F7C0" w:rsidR="3D2C8231" w:rsidRPr="003A7E34" w:rsidRDefault="3D9A4349" w:rsidP="00C42AAE">
      <w:pPr>
        <w:pStyle w:val="ListParagraph"/>
        <w:numPr>
          <w:ilvl w:val="0"/>
          <w:numId w:val="7"/>
        </w:numPr>
        <w:spacing w:after="160" w:line="240" w:lineRule="auto"/>
        <w:ind w:left="0" w:right="113"/>
        <w:jc w:val="both"/>
        <w:rPr>
          <w:rFonts w:ascii="Times New Roman" w:hAnsi="Times New Roman" w:cs="Times New Roman"/>
          <w:noProof/>
          <w:lang w:val="en-US"/>
        </w:rPr>
      </w:pPr>
      <w:r w:rsidRPr="003A7E34">
        <w:rPr>
          <w:rFonts w:ascii="Times New Roman" w:eastAsia="Times New Roman" w:hAnsi="Times New Roman" w:cs="Times New Roman"/>
          <w:b/>
          <w:bCs/>
          <w:noProof/>
          <w:lang w:val="en-US"/>
        </w:rPr>
        <w:t xml:space="preserve">Implementation of the targets of the EU’s climate change and energy policy. </w:t>
      </w:r>
      <w:r w:rsidRPr="003A7E34">
        <w:rPr>
          <w:rFonts w:ascii="Times New Roman" w:eastAsia="Times New Roman" w:hAnsi="Times New Roman" w:cs="Times New Roman"/>
          <w:noProof/>
          <w:lang w:val="en-US"/>
        </w:rPr>
        <w:t>The balanced development of EU’s renewable energy sources and energy efficiency improvement will be encouraged. Obligations related to the development of local and renewable energy sources and energy efficiency improvement after 2020 shall be based on the burden sharing principle, which ensures the respective contribution of each EU Member State in the pursuance of the objectives relating to renewable energy sources and energy efficiency improvement on the EU level by 2030.</w:t>
      </w:r>
    </w:p>
    <w:p w14:paraId="5B1E2972" w14:textId="42ECCF5C" w:rsidR="3D2C8231" w:rsidRPr="003A7E34" w:rsidRDefault="3D9A4349" w:rsidP="00C42AAE">
      <w:pPr>
        <w:pStyle w:val="ListParagraph"/>
        <w:numPr>
          <w:ilvl w:val="0"/>
          <w:numId w:val="7"/>
        </w:numPr>
        <w:spacing w:after="160" w:line="240" w:lineRule="auto"/>
        <w:ind w:left="0" w:right="113"/>
        <w:jc w:val="both"/>
        <w:rPr>
          <w:rFonts w:ascii="Times New Roman" w:hAnsi="Times New Roman" w:cs="Times New Roman"/>
          <w:noProof/>
          <w:lang w:val="en-US"/>
        </w:rPr>
      </w:pPr>
      <w:r w:rsidRPr="003A7E34">
        <w:rPr>
          <w:rFonts w:ascii="Times New Roman" w:eastAsia="Times New Roman" w:hAnsi="Times New Roman" w:cs="Times New Roman"/>
          <w:b/>
          <w:bCs/>
          <w:noProof/>
          <w:lang w:val="en-US"/>
        </w:rPr>
        <w:t xml:space="preserve">Adequate EU’s long-term financing programming policy. </w:t>
      </w:r>
      <w:r w:rsidRPr="003A7E34">
        <w:rPr>
          <w:rFonts w:ascii="Times New Roman" w:eastAsia="Times New Roman" w:hAnsi="Times New Roman" w:cs="Times New Roman"/>
          <w:noProof/>
          <w:lang w:val="en-US"/>
        </w:rPr>
        <w:t xml:space="preserve">The aim will be to ensure the continuity of the financial instruments of the EU for energy infrastructure and decommissioning of the Ignalina </w:t>
      </w:r>
      <w:r w:rsidR="009D0B46" w:rsidRPr="003A7E34">
        <w:rPr>
          <w:rFonts w:ascii="Times New Roman" w:eastAsia="Times New Roman" w:hAnsi="Times New Roman" w:cs="Times New Roman"/>
          <w:noProof/>
          <w:lang w:val="en-US"/>
        </w:rPr>
        <w:t>NPP</w:t>
      </w:r>
      <w:r w:rsidRPr="003A7E34">
        <w:rPr>
          <w:rFonts w:ascii="Times New Roman" w:eastAsia="Times New Roman" w:hAnsi="Times New Roman" w:cs="Times New Roman"/>
          <w:noProof/>
          <w:lang w:val="en-US"/>
        </w:rPr>
        <w:t xml:space="preserve"> and adequate funding in order to alleviate the financial burden on Lithuanian consumers</w:t>
      </w:r>
    </w:p>
    <w:p w14:paraId="1985A991" w14:textId="3935EBD8" w:rsidR="3D2C8231" w:rsidRPr="003A7E34" w:rsidRDefault="5E230566" w:rsidP="5E230566">
      <w:pPr>
        <w:pStyle w:val="ListParagraph"/>
        <w:numPr>
          <w:ilvl w:val="0"/>
          <w:numId w:val="7"/>
        </w:numPr>
        <w:spacing w:before="120" w:after="120" w:line="240" w:lineRule="auto"/>
        <w:ind w:left="0" w:right="113"/>
        <w:contextualSpacing w:val="0"/>
        <w:jc w:val="both"/>
        <w:rPr>
          <w:rFonts w:ascii="Times New Roman" w:hAnsi="Times New Roman" w:cs="Times New Roman"/>
          <w:noProof/>
          <w:lang w:val="en-US"/>
        </w:rPr>
      </w:pPr>
      <w:r w:rsidRPr="003A7E34">
        <w:rPr>
          <w:rFonts w:ascii="Times New Roman" w:eastAsia="Times New Roman" w:hAnsi="Times New Roman" w:cs="Times New Roman"/>
          <w:b/>
          <w:bCs/>
          <w:noProof/>
          <w:lang w:val="en-US"/>
        </w:rPr>
        <w:t>Strengthening of the EU’s external energy policy.</w:t>
      </w:r>
      <w:r w:rsidRPr="003A7E34">
        <w:rPr>
          <w:rFonts w:ascii="Times New Roman" w:eastAsia="Times New Roman" w:hAnsi="Times New Roman" w:cs="Times New Roman"/>
          <w:noProof/>
          <w:lang w:val="en-US"/>
        </w:rPr>
        <w:t xml:space="preserve"> The strengthening of the EU’s external energy policy, coordinated actions of the EU Member States and their solidarity in cases of crises also enhance Lithuania’s security. Therefore, reinforced EU’s dialogue with the key energy resource suppliers, especially with the US, Canada, Norway, and Australia will also be pursued.</w:t>
      </w:r>
    </w:p>
    <w:p w14:paraId="0D2C5D25" w14:textId="50292613" w:rsidR="002F75C1" w:rsidRPr="003A7E34" w:rsidRDefault="5E230566" w:rsidP="5E230566">
      <w:pPr>
        <w:pStyle w:val="ListParagraph"/>
        <w:numPr>
          <w:ilvl w:val="3"/>
          <w:numId w:val="21"/>
        </w:numPr>
        <w:spacing w:before="120" w:after="120" w:line="240" w:lineRule="auto"/>
        <w:ind w:left="1560" w:hanging="284"/>
        <w:contextualSpacing w:val="0"/>
        <w:jc w:val="both"/>
        <w:rPr>
          <w:rFonts w:ascii="Times New Roman" w:hAnsi="Times New Roman" w:cs="Times New Roman"/>
          <w:noProof/>
          <w:lang w:val="en-US"/>
        </w:rPr>
      </w:pPr>
      <w:r w:rsidRPr="003A7E34">
        <w:rPr>
          <w:rFonts w:ascii="Times New Roman" w:eastAsia="Times New Roman" w:hAnsi="Times New Roman" w:cs="Times New Roman"/>
          <w:noProof/>
          <w:lang w:val="en-US"/>
        </w:rPr>
        <w:t>Regional cooperation in this area</w:t>
      </w:r>
    </w:p>
    <w:p w14:paraId="4DE448C5" w14:textId="36F66DAD" w:rsidR="3D2C8231" w:rsidRPr="003A7E34" w:rsidRDefault="5E230566" w:rsidP="5E230566">
      <w:pPr>
        <w:rPr>
          <w:rFonts w:eastAsia="Times New Roman"/>
          <w:noProof/>
          <w:lang w:val="en-US"/>
        </w:rPr>
      </w:pPr>
      <w:r w:rsidRPr="003A7E34">
        <w:rPr>
          <w:rFonts w:eastAsia="Times New Roman"/>
          <w:noProof/>
          <w:lang w:val="en-US"/>
        </w:rPr>
        <w:t xml:space="preserve"> Lithuania is participating in European Union BJRS platform which is represented by Baltics States. Currently process of the effective regional market for natural gas of the Baltic countries establishment is taking place. </w:t>
      </w:r>
    </w:p>
    <w:p w14:paraId="307D1F0E" w14:textId="5890DA05" w:rsidR="3D2C8231" w:rsidRPr="003A7E34" w:rsidRDefault="5E230566" w:rsidP="3D2C8231">
      <w:pPr>
        <w:rPr>
          <w:lang w:val="en-US"/>
        </w:rPr>
      </w:pPr>
      <w:r w:rsidRPr="003A7E34">
        <w:rPr>
          <w:lang w:val="en-US"/>
        </w:rPr>
        <w:t xml:space="preserve">After the Gas Interconnection Poland–Lithuania (GIPL), which will connect the Baltic states and Finland with the common gas market of the EU, is completed, it improves supply security and diversification in the region, increase regional market liquidity and competition among suppliers, and allow for more effective use of the liquefied natural gas (LNG) terminal in Klaipėda.  </w:t>
      </w:r>
    </w:p>
    <w:p w14:paraId="4CB96A5D" w14:textId="381E4920" w:rsidR="3D2C8231" w:rsidRPr="003A7E34" w:rsidRDefault="3D9A4349" w:rsidP="3D2C8231">
      <w:pPr>
        <w:rPr>
          <w:lang w:val="en-US"/>
        </w:rPr>
      </w:pPr>
      <w:r w:rsidRPr="003A7E34">
        <w:rPr>
          <w:lang w:val="en-US"/>
        </w:rPr>
        <w:t xml:space="preserve">The vital prerequisite for RES development is the assurance of the required adequacy of capacities of the Lithuanian energy system. Taking into consideration the required capacity, the state will ensure the availability of reservations and other system network services by creating an appropriate regulatory environment, while the responsibility for balancing will be borne by the RES-generated electricity producers </w:t>
      </w:r>
      <w:r w:rsidRPr="003A7E34">
        <w:rPr>
          <w:lang w:val="en-US"/>
        </w:rPr>
        <w:lastRenderedPageBreak/>
        <w:t xml:space="preserve">in line with the EU guidelines. Regional and international cooperation will be gradually promoted in order to reduce the costs of developing RES. </w:t>
      </w:r>
    </w:p>
    <w:p w14:paraId="7671F4B2" w14:textId="2B50AB5A" w:rsidR="00036B0C" w:rsidRPr="003A7E34" w:rsidRDefault="002F75C1"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Where applicable, financing measures in this area at national level, including Union support and the use of Union funds</w:t>
      </w:r>
    </w:p>
    <w:p w14:paraId="0BBB212E" w14:textId="09016378" w:rsidR="009D01A9" w:rsidRPr="003A7E34" w:rsidRDefault="3D2C8231" w:rsidP="3D2C8231">
      <w:pPr>
        <w:rPr>
          <w:rFonts w:eastAsia="Times New Roman"/>
          <w:noProof/>
          <w:lang w:val="en-US"/>
        </w:rPr>
      </w:pPr>
      <w:r w:rsidRPr="003A7E34">
        <w:rPr>
          <w:rFonts w:eastAsia="Times New Roman"/>
          <w:noProof/>
          <w:lang w:val="en-US"/>
        </w:rPr>
        <w:t>This part to be defined in the final version of the Plan.</w:t>
      </w:r>
    </w:p>
    <w:p w14:paraId="15D6D2DD" w14:textId="6A7577BE" w:rsidR="00701665" w:rsidRPr="003A7E34" w:rsidRDefault="00701665" w:rsidP="00C42AAE">
      <w:pPr>
        <w:pStyle w:val="ListParagraph"/>
        <w:numPr>
          <w:ilvl w:val="1"/>
          <w:numId w:val="21"/>
        </w:numPr>
        <w:rPr>
          <w:rFonts w:ascii="Times New Roman" w:hAnsi="Times New Roman" w:cs="Times New Roman"/>
          <w:b/>
          <w:bCs/>
          <w:sz w:val="24"/>
          <w:szCs w:val="24"/>
          <w:lang w:val="en-US"/>
        </w:rPr>
      </w:pPr>
      <w:bookmarkStart w:id="89" w:name="_Toc530405579"/>
      <w:bookmarkStart w:id="90" w:name="_Toc530411810"/>
      <w:bookmarkStart w:id="91" w:name="_Toc530414159"/>
      <w:r w:rsidRPr="003A7E34">
        <w:rPr>
          <w:rStyle w:val="Heading2Char"/>
          <w:rFonts w:cs="Times New Roman"/>
          <w:lang w:val="en-US"/>
        </w:rPr>
        <w:t>Dimension internal energy market</w:t>
      </w:r>
      <w:bookmarkEnd w:id="89"/>
      <w:bookmarkEnd w:id="90"/>
      <w:bookmarkEnd w:id="91"/>
      <w:r w:rsidRPr="003A7E34">
        <w:rPr>
          <w:rFonts w:ascii="Times New Roman" w:eastAsia="Times New Roman" w:hAnsi="Times New Roman" w:cs="Times New Roman"/>
          <w:sz w:val="24"/>
          <w:szCs w:val="24"/>
          <w:vertAlign w:val="superscript"/>
          <w:lang w:val="en-US"/>
        </w:rPr>
        <w:footnoteReference w:id="30"/>
      </w:r>
    </w:p>
    <w:p w14:paraId="6D64360F" w14:textId="7CF22E8C" w:rsidR="00701665" w:rsidRPr="003A7E34" w:rsidRDefault="00701665" w:rsidP="00C42AAE">
      <w:pPr>
        <w:pStyle w:val="Heading3"/>
        <w:numPr>
          <w:ilvl w:val="2"/>
          <w:numId w:val="21"/>
        </w:numPr>
        <w:rPr>
          <w:rFonts w:cs="Times New Roman"/>
          <w:noProof/>
          <w:lang w:val="en-US"/>
        </w:rPr>
      </w:pPr>
      <w:bookmarkStart w:id="92" w:name="_Toc530405580"/>
      <w:bookmarkStart w:id="93" w:name="_Toc530411811"/>
      <w:bookmarkStart w:id="94" w:name="_Toc530414160"/>
      <w:r w:rsidRPr="003A7E34">
        <w:rPr>
          <w:rFonts w:eastAsia="Times New Roman" w:cs="Times New Roman"/>
          <w:noProof/>
          <w:lang w:val="en-US"/>
        </w:rPr>
        <w:t>Electricity infrastructure</w:t>
      </w:r>
      <w:bookmarkEnd w:id="92"/>
      <w:bookmarkEnd w:id="93"/>
      <w:bookmarkEnd w:id="94"/>
    </w:p>
    <w:p w14:paraId="420DA18A" w14:textId="35E8EE0C" w:rsidR="00701665" w:rsidRPr="003A7E34" w:rsidRDefault="00701665"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Policies and measures to achieve the targeted level of interconnectivity </w:t>
      </w:r>
      <w:r w:rsidRPr="003A7E34">
        <w:rPr>
          <w:rFonts w:ascii="Times New Roman" w:eastAsia="Times New Roman" w:hAnsi="Times New Roman" w:cs="Times New Roman"/>
          <w:b/>
          <w:bCs/>
          <w:i/>
          <w:iCs/>
          <w:noProof/>
          <w:lang w:val="en-US"/>
        </w:rPr>
        <w:t>as set out in point (d) of Article 4</w:t>
      </w:r>
    </w:p>
    <w:p w14:paraId="29B6905E" w14:textId="77777777" w:rsidR="00393836" w:rsidRPr="003A7E34" w:rsidRDefault="00393836">
      <w:pPr>
        <w:rPr>
          <w:rFonts w:eastAsia="Times New Roman"/>
          <w:noProof/>
          <w:lang w:val="en-US"/>
        </w:rPr>
      </w:pPr>
      <w:r w:rsidRPr="003A7E34">
        <w:rPr>
          <w:rFonts w:eastAsia="Times New Roman"/>
          <w:noProof/>
          <w:lang w:val="en-US"/>
        </w:rPr>
        <w:t>Currently the Estlink 1 and 2 connections between Estonia and Finland, the LitPol Link connection between Lithuania and Poland and the Nordbalt connection between Sweden and Lithuania have raised the interconnectivity of the Baltic States with the EU electricity market to approximately 23%. The Baltic Energy Market Interconnection Plan (BEMIP), under which the LitPol Link and Nordbalt were planned, and which was reinforced in 2015 aims to further integrate the Baltic States' energy markets.</w:t>
      </w:r>
    </w:p>
    <w:p w14:paraId="425749CA" w14:textId="7406F2FA" w:rsidR="00393836" w:rsidRPr="003A7E34" w:rsidRDefault="39F1765D" w:rsidP="39F1765D">
      <w:pPr>
        <w:rPr>
          <w:rFonts w:eastAsia="Times New Roman"/>
          <w:noProof/>
          <w:lang w:val="en-US"/>
        </w:rPr>
      </w:pPr>
      <w:r w:rsidRPr="003A7E34">
        <w:rPr>
          <w:rFonts w:eastAsia="Times New Roman"/>
          <w:noProof/>
          <w:lang w:val="en-US"/>
        </w:rPr>
        <w:t>New interconnection lines with Sweden (NordBalt – 700 MW) and Poland (LitPol Link – 500 MW), the constituent parts of the integration of the Baltic electricity market into the common European electricity market, were installed and launched at the end of 2015/ beginning of 2016. Together with the Estlink I (350 MW) and Estlink II (650 MW) between Finland and Estonia total ammount of Baltic States transfer capacity with other member states is 2200 MW, and this constitutes ~23% interconnectivity level</w:t>
      </w:r>
    </w:p>
    <w:p w14:paraId="32337119" w14:textId="7D2F7862" w:rsidR="00894AE1" w:rsidRPr="003A7E34" w:rsidRDefault="00701665"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Regional cooperation in this area</w:t>
      </w:r>
      <w:r w:rsidRPr="003A7E34">
        <w:rPr>
          <w:rFonts w:ascii="Times New Roman" w:eastAsia="Times New Roman" w:hAnsi="Times New Roman" w:cs="Times New Roman"/>
          <w:noProof/>
          <w:vertAlign w:val="superscript"/>
          <w:lang w:val="en-US"/>
        </w:rPr>
        <w:footnoteReference w:id="31"/>
      </w:r>
    </w:p>
    <w:p w14:paraId="1C389FA2" w14:textId="397251C2" w:rsidR="00894AE1" w:rsidRPr="003A7E34" w:rsidRDefault="00894AE1">
      <w:pPr>
        <w:rPr>
          <w:rFonts w:eastAsia="Times New Roman"/>
          <w:noProof/>
          <w:lang w:val="en-US"/>
        </w:rPr>
      </w:pPr>
      <w:r w:rsidRPr="003A7E34">
        <w:rPr>
          <w:rFonts w:eastAsia="Times New Roman"/>
          <w:noProof/>
          <w:lang w:val="en-US"/>
        </w:rPr>
        <w:t>BEMIP’s</w:t>
      </w:r>
      <w:r w:rsidR="00D871C8" w:rsidRPr="003A7E34">
        <w:rPr>
          <w:rFonts w:eastAsia="Times New Roman"/>
          <w:noProof/>
          <w:lang w:val="en-US"/>
        </w:rPr>
        <w:t xml:space="preserve"> </w:t>
      </w:r>
      <w:r w:rsidRPr="003A7E34">
        <w:rPr>
          <w:rFonts w:eastAsia="Times New Roman"/>
          <w:noProof/>
          <w:lang w:val="en-US"/>
        </w:rPr>
        <w:t>sides are European Commission, Dernmark, Germany, Estonia, Latvia, Lithuania, Poland, Finland and Sweden. The Memorandum of Understanding on BEMIP initiative covering two flagship projects (one on market integration and one on infrastructure development) was signed by the eight participating Member States on 17 June, 2009 in the margins of the European Council.</w:t>
      </w:r>
      <w:r w:rsidR="00D871C8" w:rsidRPr="003A7E34">
        <w:rPr>
          <w:rFonts w:eastAsia="Times New Roman"/>
          <w:noProof/>
          <w:lang w:val="en-US"/>
        </w:rPr>
        <w:t xml:space="preserve"> </w:t>
      </w:r>
    </w:p>
    <w:p w14:paraId="4350C98A" w14:textId="77777777" w:rsidR="00894AE1" w:rsidRPr="003A7E34" w:rsidRDefault="00894AE1">
      <w:pPr>
        <w:rPr>
          <w:rFonts w:eastAsia="Times New Roman"/>
          <w:noProof/>
          <w:lang w:val="en-US"/>
        </w:rPr>
      </w:pPr>
      <w:r w:rsidRPr="003A7E34">
        <w:rPr>
          <w:rFonts w:eastAsia="Times New Roman"/>
          <w:noProof/>
          <w:lang w:val="en-US"/>
        </w:rPr>
        <w:t>The new Memorandum of Understanding on reinforced BEMIP, declaring clear need to enhance Baltic regional energy cooperation initiatives, strengthen and broaden this cooperation with a view to achieve fully integrated markets, strengthen energy security, and promote the use of renewable energy resources and the demand for energy was signed in the margins of the Energy Council on 8 June 2015 in Luxembourg.</w:t>
      </w:r>
    </w:p>
    <w:p w14:paraId="0D509C1C" w14:textId="239976B3" w:rsidR="00894AE1" w:rsidRPr="003A7E34" w:rsidRDefault="00894AE1">
      <w:pPr>
        <w:rPr>
          <w:rFonts w:eastAsia="Times New Roman"/>
          <w:noProof/>
          <w:lang w:val="en-US"/>
        </w:rPr>
      </w:pPr>
      <w:r w:rsidRPr="003A7E34">
        <w:rPr>
          <w:rFonts w:eastAsia="Times New Roman"/>
          <w:noProof/>
          <w:lang w:val="en-US"/>
        </w:rPr>
        <w:t>The implementation of BEMIP’s Action Plan</w:t>
      </w:r>
      <w:r w:rsidR="00D871C8" w:rsidRPr="003A7E34">
        <w:rPr>
          <w:rFonts w:eastAsia="Times New Roman"/>
          <w:noProof/>
          <w:lang w:val="en-US"/>
        </w:rPr>
        <w:t xml:space="preserve"> </w:t>
      </w:r>
      <w:r w:rsidRPr="003A7E34">
        <w:rPr>
          <w:rFonts w:eastAsia="Times New Roman"/>
          <w:noProof/>
          <w:lang w:val="en-US"/>
        </w:rPr>
        <w:t>is regularly discussed in different level working groups.</w:t>
      </w:r>
    </w:p>
    <w:p w14:paraId="6881A401" w14:textId="2481E1D6" w:rsidR="00894AE1" w:rsidRPr="003A7E34" w:rsidRDefault="372247B6" w:rsidP="00EA50D6">
      <w:pPr>
        <w:autoSpaceDE w:val="0"/>
        <w:autoSpaceDN w:val="0"/>
        <w:adjustRightInd w:val="0"/>
        <w:spacing w:before="0" w:after="0"/>
        <w:rPr>
          <w:rFonts w:eastAsia="Times New Roman"/>
          <w:lang w:val="en-US"/>
        </w:rPr>
      </w:pPr>
      <w:r w:rsidRPr="003A7E34">
        <w:rPr>
          <w:rFonts w:eastAsia="Times New Roman"/>
          <w:lang w:val="en-US"/>
        </w:rPr>
        <w:t>• a high (political and operational) leve</w:t>
      </w:r>
      <w:r w:rsidR="009D01A9" w:rsidRPr="003A7E34">
        <w:rPr>
          <w:rFonts w:eastAsia="Times New Roman"/>
          <w:lang w:val="en-US"/>
        </w:rPr>
        <w:t>l</w:t>
      </w:r>
      <w:r w:rsidRPr="003A7E34">
        <w:rPr>
          <w:rFonts w:eastAsia="Times New Roman"/>
          <w:lang w:val="en-US"/>
        </w:rPr>
        <w:t xml:space="preserve"> group and</w:t>
      </w:r>
    </w:p>
    <w:p w14:paraId="507D9F4A" w14:textId="043456A3" w:rsidR="00894AE1" w:rsidRPr="003A7E34" w:rsidRDefault="372247B6" w:rsidP="00EA50D6">
      <w:pPr>
        <w:autoSpaceDE w:val="0"/>
        <w:autoSpaceDN w:val="0"/>
        <w:adjustRightInd w:val="0"/>
        <w:spacing w:before="0" w:after="0"/>
        <w:rPr>
          <w:rFonts w:eastAsia="Times New Roman"/>
          <w:lang w:val="en-US"/>
        </w:rPr>
      </w:pPr>
      <w:r w:rsidRPr="003A7E34">
        <w:rPr>
          <w:rFonts w:eastAsia="Times New Roman"/>
          <w:lang w:val="en-US"/>
        </w:rPr>
        <w:t>• a technical level, constituted by working groups on: infrastructure; internal energy market; security of supply; renewables; energy efficiency; nuclear energy; and various aspects of the integration of the Baltic States' electricity network into the continental European network, including their synchronous operation. Th</w:t>
      </w:r>
      <w:r w:rsidR="00A70D9B" w:rsidRPr="003A7E34">
        <w:rPr>
          <w:rFonts w:eastAsia="Times New Roman"/>
          <w:lang w:val="en-US"/>
        </w:rPr>
        <w:t>e</w:t>
      </w:r>
      <w:r w:rsidRPr="003A7E34">
        <w:rPr>
          <w:rFonts w:eastAsia="Times New Roman"/>
          <w:lang w:val="en-US"/>
        </w:rPr>
        <w:t xml:space="preserve">se meetings are chaired by European </w:t>
      </w:r>
      <w:r w:rsidR="00A70D9B" w:rsidRPr="003A7E34">
        <w:rPr>
          <w:rFonts w:eastAsia="Times New Roman"/>
          <w:lang w:val="en-US"/>
        </w:rPr>
        <w:t>C</w:t>
      </w:r>
      <w:r w:rsidRPr="003A7E34">
        <w:rPr>
          <w:rFonts w:eastAsia="Times New Roman"/>
          <w:lang w:val="en-US"/>
        </w:rPr>
        <w:t xml:space="preserve">ommission. </w:t>
      </w:r>
    </w:p>
    <w:p w14:paraId="19BDAA3D" w14:textId="510CF16D" w:rsidR="00894AE1" w:rsidRPr="003A7E34" w:rsidRDefault="00894AE1">
      <w:pPr>
        <w:rPr>
          <w:rFonts w:eastAsia="Times New Roman"/>
          <w:noProof/>
          <w:lang w:val="en-US"/>
        </w:rPr>
      </w:pPr>
      <w:r w:rsidRPr="003A7E34">
        <w:rPr>
          <w:rFonts w:eastAsia="Times New Roman"/>
          <w:noProof/>
          <w:lang w:val="en-US"/>
        </w:rPr>
        <w:t>Moreover, 3 Baltic States cooperate actively on energy issues, in particular related to joint projects of electricity generation, synchronization and operation of electricity market in the framework of the Baltic Council of Ministers of Senior Officials on Energy.</w:t>
      </w:r>
    </w:p>
    <w:p w14:paraId="3A2FF573" w14:textId="16F66254" w:rsidR="00701665" w:rsidRPr="003A7E34" w:rsidRDefault="00701665"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Where applicable, financing measures in this area at national level, including Union support and the use of Union funds</w:t>
      </w:r>
    </w:p>
    <w:p w14:paraId="77133C13" w14:textId="0CB7C90C" w:rsidR="0081440C" w:rsidRPr="003A7E34" w:rsidRDefault="46DF7FC9" w:rsidP="46DF7FC9">
      <w:pPr>
        <w:rPr>
          <w:rFonts w:eastAsia="Times New Roman"/>
          <w:noProof/>
          <w:lang w:val="en-US"/>
        </w:rPr>
      </w:pPr>
      <w:r w:rsidRPr="003A7E34">
        <w:rPr>
          <w:rFonts w:eastAsia="Times New Roman"/>
          <w:noProof/>
          <w:lang w:val="en-US"/>
        </w:rPr>
        <w:lastRenderedPageBreak/>
        <w:t>Private loans, Public service obligations, TEN-E fund (2007-2013), CEF (2014-2020), European Energy Programme for Recovery (2007-2013).</w:t>
      </w:r>
    </w:p>
    <w:p w14:paraId="7B368EDA" w14:textId="45D0A8F6" w:rsidR="0081440C" w:rsidRPr="003A7E34" w:rsidRDefault="39F1765D" w:rsidP="39F1765D">
      <w:pPr>
        <w:rPr>
          <w:rFonts w:eastAsia="Times New Roman"/>
          <w:noProof/>
          <w:lang w:val="en-US"/>
        </w:rPr>
      </w:pPr>
      <w:r w:rsidRPr="003A7E34">
        <w:rPr>
          <w:rFonts w:eastAsia="Times New Roman"/>
          <w:noProof/>
          <w:lang w:val="en-US"/>
        </w:rPr>
        <w:t>While the implementation of main strategic projects (electricity connections between Lithuania and Poland and between Sweden and Lithuania) were financed from above mentioned sources, strengthening of internal electricity transmission grids is being financed from 2014-2020 EU structural funds. In this regard, about 69 million euros are planned for modernization and development of internal electricity transmission networks. 53 million euros are allocated for the gas transmission networks.</w:t>
      </w:r>
    </w:p>
    <w:p w14:paraId="3BD53843" w14:textId="0B9CFC57" w:rsidR="00BA3108" w:rsidRPr="003A7E34" w:rsidRDefault="00BA3108" w:rsidP="00C42AAE">
      <w:pPr>
        <w:pStyle w:val="Heading3"/>
        <w:numPr>
          <w:ilvl w:val="2"/>
          <w:numId w:val="21"/>
        </w:numPr>
        <w:rPr>
          <w:rFonts w:cs="Times New Roman"/>
          <w:noProof/>
          <w:lang w:val="en-US"/>
        </w:rPr>
      </w:pPr>
      <w:bookmarkStart w:id="95" w:name="_Toc530405581"/>
      <w:bookmarkStart w:id="96" w:name="_Toc530411812"/>
      <w:bookmarkStart w:id="97" w:name="_Toc530414161"/>
      <w:r w:rsidRPr="003A7E34">
        <w:rPr>
          <w:rFonts w:eastAsia="Times New Roman" w:cs="Times New Roman"/>
          <w:noProof/>
          <w:lang w:val="en-US"/>
        </w:rPr>
        <w:t>Energy transmission infrastructure</w:t>
      </w:r>
      <w:bookmarkEnd w:id="95"/>
      <w:bookmarkEnd w:id="96"/>
      <w:bookmarkEnd w:id="97"/>
    </w:p>
    <w:p w14:paraId="7DDC3F06" w14:textId="4CFA6299" w:rsidR="00BA3108" w:rsidRPr="003A7E34" w:rsidRDefault="00BA3108"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Policies and measures </w:t>
      </w:r>
      <w:r w:rsidRPr="003A7E34">
        <w:rPr>
          <w:rFonts w:ascii="Times New Roman" w:eastAsia="Times New Roman" w:hAnsi="Times New Roman" w:cs="Times New Roman"/>
          <w:b/>
          <w:bCs/>
          <w:i/>
          <w:iCs/>
          <w:noProof/>
          <w:lang w:val="en-US"/>
        </w:rPr>
        <w:t>related to the elements set out</w:t>
      </w:r>
      <w:r w:rsidRPr="003A7E34">
        <w:rPr>
          <w:rFonts w:ascii="Times New Roman" w:eastAsia="Times New Roman" w:hAnsi="Times New Roman" w:cs="Times New Roman"/>
          <w:noProof/>
          <w:lang w:val="en-US"/>
        </w:rPr>
        <w:t xml:space="preserve"> in point 2.4.2, including, where applicable, specific measures to enable the delivery of Projects of Common Interest (PCIs) and other key infrastructure projects</w:t>
      </w:r>
    </w:p>
    <w:p w14:paraId="248461DF" w14:textId="77777777" w:rsidR="004E2BCB" w:rsidRPr="003A7E34" w:rsidRDefault="004E2BCB">
      <w:pPr>
        <w:rPr>
          <w:rFonts w:eastAsia="Times New Roman"/>
          <w:noProof/>
          <w:lang w:val="en-US"/>
        </w:rPr>
      </w:pPr>
      <w:r w:rsidRPr="003A7E34">
        <w:rPr>
          <w:rFonts w:eastAsia="Times New Roman"/>
          <w:noProof/>
          <w:lang w:val="en-US"/>
        </w:rPr>
        <w:t>The importance of synchronisation is recognised in the framework of EU energy policy. This project is included within the European Energy Security Strategy and the EU Energy Union as a Project of Common Interest and of critical importance to the EU energy security. The goal of implementing the Baltic States' synchronisation with the continental European networks by 2025 is also included in a reinforced BEMIP.</w:t>
      </w:r>
    </w:p>
    <w:p w14:paraId="05AB7F9B" w14:textId="1351937B" w:rsidR="004E2BCB" w:rsidRPr="003A7E34" w:rsidRDefault="17C4DDD5" w:rsidP="17C4DDD5">
      <w:pPr>
        <w:rPr>
          <w:rFonts w:eastAsia="Times New Roman"/>
          <w:noProof/>
          <w:lang w:val="en-US"/>
        </w:rPr>
      </w:pPr>
      <w:r w:rsidRPr="003A7E34">
        <w:rPr>
          <w:rFonts w:eastAsia="Times New Roman"/>
          <w:noProof/>
          <w:lang w:val="en-US"/>
        </w:rPr>
        <w:t>Regarding gas transmission infrastructure, following national strategic initiatives are foreseen:</w:t>
      </w:r>
    </w:p>
    <w:p w14:paraId="1F4B1DC0" w14:textId="5E2BE1BD" w:rsidR="004E2BCB" w:rsidRPr="003A7E34" w:rsidRDefault="39F1765D" w:rsidP="00C42AAE">
      <w:pPr>
        <w:pStyle w:val="ListParagraph"/>
        <w:numPr>
          <w:ilvl w:val="0"/>
          <w:numId w:val="39"/>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Purchase of the floating storage and regasification unit (FSRU) “INDEPENDENCE” (FID yet to be taken in 2018 based on the CBA results);</w:t>
      </w:r>
    </w:p>
    <w:p w14:paraId="1FC10A52" w14:textId="241A2D88" w:rsidR="004E2BCB" w:rsidRPr="003A7E34" w:rsidRDefault="004E2BCB" w:rsidP="00C42AAE">
      <w:pPr>
        <w:pStyle w:val="ListParagraph"/>
        <w:numPr>
          <w:ilvl w:val="0"/>
          <w:numId w:val="39"/>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Construction of the gas interconnector between Poland and Lithuania (GIPL project);</w:t>
      </w:r>
    </w:p>
    <w:p w14:paraId="4BB5AEC6" w14:textId="291D7808" w:rsidR="004E2BCB" w:rsidRPr="003A7E34" w:rsidRDefault="004E2BCB" w:rsidP="00C42AAE">
      <w:pPr>
        <w:pStyle w:val="ListParagraph"/>
        <w:numPr>
          <w:ilvl w:val="0"/>
          <w:numId w:val="39"/>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Implementation of the EU gas network codes;</w:t>
      </w:r>
    </w:p>
    <w:p w14:paraId="13FECA9C" w14:textId="611EA782" w:rsidR="004E2BCB" w:rsidRPr="003A7E34" w:rsidRDefault="004E2BCB" w:rsidP="00C42AAE">
      <w:pPr>
        <w:pStyle w:val="ListParagraph"/>
        <w:numPr>
          <w:ilvl w:val="0"/>
          <w:numId w:val="39"/>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Creation of the single entry-exit zone in the Baltic States, with single balancing zone, virtual trading poiny, harmonized tariff regime and inter-TSO compensation, market area manager (on “one-stop-shop” principle)</w:t>
      </w:r>
    </w:p>
    <w:p w14:paraId="30AF6CA2" w14:textId="2DD485BE" w:rsidR="004E2BCB" w:rsidRPr="003A7E34" w:rsidRDefault="004E2BCB" w:rsidP="00C42AAE">
      <w:pPr>
        <w:pStyle w:val="ListParagraph"/>
        <w:numPr>
          <w:ilvl w:val="0"/>
          <w:numId w:val="39"/>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LNG supply and competence hub, technology, innovations and business models for LNG application in transport, energy and maritime sectors;</w:t>
      </w:r>
    </w:p>
    <w:p w14:paraId="54E751E6" w14:textId="1E7C012A" w:rsidR="004E2BCB" w:rsidRPr="003A7E34" w:rsidRDefault="004E2BCB" w:rsidP="00C42AAE">
      <w:pPr>
        <w:pStyle w:val="ListParagraph"/>
        <w:numPr>
          <w:ilvl w:val="0"/>
          <w:numId w:val="39"/>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improvement of interconnection between Latvia and Lithuania;</w:t>
      </w:r>
    </w:p>
    <w:p w14:paraId="40CD7167" w14:textId="2623F8C6" w:rsidR="004E2BCB" w:rsidRPr="003A7E34" w:rsidRDefault="004E2BCB" w:rsidP="00C42AAE">
      <w:pPr>
        <w:pStyle w:val="ListParagraph"/>
        <w:numPr>
          <w:ilvl w:val="0"/>
          <w:numId w:val="39"/>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modernisation of the natural gas transmission and distribution infrastructure.</w:t>
      </w:r>
    </w:p>
    <w:p w14:paraId="55A8E81F" w14:textId="77777777" w:rsidR="005E2E33" w:rsidRPr="003A7E34" w:rsidRDefault="005E2E33">
      <w:pPr>
        <w:rPr>
          <w:rFonts w:eastAsia="Times New Roman"/>
          <w:noProof/>
          <w:lang w:val="en-US"/>
        </w:rPr>
      </w:pPr>
    </w:p>
    <w:p w14:paraId="18AA2569" w14:textId="40782CAE" w:rsidR="005E2E33" w:rsidRPr="003A7E34" w:rsidRDefault="00BA3108" w:rsidP="00C42AAE">
      <w:pPr>
        <w:pStyle w:val="ListParagraph"/>
        <w:numPr>
          <w:ilvl w:val="3"/>
          <w:numId w:val="21"/>
        </w:numPr>
        <w:spacing w:line="240" w:lineRule="auto"/>
        <w:ind w:left="1560" w:hanging="284"/>
        <w:jc w:val="both"/>
        <w:rPr>
          <w:rFonts w:ascii="Times New Roman" w:hAnsi="Times New Roman" w:cs="Times New Roman"/>
          <w:noProof/>
          <w:vertAlign w:val="superscript"/>
          <w:lang w:val="en-US"/>
        </w:rPr>
      </w:pPr>
      <w:r w:rsidRPr="003A7E34">
        <w:rPr>
          <w:rFonts w:ascii="Times New Roman" w:eastAsia="Times New Roman" w:hAnsi="Times New Roman" w:cs="Times New Roman"/>
          <w:noProof/>
          <w:lang w:val="en-US"/>
        </w:rPr>
        <w:t>Regional cooperation in this area</w:t>
      </w:r>
      <w:r w:rsidRPr="003A7E34">
        <w:rPr>
          <w:rFonts w:ascii="Times New Roman" w:eastAsia="Times New Roman" w:hAnsi="Times New Roman" w:cs="Times New Roman"/>
          <w:noProof/>
          <w:vertAlign w:val="superscript"/>
          <w:lang w:val="en-US"/>
        </w:rPr>
        <w:footnoteReference w:id="32"/>
      </w:r>
    </w:p>
    <w:p w14:paraId="34F9C7D5" w14:textId="7BAA54F5" w:rsidR="00DD2297" w:rsidRPr="003A7E34" w:rsidRDefault="00DD2297">
      <w:pPr>
        <w:rPr>
          <w:rFonts w:eastAsia="Times New Roman"/>
          <w:noProof/>
          <w:lang w:val="en-US"/>
        </w:rPr>
      </w:pPr>
      <w:r w:rsidRPr="003A7E34">
        <w:rPr>
          <w:rFonts w:eastAsia="Times New Roman"/>
          <w:noProof/>
          <w:lang w:val="en-US"/>
        </w:rPr>
        <w:t>The implementation of BEMIP’s Action Plan</w:t>
      </w:r>
      <w:r w:rsidR="00D871C8" w:rsidRPr="003A7E34">
        <w:rPr>
          <w:rFonts w:eastAsia="Times New Roman"/>
          <w:noProof/>
          <w:lang w:val="en-US"/>
        </w:rPr>
        <w:t xml:space="preserve"> </w:t>
      </w:r>
      <w:r w:rsidRPr="003A7E34">
        <w:rPr>
          <w:rFonts w:eastAsia="Times New Roman"/>
          <w:noProof/>
          <w:lang w:val="en-US"/>
        </w:rPr>
        <w:t>is regularly discussed in different level working groups.</w:t>
      </w:r>
    </w:p>
    <w:p w14:paraId="6D73F8C3" w14:textId="12F34588" w:rsidR="00DD2297" w:rsidRPr="003A7E34" w:rsidRDefault="00DD2297" w:rsidP="00C42AAE">
      <w:pPr>
        <w:pStyle w:val="ListParagraph"/>
        <w:numPr>
          <w:ilvl w:val="1"/>
          <w:numId w:val="15"/>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a high (political and operational) level group and</w:t>
      </w:r>
    </w:p>
    <w:p w14:paraId="151B4E7F" w14:textId="13F109E0" w:rsidR="00DD2297" w:rsidRPr="003A7E34" w:rsidRDefault="00DD2297" w:rsidP="00C42AAE">
      <w:pPr>
        <w:pStyle w:val="ListParagraph"/>
        <w:numPr>
          <w:ilvl w:val="1"/>
          <w:numId w:val="15"/>
        </w:numPr>
        <w:jc w:val="both"/>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 xml:space="preserve">a technical level, constituted by working groups on: infrastructure; internal energy market; security of supply; renewables; energy efficiency; nuclear energy; and various aspects of the integration of the Baltic States' electricity network into the continental European network, including their synchronous operation. Thse meetings are chaired by European </w:t>
      </w:r>
      <w:r w:rsidR="00A70D9B" w:rsidRPr="003A7E34">
        <w:rPr>
          <w:rFonts w:ascii="Times New Roman" w:eastAsia="Times New Roman" w:hAnsi="Times New Roman" w:cs="Times New Roman"/>
          <w:noProof/>
          <w:lang w:val="en-US"/>
        </w:rPr>
        <w:t>C</w:t>
      </w:r>
      <w:r w:rsidRPr="003A7E34">
        <w:rPr>
          <w:rFonts w:ascii="Times New Roman" w:eastAsia="Times New Roman" w:hAnsi="Times New Roman" w:cs="Times New Roman"/>
          <w:noProof/>
          <w:lang w:val="en-US"/>
        </w:rPr>
        <w:t xml:space="preserve">ommission. </w:t>
      </w:r>
    </w:p>
    <w:p w14:paraId="274ADD54" w14:textId="77777777" w:rsidR="009D01A9" w:rsidRPr="003A7E34" w:rsidRDefault="009D01A9">
      <w:pPr>
        <w:rPr>
          <w:rFonts w:eastAsia="Times New Roman"/>
          <w:noProof/>
          <w:lang w:val="en-US"/>
        </w:rPr>
      </w:pPr>
    </w:p>
    <w:p w14:paraId="5A060BA6" w14:textId="0AEFA99F" w:rsidR="00DD2297" w:rsidRPr="003A7E34" w:rsidRDefault="00DD2297">
      <w:pPr>
        <w:rPr>
          <w:rFonts w:eastAsia="Times New Roman"/>
          <w:noProof/>
          <w:vertAlign w:val="superscript"/>
          <w:lang w:val="en-US"/>
        </w:rPr>
      </w:pPr>
      <w:r w:rsidRPr="003A7E34">
        <w:rPr>
          <w:rFonts w:eastAsia="Times New Roman"/>
          <w:noProof/>
          <w:lang w:val="en-US"/>
        </w:rPr>
        <w:t>Moreover, 3 Baltic States cooperate actively on the energy issues, in particular related to joint</w:t>
      </w:r>
      <w:r w:rsidR="00D871C8" w:rsidRPr="003A7E34">
        <w:rPr>
          <w:rFonts w:eastAsia="Times New Roman"/>
          <w:noProof/>
          <w:lang w:val="en-US"/>
        </w:rPr>
        <w:t xml:space="preserve"> </w:t>
      </w:r>
      <w:r w:rsidRPr="003A7E34">
        <w:rPr>
          <w:rFonts w:eastAsia="Times New Roman"/>
          <w:noProof/>
          <w:lang w:val="en-US"/>
        </w:rPr>
        <w:t>projects of electricity generation, synchronization and operation of electricity market in the framework of the Baltic Council of Ministers of Senior Officials on Energy.</w:t>
      </w:r>
    </w:p>
    <w:p w14:paraId="6AF37AD5" w14:textId="24EC8689" w:rsidR="00BA3108" w:rsidRPr="003A7E34" w:rsidRDefault="00BA3108"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lastRenderedPageBreak/>
        <w:t>Where applicable, financing measures in this area at national level, including Union support and the use of Union funds</w:t>
      </w:r>
    </w:p>
    <w:p w14:paraId="0B46F297" w14:textId="364507FC" w:rsidR="00BA3108" w:rsidRPr="003A7E34" w:rsidRDefault="00A91B86">
      <w:pPr>
        <w:rPr>
          <w:rFonts w:eastAsia="Times New Roman"/>
          <w:noProof/>
          <w:lang w:val="en-US"/>
        </w:rPr>
      </w:pPr>
      <w:r w:rsidRPr="003A7E34">
        <w:rPr>
          <w:rFonts w:eastAsia="Times New Roman"/>
          <w:noProof/>
          <w:lang w:val="en-US"/>
        </w:rPr>
        <w:t xml:space="preserve">See </w:t>
      </w:r>
      <w:r w:rsidR="00741E09" w:rsidRPr="003A7E34">
        <w:rPr>
          <w:rFonts w:eastAsia="Times New Roman"/>
          <w:noProof/>
          <w:lang w:val="en-US"/>
        </w:rPr>
        <w:t>(</w:t>
      </w:r>
      <w:r w:rsidRPr="003A7E34">
        <w:rPr>
          <w:rFonts w:eastAsia="Times New Roman"/>
          <w:noProof/>
          <w:lang w:val="en-US"/>
        </w:rPr>
        <w:t>part related to EU structural funds) presented in 3.4.</w:t>
      </w:r>
      <w:r w:rsidR="009821FE" w:rsidRPr="003A7E34">
        <w:rPr>
          <w:rFonts w:eastAsia="Times New Roman"/>
          <w:noProof/>
          <w:lang w:val="en-US"/>
        </w:rPr>
        <w:t>1</w:t>
      </w:r>
      <w:r w:rsidRPr="003A7E34">
        <w:rPr>
          <w:rFonts w:eastAsia="Times New Roman"/>
          <w:noProof/>
          <w:lang w:val="en-US"/>
        </w:rPr>
        <w:t>. iii</w:t>
      </w:r>
    </w:p>
    <w:p w14:paraId="5BD1280A" w14:textId="307799C0" w:rsidR="00B53476" w:rsidRPr="003A7E34" w:rsidRDefault="39F1765D" w:rsidP="00C42AAE">
      <w:pPr>
        <w:pStyle w:val="Heading3"/>
        <w:numPr>
          <w:ilvl w:val="2"/>
          <w:numId w:val="21"/>
        </w:numPr>
        <w:rPr>
          <w:rFonts w:cs="Times New Roman"/>
          <w:noProof/>
          <w:lang w:val="en-US"/>
        </w:rPr>
      </w:pPr>
      <w:bookmarkStart w:id="98" w:name="_Toc530405582"/>
      <w:bookmarkStart w:id="99" w:name="_Toc530411813"/>
      <w:bookmarkStart w:id="100" w:name="_Toc530414162"/>
      <w:r w:rsidRPr="003A7E34">
        <w:rPr>
          <w:rFonts w:eastAsia="Times New Roman" w:cs="Times New Roman"/>
          <w:noProof/>
          <w:lang w:val="en-US"/>
        </w:rPr>
        <w:t>Market integration</w:t>
      </w:r>
      <w:bookmarkEnd w:id="98"/>
      <w:bookmarkEnd w:id="99"/>
      <w:bookmarkEnd w:id="100"/>
    </w:p>
    <w:p w14:paraId="01F9FEC6" w14:textId="1D83CDF6" w:rsidR="00B53476" w:rsidRPr="003A7E34" w:rsidRDefault="00B53476"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Policies and measures </w:t>
      </w:r>
      <w:r w:rsidRPr="003A7E34">
        <w:rPr>
          <w:rFonts w:ascii="Times New Roman" w:eastAsia="Times New Roman" w:hAnsi="Times New Roman" w:cs="Times New Roman"/>
          <w:b/>
          <w:bCs/>
          <w:i/>
          <w:iCs/>
          <w:noProof/>
          <w:lang w:val="en-US"/>
        </w:rPr>
        <w:t>related to the elements</w:t>
      </w:r>
      <w:r w:rsidRPr="003A7E34">
        <w:rPr>
          <w:rFonts w:ascii="Times New Roman" w:eastAsia="Times New Roman" w:hAnsi="Times New Roman" w:cs="Times New Roman"/>
          <w:noProof/>
          <w:lang w:val="en-US"/>
        </w:rPr>
        <w:t xml:space="preserve"> set out in point 2.4.3</w:t>
      </w:r>
    </w:p>
    <w:p w14:paraId="142917CA" w14:textId="77777777" w:rsidR="0077472D" w:rsidRPr="003A7E34" w:rsidRDefault="000A1AE1">
      <w:pPr>
        <w:rPr>
          <w:rFonts w:eastAsia="Times New Roman"/>
          <w:b/>
          <w:bCs/>
          <w:i/>
          <w:noProof/>
          <w:lang w:val="en-US"/>
        </w:rPr>
      </w:pPr>
      <w:r w:rsidRPr="003A7E34">
        <w:rPr>
          <w:rFonts w:eastAsia="Times New Roman"/>
          <w:b/>
          <w:bCs/>
          <w:i/>
          <w:noProof/>
          <w:lang w:val="en-US"/>
        </w:rPr>
        <w:t>Agreement on the creation of the regional gas market model in the Baltic states and common entry-exit tariff regime</w:t>
      </w:r>
      <w:r w:rsidR="00741E09" w:rsidRPr="003A7E34">
        <w:rPr>
          <w:rFonts w:eastAsia="Times New Roman"/>
          <w:b/>
          <w:bCs/>
          <w:i/>
          <w:noProof/>
          <w:lang w:val="en-US"/>
        </w:rPr>
        <w:t xml:space="preserve">. </w:t>
      </w:r>
    </w:p>
    <w:p w14:paraId="7DB74AA5" w14:textId="086E8D22" w:rsidR="000A1AE1" w:rsidRPr="003A7E34" w:rsidRDefault="372247B6">
      <w:pPr>
        <w:rPr>
          <w:rFonts w:eastAsia="Times New Roman"/>
          <w:lang w:val="en-US"/>
        </w:rPr>
      </w:pPr>
      <w:r w:rsidRPr="003A7E34">
        <w:rPr>
          <w:rFonts w:eastAsia="Times New Roman"/>
          <w:b/>
          <w:noProof/>
          <w:u w:val="single"/>
          <w:lang w:val="en-US"/>
        </w:rPr>
        <w:t>Regional Gas Market Coordination Group</w:t>
      </w:r>
      <w:r w:rsidRPr="003A7E34">
        <w:rPr>
          <w:rFonts w:eastAsia="Times New Roman"/>
          <w:noProof/>
          <w:lang w:val="en-US"/>
        </w:rPr>
        <w:t xml:space="preserve"> (RGMCG) established in 2015 under the BEMIP initiative involves representatives of FI, EE, LV and LT Ministries, NRAs, TSOs, LNG terminal operators, SSOs. </w:t>
      </w:r>
      <w:r w:rsidRPr="003A7E34">
        <w:rPr>
          <w:rFonts w:eastAsia="Times New Roman"/>
          <w:lang w:val="en-US"/>
        </w:rPr>
        <w:t>RGMCG engagement in development of regional gas market plays an important role to achieve goals set in BEMIP framework. RGMCG in its work has achieved many milestones in short-term and mid-term measures for improving functioning of the Eastern-Baltic Sea regional gas market in period of January 2015 till now.</w:t>
      </w:r>
    </w:p>
    <w:p w14:paraId="7BB79CD1" w14:textId="77777777" w:rsidR="000A1AE1" w:rsidRPr="003A7E34" w:rsidRDefault="372247B6">
      <w:pPr>
        <w:autoSpaceDE w:val="0"/>
        <w:autoSpaceDN w:val="0"/>
        <w:adjustRightInd w:val="0"/>
        <w:rPr>
          <w:rFonts w:eastAsia="Times New Roman"/>
          <w:lang w:val="en-US"/>
        </w:rPr>
      </w:pPr>
      <w:r w:rsidRPr="003A7E34">
        <w:rPr>
          <w:rFonts w:eastAsia="Times New Roman"/>
          <w:lang w:val="en-US"/>
        </w:rPr>
        <w:t xml:space="preserve">Lithuanian NRA is taking lead of the RGMCG task force, i.e. TF for gas transmission services pricing and inter-TSO compensation mechanism application in the region. </w:t>
      </w:r>
    </w:p>
    <w:p w14:paraId="4E07E7F3" w14:textId="6926C4E3" w:rsidR="000A1AE1" w:rsidRPr="003A7E34" w:rsidRDefault="39F1765D" w:rsidP="39F1765D">
      <w:pPr>
        <w:autoSpaceDE w:val="0"/>
        <w:autoSpaceDN w:val="0"/>
        <w:adjustRightInd w:val="0"/>
        <w:rPr>
          <w:rFonts w:eastAsia="Times New Roman"/>
          <w:lang w:val="en-US"/>
        </w:rPr>
      </w:pPr>
      <w:r w:rsidRPr="003A7E34">
        <w:rPr>
          <w:rFonts w:eastAsia="Times New Roman"/>
          <w:lang w:val="en-US"/>
        </w:rPr>
        <w:t xml:space="preserve">In the framework of the above-mentioned TF, following the analysis of the current requirements for issuing gas supply licenses in the Baltic States the concrete proposals to harmonize licensing requirements in Estonia, Latvia and Lithuania have been prepared that are being </w:t>
      </w:r>
      <w:r w:rsidR="00FC40CB" w:rsidRPr="003A7E34">
        <w:rPr>
          <w:rFonts w:eastAsia="Times New Roman"/>
          <w:lang w:val="en-US"/>
        </w:rPr>
        <w:t>laid</w:t>
      </w:r>
      <w:r w:rsidRPr="003A7E34">
        <w:rPr>
          <w:rFonts w:eastAsia="Times New Roman"/>
          <w:lang w:val="en-US"/>
        </w:rPr>
        <w:t xml:space="preserve"> in the draft amendments of relevant laws that govern the energy sector. The aim is to remove licensing of the supply companies and to replace it with the requirement to register. </w:t>
      </w:r>
    </w:p>
    <w:p w14:paraId="205A3005" w14:textId="7BC0FF36" w:rsidR="000A1AE1" w:rsidRPr="003A7E34" w:rsidRDefault="372247B6">
      <w:pPr>
        <w:autoSpaceDE w:val="0"/>
        <w:autoSpaceDN w:val="0"/>
        <w:adjustRightInd w:val="0"/>
        <w:rPr>
          <w:rFonts w:eastAsia="Times New Roman"/>
          <w:lang w:val="en-US"/>
        </w:rPr>
      </w:pPr>
      <w:r w:rsidRPr="003A7E34">
        <w:rPr>
          <w:rFonts w:eastAsia="Times New Roman"/>
          <w:lang w:val="en-US"/>
        </w:rPr>
        <w:t>The study on the development of Finnish-Baltic regional gas market has been finished. Results of the study were considered for further actions of RGMCG. These actions were embedded in Regional Gas Market Development Action Plan for the next 3</w:t>
      </w:r>
      <w:r w:rsidR="00A76C0E" w:rsidRPr="003A7E34">
        <w:rPr>
          <w:rFonts w:eastAsia="Times New Roman"/>
          <w:lang w:val="en-US"/>
        </w:rPr>
        <w:t>-</w:t>
      </w:r>
      <w:r w:rsidRPr="003A7E34">
        <w:rPr>
          <w:rFonts w:eastAsia="Times New Roman"/>
          <w:lang w:val="en-US"/>
        </w:rPr>
        <w:t>4 years. This Action plan sets out the necessary measures for ensuring functioning of the Eastern-Baltic regional gas market until 2020, i.e.:</w:t>
      </w:r>
    </w:p>
    <w:p w14:paraId="3EF0E205" w14:textId="5EF8426D" w:rsidR="000A1AE1" w:rsidRPr="003A7E34" w:rsidRDefault="372247B6" w:rsidP="00C42AAE">
      <w:pPr>
        <w:pStyle w:val="ListParagraph"/>
        <w:numPr>
          <w:ilvl w:val="0"/>
          <w:numId w:val="40"/>
        </w:numPr>
        <w:autoSpaceDE w:val="0"/>
        <w:autoSpaceDN w:val="0"/>
        <w:adjustRightInd w:val="0"/>
        <w:spacing w:after="120" w:line="240" w:lineRule="auto"/>
        <w:ind w:left="1440" w:hanging="720"/>
        <w:jc w:val="both"/>
        <w:rPr>
          <w:rFonts w:ascii="Times New Roman" w:hAnsi="Times New Roman" w:cs="Times New Roman"/>
          <w:lang w:val="en-US"/>
        </w:rPr>
      </w:pPr>
      <w:r w:rsidRPr="003A7E34">
        <w:rPr>
          <w:rFonts w:ascii="Times New Roman" w:eastAsia="Times New Roman" w:hAnsi="Times New Roman" w:cs="Times New Roman"/>
          <w:b/>
          <w:bCs/>
          <w:lang w:val="en-US"/>
        </w:rPr>
        <w:t>Single market (entry-exit) zone</w:t>
      </w:r>
      <w:r w:rsidRPr="003A7E34">
        <w:rPr>
          <w:rFonts w:ascii="Times New Roman" w:eastAsia="Times New Roman" w:hAnsi="Times New Roman" w:cs="Times New Roman"/>
          <w:lang w:val="en-US"/>
        </w:rPr>
        <w:t xml:space="preserve"> will be created.</w:t>
      </w:r>
      <w:r w:rsidR="00D871C8" w:rsidRPr="003A7E34">
        <w:rPr>
          <w:rFonts w:ascii="Times New Roman" w:eastAsia="Times New Roman" w:hAnsi="Times New Roman" w:cs="Times New Roman"/>
          <w:lang w:val="en-US"/>
        </w:rPr>
        <w:t xml:space="preserve"> </w:t>
      </w:r>
    </w:p>
    <w:p w14:paraId="3A1BA81E" w14:textId="77777777" w:rsidR="000A1AE1" w:rsidRPr="003A7E34" w:rsidRDefault="372247B6" w:rsidP="00C42AAE">
      <w:pPr>
        <w:pStyle w:val="ListParagraph"/>
        <w:numPr>
          <w:ilvl w:val="0"/>
          <w:numId w:val="40"/>
        </w:numPr>
        <w:autoSpaceDE w:val="0"/>
        <w:autoSpaceDN w:val="0"/>
        <w:adjustRightInd w:val="0"/>
        <w:spacing w:after="120" w:line="240" w:lineRule="auto"/>
        <w:ind w:left="1440" w:hanging="720"/>
        <w:jc w:val="both"/>
        <w:rPr>
          <w:rFonts w:ascii="Times New Roman" w:hAnsi="Times New Roman" w:cs="Times New Roman"/>
          <w:lang w:val="en-US"/>
        </w:rPr>
      </w:pPr>
      <w:r w:rsidRPr="003A7E34">
        <w:rPr>
          <w:rFonts w:ascii="Times New Roman" w:eastAsia="Times New Roman" w:hAnsi="Times New Roman" w:cs="Times New Roman"/>
          <w:b/>
          <w:bCs/>
          <w:lang w:val="en-US"/>
        </w:rPr>
        <w:t xml:space="preserve">Single virtual trading point </w:t>
      </w:r>
      <w:r w:rsidRPr="003A7E34">
        <w:rPr>
          <w:rFonts w:ascii="Times New Roman" w:eastAsia="Times New Roman" w:hAnsi="Times New Roman" w:cs="Times New Roman"/>
          <w:lang w:val="en-US"/>
        </w:rPr>
        <w:t>will be established.</w:t>
      </w:r>
      <w:r w:rsidRPr="003A7E34">
        <w:rPr>
          <w:rFonts w:ascii="Times New Roman" w:eastAsia="Times New Roman" w:hAnsi="Times New Roman" w:cs="Times New Roman"/>
          <w:b/>
          <w:bCs/>
          <w:lang w:val="en-US"/>
        </w:rPr>
        <w:t xml:space="preserve"> </w:t>
      </w:r>
    </w:p>
    <w:p w14:paraId="520D599E" w14:textId="77777777" w:rsidR="000A1AE1" w:rsidRPr="003A7E34" w:rsidRDefault="372247B6" w:rsidP="00C42AAE">
      <w:pPr>
        <w:pStyle w:val="ListParagraph"/>
        <w:numPr>
          <w:ilvl w:val="0"/>
          <w:numId w:val="40"/>
        </w:numPr>
        <w:autoSpaceDE w:val="0"/>
        <w:autoSpaceDN w:val="0"/>
        <w:adjustRightInd w:val="0"/>
        <w:spacing w:after="120" w:line="240" w:lineRule="auto"/>
        <w:ind w:left="1440" w:hanging="720"/>
        <w:jc w:val="both"/>
        <w:rPr>
          <w:rFonts w:ascii="Times New Roman" w:hAnsi="Times New Roman" w:cs="Times New Roman"/>
          <w:lang w:val="en-US"/>
        </w:rPr>
      </w:pPr>
      <w:r w:rsidRPr="003A7E34">
        <w:rPr>
          <w:rFonts w:ascii="Times New Roman" w:eastAsia="Times New Roman" w:hAnsi="Times New Roman" w:cs="Times New Roman"/>
          <w:b/>
          <w:bCs/>
          <w:lang w:val="en-US"/>
        </w:rPr>
        <w:t xml:space="preserve">Single balancing zone </w:t>
      </w:r>
      <w:r w:rsidRPr="003A7E34">
        <w:rPr>
          <w:rFonts w:ascii="Times New Roman" w:eastAsia="Times New Roman" w:hAnsi="Times New Roman" w:cs="Times New Roman"/>
          <w:lang w:val="en-US"/>
        </w:rPr>
        <w:t>will be established.</w:t>
      </w:r>
      <w:r w:rsidRPr="003A7E34">
        <w:rPr>
          <w:rFonts w:ascii="Times New Roman" w:eastAsia="Times New Roman" w:hAnsi="Times New Roman" w:cs="Times New Roman"/>
          <w:b/>
          <w:bCs/>
          <w:lang w:val="en-US"/>
        </w:rPr>
        <w:t xml:space="preserve"> </w:t>
      </w:r>
    </w:p>
    <w:p w14:paraId="6533F09E" w14:textId="3BBA552B" w:rsidR="000A1AE1" w:rsidRPr="003A7E34" w:rsidRDefault="372247B6" w:rsidP="00C42AAE">
      <w:pPr>
        <w:pStyle w:val="ListParagraph"/>
        <w:numPr>
          <w:ilvl w:val="0"/>
          <w:numId w:val="40"/>
        </w:numPr>
        <w:autoSpaceDE w:val="0"/>
        <w:autoSpaceDN w:val="0"/>
        <w:adjustRightInd w:val="0"/>
        <w:spacing w:after="120" w:line="240" w:lineRule="auto"/>
        <w:ind w:left="1440" w:hanging="720"/>
        <w:jc w:val="both"/>
        <w:rPr>
          <w:rFonts w:ascii="Times New Roman" w:eastAsia="Calibri" w:hAnsi="Times New Roman" w:cs="Times New Roman"/>
          <w:lang w:val="en-US"/>
        </w:rPr>
      </w:pPr>
      <w:r w:rsidRPr="003A7E34">
        <w:rPr>
          <w:rFonts w:ascii="Times New Roman" w:eastAsia="Times New Roman" w:hAnsi="Times New Roman" w:cs="Times New Roman"/>
          <w:b/>
          <w:bCs/>
          <w:lang w:val="en-US"/>
        </w:rPr>
        <w:t xml:space="preserve">Single tariff regime </w:t>
      </w:r>
      <w:r w:rsidRPr="003A7E34">
        <w:rPr>
          <w:rFonts w:ascii="Times New Roman" w:eastAsia="Times New Roman" w:hAnsi="Times New Roman" w:cs="Times New Roman"/>
          <w:lang w:val="en-US"/>
        </w:rPr>
        <w:t xml:space="preserve">that </w:t>
      </w:r>
      <w:r w:rsidR="00741E09" w:rsidRPr="003A7E34">
        <w:rPr>
          <w:rFonts w:ascii="Times New Roman" w:eastAsia="Times New Roman" w:hAnsi="Times New Roman" w:cs="Times New Roman"/>
          <w:lang w:val="en-US"/>
        </w:rPr>
        <w:t>minimizes</w:t>
      </w:r>
      <w:r w:rsidRPr="003A7E34">
        <w:rPr>
          <w:rFonts w:ascii="Times New Roman" w:eastAsia="Times New Roman" w:hAnsi="Times New Roman" w:cs="Times New Roman"/>
          <w:lang w:val="en-US"/>
        </w:rPr>
        <w:t xml:space="preserve"> distributional impacts has to be agreed on.</w:t>
      </w:r>
      <w:r w:rsidRPr="003A7E34">
        <w:rPr>
          <w:rFonts w:ascii="Times New Roman" w:eastAsia="Times New Roman" w:hAnsi="Times New Roman" w:cs="Times New Roman"/>
          <w:b/>
          <w:bCs/>
          <w:lang w:val="en-US"/>
        </w:rPr>
        <w:t xml:space="preserve"> </w:t>
      </w:r>
    </w:p>
    <w:p w14:paraId="76621395" w14:textId="77777777" w:rsidR="00741E09" w:rsidRPr="003A7E34" w:rsidRDefault="00741E09" w:rsidP="00935009">
      <w:pPr>
        <w:autoSpaceDE w:val="0"/>
        <w:autoSpaceDN w:val="0"/>
        <w:adjustRightInd w:val="0"/>
        <w:spacing w:before="0"/>
        <w:rPr>
          <w:rFonts w:eastAsia="Calibri"/>
          <w:lang w:val="en-US"/>
        </w:rPr>
      </w:pPr>
    </w:p>
    <w:p w14:paraId="42790407" w14:textId="65CCAC04" w:rsidR="000A1AE1" w:rsidRPr="003A7E34" w:rsidRDefault="39F1765D" w:rsidP="00935009">
      <w:pPr>
        <w:pStyle w:val="default"/>
        <w:spacing w:after="120"/>
        <w:jc w:val="both"/>
        <w:rPr>
          <w:rFonts w:eastAsia="Times New Roman"/>
          <w:color w:val="auto"/>
          <w:lang w:val="en-US"/>
        </w:rPr>
      </w:pPr>
      <w:r w:rsidRPr="003A7E34">
        <w:rPr>
          <w:rFonts w:eastAsia="Times New Roman"/>
          <w:color w:val="auto"/>
          <w:lang w:val="en-US"/>
        </w:rPr>
        <w:t xml:space="preserve">RGMCG also works on creation of coordinated balancing zone for the regional gas market and model for a virtual trading hub that are necessary for creation of single market zone. </w:t>
      </w:r>
    </w:p>
    <w:p w14:paraId="3B32F064" w14:textId="1D57E5E1" w:rsidR="00F84930" w:rsidRPr="003A7E34" w:rsidRDefault="372247B6" w:rsidP="00935009">
      <w:pPr>
        <w:spacing w:before="0"/>
        <w:rPr>
          <w:rFonts w:eastAsia="Times New Roman"/>
          <w:lang w:val="en-US"/>
        </w:rPr>
      </w:pPr>
      <w:r w:rsidRPr="003A7E34">
        <w:rPr>
          <w:rFonts w:eastAsia="Times New Roman"/>
          <w:b/>
          <w:bCs/>
          <w:i/>
          <w:lang w:val="en-US"/>
        </w:rPr>
        <w:t>Unified trading platform for regional gas market</w:t>
      </w:r>
      <w:r w:rsidR="00A76C0E" w:rsidRPr="003A7E34">
        <w:rPr>
          <w:rFonts w:eastAsia="Times New Roman"/>
          <w:b/>
          <w:bCs/>
          <w:lang w:val="en-US"/>
        </w:rPr>
        <w:t xml:space="preserve">. </w:t>
      </w:r>
      <w:r w:rsidRPr="003A7E34">
        <w:rPr>
          <w:rFonts w:eastAsia="Times New Roman"/>
          <w:lang w:val="en-US"/>
        </w:rPr>
        <w:t xml:space="preserve">On 1 July 2017 the natural gas TSOs of the Baltic states began using the implicit capacity allocation model so that it would be easier to allocate short-term natural gas transmission capacities at the interconnection points between the Baltic states. </w:t>
      </w:r>
    </w:p>
    <w:p w14:paraId="02300A44" w14:textId="60C5308C" w:rsidR="00935009" w:rsidRPr="003A7E34" w:rsidRDefault="00935009" w:rsidP="00935009">
      <w:pPr>
        <w:spacing w:before="0"/>
        <w:rPr>
          <w:rFonts w:eastAsia="Times New Roman"/>
          <w:bCs/>
          <w:lang w:val="en-US"/>
        </w:rPr>
      </w:pPr>
      <w:r w:rsidRPr="003A7E34">
        <w:rPr>
          <w:rFonts w:eastAsia="Times New Roman"/>
          <w:b/>
          <w:bCs/>
          <w:i/>
          <w:lang w:val="en-US"/>
        </w:rPr>
        <w:t xml:space="preserve">Capacity Allocation Mechanism (CAM) and congestion management procedures (CMP) NC. </w:t>
      </w:r>
      <w:r w:rsidRPr="003A7E34">
        <w:rPr>
          <w:rFonts w:eastAsia="Times New Roman"/>
          <w:bCs/>
          <w:lang w:val="en-US"/>
        </w:rPr>
        <w:t>Some of the NC CAM and CMP provisions are implemented in Amber Grid rules for access to the natural gas transmission system, which are adjusted and approved by the Lithuanian NRA constantly.</w:t>
      </w:r>
    </w:p>
    <w:p w14:paraId="2C64E7CC" w14:textId="2B9C0639" w:rsidR="000A1AE1" w:rsidRPr="003A7E34" w:rsidRDefault="372247B6" w:rsidP="00935009">
      <w:pPr>
        <w:spacing w:before="0"/>
        <w:rPr>
          <w:rFonts w:eastAsia="Times New Roman"/>
          <w:lang w:val="en-US"/>
        </w:rPr>
      </w:pPr>
      <w:r w:rsidRPr="003A7E34">
        <w:rPr>
          <w:rFonts w:eastAsia="Times New Roman"/>
          <w:b/>
          <w:bCs/>
          <w:i/>
          <w:lang w:val="en-US"/>
        </w:rPr>
        <w:t>Balancing (BAL) NC</w:t>
      </w:r>
      <w:r w:rsidR="00A76C0E" w:rsidRPr="003A7E34">
        <w:rPr>
          <w:rFonts w:eastAsia="Times New Roman"/>
          <w:b/>
          <w:bCs/>
          <w:i/>
          <w:lang w:val="en-US"/>
        </w:rPr>
        <w:t xml:space="preserve">. </w:t>
      </w:r>
      <w:r w:rsidRPr="003A7E34">
        <w:rPr>
          <w:rFonts w:eastAsia="Times New Roman"/>
          <w:lang w:val="en-US"/>
        </w:rPr>
        <w:t>Some of the NC BAL provisions are implemented in the Amber Grid Balancing rules, which are adjusted and approved by the Lithuanian NRA constantly.</w:t>
      </w:r>
    </w:p>
    <w:p w14:paraId="1EBD1887" w14:textId="23BEB356" w:rsidR="000A1AE1" w:rsidRPr="003A7E34" w:rsidRDefault="372247B6" w:rsidP="00935009">
      <w:pPr>
        <w:spacing w:before="0"/>
        <w:rPr>
          <w:rFonts w:eastAsia="Times New Roman"/>
          <w:lang w:val="en-US"/>
        </w:rPr>
      </w:pPr>
      <w:r w:rsidRPr="003A7E34">
        <w:rPr>
          <w:rFonts w:eastAsia="Times New Roman"/>
          <w:b/>
          <w:bCs/>
          <w:i/>
          <w:lang w:val="en-US"/>
        </w:rPr>
        <w:t>Interoperability (IO) NC</w:t>
      </w:r>
      <w:r w:rsidR="00A76C0E" w:rsidRPr="003A7E34">
        <w:rPr>
          <w:rFonts w:eastAsia="Times New Roman"/>
          <w:b/>
          <w:bCs/>
          <w:i/>
          <w:lang w:val="en-US"/>
        </w:rPr>
        <w:t xml:space="preserve">. </w:t>
      </w:r>
      <w:r w:rsidR="00FA1F7D" w:rsidRPr="003A7E34">
        <w:rPr>
          <w:rFonts w:eastAsia="Times New Roman"/>
          <w:lang w:val="en-US"/>
        </w:rPr>
        <w:t>In the process of implementation of IO NC, Lithuanian NRA received an Interconnection agreement and is in charge to ensure its compliance with IO NC.</w:t>
      </w:r>
    </w:p>
    <w:p w14:paraId="033E3895" w14:textId="065D3F4E" w:rsidR="000A1AE1" w:rsidRPr="003A7E34" w:rsidRDefault="372247B6" w:rsidP="00935009">
      <w:pPr>
        <w:spacing w:before="0"/>
        <w:rPr>
          <w:rFonts w:eastAsia="Times New Roman"/>
          <w:lang w:val="en-US"/>
        </w:rPr>
      </w:pPr>
      <w:r w:rsidRPr="003A7E34">
        <w:rPr>
          <w:rFonts w:eastAsia="Times New Roman"/>
          <w:b/>
          <w:bCs/>
          <w:i/>
          <w:lang w:val="en-US"/>
        </w:rPr>
        <w:lastRenderedPageBreak/>
        <w:t>Tariffs (TAR) NC</w:t>
      </w:r>
      <w:r w:rsidR="00A76C0E" w:rsidRPr="003A7E34">
        <w:rPr>
          <w:rFonts w:eastAsia="Times New Roman"/>
          <w:b/>
          <w:bCs/>
          <w:i/>
          <w:lang w:val="en-US"/>
        </w:rPr>
        <w:t xml:space="preserve">. </w:t>
      </w:r>
      <w:r w:rsidRPr="003A7E34">
        <w:rPr>
          <w:rFonts w:eastAsia="Times New Roman"/>
          <w:lang w:val="en-US"/>
        </w:rPr>
        <w:t xml:space="preserve">In accordance with NC TAR publication requirements, the information which was indicated in Article 29 should be published before the annual yearly capacity auction. Since Lithuanian TSO does not apply the auction practice, the mentioned </w:t>
      </w:r>
      <w:r w:rsidR="00A76C0E" w:rsidRPr="003A7E34">
        <w:rPr>
          <w:rFonts w:eastAsia="Times New Roman"/>
          <w:lang w:val="en-US"/>
        </w:rPr>
        <w:t>information</w:t>
      </w:r>
      <w:r w:rsidRPr="003A7E34">
        <w:rPr>
          <w:rFonts w:eastAsia="Times New Roman"/>
          <w:lang w:val="en-US"/>
        </w:rPr>
        <w:t xml:space="preserve"> should not be published in Lithuanian case. </w:t>
      </w:r>
    </w:p>
    <w:p w14:paraId="6AEEC7F1" w14:textId="77777777" w:rsidR="000A1AE1" w:rsidRPr="003A7E34" w:rsidRDefault="372247B6" w:rsidP="00430A50">
      <w:pPr>
        <w:spacing w:before="0"/>
        <w:rPr>
          <w:rFonts w:eastAsia="Times New Roman"/>
          <w:lang w:val="en-US"/>
        </w:rPr>
      </w:pPr>
      <w:r w:rsidRPr="003A7E34">
        <w:rPr>
          <w:rFonts w:eastAsia="Times New Roman"/>
          <w:lang w:val="en-US"/>
        </w:rPr>
        <w:t xml:space="preserve">The information which has been provided in Article 30 shall be published before the tariff period in accordance with the requirements set out in Articles 31 and 32 by the NRA or the TSO(s), as decided by the NRA. As Lithuanian NRA decided, the TSO should publish mentioned information till the 1st of January 2018. </w:t>
      </w:r>
    </w:p>
    <w:p w14:paraId="3100DA55" w14:textId="1D29721A" w:rsidR="000A1AE1" w:rsidRPr="003A7E34" w:rsidRDefault="372247B6" w:rsidP="00430A50">
      <w:pPr>
        <w:pStyle w:val="default"/>
        <w:spacing w:after="120"/>
        <w:jc w:val="both"/>
        <w:rPr>
          <w:rFonts w:eastAsia="Times New Roman"/>
          <w:color w:val="auto"/>
          <w:lang w:val="en-US"/>
        </w:rPr>
      </w:pPr>
      <w:r w:rsidRPr="003A7E34">
        <w:rPr>
          <w:rFonts w:eastAsia="Times New Roman"/>
          <w:b/>
          <w:i/>
          <w:color w:val="auto"/>
          <w:szCs w:val="22"/>
          <w:lang w:val="en-US"/>
        </w:rPr>
        <w:t>Common Baltic Nordic balancing market - Baltic–Nordic Coordinated Balancing Area 2018</w:t>
      </w:r>
      <w:r w:rsidR="00A76C0E" w:rsidRPr="003A7E34">
        <w:rPr>
          <w:rFonts w:eastAsia="Times New Roman"/>
          <w:color w:val="auto"/>
          <w:szCs w:val="22"/>
          <w:lang w:val="en-US"/>
        </w:rPr>
        <w:t>.</w:t>
      </w:r>
      <w:r w:rsidR="00430A50" w:rsidRPr="003A7E34">
        <w:rPr>
          <w:rFonts w:eastAsia="Times New Roman"/>
          <w:color w:val="auto"/>
          <w:szCs w:val="22"/>
          <w:lang w:val="en-US"/>
        </w:rPr>
        <w:t xml:space="preserve"> </w:t>
      </w:r>
      <w:r w:rsidR="46DF7FC9" w:rsidRPr="003A7E34">
        <w:rPr>
          <w:rFonts w:eastAsia="Times New Roman"/>
          <w:color w:val="auto"/>
          <w:lang w:val="en-US"/>
        </w:rPr>
        <w:t>Baltic TSOs in with the goal to create common Baltic Manual Frequency Restoration Reserve (mFRR) balancing market and harmonize electricity balancing principles in Baltic States, in 2016 – 2017 prepared and consulted with Baltic market players principles for common Baltic mFRR balancing market and Baltic Harmonized Imbalance Settlement Model (hereinafter – Model). NCC taking into account the Model, launched public consultation (till November 2nd, 2017) on the amendment of NCCs Methodology on Balancing Energy Price Regulation, and following made amendments to the Methodology enabling common Baltic Harmonized Imbalance Settlement Model application in Lithuania. Common balancing market of Baltic States started operating from January 2018. Barrier for the entry to Baltic balancing market is reduced by lowering the minimum bid volume to 1 MW.</w:t>
      </w:r>
    </w:p>
    <w:p w14:paraId="5A0B1C65" w14:textId="23019437" w:rsidR="002A7635" w:rsidRPr="003A7E34" w:rsidRDefault="002A7635" w:rsidP="002A7635">
      <w:pPr>
        <w:pStyle w:val="default"/>
        <w:spacing w:after="120"/>
        <w:jc w:val="both"/>
        <w:rPr>
          <w:rFonts w:eastAsia="Times New Roman"/>
          <w:color w:val="auto"/>
          <w:lang w:val="en-US"/>
        </w:rPr>
      </w:pPr>
      <w:r w:rsidRPr="003A7E34">
        <w:rPr>
          <w:rFonts w:eastAsia="Times New Roman"/>
          <w:b/>
          <w:i/>
          <w:color w:val="auto"/>
          <w:lang w:val="en-US"/>
        </w:rPr>
        <w:t xml:space="preserve">Electricity NC and guidelines implemented - National implementation. </w:t>
      </w:r>
      <w:r w:rsidRPr="003A7E34">
        <w:rPr>
          <w:rFonts w:eastAsia="Times New Roman"/>
          <w:color w:val="auto"/>
          <w:lang w:val="en-US"/>
        </w:rPr>
        <w:t>Majority of NCs, especially the terms, conditions or methodologies applicable at European level, are being approved/implemented on the level of Energy regulators forum (ERF). Afterwards national decisions are taken on the terms, conditions or methodologies prescribed by NCs. The rest of NCs implementation is being coordinated on the Baltic Capacity Calculation Region (CCR) level, where national decisions by each country’s regulator has to be taken as well. The memorandum of understanding (MoU) between Lithuanian, Latvian, Estonian, Swedish, Finnish and Polish NRAs on the work on implementing NCs at regional Baltic CCR level has been signed on 16 October 2017. The information on NCs implementation at national level is published on Lithuanian NRA website.</w:t>
      </w:r>
      <w:r w:rsidRPr="003A7E34">
        <w:rPr>
          <w:rStyle w:val="FootnoteReference"/>
          <w:rFonts w:eastAsia="Times New Roman"/>
          <w:color w:val="auto"/>
          <w:lang w:val="en-US"/>
        </w:rPr>
        <w:footnoteReference w:id="33"/>
      </w:r>
    </w:p>
    <w:p w14:paraId="6EAF9E0F" w14:textId="48ECEC67" w:rsidR="00B53476" w:rsidRPr="003A7E34" w:rsidRDefault="3D9A4349" w:rsidP="00430A50">
      <w:pPr>
        <w:pStyle w:val="ListParagraph"/>
        <w:numPr>
          <w:ilvl w:val="3"/>
          <w:numId w:val="21"/>
        </w:numPr>
        <w:spacing w:after="120" w:line="240" w:lineRule="auto"/>
        <w:ind w:left="1560" w:hanging="284"/>
        <w:contextualSpacing w:val="0"/>
        <w:jc w:val="both"/>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Measures to increase the flexibility of the energy system with regard to renewable energy production </w:t>
      </w:r>
      <w:r w:rsidRPr="003A7E34">
        <w:rPr>
          <w:rFonts w:ascii="Times New Roman" w:eastAsia="Times New Roman" w:hAnsi="Times New Roman" w:cs="Times New Roman"/>
          <w:b/>
          <w:bCs/>
          <w:i/>
          <w:iCs/>
          <w:noProof/>
          <w:lang w:val="en-US"/>
        </w:rPr>
        <w:t>such as smart grids, aggregation, demand response, storage, distributed generation, mechanisms for dispatching, re-dispatching and curtailment, real-time price signals</w:t>
      </w:r>
      <w:r w:rsidRPr="003A7E34">
        <w:rPr>
          <w:rFonts w:ascii="Times New Roman" w:eastAsia="Times New Roman" w:hAnsi="Times New Roman" w:cs="Times New Roman"/>
          <w:noProof/>
          <w:lang w:val="en-US"/>
        </w:rPr>
        <w:t>, including the roll-out of intraday market coupling and cross-border balancing markets</w:t>
      </w:r>
    </w:p>
    <w:p w14:paraId="09A6B6AA" w14:textId="26D6D667" w:rsidR="3D9A4349" w:rsidRPr="003A7E34" w:rsidRDefault="3D9A4349" w:rsidP="00430A50">
      <w:pPr>
        <w:spacing w:before="0"/>
        <w:rPr>
          <w:rFonts w:eastAsia="Times New Roman"/>
          <w:noProof/>
          <w:lang w:val="en-US"/>
        </w:rPr>
      </w:pPr>
      <w:r w:rsidRPr="003A7E34">
        <w:rPr>
          <w:rFonts w:eastAsia="Times New Roman"/>
          <w:noProof/>
          <w:lang w:val="en-US"/>
        </w:rPr>
        <w:t>This part to be defined in the final version of the Plan.</w:t>
      </w:r>
    </w:p>
    <w:p w14:paraId="6816AB80" w14:textId="6851DCB0" w:rsidR="00301D5D" w:rsidRPr="003A7E34" w:rsidRDefault="00301D5D" w:rsidP="00430A50">
      <w:pPr>
        <w:pStyle w:val="ListParagraph"/>
        <w:numPr>
          <w:ilvl w:val="3"/>
          <w:numId w:val="21"/>
        </w:numPr>
        <w:spacing w:after="120" w:line="240" w:lineRule="auto"/>
        <w:ind w:left="1560" w:hanging="284"/>
        <w:contextualSpacing w:val="0"/>
        <w:jc w:val="both"/>
        <w:rPr>
          <w:rFonts w:ascii="Times New Roman" w:hAnsi="Times New Roman" w:cs="Times New Roman"/>
          <w:b/>
          <w:bCs/>
          <w:i/>
          <w:iCs/>
          <w:noProof/>
          <w:lang w:val="en-US"/>
        </w:rPr>
      </w:pPr>
      <w:r w:rsidRPr="003A7E34">
        <w:rPr>
          <w:rFonts w:ascii="Times New Roman" w:eastAsia="Times New Roman" w:hAnsi="Times New Roman" w:cs="Times New Roman"/>
          <w:b/>
          <w:bCs/>
          <w:i/>
          <w:iCs/>
          <w:noProof/>
          <w:lang w:val="en-US"/>
        </w:rPr>
        <w:t>Where applicable, measures to ensure the non-discriminatory participation of renewable energy, demand response and storage, including via aggregation, in all energy markets</w:t>
      </w:r>
    </w:p>
    <w:p w14:paraId="6B828433" w14:textId="46AA20A5" w:rsidR="00C11A89" w:rsidRPr="003A7E34" w:rsidRDefault="39F1765D" w:rsidP="39F1765D">
      <w:pPr>
        <w:rPr>
          <w:rFonts w:eastAsia="Times New Roman"/>
          <w:lang w:val="en-US"/>
        </w:rPr>
      </w:pPr>
      <w:r w:rsidRPr="003A7E34">
        <w:rPr>
          <w:rFonts w:eastAsia="Times New Roman"/>
          <w:lang w:val="en-US"/>
        </w:rPr>
        <w:t>From 2018 Lithuania along with neighboring Latvia and Estonia launched common Baltic mFRR balancing market.</w:t>
      </w:r>
    </w:p>
    <w:p w14:paraId="67EFE57D" w14:textId="091690B7" w:rsidR="00C11A89" w:rsidRPr="003A7E34" w:rsidRDefault="39F1765D" w:rsidP="39F1765D">
      <w:pPr>
        <w:rPr>
          <w:rFonts w:eastAsia="Times New Roman"/>
          <w:noProof/>
          <w:lang w:val="en-US"/>
        </w:rPr>
      </w:pPr>
      <w:r w:rsidRPr="003A7E34">
        <w:rPr>
          <w:rFonts w:eastAsia="Times New Roman"/>
          <w:lang w:val="en-US"/>
        </w:rPr>
        <w:t>Lithuania is a part of first wave intraday market coupling XBID project foreseen to go Live in 2018.</w:t>
      </w:r>
    </w:p>
    <w:p w14:paraId="45D4D9CA" w14:textId="4AB10580" w:rsidR="00301D5D" w:rsidRPr="003A7E34" w:rsidRDefault="39F1765D"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Policies and measures to protect consumers, especially vulnerable and, </w:t>
      </w:r>
      <w:r w:rsidRPr="003A7E34">
        <w:rPr>
          <w:rFonts w:ascii="Times New Roman" w:eastAsia="Times New Roman" w:hAnsi="Times New Roman" w:cs="Times New Roman"/>
          <w:b/>
          <w:bCs/>
          <w:i/>
          <w:iCs/>
          <w:noProof/>
          <w:lang w:val="en-US"/>
        </w:rPr>
        <w:t>where applicable</w:t>
      </w:r>
      <w:r w:rsidRPr="003A7E34">
        <w:rPr>
          <w:rFonts w:ascii="Times New Roman" w:eastAsia="Times New Roman" w:hAnsi="Times New Roman" w:cs="Times New Roman"/>
          <w:noProof/>
          <w:lang w:val="en-US"/>
        </w:rPr>
        <w:t>, energy poor consumers, and to improve the competitiveness and contestability of the retail energy market</w:t>
      </w:r>
    </w:p>
    <w:p w14:paraId="034D22A0" w14:textId="6F231220" w:rsidR="39F1765D" w:rsidRPr="003A7E34" w:rsidRDefault="3D9A4349" w:rsidP="39F1765D">
      <w:pPr>
        <w:rPr>
          <w:lang w:val="en-US"/>
        </w:rPr>
      </w:pPr>
      <w:r w:rsidRPr="003A7E34">
        <w:rPr>
          <w:lang w:val="en-US"/>
        </w:rPr>
        <w:t xml:space="preserve">There is aim in National Energy Independence Strategy to gradually abandon the regulation of retail electricity prices. To achieve that the regulation of retail electricity prices by applying social tariffs in line </w:t>
      </w:r>
      <w:r w:rsidRPr="003A7E34">
        <w:rPr>
          <w:lang w:val="en-US"/>
        </w:rPr>
        <w:lastRenderedPageBreak/>
        <w:t xml:space="preserve">with certain requirements will only be possible in exceptional cases, thus protecting socially vulnerable electricity consumers and not increasing energy poverty in the country. </w:t>
      </w:r>
    </w:p>
    <w:p w14:paraId="11B3F593" w14:textId="39EB539A" w:rsidR="00301D5D" w:rsidRPr="003A7E34" w:rsidRDefault="00301D5D"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Description of measures to enable and develop demand response including those addressing tariffs to support dynamic pricing</w:t>
      </w:r>
      <w:r w:rsidRPr="003A7E34">
        <w:rPr>
          <w:rFonts w:ascii="Times New Roman" w:eastAsia="Times New Roman" w:hAnsi="Times New Roman" w:cs="Times New Roman"/>
          <w:noProof/>
          <w:vertAlign w:val="superscript"/>
          <w:lang w:val="en-US"/>
        </w:rPr>
        <w:footnoteReference w:id="34"/>
      </w:r>
    </w:p>
    <w:p w14:paraId="6190013A" w14:textId="4D45B820" w:rsidR="00536A0B" w:rsidRPr="003A7E34" w:rsidRDefault="46DF7FC9" w:rsidP="46DF7FC9">
      <w:pPr>
        <w:rPr>
          <w:rFonts w:eastAsia="Times New Roman"/>
          <w:lang w:val="en-US"/>
        </w:rPr>
      </w:pPr>
      <w:r w:rsidRPr="003A7E34">
        <w:rPr>
          <w:rFonts w:eastAsia="Times New Roman"/>
          <w:lang w:val="en-US"/>
        </w:rPr>
        <w:t>For demand side response implementation and to enable demand load regulation, bonus system for consumers can be applicable. For consumer’s load regulation, corresponding to demand in the electric system premiums would be paid for such option. However, consumer could respond according to market prices and use electricity when there is favorable price in the market.</w:t>
      </w:r>
    </w:p>
    <w:p w14:paraId="6EAC6A32" w14:textId="6A935372" w:rsidR="46DF7FC9" w:rsidRPr="003A7E34" w:rsidRDefault="46DF7FC9" w:rsidP="46DF7FC9">
      <w:pPr>
        <w:rPr>
          <w:rFonts w:eastAsia="Times New Roman"/>
          <w:noProof/>
          <w:lang w:val="en-US"/>
        </w:rPr>
      </w:pPr>
    </w:p>
    <w:p w14:paraId="61D50C51" w14:textId="20FB6123" w:rsidR="004D67BB" w:rsidRPr="003A7E34" w:rsidRDefault="46DF7FC9" w:rsidP="00C42AAE">
      <w:pPr>
        <w:pStyle w:val="Heading3"/>
        <w:numPr>
          <w:ilvl w:val="2"/>
          <w:numId w:val="21"/>
        </w:numPr>
        <w:spacing w:before="120" w:after="120"/>
        <w:rPr>
          <w:rFonts w:cs="Times New Roman"/>
          <w:noProof/>
          <w:lang w:val="en-US"/>
        </w:rPr>
      </w:pPr>
      <w:bookmarkStart w:id="101" w:name="_Toc530405583"/>
      <w:bookmarkStart w:id="102" w:name="_Toc530411814"/>
      <w:bookmarkStart w:id="103" w:name="_Toc530414163"/>
      <w:r w:rsidRPr="003A7E34">
        <w:rPr>
          <w:rFonts w:eastAsia="Times New Roman" w:cs="Times New Roman"/>
          <w:noProof/>
          <w:lang w:val="en-US"/>
        </w:rPr>
        <w:t>Energy poverty</w:t>
      </w:r>
      <w:bookmarkEnd w:id="101"/>
      <w:bookmarkEnd w:id="102"/>
      <w:bookmarkEnd w:id="103"/>
    </w:p>
    <w:p w14:paraId="2075CA0D" w14:textId="5EEDC310" w:rsidR="004D67BB" w:rsidRPr="003A7E34" w:rsidRDefault="46DF7FC9"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b/>
          <w:bCs/>
          <w:i/>
          <w:iCs/>
          <w:noProof/>
          <w:lang w:val="en-US"/>
        </w:rPr>
        <w:t>Where applicable</w:t>
      </w:r>
      <w:r w:rsidRPr="003A7E34">
        <w:rPr>
          <w:rFonts w:ascii="Times New Roman" w:eastAsia="Times New Roman" w:hAnsi="Times New Roman" w:cs="Times New Roman"/>
          <w:noProof/>
          <w:lang w:val="en-US"/>
        </w:rPr>
        <w:t>, policies and measures to achieve the objectives set out in point 2.4.4</w:t>
      </w:r>
    </w:p>
    <w:p w14:paraId="2EC7ACB3" w14:textId="3406A608" w:rsidR="00207E9F" w:rsidRPr="003A7E34" w:rsidRDefault="46DF7FC9" w:rsidP="46DF7FC9">
      <w:pPr>
        <w:rPr>
          <w:lang w:val="en-US"/>
        </w:rPr>
      </w:pPr>
      <w:r w:rsidRPr="003A7E34">
        <w:rPr>
          <w:rFonts w:eastAsia="Times New Roman"/>
          <w:noProof/>
          <w:lang w:val="en-US"/>
        </w:rPr>
        <w:t xml:space="preserve">In Lithuania, specific research and policies on energy poverty have yet to be developed. Until summer 2018, Lithuania has only been analysed in the context of regional studies of Eastern Europe. An important instrument to address energy poverty in Lithuania is heating compensation, which provides financial assistance to households who cannot afford sufficient heating. </w:t>
      </w:r>
    </w:p>
    <w:p w14:paraId="2443786F" w14:textId="2B3F2325" w:rsidR="00207E9F" w:rsidRPr="003A7E34" w:rsidRDefault="46DF7FC9" w:rsidP="46DF7FC9">
      <w:pPr>
        <w:rPr>
          <w:lang w:val="en-US"/>
        </w:rPr>
      </w:pPr>
      <w:r w:rsidRPr="003A7E34">
        <w:rPr>
          <w:rFonts w:eastAsia="Times New Roman"/>
          <w:noProof/>
          <w:lang w:val="en-US"/>
        </w:rPr>
        <w:t xml:space="preserve">In addition, some general energy policies could be potentially beneficial for energy poor households. </w:t>
      </w:r>
    </w:p>
    <w:p w14:paraId="7CEF55D7" w14:textId="2C470D27" w:rsidR="00207E9F" w:rsidRPr="003A7E34" w:rsidRDefault="46DF7FC9" w:rsidP="46DF7FC9">
      <w:pPr>
        <w:rPr>
          <w:lang w:val="en-US"/>
        </w:rPr>
      </w:pPr>
      <w:r w:rsidRPr="003A7E34">
        <w:rPr>
          <w:rFonts w:eastAsia="Times New Roman"/>
          <w:noProof/>
          <w:lang w:val="en-US"/>
        </w:rPr>
        <w:t xml:space="preserve">Some government-sponsored programs target energy efficiency improvements in apartment buildings. More than 400 apartment buildings have been renovated since 2013. </w:t>
      </w:r>
    </w:p>
    <w:p w14:paraId="4DD66641" w14:textId="561B80A2" w:rsidR="00207E9F" w:rsidRPr="003A7E34" w:rsidRDefault="46DF7FC9" w:rsidP="46DF7FC9">
      <w:pPr>
        <w:rPr>
          <w:lang w:val="en-US"/>
        </w:rPr>
      </w:pPr>
      <w:r w:rsidRPr="003A7E34">
        <w:rPr>
          <w:rFonts w:eastAsia="Times New Roman"/>
          <w:noProof/>
          <w:lang w:val="en-US"/>
        </w:rPr>
        <w:t xml:space="preserve">Another program aims to replace inefficient biomass boilers with more energy efficient alternatives, with funding available for a east 9 000 households. Another interesting measure in Lithuania requires energy suppliers to establish an agreement with the national government, whereby the suppliers commit to educating and advising households on energy efficiency measures. </w:t>
      </w:r>
    </w:p>
    <w:p w14:paraId="1EB7F600" w14:textId="0F271E3F" w:rsidR="00207E9F" w:rsidRPr="003A7E34" w:rsidRDefault="5E230566" w:rsidP="46DF7FC9">
      <w:pPr>
        <w:rPr>
          <w:lang w:val="en-US"/>
        </w:rPr>
      </w:pPr>
      <w:r w:rsidRPr="003A7E34">
        <w:rPr>
          <w:rFonts w:eastAsia="Times New Roman"/>
          <w:noProof/>
          <w:lang w:val="en-US"/>
        </w:rPr>
        <w:t>The European project Students Achieving Valuable Energy Savings 2 (SAVES2) is also active in Lithuania. It aims to catalyse sustainable energy behaviours among university students to help them reduce their exposure to energy poverty.</w:t>
      </w:r>
    </w:p>
    <w:p w14:paraId="68D3B26E" w14:textId="0B9D1192" w:rsidR="5E230566" w:rsidRPr="003A7E34" w:rsidRDefault="5E230566" w:rsidP="5E230566">
      <w:pPr>
        <w:rPr>
          <w:rFonts w:eastAsia="Times New Roman"/>
          <w:noProof/>
          <w:lang w:val="en-US"/>
        </w:rPr>
      </w:pPr>
    </w:p>
    <w:p w14:paraId="04475C1C" w14:textId="4A28CC5C" w:rsidR="00207E9F" w:rsidRPr="003A7E34" w:rsidRDefault="5E230566" w:rsidP="5E230566">
      <w:pPr>
        <w:rPr>
          <w:rFonts w:eastAsia="Times New Roman"/>
          <w:noProof/>
          <w:lang w:val="en-US"/>
        </w:rPr>
      </w:pPr>
      <w:r w:rsidRPr="003A7E34">
        <w:rPr>
          <w:rFonts w:eastAsia="Times New Roman"/>
          <w:b/>
          <w:bCs/>
          <w:noProof/>
          <w:sz w:val="20"/>
          <w:szCs w:val="20"/>
          <w:lang w:val="en-US"/>
        </w:rPr>
        <w:t>Table 3.4.4.1.</w:t>
      </w:r>
      <w:r w:rsidRPr="003A7E34">
        <w:rPr>
          <w:rFonts w:eastAsia="Times New Roman"/>
          <w:noProof/>
          <w:sz w:val="20"/>
          <w:szCs w:val="20"/>
          <w:lang w:val="en-US"/>
        </w:rPr>
        <w:t xml:space="preserve"> Measures to reduce energy poverty in Lithuania</w:t>
      </w:r>
    </w:p>
    <w:tbl>
      <w:tblPr>
        <w:tblStyle w:val="TableGrid"/>
        <w:tblW w:w="0" w:type="auto"/>
        <w:tblLayout w:type="fixed"/>
        <w:tblLook w:val="06A0" w:firstRow="1" w:lastRow="0" w:firstColumn="1" w:lastColumn="0" w:noHBand="1" w:noVBand="1"/>
      </w:tblPr>
      <w:tblGrid>
        <w:gridCol w:w="2410"/>
        <w:gridCol w:w="2410"/>
        <w:gridCol w:w="2410"/>
        <w:gridCol w:w="2410"/>
      </w:tblGrid>
      <w:tr w:rsidR="003A7E34" w:rsidRPr="003A7E34" w14:paraId="0DA0E113" w14:textId="77777777" w:rsidTr="46DF7FC9">
        <w:tc>
          <w:tcPr>
            <w:tcW w:w="2410" w:type="dxa"/>
          </w:tcPr>
          <w:p w14:paraId="2DA01A9C" w14:textId="7A73908A" w:rsidR="46DF7FC9" w:rsidRPr="003A7E34" w:rsidRDefault="46DF7FC9" w:rsidP="46DF7FC9">
            <w:pPr>
              <w:spacing w:before="0" w:after="0"/>
              <w:rPr>
                <w:rFonts w:eastAsia="Times New Roman"/>
                <w:b/>
                <w:bCs/>
                <w:noProof/>
                <w:sz w:val="20"/>
                <w:szCs w:val="20"/>
                <w:lang w:val="en-US"/>
              </w:rPr>
            </w:pPr>
            <w:r w:rsidRPr="003A7E34">
              <w:rPr>
                <w:rFonts w:eastAsia="Times New Roman"/>
                <w:b/>
                <w:bCs/>
                <w:noProof/>
                <w:sz w:val="20"/>
                <w:szCs w:val="20"/>
                <w:lang w:val="en-US"/>
              </w:rPr>
              <w:t>Selected measures</w:t>
            </w:r>
          </w:p>
        </w:tc>
        <w:tc>
          <w:tcPr>
            <w:tcW w:w="2410" w:type="dxa"/>
          </w:tcPr>
          <w:p w14:paraId="7E58DD8F" w14:textId="2B94AB11" w:rsidR="46DF7FC9" w:rsidRPr="003A7E34" w:rsidRDefault="46DF7FC9" w:rsidP="46DF7FC9">
            <w:pPr>
              <w:spacing w:before="0" w:after="0"/>
              <w:rPr>
                <w:rFonts w:eastAsia="Times New Roman"/>
                <w:b/>
                <w:bCs/>
                <w:noProof/>
                <w:sz w:val="20"/>
                <w:szCs w:val="20"/>
                <w:lang w:val="en-US"/>
              </w:rPr>
            </w:pPr>
            <w:r w:rsidRPr="003A7E34">
              <w:rPr>
                <w:rFonts w:eastAsia="Times New Roman"/>
                <w:b/>
                <w:bCs/>
                <w:noProof/>
                <w:sz w:val="20"/>
                <w:szCs w:val="20"/>
                <w:lang w:val="en-US"/>
              </w:rPr>
              <w:t>Type of measure</w:t>
            </w:r>
          </w:p>
        </w:tc>
        <w:tc>
          <w:tcPr>
            <w:tcW w:w="2410" w:type="dxa"/>
          </w:tcPr>
          <w:p w14:paraId="6894D39A" w14:textId="6E642992" w:rsidR="46DF7FC9" w:rsidRPr="003A7E34" w:rsidRDefault="46DF7FC9" w:rsidP="46DF7FC9">
            <w:pPr>
              <w:spacing w:before="0" w:after="0"/>
              <w:rPr>
                <w:rFonts w:eastAsia="Times New Roman"/>
                <w:b/>
                <w:bCs/>
                <w:noProof/>
                <w:sz w:val="20"/>
                <w:szCs w:val="20"/>
                <w:lang w:val="en-US"/>
              </w:rPr>
            </w:pPr>
            <w:r w:rsidRPr="003A7E34">
              <w:rPr>
                <w:rFonts w:eastAsia="Times New Roman"/>
                <w:b/>
                <w:bCs/>
                <w:noProof/>
                <w:sz w:val="20"/>
                <w:szCs w:val="20"/>
                <w:lang w:val="en-US"/>
              </w:rPr>
              <w:t>Organisation</w:t>
            </w:r>
          </w:p>
        </w:tc>
        <w:tc>
          <w:tcPr>
            <w:tcW w:w="2410" w:type="dxa"/>
          </w:tcPr>
          <w:p w14:paraId="68C599A6" w14:textId="0A2A4A40" w:rsidR="46DF7FC9" w:rsidRPr="003A7E34" w:rsidRDefault="46DF7FC9" w:rsidP="46DF7FC9">
            <w:pPr>
              <w:spacing w:before="0" w:after="0"/>
              <w:rPr>
                <w:rFonts w:eastAsia="Times New Roman"/>
                <w:b/>
                <w:bCs/>
                <w:noProof/>
                <w:sz w:val="20"/>
                <w:szCs w:val="20"/>
                <w:lang w:val="en-US"/>
              </w:rPr>
            </w:pPr>
            <w:r w:rsidRPr="003A7E34">
              <w:rPr>
                <w:rFonts w:eastAsia="Times New Roman"/>
                <w:b/>
                <w:bCs/>
                <w:noProof/>
                <w:sz w:val="20"/>
                <w:szCs w:val="20"/>
                <w:lang w:val="en-US"/>
              </w:rPr>
              <w:t>Target groups</w:t>
            </w:r>
          </w:p>
        </w:tc>
      </w:tr>
      <w:tr w:rsidR="003A7E34" w:rsidRPr="003A7E34" w14:paraId="5DF3935E" w14:textId="77777777" w:rsidTr="46DF7FC9">
        <w:tc>
          <w:tcPr>
            <w:tcW w:w="2410" w:type="dxa"/>
          </w:tcPr>
          <w:p w14:paraId="76F42720" w14:textId="57CC1D47" w:rsidR="46DF7FC9" w:rsidRPr="003A7E34" w:rsidRDefault="46DF7FC9" w:rsidP="46DF7FC9">
            <w:pPr>
              <w:spacing w:before="0" w:after="0"/>
              <w:rPr>
                <w:rFonts w:eastAsia="Times New Roman"/>
                <w:noProof/>
                <w:sz w:val="20"/>
                <w:szCs w:val="20"/>
                <w:lang w:val="en-US"/>
              </w:rPr>
            </w:pPr>
            <w:r w:rsidRPr="003A7E34">
              <w:rPr>
                <w:rFonts w:eastAsia="Times New Roman"/>
                <w:noProof/>
                <w:sz w:val="20"/>
                <w:szCs w:val="20"/>
                <w:lang w:val="en-US"/>
              </w:rPr>
              <w:t>Programs for renovation of apartment building</w:t>
            </w:r>
          </w:p>
        </w:tc>
        <w:tc>
          <w:tcPr>
            <w:tcW w:w="2410" w:type="dxa"/>
          </w:tcPr>
          <w:p w14:paraId="41D568E8" w14:textId="28F734C4" w:rsidR="46DF7FC9" w:rsidRPr="003A7E34" w:rsidRDefault="46DF7FC9" w:rsidP="46DF7FC9">
            <w:pPr>
              <w:spacing w:before="0" w:after="0"/>
              <w:rPr>
                <w:rFonts w:eastAsia="Times New Roman"/>
                <w:noProof/>
                <w:sz w:val="20"/>
                <w:szCs w:val="20"/>
                <w:lang w:val="en-US"/>
              </w:rPr>
            </w:pPr>
            <w:r w:rsidRPr="003A7E34">
              <w:rPr>
                <w:rFonts w:eastAsia="Times New Roman"/>
                <w:noProof/>
                <w:sz w:val="20"/>
                <w:szCs w:val="20"/>
                <w:lang w:val="en-US"/>
              </w:rPr>
              <w:t>Building insulation, heating system</w:t>
            </w:r>
          </w:p>
        </w:tc>
        <w:tc>
          <w:tcPr>
            <w:tcW w:w="2410" w:type="dxa"/>
          </w:tcPr>
          <w:p w14:paraId="47DFC7F4" w14:textId="5186CC73" w:rsidR="46DF7FC9" w:rsidRPr="003A7E34" w:rsidRDefault="46DF7FC9" w:rsidP="46DF7FC9">
            <w:pPr>
              <w:spacing w:before="0" w:after="0"/>
              <w:rPr>
                <w:rFonts w:eastAsia="Times New Roman"/>
                <w:noProof/>
                <w:sz w:val="20"/>
                <w:szCs w:val="20"/>
                <w:lang w:val="en-US"/>
              </w:rPr>
            </w:pPr>
            <w:r w:rsidRPr="003A7E34">
              <w:rPr>
                <w:rFonts w:eastAsia="Times New Roman"/>
                <w:noProof/>
                <w:sz w:val="20"/>
                <w:szCs w:val="20"/>
                <w:lang w:val="en-US"/>
              </w:rPr>
              <w:t>National government</w:t>
            </w:r>
          </w:p>
        </w:tc>
        <w:tc>
          <w:tcPr>
            <w:tcW w:w="2410" w:type="dxa"/>
          </w:tcPr>
          <w:p w14:paraId="7C595BBC" w14:textId="4D927F2D" w:rsidR="46DF7FC9" w:rsidRPr="003A7E34" w:rsidRDefault="46DF7FC9" w:rsidP="46DF7FC9">
            <w:pPr>
              <w:spacing w:before="0" w:after="0"/>
              <w:rPr>
                <w:rFonts w:eastAsia="Times New Roman"/>
                <w:noProof/>
                <w:sz w:val="20"/>
                <w:szCs w:val="20"/>
                <w:lang w:val="en-US"/>
              </w:rPr>
            </w:pPr>
            <w:r w:rsidRPr="003A7E34">
              <w:rPr>
                <w:rFonts w:eastAsia="Times New Roman"/>
                <w:noProof/>
                <w:sz w:val="20"/>
                <w:szCs w:val="20"/>
                <w:lang w:val="en-US"/>
              </w:rPr>
              <w:t>Apartment buildings</w:t>
            </w:r>
          </w:p>
        </w:tc>
      </w:tr>
      <w:tr w:rsidR="003A7E34" w:rsidRPr="003A7E34" w14:paraId="64ACE1A3" w14:textId="77777777" w:rsidTr="46DF7FC9">
        <w:tc>
          <w:tcPr>
            <w:tcW w:w="2410" w:type="dxa"/>
          </w:tcPr>
          <w:p w14:paraId="50D78123" w14:textId="2626C1A5" w:rsidR="46DF7FC9" w:rsidRPr="003A7E34" w:rsidRDefault="46DF7FC9" w:rsidP="46DF7FC9">
            <w:pPr>
              <w:spacing w:before="0" w:after="0"/>
              <w:rPr>
                <w:rFonts w:eastAsia="Times New Roman"/>
                <w:noProof/>
                <w:sz w:val="20"/>
                <w:szCs w:val="20"/>
                <w:lang w:val="en-US"/>
              </w:rPr>
            </w:pPr>
            <w:r w:rsidRPr="003A7E34">
              <w:rPr>
                <w:rFonts w:eastAsia="Times New Roman"/>
                <w:noProof/>
                <w:sz w:val="20"/>
                <w:szCs w:val="20"/>
                <w:lang w:val="en-US"/>
              </w:rPr>
              <w:t>Heating compensation</w:t>
            </w:r>
          </w:p>
        </w:tc>
        <w:tc>
          <w:tcPr>
            <w:tcW w:w="2410" w:type="dxa"/>
          </w:tcPr>
          <w:p w14:paraId="391615BA" w14:textId="4CB54C6B" w:rsidR="46DF7FC9" w:rsidRPr="003A7E34" w:rsidRDefault="46DF7FC9" w:rsidP="46DF7FC9">
            <w:pPr>
              <w:spacing w:before="0" w:after="0"/>
              <w:rPr>
                <w:rFonts w:eastAsia="Times New Roman"/>
                <w:noProof/>
                <w:sz w:val="20"/>
                <w:szCs w:val="20"/>
                <w:lang w:val="en-US"/>
              </w:rPr>
            </w:pPr>
            <w:r w:rsidRPr="003A7E34">
              <w:rPr>
                <w:rFonts w:eastAsia="Times New Roman"/>
                <w:noProof/>
                <w:sz w:val="20"/>
                <w:szCs w:val="20"/>
                <w:lang w:val="en-US"/>
              </w:rPr>
              <w:t>Energy bill support</w:t>
            </w:r>
          </w:p>
        </w:tc>
        <w:tc>
          <w:tcPr>
            <w:tcW w:w="2410" w:type="dxa"/>
          </w:tcPr>
          <w:p w14:paraId="42B3305D" w14:textId="48506BE0" w:rsidR="46DF7FC9" w:rsidRPr="003A7E34" w:rsidRDefault="46DF7FC9" w:rsidP="46DF7FC9">
            <w:pPr>
              <w:spacing w:before="0" w:after="0"/>
              <w:rPr>
                <w:rFonts w:eastAsia="Times New Roman"/>
                <w:noProof/>
                <w:sz w:val="20"/>
                <w:szCs w:val="20"/>
                <w:lang w:val="en-US"/>
              </w:rPr>
            </w:pPr>
            <w:r w:rsidRPr="003A7E34">
              <w:rPr>
                <w:rFonts w:eastAsia="Times New Roman"/>
                <w:noProof/>
                <w:sz w:val="20"/>
                <w:szCs w:val="20"/>
                <w:lang w:val="en-US"/>
              </w:rPr>
              <w:t>National government, local government</w:t>
            </w:r>
          </w:p>
        </w:tc>
        <w:tc>
          <w:tcPr>
            <w:tcW w:w="2410" w:type="dxa"/>
          </w:tcPr>
          <w:p w14:paraId="6A8E7B0F" w14:textId="1B776380" w:rsidR="46DF7FC9" w:rsidRPr="003A7E34" w:rsidRDefault="46DF7FC9" w:rsidP="46DF7FC9">
            <w:pPr>
              <w:spacing w:before="0" w:after="0"/>
              <w:rPr>
                <w:rFonts w:eastAsia="Times New Roman"/>
                <w:noProof/>
                <w:sz w:val="20"/>
                <w:szCs w:val="20"/>
                <w:lang w:val="en-US"/>
              </w:rPr>
            </w:pPr>
            <w:r w:rsidRPr="003A7E34">
              <w:rPr>
                <w:rFonts w:eastAsia="Times New Roman"/>
                <w:noProof/>
                <w:sz w:val="20"/>
                <w:szCs w:val="20"/>
                <w:lang w:val="en-US"/>
              </w:rPr>
              <w:t>Low-income household</w:t>
            </w:r>
          </w:p>
        </w:tc>
      </w:tr>
      <w:tr w:rsidR="003A7E34" w:rsidRPr="003A7E34" w14:paraId="5C896FC6" w14:textId="77777777" w:rsidTr="46DF7FC9">
        <w:tc>
          <w:tcPr>
            <w:tcW w:w="2410" w:type="dxa"/>
          </w:tcPr>
          <w:p w14:paraId="4133ED73" w14:textId="522E2F76" w:rsidR="46DF7FC9" w:rsidRPr="003A7E34" w:rsidRDefault="46DF7FC9" w:rsidP="46DF7FC9">
            <w:pPr>
              <w:spacing w:before="0" w:after="0"/>
              <w:rPr>
                <w:rFonts w:eastAsia="Times New Roman"/>
                <w:noProof/>
                <w:sz w:val="20"/>
                <w:szCs w:val="20"/>
                <w:lang w:val="en-US"/>
              </w:rPr>
            </w:pPr>
            <w:r w:rsidRPr="003A7E34">
              <w:rPr>
                <w:rFonts w:eastAsia="Times New Roman"/>
                <w:noProof/>
                <w:sz w:val="20"/>
                <w:szCs w:val="20"/>
                <w:lang w:val="en-US"/>
              </w:rPr>
              <w:t>Program to replace boilers</w:t>
            </w:r>
          </w:p>
        </w:tc>
        <w:tc>
          <w:tcPr>
            <w:tcW w:w="2410" w:type="dxa"/>
          </w:tcPr>
          <w:p w14:paraId="5C5E06F3" w14:textId="657DDB2F" w:rsidR="46DF7FC9" w:rsidRPr="003A7E34" w:rsidRDefault="46DF7FC9" w:rsidP="46DF7FC9">
            <w:pPr>
              <w:spacing w:before="0" w:after="0"/>
              <w:rPr>
                <w:rFonts w:eastAsia="Times New Roman"/>
                <w:noProof/>
                <w:sz w:val="20"/>
                <w:szCs w:val="20"/>
                <w:lang w:val="en-US"/>
              </w:rPr>
            </w:pPr>
            <w:r w:rsidRPr="003A7E34">
              <w:rPr>
                <w:rFonts w:eastAsia="Times New Roman"/>
                <w:noProof/>
                <w:sz w:val="20"/>
                <w:szCs w:val="20"/>
                <w:lang w:val="en-US"/>
              </w:rPr>
              <w:t>Heating system</w:t>
            </w:r>
          </w:p>
        </w:tc>
        <w:tc>
          <w:tcPr>
            <w:tcW w:w="2410" w:type="dxa"/>
          </w:tcPr>
          <w:p w14:paraId="0D672384" w14:textId="6038BA43" w:rsidR="46DF7FC9" w:rsidRPr="003A7E34" w:rsidRDefault="46DF7FC9" w:rsidP="46DF7FC9">
            <w:pPr>
              <w:spacing w:before="0" w:after="0"/>
              <w:rPr>
                <w:rFonts w:eastAsia="Times New Roman"/>
                <w:noProof/>
                <w:sz w:val="20"/>
                <w:szCs w:val="20"/>
                <w:lang w:val="en-US"/>
              </w:rPr>
            </w:pPr>
            <w:r w:rsidRPr="003A7E34">
              <w:rPr>
                <w:rFonts w:eastAsia="Times New Roman"/>
                <w:noProof/>
                <w:sz w:val="20"/>
                <w:szCs w:val="20"/>
                <w:lang w:val="en-US"/>
              </w:rPr>
              <w:t>National governement</w:t>
            </w:r>
          </w:p>
        </w:tc>
        <w:tc>
          <w:tcPr>
            <w:tcW w:w="2410" w:type="dxa"/>
          </w:tcPr>
          <w:p w14:paraId="18BF6E03" w14:textId="3A730A68" w:rsidR="46DF7FC9" w:rsidRPr="003A7E34" w:rsidRDefault="46DF7FC9" w:rsidP="46DF7FC9">
            <w:pPr>
              <w:spacing w:before="0" w:after="0"/>
              <w:rPr>
                <w:rFonts w:eastAsia="Times New Roman"/>
                <w:noProof/>
                <w:sz w:val="20"/>
                <w:szCs w:val="20"/>
                <w:lang w:val="en-US"/>
              </w:rPr>
            </w:pPr>
            <w:r w:rsidRPr="003A7E34">
              <w:rPr>
                <w:rFonts w:eastAsia="Times New Roman"/>
                <w:noProof/>
                <w:sz w:val="20"/>
                <w:szCs w:val="20"/>
                <w:lang w:val="en-US"/>
              </w:rPr>
              <w:t>No specific target group</w:t>
            </w:r>
          </w:p>
        </w:tc>
      </w:tr>
      <w:tr w:rsidR="46DF7FC9" w:rsidRPr="003A7E34" w14:paraId="2558C9FE" w14:textId="77777777" w:rsidTr="46DF7FC9">
        <w:tc>
          <w:tcPr>
            <w:tcW w:w="2410" w:type="dxa"/>
          </w:tcPr>
          <w:p w14:paraId="30BAA394" w14:textId="273B2156" w:rsidR="46DF7FC9" w:rsidRPr="003A7E34" w:rsidRDefault="46DF7FC9" w:rsidP="46DF7FC9">
            <w:pPr>
              <w:spacing w:before="0" w:after="0"/>
              <w:rPr>
                <w:rFonts w:eastAsia="Times New Roman"/>
                <w:noProof/>
                <w:sz w:val="20"/>
                <w:szCs w:val="20"/>
                <w:lang w:val="en-US"/>
              </w:rPr>
            </w:pPr>
            <w:r w:rsidRPr="003A7E34">
              <w:rPr>
                <w:rFonts w:eastAsia="Times New Roman"/>
                <w:noProof/>
                <w:sz w:val="20"/>
                <w:szCs w:val="20"/>
                <w:lang w:val="en-US"/>
              </w:rPr>
              <w:t>Agreements on energy education and consultation for energy consumers</w:t>
            </w:r>
          </w:p>
        </w:tc>
        <w:tc>
          <w:tcPr>
            <w:tcW w:w="2410" w:type="dxa"/>
          </w:tcPr>
          <w:p w14:paraId="53D377C3" w14:textId="1D3B29DE" w:rsidR="46DF7FC9" w:rsidRPr="003A7E34" w:rsidRDefault="46DF7FC9" w:rsidP="46DF7FC9">
            <w:pPr>
              <w:spacing w:before="0" w:after="0"/>
              <w:rPr>
                <w:rFonts w:eastAsia="Times New Roman"/>
                <w:noProof/>
                <w:sz w:val="20"/>
                <w:szCs w:val="20"/>
                <w:lang w:val="en-US"/>
              </w:rPr>
            </w:pPr>
            <w:r w:rsidRPr="003A7E34">
              <w:rPr>
                <w:rFonts w:eastAsia="Times New Roman"/>
                <w:noProof/>
                <w:sz w:val="20"/>
                <w:szCs w:val="20"/>
                <w:lang w:val="en-US"/>
              </w:rPr>
              <w:t>Information and awareness</w:t>
            </w:r>
          </w:p>
        </w:tc>
        <w:tc>
          <w:tcPr>
            <w:tcW w:w="2410" w:type="dxa"/>
          </w:tcPr>
          <w:p w14:paraId="321E1555" w14:textId="680CA9CB" w:rsidR="46DF7FC9" w:rsidRPr="003A7E34" w:rsidRDefault="46DF7FC9" w:rsidP="46DF7FC9">
            <w:pPr>
              <w:spacing w:before="0" w:after="0"/>
              <w:rPr>
                <w:rFonts w:eastAsia="Times New Roman"/>
                <w:noProof/>
                <w:sz w:val="20"/>
                <w:szCs w:val="20"/>
                <w:lang w:val="en-US"/>
              </w:rPr>
            </w:pPr>
            <w:r w:rsidRPr="003A7E34">
              <w:rPr>
                <w:rFonts w:eastAsia="Times New Roman"/>
                <w:noProof/>
                <w:sz w:val="20"/>
                <w:szCs w:val="20"/>
                <w:lang w:val="en-US"/>
              </w:rPr>
              <w:t>National government, energy suppliers</w:t>
            </w:r>
          </w:p>
        </w:tc>
        <w:tc>
          <w:tcPr>
            <w:tcW w:w="2410" w:type="dxa"/>
          </w:tcPr>
          <w:p w14:paraId="67449355" w14:textId="78BEC5DA" w:rsidR="46DF7FC9" w:rsidRPr="003A7E34" w:rsidRDefault="46DF7FC9" w:rsidP="46DF7FC9">
            <w:pPr>
              <w:spacing w:before="0" w:after="0"/>
              <w:rPr>
                <w:rFonts w:eastAsia="Times New Roman"/>
                <w:noProof/>
                <w:sz w:val="20"/>
                <w:szCs w:val="20"/>
                <w:lang w:val="en-US"/>
              </w:rPr>
            </w:pPr>
            <w:r w:rsidRPr="003A7E34">
              <w:rPr>
                <w:rFonts w:eastAsia="Times New Roman"/>
                <w:noProof/>
                <w:sz w:val="20"/>
                <w:szCs w:val="20"/>
                <w:lang w:val="en-US"/>
              </w:rPr>
              <w:t>No specific target group</w:t>
            </w:r>
          </w:p>
        </w:tc>
      </w:tr>
    </w:tbl>
    <w:p w14:paraId="4857A974" w14:textId="17DFA9B3" w:rsidR="00207E9F" w:rsidRPr="003A7E34" w:rsidRDefault="00207E9F" w:rsidP="46DF7FC9">
      <w:pPr>
        <w:rPr>
          <w:rFonts w:eastAsia="Times New Roman"/>
          <w:noProof/>
          <w:lang w:val="en-US"/>
        </w:rPr>
      </w:pPr>
    </w:p>
    <w:p w14:paraId="5FC573E2" w14:textId="4F75C23A" w:rsidR="008C23FC" w:rsidRPr="003A7E34" w:rsidRDefault="372247B6" w:rsidP="00C42AAE">
      <w:pPr>
        <w:pStyle w:val="Heading2"/>
        <w:numPr>
          <w:ilvl w:val="1"/>
          <w:numId w:val="21"/>
        </w:numPr>
        <w:rPr>
          <w:rFonts w:cs="Times New Roman"/>
          <w:lang w:val="en-US"/>
        </w:rPr>
      </w:pPr>
      <w:bookmarkStart w:id="104" w:name="_Toc530405584"/>
      <w:bookmarkStart w:id="105" w:name="_Toc530411815"/>
      <w:bookmarkStart w:id="106" w:name="_Toc530414164"/>
      <w:r w:rsidRPr="003A7E34">
        <w:rPr>
          <w:rFonts w:eastAsia="Times New Roman" w:cs="Times New Roman"/>
          <w:lang w:val="en-US"/>
        </w:rPr>
        <w:t>Dimension research, innovation and competitiveness</w:t>
      </w:r>
      <w:bookmarkEnd w:id="104"/>
      <w:bookmarkEnd w:id="105"/>
      <w:bookmarkEnd w:id="106"/>
    </w:p>
    <w:p w14:paraId="0BAC08E1" w14:textId="77777777" w:rsidR="008C23FC" w:rsidRPr="003A7E34" w:rsidRDefault="008C23FC" w:rsidP="00EA50D6">
      <w:pPr>
        <w:pStyle w:val="ListParagraph"/>
        <w:spacing w:line="240" w:lineRule="auto"/>
        <w:ind w:left="792"/>
        <w:rPr>
          <w:rFonts w:ascii="Times New Roman" w:eastAsia="Times New Roman" w:hAnsi="Times New Roman" w:cs="Times New Roman"/>
          <w:b/>
          <w:bCs/>
          <w:sz w:val="24"/>
          <w:szCs w:val="24"/>
          <w:lang w:val="en-US"/>
        </w:rPr>
      </w:pPr>
    </w:p>
    <w:p w14:paraId="3A35A164" w14:textId="222BCC2C" w:rsidR="004C51FB" w:rsidRPr="003A7E34" w:rsidRDefault="5E230566" w:rsidP="5E230566">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 xml:space="preserve">Policies and measures </w:t>
      </w:r>
      <w:r w:rsidRPr="003A7E34">
        <w:rPr>
          <w:rFonts w:ascii="Times New Roman" w:eastAsia="Times New Roman" w:hAnsi="Times New Roman" w:cs="Times New Roman"/>
          <w:b/>
          <w:bCs/>
          <w:i/>
          <w:iCs/>
          <w:noProof/>
          <w:lang w:val="en-US"/>
        </w:rPr>
        <w:t>related to the elements</w:t>
      </w:r>
      <w:r w:rsidRPr="003A7E34">
        <w:rPr>
          <w:rFonts w:ascii="Times New Roman" w:eastAsia="Times New Roman" w:hAnsi="Times New Roman" w:cs="Times New Roman"/>
          <w:noProof/>
          <w:lang w:val="en-US"/>
        </w:rPr>
        <w:t xml:space="preserve"> set out in point 2.5</w:t>
      </w:r>
    </w:p>
    <w:p w14:paraId="703371A8" w14:textId="77777777" w:rsidR="00D56480" w:rsidRPr="003A7E34" w:rsidRDefault="00D56480">
      <w:pPr>
        <w:rPr>
          <w:rFonts w:eastAsia="Times New Roman"/>
          <w:noProof/>
          <w:lang w:val="en-US"/>
        </w:rPr>
      </w:pPr>
      <w:r w:rsidRPr="003A7E34">
        <w:rPr>
          <w:rFonts w:eastAsia="Times New Roman"/>
          <w:noProof/>
          <w:lang w:val="en-US"/>
        </w:rPr>
        <w:lastRenderedPageBreak/>
        <w:t xml:space="preserve">Lithuania seeks to make its R&amp;D and innovation system more effective and ensure that Innovation policy is purposeful. According to that in 2014, Lithuania adopted the </w:t>
      </w:r>
      <w:r w:rsidRPr="003A7E34">
        <w:rPr>
          <w:rFonts w:eastAsia="Times New Roman"/>
          <w:b/>
          <w:noProof/>
          <w:lang w:val="en-US"/>
        </w:rPr>
        <w:t>Smart Specialisation Strategy</w:t>
      </w:r>
      <w:r w:rsidRPr="003A7E34">
        <w:rPr>
          <w:rFonts w:eastAsia="Times New Roman"/>
          <w:noProof/>
          <w:lang w:val="en-US"/>
        </w:rPr>
        <w:t xml:space="preserve">, which offers important opportunities for closer business and science cooperation in the field of R&amp;D and innovation. The overall aim of this strategy is to develop policy instruments that would include both horizontal and subject measures necessary to achieve a substantial breakthrough in the six priority fields that Lithuania had identified as main areas for R&amp;D and innovation. Energy and sustainable environment is among these fields. There is a task to promote those R&amp;D and innovation activities which would enable a greater diversification of energy sources, the lowering of energy prices, economical and effective use of energy, sustainable change in ecosystems, in particular, efficient waste management, air and water pollution control will be implemented through this priority field. </w:t>
      </w:r>
    </w:p>
    <w:p w14:paraId="009C2123" w14:textId="77777777" w:rsidR="00D56480" w:rsidRPr="003A7E34" w:rsidRDefault="00D56480">
      <w:pPr>
        <w:rPr>
          <w:rFonts w:eastAsia="Times New Roman"/>
          <w:noProof/>
          <w:lang w:val="en-US"/>
        </w:rPr>
      </w:pPr>
      <w:r w:rsidRPr="003A7E34">
        <w:rPr>
          <w:rFonts w:eastAsia="Times New Roman"/>
          <w:noProof/>
          <w:lang w:val="en-US"/>
        </w:rPr>
        <w:t xml:space="preserve"> In 2017, the first report of “Science and innovation policy priority system development and implementation” was presented. The report shows that despite challenges, the project is going in the right direction. The report submitted only the project progresses, so clear conclusion could be drawn later.</w:t>
      </w:r>
    </w:p>
    <w:p w14:paraId="00AFECCC" w14:textId="77777777" w:rsidR="00D56480" w:rsidRPr="003A7E34" w:rsidRDefault="00D56480">
      <w:pPr>
        <w:rPr>
          <w:rFonts w:eastAsia="Times New Roman"/>
          <w:noProof/>
          <w:lang w:val="en-US"/>
        </w:rPr>
      </w:pPr>
      <w:r w:rsidRPr="003A7E34">
        <w:rPr>
          <w:rFonts w:eastAsia="Times New Roman"/>
          <w:noProof/>
          <w:lang w:val="en-US"/>
        </w:rPr>
        <w:t>Lithuania Smart Specialization program`s one of the priority areas are “Energy and environmental sustainability”.</w:t>
      </w:r>
    </w:p>
    <w:p w14:paraId="781C009C" w14:textId="77777777" w:rsidR="00D56480" w:rsidRPr="003A7E34" w:rsidRDefault="00D56480">
      <w:pPr>
        <w:rPr>
          <w:rFonts w:eastAsia="Times New Roman"/>
          <w:noProof/>
          <w:lang w:val="en-US"/>
        </w:rPr>
      </w:pPr>
      <w:r w:rsidRPr="003A7E34">
        <w:rPr>
          <w:rFonts w:eastAsia="Times New Roman"/>
          <w:noProof/>
          <w:lang w:val="en-US"/>
        </w:rPr>
        <w:t xml:space="preserve">The total amount allocated to the Smart Specialization programme is 679 million euro. </w:t>
      </w:r>
    </w:p>
    <w:p w14:paraId="65505658" w14:textId="1B1F07BE" w:rsidR="00D56480" w:rsidRPr="003A7E34" w:rsidRDefault="00D56480">
      <w:pPr>
        <w:rPr>
          <w:rFonts w:eastAsia="Times New Roman"/>
          <w:noProof/>
          <w:lang w:val="en-US"/>
        </w:rPr>
      </w:pPr>
      <w:r w:rsidRPr="003A7E34">
        <w:rPr>
          <w:rFonts w:eastAsia="Times New Roman"/>
          <w:noProof/>
          <w:lang w:val="en-US"/>
        </w:rPr>
        <w:t>398 million euro is administrered by the Ministry of Economy of which 68 million euro allocated to Energy and environmen</w:t>
      </w:r>
      <w:r w:rsidR="00A70D9B" w:rsidRPr="003A7E34">
        <w:rPr>
          <w:rFonts w:eastAsia="Times New Roman"/>
          <w:noProof/>
          <w:lang w:val="en-US"/>
        </w:rPr>
        <w:t>tal sustainability. It is 20.7</w:t>
      </w:r>
      <w:r w:rsidR="00906CD3" w:rsidRPr="003A7E34">
        <w:rPr>
          <w:rFonts w:eastAsia="Times New Roman"/>
          <w:noProof/>
          <w:lang w:val="en-US"/>
        </w:rPr>
        <w:t>%</w:t>
      </w:r>
      <w:r w:rsidRPr="003A7E34">
        <w:rPr>
          <w:rFonts w:eastAsia="Times New Roman"/>
          <w:noProof/>
          <w:lang w:val="en-US"/>
        </w:rPr>
        <w:t xml:space="preserve"> of all Smart Specialization programme managing by the Ministry of Economy. </w:t>
      </w:r>
    </w:p>
    <w:p w14:paraId="560D4E40" w14:textId="77777777" w:rsidR="00D56480" w:rsidRPr="003A7E34" w:rsidRDefault="00D56480">
      <w:pPr>
        <w:rPr>
          <w:rFonts w:eastAsia="Times New Roman"/>
          <w:noProof/>
          <w:lang w:val="en-US"/>
        </w:rPr>
      </w:pPr>
      <w:r w:rsidRPr="003A7E34">
        <w:rPr>
          <w:rFonts w:eastAsia="Times New Roman"/>
          <w:noProof/>
          <w:lang w:val="en-US"/>
        </w:rPr>
        <w:t xml:space="preserve">Allocation of money according to 4 Energy and environmental sustainability priorities: </w:t>
      </w:r>
    </w:p>
    <w:p w14:paraId="577FD6BF" w14:textId="65A431F8" w:rsidR="00D56480" w:rsidRPr="003A7E34" w:rsidRDefault="00D56480" w:rsidP="00C42AAE">
      <w:pPr>
        <w:pStyle w:val="ListParagraph"/>
        <w:numPr>
          <w:ilvl w:val="1"/>
          <w:numId w:val="41"/>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smart systems for energy efficiency, diagnostic, monitoring, metering and management of generators, grids and customers – 20.4 million euro.</w:t>
      </w:r>
    </w:p>
    <w:p w14:paraId="5E5E53FF" w14:textId="68BFA2E4" w:rsidR="00D56480" w:rsidRPr="003A7E34" w:rsidRDefault="00D56480" w:rsidP="00C42AAE">
      <w:pPr>
        <w:pStyle w:val="ListParagraph"/>
        <w:numPr>
          <w:ilvl w:val="1"/>
          <w:numId w:val="41"/>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energy and fuel production using biomass/waste and waste treatment, storage and disposal – 16.8 million euro.</w:t>
      </w:r>
    </w:p>
    <w:p w14:paraId="63C94C14" w14:textId="3BE1296B" w:rsidR="00D56480" w:rsidRPr="003A7E34" w:rsidRDefault="00D56480" w:rsidP="00C42AAE">
      <w:pPr>
        <w:pStyle w:val="ListParagraph"/>
        <w:numPr>
          <w:ilvl w:val="1"/>
          <w:numId w:val="41"/>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technology for the development and use of smart low-energy buildings – digital construction – 22.2 million euro.</w:t>
      </w:r>
    </w:p>
    <w:p w14:paraId="3C78916E" w14:textId="755DAD8A" w:rsidR="00D56480" w:rsidRPr="003A7E34" w:rsidRDefault="00D56480" w:rsidP="00C42AAE">
      <w:pPr>
        <w:pStyle w:val="ListParagraph"/>
        <w:numPr>
          <w:ilvl w:val="1"/>
          <w:numId w:val="15"/>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 xml:space="preserve">solar energy equipment and technologies for its use for the production of electricity, heat and cooling – 23.1 million euro. </w:t>
      </w:r>
    </w:p>
    <w:p w14:paraId="748F63C9" w14:textId="77777777" w:rsidR="00431CA6" w:rsidRPr="003A7E34" w:rsidRDefault="00431CA6" w:rsidP="007D2658">
      <w:pPr>
        <w:spacing w:before="0" w:after="0"/>
        <w:rPr>
          <w:rFonts w:eastAsia="Times New Roman"/>
          <w:noProof/>
          <w:lang w:val="en-US"/>
        </w:rPr>
      </w:pPr>
    </w:p>
    <w:p w14:paraId="786FED98" w14:textId="498E563E" w:rsidR="00D56480" w:rsidRPr="003A7E34" w:rsidRDefault="00D56480">
      <w:pPr>
        <w:rPr>
          <w:rFonts w:eastAsia="Times New Roman"/>
          <w:noProof/>
          <w:lang w:val="en-US"/>
        </w:rPr>
      </w:pPr>
      <w:r w:rsidRPr="003A7E34">
        <w:rPr>
          <w:rFonts w:eastAsia="Times New Roman"/>
          <w:noProof/>
          <w:lang w:val="en-US"/>
        </w:rPr>
        <w:t>The Smart Specialization period is associated with the EU structural support period (2014-2020). In 2018, is planning Smart Specialization intermediate discussion of the implementation strategy and, if necessary, will be made appropriate corrections of priorities and actions plans.</w:t>
      </w:r>
      <w:r w:rsidR="00D871C8" w:rsidRPr="003A7E34">
        <w:rPr>
          <w:rFonts w:eastAsia="Times New Roman"/>
          <w:noProof/>
          <w:lang w:val="en-US"/>
        </w:rPr>
        <w:t xml:space="preserve"> </w:t>
      </w:r>
      <w:r w:rsidRPr="003A7E34">
        <w:rPr>
          <w:rFonts w:eastAsia="Times New Roman"/>
          <w:noProof/>
          <w:lang w:val="en-US"/>
        </w:rPr>
        <w:t>In 2020, will be formed final report of the programme. And then decisions will be taken on the further life of the program or new program guide.</w:t>
      </w:r>
    </w:p>
    <w:p w14:paraId="78FAC8BE" w14:textId="77777777" w:rsidR="00D56480" w:rsidRPr="003A7E34" w:rsidRDefault="00D56480">
      <w:pPr>
        <w:rPr>
          <w:rFonts w:eastAsia="Times New Roman"/>
          <w:noProof/>
          <w:lang w:val="en-US"/>
        </w:rPr>
      </w:pPr>
      <w:r w:rsidRPr="003A7E34">
        <w:rPr>
          <w:rFonts w:eastAsia="Times New Roman"/>
          <w:noProof/>
          <w:lang w:val="en-US"/>
        </w:rPr>
        <w:t>Also, it is planned that private business R&amp;D investments will reach about 260 million euro.</w:t>
      </w:r>
    </w:p>
    <w:p w14:paraId="47F409D9" w14:textId="62CB4217" w:rsidR="00D56480" w:rsidRPr="003A7E34" w:rsidRDefault="00D56480">
      <w:pPr>
        <w:rPr>
          <w:rFonts w:eastAsia="Times New Roman"/>
          <w:noProof/>
          <w:lang w:val="en-US"/>
        </w:rPr>
      </w:pPr>
      <w:r w:rsidRPr="003A7E34">
        <w:rPr>
          <w:rFonts w:eastAsia="Times New Roman"/>
          <w:noProof/>
          <w:lang w:val="en-US"/>
        </w:rPr>
        <w:t xml:space="preserve">Currently The </w:t>
      </w:r>
      <w:r w:rsidRPr="003A7E34">
        <w:rPr>
          <w:rFonts w:eastAsia="Times New Roman"/>
          <w:b/>
          <w:noProof/>
          <w:lang w:val="en-US"/>
        </w:rPr>
        <w:t>Green Industry Innovation Programme</w:t>
      </w:r>
      <w:r w:rsidRPr="003A7E34">
        <w:rPr>
          <w:rFonts w:eastAsia="Times New Roman"/>
          <w:noProof/>
          <w:lang w:val="en-US"/>
        </w:rPr>
        <w:t xml:space="preserve"> funded under the Norwegian Financial Mechanism 2009-2014</w:t>
      </w:r>
      <w:r w:rsidR="00D871C8" w:rsidRPr="003A7E34">
        <w:rPr>
          <w:rFonts w:eastAsia="Times New Roman"/>
          <w:noProof/>
          <w:lang w:val="en-US"/>
        </w:rPr>
        <w:t xml:space="preserve"> </w:t>
      </w:r>
      <w:r w:rsidRPr="003A7E34">
        <w:rPr>
          <w:rFonts w:eastAsia="Times New Roman"/>
          <w:noProof/>
          <w:lang w:val="en-US"/>
        </w:rPr>
        <w:t>was implemented is being implemented by the Ministry of Economy until 2017. Innovation Norway, which is a business agency in Norway, is was a donor partner to the Programme. The Programme total value makes EUR 9.4 million.</w:t>
      </w:r>
    </w:p>
    <w:p w14:paraId="782AA82A" w14:textId="576285B5" w:rsidR="00D56480" w:rsidRPr="003A7E34" w:rsidRDefault="00D56480">
      <w:pPr>
        <w:rPr>
          <w:rFonts w:eastAsia="Times New Roman"/>
          <w:noProof/>
          <w:lang w:val="en-US"/>
        </w:rPr>
      </w:pPr>
      <w:r w:rsidRPr="003A7E34">
        <w:rPr>
          <w:rFonts w:eastAsia="Times New Roman"/>
          <w:noProof/>
          <w:lang w:val="en-US"/>
        </w:rPr>
        <w:t>The overal Programme objective – increased competitiveness of green enterprises, including greening of existing industries, green innovation and green entrepreneurship.</w:t>
      </w:r>
      <w:r w:rsidR="00D871C8" w:rsidRPr="003A7E34">
        <w:rPr>
          <w:rFonts w:eastAsia="Times New Roman"/>
          <w:noProof/>
          <w:lang w:val="en-US"/>
        </w:rPr>
        <w:t xml:space="preserve"> </w:t>
      </w:r>
      <w:r w:rsidRPr="003A7E34">
        <w:rPr>
          <w:rFonts w:eastAsia="Times New Roman"/>
          <w:noProof/>
          <w:lang w:val="en-US"/>
        </w:rPr>
        <w:t>The Programme funds are were used for the implementation of business projects related to innovative environmental technologies and green products. The initiative also seeks to strengthen bilateral cooperation between Lithuania and Norway.</w:t>
      </w:r>
      <w:r w:rsidR="00D871C8" w:rsidRPr="003A7E34">
        <w:rPr>
          <w:rFonts w:eastAsia="Times New Roman"/>
          <w:noProof/>
          <w:lang w:val="en-US"/>
        </w:rPr>
        <w:t xml:space="preserve"> </w:t>
      </w:r>
      <w:r w:rsidRPr="003A7E34">
        <w:rPr>
          <w:rFonts w:eastAsia="Times New Roman"/>
          <w:noProof/>
          <w:lang w:val="en-US"/>
        </w:rPr>
        <w:t xml:space="preserve">Also, one of the main objectives of the Programme was to strengthen bilateral relations between Lithuania and Norway, and </w:t>
      </w:r>
      <w:r w:rsidRPr="003A7E34">
        <w:rPr>
          <w:rFonts w:eastAsia="Times New Roman"/>
          <w:noProof/>
          <w:lang w:val="en-US"/>
        </w:rPr>
        <w:lastRenderedPageBreak/>
        <w:t>take advantage of Norwegian experiences and its technological base, as Norway is one of European leaders in the sustainable development.</w:t>
      </w:r>
    </w:p>
    <w:p w14:paraId="17824766" w14:textId="7EB6D205" w:rsidR="00D56480" w:rsidRPr="003A7E34" w:rsidRDefault="00D56480">
      <w:pPr>
        <w:rPr>
          <w:rFonts w:eastAsia="Times New Roman"/>
          <w:noProof/>
          <w:lang w:val="en-US"/>
        </w:rPr>
      </w:pPr>
      <w:r w:rsidRPr="003A7E34">
        <w:rPr>
          <w:rFonts w:eastAsia="Times New Roman"/>
          <w:noProof/>
          <w:lang w:val="en-US"/>
        </w:rPr>
        <w:t>After the implementation of the projects, 20 new environmental technologies were successfully developed, 2 new environmental technologies were commercialized, 13 technologies were adapted for use in new areas and</w:t>
      </w:r>
      <w:r w:rsidR="00D871C8" w:rsidRPr="003A7E34">
        <w:rPr>
          <w:rFonts w:eastAsia="Times New Roman"/>
          <w:noProof/>
          <w:lang w:val="en-US"/>
        </w:rPr>
        <w:t xml:space="preserve"> </w:t>
      </w:r>
      <w:r w:rsidRPr="003A7E34">
        <w:rPr>
          <w:rFonts w:eastAsia="Times New Roman"/>
          <w:noProof/>
          <w:lang w:val="en-US"/>
        </w:rPr>
        <w:t>10 new green products were developed.</w:t>
      </w:r>
    </w:p>
    <w:p w14:paraId="7BF9DC82" w14:textId="1AC24475" w:rsidR="00D56480" w:rsidRPr="003A7E34" w:rsidRDefault="00D56480">
      <w:pPr>
        <w:rPr>
          <w:rFonts w:eastAsia="Times New Roman"/>
          <w:noProof/>
          <w:lang w:val="en-US"/>
        </w:rPr>
      </w:pPr>
      <w:r w:rsidRPr="003A7E34">
        <w:rPr>
          <w:rFonts w:eastAsia="Times New Roman"/>
          <w:noProof/>
          <w:lang w:val="en-US"/>
        </w:rPr>
        <w:t>The introduction of green technologies and new products into the production improved environmental indicators of the activity of enterprises that had implemented the projects.</w:t>
      </w:r>
      <w:r w:rsidR="00D871C8" w:rsidRPr="003A7E34">
        <w:rPr>
          <w:rFonts w:eastAsia="Times New Roman"/>
          <w:noProof/>
          <w:lang w:val="en-US"/>
        </w:rPr>
        <w:t xml:space="preserve"> </w:t>
      </w:r>
      <w:r w:rsidRPr="003A7E34">
        <w:rPr>
          <w:rFonts w:eastAsia="Times New Roman"/>
          <w:noProof/>
          <w:lang w:val="en-US"/>
        </w:rPr>
        <w:t>The amount of used raw materials by companies was reduced, energy efficiency of the companies was increased, and the amount of waste forming in production by companies was lowered.</w:t>
      </w:r>
      <w:r w:rsidR="00D871C8" w:rsidRPr="003A7E34">
        <w:rPr>
          <w:rFonts w:eastAsia="Times New Roman"/>
          <w:noProof/>
          <w:lang w:val="en-US"/>
        </w:rPr>
        <w:t xml:space="preserve"> </w:t>
      </w:r>
      <w:r w:rsidRPr="003A7E34">
        <w:rPr>
          <w:rFonts w:eastAsia="Times New Roman"/>
          <w:noProof/>
          <w:lang w:val="en-US"/>
        </w:rPr>
        <w:t xml:space="preserve">At the same time the results of the economic activity of the enterprises had improved - higher labour productivity was achieved, production costs were reduced, additional 99 new jobs were created and EUR 11.9 million of additional (private) investment were attracted. </w:t>
      </w:r>
    </w:p>
    <w:p w14:paraId="3B8D59DE" w14:textId="77777777" w:rsidR="00D56480" w:rsidRPr="003A7E34" w:rsidRDefault="00D56480">
      <w:pPr>
        <w:rPr>
          <w:rFonts w:eastAsia="Times New Roman"/>
          <w:noProof/>
          <w:lang w:val="en-US"/>
        </w:rPr>
      </w:pPr>
      <w:r w:rsidRPr="003A7E34">
        <w:rPr>
          <w:rFonts w:eastAsia="Times New Roman"/>
          <w:noProof/>
          <w:lang w:val="en-US"/>
        </w:rPr>
        <w:t>The programme was one of the first instruments of financial support in Lithuania focused on the promotion of green innovation in business. The implementation of this progamme offered to the Lithuanian business a better understanding of the benefits derived from green innovation and enabled to implement joint projects, to share knowledge and experience with the Norwegian business. Moreover, the implementation of this programme was the basis for developing new measures of the Ministry of Economy promoting the creation and use of green technology.</w:t>
      </w:r>
    </w:p>
    <w:p w14:paraId="38BD7031" w14:textId="77777777" w:rsidR="00D56480" w:rsidRPr="003A7E34" w:rsidRDefault="39F1765D" w:rsidP="39F1765D">
      <w:pPr>
        <w:rPr>
          <w:rFonts w:eastAsia="Times New Roman"/>
          <w:noProof/>
          <w:lang w:val="en-US"/>
        </w:rPr>
      </w:pPr>
      <w:r w:rsidRPr="003A7E34">
        <w:rPr>
          <w:rFonts w:eastAsia="Times New Roman"/>
          <w:noProof/>
          <w:lang w:val="en-US"/>
        </w:rPr>
        <w:t>The Lithuanian Energy Institute is a technical research centre dealing with energy related research in the analysis of security of energy supply, the development of energy planning methods, fuel cells and hydrogen, renewable energy, thermal physics and fluid mechanics, nuclear safety, structural integrity assessment of components and structures and the simulation of complex energy systems. Furthermore, it has long-term experience in the analysis of energy systems operations as well as the development and mathematical modelling of energy systems development scenarios, environment impact analysis, energy policy, and in the preparation of action plans on the national and municipal level. The Institute has extensive experience in international projects, including work for IAEA, Horizon 2020, FP5, FP6, FP7, Phare, Intelligent Energy Europe, COST, Eureka, Leonardo da Vinci, INTERREG III, Baltic Sea Region 2007-2013 programme, South Baltic Cross-border Co-operation Programme 2007-2013 and the Nordic Energy Research Programme.</w:t>
      </w:r>
    </w:p>
    <w:p w14:paraId="5685D9C5" w14:textId="77777777" w:rsidR="00D56480" w:rsidRPr="003A7E34" w:rsidRDefault="00D56480">
      <w:pPr>
        <w:rPr>
          <w:rFonts w:eastAsia="Times New Roman"/>
          <w:noProof/>
          <w:lang w:val="en-US"/>
        </w:rPr>
      </w:pPr>
      <w:r w:rsidRPr="003A7E34">
        <w:rPr>
          <w:rFonts w:eastAsia="Times New Roman"/>
          <w:noProof/>
          <w:lang w:val="en-US"/>
        </w:rPr>
        <w:t>At the moment there are 2 tax exemptions for companies investing in research and experimental development and 1 incentive for companies seeking technological advancement:</w:t>
      </w:r>
    </w:p>
    <w:p w14:paraId="68004FD4" w14:textId="171E0A8F" w:rsidR="00D56480" w:rsidRPr="003A7E34" w:rsidRDefault="00D56480" w:rsidP="00C42AAE">
      <w:pPr>
        <w:pStyle w:val="ListParagraph"/>
        <w:numPr>
          <w:ilvl w:val="1"/>
          <w:numId w:val="42"/>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R &amp; D tax relief (Article 171 (1) of the Income Tax Law).</w:t>
      </w:r>
    </w:p>
    <w:p w14:paraId="6F035C1E" w14:textId="719EFE3C" w:rsidR="00D56480" w:rsidRPr="003A7E34" w:rsidRDefault="00D56480" w:rsidP="00C42AAE">
      <w:pPr>
        <w:pStyle w:val="ListParagraph"/>
        <w:numPr>
          <w:ilvl w:val="1"/>
          <w:numId w:val="42"/>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Accelerated amortization of fixed assets used in R &amp; D (Article 171 (2) of the Law on corporation tax).</w:t>
      </w:r>
    </w:p>
    <w:p w14:paraId="6EF1DE83" w14:textId="3567A248" w:rsidR="00D56480" w:rsidRPr="003A7E34" w:rsidRDefault="00D56480" w:rsidP="00C42AAE">
      <w:pPr>
        <w:pStyle w:val="ListParagraph"/>
        <w:numPr>
          <w:ilvl w:val="1"/>
          <w:numId w:val="42"/>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Investment project incentive (Article 461 of the Law on corporation tax of the Republic of Lithuania).</w:t>
      </w:r>
    </w:p>
    <w:p w14:paraId="221DBFC0" w14:textId="77777777" w:rsidR="00431CA6" w:rsidRPr="003A7E34" w:rsidRDefault="00431CA6">
      <w:pPr>
        <w:rPr>
          <w:rFonts w:eastAsia="Times New Roman"/>
          <w:b/>
          <w:bCs/>
          <w:noProof/>
          <w:sz w:val="16"/>
          <w:szCs w:val="16"/>
          <w:lang w:val="en-US"/>
        </w:rPr>
      </w:pPr>
    </w:p>
    <w:p w14:paraId="4FF22BEB" w14:textId="388359EE" w:rsidR="00D56480" w:rsidRPr="003A7E34" w:rsidRDefault="00D56480">
      <w:pPr>
        <w:rPr>
          <w:rFonts w:eastAsia="Times New Roman"/>
          <w:noProof/>
          <w:lang w:val="en-US"/>
        </w:rPr>
      </w:pPr>
      <w:r w:rsidRPr="003A7E34">
        <w:rPr>
          <w:rFonts w:eastAsia="Times New Roman"/>
          <w:b/>
          <w:bCs/>
          <w:noProof/>
          <w:lang w:val="en-US"/>
        </w:rPr>
        <w:t>National science programme</w:t>
      </w:r>
      <w:r w:rsidRPr="003A7E34">
        <w:rPr>
          <w:rFonts w:eastAsia="Times New Roman"/>
          <w:noProof/>
          <w:lang w:val="en-US"/>
        </w:rPr>
        <w:t xml:space="preserve"> </w:t>
      </w:r>
      <w:r w:rsidRPr="003A7E34">
        <w:rPr>
          <w:rFonts w:eastAsia="Times New Roman"/>
          <w:i/>
          <w:iCs/>
          <w:noProof/>
          <w:lang w:val="en-US"/>
        </w:rPr>
        <w:t>Future Energy</w:t>
      </w:r>
      <w:r w:rsidRPr="003A7E34">
        <w:rPr>
          <w:rFonts w:eastAsia="Times New Roman"/>
          <w:noProof/>
          <w:lang w:val="en-US"/>
        </w:rPr>
        <w:t xml:space="preserve"> was adopted by Ministry of Education and Science in 2010. This Programme, which was implemented from 2010 till 2014, addressed 2 challenges:</w:t>
      </w:r>
    </w:p>
    <w:p w14:paraId="188BB89B" w14:textId="703CCE0D" w:rsidR="00D56480" w:rsidRPr="003A7E34" w:rsidRDefault="00D56480" w:rsidP="00C42AAE">
      <w:pPr>
        <w:pStyle w:val="ListParagraph"/>
        <w:numPr>
          <w:ilvl w:val="0"/>
          <w:numId w:val="43"/>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Development and research of Lithuania's energy security and development models;</w:t>
      </w:r>
    </w:p>
    <w:p w14:paraId="4335CACE" w14:textId="5344B9A2" w:rsidR="00D56480" w:rsidRPr="003A7E34" w:rsidRDefault="00D56480" w:rsidP="00C42AAE">
      <w:pPr>
        <w:pStyle w:val="ListParagraph"/>
        <w:numPr>
          <w:ilvl w:val="0"/>
          <w:numId w:val="43"/>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The creation of a scientific base for the generation, supply and efficient use of energy.</w:t>
      </w:r>
    </w:p>
    <w:p w14:paraId="0E926FFE" w14:textId="77777777" w:rsidR="00431CA6" w:rsidRPr="003A7E34" w:rsidRDefault="00431CA6" w:rsidP="007D2658">
      <w:pPr>
        <w:spacing w:before="0" w:after="0"/>
        <w:rPr>
          <w:rFonts w:eastAsia="Times New Roman"/>
          <w:noProof/>
          <w:sz w:val="16"/>
          <w:szCs w:val="16"/>
          <w:lang w:val="en-US"/>
        </w:rPr>
      </w:pPr>
    </w:p>
    <w:p w14:paraId="672C8CD7" w14:textId="5BE64F50" w:rsidR="00D56480" w:rsidRPr="003A7E34" w:rsidRDefault="5E230566" w:rsidP="5E230566">
      <w:pPr>
        <w:rPr>
          <w:rFonts w:eastAsia="Times New Roman"/>
          <w:noProof/>
          <w:lang w:val="en-US"/>
        </w:rPr>
      </w:pPr>
      <w:r w:rsidRPr="003A7E34">
        <w:rPr>
          <w:rFonts w:eastAsia="Times New Roman"/>
          <w:noProof/>
          <w:lang w:val="en-US"/>
        </w:rPr>
        <w:t>The results of the program can be used by institutions of science and studies, ministries, agencies, municipalities, business enterprises (such as Lithuania’s DSO) and other interested parties in the field of science.</w:t>
      </w:r>
    </w:p>
    <w:p w14:paraId="01B21908" w14:textId="3A6A747D" w:rsidR="00D56480" w:rsidRPr="003A7E34" w:rsidRDefault="00D56480" w:rsidP="007D2658">
      <w:pPr>
        <w:spacing w:before="0" w:after="0"/>
        <w:rPr>
          <w:rFonts w:eastAsia="Times New Roman"/>
          <w:noProof/>
          <w:sz w:val="16"/>
          <w:szCs w:val="16"/>
          <w:lang w:val="en-US"/>
        </w:rPr>
      </w:pPr>
    </w:p>
    <w:p w14:paraId="7D9BD9A4" w14:textId="4B09574A" w:rsidR="46DF7FC9" w:rsidRPr="003A7E34" w:rsidRDefault="46DF7FC9" w:rsidP="46DF7FC9">
      <w:pPr>
        <w:jc w:val="center"/>
        <w:rPr>
          <w:lang w:val="en-US"/>
        </w:rPr>
      </w:pPr>
      <w:r>
        <w:rPr>
          <w:noProof/>
          <w:lang w:val="en-US"/>
        </w:rPr>
        <w:drawing>
          <wp:inline distT="0" distB="0" distL="0" distR="0" wp14:anchorId="25816641" wp14:editId="7B742ED4">
            <wp:extent cx="6115050" cy="3086100"/>
            <wp:effectExtent l="0" t="0" r="0" b="0"/>
            <wp:docPr id="21369789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6115050" cy="3086100"/>
                    </a:xfrm>
                    <a:prstGeom prst="rect">
                      <a:avLst/>
                    </a:prstGeom>
                  </pic:spPr>
                </pic:pic>
              </a:graphicData>
            </a:graphic>
          </wp:inline>
        </w:drawing>
      </w:r>
      <w:r w:rsidR="2C323CFF" w:rsidRPr="003A7E34">
        <w:rPr>
          <w:b/>
          <w:bCs/>
          <w:sz w:val="20"/>
          <w:szCs w:val="20"/>
          <w:lang w:val="en-US"/>
        </w:rPr>
        <w:t xml:space="preserve">Figure 3.5.1. </w:t>
      </w:r>
      <w:r w:rsidR="2C323CFF" w:rsidRPr="003A7E34">
        <w:rPr>
          <w:rFonts w:eastAsia="Times New Roman"/>
          <w:sz w:val="20"/>
          <w:szCs w:val="20"/>
          <w:lang w:val="en-US"/>
        </w:rPr>
        <w:t>Map of Lithuania’s DSO stakeholders, their expectations and investment programs, sums for 2018–2027, indicators for 2027</w:t>
      </w:r>
    </w:p>
    <w:p w14:paraId="38DF53EC" w14:textId="782A397D" w:rsidR="17C4DDD5" w:rsidRPr="003A7E34" w:rsidRDefault="17C4DDD5" w:rsidP="007D2658">
      <w:pPr>
        <w:spacing w:before="0" w:after="0"/>
        <w:rPr>
          <w:rFonts w:eastAsia="Times New Roman"/>
          <w:noProof/>
          <w:sz w:val="16"/>
          <w:szCs w:val="16"/>
          <w:lang w:val="en-US"/>
        </w:rPr>
      </w:pPr>
    </w:p>
    <w:p w14:paraId="76631E1C" w14:textId="77777777" w:rsidR="00D56480" w:rsidRPr="003A7E34" w:rsidRDefault="00D56480">
      <w:pPr>
        <w:rPr>
          <w:rFonts w:eastAsia="Times New Roman"/>
          <w:noProof/>
          <w:lang w:val="en-US"/>
        </w:rPr>
      </w:pPr>
      <w:r w:rsidRPr="003A7E34">
        <w:rPr>
          <w:rFonts w:eastAsia="Times New Roman"/>
          <w:noProof/>
          <w:lang w:val="en-US"/>
        </w:rPr>
        <w:t>Currently implemented measures to promote the development of electric vehicles:</w:t>
      </w:r>
    </w:p>
    <w:p w14:paraId="456D1D34" w14:textId="199B49CB" w:rsidR="46DF7FC9" w:rsidRPr="003A7E34" w:rsidRDefault="46DF7FC9" w:rsidP="00C42AAE">
      <w:pPr>
        <w:pStyle w:val="ListParagraph"/>
        <w:numPr>
          <w:ilvl w:val="0"/>
          <w:numId w:val="43"/>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Establishing legal base for special status of EVs in the traffic. Since 19 January 2013, the concept of electric vehicle was introduced in the Road traffic regulations, and three new signs related to electric vehicles appeared: indicating the place of charging, cases where traffic restrictions are not valid for electric cars, and parking places for these vehicles. Also, opening of the bus ("A") lane: electric vehicles are allowed to use public transport lane marked "A".</w:t>
      </w:r>
    </w:p>
    <w:p w14:paraId="0137A732" w14:textId="77777777" w:rsidR="00D56480" w:rsidRPr="003A7E34" w:rsidRDefault="00D56480">
      <w:pPr>
        <w:jc w:val="center"/>
        <w:rPr>
          <w:rFonts w:eastAsia="Times New Roman"/>
          <w:noProof/>
          <w:lang w:val="en-US"/>
        </w:rPr>
      </w:pPr>
      <w:r>
        <w:rPr>
          <w:noProof/>
          <w:lang w:val="en-US"/>
        </w:rPr>
        <w:drawing>
          <wp:inline distT="0" distB="0" distL="0" distR="0" wp14:anchorId="23957C4A" wp14:editId="3411A852">
            <wp:extent cx="3381375" cy="1098728"/>
            <wp:effectExtent l="0" t="0" r="0" b="6350"/>
            <wp:docPr id="16200107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3381375" cy="1098728"/>
                    </a:xfrm>
                    <a:prstGeom prst="rect">
                      <a:avLst/>
                    </a:prstGeom>
                  </pic:spPr>
                </pic:pic>
              </a:graphicData>
            </a:graphic>
          </wp:inline>
        </w:drawing>
      </w:r>
    </w:p>
    <w:p w14:paraId="4F15CF87" w14:textId="574810AD" w:rsidR="00D56480" w:rsidRPr="003A7E34" w:rsidRDefault="00D56480" w:rsidP="00C42AAE">
      <w:pPr>
        <w:pStyle w:val="ListParagraph"/>
        <w:numPr>
          <w:ilvl w:val="0"/>
          <w:numId w:val="43"/>
        </w:numPr>
        <w:spacing w:after="0"/>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 xml:space="preserve">Free parking of electric vehicles in major cities of Lithuania </w:t>
      </w:r>
    </w:p>
    <w:p w14:paraId="12C747E3" w14:textId="2BB86FB4" w:rsidR="00D56480" w:rsidRPr="003A7E34" w:rsidRDefault="00D56480" w:rsidP="00C42AAE">
      <w:pPr>
        <w:pStyle w:val="ListParagraph"/>
        <w:numPr>
          <w:ilvl w:val="0"/>
          <w:numId w:val="43"/>
        </w:numPr>
        <w:spacing w:after="0"/>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Issuement of special license plates (letters “EV” and four digits) for environmentally friendly vehicles;</w:t>
      </w:r>
    </w:p>
    <w:p w14:paraId="021D863E" w14:textId="5618B97C" w:rsidR="00D56480" w:rsidRPr="003A7E34" w:rsidRDefault="00D56480" w:rsidP="00C42AAE">
      <w:pPr>
        <w:pStyle w:val="ListParagraph"/>
        <w:numPr>
          <w:ilvl w:val="0"/>
          <w:numId w:val="43"/>
        </w:numPr>
        <w:spacing w:after="0"/>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The first public high-power charging point was installed on the road A1, according to the public charging points plan set out in the Annex of the Guidelines.</w:t>
      </w:r>
    </w:p>
    <w:p w14:paraId="666EE401" w14:textId="0E68986B" w:rsidR="00D56480" w:rsidRPr="003A7E34" w:rsidRDefault="00D56480" w:rsidP="00C42AAE">
      <w:pPr>
        <w:pStyle w:val="ListParagraph"/>
        <w:numPr>
          <w:ilvl w:val="0"/>
          <w:numId w:val="43"/>
        </w:numPr>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For the development of electric vehicle charging infrastructure and the installation of charging points on roads of national importance and on local roads of municipalities, Ministry of Transport and Communications allocated almost 3 million EUR of 2014-2020 EU structural assistance funds.</w:t>
      </w:r>
    </w:p>
    <w:p w14:paraId="498AE301" w14:textId="77777777" w:rsidR="00D56480" w:rsidRPr="003A7E34" w:rsidRDefault="00D56480" w:rsidP="007D2658">
      <w:pPr>
        <w:spacing w:before="0" w:after="0"/>
        <w:rPr>
          <w:rFonts w:eastAsia="Times New Roman"/>
          <w:noProof/>
          <w:sz w:val="16"/>
          <w:szCs w:val="16"/>
          <w:lang w:val="en-US"/>
        </w:rPr>
      </w:pPr>
    </w:p>
    <w:p w14:paraId="30D1433F" w14:textId="367D3E43" w:rsidR="008C23FC" w:rsidRPr="003A7E34" w:rsidRDefault="39F1765D"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b/>
          <w:bCs/>
          <w:i/>
          <w:iCs/>
          <w:noProof/>
          <w:lang w:val="en-US"/>
        </w:rPr>
        <w:lastRenderedPageBreak/>
        <w:t>Where applicable</w:t>
      </w:r>
      <w:r w:rsidRPr="003A7E34">
        <w:rPr>
          <w:rFonts w:ascii="Times New Roman" w:eastAsia="Times New Roman" w:hAnsi="Times New Roman" w:cs="Times New Roman"/>
          <w:noProof/>
          <w:lang w:val="en-US"/>
        </w:rPr>
        <w:t xml:space="preserve">, cooperation with other Member States in this area, including, </w:t>
      </w:r>
      <w:r w:rsidRPr="003A7E34">
        <w:rPr>
          <w:rFonts w:ascii="Times New Roman" w:eastAsia="Times New Roman" w:hAnsi="Times New Roman" w:cs="Times New Roman"/>
          <w:b/>
          <w:bCs/>
          <w:i/>
          <w:iCs/>
          <w:noProof/>
          <w:lang w:val="en-US"/>
        </w:rPr>
        <w:t>where appropriate</w:t>
      </w:r>
      <w:r w:rsidRPr="003A7E34">
        <w:rPr>
          <w:rFonts w:ascii="Times New Roman" w:eastAsia="Times New Roman" w:hAnsi="Times New Roman" w:cs="Times New Roman"/>
          <w:noProof/>
          <w:lang w:val="en-US"/>
        </w:rPr>
        <w:t>, information on how the SET Plan objectives and policies are being translated to a national context</w:t>
      </w:r>
    </w:p>
    <w:p w14:paraId="252561F1" w14:textId="77777777" w:rsidR="00E87A99" w:rsidRPr="003A7E34" w:rsidRDefault="39F1765D" w:rsidP="39F1765D">
      <w:pPr>
        <w:rPr>
          <w:rFonts w:eastAsia="Times New Roman"/>
          <w:noProof/>
          <w:lang w:val="en-US"/>
        </w:rPr>
      </w:pPr>
      <w:r w:rsidRPr="003A7E34">
        <w:rPr>
          <w:rFonts w:eastAsia="Times New Roman"/>
          <w:noProof/>
          <w:lang w:val="en-US"/>
        </w:rPr>
        <w:t>Lithuanian Energy Institute actively participates in various international projects, such as Horizon 2020, Euratom, IAEA and others.</w:t>
      </w:r>
    </w:p>
    <w:p w14:paraId="0F8557F8" w14:textId="671777B2" w:rsidR="00207E9F" w:rsidRPr="003A7E34" w:rsidRDefault="008C23FC" w:rsidP="00C42AAE">
      <w:pPr>
        <w:pStyle w:val="ListParagraph"/>
        <w:numPr>
          <w:ilvl w:val="3"/>
          <w:numId w:val="21"/>
        </w:numPr>
        <w:spacing w:line="240" w:lineRule="auto"/>
        <w:ind w:left="1560" w:hanging="284"/>
        <w:jc w:val="both"/>
        <w:rPr>
          <w:rFonts w:ascii="Times New Roman" w:hAnsi="Times New Roman" w:cs="Times New Roman"/>
          <w:noProof/>
          <w:lang w:val="en-US"/>
        </w:rPr>
      </w:pPr>
      <w:r w:rsidRPr="003A7E34">
        <w:rPr>
          <w:rFonts w:ascii="Times New Roman" w:eastAsia="Times New Roman" w:hAnsi="Times New Roman" w:cs="Times New Roman"/>
          <w:noProof/>
          <w:lang w:val="en-US"/>
        </w:rPr>
        <w:t>Where applicable, financing measures in this area at national level, including Union support and the use of Union funds</w:t>
      </w:r>
    </w:p>
    <w:p w14:paraId="5A4D135A" w14:textId="6ED62D5F" w:rsidR="004E1A20" w:rsidRPr="003A7E34" w:rsidRDefault="004E1A20">
      <w:pPr>
        <w:rPr>
          <w:rFonts w:eastAsia="Times New Roman"/>
          <w:noProof/>
          <w:lang w:val="en-US"/>
        </w:rPr>
      </w:pPr>
      <w:r w:rsidRPr="003A7E34">
        <w:rPr>
          <w:rFonts w:eastAsia="Times New Roman"/>
          <w:noProof/>
          <w:lang w:val="en-US"/>
        </w:rPr>
        <w:t xml:space="preserve">The total amount allocated to the </w:t>
      </w:r>
      <w:r w:rsidRPr="003A7E34">
        <w:rPr>
          <w:rFonts w:eastAsia="Times New Roman"/>
          <w:b/>
          <w:noProof/>
          <w:lang w:val="en-US"/>
        </w:rPr>
        <w:t>Smart Specialization programme</w:t>
      </w:r>
      <w:r w:rsidRPr="003A7E34">
        <w:rPr>
          <w:rFonts w:eastAsia="Times New Roman"/>
          <w:noProof/>
          <w:lang w:val="en-US"/>
        </w:rPr>
        <w:t xml:space="preserve"> is 679 million </w:t>
      </w:r>
      <w:r w:rsidR="00A70D9B" w:rsidRPr="003A7E34">
        <w:rPr>
          <w:rFonts w:eastAsia="Times New Roman"/>
          <w:noProof/>
          <w:lang w:val="en-US"/>
        </w:rPr>
        <w:t>EUR</w:t>
      </w:r>
      <w:r w:rsidRPr="003A7E34">
        <w:rPr>
          <w:rFonts w:eastAsia="Times New Roman"/>
          <w:noProof/>
          <w:lang w:val="en-US"/>
        </w:rPr>
        <w:t xml:space="preserve">. 68 million </w:t>
      </w:r>
      <w:r w:rsidR="00A70D9B" w:rsidRPr="003A7E34">
        <w:rPr>
          <w:rFonts w:eastAsia="Times New Roman"/>
          <w:noProof/>
          <w:lang w:val="en-US"/>
        </w:rPr>
        <w:t>EUR</w:t>
      </w:r>
      <w:r w:rsidRPr="003A7E34">
        <w:rPr>
          <w:rFonts w:eastAsia="Times New Roman"/>
          <w:noProof/>
          <w:lang w:val="en-US"/>
        </w:rPr>
        <w:t xml:space="preserve"> are allocated to priority </w:t>
      </w:r>
      <w:r w:rsidRPr="003A7E34">
        <w:rPr>
          <w:rFonts w:eastAsia="Times New Roman"/>
          <w:i/>
          <w:iCs/>
          <w:noProof/>
          <w:lang w:val="en-US"/>
        </w:rPr>
        <w:t>Energy and environmental sustainability</w:t>
      </w:r>
      <w:r w:rsidRPr="003A7E34">
        <w:rPr>
          <w:rFonts w:eastAsia="Times New Roman"/>
          <w:noProof/>
          <w:lang w:val="en-US"/>
        </w:rPr>
        <w:t xml:space="preserve"> by the Ministry of Economy. </w:t>
      </w:r>
    </w:p>
    <w:p w14:paraId="59EC519D" w14:textId="77777777" w:rsidR="004E1A20" w:rsidRPr="003A7E34" w:rsidRDefault="39F1765D" w:rsidP="39F1765D">
      <w:pPr>
        <w:rPr>
          <w:rFonts w:eastAsia="Times New Roman"/>
          <w:noProof/>
          <w:lang w:val="en-US"/>
        </w:rPr>
      </w:pPr>
      <w:r w:rsidRPr="003A7E34">
        <w:rPr>
          <w:rFonts w:eastAsia="Times New Roman"/>
          <w:i/>
          <w:iCs/>
          <w:noProof/>
          <w:lang w:val="en-US"/>
        </w:rPr>
        <w:t>Energy and environmental sustainability</w:t>
      </w:r>
      <w:r w:rsidRPr="003A7E34">
        <w:rPr>
          <w:rFonts w:eastAsia="Times New Roman"/>
          <w:noProof/>
          <w:lang w:val="en-US"/>
        </w:rPr>
        <w:t xml:space="preserve"> will be accomplished by implementing the following R&amp;D and innovation priorities:</w:t>
      </w:r>
    </w:p>
    <w:p w14:paraId="5A03DFC8" w14:textId="6F2C3602" w:rsidR="004E1A20" w:rsidRPr="003A7E34" w:rsidRDefault="39F1765D" w:rsidP="00C42AAE">
      <w:pPr>
        <w:pStyle w:val="ListParagraph"/>
        <w:numPr>
          <w:ilvl w:val="1"/>
          <w:numId w:val="44"/>
        </w:numPr>
        <w:spacing w:after="0"/>
        <w:jc w:val="both"/>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smart systems for energy efficiency, diagnostic, monitoring, metering and management of generators, grids and customers – 16.8 million EUR.</w:t>
      </w:r>
    </w:p>
    <w:p w14:paraId="61ACDD23" w14:textId="172EECD5" w:rsidR="004E1A20" w:rsidRPr="003A7E34" w:rsidRDefault="004E1A20" w:rsidP="00C42AAE">
      <w:pPr>
        <w:pStyle w:val="ListParagraph"/>
        <w:numPr>
          <w:ilvl w:val="1"/>
          <w:numId w:val="44"/>
        </w:numPr>
        <w:spacing w:after="0"/>
        <w:jc w:val="both"/>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 xml:space="preserve">energy and fuel production using biomass/waste and waste treatment, storage and disposal - 13.7 million </w:t>
      </w:r>
      <w:r w:rsidR="00A70D9B" w:rsidRPr="003A7E34">
        <w:rPr>
          <w:rFonts w:ascii="Times New Roman" w:eastAsia="Times New Roman" w:hAnsi="Times New Roman" w:cs="Times New Roman"/>
          <w:noProof/>
          <w:lang w:val="en-US"/>
        </w:rPr>
        <w:t>EUR</w:t>
      </w:r>
      <w:r w:rsidRPr="003A7E34">
        <w:rPr>
          <w:rFonts w:ascii="Times New Roman" w:eastAsia="Times New Roman" w:hAnsi="Times New Roman" w:cs="Times New Roman"/>
          <w:noProof/>
          <w:lang w:val="en-US"/>
        </w:rPr>
        <w:t>.</w:t>
      </w:r>
    </w:p>
    <w:p w14:paraId="3FAC6D9E" w14:textId="23AC8FAB" w:rsidR="004E1A20" w:rsidRPr="003A7E34" w:rsidRDefault="004E1A20" w:rsidP="00C42AAE">
      <w:pPr>
        <w:pStyle w:val="ListParagraph"/>
        <w:numPr>
          <w:ilvl w:val="1"/>
          <w:numId w:val="44"/>
        </w:numPr>
        <w:spacing w:after="0"/>
        <w:jc w:val="both"/>
        <w:rPr>
          <w:rFonts w:ascii="Times New Roman" w:eastAsia="Times New Roman" w:hAnsi="Times New Roman" w:cs="Times New Roman"/>
          <w:noProof/>
          <w:lang w:val="en-US"/>
        </w:rPr>
      </w:pPr>
      <w:r w:rsidRPr="003A7E34">
        <w:rPr>
          <w:rFonts w:ascii="Times New Roman" w:eastAsia="Times New Roman" w:hAnsi="Times New Roman" w:cs="Times New Roman"/>
          <w:noProof/>
          <w:lang w:val="en-US"/>
        </w:rPr>
        <w:t xml:space="preserve">technology for the development and use of smart low-energy buildings – digital construction - 18.5 million </w:t>
      </w:r>
      <w:r w:rsidR="00A70D9B" w:rsidRPr="003A7E34">
        <w:rPr>
          <w:rFonts w:ascii="Times New Roman" w:eastAsia="Times New Roman" w:hAnsi="Times New Roman" w:cs="Times New Roman"/>
          <w:noProof/>
          <w:lang w:val="en-US"/>
        </w:rPr>
        <w:t>EUR</w:t>
      </w:r>
      <w:r w:rsidRPr="003A7E34">
        <w:rPr>
          <w:rFonts w:ascii="Times New Roman" w:eastAsia="Times New Roman" w:hAnsi="Times New Roman" w:cs="Times New Roman"/>
          <w:noProof/>
          <w:lang w:val="en-US"/>
        </w:rPr>
        <w:t>.</w:t>
      </w:r>
    </w:p>
    <w:p w14:paraId="1594E98B" w14:textId="2E9AC9E6" w:rsidR="372247B6" w:rsidRPr="003A7E34" w:rsidRDefault="004E1A20" w:rsidP="003B67D5">
      <w:pPr>
        <w:pStyle w:val="ListParagraph"/>
        <w:numPr>
          <w:ilvl w:val="1"/>
          <w:numId w:val="44"/>
        </w:numPr>
        <w:jc w:val="both"/>
        <w:rPr>
          <w:rFonts w:ascii="Times New Roman" w:eastAsia="Times New Roman" w:hAnsi="Times New Roman" w:cs="Times New Roman"/>
          <w:lang w:val="en-US"/>
        </w:rPr>
      </w:pPr>
      <w:r w:rsidRPr="003A7E34">
        <w:rPr>
          <w:rFonts w:ascii="Times New Roman" w:eastAsia="Times New Roman" w:hAnsi="Times New Roman" w:cs="Times New Roman"/>
          <w:noProof/>
          <w:lang w:val="en-US"/>
        </w:rPr>
        <w:t>solar energy equipment and technologies for its use for the production of electricity, heat and cooling</w:t>
      </w:r>
      <w:r w:rsidR="00D871C8" w:rsidRPr="003A7E34">
        <w:rPr>
          <w:rFonts w:ascii="Times New Roman" w:eastAsia="Times New Roman" w:hAnsi="Times New Roman" w:cs="Times New Roman"/>
          <w:noProof/>
          <w:lang w:val="en-US"/>
        </w:rPr>
        <w:t xml:space="preserve"> </w:t>
      </w:r>
      <w:r w:rsidRPr="003A7E34">
        <w:rPr>
          <w:rFonts w:ascii="Times New Roman" w:eastAsia="Times New Roman" w:hAnsi="Times New Roman" w:cs="Times New Roman"/>
          <w:noProof/>
          <w:lang w:val="en-US"/>
        </w:rPr>
        <w:t xml:space="preserve">- 19 million </w:t>
      </w:r>
      <w:r w:rsidR="00A70D9B" w:rsidRPr="003A7E34">
        <w:rPr>
          <w:rFonts w:ascii="Times New Roman" w:eastAsia="Times New Roman" w:hAnsi="Times New Roman" w:cs="Times New Roman"/>
          <w:noProof/>
          <w:lang w:val="en-US"/>
        </w:rPr>
        <w:t>EUR</w:t>
      </w:r>
      <w:r w:rsidRPr="003A7E34">
        <w:rPr>
          <w:rFonts w:ascii="Times New Roman" w:eastAsia="Times New Roman" w:hAnsi="Times New Roman" w:cs="Times New Roman"/>
          <w:noProof/>
          <w:lang w:val="en-US"/>
        </w:rPr>
        <w:t>.</w:t>
      </w:r>
      <w:r w:rsidR="372247B6" w:rsidRPr="003A7E34">
        <w:rPr>
          <w:rFonts w:ascii="Times New Roman" w:eastAsia="Times New Roman" w:hAnsi="Times New Roman" w:cs="Times New Roman"/>
          <w:lang w:val="en-US"/>
        </w:rPr>
        <w:br w:type="page"/>
      </w:r>
    </w:p>
    <w:p w14:paraId="1FBF78ED" w14:textId="77777777" w:rsidR="00A822BE" w:rsidRPr="003A7E34" w:rsidRDefault="00A822BE" w:rsidP="0074194D">
      <w:pPr>
        <w:pStyle w:val="Heading1"/>
        <w:rPr>
          <w:rFonts w:eastAsia="Times New Roman" w:cs="Times New Roman"/>
          <w:noProof/>
          <w:lang w:val="en-US"/>
        </w:rPr>
      </w:pPr>
      <w:bookmarkStart w:id="107" w:name="_Toc530405585"/>
      <w:bookmarkStart w:id="108" w:name="_Toc530411816"/>
      <w:bookmarkStart w:id="109" w:name="_Toc530414165"/>
      <w:r w:rsidRPr="003A7E34">
        <w:rPr>
          <w:rFonts w:eastAsia="Times New Roman" w:cs="Times New Roman"/>
          <w:noProof/>
          <w:lang w:val="en-US"/>
        </w:rPr>
        <w:lastRenderedPageBreak/>
        <w:t>SECTION B: ANALYTICAL BASIS</w:t>
      </w:r>
      <w:bookmarkEnd w:id="107"/>
      <w:bookmarkEnd w:id="108"/>
      <w:bookmarkEnd w:id="109"/>
    </w:p>
    <w:p w14:paraId="538CDBED" w14:textId="3D5E4BF6" w:rsidR="0095523E" w:rsidRPr="003A7E34" w:rsidRDefault="0095523E" w:rsidP="00C42AAE">
      <w:pPr>
        <w:pStyle w:val="Heading1"/>
        <w:numPr>
          <w:ilvl w:val="0"/>
          <w:numId w:val="21"/>
        </w:numPr>
        <w:rPr>
          <w:rFonts w:eastAsia="Calibri" w:cs="Times New Roman"/>
          <w:noProof/>
          <w:lang w:val="en-US"/>
        </w:rPr>
      </w:pPr>
      <w:bookmarkStart w:id="110" w:name="_Toc530405586"/>
      <w:bookmarkStart w:id="111" w:name="_Toc530411817"/>
      <w:bookmarkStart w:id="112" w:name="_Toc530414166"/>
      <w:r w:rsidRPr="003A7E34">
        <w:rPr>
          <w:rFonts w:eastAsia="Times New Roman" w:cs="Times New Roman"/>
          <w:noProof/>
          <w:lang w:val="en-US"/>
        </w:rPr>
        <w:t>CURRENT SITUATION AND PROJECTIONS WITH EXISTING POLICIES AND MEASURES</w:t>
      </w:r>
      <w:r w:rsidRPr="003A7E34">
        <w:rPr>
          <w:rFonts w:eastAsia="Times New Roman" w:cs="Times New Roman"/>
          <w:noProof/>
          <w:vertAlign w:val="superscript"/>
          <w:lang w:val="en-US"/>
        </w:rPr>
        <w:footnoteReference w:id="35"/>
      </w:r>
      <w:r w:rsidRPr="003A7E34">
        <w:rPr>
          <w:rFonts w:eastAsia="Times New Roman" w:cs="Times New Roman"/>
          <w:noProof/>
          <w:vertAlign w:val="superscript"/>
          <w:lang w:val="en-US"/>
        </w:rPr>
        <w:t>,</w:t>
      </w:r>
      <w:r w:rsidRPr="003A7E34">
        <w:rPr>
          <w:rFonts w:eastAsia="Times New Roman" w:cs="Times New Roman"/>
          <w:noProof/>
          <w:vertAlign w:val="superscript"/>
          <w:lang w:val="en-US"/>
        </w:rPr>
        <w:footnoteReference w:id="36"/>
      </w:r>
      <w:bookmarkEnd w:id="110"/>
      <w:bookmarkEnd w:id="111"/>
      <w:bookmarkEnd w:id="112"/>
    </w:p>
    <w:p w14:paraId="289AA50C" w14:textId="51932710" w:rsidR="0095523E" w:rsidRPr="003A7E34" w:rsidRDefault="0095523E" w:rsidP="00C42AAE">
      <w:pPr>
        <w:pStyle w:val="Heading2"/>
        <w:numPr>
          <w:ilvl w:val="1"/>
          <w:numId w:val="21"/>
        </w:numPr>
        <w:spacing w:before="0" w:after="120"/>
        <w:rPr>
          <w:rFonts w:eastAsia="Calibri" w:cs="Times New Roman"/>
          <w:noProof/>
          <w:lang w:val="en-US"/>
        </w:rPr>
      </w:pPr>
      <w:bookmarkStart w:id="113" w:name="_Toc530405587"/>
      <w:bookmarkStart w:id="114" w:name="_Toc530411818"/>
      <w:bookmarkStart w:id="115" w:name="_Toc530414167"/>
      <w:r w:rsidRPr="003A7E34">
        <w:rPr>
          <w:rFonts w:eastAsia="Times New Roman" w:cs="Times New Roman"/>
          <w:noProof/>
          <w:lang w:val="en-US"/>
        </w:rPr>
        <w:t>Projected evolution of main exogenous factors influencing energy system and GHG emission developments</w:t>
      </w:r>
      <w:bookmarkEnd w:id="113"/>
      <w:bookmarkEnd w:id="114"/>
      <w:bookmarkEnd w:id="115"/>
      <w:r w:rsidRPr="003A7E34">
        <w:rPr>
          <w:rFonts w:eastAsia="Times New Roman" w:cs="Times New Roman"/>
          <w:noProof/>
          <w:lang w:val="en-US"/>
        </w:rPr>
        <w:t xml:space="preserve"> </w:t>
      </w:r>
    </w:p>
    <w:p w14:paraId="41C36E2B" w14:textId="77777777" w:rsidR="0095523E" w:rsidRPr="003A7E34" w:rsidRDefault="39F1765D" w:rsidP="00C42AAE">
      <w:pPr>
        <w:numPr>
          <w:ilvl w:val="3"/>
          <w:numId w:val="21"/>
        </w:numPr>
        <w:spacing w:before="0"/>
        <w:ind w:left="1560" w:hanging="284"/>
        <w:contextualSpacing/>
        <w:rPr>
          <w:rFonts w:eastAsia="Calibri"/>
          <w:noProof/>
          <w:lang w:val="en-US"/>
        </w:rPr>
      </w:pPr>
      <w:r w:rsidRPr="003A7E34">
        <w:rPr>
          <w:rFonts w:eastAsia="Times New Roman"/>
          <w:noProof/>
          <w:lang w:val="en-US"/>
        </w:rPr>
        <w:t>Macroeconomic forecasts (GDP and population growth)</w:t>
      </w:r>
    </w:p>
    <w:p w14:paraId="0166436A" w14:textId="1A90C5F2" w:rsidR="0095523E" w:rsidRPr="003A7E34" w:rsidRDefault="0095523E" w:rsidP="00297714">
      <w:pPr>
        <w:spacing w:before="0"/>
        <w:rPr>
          <w:rFonts w:eastAsia="Times New Roman"/>
          <w:noProof/>
          <w:lang w:val="en-US"/>
        </w:rPr>
      </w:pPr>
      <w:r w:rsidRPr="003A7E34">
        <w:rPr>
          <w:rFonts w:eastAsia="Times New Roman"/>
          <w:noProof/>
          <w:lang w:val="en-US"/>
        </w:rPr>
        <w:t>In the latest years (2012-2016), GDP growth was moderate, reaching 3% value on average. Strong household consumption, supported by robust real wage growth, investment and increasing exports are the main GDP growth drive. Lithuania has reached decoupling emissions from economic growth. In the period 1990-201</w:t>
      </w:r>
      <w:r w:rsidR="00127C44" w:rsidRPr="003A7E34">
        <w:rPr>
          <w:rFonts w:eastAsia="Times New Roman"/>
          <w:noProof/>
          <w:lang w:val="en-US"/>
        </w:rPr>
        <w:t>6</w:t>
      </w:r>
      <w:r w:rsidRPr="003A7E34">
        <w:rPr>
          <w:rFonts w:eastAsia="Times New Roman"/>
          <w:noProof/>
          <w:lang w:val="en-US"/>
        </w:rPr>
        <w:t xml:space="preserve"> GDP increased by </w:t>
      </w:r>
      <w:r w:rsidR="00127C44" w:rsidRPr="003A7E34">
        <w:rPr>
          <w:rFonts w:eastAsia="Times New Roman"/>
          <w:noProof/>
          <w:lang w:val="en-US"/>
        </w:rPr>
        <w:t>41</w:t>
      </w:r>
      <w:r w:rsidRPr="003A7E34">
        <w:rPr>
          <w:rFonts w:eastAsia="Times New Roman"/>
          <w:noProof/>
          <w:lang w:val="en-US"/>
        </w:rPr>
        <w:t>% and GHG emissions</w:t>
      </w:r>
      <w:r w:rsidR="00D871C8" w:rsidRPr="003A7E34">
        <w:rPr>
          <w:rFonts w:eastAsia="Times New Roman"/>
          <w:noProof/>
          <w:lang w:val="en-US"/>
        </w:rPr>
        <w:t xml:space="preserve"> </w:t>
      </w:r>
      <w:r w:rsidRPr="003A7E34">
        <w:rPr>
          <w:rFonts w:eastAsia="Times New Roman"/>
          <w:noProof/>
          <w:lang w:val="en-US"/>
        </w:rPr>
        <w:t>were reduced by 58%.</w:t>
      </w:r>
    </w:p>
    <w:p w14:paraId="1252E3A5" w14:textId="78B9955A" w:rsidR="0095523E" w:rsidRPr="003A7E34" w:rsidRDefault="0095523E" w:rsidP="00297714">
      <w:pPr>
        <w:spacing w:before="0"/>
        <w:rPr>
          <w:rFonts w:eastAsia="Times New Roman"/>
          <w:noProof/>
          <w:lang w:val="en-US"/>
        </w:rPr>
      </w:pPr>
      <w:r w:rsidRPr="003A7E34">
        <w:rPr>
          <w:rFonts w:eastAsia="Times New Roman"/>
          <w:noProof/>
          <w:lang w:val="en-US"/>
        </w:rPr>
        <w:t>In the Figure below GDP and GHG emission index alteration is shown since 1990 to 201</w:t>
      </w:r>
      <w:r w:rsidR="00127C44" w:rsidRPr="003A7E34">
        <w:rPr>
          <w:rFonts w:eastAsia="Times New Roman"/>
          <w:noProof/>
          <w:lang w:val="en-US"/>
        </w:rPr>
        <w:t>6</w:t>
      </w:r>
      <w:r w:rsidRPr="003A7E34">
        <w:rPr>
          <w:rFonts w:eastAsia="Times New Roman"/>
          <w:noProof/>
          <w:lang w:val="en-US"/>
        </w:rPr>
        <w:t>.</w:t>
      </w:r>
    </w:p>
    <w:p w14:paraId="10F3E5D8" w14:textId="13630E7F" w:rsidR="0095523E" w:rsidRPr="003A7E34" w:rsidRDefault="00127C44" w:rsidP="00EA50D6">
      <w:pPr>
        <w:spacing w:before="0" w:after="0"/>
        <w:rPr>
          <w:rFonts w:eastAsia="Times New Roman"/>
          <w:noProof/>
          <w:lang w:val="en-US"/>
        </w:rPr>
      </w:pPr>
      <w:r w:rsidRPr="003A7E34">
        <w:rPr>
          <w:noProof/>
          <w:lang w:val="en-US"/>
        </w:rPr>
        <w:drawing>
          <wp:inline distT="0" distB="0" distL="0" distR="0" wp14:anchorId="12EA6DBB" wp14:editId="27B235E4">
            <wp:extent cx="5534025" cy="2724150"/>
            <wp:effectExtent l="0" t="0" r="0" b="0"/>
            <wp:docPr id="27" name="Diagra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7C54C15" w14:textId="3AFC9885" w:rsidR="0095523E" w:rsidRPr="003A7E34" w:rsidRDefault="5E230566" w:rsidP="5E230566">
      <w:pPr>
        <w:spacing w:before="0" w:after="0"/>
        <w:jc w:val="center"/>
        <w:rPr>
          <w:rFonts w:eastAsia="Times New Roman"/>
          <w:noProof/>
          <w:sz w:val="20"/>
          <w:szCs w:val="20"/>
          <w:lang w:val="en-US"/>
        </w:rPr>
      </w:pPr>
      <w:r w:rsidRPr="003A7E34">
        <w:rPr>
          <w:rFonts w:eastAsia="Times New Roman"/>
          <w:b/>
          <w:bCs/>
          <w:noProof/>
          <w:sz w:val="20"/>
          <w:szCs w:val="20"/>
          <w:lang w:val="en-US"/>
        </w:rPr>
        <w:t>Figure 4.1.1.</w:t>
      </w:r>
      <w:r w:rsidRPr="003A7E34">
        <w:rPr>
          <w:rFonts w:eastAsia="Times New Roman"/>
          <w:noProof/>
          <w:sz w:val="20"/>
          <w:szCs w:val="20"/>
          <w:lang w:val="en-US"/>
        </w:rPr>
        <w:t xml:space="preserve"> GDP and GHG emission index of Lithuania in 1990-201</w:t>
      </w:r>
      <w:r w:rsidR="00127C44" w:rsidRPr="003A7E34">
        <w:rPr>
          <w:rFonts w:eastAsia="Times New Roman"/>
          <w:noProof/>
          <w:sz w:val="20"/>
          <w:szCs w:val="20"/>
          <w:lang w:val="en-US"/>
        </w:rPr>
        <w:t>6</w:t>
      </w:r>
    </w:p>
    <w:p w14:paraId="6704BFCE" w14:textId="77777777" w:rsidR="0095523E" w:rsidRPr="003A7E34" w:rsidRDefault="0095523E" w:rsidP="00EA50D6">
      <w:pPr>
        <w:spacing w:before="0" w:after="0"/>
        <w:rPr>
          <w:rFonts w:eastAsia="Times New Roman"/>
          <w:noProof/>
          <w:lang w:val="en-US"/>
        </w:rPr>
      </w:pPr>
    </w:p>
    <w:p w14:paraId="3C3F3D8B" w14:textId="77777777" w:rsidR="0095523E" w:rsidRPr="003A7E34" w:rsidRDefault="0095523E">
      <w:pPr>
        <w:rPr>
          <w:rFonts w:eastAsia="Times New Roman"/>
          <w:noProof/>
          <w:lang w:val="en-US"/>
        </w:rPr>
      </w:pPr>
      <w:r w:rsidRPr="003A7E34">
        <w:rPr>
          <w:rFonts w:eastAsia="Times New Roman"/>
          <w:noProof/>
          <w:lang w:val="en-US"/>
        </w:rPr>
        <w:t>In the first quarter of 2017, as compared to the same period of the previous year, Lithuania’s GDP growth accelerated to 4.1% and reached EUR 9.2 billion at current prices.</w:t>
      </w:r>
    </w:p>
    <w:p w14:paraId="1192D970" w14:textId="0E710EFA" w:rsidR="00795F2B" w:rsidRPr="003A7E34" w:rsidRDefault="00795F2B" w:rsidP="00297714">
      <w:pPr>
        <w:spacing w:before="0"/>
        <w:rPr>
          <w:rFonts w:eastAsia="Times New Roman"/>
          <w:noProof/>
          <w:lang w:val="en-US"/>
        </w:rPr>
      </w:pPr>
      <w:r w:rsidRPr="003A7E34">
        <w:rPr>
          <w:rFonts w:eastAsia="Times New Roman"/>
          <w:noProof/>
          <w:lang w:val="en-US"/>
        </w:rPr>
        <w:t xml:space="preserve">At the beginning of 2017, the estimated resident population of Lithuania amounted to 2 847.9 thousand, i.e. by 40.7 thousand (1.4%) less than at the beginning of 2016. In 2005–2016, the resident population declined </w:t>
      </w:r>
      <w:r w:rsidRPr="003A7E34">
        <w:rPr>
          <w:rFonts w:eastAsia="Times New Roman"/>
          <w:noProof/>
          <w:lang w:val="en-US"/>
        </w:rPr>
        <w:lastRenderedPageBreak/>
        <w:t>by 507.3 thousand, or 15.1%. The decline in the resident population is caused by negative net international migration and the natural decrease.</w:t>
      </w:r>
    </w:p>
    <w:p w14:paraId="7635F748" w14:textId="77777777" w:rsidR="0095523E" w:rsidRPr="003A7E34" w:rsidRDefault="39F1765D" w:rsidP="00C42AAE">
      <w:pPr>
        <w:numPr>
          <w:ilvl w:val="3"/>
          <w:numId w:val="21"/>
        </w:numPr>
        <w:spacing w:before="0"/>
        <w:ind w:left="1560" w:hanging="284"/>
        <w:contextualSpacing/>
        <w:rPr>
          <w:rFonts w:eastAsia="Calibri"/>
          <w:noProof/>
          <w:lang w:val="en-US"/>
        </w:rPr>
      </w:pPr>
      <w:r w:rsidRPr="003A7E34">
        <w:rPr>
          <w:rFonts w:eastAsia="Times New Roman"/>
          <w:noProof/>
          <w:lang w:val="en-US"/>
        </w:rPr>
        <w:t>Sectoral changes expected to impact the energy system and GHG emissions</w:t>
      </w:r>
    </w:p>
    <w:p w14:paraId="115162F5" w14:textId="73279758" w:rsidR="00795F2B" w:rsidRPr="003A7E34" w:rsidRDefault="39F1765D" w:rsidP="39F1765D">
      <w:pPr>
        <w:spacing w:before="0"/>
        <w:rPr>
          <w:rFonts w:eastAsia="Times New Roman"/>
          <w:lang w:val="en-US" w:eastAsia="ar-SA"/>
        </w:rPr>
      </w:pPr>
      <w:r w:rsidRPr="003A7E34">
        <w:rPr>
          <w:rFonts w:eastAsia="Times New Roman"/>
          <w:lang w:val="en-US" w:eastAsia="ar-SA"/>
        </w:rPr>
        <w:t xml:space="preserve">Lithuanian energy institute performed Lithuanian energy sector development analysis with MESSAGE by IIASA model in 2014. </w:t>
      </w:r>
      <w:bookmarkStart w:id="116" w:name="_Toc414873106"/>
    </w:p>
    <w:p w14:paraId="7A4DFD95" w14:textId="77777777" w:rsidR="00795F2B" w:rsidRPr="003A7E34" w:rsidRDefault="00795F2B" w:rsidP="00297714">
      <w:pPr>
        <w:spacing w:before="0"/>
        <w:rPr>
          <w:rFonts w:eastAsia="Times New Roman"/>
          <w:lang w:val="en-US" w:eastAsia="ar-SA"/>
        </w:rPr>
      </w:pPr>
      <w:r w:rsidRPr="003A7E34">
        <w:rPr>
          <w:rFonts w:eastAsia="Times New Roman"/>
          <w:lang w:val="en-US" w:eastAsia="ar-SA"/>
        </w:rPr>
        <w:t>The main scenario defined in the study assumes successful implementation of energy efficiency initiatives, RES goals, increase in use of co-generation of heat and electricity. It would result that final energy consumption in industry would increase by 0.9% up to 2030 and by 0.7% after the year 2030. Same tendencies were applied for construction sector. Energy consumption in residential sector would increase by 0.7% yearly up to 2035. In Commercial/Institutional sector the increase would result in a yearly 0.9% up to 2030 and 0.7% up to 2035.</w:t>
      </w:r>
    </w:p>
    <w:p w14:paraId="1D064042" w14:textId="77777777" w:rsidR="00795F2B" w:rsidRPr="003A7E34" w:rsidRDefault="00795F2B" w:rsidP="00297714">
      <w:pPr>
        <w:spacing w:before="0"/>
        <w:rPr>
          <w:rFonts w:eastAsia="Times New Roman"/>
          <w:lang w:val="en-US" w:eastAsia="ar-SA"/>
        </w:rPr>
      </w:pPr>
      <w:r w:rsidRPr="003A7E34">
        <w:rPr>
          <w:rFonts w:eastAsia="Times New Roman"/>
          <w:lang w:val="en-US" w:eastAsia="ar-SA"/>
        </w:rPr>
        <w:t>Agricultural, forestry and fisheries sectors final energy consumption would remain the same as in 2014. Fuel demand for house heating will decline due to the increased fuel efficiency, renovation of residential and public buildings and modernization of heating systems and combustion equipment’s.</w:t>
      </w:r>
    </w:p>
    <w:p w14:paraId="50E60E2B" w14:textId="77777777" w:rsidR="00795F2B" w:rsidRPr="003A7E34" w:rsidRDefault="00795F2B" w:rsidP="00EA50D6">
      <w:pPr>
        <w:spacing w:before="0" w:after="0"/>
        <w:rPr>
          <w:rFonts w:eastAsia="Times New Roman"/>
          <w:lang w:val="en-US" w:eastAsia="ar-SA"/>
        </w:rPr>
      </w:pPr>
    </w:p>
    <w:p w14:paraId="61FD91F4" w14:textId="761150B0" w:rsidR="0095523E" w:rsidRPr="003A7E34" w:rsidRDefault="0095523E" w:rsidP="00EA50D6">
      <w:pPr>
        <w:spacing w:before="0" w:after="0"/>
        <w:rPr>
          <w:rFonts w:eastAsia="Times New Roman"/>
          <w:b/>
          <w:bCs/>
          <w:noProof/>
          <w:lang w:val="en-US"/>
        </w:rPr>
      </w:pPr>
      <w:r w:rsidRPr="003A7E34">
        <w:rPr>
          <w:rFonts w:eastAsia="Calibri"/>
          <w:noProof/>
          <w:lang w:val="en-US"/>
        </w:rPr>
        <w:drawing>
          <wp:inline distT="0" distB="0" distL="0" distR="0" wp14:anchorId="582C2319" wp14:editId="0611E2D5">
            <wp:extent cx="6170213" cy="2941983"/>
            <wp:effectExtent l="0" t="0" r="2540" b="0"/>
            <wp:docPr id="4"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D526D7" w14:textId="31A1BC45" w:rsidR="0095523E" w:rsidRPr="003A7E34" w:rsidRDefault="5E230566" w:rsidP="5E230566">
      <w:pPr>
        <w:spacing w:before="0" w:after="0"/>
        <w:ind w:left="1440"/>
        <w:jc w:val="center"/>
        <w:rPr>
          <w:rFonts w:eastAsia="Times New Roman"/>
          <w:noProof/>
          <w:sz w:val="20"/>
          <w:szCs w:val="20"/>
          <w:lang w:val="en-US"/>
        </w:rPr>
      </w:pPr>
      <w:bookmarkStart w:id="117" w:name="_Toc476387367"/>
      <w:bookmarkStart w:id="118" w:name="_Toc476552271"/>
      <w:bookmarkStart w:id="119" w:name="_Toc476578562"/>
      <w:bookmarkStart w:id="120" w:name="_Toc477942021"/>
      <w:r w:rsidRPr="003A7E34">
        <w:rPr>
          <w:rFonts w:eastAsia="Times New Roman"/>
          <w:b/>
          <w:bCs/>
          <w:noProof/>
          <w:sz w:val="20"/>
          <w:szCs w:val="20"/>
          <w:lang w:val="en-US"/>
        </w:rPr>
        <w:t>Figure 4.1.2.</w:t>
      </w:r>
      <w:r w:rsidRPr="003A7E34">
        <w:rPr>
          <w:rFonts w:eastAsia="Times New Roman"/>
          <w:noProof/>
          <w:sz w:val="20"/>
          <w:szCs w:val="20"/>
          <w:lang w:val="en-US"/>
        </w:rPr>
        <w:t xml:space="preserve"> Projected final energy consumption in Lithuania</w:t>
      </w:r>
      <w:bookmarkEnd w:id="116"/>
      <w:bookmarkEnd w:id="117"/>
      <w:bookmarkEnd w:id="118"/>
      <w:bookmarkEnd w:id="119"/>
      <w:bookmarkEnd w:id="120"/>
    </w:p>
    <w:p w14:paraId="273FE0D8" w14:textId="77777777" w:rsidR="0095523E" w:rsidRPr="003A7E34" w:rsidRDefault="0095523E" w:rsidP="00297714">
      <w:pPr>
        <w:spacing w:before="0" w:after="0"/>
        <w:rPr>
          <w:rFonts w:eastAsia="Times New Roman"/>
          <w:noProof/>
          <w:lang w:val="en-US"/>
        </w:rPr>
      </w:pPr>
    </w:p>
    <w:p w14:paraId="41C07494" w14:textId="77777777" w:rsidR="00795F2B" w:rsidRPr="003A7E34" w:rsidRDefault="00795F2B">
      <w:pPr>
        <w:rPr>
          <w:rFonts w:eastAsia="Times New Roman"/>
          <w:lang w:val="en-US"/>
        </w:rPr>
      </w:pPr>
      <w:r w:rsidRPr="003A7E34">
        <w:rPr>
          <w:rFonts w:eastAsia="Times New Roman"/>
          <w:lang w:val="en-US"/>
        </w:rPr>
        <w:t xml:space="preserve">Compared to 2014 the GHG emissions will overall increase in all sectors except in Residential sector were buildings renovation program is currently taking place. It was estimated that increased energy consumption efficiency and use of biomass will decrease the use of fossil fuel and final energy consumption by 13.7% in 2035 which will lead to decrease in GHG emissions in this sector. </w:t>
      </w:r>
    </w:p>
    <w:p w14:paraId="0F4519ED" w14:textId="77777777" w:rsidR="00795F2B" w:rsidRPr="003A7E34" w:rsidRDefault="00795F2B">
      <w:pPr>
        <w:rPr>
          <w:rFonts w:eastAsia="Times New Roman"/>
          <w:lang w:val="en-US"/>
        </w:rPr>
      </w:pPr>
      <w:r w:rsidRPr="003A7E34">
        <w:rPr>
          <w:rFonts w:eastAsia="Times New Roman"/>
          <w:lang w:val="en-US"/>
        </w:rPr>
        <w:t>In energy sector GHG emissions are estimated to reach a total of 6 574.3 kt CO</w:t>
      </w:r>
      <w:r w:rsidRPr="003A7E34">
        <w:rPr>
          <w:rFonts w:eastAsia="Times New Roman"/>
          <w:vertAlign w:val="subscript"/>
          <w:lang w:val="en-US"/>
        </w:rPr>
        <w:t>2</w:t>
      </w:r>
      <w:r w:rsidRPr="003A7E34">
        <w:rPr>
          <w:rFonts w:eastAsia="Times New Roman"/>
          <w:lang w:val="en-US"/>
        </w:rPr>
        <w:t xml:space="preserve"> eq. in 2035. Most of the GHG will originate from Public electricity (31.9%), Petroleum refining (29.2%) and Manufacturing industries (20.2%). Manufacture of solid fuels and other energy industries and Agriculture/Forestry/Fishing sectors are still expected to remain the smallest GHG emissions of energy subsectors.</w:t>
      </w:r>
    </w:p>
    <w:p w14:paraId="293B22EC" w14:textId="77777777" w:rsidR="0095523E" w:rsidRPr="003A7E34" w:rsidRDefault="0095523E" w:rsidP="0015558B">
      <w:pPr>
        <w:numPr>
          <w:ilvl w:val="3"/>
          <w:numId w:val="21"/>
        </w:numPr>
        <w:spacing w:before="0"/>
        <w:ind w:left="1560" w:hanging="284"/>
        <w:rPr>
          <w:rFonts w:eastAsia="Calibri"/>
          <w:noProof/>
          <w:lang w:val="en-US"/>
        </w:rPr>
      </w:pPr>
      <w:r w:rsidRPr="003A7E34">
        <w:rPr>
          <w:rFonts w:eastAsia="Times New Roman"/>
          <w:noProof/>
          <w:lang w:val="en-US"/>
        </w:rPr>
        <w:t>Global energy trends, international fossil fuel prices, EU ETS carbon price</w:t>
      </w:r>
    </w:p>
    <w:p w14:paraId="5CB788BB" w14:textId="1A3C917B" w:rsidR="0095523E" w:rsidRPr="003A7E34" w:rsidRDefault="0095523E" w:rsidP="00EA50D6">
      <w:pPr>
        <w:spacing w:before="0" w:after="0"/>
        <w:rPr>
          <w:rFonts w:eastAsia="Times New Roman"/>
          <w:noProof/>
          <w:lang w:val="en-US"/>
        </w:rPr>
      </w:pPr>
      <w:r w:rsidRPr="003A7E34">
        <w:rPr>
          <w:rFonts w:eastAsia="Times New Roman"/>
          <w:noProof/>
          <w:lang w:val="en-US"/>
        </w:rPr>
        <w:t>According to European Commision report the world fossil fuel price projections have under gone substantial revisions of key assumptions compared to the previous Reference scenario</w:t>
      </w:r>
      <w:r w:rsidR="00D871C8" w:rsidRPr="003A7E34">
        <w:rPr>
          <w:rFonts w:eastAsia="Times New Roman"/>
          <w:noProof/>
          <w:lang w:val="en-US"/>
        </w:rPr>
        <w:t xml:space="preserve"> </w:t>
      </w:r>
      <w:r w:rsidRPr="003A7E34">
        <w:rPr>
          <w:rFonts w:eastAsia="Times New Roman"/>
          <w:noProof/>
          <w:lang w:val="en-US"/>
        </w:rPr>
        <w:t>exercise: “Trends to 2030 –Update 2009”</w:t>
      </w:r>
      <w:r w:rsidR="00D871C8" w:rsidRPr="003A7E34">
        <w:rPr>
          <w:rFonts w:eastAsia="Times New Roman"/>
          <w:noProof/>
          <w:lang w:val="en-US"/>
        </w:rPr>
        <w:t xml:space="preserve"> </w:t>
      </w:r>
      <w:r w:rsidRPr="003A7E34">
        <w:rPr>
          <w:rFonts w:eastAsia="Times New Roman"/>
          <w:noProof/>
          <w:lang w:val="en-US"/>
        </w:rPr>
        <w:t xml:space="preserve">including on reserves notably of shale gas and other unconventional hydrocarbons, world </w:t>
      </w:r>
      <w:r w:rsidRPr="003A7E34">
        <w:rPr>
          <w:rFonts w:eastAsia="Times New Roman"/>
          <w:noProof/>
          <w:lang w:val="en-US"/>
        </w:rPr>
        <w:lastRenderedPageBreak/>
        <w:t>economic developments and the reflection of Copenhagen/Cancun pledges. Prices are projected to develop along new trajectories rather different from the past ones, particularly for gas</w:t>
      </w:r>
      <w:r w:rsidR="00361301" w:rsidRPr="003A7E34">
        <w:rPr>
          <w:rStyle w:val="FootnoteReference"/>
          <w:rFonts w:eastAsia="Times New Roman"/>
          <w:noProof/>
          <w:lang w:val="en-US"/>
        </w:rPr>
        <w:footnoteReference w:id="37"/>
      </w:r>
      <w:r w:rsidRPr="003A7E34">
        <w:rPr>
          <w:rFonts w:eastAsia="Times New Roman"/>
          <w:lang w:val="en-US"/>
        </w:rPr>
        <w:t xml:space="preserve"> </w:t>
      </w:r>
    </w:p>
    <w:p w14:paraId="310B50D3" w14:textId="2D1D27C7" w:rsidR="00361301" w:rsidRPr="003A7E34" w:rsidRDefault="00361301">
      <w:pPr>
        <w:rPr>
          <w:rFonts w:eastAsia="Times New Roman"/>
          <w:noProof/>
          <w:lang w:val="en-US"/>
        </w:rPr>
      </w:pPr>
      <w:r w:rsidRPr="003A7E34">
        <w:rPr>
          <w:rFonts w:eastAsia="Times New Roman"/>
          <w:noProof/>
          <w:lang w:val="en-US"/>
        </w:rPr>
        <w:t>ETS allowances prices are endogenously derived so as the cumulative ETS cap is met; the continuously decreasing number of available allowances combined with the significant allowance</w:t>
      </w:r>
      <w:r w:rsidR="00D871C8" w:rsidRPr="003A7E34">
        <w:rPr>
          <w:rFonts w:eastAsia="Times New Roman"/>
          <w:noProof/>
          <w:lang w:val="en-US"/>
        </w:rPr>
        <w:t xml:space="preserve"> </w:t>
      </w:r>
      <w:r w:rsidRPr="003A7E34">
        <w:rPr>
          <w:rFonts w:eastAsia="Times New Roman"/>
          <w:noProof/>
          <w:lang w:val="en-US"/>
        </w:rPr>
        <w:t>surplus which is only</w:t>
      </w:r>
      <w:r w:rsidR="00D871C8" w:rsidRPr="003A7E34">
        <w:rPr>
          <w:rFonts w:eastAsia="Times New Roman"/>
          <w:noProof/>
          <w:lang w:val="en-US"/>
        </w:rPr>
        <w:t xml:space="preserve"> </w:t>
      </w:r>
      <w:r w:rsidRPr="003A7E34">
        <w:rPr>
          <w:rFonts w:eastAsia="Times New Roman"/>
          <w:noProof/>
          <w:lang w:val="en-US"/>
        </w:rPr>
        <w:t>projected to decrease after 2020 suggest that the ETS price will follow</w:t>
      </w:r>
      <w:r w:rsidR="00D871C8" w:rsidRPr="003A7E34">
        <w:rPr>
          <w:rFonts w:eastAsia="Times New Roman"/>
          <w:noProof/>
          <w:lang w:val="en-US"/>
        </w:rPr>
        <w:t xml:space="preserve"> </w:t>
      </w:r>
      <w:r w:rsidRPr="003A7E34">
        <w:rPr>
          <w:rFonts w:eastAsia="Times New Roman"/>
          <w:noProof/>
          <w:lang w:val="en-US"/>
        </w:rPr>
        <w:t>only</w:t>
      </w:r>
      <w:r w:rsidR="00D871C8" w:rsidRPr="003A7E34">
        <w:rPr>
          <w:rFonts w:eastAsia="Times New Roman"/>
          <w:noProof/>
          <w:lang w:val="en-US"/>
        </w:rPr>
        <w:t xml:space="preserve"> </w:t>
      </w:r>
      <w:r w:rsidRPr="003A7E34">
        <w:rPr>
          <w:rFonts w:eastAsia="Times New Roman"/>
          <w:noProof/>
          <w:lang w:val="en-US"/>
        </w:rPr>
        <w:t>a slowly increasing trend until 2025 and stronger increases thereafter; it is projected to reach 10€’10/tCO</w:t>
      </w:r>
      <w:r w:rsidRPr="003A7E34">
        <w:rPr>
          <w:rFonts w:eastAsia="Times New Roman"/>
          <w:noProof/>
          <w:vertAlign w:val="subscript"/>
          <w:lang w:val="en-US"/>
        </w:rPr>
        <w:t>2</w:t>
      </w:r>
      <w:r w:rsidRPr="003A7E34">
        <w:rPr>
          <w:rFonts w:eastAsia="Times New Roman"/>
          <w:noProof/>
          <w:lang w:val="en-US"/>
        </w:rPr>
        <w:t xml:space="preserve"> in 2020, 35€’10/tCO</w:t>
      </w:r>
      <w:r w:rsidRPr="003A7E34">
        <w:rPr>
          <w:rFonts w:eastAsia="Times New Roman"/>
          <w:noProof/>
          <w:vertAlign w:val="subscript"/>
          <w:lang w:val="en-US"/>
        </w:rPr>
        <w:t xml:space="preserve">2 </w:t>
      </w:r>
      <w:r w:rsidRPr="003A7E34">
        <w:rPr>
          <w:rFonts w:eastAsia="Times New Roman"/>
          <w:noProof/>
          <w:lang w:val="en-US"/>
        </w:rPr>
        <w:t>in 2030 and 100€‘10/tCO</w:t>
      </w:r>
      <w:r w:rsidRPr="003A7E34">
        <w:rPr>
          <w:rFonts w:eastAsia="Times New Roman"/>
          <w:noProof/>
          <w:vertAlign w:val="subscript"/>
          <w:lang w:val="en-US"/>
        </w:rPr>
        <w:t>2</w:t>
      </w:r>
      <w:r w:rsidRPr="003A7E34">
        <w:rPr>
          <w:rFonts w:eastAsia="Times New Roman"/>
          <w:noProof/>
          <w:lang w:val="en-US"/>
        </w:rPr>
        <w:t xml:space="preserve"> in 2050.</w:t>
      </w:r>
      <w:r w:rsidRPr="003A7E34">
        <w:rPr>
          <w:rFonts w:eastAsia="Times New Roman"/>
          <w:lang w:val="en-US"/>
        </w:rPr>
        <w:t xml:space="preserve"> </w:t>
      </w:r>
      <w:r w:rsidRPr="003A7E34">
        <w:rPr>
          <w:rFonts w:eastAsia="Times New Roman"/>
          <w:noProof/>
          <w:lang w:val="en-US"/>
        </w:rPr>
        <w:t>The PRIMES model simulates emission reductions in ETS sectors as a response to current and future ETS prices calculation</w:t>
      </w:r>
      <w:r w:rsidRPr="003A7E34">
        <w:rPr>
          <w:rFonts w:eastAsia="Times New Roman"/>
          <w:vertAlign w:val="superscript"/>
          <w:lang w:val="en-US"/>
        </w:rPr>
        <w:footnoteReference w:id="38"/>
      </w:r>
      <w:r w:rsidRPr="003A7E34">
        <w:rPr>
          <w:rFonts w:eastAsia="Times New Roman"/>
          <w:noProof/>
          <w:lang w:val="en-US"/>
        </w:rPr>
        <w:t xml:space="preserve"> However, in Lithuanian energy system development analysis in the scenario with existing national and EU policies and measures it was assumed that the EU ETS carbon price will remain at the same level as in 2014 (6.37 EUR/tonne CO</w:t>
      </w:r>
      <w:r w:rsidRPr="003A7E34">
        <w:rPr>
          <w:rFonts w:eastAsia="Times New Roman"/>
          <w:noProof/>
          <w:vertAlign w:val="subscript"/>
          <w:lang w:val="en-US"/>
        </w:rPr>
        <w:t>2</w:t>
      </w:r>
      <w:r w:rsidRPr="003A7E34">
        <w:rPr>
          <w:rFonts w:eastAsia="Times New Roman"/>
          <w:noProof/>
          <w:lang w:val="en-US"/>
        </w:rPr>
        <w:t xml:space="preserve"> eq.).</w:t>
      </w:r>
    </w:p>
    <w:p w14:paraId="4FA79131" w14:textId="0A448061" w:rsidR="0095523E" w:rsidRPr="003A7E34" w:rsidRDefault="0095523E">
      <w:pPr>
        <w:rPr>
          <w:rFonts w:eastAsia="Times New Roman"/>
          <w:noProof/>
          <w:lang w:val="en-US"/>
        </w:rPr>
      </w:pPr>
      <w:r w:rsidRPr="003A7E34">
        <w:rPr>
          <w:rFonts w:eastAsia="Times New Roman"/>
          <w:noProof/>
          <w:lang w:val="en-US"/>
        </w:rPr>
        <w:t>With the current and projected low level of the ETS prices, the ETS emissions target for 2020 is achieved as there is also a large amount of additional policies implemented, particularly RES support policies but also the EED, which influence also the ETS sectors, and because the economic crisis substantially reduced the industrial production as well as power demand and thus GHG emissions. The projection of ETS prices is based on the assumptions that actors are risk-averse and have strong trust in the continuation of the ETS legislation; should this not to be the case, ETS prices would drop considerably below the projected levels in the short term. In the longer term, the trend of very low carbon prices is reversed; beginning in 2030 and throughout the period to 2050, the level of the ETS price is increasing significantly. This is the consequence of decreasing allowances supply following the implementation of the linear reduction factor that reduces the cap substantially over time and a combination of energy supply factors, namely of the delayed technology developments of CCS, public acceptance problems with nuclear energy and CO</w:t>
      </w:r>
      <w:r w:rsidRPr="003A7E34">
        <w:rPr>
          <w:rFonts w:eastAsia="Times New Roman"/>
          <w:noProof/>
          <w:vertAlign w:val="subscript"/>
          <w:lang w:val="en-US"/>
        </w:rPr>
        <w:t>2</w:t>
      </w:r>
      <w:r w:rsidRPr="003A7E34">
        <w:rPr>
          <w:rFonts w:eastAsia="Times New Roman"/>
          <w:noProof/>
          <w:lang w:val="en-US"/>
        </w:rPr>
        <w:t xml:space="preserve"> storage, the updated offshore wind cost assumptions and phasing out of RES support as well as the trends in world fuel prices, where a decoupling of oil and gas prices takes place, with gas prices remaining in the longer term at relatively stable levels.</w:t>
      </w:r>
    </w:p>
    <w:p w14:paraId="6381072B" w14:textId="77777777" w:rsidR="0095523E" w:rsidRPr="003A7E34" w:rsidRDefault="3D9A4349" w:rsidP="00C42AAE">
      <w:pPr>
        <w:numPr>
          <w:ilvl w:val="3"/>
          <w:numId w:val="21"/>
        </w:numPr>
        <w:spacing w:before="0" w:after="200"/>
        <w:ind w:left="1560" w:hanging="284"/>
        <w:contextualSpacing/>
        <w:rPr>
          <w:rFonts w:eastAsia="Calibri"/>
          <w:noProof/>
          <w:lang w:val="en-US"/>
        </w:rPr>
      </w:pPr>
      <w:r w:rsidRPr="003A7E34">
        <w:rPr>
          <w:rFonts w:eastAsia="Times New Roman"/>
          <w:noProof/>
          <w:lang w:val="en-US"/>
        </w:rPr>
        <w:t>Technology cost developments</w:t>
      </w:r>
    </w:p>
    <w:p w14:paraId="5388B08D" w14:textId="09016378" w:rsidR="3D9A4349" w:rsidRPr="003A7E34" w:rsidRDefault="3D9A4349" w:rsidP="3D9A4349">
      <w:pPr>
        <w:rPr>
          <w:rFonts w:eastAsia="Times New Roman"/>
          <w:noProof/>
          <w:lang w:val="en-US"/>
        </w:rPr>
      </w:pPr>
      <w:r w:rsidRPr="003A7E34">
        <w:rPr>
          <w:rFonts w:eastAsia="Times New Roman"/>
          <w:noProof/>
          <w:lang w:val="en-US"/>
        </w:rPr>
        <w:t>This part to be defined in the final version of the Plan.</w:t>
      </w:r>
    </w:p>
    <w:p w14:paraId="14C121B4" w14:textId="099FBB81" w:rsidR="3D9A4349" w:rsidRPr="003A7E34" w:rsidRDefault="3D9A4349" w:rsidP="3D9A4349">
      <w:pPr>
        <w:spacing w:before="0"/>
        <w:rPr>
          <w:rFonts w:eastAsia="Times New Roman"/>
          <w:noProof/>
          <w:lang w:val="en-US"/>
        </w:rPr>
      </w:pPr>
    </w:p>
    <w:p w14:paraId="69D61D5F" w14:textId="41CB794A" w:rsidR="0095523E" w:rsidRPr="003A7E34" w:rsidRDefault="0095523E" w:rsidP="00C42AAE">
      <w:pPr>
        <w:pStyle w:val="Heading2"/>
        <w:numPr>
          <w:ilvl w:val="1"/>
          <w:numId w:val="21"/>
        </w:numPr>
        <w:spacing w:before="0" w:after="120"/>
        <w:rPr>
          <w:rFonts w:eastAsia="Calibri" w:cs="Times New Roman"/>
          <w:noProof/>
          <w:lang w:val="en-US"/>
        </w:rPr>
      </w:pPr>
      <w:bookmarkStart w:id="121" w:name="_Toc530405588"/>
      <w:bookmarkStart w:id="122" w:name="_Toc530411819"/>
      <w:bookmarkStart w:id="123" w:name="_Toc530414168"/>
      <w:r w:rsidRPr="003A7E34">
        <w:rPr>
          <w:rFonts w:eastAsia="Times New Roman" w:cs="Times New Roman"/>
          <w:noProof/>
          <w:lang w:val="en-US"/>
        </w:rPr>
        <w:t>Dimension Decarbonisation</w:t>
      </w:r>
      <w:bookmarkEnd w:id="121"/>
      <w:bookmarkEnd w:id="122"/>
      <w:bookmarkEnd w:id="123"/>
    </w:p>
    <w:p w14:paraId="4E9A6DBB" w14:textId="53E0D823" w:rsidR="0095523E" w:rsidRPr="003A7E34" w:rsidRDefault="0095523E" w:rsidP="00C42AAE">
      <w:pPr>
        <w:pStyle w:val="Heading3"/>
        <w:numPr>
          <w:ilvl w:val="2"/>
          <w:numId w:val="21"/>
        </w:numPr>
        <w:spacing w:before="0" w:after="120"/>
        <w:rPr>
          <w:rFonts w:eastAsia="Calibri" w:cs="Times New Roman"/>
          <w:noProof/>
          <w:lang w:val="en-US"/>
        </w:rPr>
      </w:pPr>
      <w:bookmarkStart w:id="124" w:name="_Toc530405589"/>
      <w:bookmarkStart w:id="125" w:name="_Toc530411820"/>
      <w:bookmarkStart w:id="126" w:name="_Toc530414169"/>
      <w:r w:rsidRPr="003A7E34">
        <w:rPr>
          <w:rFonts w:eastAsia="Times New Roman" w:cs="Times New Roman"/>
          <w:noProof/>
          <w:lang w:val="en-US"/>
        </w:rPr>
        <w:t>GHG emissions and removals</w:t>
      </w:r>
      <w:bookmarkEnd w:id="124"/>
      <w:bookmarkEnd w:id="125"/>
      <w:bookmarkEnd w:id="126"/>
    </w:p>
    <w:p w14:paraId="15B98268" w14:textId="77777777" w:rsidR="0095523E" w:rsidRPr="003A7E34" w:rsidRDefault="0095523E" w:rsidP="00C42AAE">
      <w:pPr>
        <w:numPr>
          <w:ilvl w:val="3"/>
          <w:numId w:val="21"/>
        </w:numPr>
        <w:spacing w:before="0"/>
        <w:ind w:left="1560" w:hanging="284"/>
        <w:rPr>
          <w:rFonts w:eastAsia="Calibri"/>
          <w:noProof/>
          <w:lang w:val="en-US"/>
        </w:rPr>
      </w:pPr>
      <w:r w:rsidRPr="003A7E34">
        <w:rPr>
          <w:rFonts w:eastAsia="Times New Roman"/>
          <w:noProof/>
          <w:lang w:val="en-US"/>
        </w:rPr>
        <w:t>Trends in current GHG emissions and removals in the EU ETS, effort sharing and LULUCF sectors and different energy sectors</w:t>
      </w:r>
    </w:p>
    <w:p w14:paraId="08CC9B2A" w14:textId="69D0CE7C" w:rsidR="0095523E" w:rsidRPr="003A7E34" w:rsidRDefault="0095523E" w:rsidP="00297714">
      <w:pPr>
        <w:spacing w:before="0"/>
        <w:rPr>
          <w:rFonts w:eastAsia="Times New Roman"/>
          <w:noProof/>
          <w:lang w:val="en-US"/>
        </w:rPr>
      </w:pPr>
      <w:r w:rsidRPr="003A7E34">
        <w:rPr>
          <w:rFonts w:eastAsia="Times New Roman"/>
          <w:noProof/>
          <w:lang w:val="en-US"/>
        </w:rPr>
        <w:t xml:space="preserve">In 2016, the total GHG emissions released into the atmosphere in Lithaunia constituted </w:t>
      </w:r>
      <w:r w:rsidR="00E067A6" w:rsidRPr="003A7E34">
        <w:rPr>
          <w:rFonts w:eastAsia="Times New Roman"/>
          <w:noProof/>
          <w:lang w:val="en-US"/>
        </w:rPr>
        <w:t xml:space="preserve">of </w:t>
      </w:r>
      <w:r w:rsidRPr="003A7E34">
        <w:rPr>
          <w:rFonts w:eastAsia="Times New Roman"/>
          <w:noProof/>
          <w:lang w:val="en-US"/>
        </w:rPr>
        <w:t>19 953 kt of CO</w:t>
      </w:r>
      <w:r w:rsidRPr="003A7E34">
        <w:rPr>
          <w:rFonts w:eastAsia="Times New Roman"/>
          <w:noProof/>
          <w:vertAlign w:val="subscript"/>
          <w:lang w:val="en-US"/>
        </w:rPr>
        <w:t>2</w:t>
      </w:r>
      <w:r w:rsidRPr="003A7E34">
        <w:rPr>
          <w:rFonts w:eastAsia="Times New Roman"/>
          <w:noProof/>
          <w:lang w:val="en-US"/>
        </w:rPr>
        <w:t>eq. In the EU ETS setors GHG emissions comprise</w:t>
      </w:r>
      <w:r w:rsidR="00E067A6" w:rsidRPr="003A7E34">
        <w:rPr>
          <w:rFonts w:eastAsia="Times New Roman"/>
          <w:noProof/>
          <w:lang w:val="en-US"/>
        </w:rPr>
        <w:t>d</w:t>
      </w:r>
      <w:r w:rsidRPr="003A7E34">
        <w:rPr>
          <w:rFonts w:eastAsia="Times New Roman"/>
          <w:noProof/>
          <w:lang w:val="en-US"/>
        </w:rPr>
        <w:t xml:space="preserve"> 6 160 kt CO</w:t>
      </w:r>
      <w:r w:rsidRPr="003A7E34">
        <w:rPr>
          <w:rFonts w:eastAsia="Times New Roman"/>
          <w:noProof/>
          <w:vertAlign w:val="subscript"/>
          <w:lang w:val="en-US"/>
        </w:rPr>
        <w:t>2</w:t>
      </w:r>
      <w:r w:rsidRPr="003A7E34">
        <w:rPr>
          <w:rFonts w:eastAsia="Times New Roman"/>
          <w:noProof/>
          <w:lang w:val="en-US"/>
        </w:rPr>
        <w:t xml:space="preserve">eq. or 35% of total GHG emissions and </w:t>
      </w:r>
      <w:r w:rsidR="00E067A6" w:rsidRPr="003A7E34">
        <w:rPr>
          <w:rFonts w:eastAsia="Times New Roman"/>
          <w:noProof/>
          <w:lang w:val="en-US"/>
        </w:rPr>
        <w:t xml:space="preserve">in </w:t>
      </w:r>
      <w:r w:rsidRPr="003A7E34">
        <w:rPr>
          <w:rFonts w:eastAsia="Times New Roman"/>
          <w:noProof/>
          <w:lang w:val="en-US"/>
        </w:rPr>
        <w:t>non EU ETS sectors 13 793 kt CO</w:t>
      </w:r>
      <w:r w:rsidRPr="003A7E34">
        <w:rPr>
          <w:rFonts w:eastAsia="Times New Roman"/>
          <w:noProof/>
          <w:vertAlign w:val="subscript"/>
          <w:lang w:val="en-US"/>
        </w:rPr>
        <w:t>2</w:t>
      </w:r>
      <w:r w:rsidRPr="003A7E34">
        <w:rPr>
          <w:rFonts w:eastAsia="Times New Roman"/>
          <w:noProof/>
          <w:lang w:val="en-US"/>
        </w:rPr>
        <w:t>eq. or 65% of total GHG emissions in 2016.</w:t>
      </w:r>
      <w:r w:rsidR="00D871C8" w:rsidRPr="003A7E34">
        <w:rPr>
          <w:rFonts w:eastAsia="Times New Roman"/>
          <w:noProof/>
          <w:lang w:val="en-US"/>
        </w:rPr>
        <w:t xml:space="preserve"> </w:t>
      </w:r>
    </w:p>
    <w:p w14:paraId="61BBD5B1" w14:textId="5778FD2C" w:rsidR="00EE2A44" w:rsidRPr="003A7E34" w:rsidRDefault="17C4DDD5" w:rsidP="00297714">
      <w:pPr>
        <w:spacing w:before="0"/>
        <w:rPr>
          <w:rFonts w:eastAsia="Times New Roman"/>
          <w:noProof/>
          <w:lang w:val="en-US"/>
        </w:rPr>
      </w:pPr>
      <w:r w:rsidRPr="003A7E34">
        <w:rPr>
          <w:rFonts w:eastAsia="Times New Roman"/>
          <w:noProof/>
          <w:lang w:val="en-US"/>
        </w:rPr>
        <w:t>The composition of GHG emissions by sector in 2015 is presented in Figure.</w:t>
      </w:r>
    </w:p>
    <w:p w14:paraId="38E8F7AA" w14:textId="1A49A9D8" w:rsidR="17C4DDD5" w:rsidRPr="003A7E34" w:rsidRDefault="17C4DDD5" w:rsidP="17C4DDD5">
      <w:pPr>
        <w:spacing w:before="200"/>
        <w:jc w:val="center"/>
        <w:rPr>
          <w:rFonts w:eastAsia="Times New Roman"/>
          <w:sz w:val="20"/>
          <w:szCs w:val="20"/>
          <w:lang w:val="en-US"/>
        </w:rPr>
      </w:pPr>
    </w:p>
    <w:p w14:paraId="264BA588" w14:textId="1686379F" w:rsidR="17C4DDD5" w:rsidRPr="003A7E34" w:rsidRDefault="17C4DDD5" w:rsidP="17C4DDD5">
      <w:pPr>
        <w:spacing w:before="200"/>
        <w:jc w:val="center"/>
        <w:rPr>
          <w:rFonts w:eastAsia="Times New Roman"/>
          <w:sz w:val="20"/>
          <w:szCs w:val="20"/>
          <w:lang w:val="en-US"/>
        </w:rPr>
      </w:pPr>
    </w:p>
    <w:p w14:paraId="2C354C93" w14:textId="5795720D" w:rsidR="0095523E" w:rsidRPr="003A7E34" w:rsidRDefault="0095523E" w:rsidP="17C4DDD5">
      <w:pPr>
        <w:spacing w:before="200"/>
        <w:jc w:val="center"/>
        <w:rPr>
          <w:rFonts w:eastAsia="Times New Roman"/>
          <w:sz w:val="20"/>
          <w:szCs w:val="20"/>
          <w:lang w:val="en-US"/>
        </w:rPr>
      </w:pPr>
      <w:r w:rsidRPr="003A7E34">
        <w:rPr>
          <w:rFonts w:eastAsia="Calibri"/>
          <w:noProof/>
          <w:lang w:val="en-US"/>
        </w:rPr>
        <w:lastRenderedPageBreak/>
        <w:drawing>
          <wp:anchor distT="0" distB="0" distL="114300" distR="114300" simplePos="0" relativeHeight="251658242" behindDoc="0" locked="0" layoutInCell="1" allowOverlap="1" wp14:anchorId="54CA1C75" wp14:editId="601FF047">
            <wp:simplePos x="0" y="0"/>
            <wp:positionH relativeFrom="column">
              <wp:posOffset>424815</wp:posOffset>
            </wp:positionH>
            <wp:positionV relativeFrom="paragraph">
              <wp:posOffset>110490</wp:posOffset>
            </wp:positionV>
            <wp:extent cx="5279390" cy="2472690"/>
            <wp:effectExtent l="0" t="0" r="0" b="3810"/>
            <wp:wrapTopAndBottom/>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bookmarkStart w:id="127" w:name="_Toc511292941"/>
      <w:bookmarkEnd w:id="127"/>
    </w:p>
    <w:p w14:paraId="62618C41" w14:textId="40DBFAF5" w:rsidR="17C4DDD5" w:rsidRPr="003A7E34" w:rsidRDefault="5E230566" w:rsidP="5E230566">
      <w:pPr>
        <w:spacing w:before="200"/>
        <w:jc w:val="center"/>
        <w:rPr>
          <w:rFonts w:eastAsia="Times New Roman"/>
          <w:sz w:val="20"/>
          <w:szCs w:val="20"/>
          <w:lang w:val="en-US"/>
        </w:rPr>
      </w:pPr>
      <w:r w:rsidRPr="003A7E34">
        <w:rPr>
          <w:rFonts w:eastAsia="Times New Roman"/>
          <w:b/>
          <w:bCs/>
          <w:noProof/>
          <w:sz w:val="20"/>
          <w:szCs w:val="20"/>
          <w:lang w:val="en-US"/>
        </w:rPr>
        <w:t xml:space="preserve">Figure 4.2.1.1. </w:t>
      </w:r>
      <w:r w:rsidRPr="003A7E34">
        <w:rPr>
          <w:rFonts w:eastAsia="Times New Roman"/>
          <w:sz w:val="20"/>
          <w:szCs w:val="20"/>
          <w:lang w:val="en-US"/>
        </w:rPr>
        <w:t xml:space="preserve">The composition of </w:t>
      </w:r>
      <w:r w:rsidR="00E067A6" w:rsidRPr="003A7E34">
        <w:rPr>
          <w:rFonts w:eastAsia="Times New Roman"/>
          <w:sz w:val="20"/>
          <w:szCs w:val="20"/>
          <w:lang w:val="en-US"/>
        </w:rPr>
        <w:t xml:space="preserve">Lithuania’s </w:t>
      </w:r>
      <w:r w:rsidRPr="003A7E34">
        <w:rPr>
          <w:rFonts w:eastAsia="Times New Roman"/>
          <w:sz w:val="20"/>
          <w:szCs w:val="20"/>
          <w:lang w:val="en-US"/>
        </w:rPr>
        <w:t>GHG emissions (CO</w:t>
      </w:r>
      <w:r w:rsidRPr="003A7E34">
        <w:rPr>
          <w:rFonts w:eastAsia="Times New Roman"/>
          <w:sz w:val="20"/>
          <w:szCs w:val="20"/>
          <w:vertAlign w:val="subscript"/>
          <w:lang w:val="en-US"/>
        </w:rPr>
        <w:t>2</w:t>
      </w:r>
      <w:r w:rsidRPr="003A7E34">
        <w:rPr>
          <w:rFonts w:eastAsia="Times New Roman"/>
          <w:sz w:val="20"/>
          <w:szCs w:val="20"/>
          <w:lang w:val="en-US"/>
        </w:rPr>
        <w:t xml:space="preserve"> eq.) by sectors (excl. LULUCF) in 2016</w:t>
      </w:r>
    </w:p>
    <w:p w14:paraId="4A967E4C" w14:textId="160E1D9B" w:rsidR="17C4DDD5" w:rsidRPr="003A7E34" w:rsidRDefault="17C4DDD5" w:rsidP="17C4DDD5">
      <w:pPr>
        <w:spacing w:before="200"/>
        <w:jc w:val="center"/>
        <w:rPr>
          <w:rFonts w:eastAsia="Times New Roman"/>
          <w:sz w:val="20"/>
          <w:szCs w:val="20"/>
          <w:lang w:val="en-US"/>
        </w:rPr>
      </w:pPr>
    </w:p>
    <w:p w14:paraId="7C27865C" w14:textId="73C8FF53" w:rsidR="001D74C1" w:rsidRPr="003A7E34" w:rsidRDefault="001D74C1" w:rsidP="00EA50D6">
      <w:pPr>
        <w:spacing w:before="0" w:after="0"/>
        <w:rPr>
          <w:rFonts w:eastAsia="Times New Roman"/>
          <w:noProof/>
          <w:lang w:val="en-US"/>
        </w:rPr>
      </w:pPr>
      <w:bookmarkStart w:id="128" w:name="_Toc499047460"/>
      <w:bookmarkStart w:id="129" w:name="_Toc499047522"/>
      <w:r w:rsidRPr="003A7E34">
        <w:rPr>
          <w:rFonts w:eastAsia="Times New Roman"/>
          <w:noProof/>
          <w:lang w:val="en-US"/>
        </w:rPr>
        <w:t xml:space="preserve">A significant decrease in 1992 was caused by the collapse of </w:t>
      </w:r>
      <w:r w:rsidR="00E067A6" w:rsidRPr="003A7E34">
        <w:rPr>
          <w:rFonts w:eastAsia="Times New Roman"/>
          <w:noProof/>
          <w:lang w:val="en-US"/>
        </w:rPr>
        <w:t xml:space="preserve">the </w:t>
      </w:r>
      <w:r w:rsidRPr="003A7E34">
        <w:rPr>
          <w:rFonts w:eastAsia="Times New Roman"/>
          <w:noProof/>
          <w:lang w:val="en-US"/>
        </w:rPr>
        <w:t xml:space="preserve">Soviet economy, which led to the transition from a centrally-planned economy to a market-based economy by restructuring manufacturing industries, energy industries and agriculture. </w:t>
      </w:r>
      <w:r w:rsidR="00E067A6" w:rsidRPr="003A7E34">
        <w:rPr>
          <w:rFonts w:eastAsia="Times New Roman"/>
          <w:noProof/>
          <w:lang w:val="en-US"/>
        </w:rPr>
        <w:t xml:space="preserve">During </w:t>
      </w:r>
      <w:r w:rsidRPr="003A7E34">
        <w:rPr>
          <w:rFonts w:eastAsia="Times New Roman"/>
          <w:noProof/>
          <w:lang w:val="en-US"/>
        </w:rPr>
        <w:t xml:space="preserve">its independence from the Soviet Union in 1990, after 50 years of annexation, Lithuania inherited an economy with high energy intensity. A blockade of resources, imposed by USSR during 1991-1993 led to a sharp fall in economic activity, as reflected by the decrease of the GDP in the beginning of </w:t>
      </w:r>
      <w:r w:rsidR="00E067A6" w:rsidRPr="003A7E34">
        <w:rPr>
          <w:rFonts w:eastAsia="Times New Roman"/>
          <w:noProof/>
          <w:lang w:val="en-US"/>
        </w:rPr>
        <w:t xml:space="preserve">the </w:t>
      </w:r>
      <w:r w:rsidRPr="003A7E34">
        <w:rPr>
          <w:rFonts w:eastAsia="Times New Roman"/>
          <w:noProof/>
          <w:lang w:val="en-US"/>
        </w:rPr>
        <w:t xml:space="preserve">nineties. The economic situation improved in the middle of the last decade and GDP has been increasing until 1999 (during 1999-2000, GDP decreased due to the economic crisis in Russia) and GDP continued </w:t>
      </w:r>
      <w:r w:rsidR="00E067A6" w:rsidRPr="003A7E34">
        <w:rPr>
          <w:rFonts w:eastAsia="Times New Roman"/>
          <w:noProof/>
          <w:lang w:val="en-US"/>
        </w:rPr>
        <w:t xml:space="preserve">to increase </w:t>
      </w:r>
      <w:r w:rsidRPr="003A7E34">
        <w:rPr>
          <w:rFonts w:eastAsia="Times New Roman"/>
          <w:noProof/>
          <w:lang w:val="en-US"/>
        </w:rPr>
        <w:t>from 2001 to 2008.</w:t>
      </w:r>
      <w:bookmarkEnd w:id="128"/>
      <w:bookmarkEnd w:id="129"/>
    </w:p>
    <w:p w14:paraId="795EF893" w14:textId="77777777" w:rsidR="00EE2A44" w:rsidRPr="003A7E34" w:rsidRDefault="00EE2A44" w:rsidP="00EA50D6">
      <w:pPr>
        <w:spacing w:before="0" w:after="0"/>
        <w:rPr>
          <w:rFonts w:eastAsia="Times New Roman"/>
          <w:noProof/>
          <w:lang w:val="en-US"/>
        </w:rPr>
      </w:pPr>
    </w:p>
    <w:p w14:paraId="5A96EAF6" w14:textId="77777777" w:rsidR="0095523E" w:rsidRPr="003A7E34" w:rsidRDefault="0095523E" w:rsidP="00EA50D6">
      <w:pPr>
        <w:spacing w:before="0" w:after="0"/>
        <w:jc w:val="left"/>
        <w:rPr>
          <w:rFonts w:eastAsia="Times New Roman"/>
          <w:noProof/>
          <w:lang w:val="en-US"/>
        </w:rPr>
      </w:pPr>
      <w:r w:rsidRPr="003A7E34">
        <w:rPr>
          <w:rFonts w:eastAsia="Calibri"/>
          <w:noProof/>
          <w:lang w:val="en-US"/>
        </w:rPr>
        <w:drawing>
          <wp:inline distT="0" distB="0" distL="0" distR="0" wp14:anchorId="2550948A" wp14:editId="618E695D">
            <wp:extent cx="5667554" cy="2605177"/>
            <wp:effectExtent l="0" t="0" r="0" b="508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C0CA4A" w14:textId="15678267" w:rsidR="0095523E" w:rsidRPr="003A7E34" w:rsidRDefault="5E230566" w:rsidP="5E230566">
      <w:pPr>
        <w:spacing w:before="0" w:after="0"/>
        <w:jc w:val="center"/>
        <w:rPr>
          <w:rFonts w:eastAsia="Times New Roman"/>
          <w:noProof/>
          <w:sz w:val="20"/>
          <w:szCs w:val="20"/>
          <w:lang w:val="en-US"/>
        </w:rPr>
      </w:pPr>
      <w:r w:rsidRPr="003A7E34">
        <w:rPr>
          <w:rFonts w:eastAsia="Times New Roman"/>
          <w:b/>
          <w:bCs/>
          <w:noProof/>
          <w:sz w:val="20"/>
          <w:szCs w:val="20"/>
          <w:lang w:val="en-US"/>
        </w:rPr>
        <w:t>Figure 4.2.1.2.</w:t>
      </w:r>
      <w:r w:rsidRPr="003A7E34">
        <w:rPr>
          <w:rFonts w:eastAsia="Times New Roman"/>
          <w:noProof/>
          <w:sz w:val="20"/>
          <w:szCs w:val="20"/>
          <w:lang w:val="en-US"/>
        </w:rPr>
        <w:t xml:space="preserve"> </w:t>
      </w:r>
      <w:r w:rsidRPr="003A7E34">
        <w:rPr>
          <w:rFonts w:eastAsia="Times New Roman"/>
          <w:sz w:val="20"/>
          <w:szCs w:val="20"/>
          <w:lang w:val="en-US"/>
        </w:rPr>
        <w:t>Emission trends for aggregated GHG in 1990-2016</w:t>
      </w:r>
    </w:p>
    <w:p w14:paraId="78C6D510" w14:textId="77777777" w:rsidR="001D74C1" w:rsidRPr="003A7E34" w:rsidRDefault="001D74C1" w:rsidP="00EE2A44">
      <w:pPr>
        <w:spacing w:before="0"/>
        <w:jc w:val="left"/>
        <w:rPr>
          <w:rFonts w:eastAsia="Times New Roman"/>
          <w:noProof/>
          <w:lang w:val="en-US"/>
        </w:rPr>
      </w:pPr>
    </w:p>
    <w:p w14:paraId="4A84F2E0" w14:textId="77777777" w:rsidR="001D74C1" w:rsidRPr="003A7E34" w:rsidRDefault="001D74C1" w:rsidP="00EE2A44">
      <w:pPr>
        <w:spacing w:before="0"/>
        <w:rPr>
          <w:rFonts w:eastAsia="Times New Roman"/>
          <w:noProof/>
          <w:lang w:val="en-US"/>
        </w:rPr>
      </w:pPr>
      <w:r w:rsidRPr="003A7E34">
        <w:rPr>
          <w:rFonts w:eastAsia="Times New Roman"/>
          <w:noProof/>
          <w:lang w:val="en-US"/>
        </w:rPr>
        <w:t xml:space="preserve">In the beginning of 1990s, mostly fossil fuel was combusted in manufacturing industries, energy industries and agriculture. A comparison of annual general fuel balances in the period of 1990-2015 shows a significant </w:t>
      </w:r>
      <w:r w:rsidRPr="003A7E34">
        <w:rPr>
          <w:rFonts w:eastAsia="Times New Roman"/>
          <w:noProof/>
          <w:lang w:val="en-US"/>
        </w:rPr>
        <w:lastRenderedPageBreak/>
        <w:t>decrease of use of fuel oil (e.g. from about annual quantity of 57 800 TJ in 1990-1991, to 19 307 TJ in 1992, to about 17 200 TJ in 1993-1994 and 13 126 TJ in 1995, to less than 600 TJ since 2008 ), also a decrease of use of coal, petrol, natural gas, but increase of use of wood. Decrease of use of fuel oil first of all was influenced by environmental requirements: since 1 January 2004 consumption of sulphurous fuel oil was forbidden and it was followed with the stricter requirements since 2008. As elimination of sulphur from fuel oil was not economically efficient for companies, these requirements led to the shift of fuel oil to other fuel types (e.g. natural gas), resulting in a considerable decrease in annual GHG emissions.</w:t>
      </w:r>
    </w:p>
    <w:p w14:paraId="0B47C1B5" w14:textId="1A53D6A4" w:rsidR="00BE722F" w:rsidRPr="003A7E34" w:rsidRDefault="00BE722F" w:rsidP="00EE2A44">
      <w:pPr>
        <w:spacing w:before="0"/>
        <w:rPr>
          <w:rFonts w:eastAsia="Times New Roman"/>
          <w:noProof/>
          <w:lang w:val="en-US"/>
        </w:rPr>
      </w:pPr>
      <w:r w:rsidRPr="003A7E34">
        <w:rPr>
          <w:rFonts w:eastAsia="Times New Roman"/>
          <w:noProof/>
          <w:lang w:val="en-US"/>
        </w:rPr>
        <w:t>In Lithuania the non ETS sector takes a bigger share of GHG emission than in ETS sector. In 2016 this share was 69% of total GHG emissions (Fig x.x).</w:t>
      </w:r>
    </w:p>
    <w:p w14:paraId="67663F41" w14:textId="77777777" w:rsidR="00BE722F" w:rsidRPr="003A7E34" w:rsidRDefault="00BE722F" w:rsidP="00EE2A44">
      <w:pPr>
        <w:spacing w:before="0"/>
        <w:rPr>
          <w:rFonts w:eastAsia="Times New Roman"/>
          <w:noProof/>
          <w:lang w:val="en-US"/>
        </w:rPr>
      </w:pPr>
    </w:p>
    <w:p w14:paraId="26132592" w14:textId="435322AE" w:rsidR="00361301" w:rsidRPr="003A7E34" w:rsidRDefault="0039580C" w:rsidP="00EA50D6">
      <w:pPr>
        <w:spacing w:before="0" w:after="0"/>
        <w:jc w:val="center"/>
        <w:rPr>
          <w:rFonts w:eastAsia="Times New Roman"/>
          <w:noProof/>
          <w:lang w:val="en-US"/>
        </w:rPr>
      </w:pPr>
      <w:r w:rsidRPr="003A7E34">
        <w:rPr>
          <w:noProof/>
          <w:lang w:val="en-US"/>
        </w:rPr>
        <w:drawing>
          <wp:inline distT="0" distB="0" distL="0" distR="0" wp14:anchorId="2A219821" wp14:editId="5B2AB541">
            <wp:extent cx="5543550" cy="2971800"/>
            <wp:effectExtent l="0" t="0" r="0" b="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7952117" w14:textId="3A4D9562" w:rsidR="00361301" w:rsidRPr="003A7E34" w:rsidRDefault="5E230566" w:rsidP="5E230566">
      <w:pPr>
        <w:spacing w:before="0" w:after="0"/>
        <w:jc w:val="center"/>
        <w:rPr>
          <w:rFonts w:eastAsia="Times New Roman"/>
          <w:noProof/>
          <w:sz w:val="20"/>
          <w:szCs w:val="20"/>
          <w:lang w:val="en-US"/>
        </w:rPr>
      </w:pPr>
      <w:r w:rsidRPr="003A7E34">
        <w:rPr>
          <w:rFonts w:eastAsia="Times New Roman"/>
          <w:b/>
          <w:bCs/>
          <w:noProof/>
          <w:sz w:val="20"/>
          <w:szCs w:val="20"/>
          <w:lang w:val="en-US"/>
        </w:rPr>
        <w:t>Figure 4.2.1.3.</w:t>
      </w:r>
      <w:r w:rsidRPr="003A7E34">
        <w:rPr>
          <w:rFonts w:eastAsia="Times New Roman"/>
          <w:noProof/>
          <w:sz w:val="20"/>
          <w:szCs w:val="20"/>
          <w:lang w:val="en-US"/>
        </w:rPr>
        <w:t xml:space="preserve"> </w:t>
      </w:r>
      <w:r w:rsidRPr="003A7E34">
        <w:rPr>
          <w:rFonts w:eastAsia="Times New Roman"/>
          <w:sz w:val="20"/>
          <w:szCs w:val="20"/>
          <w:lang w:val="en-US"/>
        </w:rPr>
        <w:t>Emission trends for aggregated GHG in 1990-2016 divided by the ETS and non-ETS sectors</w:t>
      </w:r>
    </w:p>
    <w:p w14:paraId="0EB55837" w14:textId="77777777" w:rsidR="00361301" w:rsidRPr="003A7E34" w:rsidRDefault="00361301" w:rsidP="00EE2A44">
      <w:pPr>
        <w:spacing w:before="0"/>
        <w:rPr>
          <w:rFonts w:eastAsia="Times New Roman"/>
          <w:noProof/>
          <w:lang w:val="en-US"/>
        </w:rPr>
      </w:pPr>
    </w:p>
    <w:p w14:paraId="0F48AFDF" w14:textId="77777777" w:rsidR="0095523E" w:rsidRPr="003A7E34" w:rsidRDefault="0095523E" w:rsidP="00C42AAE">
      <w:pPr>
        <w:numPr>
          <w:ilvl w:val="3"/>
          <w:numId w:val="21"/>
        </w:numPr>
        <w:spacing w:before="0"/>
        <w:ind w:left="1560" w:hanging="284"/>
        <w:rPr>
          <w:rFonts w:eastAsia="Calibri"/>
          <w:noProof/>
          <w:lang w:val="en-US"/>
        </w:rPr>
      </w:pPr>
      <w:r w:rsidRPr="003A7E34">
        <w:rPr>
          <w:rFonts w:eastAsia="Times New Roman"/>
          <w:noProof/>
          <w:lang w:val="en-US"/>
        </w:rPr>
        <w:t>Projections of sectoral developments with existing national and Union policies and measures at least until 2040 (including for the year 2030)</w:t>
      </w:r>
    </w:p>
    <w:p w14:paraId="728FB18F" w14:textId="2F7ADBDF" w:rsidR="0095523E" w:rsidRPr="003A7E34" w:rsidRDefault="00E067A6" w:rsidP="46DF7FC9">
      <w:pPr>
        <w:spacing w:before="0"/>
        <w:rPr>
          <w:rFonts w:eastAsia="Times New Roman"/>
          <w:noProof/>
          <w:lang w:val="en-US"/>
        </w:rPr>
      </w:pPr>
      <w:r w:rsidRPr="003A7E34">
        <w:rPr>
          <w:rFonts w:eastAsia="Times New Roman"/>
          <w:noProof/>
          <w:lang w:val="en-US"/>
        </w:rPr>
        <w:t>We are providing GHG projections based on an analysis done in 2017, where the base year was 2014. In 2019 we are planing to update Lithuania’s GHG projections, including the base year 2016. Thus, the results of the last GHG projection analysis shows that CO</w:t>
      </w:r>
      <w:r w:rsidRPr="003A7E34">
        <w:rPr>
          <w:rFonts w:eastAsia="Times New Roman"/>
          <w:noProof/>
          <w:vertAlign w:val="subscript"/>
          <w:lang w:val="en-US"/>
        </w:rPr>
        <w:t>2</w:t>
      </w:r>
      <w:r w:rsidRPr="003A7E34">
        <w:rPr>
          <w:rFonts w:eastAsia="Times New Roman"/>
          <w:noProof/>
          <w:lang w:val="en-US"/>
        </w:rPr>
        <w:t xml:space="preserve"> emissions will continue to grow in the transport sector, as this sector is rapidly developing and meanwhilethe vehicle fleet is getting outdated. The road transport emissions account for 90%, from which 80% come from passenger cars. In the agriculture sector, GHG emissions increased from 47% to 53% from the cultivation of organic soils in 2015 compared with 2014. The dynamics of GHG emissions in the agriculture sector depend on the areas of arable land, the quantity of synthetic nitrogen fertilizers used, and the number of cattle. Based on the projections, the distribution of pollution sources will not change in the agriculture sector until 2030. Organic soils will account for 56% of total GHG emissions,  due to nitrogen suboxide emissions and methane emissions from enteric fermentation in cattle which will make up 36%. The detailed information on methodologies and assumptions is available </w:t>
      </w:r>
      <w:r w:rsidRPr="003A7E34">
        <w:rPr>
          <w:rFonts w:eastAsia="Times New Roman"/>
          <w:noProof/>
          <w:lang w:val="en-US"/>
        </w:rPr>
        <w:lastRenderedPageBreak/>
        <w:t>in Chapter 4.8 of the Report of Lithuania pursuant to Article 12, 13 and 14 of Regulation (EU) No 525/2013</w:t>
      </w:r>
      <w:r w:rsidR="00C551B1" w:rsidRPr="003A7E34">
        <w:rPr>
          <w:rStyle w:val="FootnoteReference"/>
          <w:rFonts w:eastAsia="Times New Roman"/>
          <w:noProof/>
          <w:lang w:val="en-US"/>
        </w:rPr>
        <w:footnoteReference w:id="39"/>
      </w:r>
      <w:r w:rsidR="0095523E" w:rsidRPr="003A7E34">
        <w:rPr>
          <w:rFonts w:eastAsia="Times New Roman"/>
          <w:noProof/>
          <w:lang w:val="en-US"/>
        </w:rPr>
        <w:t xml:space="preserve"> </w:t>
      </w:r>
    </w:p>
    <w:p w14:paraId="0D9BB9F5" w14:textId="77777777" w:rsidR="0095523E" w:rsidRPr="003A7E34" w:rsidRDefault="0095523E" w:rsidP="00EE2A44">
      <w:pPr>
        <w:spacing w:before="0"/>
        <w:rPr>
          <w:rFonts w:eastAsia="Times New Roman"/>
          <w:b/>
          <w:bCs/>
          <w:noProof/>
          <w:u w:val="single"/>
          <w:lang w:val="en-US"/>
        </w:rPr>
      </w:pPr>
    </w:p>
    <w:p w14:paraId="685DC168" w14:textId="49209A97" w:rsidR="00361301" w:rsidRPr="003A7E34" w:rsidRDefault="0095523E" w:rsidP="00EA50D6">
      <w:pPr>
        <w:spacing w:before="0" w:after="0"/>
        <w:rPr>
          <w:rFonts w:eastAsia="Times New Roman"/>
          <w:noProof/>
          <w:lang w:val="en-US"/>
        </w:rPr>
      </w:pPr>
      <w:r w:rsidRPr="003A7E34">
        <w:rPr>
          <w:rFonts w:eastAsia="Times New Roman"/>
          <w:b/>
          <w:bCs/>
          <w:i/>
          <w:noProof/>
          <w:u w:val="single"/>
          <w:lang w:val="en-US"/>
        </w:rPr>
        <w:t>Energy</w:t>
      </w:r>
      <w:r w:rsidR="00C354B0" w:rsidRPr="003A7E34">
        <w:rPr>
          <w:rFonts w:eastAsia="Times New Roman"/>
          <w:b/>
          <w:bCs/>
          <w:i/>
          <w:noProof/>
          <w:u w:val="single"/>
          <w:lang w:val="en-US"/>
        </w:rPr>
        <w:t>.</w:t>
      </w:r>
      <w:r w:rsidR="00C354B0" w:rsidRPr="003A7E34">
        <w:rPr>
          <w:rFonts w:eastAsia="Times New Roman"/>
          <w:b/>
          <w:bCs/>
          <w:noProof/>
          <w:u w:val="single"/>
          <w:lang w:val="en-US"/>
        </w:rPr>
        <w:t xml:space="preserve"> </w:t>
      </w:r>
      <w:r w:rsidR="00E067A6" w:rsidRPr="003A7E34">
        <w:rPr>
          <w:rFonts w:eastAsia="Times New Roman"/>
          <w:noProof/>
          <w:lang w:val="en-US"/>
        </w:rPr>
        <w:t>As described in Section 4.1 ii.) according to the Lithuanian energy sector development analysis, the average electricity demand will increase by 2.0% leading up to 2030, and thereafter, by 1.5% leading up to 2035,  finally reaching a total of 13.545 GWh by 2035, which may produce a slight increase  in GHG emissions in the energy sector.</w:t>
      </w:r>
    </w:p>
    <w:p w14:paraId="6FD1A532" w14:textId="77777777" w:rsidR="00361301" w:rsidRPr="003A7E34" w:rsidRDefault="00361301" w:rsidP="00C354B0">
      <w:pPr>
        <w:rPr>
          <w:rFonts w:eastAsia="Times New Roman"/>
          <w:lang w:val="en-US" w:eastAsia="ar-SA"/>
        </w:rPr>
      </w:pPr>
      <w:bookmarkStart w:id="130" w:name="_Toc414873107"/>
      <w:bookmarkStart w:id="131" w:name="_Toc476387368"/>
      <w:bookmarkStart w:id="132" w:name="_Toc476552272"/>
      <w:bookmarkStart w:id="133" w:name="_Toc476578563"/>
    </w:p>
    <w:p w14:paraId="58BB5703" w14:textId="77777777" w:rsidR="00361301" w:rsidRPr="003A7E34" w:rsidRDefault="00361301">
      <w:pPr>
        <w:jc w:val="center"/>
        <w:rPr>
          <w:rFonts w:eastAsia="Times New Roman"/>
          <w:lang w:val="en-US" w:eastAsia="ar-SA"/>
        </w:rPr>
      </w:pPr>
      <w:r>
        <w:rPr>
          <w:noProof/>
          <w:lang w:val="en-US"/>
        </w:rPr>
        <w:drawing>
          <wp:inline distT="0" distB="0" distL="0" distR="0" wp14:anchorId="407DEAB6" wp14:editId="728F714F">
            <wp:extent cx="3241343" cy="2143262"/>
            <wp:effectExtent l="0" t="0" r="0" b="0"/>
            <wp:docPr id="12259526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41343" cy="2143262"/>
                    </a:xfrm>
                    <a:prstGeom prst="rect">
                      <a:avLst/>
                    </a:prstGeom>
                  </pic:spPr>
                </pic:pic>
              </a:graphicData>
            </a:graphic>
          </wp:inline>
        </w:drawing>
      </w:r>
    </w:p>
    <w:p w14:paraId="260604DA" w14:textId="1148CBEB" w:rsidR="00361301" w:rsidRPr="003A7E34" w:rsidRDefault="5E230566" w:rsidP="5E230566">
      <w:pPr>
        <w:spacing w:before="0" w:after="0"/>
        <w:jc w:val="center"/>
        <w:rPr>
          <w:rFonts w:eastAsia="Times New Roman"/>
          <w:sz w:val="20"/>
          <w:szCs w:val="20"/>
          <w:lang w:val="en-US" w:eastAsia="ar-SA"/>
        </w:rPr>
      </w:pPr>
      <w:bookmarkStart w:id="134" w:name="_Toc477942022"/>
      <w:r w:rsidRPr="003A7E34">
        <w:rPr>
          <w:rFonts w:eastAsia="Times New Roman"/>
          <w:b/>
          <w:bCs/>
          <w:noProof/>
          <w:sz w:val="20"/>
          <w:szCs w:val="20"/>
          <w:lang w:val="en-US"/>
        </w:rPr>
        <w:t>Figure 4.2.1.4.</w:t>
      </w:r>
      <w:r w:rsidRPr="003A7E34">
        <w:rPr>
          <w:rFonts w:eastAsia="Times New Roman"/>
          <w:sz w:val="20"/>
          <w:szCs w:val="20"/>
          <w:lang w:val="en-US" w:eastAsia="ar-SA"/>
        </w:rPr>
        <w:t xml:space="preserve"> Projected total electricity demand and GHG emissions in </w:t>
      </w:r>
      <w:r w:rsidR="00E067A6" w:rsidRPr="003A7E34">
        <w:rPr>
          <w:rFonts w:eastAsia="Times New Roman"/>
          <w:sz w:val="20"/>
          <w:szCs w:val="20"/>
          <w:lang w:val="en-US" w:eastAsia="ar-SA"/>
        </w:rPr>
        <w:t>the e</w:t>
      </w:r>
      <w:r w:rsidRPr="003A7E34">
        <w:rPr>
          <w:rFonts w:eastAsia="Times New Roman"/>
          <w:sz w:val="20"/>
          <w:szCs w:val="20"/>
          <w:lang w:val="en-US" w:eastAsia="ar-SA"/>
        </w:rPr>
        <w:t>nergy sector (</w:t>
      </w:r>
      <w:r w:rsidR="00E067A6" w:rsidRPr="003A7E34">
        <w:rPr>
          <w:rFonts w:eastAsia="Times New Roman"/>
          <w:sz w:val="20"/>
          <w:szCs w:val="20"/>
          <w:lang w:val="en-US" w:eastAsia="ar-SA"/>
        </w:rPr>
        <w:t>excluding the</w:t>
      </w:r>
      <w:r w:rsidR="00E067A6" w:rsidRPr="003A7E34" w:rsidDel="00E067A6">
        <w:rPr>
          <w:rFonts w:eastAsia="Times New Roman"/>
          <w:sz w:val="20"/>
          <w:szCs w:val="20"/>
          <w:lang w:val="en-US" w:eastAsia="ar-SA"/>
        </w:rPr>
        <w:t xml:space="preserve"> </w:t>
      </w:r>
      <w:r w:rsidRPr="003A7E34">
        <w:rPr>
          <w:rFonts w:eastAsia="Times New Roman"/>
          <w:sz w:val="20"/>
          <w:szCs w:val="20"/>
          <w:lang w:val="en-US" w:eastAsia="ar-SA"/>
        </w:rPr>
        <w:t>transport sector)</w:t>
      </w:r>
      <w:bookmarkEnd w:id="130"/>
      <w:bookmarkEnd w:id="131"/>
      <w:bookmarkEnd w:id="132"/>
      <w:bookmarkEnd w:id="133"/>
      <w:bookmarkEnd w:id="134"/>
    </w:p>
    <w:p w14:paraId="4FF4F536" w14:textId="77777777" w:rsidR="00361301" w:rsidRPr="003A7E34" w:rsidRDefault="00361301" w:rsidP="00EA50D6">
      <w:pPr>
        <w:spacing w:before="0" w:after="0"/>
        <w:rPr>
          <w:rFonts w:eastAsia="Times New Roman"/>
          <w:lang w:val="en-US"/>
        </w:rPr>
      </w:pPr>
    </w:p>
    <w:p w14:paraId="0370068A" w14:textId="768D0030" w:rsidR="00361301" w:rsidRPr="003A7E34" w:rsidRDefault="00361301" w:rsidP="00EA50D6">
      <w:pPr>
        <w:spacing w:before="0" w:after="0"/>
        <w:rPr>
          <w:rFonts w:eastAsia="Times New Roman"/>
          <w:lang w:val="en-US"/>
        </w:rPr>
      </w:pPr>
      <w:r w:rsidRPr="003A7E34">
        <w:rPr>
          <w:rFonts w:eastAsia="Times New Roman"/>
          <w:lang w:val="en-US"/>
        </w:rPr>
        <w:t>It is estimated that the public electricity and heat production</w:t>
      </w:r>
      <w:r w:rsidR="00E067A6" w:rsidRPr="003A7E34">
        <w:rPr>
          <w:rFonts w:eastAsia="Times New Roman"/>
          <w:lang w:val="en-US"/>
        </w:rPr>
        <w:t xml:space="preserve"> sectors</w:t>
      </w:r>
      <w:r w:rsidRPr="003A7E34">
        <w:rPr>
          <w:rFonts w:eastAsia="Times New Roman"/>
          <w:lang w:val="en-US"/>
        </w:rPr>
        <w:t xml:space="preserve">, </w:t>
      </w:r>
      <w:r w:rsidR="00E067A6" w:rsidRPr="003A7E34">
        <w:rPr>
          <w:rFonts w:eastAsia="Times New Roman"/>
          <w:lang w:val="en-US"/>
        </w:rPr>
        <w:t xml:space="preserve">and the </w:t>
      </w:r>
      <w:r w:rsidRPr="003A7E34">
        <w:rPr>
          <w:rFonts w:eastAsia="Times New Roman"/>
          <w:lang w:val="en-US"/>
        </w:rPr>
        <w:t xml:space="preserve">manufacture of solid fuels and residential sectors will remain the main sources of GHG emissions in </w:t>
      </w:r>
      <w:r w:rsidR="00E067A6" w:rsidRPr="003A7E34">
        <w:rPr>
          <w:rFonts w:eastAsia="Times New Roman"/>
          <w:lang w:val="en-US"/>
        </w:rPr>
        <w:t xml:space="preserve">the </w:t>
      </w:r>
      <w:r w:rsidRPr="003A7E34">
        <w:rPr>
          <w:rFonts w:eastAsia="Times New Roman"/>
          <w:lang w:val="en-US"/>
        </w:rPr>
        <w:t xml:space="preserve">energy sector. </w:t>
      </w:r>
    </w:p>
    <w:p w14:paraId="7BB7A183" w14:textId="729A2588" w:rsidR="00361301" w:rsidRPr="003A7E34" w:rsidRDefault="00361301">
      <w:pPr>
        <w:rPr>
          <w:rFonts w:eastAsia="Times New Roman"/>
          <w:lang w:val="en-US"/>
        </w:rPr>
      </w:pPr>
      <w:bookmarkStart w:id="135" w:name="_Toc414873158"/>
      <w:bookmarkStart w:id="136" w:name="_Toc476387440"/>
      <w:bookmarkStart w:id="137" w:name="_Toc476552609"/>
      <w:bookmarkStart w:id="138" w:name="_Toc476578776"/>
      <w:bookmarkStart w:id="139" w:name="_Toc477942186"/>
      <w:r w:rsidRPr="003A7E34">
        <w:rPr>
          <w:rFonts w:eastAsia="Times New Roman"/>
          <w:lang w:val="en-US"/>
        </w:rPr>
        <w:t xml:space="preserve">Historical and projected GHG emissions </w:t>
      </w:r>
      <w:r w:rsidR="00E067A6" w:rsidRPr="003A7E34">
        <w:rPr>
          <w:rFonts w:eastAsia="Times New Roman"/>
          <w:lang w:val="en-US"/>
        </w:rPr>
        <w:t xml:space="preserve">in </w:t>
      </w:r>
      <w:r w:rsidRPr="003A7E34">
        <w:rPr>
          <w:rFonts w:eastAsia="Times New Roman"/>
          <w:lang w:val="en-US"/>
        </w:rPr>
        <w:t xml:space="preserve">1990-2035 from </w:t>
      </w:r>
      <w:r w:rsidR="00E067A6" w:rsidRPr="003A7E34">
        <w:rPr>
          <w:rFonts w:eastAsia="Times New Roman"/>
          <w:lang w:val="en-US"/>
        </w:rPr>
        <w:t xml:space="preserve">the </w:t>
      </w:r>
      <w:r w:rsidRPr="003A7E34">
        <w:rPr>
          <w:rFonts w:eastAsia="Times New Roman"/>
          <w:lang w:val="en-US"/>
        </w:rPr>
        <w:t>energy subsectors, kt CO</w:t>
      </w:r>
      <w:r w:rsidRPr="003A7E34">
        <w:rPr>
          <w:rFonts w:eastAsia="Times New Roman"/>
          <w:vertAlign w:val="subscript"/>
          <w:lang w:val="en-US"/>
        </w:rPr>
        <w:t>2</w:t>
      </w:r>
      <w:r w:rsidRPr="003A7E34">
        <w:rPr>
          <w:rFonts w:eastAsia="Times New Roman"/>
          <w:lang w:val="en-US"/>
        </w:rPr>
        <w:t>e</w:t>
      </w:r>
      <w:bookmarkEnd w:id="135"/>
      <w:bookmarkEnd w:id="136"/>
      <w:bookmarkEnd w:id="137"/>
      <w:bookmarkEnd w:id="138"/>
      <w:bookmarkEnd w:id="139"/>
      <w:r w:rsidRPr="003A7E34">
        <w:rPr>
          <w:rFonts w:eastAsia="Times New Roman"/>
          <w:lang w:val="en-US"/>
        </w:rPr>
        <w:t>q. (excluding transport sector)</w:t>
      </w:r>
      <w:r w:rsidR="00B30AE7" w:rsidRPr="003A7E34">
        <w:rPr>
          <w:rFonts w:eastAsia="Times New Roman"/>
          <w:lang w:val="en-US"/>
        </w:rPr>
        <w:t>.</w:t>
      </w:r>
    </w:p>
    <w:p w14:paraId="231B564E" w14:textId="77777777" w:rsidR="00361301" w:rsidRPr="003A7E34" w:rsidRDefault="00361301">
      <w:pPr>
        <w:jc w:val="center"/>
        <w:rPr>
          <w:rFonts w:eastAsia="Times New Roman"/>
          <w:lang w:val="en-US"/>
        </w:rPr>
      </w:pPr>
      <w:r>
        <w:rPr>
          <w:noProof/>
          <w:lang w:val="en-US"/>
        </w:rPr>
        <w:lastRenderedPageBreak/>
        <w:drawing>
          <wp:inline distT="0" distB="0" distL="0" distR="0" wp14:anchorId="1A45B977" wp14:editId="5588B497">
            <wp:extent cx="4412974" cy="2784658"/>
            <wp:effectExtent l="0" t="0" r="6985" b="0"/>
            <wp:docPr id="169474877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12974" cy="2784658"/>
                    </a:xfrm>
                    <a:prstGeom prst="rect">
                      <a:avLst/>
                    </a:prstGeom>
                  </pic:spPr>
                </pic:pic>
              </a:graphicData>
            </a:graphic>
          </wp:inline>
        </w:drawing>
      </w:r>
    </w:p>
    <w:p w14:paraId="6ACAA9FA" w14:textId="4758158F" w:rsidR="00361301" w:rsidRPr="003A7E34" w:rsidRDefault="5E230566" w:rsidP="5E230566">
      <w:pPr>
        <w:spacing w:after="0"/>
        <w:jc w:val="center"/>
        <w:rPr>
          <w:rFonts w:eastAsia="Times New Roman"/>
          <w:sz w:val="20"/>
          <w:szCs w:val="20"/>
          <w:lang w:val="en-US"/>
        </w:rPr>
      </w:pPr>
      <w:r w:rsidRPr="003A7E34">
        <w:rPr>
          <w:rFonts w:eastAsia="Times New Roman"/>
          <w:b/>
          <w:bCs/>
          <w:noProof/>
          <w:sz w:val="20"/>
          <w:szCs w:val="20"/>
          <w:lang w:val="en-US"/>
        </w:rPr>
        <w:t>Figure 4.2.1.5.</w:t>
      </w:r>
      <w:r w:rsidRPr="003A7E34">
        <w:rPr>
          <w:rFonts w:eastAsia="Times New Roman"/>
          <w:sz w:val="20"/>
          <w:szCs w:val="20"/>
          <w:lang w:val="en-US"/>
        </w:rPr>
        <w:t xml:space="preserve"> Historical and projected GHG emissions, kt CO</w:t>
      </w:r>
      <w:r w:rsidRPr="003A7E34">
        <w:rPr>
          <w:rFonts w:eastAsia="Times New Roman"/>
          <w:sz w:val="20"/>
          <w:szCs w:val="20"/>
          <w:vertAlign w:val="subscript"/>
          <w:lang w:val="en-US"/>
        </w:rPr>
        <w:t>2</w:t>
      </w:r>
      <w:r w:rsidRPr="003A7E34">
        <w:rPr>
          <w:rFonts w:eastAsia="Times New Roman"/>
          <w:sz w:val="20"/>
          <w:szCs w:val="20"/>
          <w:lang w:val="en-US"/>
        </w:rPr>
        <w:t>eq. (excluding transport sector)</w:t>
      </w:r>
    </w:p>
    <w:p w14:paraId="7BE7CC22" w14:textId="77777777" w:rsidR="00361301" w:rsidRPr="003A7E34" w:rsidRDefault="00361301" w:rsidP="00EA50D6">
      <w:pPr>
        <w:spacing w:before="0" w:after="0"/>
        <w:rPr>
          <w:rFonts w:eastAsia="Times New Roman"/>
          <w:lang w:val="en-US"/>
        </w:rPr>
      </w:pPr>
    </w:p>
    <w:p w14:paraId="5074EB46" w14:textId="77777777" w:rsidR="00E067A6" w:rsidRPr="003A7E34" w:rsidRDefault="00E067A6" w:rsidP="00E067A6">
      <w:pPr>
        <w:spacing w:before="0" w:after="0"/>
        <w:rPr>
          <w:rFonts w:eastAsia="Times New Roman"/>
          <w:lang w:val="en-US"/>
        </w:rPr>
      </w:pPr>
      <w:r w:rsidRPr="003A7E34">
        <w:rPr>
          <w:rFonts w:eastAsia="Times New Roman"/>
          <w:lang w:val="en-US"/>
        </w:rPr>
        <w:t xml:space="preserve">Compared to 2014, the GHG emissions will increase overall in all sectors, except in the Residential sector were the building renovation program is currently taking place. It was estimated that the increased energy consumption efficiency and the use of biomass will decrease the use of fossil fuels and the final energy consumption by 13.7% in 2035, which will lead to a decrease in GHG emissions in this sector. </w:t>
      </w:r>
    </w:p>
    <w:p w14:paraId="3072CC73" w14:textId="77777777" w:rsidR="00E067A6" w:rsidRPr="003A7E34" w:rsidRDefault="00E067A6" w:rsidP="00E067A6">
      <w:pPr>
        <w:spacing w:before="0" w:after="0"/>
        <w:rPr>
          <w:rFonts w:eastAsia="Times New Roman"/>
          <w:b/>
          <w:bCs/>
          <w:noProof/>
          <w:u w:val="single"/>
          <w:lang w:val="en-US"/>
        </w:rPr>
      </w:pPr>
    </w:p>
    <w:p w14:paraId="3F1A2075" w14:textId="77777777" w:rsidR="00E067A6" w:rsidRPr="003A7E34" w:rsidRDefault="00E067A6" w:rsidP="00E067A6">
      <w:pPr>
        <w:spacing w:before="0" w:after="0"/>
        <w:rPr>
          <w:rFonts w:eastAsia="Times New Roman"/>
          <w:lang w:val="en-US"/>
        </w:rPr>
      </w:pPr>
      <w:r w:rsidRPr="003A7E34">
        <w:rPr>
          <w:rFonts w:eastAsia="Times New Roman"/>
          <w:b/>
          <w:bCs/>
          <w:i/>
          <w:noProof/>
          <w:lang w:val="en-US"/>
        </w:rPr>
        <w:t>Industrial processes and product use.</w:t>
      </w:r>
      <w:r w:rsidRPr="003A7E34">
        <w:rPr>
          <w:rFonts w:eastAsia="Times New Roman"/>
          <w:b/>
          <w:bCs/>
          <w:noProof/>
          <w:u w:val="single"/>
          <w:lang w:val="en-US"/>
        </w:rPr>
        <w:t xml:space="preserve"> </w:t>
      </w:r>
      <w:r w:rsidRPr="003A7E34">
        <w:rPr>
          <w:rFonts w:eastAsia="Times New Roman"/>
          <w:lang w:val="en-US"/>
        </w:rPr>
        <w:t>The GHG emissions projections from industrial processes and product use with existing policies and measures were estimated using projected production levels data (activity data) for 2035, provided by the main emitters in this sector: clinker, lime, glass, ammonia and nitric acid producing companies. Emissions from these industries covered up to 83% of total industrial processes and product use sector emissions in 2014.</w:t>
      </w:r>
    </w:p>
    <w:p w14:paraId="685C09AF" w14:textId="77777777" w:rsidR="00E067A6" w:rsidRPr="003A7E34" w:rsidRDefault="00E067A6" w:rsidP="00E067A6">
      <w:pPr>
        <w:spacing w:before="0" w:after="0"/>
        <w:rPr>
          <w:rFonts w:eastAsia="Times New Roman"/>
          <w:noProof/>
          <w:lang w:val="en-US"/>
        </w:rPr>
      </w:pPr>
      <w:r w:rsidRPr="003A7E34">
        <w:rPr>
          <w:rFonts w:eastAsia="Times New Roman"/>
          <w:noProof/>
          <w:lang w:val="en-US"/>
        </w:rPr>
        <w:t>The GHG emissions in the industry sector are determined by technology processes, where notable emissions reduction per production output is hardly possible. Therefore, it is expected that GHG emissions will grow together with increasing industrial production. The projected emissions from industrial processes and product use are presented in the figure below:</w:t>
      </w:r>
    </w:p>
    <w:p w14:paraId="51B8290B" w14:textId="00B0200B" w:rsidR="0095523E" w:rsidRPr="003A7E34" w:rsidRDefault="00361301" w:rsidP="00EA50D6">
      <w:pPr>
        <w:spacing w:before="0" w:after="0"/>
        <w:jc w:val="center"/>
        <w:rPr>
          <w:rFonts w:eastAsia="Times New Roman"/>
          <w:noProof/>
          <w:lang w:val="en-US"/>
        </w:rPr>
      </w:pPr>
      <w:r>
        <w:rPr>
          <w:noProof/>
          <w:lang w:val="en-US"/>
        </w:rPr>
        <w:drawing>
          <wp:inline distT="0" distB="0" distL="0" distR="0" wp14:anchorId="7FC9EE87" wp14:editId="5BB4D495">
            <wp:extent cx="4532244" cy="2439007"/>
            <wp:effectExtent l="0" t="0" r="1905" b="0"/>
            <wp:docPr id="7071099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32244" cy="2439007"/>
                    </a:xfrm>
                    <a:prstGeom prst="rect">
                      <a:avLst/>
                    </a:prstGeom>
                  </pic:spPr>
                </pic:pic>
              </a:graphicData>
            </a:graphic>
          </wp:inline>
        </w:drawing>
      </w:r>
    </w:p>
    <w:p w14:paraId="210B6D01" w14:textId="151CB96A" w:rsidR="0095523E" w:rsidRPr="003A7E34" w:rsidRDefault="5E230566" w:rsidP="5E230566">
      <w:pPr>
        <w:tabs>
          <w:tab w:val="left" w:pos="242"/>
        </w:tabs>
        <w:spacing w:before="0" w:after="0"/>
        <w:jc w:val="center"/>
        <w:rPr>
          <w:rFonts w:eastAsia="Times New Roman"/>
          <w:noProof/>
          <w:sz w:val="20"/>
          <w:szCs w:val="20"/>
          <w:lang w:val="en-US"/>
        </w:rPr>
      </w:pPr>
      <w:r w:rsidRPr="003A7E34">
        <w:rPr>
          <w:rFonts w:eastAsia="Times New Roman"/>
          <w:b/>
          <w:bCs/>
          <w:noProof/>
          <w:sz w:val="20"/>
          <w:szCs w:val="20"/>
          <w:lang w:val="en-US"/>
        </w:rPr>
        <w:t>Figure 4.2.1.6.</w:t>
      </w:r>
      <w:r w:rsidRPr="003A7E34">
        <w:rPr>
          <w:rFonts w:eastAsia="Times New Roman"/>
          <w:noProof/>
          <w:sz w:val="20"/>
          <w:szCs w:val="20"/>
          <w:lang w:val="en-US"/>
        </w:rPr>
        <w:t xml:space="preserve"> GHG projections in</w:t>
      </w:r>
      <w:r w:rsidR="00E067A6" w:rsidRPr="003A7E34">
        <w:rPr>
          <w:rFonts w:eastAsia="Times New Roman"/>
          <w:noProof/>
          <w:sz w:val="20"/>
          <w:szCs w:val="20"/>
          <w:lang w:val="en-US"/>
        </w:rPr>
        <w:t xml:space="preserve"> the</w:t>
      </w:r>
      <w:r w:rsidRPr="003A7E34">
        <w:rPr>
          <w:rFonts w:eastAsia="Times New Roman"/>
          <w:noProof/>
          <w:sz w:val="20"/>
          <w:szCs w:val="20"/>
          <w:lang w:val="en-US"/>
        </w:rPr>
        <w:t xml:space="preserve"> industrial processes and product use sector </w:t>
      </w:r>
    </w:p>
    <w:p w14:paraId="4E618951" w14:textId="77777777" w:rsidR="0095523E" w:rsidRPr="003A7E34" w:rsidRDefault="0095523E" w:rsidP="009C5B16">
      <w:pPr>
        <w:tabs>
          <w:tab w:val="left" w:pos="242"/>
        </w:tabs>
        <w:spacing w:before="0"/>
        <w:rPr>
          <w:rFonts w:eastAsia="Times New Roman"/>
          <w:noProof/>
          <w:sz w:val="20"/>
          <w:szCs w:val="20"/>
          <w:lang w:val="en-US"/>
        </w:rPr>
      </w:pPr>
    </w:p>
    <w:p w14:paraId="67B84F6A" w14:textId="69EAEEB8" w:rsidR="00E067A6" w:rsidRPr="003A7E34" w:rsidRDefault="00E067A6" w:rsidP="00E067A6">
      <w:pPr>
        <w:autoSpaceDE w:val="0"/>
        <w:autoSpaceDN w:val="0"/>
        <w:adjustRightInd w:val="0"/>
        <w:spacing w:before="0"/>
        <w:rPr>
          <w:rFonts w:eastAsia="Times New Roman"/>
          <w:lang w:val="en-US"/>
        </w:rPr>
      </w:pPr>
      <w:r w:rsidRPr="003A7E34">
        <w:rPr>
          <w:rFonts w:eastAsia="Times New Roman"/>
          <w:lang w:val="en-US"/>
        </w:rPr>
        <w:lastRenderedPageBreak/>
        <w:t>The main source of GHG emissions in industrial processes and the product use sector remains nitric acid and ammonia production. Based on the data from manufacturing companies, the GHG emissions trend will remain stable in the period of 2020-2035 due to constant production capacity.</w:t>
      </w:r>
    </w:p>
    <w:p w14:paraId="24CB8454" w14:textId="74D4E7ED" w:rsidR="00E067A6" w:rsidRPr="003A7E34" w:rsidRDefault="00E067A6" w:rsidP="00E067A6">
      <w:pPr>
        <w:spacing w:before="0"/>
        <w:rPr>
          <w:rFonts w:eastAsia="Times New Roman"/>
          <w:lang w:val="en-US"/>
        </w:rPr>
      </w:pPr>
      <w:r w:rsidRPr="003A7E34">
        <w:rPr>
          <w:rFonts w:eastAsia="Times New Roman"/>
          <w:lang w:val="en-US"/>
        </w:rPr>
        <w:t>The projections on F-gas emissions for most sub-categories were based on the 1990-2014 emissions trend by taking into account growth rates for the different sectors, by including relevant technological improvements, and taking into account the impacts of the F-gases Regulation (EU) No 517/2014 implementation (introduced restrictions/controls of the use and introduction of quotas for placing on the market hydrofluorocarbons).</w:t>
      </w:r>
    </w:p>
    <w:p w14:paraId="2EA056CB" w14:textId="727ABE7E" w:rsidR="00E067A6" w:rsidRPr="003A7E34" w:rsidRDefault="00E067A6" w:rsidP="00E067A6">
      <w:pPr>
        <w:autoSpaceDE w:val="0"/>
        <w:autoSpaceDN w:val="0"/>
        <w:adjustRightInd w:val="0"/>
        <w:spacing w:before="0"/>
        <w:rPr>
          <w:rFonts w:eastAsia="Times New Roman"/>
          <w:lang w:val="en-US"/>
        </w:rPr>
      </w:pPr>
      <w:r w:rsidRPr="003A7E34">
        <w:rPr>
          <w:rFonts w:eastAsia="Times New Roman"/>
          <w:lang w:val="en-US"/>
        </w:rPr>
        <w:t xml:space="preserve">Emissions from domestic refrigeration equipment are expected to decline in 2020–2035 due to EU wide measures and technical changes resulting in decreased leakage. Due to the ban on HFCs with GWP of 2 500 and above to service or maintain refrigeration equipment in domestic refrigerators and freezers, the use of (and thus emissions from) HFCs in domestic refrigeration will be phased out gradually, and mainly emissions from disposal will occur. Implementation of the F-gases quota system will reduce amount of HFCs placed on the market by 79% between 2015 and 2030. Taking into account these assumptions, it is predicted that in 2035 emissions from commercial and industrial refrigeration sectors will account for only 11%, compared to F-gases emissions in these sectors in 2015. The emissions from mobile air-conditioning will decrease,  due to the implementation of the EU </w:t>
      </w:r>
      <w:hyperlink r:id="rId37" w:history="1">
        <w:r w:rsidRPr="003A7E34">
          <w:rPr>
            <w:rFonts w:eastAsia="Times New Roman"/>
            <w:lang w:val="en-US"/>
          </w:rPr>
          <w:t>MAC Directive</w:t>
        </w:r>
      </w:hyperlink>
      <w:r w:rsidRPr="003A7E34">
        <w:rPr>
          <w:rFonts w:eastAsia="Times New Roman"/>
          <w:lang w:val="en-US"/>
        </w:rPr>
        <w:t xml:space="preserve">, which prohibits the use of F-gases with GWP of more than 150 in new types of cars and vans introduced from 2011, and in all new cars and vans produced from 2017. Emissions from foam blowing are expected to decrease due to reduced use, and emissions from metered dose inhalers will decline due to decrease of population. </w:t>
      </w:r>
    </w:p>
    <w:p w14:paraId="582E8023" w14:textId="77777777" w:rsidR="00E067A6" w:rsidRPr="003A7E34" w:rsidRDefault="00E067A6" w:rsidP="00E067A6">
      <w:pPr>
        <w:spacing w:before="0"/>
        <w:rPr>
          <w:rFonts w:eastAsia="Times New Roman"/>
          <w:lang w:val="en-US"/>
        </w:rPr>
      </w:pPr>
      <w:r w:rsidRPr="003A7E34">
        <w:rPr>
          <w:rFonts w:eastAsia="Times New Roman"/>
          <w:b/>
          <w:bCs/>
          <w:i/>
          <w:noProof/>
          <w:lang w:val="en-US"/>
        </w:rPr>
        <w:t>Agriculture.</w:t>
      </w:r>
      <w:r w:rsidRPr="003A7E34">
        <w:rPr>
          <w:rFonts w:eastAsia="Times New Roman"/>
          <w:b/>
          <w:bCs/>
          <w:noProof/>
          <w:u w:val="single"/>
          <w:lang w:val="en-US"/>
        </w:rPr>
        <w:t xml:space="preserve"> </w:t>
      </w:r>
      <w:r w:rsidRPr="003A7E34">
        <w:rPr>
          <w:rFonts w:eastAsia="Times New Roman"/>
          <w:lang w:val="en-US"/>
        </w:rPr>
        <w:t>Projections of GHG emissions from the agriculture sector with existing policies and measures (WEM) are based on forecasted livestock population, main harvested crops and area harvested, the amount of sold limestone materials, consumption of inorganic N fertilizers and application of urea.</w:t>
      </w:r>
    </w:p>
    <w:p w14:paraId="0AF6A91E" w14:textId="26DD76B7" w:rsidR="00E067A6" w:rsidRPr="003A7E34" w:rsidRDefault="00E067A6" w:rsidP="00E067A6">
      <w:pPr>
        <w:spacing w:before="0"/>
        <w:rPr>
          <w:rFonts w:eastAsia="Times New Roman"/>
          <w:lang w:val="en-US"/>
        </w:rPr>
      </w:pPr>
      <w:r w:rsidRPr="003A7E34">
        <w:rPr>
          <w:rFonts w:eastAsia="Times New Roman"/>
          <w:b/>
          <w:i/>
          <w:iCs/>
          <w:lang w:val="en-US"/>
        </w:rPr>
        <w:t>Livestock populations</w:t>
      </w:r>
      <w:r w:rsidRPr="003A7E34">
        <w:rPr>
          <w:rFonts w:eastAsia="Times New Roman"/>
          <w:i/>
          <w:iCs/>
          <w:lang w:val="en-US"/>
        </w:rPr>
        <w:t xml:space="preserve">. </w:t>
      </w:r>
      <w:r w:rsidRPr="003A7E34">
        <w:rPr>
          <w:rFonts w:eastAsia="Times New Roman"/>
          <w:lang w:val="en-US"/>
        </w:rPr>
        <w:t>It is projected that the dairy cattle population will decrease by 22% from 315 thous</w:t>
      </w:r>
      <w:r w:rsidR="00356FA3" w:rsidRPr="003A7E34">
        <w:rPr>
          <w:rFonts w:eastAsia="Times New Roman"/>
          <w:lang w:val="en-US"/>
        </w:rPr>
        <w:t>and</w:t>
      </w:r>
      <w:r w:rsidRPr="003A7E34">
        <w:rPr>
          <w:rFonts w:eastAsia="Times New Roman"/>
          <w:lang w:val="en-US"/>
        </w:rPr>
        <w:t xml:space="preserve"> heads in 2014 to 236 thous</w:t>
      </w:r>
      <w:r w:rsidR="00976CA5" w:rsidRPr="003A7E34">
        <w:rPr>
          <w:rFonts w:eastAsia="Times New Roman"/>
          <w:lang w:val="en-US"/>
        </w:rPr>
        <w:t>and</w:t>
      </w:r>
      <w:r w:rsidRPr="003A7E34">
        <w:rPr>
          <w:rFonts w:eastAsia="Times New Roman"/>
          <w:lang w:val="en-US"/>
        </w:rPr>
        <w:t xml:space="preserve"> heads in 2030. This decrease is mainly associated with increasing productivity (increase in milk yield).</w:t>
      </w:r>
    </w:p>
    <w:p w14:paraId="33C294AE" w14:textId="77777777" w:rsidR="00E067A6" w:rsidRPr="003A7E34" w:rsidRDefault="00E067A6" w:rsidP="00E067A6">
      <w:pPr>
        <w:spacing w:before="0"/>
        <w:rPr>
          <w:rFonts w:eastAsia="Times New Roman"/>
          <w:lang w:val="en-US"/>
        </w:rPr>
      </w:pPr>
      <w:r w:rsidRPr="003A7E34">
        <w:rPr>
          <w:rFonts w:eastAsia="Times New Roman"/>
          <w:lang w:val="en-US"/>
        </w:rPr>
        <w:t xml:space="preserve">The population of non-dairy cattle will be constantly increasing: from 2014 to 2015 by 4%; during the period of 2015-2020 by 20%, and from 2020 to 2030 – by 16%. For the period 2031-2035, the average annual growth of 1.5% was applied (1.5% increase represents average non-dairy cattle population increase during the period 2025-2030 each year). </w:t>
      </w:r>
    </w:p>
    <w:p w14:paraId="4ACE9434" w14:textId="77777777" w:rsidR="00E067A6" w:rsidRPr="003A7E34" w:rsidRDefault="00E067A6" w:rsidP="00E067A6">
      <w:pPr>
        <w:spacing w:before="0"/>
        <w:rPr>
          <w:rFonts w:eastAsia="Times New Roman"/>
          <w:lang w:val="en-US"/>
        </w:rPr>
      </w:pPr>
      <w:r w:rsidRPr="003A7E34">
        <w:rPr>
          <w:rFonts w:eastAsia="Times New Roman"/>
          <w:lang w:val="en-US"/>
        </w:rPr>
        <w:t>The population of swine will be decreasing during the whole period. The swine population from the year 2014 (base year) to 2020 will decrease by 14%. From 2020 to 2030, the swine population will decrease by 1%. The poultry population will increase by 6% in 2020 compared to 2014. From 2020 to 2030, it is projected that the poultry population will increase by about 5%.</w:t>
      </w:r>
    </w:p>
    <w:p w14:paraId="7218632F" w14:textId="77777777" w:rsidR="00E067A6" w:rsidRPr="003A7E34" w:rsidRDefault="00E067A6" w:rsidP="00E067A6">
      <w:pPr>
        <w:spacing w:before="0"/>
        <w:rPr>
          <w:rFonts w:eastAsia="Times New Roman"/>
          <w:lang w:val="en-US"/>
        </w:rPr>
      </w:pPr>
      <w:r w:rsidRPr="003A7E34">
        <w:rPr>
          <w:rFonts w:eastAsia="Times New Roman"/>
          <w:lang w:val="en-US"/>
        </w:rPr>
        <w:t>Taking into account livestock population developments, it is projected that CH</w:t>
      </w:r>
      <w:r w:rsidRPr="003A7E34">
        <w:rPr>
          <w:rFonts w:eastAsia="Times New Roman"/>
          <w:vertAlign w:val="subscript"/>
          <w:lang w:val="en-US"/>
        </w:rPr>
        <w:t>4</w:t>
      </w:r>
      <w:r w:rsidRPr="003A7E34">
        <w:rPr>
          <w:rFonts w:eastAsia="Times New Roman"/>
          <w:lang w:val="en-US"/>
        </w:rPr>
        <w:t xml:space="preserve"> emissions from enteric fermentation during the 2014–2035 period will increase by about 5%. A slight decrease of CH</w:t>
      </w:r>
      <w:r w:rsidRPr="003A7E34">
        <w:rPr>
          <w:rFonts w:eastAsia="Times New Roman"/>
          <w:vertAlign w:val="subscript"/>
          <w:lang w:val="en-US"/>
        </w:rPr>
        <w:t>4</w:t>
      </w:r>
      <w:r w:rsidRPr="003A7E34">
        <w:rPr>
          <w:rFonts w:eastAsia="Times New Roman"/>
          <w:lang w:val="en-US"/>
        </w:rPr>
        <w:t xml:space="preserve"> emissions from enteric fermentation can be seen from 2014 to 2020. It is projected that emissions from enteric fermentation could decrease by 1.2% in 2020 compared to the base year. </w:t>
      </w:r>
    </w:p>
    <w:p w14:paraId="2CA1E92D" w14:textId="77777777" w:rsidR="00E067A6" w:rsidRPr="003A7E34" w:rsidRDefault="00E067A6" w:rsidP="00E067A6">
      <w:pPr>
        <w:spacing w:before="0"/>
        <w:rPr>
          <w:rFonts w:eastAsia="Times New Roman"/>
          <w:lang w:val="en-US"/>
        </w:rPr>
      </w:pPr>
      <w:r w:rsidRPr="003A7E34">
        <w:rPr>
          <w:rFonts w:eastAsia="Times New Roman"/>
          <w:lang w:val="en-US"/>
        </w:rPr>
        <w:t>In 2014 the majority of these emissions were comprised of dairy cattle enteric fermentation – 60%. It is projected that the share of non-dairy cattle CH</w:t>
      </w:r>
      <w:r w:rsidRPr="003A7E34">
        <w:rPr>
          <w:rFonts w:eastAsia="Times New Roman"/>
          <w:vertAlign w:val="subscript"/>
          <w:lang w:val="en-US"/>
        </w:rPr>
        <w:t>4</w:t>
      </w:r>
      <w:r w:rsidRPr="003A7E34">
        <w:rPr>
          <w:rFonts w:eastAsia="Times New Roman"/>
          <w:lang w:val="en-US"/>
        </w:rPr>
        <w:t xml:space="preserve"> emissions from enteric fermentation will be increasing from 36% in 2014 to 53% in 2035.</w:t>
      </w:r>
    </w:p>
    <w:p w14:paraId="5A7B3ACA" w14:textId="546194E3" w:rsidR="00E067A6" w:rsidRPr="003A7E34" w:rsidRDefault="00E067A6" w:rsidP="00E067A6">
      <w:pPr>
        <w:spacing w:before="0"/>
        <w:rPr>
          <w:rFonts w:eastAsia="Times New Roman"/>
          <w:lang w:val="en-US"/>
        </w:rPr>
      </w:pPr>
      <w:r w:rsidRPr="003A7E34">
        <w:rPr>
          <w:rFonts w:eastAsia="Times New Roman"/>
          <w:lang w:val="en-US"/>
        </w:rPr>
        <w:t>It is projected that CH</w:t>
      </w:r>
      <w:r w:rsidRPr="003A7E34">
        <w:rPr>
          <w:rFonts w:eastAsia="Times New Roman"/>
          <w:vertAlign w:val="subscript"/>
          <w:lang w:val="en-US"/>
        </w:rPr>
        <w:t>4</w:t>
      </w:r>
      <w:r w:rsidRPr="003A7E34">
        <w:rPr>
          <w:rFonts w:eastAsia="Times New Roman"/>
          <w:lang w:val="en-US"/>
        </w:rPr>
        <w:t xml:space="preserve"> emissions from </w:t>
      </w:r>
      <w:r w:rsidRPr="003A7E34">
        <w:rPr>
          <w:rFonts w:eastAsia="Times New Roman"/>
          <w:i/>
          <w:iCs/>
          <w:lang w:val="en-US"/>
        </w:rPr>
        <w:t>manure management</w:t>
      </w:r>
      <w:r w:rsidRPr="003A7E34">
        <w:rPr>
          <w:rFonts w:eastAsia="Times New Roman"/>
          <w:lang w:val="en-US"/>
        </w:rPr>
        <w:t xml:space="preserve"> during the 2014-2035 period will vary slightly. The decrease of CH</w:t>
      </w:r>
      <w:r w:rsidRPr="003A7E34">
        <w:rPr>
          <w:rFonts w:eastAsia="Times New Roman"/>
          <w:vertAlign w:val="subscript"/>
          <w:lang w:val="en-US"/>
        </w:rPr>
        <w:t>4</w:t>
      </w:r>
      <w:r w:rsidRPr="003A7E34">
        <w:rPr>
          <w:rFonts w:eastAsia="Times New Roman"/>
          <w:lang w:val="en-US"/>
        </w:rPr>
        <w:t xml:space="preserve"> emissions from manure management can be up</w:t>
      </w:r>
      <w:r w:rsidR="00976CA5" w:rsidRPr="003A7E34">
        <w:rPr>
          <w:rFonts w:eastAsia="Times New Roman"/>
          <w:lang w:val="en-US"/>
        </w:rPr>
        <w:t xml:space="preserve"> </w:t>
      </w:r>
      <w:r w:rsidRPr="003A7E34">
        <w:rPr>
          <w:rFonts w:eastAsia="Times New Roman"/>
          <w:lang w:val="en-US"/>
        </w:rPr>
        <w:t>to 7% in 2020 compared to 2014. From 2020 to 2030, it is projected that CH</w:t>
      </w:r>
      <w:r w:rsidRPr="003A7E34">
        <w:rPr>
          <w:rFonts w:eastAsia="Times New Roman"/>
          <w:vertAlign w:val="subscript"/>
          <w:lang w:val="en-US"/>
        </w:rPr>
        <w:t>4</w:t>
      </w:r>
      <w:r w:rsidRPr="003A7E34">
        <w:rPr>
          <w:rFonts w:eastAsia="Times New Roman"/>
          <w:lang w:val="en-US"/>
        </w:rPr>
        <w:t xml:space="preserve"> emissions will increase by 4%, and by 2% in 2035. It is projected that total direct and indirect N</w:t>
      </w:r>
      <w:r w:rsidRPr="003A7E34">
        <w:rPr>
          <w:rFonts w:eastAsia="Times New Roman"/>
          <w:vertAlign w:val="subscript"/>
          <w:lang w:val="en-US"/>
        </w:rPr>
        <w:t>2</w:t>
      </w:r>
      <w:r w:rsidRPr="003A7E34">
        <w:rPr>
          <w:rFonts w:eastAsia="Times New Roman"/>
          <w:lang w:val="en-US"/>
        </w:rPr>
        <w:t xml:space="preserve">O emissions from manure management will increase by 2% in 2020 compared with 2014. From 2020 to 2035, emissions will increase by 3.2%. </w:t>
      </w:r>
    </w:p>
    <w:p w14:paraId="448B303F" w14:textId="72178530" w:rsidR="00E067A6" w:rsidRPr="003A7E34" w:rsidRDefault="00E067A6" w:rsidP="00E067A6">
      <w:pPr>
        <w:spacing w:before="0"/>
        <w:rPr>
          <w:rFonts w:eastAsia="Times New Roman"/>
          <w:lang w:val="en-US"/>
        </w:rPr>
      </w:pPr>
      <w:r w:rsidRPr="003A7E34">
        <w:rPr>
          <w:rFonts w:eastAsia="Times New Roman"/>
          <w:b/>
          <w:i/>
          <w:iCs/>
          <w:lang w:val="en-US"/>
        </w:rPr>
        <w:lastRenderedPageBreak/>
        <w:t>Crop residue projections</w:t>
      </w:r>
      <w:r w:rsidRPr="003A7E34">
        <w:rPr>
          <w:rFonts w:eastAsia="Times New Roman"/>
          <w:i/>
          <w:iCs/>
          <w:lang w:val="en-US"/>
        </w:rPr>
        <w:t xml:space="preserve">. </w:t>
      </w:r>
      <w:r w:rsidRPr="003A7E34">
        <w:rPr>
          <w:rFonts w:eastAsia="Times New Roman"/>
          <w:lang w:val="en-US"/>
        </w:rPr>
        <w:t xml:space="preserve">It is projected that crop yield will increase by reducing crop cultivation in less fertile areas and by implementing intensive growth technologies in specialized, more efficient (fertile) soil farms. Crop yield will also increase due to the concentration of farms in the lands of middle Lithuania, the rise of farming culture, and the implementation of new technologies and the best farming practices of the EU. </w:t>
      </w:r>
    </w:p>
    <w:p w14:paraId="2AC6CB10" w14:textId="62E71EC5" w:rsidR="00E067A6" w:rsidRPr="003A7E34" w:rsidRDefault="00E067A6" w:rsidP="00E067A6">
      <w:pPr>
        <w:spacing w:before="0"/>
        <w:rPr>
          <w:rFonts w:eastAsia="Times New Roman"/>
          <w:lang w:val="en-US"/>
        </w:rPr>
      </w:pPr>
      <w:r w:rsidRPr="003A7E34">
        <w:rPr>
          <w:rFonts w:eastAsia="Times New Roman"/>
          <w:lang w:val="en-US"/>
        </w:rPr>
        <w:t>There will be an increase of direct and indirect N</w:t>
      </w:r>
      <w:r w:rsidRPr="003A7E34">
        <w:rPr>
          <w:rFonts w:eastAsia="Times New Roman"/>
          <w:vertAlign w:val="subscript"/>
          <w:lang w:val="en-US"/>
        </w:rPr>
        <w:t>2</w:t>
      </w:r>
      <w:r w:rsidRPr="003A7E34">
        <w:rPr>
          <w:rFonts w:eastAsia="Times New Roman"/>
          <w:lang w:val="en-US"/>
        </w:rPr>
        <w:t>O emissions from agricultural soils by 5.7% from 2014 to 2015, by 13% from 2015 to 2020, and from 2020 to 2035 the expected increase in N</w:t>
      </w:r>
      <w:r w:rsidRPr="003A7E34">
        <w:rPr>
          <w:rFonts w:eastAsia="Times New Roman"/>
          <w:vertAlign w:val="subscript"/>
          <w:lang w:val="en-US"/>
        </w:rPr>
        <w:t>2</w:t>
      </w:r>
      <w:r w:rsidRPr="003A7E34">
        <w:rPr>
          <w:rFonts w:eastAsia="Times New Roman"/>
          <w:lang w:val="en-US"/>
        </w:rPr>
        <w:t>O emissions from agricultural soils is about 0.7% every 5 years.</w:t>
      </w:r>
    </w:p>
    <w:p w14:paraId="2768E70D" w14:textId="77777777" w:rsidR="00E067A6" w:rsidRPr="003A7E34" w:rsidRDefault="00E067A6" w:rsidP="00E067A6">
      <w:pPr>
        <w:spacing w:before="0"/>
        <w:rPr>
          <w:rFonts w:eastAsia="Times New Roman"/>
          <w:noProof/>
          <w:lang w:val="en-US"/>
        </w:rPr>
      </w:pPr>
      <w:r w:rsidRPr="003A7E34">
        <w:rPr>
          <w:rFonts w:eastAsia="Times New Roman"/>
          <w:b/>
          <w:i/>
          <w:iCs/>
          <w:noProof/>
          <w:lang w:val="en-US"/>
        </w:rPr>
        <w:t>Inorganic N fertilizer projections</w:t>
      </w:r>
      <w:r w:rsidRPr="003A7E34">
        <w:rPr>
          <w:rFonts w:eastAsia="Times New Roman"/>
          <w:i/>
          <w:iCs/>
          <w:noProof/>
          <w:lang w:val="en-US"/>
        </w:rPr>
        <w:t xml:space="preserve">. </w:t>
      </w:r>
      <w:r w:rsidRPr="003A7E34">
        <w:rPr>
          <w:rFonts w:eastAsia="Times New Roman"/>
          <w:noProof/>
          <w:lang w:val="en-US"/>
        </w:rPr>
        <w:t>The projections of inorganic N fertilizer consumption was based on the projected harvest of the crops.</w:t>
      </w:r>
    </w:p>
    <w:p w14:paraId="7E74A713" w14:textId="687CEDC5" w:rsidR="00E067A6" w:rsidRPr="003A7E34" w:rsidRDefault="00E067A6" w:rsidP="00E067A6">
      <w:pPr>
        <w:spacing w:before="0"/>
        <w:rPr>
          <w:rFonts w:eastAsia="Times New Roman"/>
          <w:lang w:val="en-US"/>
        </w:rPr>
      </w:pPr>
      <w:r w:rsidRPr="003A7E34">
        <w:rPr>
          <w:rFonts w:eastAsia="Times New Roman"/>
          <w:lang w:val="en-US"/>
        </w:rPr>
        <w:t xml:space="preserve">Consumption of inorganic N fertilizers will be increasing during the projected period. The biggest increase is expected in 2014-2020 period where the inorganic N fertilizer consumption will increase by 60%. Afterwards, a slight increase in the inorganic N fertilizer consumption is projected. The increase of inorganic N fertilizer consumption is strongly related with an increase in crop yield. The urea application projection is related to the projection of inorganic N fertilizers (estimated as the average (2010-2014) </w:t>
      </w:r>
      <w:r w:rsidR="00101FE1" w:rsidRPr="003A7E34">
        <w:rPr>
          <w:rFonts w:eastAsia="Times New Roman"/>
          <w:lang w:val="en-US"/>
        </w:rPr>
        <w:t>percentage</w:t>
      </w:r>
      <w:r w:rsidRPr="003A7E34">
        <w:rPr>
          <w:rFonts w:eastAsia="Times New Roman"/>
          <w:lang w:val="en-US"/>
        </w:rPr>
        <w:t xml:space="preserve"> of urea in the total amount of inorganic N fertilizers).</w:t>
      </w:r>
    </w:p>
    <w:p w14:paraId="5C3A7D6F" w14:textId="1164B6E4" w:rsidR="00E067A6" w:rsidRPr="003A7E34" w:rsidRDefault="00E067A6" w:rsidP="00E067A6">
      <w:pPr>
        <w:spacing w:before="0"/>
        <w:rPr>
          <w:rFonts w:eastAsia="Times New Roman"/>
          <w:lang w:val="en-US"/>
        </w:rPr>
      </w:pPr>
      <w:r w:rsidRPr="003A7E34">
        <w:rPr>
          <w:rFonts w:eastAsia="Times New Roman"/>
          <w:lang w:val="en-US"/>
        </w:rPr>
        <w:t>It is projected that emissions from urea application will increase 1.7 times in 2020 compared to the 2014. From 2020, CO</w:t>
      </w:r>
      <w:r w:rsidRPr="003A7E34">
        <w:rPr>
          <w:rFonts w:eastAsia="Times New Roman"/>
          <w:vertAlign w:val="subscript"/>
          <w:lang w:val="en-US"/>
        </w:rPr>
        <w:t>2</w:t>
      </w:r>
      <w:r w:rsidRPr="003A7E34">
        <w:rPr>
          <w:rFonts w:eastAsia="Times New Roman"/>
          <w:lang w:val="en-US"/>
        </w:rPr>
        <w:t xml:space="preserve"> emissions from urea application will increase slightly by 1% every 5 years.</w:t>
      </w:r>
    </w:p>
    <w:p w14:paraId="4AEAFCFD" w14:textId="77777777" w:rsidR="00E067A6" w:rsidRPr="003A7E34" w:rsidRDefault="00E067A6" w:rsidP="00E067A6">
      <w:pPr>
        <w:spacing w:before="0"/>
        <w:rPr>
          <w:rFonts w:eastAsia="Times New Roman"/>
          <w:lang w:val="en-US"/>
        </w:rPr>
      </w:pPr>
      <w:r w:rsidRPr="003A7E34">
        <w:rPr>
          <w:rFonts w:eastAsia="Times New Roman"/>
          <w:b/>
          <w:i/>
          <w:iCs/>
          <w:noProof/>
          <w:lang w:val="en-US"/>
        </w:rPr>
        <w:t>Liming materias projections</w:t>
      </w:r>
      <w:r w:rsidRPr="003A7E34">
        <w:rPr>
          <w:rFonts w:eastAsia="Times New Roman"/>
          <w:i/>
          <w:iCs/>
          <w:noProof/>
          <w:lang w:val="en-US"/>
        </w:rPr>
        <w:t xml:space="preserve">. </w:t>
      </w:r>
      <w:r w:rsidRPr="003A7E34">
        <w:rPr>
          <w:rFonts w:eastAsia="Times New Roman"/>
          <w:lang w:val="en-US"/>
        </w:rPr>
        <w:t xml:space="preserve">Consumption of limestone and dolomite will be increasing during the 2014-2035 period. Due to the fact that currently about 66.5% of soil is acidic, consumption of limestone and dolomite will increase by 28% and 48%, respectively, in 2035 compared to the base year (2014). </w:t>
      </w:r>
    </w:p>
    <w:p w14:paraId="33F864CE" w14:textId="77777777" w:rsidR="00E067A6" w:rsidRPr="003A7E34" w:rsidRDefault="00E067A6" w:rsidP="00E067A6">
      <w:pPr>
        <w:spacing w:before="0"/>
        <w:rPr>
          <w:rFonts w:eastAsia="Times New Roman"/>
          <w:lang w:val="en-US"/>
        </w:rPr>
      </w:pPr>
      <w:r w:rsidRPr="003A7E34">
        <w:rPr>
          <w:rFonts w:eastAsia="Times New Roman"/>
          <w:lang w:val="en-US"/>
        </w:rPr>
        <w:t>It is projected that CO</w:t>
      </w:r>
      <w:r w:rsidRPr="003A7E34">
        <w:rPr>
          <w:rFonts w:eastAsia="Times New Roman"/>
          <w:vertAlign w:val="subscript"/>
          <w:lang w:val="en-US"/>
        </w:rPr>
        <w:t>2</w:t>
      </w:r>
      <w:r w:rsidRPr="003A7E34">
        <w:rPr>
          <w:rFonts w:eastAsia="Times New Roman"/>
          <w:lang w:val="en-US"/>
        </w:rPr>
        <w:t xml:space="preserve"> emissions from liming will increase 1.7 times by 2020 compared to the 2014, as more than half of the soil in Lithuania is acidic. After 2020, CO</w:t>
      </w:r>
      <w:r w:rsidRPr="003A7E34">
        <w:rPr>
          <w:rFonts w:eastAsia="Times New Roman"/>
          <w:vertAlign w:val="subscript"/>
          <w:lang w:val="en-US"/>
        </w:rPr>
        <w:t>2</w:t>
      </w:r>
      <w:r w:rsidRPr="003A7E34">
        <w:rPr>
          <w:rFonts w:eastAsia="Times New Roman"/>
          <w:lang w:val="en-US"/>
        </w:rPr>
        <w:t xml:space="preserve"> emissions from liming will decrease by 10%, by 24% in 2030, and a slight increase (0.6%) of CO</w:t>
      </w:r>
      <w:r w:rsidRPr="003A7E34">
        <w:rPr>
          <w:rFonts w:eastAsia="Times New Roman"/>
          <w:vertAlign w:val="subscript"/>
          <w:lang w:val="en-US"/>
        </w:rPr>
        <w:t>2</w:t>
      </w:r>
      <w:r w:rsidRPr="003A7E34">
        <w:rPr>
          <w:rFonts w:eastAsia="Times New Roman"/>
          <w:lang w:val="en-US"/>
        </w:rPr>
        <w:t xml:space="preserve"> emissions in 2035 could be observed.</w:t>
      </w:r>
    </w:p>
    <w:p w14:paraId="1121F01A" w14:textId="4C8053B1" w:rsidR="009C5B16" w:rsidRPr="003A7E34" w:rsidRDefault="00E067A6" w:rsidP="009C5B16">
      <w:pPr>
        <w:spacing w:before="0"/>
        <w:rPr>
          <w:rFonts w:eastAsia="Times New Roman"/>
          <w:lang w:val="en-US"/>
        </w:rPr>
      </w:pPr>
      <w:r w:rsidRPr="003A7E34">
        <w:rPr>
          <w:rFonts w:eastAsia="Times New Roman"/>
          <w:lang w:val="en-US"/>
        </w:rPr>
        <w:t>Total GHG emissions from the agriculture sector will increase by 3.1% from 2014 to 2015, and afterwards, will increase– by 7% from 2015 to 2020, by 1% in 2025 and 2030, and by 1.3% in 2035. The largest source of GHG emissions is agricultural soils, particularly direct soils emissions. The figure below represents the GHG emissions trend during the historical and projected period, covering 35 years.</w:t>
      </w:r>
    </w:p>
    <w:p w14:paraId="20C7FCDC" w14:textId="37F031BD" w:rsidR="0095523E" w:rsidRPr="003A7E34" w:rsidRDefault="00EB609F" w:rsidP="00EA50D6">
      <w:pPr>
        <w:spacing w:before="200"/>
        <w:jc w:val="center"/>
        <w:rPr>
          <w:rFonts w:eastAsia="Times New Roman"/>
          <w:lang w:val="en-US"/>
        </w:rPr>
      </w:pPr>
      <w:r>
        <w:rPr>
          <w:noProof/>
          <w:lang w:val="en-US"/>
        </w:rPr>
        <w:drawing>
          <wp:inline distT="0" distB="0" distL="0" distR="0" wp14:anchorId="14B10005" wp14:editId="0D4CAD19">
            <wp:extent cx="4406630" cy="2593561"/>
            <wp:effectExtent l="0" t="0" r="0" b="0"/>
            <wp:docPr id="2509941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4406630" cy="2593561"/>
                    </a:xfrm>
                    <a:prstGeom prst="rect">
                      <a:avLst/>
                    </a:prstGeom>
                  </pic:spPr>
                </pic:pic>
              </a:graphicData>
            </a:graphic>
          </wp:inline>
        </w:drawing>
      </w:r>
    </w:p>
    <w:p w14:paraId="333C5751" w14:textId="7B6F9490" w:rsidR="0095523E" w:rsidRPr="003A7E34" w:rsidRDefault="5E230566" w:rsidP="5E230566">
      <w:pPr>
        <w:spacing w:before="0" w:after="0"/>
        <w:jc w:val="center"/>
        <w:rPr>
          <w:rFonts w:eastAsia="Times New Roman"/>
          <w:sz w:val="20"/>
          <w:szCs w:val="20"/>
          <w:lang w:val="en-US"/>
        </w:rPr>
      </w:pPr>
      <w:bookmarkStart w:id="140" w:name="_Toc477942043"/>
      <w:r w:rsidRPr="003A7E34">
        <w:rPr>
          <w:rFonts w:eastAsia="Times New Roman"/>
          <w:b/>
          <w:bCs/>
          <w:noProof/>
          <w:sz w:val="20"/>
          <w:szCs w:val="20"/>
          <w:lang w:val="en-US"/>
        </w:rPr>
        <w:t>Figure 4.2.1.7</w:t>
      </w:r>
      <w:r w:rsidRPr="003A7E34">
        <w:rPr>
          <w:rFonts w:eastAsia="Times New Roman"/>
          <w:sz w:val="20"/>
          <w:szCs w:val="20"/>
          <w:lang w:val="en-US"/>
        </w:rPr>
        <w:t>. Historical and projected GHG emissions from</w:t>
      </w:r>
      <w:r w:rsidR="00C20AF2" w:rsidRPr="003A7E34">
        <w:rPr>
          <w:rFonts w:eastAsia="Times New Roman"/>
          <w:sz w:val="20"/>
          <w:szCs w:val="20"/>
          <w:lang w:val="en-US"/>
        </w:rPr>
        <w:t xml:space="preserve"> the</w:t>
      </w:r>
      <w:r w:rsidRPr="003A7E34">
        <w:rPr>
          <w:rFonts w:eastAsia="Times New Roman"/>
          <w:sz w:val="20"/>
          <w:szCs w:val="20"/>
          <w:lang w:val="en-US"/>
        </w:rPr>
        <w:t xml:space="preserve"> agriculture sector by categories</w:t>
      </w:r>
      <w:bookmarkEnd w:id="140"/>
    </w:p>
    <w:p w14:paraId="2CEE9EA3" w14:textId="77777777" w:rsidR="0095523E" w:rsidRPr="003A7E34" w:rsidRDefault="0095523E" w:rsidP="00EA50D6">
      <w:pPr>
        <w:spacing w:before="0" w:after="0"/>
        <w:jc w:val="center"/>
        <w:rPr>
          <w:rFonts w:eastAsia="Times New Roman"/>
          <w:sz w:val="20"/>
          <w:szCs w:val="20"/>
          <w:lang w:val="en-US"/>
        </w:rPr>
      </w:pPr>
    </w:p>
    <w:p w14:paraId="4FB176F8" w14:textId="1DC87AFC" w:rsidR="0095523E" w:rsidRPr="003A7E34" w:rsidRDefault="0095523E" w:rsidP="00EA50D6">
      <w:pPr>
        <w:spacing w:before="0" w:after="0"/>
        <w:rPr>
          <w:rFonts w:eastAsia="Times New Roman"/>
          <w:b/>
          <w:bCs/>
          <w:noProof/>
          <w:u w:val="single"/>
          <w:lang w:val="en-US"/>
        </w:rPr>
      </w:pPr>
      <w:r w:rsidRPr="003A7E34">
        <w:rPr>
          <w:rFonts w:eastAsia="Times New Roman"/>
          <w:b/>
          <w:bCs/>
          <w:noProof/>
          <w:u w:val="single"/>
          <w:lang w:val="en-US"/>
        </w:rPr>
        <w:lastRenderedPageBreak/>
        <w:t xml:space="preserve">LULUCF </w:t>
      </w:r>
    </w:p>
    <w:p w14:paraId="4CE4FD98" w14:textId="260954AC" w:rsidR="00267CDE" w:rsidRPr="003A7E34" w:rsidRDefault="00C20AF2" w:rsidP="00EA50D6">
      <w:pPr>
        <w:spacing w:before="0" w:after="0"/>
        <w:rPr>
          <w:rFonts w:eastAsia="Times New Roman"/>
          <w:noProof/>
          <w:lang w:val="en-US"/>
        </w:rPr>
      </w:pPr>
      <w:r w:rsidRPr="003A7E34">
        <w:rPr>
          <w:rFonts w:eastAsia="Times New Roman"/>
          <w:noProof/>
          <w:lang w:val="en-US"/>
        </w:rPr>
        <w:t>The LULUCF sector is expected to act as a net sink until 2035 according to the projections, with the main sink remaining as forest lands (GHG removals in biomass) and  a projected stable carbon sink in harvested wood products and grassland mineral soils (in the event of the conversion from croplands to grasslands). The main sources of GHG emissions in the LULUCF sector is the cropland category, especially emissions from mineral soils after their conversion to arable land, as well as the wetland category, where emissions mainly come from peat extraction sites. GHG emissions from croplands and wetlands are projected to remain similar as in 2014: 4 385 kt CO</w:t>
      </w:r>
      <w:r w:rsidRPr="00D667CC">
        <w:rPr>
          <w:rFonts w:eastAsia="Times New Roman"/>
          <w:noProof/>
          <w:vertAlign w:val="subscript"/>
          <w:lang w:val="en-US"/>
        </w:rPr>
        <w:t>2</w:t>
      </w:r>
      <w:r w:rsidRPr="003A7E34">
        <w:rPr>
          <w:rFonts w:eastAsia="Times New Roman"/>
          <w:noProof/>
          <w:lang w:val="en-US"/>
        </w:rPr>
        <w:t>eq. and 892 kt CO</w:t>
      </w:r>
      <w:r w:rsidRPr="00D667CC">
        <w:rPr>
          <w:rFonts w:eastAsia="Times New Roman"/>
          <w:noProof/>
          <w:vertAlign w:val="subscript"/>
          <w:lang w:val="en-US"/>
        </w:rPr>
        <w:t>2</w:t>
      </w:r>
      <w:r w:rsidRPr="003A7E34">
        <w:rPr>
          <w:rFonts w:eastAsia="Times New Roman"/>
          <w:noProof/>
          <w:lang w:val="en-US"/>
        </w:rPr>
        <w:t>eq., respectively. It is expected that approximately 8 000 kt CO</w:t>
      </w:r>
      <w:r w:rsidRPr="00D667CC">
        <w:rPr>
          <w:rFonts w:eastAsia="Times New Roman"/>
          <w:noProof/>
          <w:vertAlign w:val="subscript"/>
          <w:lang w:val="en-US"/>
        </w:rPr>
        <w:t>2</w:t>
      </w:r>
      <w:r w:rsidRPr="003A7E34">
        <w:rPr>
          <w:rFonts w:eastAsia="Times New Roman"/>
          <w:noProof/>
          <w:lang w:val="en-US"/>
        </w:rPr>
        <w:t>eq. could be removed in the LULUCF sector annually, whereas the sector’s GHG removals are not projected to increase with the existing measures compared to  the GHG removals in 2014.</w:t>
      </w:r>
    </w:p>
    <w:p w14:paraId="0C497C95" w14:textId="6BDFCF35" w:rsidR="0095523E" w:rsidRPr="003A7E34" w:rsidRDefault="0095523E" w:rsidP="00EA50D6">
      <w:pPr>
        <w:spacing w:before="0" w:after="0"/>
        <w:jc w:val="center"/>
        <w:rPr>
          <w:rFonts w:eastAsia="Times New Roman"/>
          <w:noProof/>
          <w:lang w:val="en-US"/>
        </w:rPr>
      </w:pPr>
      <w:r w:rsidRPr="003A7E34">
        <w:rPr>
          <w:rFonts w:eastAsia="Calibri"/>
          <w:noProof/>
          <w:lang w:val="en-US"/>
        </w:rPr>
        <w:drawing>
          <wp:inline distT="0" distB="0" distL="0" distR="0" wp14:anchorId="22CABADD" wp14:editId="55710529">
            <wp:extent cx="5144494" cy="2480806"/>
            <wp:effectExtent l="0" t="0" r="0" b="0"/>
            <wp:docPr id="16"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A3D1301" w14:textId="09F4477E" w:rsidR="0095523E" w:rsidRPr="003A7E34" w:rsidRDefault="5E230566" w:rsidP="5E230566">
      <w:pPr>
        <w:spacing w:before="0" w:after="0"/>
        <w:jc w:val="center"/>
        <w:rPr>
          <w:rFonts w:eastAsia="Times New Roman"/>
          <w:noProof/>
          <w:sz w:val="20"/>
          <w:szCs w:val="20"/>
          <w:lang w:val="en-US"/>
        </w:rPr>
      </w:pPr>
      <w:r w:rsidRPr="003A7E34">
        <w:rPr>
          <w:rFonts w:eastAsia="Times New Roman"/>
          <w:b/>
          <w:bCs/>
          <w:noProof/>
          <w:sz w:val="20"/>
          <w:szCs w:val="20"/>
          <w:lang w:val="en-US"/>
        </w:rPr>
        <w:t xml:space="preserve">Figure 4.2.1.8. </w:t>
      </w:r>
      <w:r w:rsidRPr="003A7E34">
        <w:rPr>
          <w:rFonts w:eastAsia="Times New Roman"/>
          <w:noProof/>
          <w:sz w:val="20"/>
          <w:szCs w:val="20"/>
          <w:lang w:val="en-US"/>
        </w:rPr>
        <w:t xml:space="preserve">Historical and projected GHG emissions and removals from </w:t>
      </w:r>
      <w:r w:rsidR="00C20AF2" w:rsidRPr="003A7E34">
        <w:rPr>
          <w:rFonts w:eastAsia="Times New Roman"/>
          <w:noProof/>
          <w:sz w:val="20"/>
          <w:szCs w:val="20"/>
          <w:lang w:val="en-US"/>
        </w:rPr>
        <w:t xml:space="preserve">the </w:t>
      </w:r>
      <w:r w:rsidRPr="003A7E34">
        <w:rPr>
          <w:rFonts w:eastAsia="Times New Roman"/>
          <w:noProof/>
          <w:sz w:val="20"/>
          <w:szCs w:val="20"/>
          <w:lang w:val="en-US"/>
        </w:rPr>
        <w:t>LULUCF sector key categories</w:t>
      </w:r>
    </w:p>
    <w:p w14:paraId="140EF405" w14:textId="77777777" w:rsidR="0095523E" w:rsidRPr="003A7E34" w:rsidRDefault="0095523E" w:rsidP="00EA50D6">
      <w:pPr>
        <w:spacing w:before="0" w:after="0"/>
        <w:rPr>
          <w:rFonts w:eastAsia="Times New Roman"/>
          <w:noProof/>
          <w:lang w:val="en-US"/>
        </w:rPr>
      </w:pPr>
    </w:p>
    <w:p w14:paraId="3866E031" w14:textId="580E8279" w:rsidR="00FD7922" w:rsidRPr="003A7E34" w:rsidRDefault="00C20AF2" w:rsidP="00EA50D6">
      <w:pPr>
        <w:spacing w:before="0" w:after="0"/>
        <w:rPr>
          <w:rFonts w:eastAsia="Times New Roman"/>
          <w:noProof/>
          <w:lang w:val="en-US"/>
        </w:rPr>
      </w:pPr>
      <w:r w:rsidRPr="003A7E34">
        <w:rPr>
          <w:rFonts w:eastAsia="Times New Roman"/>
          <w:noProof/>
          <w:lang w:val="en-US"/>
        </w:rPr>
        <w:t>The implementation of the 2013 Wetlands Supplement results in a significant decrease of total projected GHG emissions under the WEM scenario. Anaverage annual GHG removal in the LULUCF sector key categories will comprise only half of the removals, compared to  the projections without the 2013 Wetlands Supplement impact – 4 669 kt CO</w:t>
      </w:r>
      <w:r w:rsidRPr="00D667CC">
        <w:rPr>
          <w:rFonts w:eastAsia="Times New Roman"/>
          <w:noProof/>
          <w:vertAlign w:val="subscript"/>
          <w:lang w:val="en-US"/>
        </w:rPr>
        <w:t>2</w:t>
      </w:r>
      <w:r w:rsidRPr="003A7E34">
        <w:rPr>
          <w:rFonts w:eastAsia="Times New Roman"/>
          <w:noProof/>
          <w:lang w:val="en-US"/>
        </w:rPr>
        <w:t>eq.</w:t>
      </w:r>
    </w:p>
    <w:p w14:paraId="5D69EEDC" w14:textId="77777777" w:rsidR="00EB609F" w:rsidRPr="003A7E34" w:rsidRDefault="0095523E" w:rsidP="00EA50D6">
      <w:pPr>
        <w:spacing w:before="0" w:after="0"/>
        <w:jc w:val="center"/>
        <w:rPr>
          <w:rFonts w:eastAsia="Times New Roman"/>
          <w:noProof/>
          <w:sz w:val="20"/>
          <w:szCs w:val="20"/>
          <w:lang w:val="en-US"/>
        </w:rPr>
      </w:pPr>
      <w:r w:rsidRPr="003A7E34">
        <w:rPr>
          <w:rFonts w:eastAsia="Calibri"/>
          <w:noProof/>
          <w:lang w:val="en-US"/>
        </w:rPr>
        <w:drawing>
          <wp:inline distT="0" distB="0" distL="0" distR="0" wp14:anchorId="0C472B03" wp14:editId="0CBC7E51">
            <wp:extent cx="5208105" cy="2393342"/>
            <wp:effectExtent l="0" t="0" r="0" b="6985"/>
            <wp:docPr id="1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30E3401" w14:textId="27C7724E" w:rsidR="0095523E" w:rsidRPr="003A7E34" w:rsidRDefault="5E230566" w:rsidP="5E230566">
      <w:pPr>
        <w:spacing w:before="0" w:after="0"/>
        <w:rPr>
          <w:rFonts w:eastAsia="Times New Roman"/>
          <w:noProof/>
          <w:lang w:val="en-US"/>
        </w:rPr>
      </w:pPr>
      <w:r w:rsidRPr="003A7E34">
        <w:rPr>
          <w:rFonts w:eastAsia="Times New Roman"/>
          <w:b/>
          <w:bCs/>
          <w:noProof/>
          <w:sz w:val="20"/>
          <w:szCs w:val="20"/>
          <w:lang w:val="en-US"/>
        </w:rPr>
        <w:t>Figure 4.2.1.9.</w:t>
      </w:r>
      <w:r w:rsidRPr="003A7E34">
        <w:rPr>
          <w:rFonts w:eastAsia="Times New Roman"/>
          <w:noProof/>
          <w:sz w:val="20"/>
          <w:szCs w:val="20"/>
          <w:lang w:val="en-US"/>
        </w:rPr>
        <w:t xml:space="preserve"> Historical and projected GHG emissions and removals from </w:t>
      </w:r>
      <w:r w:rsidR="00C20AF2" w:rsidRPr="003A7E34">
        <w:rPr>
          <w:rFonts w:eastAsia="Times New Roman"/>
          <w:noProof/>
          <w:sz w:val="20"/>
          <w:szCs w:val="20"/>
          <w:lang w:val="en-US"/>
        </w:rPr>
        <w:t xml:space="preserve">the </w:t>
      </w:r>
      <w:r w:rsidRPr="003A7E34">
        <w:rPr>
          <w:rFonts w:eastAsia="Times New Roman"/>
          <w:noProof/>
          <w:sz w:val="20"/>
          <w:szCs w:val="20"/>
          <w:lang w:val="en-US"/>
        </w:rPr>
        <w:t xml:space="preserve">LULUCF sector key categories with </w:t>
      </w:r>
      <w:r w:rsidR="00C20AF2" w:rsidRPr="003A7E34">
        <w:rPr>
          <w:rFonts w:eastAsia="Times New Roman"/>
          <w:noProof/>
          <w:sz w:val="20"/>
          <w:szCs w:val="20"/>
          <w:lang w:val="en-US"/>
        </w:rPr>
        <w:t xml:space="preserve">the </w:t>
      </w:r>
      <w:r w:rsidRPr="003A7E34">
        <w:rPr>
          <w:rFonts w:eastAsia="Times New Roman"/>
          <w:noProof/>
          <w:sz w:val="20"/>
          <w:szCs w:val="20"/>
          <w:lang w:val="en-US"/>
        </w:rPr>
        <w:t>implementation of</w:t>
      </w:r>
      <w:r w:rsidR="00C20AF2" w:rsidRPr="003A7E34">
        <w:rPr>
          <w:rFonts w:eastAsia="Times New Roman"/>
          <w:noProof/>
          <w:sz w:val="20"/>
          <w:szCs w:val="20"/>
          <w:lang w:val="en-US"/>
        </w:rPr>
        <w:t xml:space="preserve"> the</w:t>
      </w:r>
      <w:r w:rsidRPr="003A7E34">
        <w:rPr>
          <w:rFonts w:eastAsia="Times New Roman"/>
          <w:noProof/>
          <w:sz w:val="20"/>
          <w:szCs w:val="20"/>
          <w:lang w:val="en-US"/>
        </w:rPr>
        <w:t xml:space="preserve"> 2013 Wetlands Supplement</w:t>
      </w:r>
    </w:p>
    <w:p w14:paraId="12EDF24B" w14:textId="77777777" w:rsidR="0095523E" w:rsidRPr="003A7E34" w:rsidRDefault="0095523E" w:rsidP="00EA50D6">
      <w:pPr>
        <w:spacing w:before="0" w:after="0"/>
        <w:rPr>
          <w:rFonts w:eastAsia="Times New Roman"/>
          <w:b/>
          <w:bCs/>
          <w:noProof/>
          <w:u w:val="single"/>
          <w:lang w:val="en-US"/>
        </w:rPr>
      </w:pPr>
    </w:p>
    <w:p w14:paraId="1698E126" w14:textId="48F14B7C" w:rsidR="0095523E" w:rsidRPr="003A7E34" w:rsidRDefault="0095523E" w:rsidP="00EA50D6">
      <w:pPr>
        <w:spacing w:before="0" w:after="0"/>
        <w:rPr>
          <w:rFonts w:eastAsia="Times New Roman"/>
          <w:noProof/>
          <w:lang w:val="en-US"/>
        </w:rPr>
      </w:pPr>
      <w:r w:rsidRPr="003A7E34">
        <w:rPr>
          <w:rFonts w:eastAsia="Times New Roman"/>
          <w:b/>
          <w:bCs/>
          <w:noProof/>
          <w:lang w:val="en-US"/>
        </w:rPr>
        <w:lastRenderedPageBreak/>
        <w:t>WASTE</w:t>
      </w:r>
      <w:r w:rsidR="00FD7922" w:rsidRPr="003A7E34">
        <w:rPr>
          <w:rFonts w:eastAsia="Times New Roman"/>
          <w:b/>
          <w:bCs/>
          <w:noProof/>
          <w:lang w:val="en-US"/>
        </w:rPr>
        <w:t>.</w:t>
      </w:r>
      <w:r w:rsidR="00FD7922" w:rsidRPr="00D667CC">
        <w:rPr>
          <w:rFonts w:eastAsia="Times New Roman"/>
          <w:b/>
          <w:bCs/>
          <w:noProof/>
          <w:lang w:val="en-US"/>
        </w:rPr>
        <w:t xml:space="preserve"> </w:t>
      </w:r>
      <w:r w:rsidR="00C20AF2" w:rsidRPr="00D667CC">
        <w:rPr>
          <w:rFonts w:eastAsia="Times New Roman"/>
          <w:bCs/>
          <w:noProof/>
          <w:lang w:val="en-US"/>
        </w:rPr>
        <w:t>The</w:t>
      </w:r>
      <w:r w:rsidR="00C20AF2" w:rsidRPr="003A7E34">
        <w:rPr>
          <w:rFonts w:eastAsia="Times New Roman"/>
          <w:b/>
          <w:bCs/>
          <w:noProof/>
          <w:u w:val="single"/>
          <w:lang w:val="en-US"/>
        </w:rPr>
        <w:t xml:space="preserve"> </w:t>
      </w:r>
      <w:r w:rsidR="00C20AF2" w:rsidRPr="003A7E34">
        <w:rPr>
          <w:rFonts w:eastAsia="Times New Roman"/>
          <w:noProof/>
          <w:lang w:val="en-US"/>
        </w:rPr>
        <w:t>p</w:t>
      </w:r>
      <w:r w:rsidRPr="003A7E34">
        <w:rPr>
          <w:rFonts w:eastAsia="Times New Roman"/>
          <w:noProof/>
          <w:lang w:val="en-US"/>
        </w:rPr>
        <w:t xml:space="preserve">rojected amount of generated municipal solid and biodegradable waste (MSW) for </w:t>
      </w:r>
      <w:r w:rsidR="00C20AF2" w:rsidRPr="003A7E34">
        <w:rPr>
          <w:rFonts w:eastAsia="Times New Roman"/>
          <w:noProof/>
          <w:lang w:val="en-US"/>
        </w:rPr>
        <w:t xml:space="preserve">the </w:t>
      </w:r>
      <w:r w:rsidRPr="003A7E34">
        <w:rPr>
          <w:rFonts w:eastAsia="Times New Roman"/>
          <w:noProof/>
          <w:lang w:val="en-US"/>
        </w:rPr>
        <w:t>period 2015-2020 is provided in the National Waste Management Plan for 2014-2020. The projections on industrial</w:t>
      </w:r>
      <w:r w:rsidR="00C20AF2" w:rsidRPr="003A7E34">
        <w:rPr>
          <w:rFonts w:eastAsia="Times New Roman"/>
          <w:noProof/>
          <w:lang w:val="en-US"/>
        </w:rPr>
        <w:t>,</w:t>
      </w:r>
      <w:r w:rsidRPr="003A7E34">
        <w:rPr>
          <w:rFonts w:eastAsia="Times New Roman"/>
          <w:noProof/>
          <w:lang w:val="en-US"/>
        </w:rPr>
        <w:t xml:space="preserve"> biodegradable and sewage sludge generation are provided for the period 2015-2035 by the Ministry of the Environment. Municipal solid waste and biodegradable MSW generation during the period 2021-2035 was calculated following the increase during the period 2015-2020. Results are shown in the figure:</w:t>
      </w:r>
    </w:p>
    <w:p w14:paraId="6C9DD09D" w14:textId="77777777" w:rsidR="00FD7922" w:rsidRPr="003A7E34" w:rsidRDefault="00FD7922" w:rsidP="00EA50D6">
      <w:pPr>
        <w:spacing w:before="0" w:after="0"/>
        <w:rPr>
          <w:rFonts w:eastAsia="Times New Roman"/>
          <w:noProof/>
          <w:lang w:val="en-US"/>
        </w:rPr>
      </w:pPr>
    </w:p>
    <w:p w14:paraId="020236BD" w14:textId="256FE569" w:rsidR="0095523E" w:rsidRPr="003A7E34" w:rsidRDefault="00EB609F" w:rsidP="00EA50D6">
      <w:pPr>
        <w:spacing w:before="0" w:after="0"/>
        <w:jc w:val="center"/>
        <w:rPr>
          <w:rFonts w:eastAsia="Times New Roman"/>
          <w:noProof/>
          <w:lang w:val="en-US"/>
        </w:rPr>
      </w:pPr>
      <w:r>
        <w:rPr>
          <w:noProof/>
          <w:lang w:val="en-US"/>
        </w:rPr>
        <w:drawing>
          <wp:inline distT="0" distB="0" distL="0" distR="0" wp14:anchorId="50C0C5EF" wp14:editId="467FF077">
            <wp:extent cx="3664424" cy="2198295"/>
            <wp:effectExtent l="0" t="0" r="0" b="0"/>
            <wp:docPr id="5137852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3664424" cy="2198295"/>
                    </a:xfrm>
                    <a:prstGeom prst="rect">
                      <a:avLst/>
                    </a:prstGeom>
                  </pic:spPr>
                </pic:pic>
              </a:graphicData>
            </a:graphic>
          </wp:inline>
        </w:drawing>
      </w:r>
    </w:p>
    <w:p w14:paraId="29FAB286" w14:textId="2672CB4F" w:rsidR="0095523E" w:rsidRPr="003A7E34" w:rsidRDefault="5E230566" w:rsidP="5E230566">
      <w:pPr>
        <w:spacing w:before="0" w:after="0"/>
        <w:ind w:left="1440"/>
        <w:jc w:val="center"/>
        <w:rPr>
          <w:rFonts w:eastAsia="Times New Roman"/>
          <w:noProof/>
          <w:sz w:val="20"/>
          <w:szCs w:val="20"/>
          <w:lang w:val="en-US"/>
        </w:rPr>
      </w:pPr>
      <w:bookmarkStart w:id="141" w:name="_Toc414455536"/>
      <w:bookmarkStart w:id="142" w:name="_Toc476291234"/>
      <w:bookmarkStart w:id="143" w:name="_Toc476291413"/>
      <w:bookmarkStart w:id="144" w:name="_Toc476313862"/>
      <w:bookmarkStart w:id="145" w:name="_Toc476552304"/>
      <w:bookmarkStart w:id="146" w:name="_Toc476578595"/>
      <w:bookmarkStart w:id="147" w:name="_Toc477942054"/>
      <w:r w:rsidRPr="003A7E34">
        <w:rPr>
          <w:rFonts w:eastAsia="Times New Roman"/>
          <w:b/>
          <w:bCs/>
          <w:noProof/>
          <w:sz w:val="20"/>
          <w:szCs w:val="20"/>
          <w:lang w:val="en-US"/>
        </w:rPr>
        <w:t>Figure 4.2.1.10.</w:t>
      </w:r>
      <w:r w:rsidRPr="003A7E34">
        <w:rPr>
          <w:rFonts w:eastAsia="Times New Roman"/>
          <w:noProof/>
          <w:sz w:val="20"/>
          <w:szCs w:val="20"/>
          <w:lang w:val="en-US"/>
        </w:rPr>
        <w:t xml:space="preserve"> Projected amount of generated waste </w:t>
      </w:r>
      <w:bookmarkEnd w:id="141"/>
      <w:bookmarkEnd w:id="142"/>
      <w:bookmarkEnd w:id="143"/>
      <w:bookmarkEnd w:id="144"/>
      <w:bookmarkEnd w:id="145"/>
      <w:bookmarkEnd w:id="146"/>
      <w:bookmarkEnd w:id="147"/>
    </w:p>
    <w:p w14:paraId="119F8B90" w14:textId="77777777" w:rsidR="0095523E" w:rsidRPr="003A7E34" w:rsidRDefault="0095523E" w:rsidP="00FD7922">
      <w:pPr>
        <w:spacing w:before="0" w:after="0"/>
        <w:rPr>
          <w:rFonts w:eastAsia="Times New Roman"/>
          <w:noProof/>
          <w:lang w:val="en-US"/>
        </w:rPr>
      </w:pPr>
    </w:p>
    <w:p w14:paraId="5D53571D" w14:textId="15BEB46B" w:rsidR="00FD7922" w:rsidRPr="003A7E34" w:rsidRDefault="00C20AF2" w:rsidP="00EA50D6">
      <w:pPr>
        <w:spacing w:before="0" w:after="0"/>
        <w:rPr>
          <w:rFonts w:eastAsia="Times New Roman"/>
          <w:lang w:val="en-US"/>
        </w:rPr>
      </w:pPr>
      <w:r w:rsidRPr="003A7E34">
        <w:rPr>
          <w:rFonts w:eastAsia="Times New Roman"/>
          <w:lang w:val="en-US"/>
        </w:rPr>
        <w:t>GHG emissions projections are provided in four subsectors: disposal in landfills, composting, incineration of waste, and wastewater treatment and discharge. Compared with 2014 emissions from the waste sector, there will be a decrease of emissions by 57% in 2025 and by 62% in 2035. Historical and projected GHG emissions from the waste sector are presented below:</w:t>
      </w:r>
    </w:p>
    <w:p w14:paraId="09A89034" w14:textId="77777777" w:rsidR="00C551B1" w:rsidRPr="003A7E34" w:rsidRDefault="00C551B1" w:rsidP="00EA50D6">
      <w:pPr>
        <w:spacing w:before="0" w:after="0"/>
        <w:jc w:val="center"/>
        <w:rPr>
          <w:rFonts w:eastAsia="Times New Roman"/>
          <w:noProof/>
          <w:lang w:val="en-US"/>
        </w:rPr>
      </w:pPr>
      <w:r>
        <w:rPr>
          <w:noProof/>
          <w:lang w:val="en-US"/>
        </w:rPr>
        <w:drawing>
          <wp:inline distT="0" distB="0" distL="0" distR="0" wp14:anchorId="225B8C26" wp14:editId="10976172">
            <wp:extent cx="4428876" cy="2557763"/>
            <wp:effectExtent l="0" t="0" r="0" b="0"/>
            <wp:docPr id="5079740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2">
                      <a:extLst>
                        <a:ext uri="{28A0092B-C50C-407E-A947-70E740481C1C}">
                          <a14:useLocalDpi xmlns:a14="http://schemas.microsoft.com/office/drawing/2010/main" val="0"/>
                        </a:ext>
                      </a:extLst>
                    </a:blip>
                    <a:stretch>
                      <a:fillRect/>
                    </a:stretch>
                  </pic:blipFill>
                  <pic:spPr>
                    <a:xfrm>
                      <a:off x="0" y="0"/>
                      <a:ext cx="4428876" cy="2557763"/>
                    </a:xfrm>
                    <a:prstGeom prst="rect">
                      <a:avLst/>
                    </a:prstGeom>
                  </pic:spPr>
                </pic:pic>
              </a:graphicData>
            </a:graphic>
          </wp:inline>
        </w:drawing>
      </w:r>
    </w:p>
    <w:p w14:paraId="22B0CB12" w14:textId="44AE4B48" w:rsidR="00C551B1" w:rsidRPr="003A7E34" w:rsidRDefault="5E230566" w:rsidP="5E230566">
      <w:pPr>
        <w:spacing w:before="0" w:after="0"/>
        <w:ind w:left="1440"/>
        <w:rPr>
          <w:rFonts w:eastAsia="Times New Roman"/>
          <w:noProof/>
          <w:sz w:val="20"/>
          <w:szCs w:val="20"/>
          <w:lang w:val="en-US"/>
        </w:rPr>
      </w:pPr>
      <w:bookmarkStart w:id="148" w:name="_Toc476578596"/>
      <w:bookmarkStart w:id="149" w:name="_Toc477942055"/>
      <w:r w:rsidRPr="003A7E34">
        <w:rPr>
          <w:rFonts w:eastAsia="Times New Roman"/>
          <w:b/>
          <w:bCs/>
          <w:noProof/>
          <w:sz w:val="20"/>
          <w:szCs w:val="20"/>
          <w:lang w:val="en-US"/>
        </w:rPr>
        <w:t>Figure 4.2.1.11.</w:t>
      </w:r>
      <w:r w:rsidRPr="003A7E34">
        <w:rPr>
          <w:rFonts w:eastAsia="Times New Roman"/>
          <w:noProof/>
          <w:sz w:val="20"/>
          <w:szCs w:val="20"/>
          <w:lang w:val="en-US"/>
        </w:rPr>
        <w:t xml:space="preserve"> Historical and projected GHG emissions from waste sector </w:t>
      </w:r>
      <w:bookmarkEnd w:id="148"/>
      <w:bookmarkEnd w:id="149"/>
    </w:p>
    <w:p w14:paraId="133FB1DA" w14:textId="77777777" w:rsidR="00C551B1" w:rsidRPr="003A7E34" w:rsidRDefault="00C551B1" w:rsidP="00FD7922">
      <w:pPr>
        <w:spacing w:before="0" w:after="0"/>
        <w:rPr>
          <w:rFonts w:eastAsia="Times New Roman"/>
          <w:noProof/>
          <w:sz w:val="20"/>
          <w:szCs w:val="20"/>
          <w:lang w:val="en-US"/>
        </w:rPr>
      </w:pPr>
    </w:p>
    <w:p w14:paraId="736B4382" w14:textId="0BAF2586" w:rsidR="00C551B1" w:rsidRPr="003A7E34" w:rsidRDefault="00C551B1" w:rsidP="00EA50D6">
      <w:pPr>
        <w:spacing w:before="0" w:after="0"/>
        <w:rPr>
          <w:rFonts w:eastAsia="Times New Roman"/>
          <w:noProof/>
          <w:lang w:val="en-US"/>
        </w:rPr>
      </w:pPr>
      <w:r w:rsidRPr="003A7E34">
        <w:rPr>
          <w:rFonts w:eastAsia="Times New Roman"/>
          <w:noProof/>
          <w:lang w:val="en-US"/>
        </w:rPr>
        <w:t xml:space="preserve">Moreover, GHG emissions are inseparable from the long-term development analysis of the economic sectors that meet human needs. </w:t>
      </w:r>
      <w:r w:rsidR="00C20AF2" w:rsidRPr="003A7E34">
        <w:rPr>
          <w:rFonts w:eastAsia="Times New Roman"/>
          <w:noProof/>
          <w:lang w:val="en-US"/>
        </w:rPr>
        <w:t xml:space="preserve">The </w:t>
      </w:r>
      <w:r w:rsidRPr="003A7E34">
        <w:rPr>
          <w:rFonts w:eastAsia="Times New Roman"/>
          <w:noProof/>
          <w:lang w:val="en-US"/>
        </w:rPr>
        <w:t xml:space="preserve">GHG emissions projection suggests that an increasing demand in energy will result </w:t>
      </w:r>
      <w:r w:rsidR="00C20AF2" w:rsidRPr="003A7E34">
        <w:rPr>
          <w:rFonts w:eastAsia="Times New Roman"/>
          <w:noProof/>
          <w:lang w:val="en-US"/>
        </w:rPr>
        <w:t xml:space="preserve">in an increase </w:t>
      </w:r>
      <w:r w:rsidRPr="003A7E34">
        <w:rPr>
          <w:rFonts w:eastAsia="Times New Roman"/>
          <w:noProof/>
          <w:lang w:val="en-US"/>
        </w:rPr>
        <w:t xml:space="preserve">of GHG emissions. Existing measures will lessen this increase. Total historic and projected GHG emissions in Lithuania are presented in </w:t>
      </w:r>
      <w:r w:rsidR="00C20AF2" w:rsidRPr="003A7E34">
        <w:rPr>
          <w:rFonts w:eastAsia="Times New Roman"/>
          <w:noProof/>
          <w:lang w:val="en-US"/>
        </w:rPr>
        <w:t xml:space="preserve">the </w:t>
      </w:r>
      <w:r w:rsidRPr="003A7E34">
        <w:rPr>
          <w:rFonts w:eastAsia="Times New Roman"/>
          <w:noProof/>
          <w:lang w:val="en-US"/>
        </w:rPr>
        <w:t>figure below.</w:t>
      </w:r>
    </w:p>
    <w:p w14:paraId="7AC83110" w14:textId="77777777" w:rsidR="00C551B1" w:rsidRPr="003A7E34" w:rsidRDefault="00C551B1" w:rsidP="00EA50D6">
      <w:pPr>
        <w:spacing w:before="0" w:after="0"/>
        <w:rPr>
          <w:rFonts w:eastAsia="Times New Roman"/>
          <w:noProof/>
          <w:lang w:val="en-US"/>
        </w:rPr>
      </w:pPr>
    </w:p>
    <w:p w14:paraId="7131D3E7" w14:textId="77777777" w:rsidR="00C551B1" w:rsidRPr="003A7E34" w:rsidRDefault="00C551B1" w:rsidP="00EA50D6">
      <w:pPr>
        <w:spacing w:before="0" w:after="0"/>
        <w:jc w:val="center"/>
        <w:rPr>
          <w:rFonts w:eastAsia="Times New Roman"/>
          <w:noProof/>
          <w:sz w:val="20"/>
          <w:szCs w:val="20"/>
          <w:lang w:val="en-US"/>
        </w:rPr>
      </w:pPr>
      <w:r w:rsidRPr="003A7E34">
        <w:rPr>
          <w:noProof/>
          <w:sz w:val="20"/>
          <w:szCs w:val="20"/>
          <w:lang w:val="en-US"/>
        </w:rPr>
        <w:lastRenderedPageBreak/>
        <w:drawing>
          <wp:inline distT="0" distB="0" distL="0" distR="0" wp14:anchorId="337F309C" wp14:editId="46F229DB">
            <wp:extent cx="4429125" cy="2801459"/>
            <wp:effectExtent l="0" t="0" r="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3">
                      <a:extLst>
                        <a:ext uri="{28A0092B-C50C-407E-A947-70E740481C1C}">
                          <a14:useLocalDpi xmlns:a14="http://schemas.microsoft.com/office/drawing/2010/main" val="0"/>
                        </a:ext>
                      </a:extLst>
                    </a:blip>
                    <a:srcRect l="2037" t="2151" r="1868" b="1569"/>
                    <a:stretch/>
                  </pic:blipFill>
                  <pic:spPr bwMode="auto">
                    <a:xfrm>
                      <a:off x="0" y="0"/>
                      <a:ext cx="4452495" cy="2816241"/>
                    </a:xfrm>
                    <a:prstGeom prst="rect">
                      <a:avLst/>
                    </a:prstGeom>
                    <a:noFill/>
                    <a:ln>
                      <a:noFill/>
                    </a:ln>
                    <a:extLst>
                      <a:ext uri="{53640926-AAD7-44D8-BBD7-CCE9431645EC}">
                        <a14:shadowObscured xmlns:a14="http://schemas.microsoft.com/office/drawing/2010/main"/>
                      </a:ext>
                    </a:extLst>
                  </pic:spPr>
                </pic:pic>
              </a:graphicData>
            </a:graphic>
          </wp:inline>
        </w:drawing>
      </w:r>
    </w:p>
    <w:p w14:paraId="1F9B42BA" w14:textId="3DBFA2BA" w:rsidR="00C551B1" w:rsidRPr="003A7E34" w:rsidRDefault="5E230566" w:rsidP="5E230566">
      <w:pPr>
        <w:spacing w:before="0" w:after="0"/>
        <w:jc w:val="center"/>
        <w:rPr>
          <w:rFonts w:eastAsia="Times New Roman"/>
          <w:noProof/>
          <w:sz w:val="20"/>
          <w:szCs w:val="20"/>
          <w:lang w:val="en-US"/>
        </w:rPr>
      </w:pPr>
      <w:r w:rsidRPr="003A7E34">
        <w:rPr>
          <w:rFonts w:eastAsia="Times New Roman"/>
          <w:b/>
          <w:bCs/>
          <w:noProof/>
          <w:sz w:val="20"/>
          <w:szCs w:val="20"/>
          <w:lang w:val="en-US"/>
        </w:rPr>
        <w:t>Figure 4.2.1.12.</w:t>
      </w:r>
      <w:r w:rsidRPr="003A7E34">
        <w:rPr>
          <w:rFonts w:eastAsia="Times New Roman"/>
          <w:noProof/>
          <w:sz w:val="20"/>
          <w:szCs w:val="20"/>
          <w:lang w:val="en-US"/>
        </w:rPr>
        <w:t xml:space="preserve"> Projected agregated GHG emissions (WEM scenario), kt CO</w:t>
      </w:r>
      <w:r w:rsidRPr="003A7E34">
        <w:rPr>
          <w:rFonts w:eastAsia="Times New Roman"/>
          <w:noProof/>
          <w:sz w:val="20"/>
          <w:szCs w:val="20"/>
          <w:vertAlign w:val="subscript"/>
          <w:lang w:val="en-US"/>
        </w:rPr>
        <w:t>2</w:t>
      </w:r>
      <w:r w:rsidRPr="003A7E34">
        <w:rPr>
          <w:rFonts w:eastAsia="Times New Roman"/>
          <w:noProof/>
          <w:sz w:val="20"/>
          <w:szCs w:val="20"/>
          <w:lang w:val="en-US"/>
        </w:rPr>
        <w:t>eq</w:t>
      </w:r>
    </w:p>
    <w:p w14:paraId="521F466A" w14:textId="77777777" w:rsidR="0095523E" w:rsidRPr="003A7E34" w:rsidRDefault="0095523E" w:rsidP="00EA50D6">
      <w:pPr>
        <w:spacing w:before="0" w:after="0"/>
        <w:rPr>
          <w:rFonts w:eastAsia="Times New Roman"/>
          <w:noProof/>
          <w:lang w:val="en-US"/>
        </w:rPr>
      </w:pPr>
    </w:p>
    <w:p w14:paraId="14DD31EB" w14:textId="2A59A5A0" w:rsidR="0095523E" w:rsidRPr="003A7E34" w:rsidRDefault="0095523E" w:rsidP="00C42AAE">
      <w:pPr>
        <w:pStyle w:val="Heading3"/>
        <w:numPr>
          <w:ilvl w:val="2"/>
          <w:numId w:val="21"/>
        </w:numPr>
        <w:spacing w:before="0" w:after="120"/>
        <w:rPr>
          <w:rFonts w:eastAsia="Calibri" w:cs="Times New Roman"/>
          <w:noProof/>
          <w:lang w:val="en-US"/>
        </w:rPr>
      </w:pPr>
      <w:bookmarkStart w:id="150" w:name="_Toc530405590"/>
      <w:bookmarkStart w:id="151" w:name="_Toc530411821"/>
      <w:bookmarkStart w:id="152" w:name="_Toc530414170"/>
      <w:r w:rsidRPr="003A7E34">
        <w:rPr>
          <w:rFonts w:eastAsia="Times New Roman" w:cs="Times New Roman"/>
          <w:noProof/>
          <w:lang w:val="en-US"/>
        </w:rPr>
        <w:t>Renewable energy</w:t>
      </w:r>
      <w:bookmarkEnd w:id="150"/>
      <w:bookmarkEnd w:id="151"/>
      <w:bookmarkEnd w:id="152"/>
      <w:r w:rsidRPr="003A7E34">
        <w:rPr>
          <w:rFonts w:eastAsia="Times New Roman" w:cs="Times New Roman"/>
          <w:noProof/>
          <w:lang w:val="en-US"/>
        </w:rPr>
        <w:t xml:space="preserve"> </w:t>
      </w:r>
    </w:p>
    <w:p w14:paraId="56ED48B5" w14:textId="77777777" w:rsidR="0095523E" w:rsidRPr="003A7E34" w:rsidRDefault="0095523E" w:rsidP="00C42AAE">
      <w:pPr>
        <w:numPr>
          <w:ilvl w:val="3"/>
          <w:numId w:val="21"/>
        </w:numPr>
        <w:spacing w:before="0"/>
        <w:ind w:left="1560" w:hanging="284"/>
        <w:rPr>
          <w:rFonts w:eastAsia="Calibri"/>
          <w:noProof/>
          <w:lang w:val="en-US"/>
        </w:rPr>
      </w:pPr>
      <w:r w:rsidRPr="003A7E34">
        <w:rPr>
          <w:rFonts w:eastAsia="Times New Roman"/>
          <w:noProof/>
          <w:lang w:val="en-US"/>
        </w:rPr>
        <w:t>Current share of renewable energy in gross final energy consumption and in different sectors (heating and cooling, electricity and transport) as well as per technology in each of these sectors</w:t>
      </w:r>
    </w:p>
    <w:p w14:paraId="58F354C3" w14:textId="32C1794A" w:rsidR="0095523E" w:rsidRPr="003A7E34" w:rsidRDefault="50ACA58D" w:rsidP="00FD7922">
      <w:pPr>
        <w:spacing w:before="0"/>
        <w:ind w:left="360"/>
        <w:rPr>
          <w:rFonts w:eastAsia="Times New Roman"/>
          <w:lang w:val="en-US"/>
        </w:rPr>
      </w:pPr>
      <w:r w:rsidRPr="003A7E34">
        <w:rPr>
          <w:rFonts w:eastAsia="Times New Roman"/>
          <w:lang w:val="en-US"/>
        </w:rPr>
        <w:t>Lithuania is focused on reducing the environmental impact of its energy production and</w:t>
      </w:r>
      <w:r w:rsidR="00C20AF2" w:rsidRPr="003A7E34">
        <w:rPr>
          <w:rFonts w:eastAsia="Times New Roman"/>
          <w:lang w:val="en-US"/>
        </w:rPr>
        <w:t xml:space="preserve"> its</w:t>
      </w:r>
      <w:r w:rsidRPr="003A7E34">
        <w:rPr>
          <w:rFonts w:eastAsia="Times New Roman"/>
          <w:lang w:val="en-US"/>
        </w:rPr>
        <w:t xml:space="preserve"> use.</w:t>
      </w:r>
      <w:r w:rsidR="00D871C8" w:rsidRPr="003A7E34">
        <w:rPr>
          <w:rFonts w:eastAsia="Times New Roman"/>
          <w:lang w:val="en-US"/>
        </w:rPr>
        <w:t xml:space="preserve"> </w:t>
      </w:r>
      <w:r w:rsidRPr="003A7E34">
        <w:rPr>
          <w:rFonts w:eastAsia="Times New Roman"/>
          <w:lang w:val="en-US"/>
        </w:rPr>
        <w:t xml:space="preserve">It is determined to move towards a sustainable and </w:t>
      </w:r>
      <w:r w:rsidR="00C20AF2" w:rsidRPr="003A7E34">
        <w:rPr>
          <w:rFonts w:eastAsia="Times New Roman"/>
          <w:lang w:val="en-US"/>
        </w:rPr>
        <w:t xml:space="preserve">a </w:t>
      </w:r>
      <w:r w:rsidRPr="003A7E34">
        <w:rPr>
          <w:rFonts w:eastAsia="Times New Roman"/>
          <w:lang w:val="en-US"/>
        </w:rPr>
        <w:t xml:space="preserve">low‑carbon economy by modifying its energy mix and methods of generating energy. Lithuania has begun to shift towards more efficient energy production and </w:t>
      </w:r>
      <w:r w:rsidR="00C20AF2" w:rsidRPr="003A7E34">
        <w:rPr>
          <w:rFonts w:eastAsia="Times New Roman"/>
          <w:lang w:val="en-US"/>
        </w:rPr>
        <w:t xml:space="preserve">a </w:t>
      </w:r>
      <w:r w:rsidRPr="003A7E34">
        <w:rPr>
          <w:rFonts w:eastAsia="Times New Roman"/>
          <w:lang w:val="en-US"/>
        </w:rPr>
        <w:t>greater use of renewable energy.</w:t>
      </w:r>
      <w:r w:rsidR="00D871C8" w:rsidRPr="003A7E34">
        <w:rPr>
          <w:rFonts w:eastAsia="Times New Roman"/>
          <w:lang w:val="en-US"/>
        </w:rPr>
        <w:t xml:space="preserve"> </w:t>
      </w:r>
    </w:p>
    <w:p w14:paraId="0E192EBF" w14:textId="363BF011" w:rsidR="0095523E" w:rsidRPr="003A7E34" w:rsidRDefault="0095523E" w:rsidP="00EA50D6">
      <w:pPr>
        <w:spacing w:before="0" w:after="0"/>
        <w:ind w:left="360"/>
        <w:rPr>
          <w:rFonts w:eastAsia="Times New Roman"/>
          <w:lang w:val="en-US"/>
        </w:rPr>
      </w:pPr>
    </w:p>
    <w:p w14:paraId="5CCB3974" w14:textId="533C8AED" w:rsidR="2886541A" w:rsidRPr="003A7E34" w:rsidRDefault="0095523E" w:rsidP="00FD7922">
      <w:pPr>
        <w:spacing w:before="0" w:after="0"/>
        <w:ind w:left="360"/>
        <w:jc w:val="center"/>
        <w:rPr>
          <w:rFonts w:eastAsia="Times New Roman"/>
          <w:lang w:val="en-US"/>
        </w:rPr>
      </w:pPr>
      <w:r>
        <w:rPr>
          <w:noProof/>
          <w:lang w:val="en-US"/>
        </w:rPr>
        <w:drawing>
          <wp:inline distT="0" distB="0" distL="0" distR="0" wp14:anchorId="6503C7BE" wp14:editId="27D229FE">
            <wp:extent cx="4733926" cy="2761457"/>
            <wp:effectExtent l="0" t="0" r="0" b="1270"/>
            <wp:docPr id="62323890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4733926" cy="2761457"/>
                    </a:xfrm>
                    <a:prstGeom prst="rect">
                      <a:avLst/>
                    </a:prstGeom>
                  </pic:spPr>
                </pic:pic>
              </a:graphicData>
            </a:graphic>
          </wp:inline>
        </w:drawing>
      </w:r>
    </w:p>
    <w:p w14:paraId="131100AC" w14:textId="57025C95" w:rsidR="0095523E" w:rsidRPr="003A7E34" w:rsidRDefault="5E230566" w:rsidP="5E230566">
      <w:pPr>
        <w:spacing w:before="0" w:after="0"/>
        <w:ind w:left="360"/>
        <w:jc w:val="center"/>
        <w:rPr>
          <w:rFonts w:eastAsia="Times New Roman"/>
          <w:sz w:val="20"/>
          <w:szCs w:val="20"/>
          <w:lang w:val="en-US"/>
        </w:rPr>
      </w:pPr>
      <w:r w:rsidRPr="003A7E34">
        <w:rPr>
          <w:rFonts w:eastAsia="Times New Roman"/>
          <w:b/>
          <w:bCs/>
          <w:noProof/>
          <w:sz w:val="20"/>
          <w:szCs w:val="20"/>
          <w:lang w:val="en-US"/>
        </w:rPr>
        <w:t>Figure 4.2.2.1.</w:t>
      </w:r>
      <w:r w:rsidRPr="003A7E34">
        <w:rPr>
          <w:rFonts w:eastAsia="Times New Roman"/>
          <w:noProof/>
          <w:sz w:val="20"/>
          <w:szCs w:val="20"/>
          <w:lang w:val="en-US"/>
        </w:rPr>
        <w:t xml:space="preserve"> </w:t>
      </w:r>
      <w:r w:rsidRPr="003A7E34">
        <w:rPr>
          <w:rFonts w:eastAsia="Times New Roman"/>
          <w:sz w:val="20"/>
          <w:szCs w:val="20"/>
          <w:lang w:val="en-US"/>
        </w:rPr>
        <w:t xml:space="preserve">Share of renewable energy in </w:t>
      </w:r>
      <w:r w:rsidR="00C20AF2" w:rsidRPr="003A7E34">
        <w:rPr>
          <w:rFonts w:eastAsia="Times New Roman"/>
          <w:sz w:val="20"/>
          <w:szCs w:val="20"/>
          <w:lang w:val="en-US"/>
        </w:rPr>
        <w:t xml:space="preserve">the </w:t>
      </w:r>
      <w:r w:rsidRPr="003A7E34">
        <w:rPr>
          <w:rFonts w:eastAsia="Times New Roman"/>
          <w:sz w:val="20"/>
          <w:szCs w:val="20"/>
          <w:lang w:val="en-US"/>
        </w:rPr>
        <w:t>gross final energy consumption,%</w:t>
      </w:r>
    </w:p>
    <w:p w14:paraId="5941B8BD" w14:textId="0E07F0E2" w:rsidR="0095523E" w:rsidRPr="003A7E34" w:rsidRDefault="50ACA58D" w:rsidP="00EA50D6">
      <w:pPr>
        <w:spacing w:before="0" w:after="0"/>
        <w:ind w:left="360"/>
        <w:rPr>
          <w:rFonts w:eastAsia="Times New Roman"/>
          <w:sz w:val="20"/>
          <w:szCs w:val="20"/>
          <w:lang w:val="en-US"/>
        </w:rPr>
      </w:pPr>
      <w:r w:rsidRPr="003A7E34">
        <w:rPr>
          <w:rFonts w:eastAsia="Times New Roman"/>
          <w:sz w:val="20"/>
          <w:szCs w:val="20"/>
          <w:lang w:val="en-US"/>
        </w:rPr>
        <w:lastRenderedPageBreak/>
        <w:t>*</w:t>
      </w:r>
      <w:r w:rsidR="00C20AF2" w:rsidRPr="003A7E34">
        <w:rPr>
          <w:rFonts w:eastAsia="Times New Roman"/>
          <w:sz w:val="20"/>
          <w:szCs w:val="20"/>
          <w:lang w:val="en-US"/>
        </w:rPr>
        <w:t xml:space="preserve">an </w:t>
      </w:r>
      <w:r w:rsidRPr="003A7E34">
        <w:rPr>
          <w:rFonts w:eastAsia="Times New Roman"/>
          <w:sz w:val="20"/>
          <w:szCs w:val="20"/>
          <w:lang w:val="en-US"/>
        </w:rPr>
        <w:t xml:space="preserve">estimated trajectory of energy from RES minus estimated surplus for </w:t>
      </w:r>
      <w:r w:rsidR="00C20AF2" w:rsidRPr="003A7E34">
        <w:rPr>
          <w:rFonts w:eastAsia="Times New Roman"/>
          <w:sz w:val="20"/>
          <w:szCs w:val="20"/>
          <w:lang w:val="en-US"/>
        </w:rPr>
        <w:t xml:space="preserve">the </w:t>
      </w:r>
      <w:r w:rsidRPr="003A7E34">
        <w:rPr>
          <w:rFonts w:eastAsia="Times New Roman"/>
          <w:sz w:val="20"/>
          <w:szCs w:val="20"/>
          <w:lang w:val="en-US"/>
        </w:rPr>
        <w:t xml:space="preserve">cooperation mechanism provided in </w:t>
      </w:r>
      <w:r w:rsidR="00C20AF2" w:rsidRPr="003A7E34">
        <w:rPr>
          <w:rFonts w:eastAsia="Times New Roman"/>
          <w:sz w:val="20"/>
          <w:szCs w:val="20"/>
          <w:lang w:val="en-US"/>
        </w:rPr>
        <w:t xml:space="preserve">the </w:t>
      </w:r>
      <w:r w:rsidRPr="003A7E34">
        <w:rPr>
          <w:rFonts w:eastAsia="Times New Roman"/>
          <w:sz w:val="20"/>
          <w:szCs w:val="20"/>
          <w:lang w:val="en-US"/>
        </w:rPr>
        <w:t>National Renewable Energy Action Plan</w:t>
      </w:r>
    </w:p>
    <w:p w14:paraId="48A0D45B" w14:textId="1237BEB4" w:rsidR="0095523E" w:rsidRPr="003A7E34" w:rsidRDefault="50ACA58D" w:rsidP="00EA50D6">
      <w:pPr>
        <w:spacing w:before="0" w:after="0"/>
        <w:ind w:left="360"/>
        <w:rPr>
          <w:rFonts w:eastAsia="Times New Roman"/>
          <w:sz w:val="20"/>
          <w:szCs w:val="20"/>
          <w:u w:val="single"/>
          <w:lang w:val="en-US"/>
        </w:rPr>
      </w:pPr>
      <w:r w:rsidRPr="003A7E34">
        <w:rPr>
          <w:rFonts w:eastAsia="Times New Roman"/>
          <w:sz w:val="20"/>
          <w:szCs w:val="20"/>
          <w:lang w:val="en-US"/>
        </w:rPr>
        <w:t>Source: Eurostat; Statistics Lithuania, Lithuanian National Renewable Energy Action Plan</w:t>
      </w:r>
      <w:r w:rsidR="00EC2C4D" w:rsidRPr="003A7E34">
        <w:rPr>
          <w:rStyle w:val="FootnoteReference"/>
          <w:rFonts w:eastAsia="Times New Roman"/>
          <w:sz w:val="20"/>
          <w:szCs w:val="20"/>
          <w:lang w:val="en-US"/>
        </w:rPr>
        <w:footnoteReference w:id="40"/>
      </w:r>
    </w:p>
    <w:p w14:paraId="763AF9DA" w14:textId="13AD2E52" w:rsidR="0095523E" w:rsidRPr="003A7E34" w:rsidRDefault="0095523E" w:rsidP="00EC2C4D">
      <w:pPr>
        <w:spacing w:before="0"/>
        <w:ind w:left="360"/>
        <w:rPr>
          <w:rFonts w:eastAsia="Times New Roman"/>
          <w:b/>
          <w:bCs/>
          <w:lang w:val="en-US"/>
        </w:rPr>
      </w:pPr>
    </w:p>
    <w:p w14:paraId="34B40829" w14:textId="1C55F077" w:rsidR="0095523E" w:rsidRPr="003A7E34" w:rsidRDefault="50ACA58D" w:rsidP="00EC2C4D">
      <w:pPr>
        <w:spacing w:before="0"/>
        <w:ind w:left="360"/>
        <w:rPr>
          <w:rFonts w:eastAsia="Times New Roman"/>
          <w:lang w:val="en-US"/>
        </w:rPr>
      </w:pPr>
      <w:r w:rsidRPr="003A7E34">
        <w:rPr>
          <w:rFonts w:eastAsia="Times New Roman"/>
          <w:lang w:val="en-US"/>
        </w:rPr>
        <w:t>In the last decade, the use of cleaner energy sources in Lithuania has increased significantly. Lithuania has already reached its goal of having a 23 per cent. share for renewable energy in its total energy consumption by 2020.</w:t>
      </w:r>
      <w:r w:rsidR="00D871C8" w:rsidRPr="003A7E34">
        <w:rPr>
          <w:rFonts w:eastAsia="Times New Roman"/>
          <w:lang w:val="en-US"/>
        </w:rPr>
        <w:t xml:space="preserve"> </w:t>
      </w:r>
      <w:r w:rsidRPr="003A7E34">
        <w:rPr>
          <w:rFonts w:eastAsia="Times New Roman"/>
          <w:lang w:val="en-US"/>
        </w:rPr>
        <w:t>In 2017, the share of renewable energy sources in the total consumption of energy was 25</w:t>
      </w:r>
      <w:r w:rsidR="00FD7922" w:rsidRPr="003A7E34">
        <w:rPr>
          <w:rFonts w:eastAsia="Times New Roman"/>
          <w:lang w:val="en-US"/>
        </w:rPr>
        <w:t>.</w:t>
      </w:r>
      <w:r w:rsidRPr="003A7E34">
        <w:rPr>
          <w:rFonts w:eastAsia="Times New Roman"/>
          <w:lang w:val="en-US"/>
        </w:rPr>
        <w:t>83 per cent.</w:t>
      </w:r>
    </w:p>
    <w:p w14:paraId="51EE0B7C" w14:textId="67D38FCF" w:rsidR="0095523E" w:rsidRPr="003A7E34" w:rsidRDefault="00A70D9B" w:rsidP="00EC2C4D">
      <w:pPr>
        <w:spacing w:before="0"/>
        <w:ind w:left="360"/>
        <w:rPr>
          <w:rFonts w:eastAsia="Times New Roman"/>
          <w:lang w:val="en-US"/>
        </w:rPr>
      </w:pPr>
      <w:r w:rsidRPr="003A7E34">
        <w:rPr>
          <w:rFonts w:eastAsia="Times New Roman"/>
          <w:lang w:val="en-US"/>
        </w:rPr>
        <w:t>I</w:t>
      </w:r>
      <w:r w:rsidR="50ACA58D" w:rsidRPr="003A7E34">
        <w:rPr>
          <w:rFonts w:eastAsia="Times New Roman"/>
          <w:lang w:val="en-US"/>
        </w:rPr>
        <w:t xml:space="preserve">n </w:t>
      </w:r>
      <w:r w:rsidR="00C20AF2" w:rsidRPr="003A7E34">
        <w:rPr>
          <w:rFonts w:eastAsia="Times New Roman"/>
          <w:lang w:val="en-US"/>
        </w:rPr>
        <w:t xml:space="preserve">October </w:t>
      </w:r>
      <w:r w:rsidR="50ACA58D" w:rsidRPr="003A7E34">
        <w:rPr>
          <w:rFonts w:eastAsia="Times New Roman"/>
          <w:lang w:val="en-US"/>
        </w:rPr>
        <w:t>2017 Lithuania was the first Member State to sign the Cooperation agreement with Luxembourg</w:t>
      </w:r>
      <w:r w:rsidR="00C20AF2" w:rsidRPr="003A7E34">
        <w:rPr>
          <w:rFonts w:eastAsia="Times New Roman"/>
          <w:lang w:val="en-US"/>
        </w:rPr>
        <w:t>,</w:t>
      </w:r>
      <w:r w:rsidR="50ACA58D" w:rsidRPr="003A7E34">
        <w:rPr>
          <w:rFonts w:eastAsia="Times New Roman"/>
          <w:lang w:val="en-US"/>
        </w:rPr>
        <w:t xml:space="preserve"> transferring </w:t>
      </w:r>
      <w:r w:rsidR="00C20AF2" w:rsidRPr="003A7E34">
        <w:rPr>
          <w:rFonts w:eastAsia="Times New Roman"/>
          <w:lang w:val="en-US"/>
        </w:rPr>
        <w:t xml:space="preserve">its </w:t>
      </w:r>
      <w:r w:rsidR="50ACA58D" w:rsidRPr="003A7E34">
        <w:rPr>
          <w:rFonts w:eastAsia="Times New Roman"/>
          <w:lang w:val="en-US"/>
        </w:rPr>
        <w:t>renewable energy statistics.</w:t>
      </w:r>
    </w:p>
    <w:p w14:paraId="672D170A" w14:textId="62F035CF" w:rsidR="0095523E" w:rsidRPr="003A7E34" w:rsidRDefault="50ACA58D" w:rsidP="00EC2C4D">
      <w:pPr>
        <w:spacing w:before="0"/>
        <w:ind w:left="360"/>
        <w:rPr>
          <w:rFonts w:eastAsia="Times New Roman"/>
          <w:lang w:val="en-US"/>
        </w:rPr>
      </w:pPr>
      <w:r w:rsidRPr="003A7E34">
        <w:rPr>
          <w:rFonts w:eastAsia="Times New Roman"/>
          <w:lang w:val="en-US"/>
        </w:rPr>
        <w:t>According to Article 4 (1) of Directive 2009/28/EC, targets for the share of energy from renewable sources in 2020 were set out in the following sectors:</w:t>
      </w:r>
    </w:p>
    <w:p w14:paraId="7A0433BD" w14:textId="283642D1" w:rsidR="0095523E" w:rsidRPr="003A7E34" w:rsidRDefault="50ACA58D" w:rsidP="00C42AAE">
      <w:pPr>
        <w:pStyle w:val="ListParagraph"/>
        <w:numPr>
          <w:ilvl w:val="1"/>
          <w:numId w:val="45"/>
        </w:numPr>
        <w:spacing w:after="120" w:line="240" w:lineRule="auto"/>
        <w:rPr>
          <w:rFonts w:ascii="Times New Roman" w:eastAsia="Times New Roman" w:hAnsi="Times New Roman" w:cs="Times New Roman"/>
          <w:lang w:val="en-US"/>
        </w:rPr>
      </w:pPr>
      <w:r w:rsidRPr="003A7E34">
        <w:rPr>
          <w:rFonts w:ascii="Times New Roman" w:eastAsia="Times New Roman" w:hAnsi="Times New Roman" w:cs="Times New Roman"/>
          <w:lang w:val="en-US"/>
        </w:rPr>
        <w:t>heating and cooling;</w:t>
      </w:r>
    </w:p>
    <w:p w14:paraId="0AB1CAFB" w14:textId="683F6F89" w:rsidR="0095523E" w:rsidRPr="003A7E34" w:rsidRDefault="50ACA58D" w:rsidP="00C42AAE">
      <w:pPr>
        <w:pStyle w:val="ListParagraph"/>
        <w:numPr>
          <w:ilvl w:val="1"/>
          <w:numId w:val="45"/>
        </w:numPr>
        <w:spacing w:after="120" w:line="240" w:lineRule="auto"/>
        <w:rPr>
          <w:rFonts w:ascii="Times New Roman" w:eastAsia="Times New Roman" w:hAnsi="Times New Roman" w:cs="Times New Roman"/>
          <w:lang w:val="en-US"/>
        </w:rPr>
      </w:pPr>
      <w:r w:rsidRPr="003A7E34">
        <w:rPr>
          <w:rFonts w:ascii="Times New Roman" w:eastAsia="Times New Roman" w:hAnsi="Times New Roman" w:cs="Times New Roman"/>
          <w:lang w:val="en-US"/>
        </w:rPr>
        <w:t>electricity;</w:t>
      </w:r>
    </w:p>
    <w:p w14:paraId="16B2F0C9" w14:textId="21A7E749" w:rsidR="0095523E" w:rsidRPr="003A7E34" w:rsidRDefault="50ACA58D" w:rsidP="00C42AAE">
      <w:pPr>
        <w:pStyle w:val="ListParagraph"/>
        <w:numPr>
          <w:ilvl w:val="1"/>
          <w:numId w:val="45"/>
        </w:numPr>
        <w:spacing w:after="120" w:line="240" w:lineRule="auto"/>
        <w:rPr>
          <w:rFonts w:ascii="Times New Roman" w:eastAsia="Times New Roman" w:hAnsi="Times New Roman" w:cs="Times New Roman"/>
          <w:lang w:val="en-US"/>
        </w:rPr>
      </w:pPr>
      <w:r w:rsidRPr="003A7E34">
        <w:rPr>
          <w:rFonts w:ascii="Times New Roman" w:eastAsia="Times New Roman" w:hAnsi="Times New Roman" w:cs="Times New Roman"/>
          <w:lang w:val="en-US"/>
        </w:rPr>
        <w:t>transport.</w:t>
      </w:r>
    </w:p>
    <w:p w14:paraId="58EE67C0" w14:textId="7D3EB49F" w:rsidR="0095523E" w:rsidRPr="003A7E34" w:rsidRDefault="50ACA58D" w:rsidP="00EC2C4D">
      <w:pPr>
        <w:spacing w:before="0"/>
        <w:ind w:left="360"/>
        <w:rPr>
          <w:rFonts w:eastAsia="Times New Roman"/>
          <w:lang w:val="en-US"/>
        </w:rPr>
      </w:pPr>
      <w:r w:rsidRPr="003A7E34">
        <w:rPr>
          <w:rFonts w:eastAsia="Times New Roman"/>
          <w:lang w:val="en-US"/>
        </w:rPr>
        <w:t xml:space="preserve"> </w:t>
      </w:r>
    </w:p>
    <w:p w14:paraId="30CD2A01" w14:textId="0551828F" w:rsidR="0095523E" w:rsidRPr="003A7E34" w:rsidRDefault="50ACA58D" w:rsidP="00EC2C4D">
      <w:pPr>
        <w:spacing w:before="0"/>
        <w:ind w:left="360"/>
        <w:rPr>
          <w:rFonts w:eastAsia="Times New Roman"/>
          <w:lang w:val="en-US"/>
        </w:rPr>
      </w:pPr>
      <w:r w:rsidRPr="003A7E34">
        <w:rPr>
          <w:rFonts w:eastAsia="Times New Roman"/>
          <w:lang w:val="en-US"/>
        </w:rPr>
        <w:t xml:space="preserve">Accordingly, </w:t>
      </w:r>
      <w:r w:rsidR="00C20AF2" w:rsidRPr="003A7E34">
        <w:rPr>
          <w:rFonts w:eastAsia="Times New Roman"/>
          <w:lang w:val="en-US"/>
        </w:rPr>
        <w:t xml:space="preserve">the </w:t>
      </w:r>
      <w:r w:rsidRPr="003A7E34">
        <w:rPr>
          <w:rFonts w:eastAsia="Times New Roman"/>
          <w:lang w:val="en-US"/>
        </w:rPr>
        <w:t xml:space="preserve">consumption of electricity from RES was about 17%,  total heat consumption – about 46%, and in the transport sector—about 4%. A significant share of resources in energy production comes from wind and biofuels. </w:t>
      </w:r>
    </w:p>
    <w:p w14:paraId="068A4807" w14:textId="380BEC27" w:rsidR="0095523E" w:rsidRPr="003A7E34" w:rsidRDefault="0095523E" w:rsidP="00EC2C4D">
      <w:pPr>
        <w:spacing w:before="0"/>
        <w:ind w:left="360"/>
        <w:rPr>
          <w:rFonts w:eastAsia="Times New Roman"/>
          <w:lang w:val="en-US"/>
        </w:rPr>
      </w:pPr>
    </w:p>
    <w:p w14:paraId="5967701C" w14:textId="72BB9580" w:rsidR="0095523E" w:rsidRPr="003A7E34" w:rsidRDefault="50ACA58D" w:rsidP="00EC2C4D">
      <w:pPr>
        <w:spacing w:before="0"/>
        <w:ind w:left="360"/>
        <w:rPr>
          <w:rFonts w:eastAsia="Times New Roman"/>
          <w:b/>
          <w:bCs/>
          <w:i/>
          <w:lang w:val="en-US"/>
        </w:rPr>
      </w:pPr>
      <w:r w:rsidRPr="003A7E34">
        <w:rPr>
          <w:rFonts w:eastAsia="Times New Roman"/>
          <w:b/>
          <w:bCs/>
          <w:i/>
          <w:lang w:val="en-US"/>
        </w:rPr>
        <w:t>Heating and cooling</w:t>
      </w:r>
    </w:p>
    <w:p w14:paraId="3EACD7E6" w14:textId="1900454C" w:rsidR="17DE1C9B" w:rsidRPr="003A7E34" w:rsidRDefault="17DE1C9B" w:rsidP="00686666">
      <w:pPr>
        <w:spacing w:before="0" w:after="0"/>
        <w:jc w:val="center"/>
        <w:rPr>
          <w:rFonts w:eastAsia="Times New Roman"/>
          <w:lang w:val="en-US"/>
        </w:rPr>
      </w:pPr>
      <w:r>
        <w:rPr>
          <w:noProof/>
          <w:lang w:val="en-US"/>
        </w:rPr>
        <w:drawing>
          <wp:inline distT="0" distB="0" distL="0" distR="0" wp14:anchorId="1AF1665E" wp14:editId="6FC5C477">
            <wp:extent cx="5886450" cy="3433763"/>
            <wp:effectExtent l="0" t="0" r="0" b="0"/>
            <wp:docPr id="8520321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extLst>
                        <a:ext uri="{28A0092B-C50C-407E-A947-70E740481C1C}">
                          <a14:useLocalDpi xmlns:a14="http://schemas.microsoft.com/office/drawing/2010/main" val="0"/>
                        </a:ext>
                      </a:extLst>
                    </a:blip>
                    <a:stretch>
                      <a:fillRect/>
                    </a:stretch>
                  </pic:blipFill>
                  <pic:spPr>
                    <a:xfrm>
                      <a:off x="0" y="0"/>
                      <a:ext cx="5886450" cy="3433763"/>
                    </a:xfrm>
                    <a:prstGeom prst="rect">
                      <a:avLst/>
                    </a:prstGeom>
                  </pic:spPr>
                </pic:pic>
              </a:graphicData>
            </a:graphic>
          </wp:inline>
        </w:drawing>
      </w:r>
    </w:p>
    <w:p w14:paraId="792D6FF4" w14:textId="4199EE5B" w:rsidR="0095523E" w:rsidRPr="003A7E34" w:rsidRDefault="5E230566" w:rsidP="5E230566">
      <w:pPr>
        <w:spacing w:before="0" w:after="0"/>
        <w:ind w:left="360"/>
        <w:rPr>
          <w:rFonts w:eastAsia="Times New Roman"/>
          <w:sz w:val="20"/>
          <w:szCs w:val="20"/>
          <w:u w:val="single"/>
          <w:lang w:val="en-US"/>
        </w:rPr>
      </w:pPr>
      <w:r w:rsidRPr="003A7E34">
        <w:rPr>
          <w:rFonts w:eastAsia="Times New Roman"/>
          <w:b/>
          <w:bCs/>
          <w:noProof/>
          <w:sz w:val="20"/>
          <w:szCs w:val="20"/>
          <w:lang w:val="en-US"/>
        </w:rPr>
        <w:lastRenderedPageBreak/>
        <w:t>Figure 4.2.2.2.</w:t>
      </w:r>
      <w:r w:rsidR="00686666" w:rsidRPr="003A7E34">
        <w:rPr>
          <w:rFonts w:eastAsia="Times New Roman"/>
          <w:sz w:val="20"/>
          <w:szCs w:val="20"/>
          <w:lang w:val="en-US"/>
        </w:rPr>
        <w:t xml:space="preserve"> </w:t>
      </w:r>
      <w:r w:rsidR="002917CC" w:rsidRPr="003A7E34">
        <w:rPr>
          <w:rFonts w:eastAsia="Times New Roman"/>
          <w:sz w:val="20"/>
          <w:szCs w:val="20"/>
          <w:lang w:val="en-US"/>
        </w:rPr>
        <w:t>RES share</w:t>
      </w:r>
      <w:r w:rsidR="00255986" w:rsidRPr="003A7E34">
        <w:rPr>
          <w:rFonts w:eastAsia="Times New Roman"/>
          <w:sz w:val="20"/>
          <w:szCs w:val="20"/>
          <w:lang w:val="en-US"/>
        </w:rPr>
        <w:t>d</w:t>
      </w:r>
      <w:r w:rsidR="002917CC" w:rsidRPr="003A7E34">
        <w:rPr>
          <w:rFonts w:eastAsia="Times New Roman"/>
          <w:sz w:val="20"/>
          <w:szCs w:val="20"/>
          <w:lang w:val="en-US"/>
        </w:rPr>
        <w:t xml:space="preserve"> distribution in heating and cooling sector</w:t>
      </w:r>
      <w:r w:rsidR="0008444D" w:rsidRPr="003A7E34">
        <w:rPr>
          <w:rFonts w:eastAsia="Times New Roman"/>
          <w:sz w:val="20"/>
          <w:szCs w:val="20"/>
          <w:lang w:val="en-US"/>
        </w:rPr>
        <w:t>, %</w:t>
      </w:r>
      <w:r w:rsidR="002917CC" w:rsidRPr="003A7E34">
        <w:rPr>
          <w:rFonts w:eastAsia="Times New Roman"/>
          <w:sz w:val="20"/>
          <w:szCs w:val="20"/>
          <w:lang w:val="en-US"/>
        </w:rPr>
        <w:t xml:space="preserve">. </w:t>
      </w:r>
      <w:r w:rsidR="50ACA58D" w:rsidRPr="003A7E34">
        <w:rPr>
          <w:rFonts w:eastAsia="Times New Roman"/>
          <w:sz w:val="20"/>
          <w:szCs w:val="20"/>
          <w:lang w:val="en-US"/>
        </w:rPr>
        <w:t>Source: Eurostat; Statistics Lithuania, Lithuanian National Renewable Energy Action Plan</w:t>
      </w:r>
      <w:r w:rsidR="00EC2C4D" w:rsidRPr="003A7E34">
        <w:rPr>
          <w:rStyle w:val="FootnoteReference"/>
          <w:rFonts w:eastAsia="Times New Roman"/>
          <w:sz w:val="20"/>
          <w:szCs w:val="20"/>
          <w:lang w:val="en-US"/>
        </w:rPr>
        <w:footnoteReference w:id="41"/>
      </w:r>
    </w:p>
    <w:p w14:paraId="5737670D" w14:textId="3C6F5B93" w:rsidR="0095523E" w:rsidRPr="003A7E34" w:rsidRDefault="0095523E" w:rsidP="00EA50D6">
      <w:pPr>
        <w:spacing w:before="0" w:after="0"/>
        <w:ind w:left="360"/>
        <w:rPr>
          <w:rFonts w:eastAsia="Times New Roman"/>
          <w:lang w:val="en-US"/>
        </w:rPr>
      </w:pPr>
    </w:p>
    <w:p w14:paraId="5B19C9D4" w14:textId="1B18AECF" w:rsidR="00686666" w:rsidRPr="003A7E34" w:rsidRDefault="00686666" w:rsidP="00EA50D6">
      <w:pPr>
        <w:spacing w:before="0" w:after="0"/>
        <w:ind w:left="360"/>
        <w:rPr>
          <w:rFonts w:eastAsia="Times New Roman"/>
          <w:lang w:val="en-US"/>
        </w:rPr>
      </w:pPr>
      <w:r w:rsidRPr="003A7E34">
        <w:rPr>
          <w:rFonts w:eastAsia="Times New Roman"/>
          <w:b/>
          <w:bCs/>
          <w:i/>
          <w:lang w:val="en-US"/>
        </w:rPr>
        <w:t>Electricity</w:t>
      </w:r>
    </w:p>
    <w:p w14:paraId="40873C63" w14:textId="2E62B078" w:rsidR="0095523E" w:rsidRPr="003A7E34" w:rsidRDefault="0095523E" w:rsidP="00686666">
      <w:pPr>
        <w:spacing w:before="0" w:after="0"/>
        <w:jc w:val="center"/>
        <w:rPr>
          <w:rFonts w:eastAsia="Times New Roman"/>
          <w:strike/>
          <w:lang w:val="en-US"/>
        </w:rPr>
      </w:pPr>
      <w:r>
        <w:rPr>
          <w:noProof/>
          <w:lang w:val="en-US"/>
        </w:rPr>
        <w:drawing>
          <wp:inline distT="0" distB="0" distL="0" distR="0" wp14:anchorId="05676F09" wp14:editId="462013E5">
            <wp:extent cx="5175116" cy="3018817"/>
            <wp:effectExtent l="0" t="0" r="6985" b="0"/>
            <wp:docPr id="21368502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6">
                      <a:extLst>
                        <a:ext uri="{28A0092B-C50C-407E-A947-70E740481C1C}">
                          <a14:useLocalDpi xmlns:a14="http://schemas.microsoft.com/office/drawing/2010/main" val="0"/>
                        </a:ext>
                      </a:extLst>
                    </a:blip>
                    <a:stretch>
                      <a:fillRect/>
                    </a:stretch>
                  </pic:blipFill>
                  <pic:spPr>
                    <a:xfrm>
                      <a:off x="0" y="0"/>
                      <a:ext cx="5175116" cy="3018817"/>
                    </a:xfrm>
                    <a:prstGeom prst="rect">
                      <a:avLst/>
                    </a:prstGeom>
                  </pic:spPr>
                </pic:pic>
              </a:graphicData>
            </a:graphic>
          </wp:inline>
        </w:drawing>
      </w:r>
    </w:p>
    <w:p w14:paraId="02CB50D5" w14:textId="27B4C97F" w:rsidR="0095523E" w:rsidRPr="003A7E34" w:rsidRDefault="5E230566" w:rsidP="5E230566">
      <w:pPr>
        <w:spacing w:before="0" w:after="0"/>
        <w:ind w:left="360"/>
        <w:rPr>
          <w:rFonts w:eastAsia="Times New Roman"/>
          <w:sz w:val="20"/>
          <w:szCs w:val="20"/>
          <w:u w:val="single"/>
          <w:lang w:val="en-US"/>
        </w:rPr>
      </w:pPr>
      <w:r w:rsidRPr="003A7E34">
        <w:rPr>
          <w:rFonts w:eastAsia="Times New Roman"/>
          <w:b/>
          <w:bCs/>
          <w:noProof/>
          <w:sz w:val="20"/>
          <w:szCs w:val="20"/>
          <w:lang w:val="en-US"/>
        </w:rPr>
        <w:t>Figure 4.2.2.3.</w:t>
      </w:r>
      <w:r w:rsidR="00686666" w:rsidRPr="003A7E34">
        <w:rPr>
          <w:rFonts w:eastAsia="Times New Roman"/>
          <w:sz w:val="20"/>
          <w:szCs w:val="20"/>
          <w:lang w:val="en-US"/>
        </w:rPr>
        <w:t xml:space="preserve"> </w:t>
      </w:r>
      <w:r w:rsidR="002917CC" w:rsidRPr="003A7E34">
        <w:rPr>
          <w:rFonts w:eastAsia="Times New Roman"/>
          <w:sz w:val="20"/>
          <w:szCs w:val="20"/>
          <w:lang w:val="en-US"/>
        </w:rPr>
        <w:t>RES share distribution in electricity sector</w:t>
      </w:r>
      <w:r w:rsidR="0008444D" w:rsidRPr="003A7E34">
        <w:rPr>
          <w:rFonts w:eastAsia="Times New Roman"/>
          <w:sz w:val="20"/>
          <w:szCs w:val="20"/>
          <w:lang w:val="en-US"/>
        </w:rPr>
        <w:t>, %</w:t>
      </w:r>
      <w:r w:rsidR="002917CC" w:rsidRPr="003A7E34">
        <w:rPr>
          <w:rFonts w:eastAsia="Times New Roman"/>
          <w:sz w:val="20"/>
          <w:szCs w:val="20"/>
          <w:lang w:val="en-US"/>
        </w:rPr>
        <w:t xml:space="preserve">. </w:t>
      </w:r>
      <w:r w:rsidR="50ACA58D" w:rsidRPr="003A7E34">
        <w:rPr>
          <w:rFonts w:eastAsia="Times New Roman"/>
          <w:sz w:val="20"/>
          <w:szCs w:val="20"/>
          <w:lang w:val="en-US"/>
        </w:rPr>
        <w:t>Source: Eurostat; Statistics Lithuania, Lithuanian National Renewable Energy Action Plan</w:t>
      </w:r>
      <w:r w:rsidR="00EC2C4D" w:rsidRPr="003A7E34">
        <w:rPr>
          <w:rStyle w:val="FootnoteReference"/>
          <w:rFonts w:eastAsia="Times New Roman"/>
          <w:sz w:val="20"/>
          <w:szCs w:val="20"/>
          <w:lang w:val="en-US"/>
        </w:rPr>
        <w:footnoteReference w:id="42"/>
      </w:r>
    </w:p>
    <w:p w14:paraId="7577E607" w14:textId="407DC8EF" w:rsidR="0095523E" w:rsidRPr="003A7E34" w:rsidRDefault="50ACA58D" w:rsidP="00EA50D6">
      <w:pPr>
        <w:spacing w:before="0" w:after="0"/>
        <w:ind w:left="360"/>
        <w:jc w:val="center"/>
        <w:rPr>
          <w:rFonts w:eastAsia="Times New Roman"/>
          <w:b/>
          <w:bCs/>
          <w:lang w:val="en-US"/>
        </w:rPr>
      </w:pPr>
      <w:r w:rsidRPr="003A7E34">
        <w:rPr>
          <w:rFonts w:eastAsia="Times New Roman"/>
          <w:b/>
          <w:bCs/>
          <w:lang w:val="en-US"/>
        </w:rPr>
        <w:t xml:space="preserve"> </w:t>
      </w:r>
    </w:p>
    <w:p w14:paraId="2749A8B1" w14:textId="760A8869" w:rsidR="0095523E" w:rsidRPr="003A7E34" w:rsidRDefault="0008444D" w:rsidP="00EA50D6">
      <w:pPr>
        <w:spacing w:before="0" w:after="0"/>
        <w:ind w:left="360"/>
        <w:rPr>
          <w:rFonts w:eastAsia="Times New Roman"/>
          <w:b/>
          <w:bCs/>
          <w:i/>
          <w:lang w:val="en-US"/>
        </w:rPr>
      </w:pPr>
      <w:r w:rsidRPr="003A7E34">
        <w:rPr>
          <w:rFonts w:eastAsia="Times New Roman"/>
          <w:b/>
          <w:bCs/>
          <w:i/>
          <w:lang w:val="en-US"/>
        </w:rPr>
        <w:t>Transport</w:t>
      </w:r>
    </w:p>
    <w:p w14:paraId="477E21A1" w14:textId="6C2060B7" w:rsidR="0095523E" w:rsidRPr="003A7E34" w:rsidRDefault="0095523E" w:rsidP="46DF7FC9">
      <w:pPr>
        <w:spacing w:before="0" w:after="0"/>
        <w:jc w:val="center"/>
        <w:rPr>
          <w:lang w:val="en-US"/>
        </w:rPr>
      </w:pPr>
      <w:r>
        <w:rPr>
          <w:noProof/>
          <w:lang w:val="en-US"/>
        </w:rPr>
        <w:drawing>
          <wp:inline distT="0" distB="0" distL="0" distR="0" wp14:anchorId="63A04DEA" wp14:editId="0D9074D9">
            <wp:extent cx="5145932" cy="3001792"/>
            <wp:effectExtent l="0" t="0" r="0" b="8255"/>
            <wp:docPr id="13214425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5145932" cy="3001792"/>
                    </a:xfrm>
                    <a:prstGeom prst="rect">
                      <a:avLst/>
                    </a:prstGeom>
                  </pic:spPr>
                </pic:pic>
              </a:graphicData>
            </a:graphic>
          </wp:inline>
        </w:drawing>
      </w:r>
    </w:p>
    <w:p w14:paraId="43482763" w14:textId="655556D0" w:rsidR="0095523E" w:rsidRPr="003A7E34" w:rsidRDefault="5E230566" w:rsidP="5E230566">
      <w:pPr>
        <w:spacing w:before="0" w:after="0"/>
        <w:jc w:val="center"/>
        <w:rPr>
          <w:rFonts w:eastAsia="Times New Roman"/>
          <w:lang w:val="en-US"/>
        </w:rPr>
      </w:pPr>
      <w:r w:rsidRPr="003A7E34">
        <w:rPr>
          <w:rFonts w:eastAsia="Times New Roman"/>
          <w:b/>
          <w:bCs/>
          <w:noProof/>
          <w:sz w:val="20"/>
          <w:szCs w:val="20"/>
          <w:lang w:val="en-US"/>
        </w:rPr>
        <w:t>Figure 4.2.2.4.</w:t>
      </w:r>
      <w:r w:rsidRPr="003A7E34">
        <w:rPr>
          <w:rFonts w:eastAsia="Times New Roman"/>
          <w:sz w:val="20"/>
          <w:szCs w:val="20"/>
          <w:lang w:val="en-US"/>
        </w:rPr>
        <w:t xml:space="preserve"> RES share distribution in transport sector, %.</w:t>
      </w:r>
    </w:p>
    <w:p w14:paraId="3D5592C5" w14:textId="7F818532" w:rsidR="00686666" w:rsidRPr="003A7E34" w:rsidRDefault="00686666" w:rsidP="00EC2C4D">
      <w:pPr>
        <w:spacing w:before="0"/>
        <w:rPr>
          <w:rFonts w:eastAsia="Times New Roman"/>
          <w:lang w:val="en-US"/>
        </w:rPr>
      </w:pPr>
    </w:p>
    <w:p w14:paraId="2306BC77" w14:textId="589CD917" w:rsidR="00F5438F" w:rsidRPr="003A7E34" w:rsidRDefault="00F5438F" w:rsidP="00EC2C4D">
      <w:pPr>
        <w:spacing w:before="0"/>
        <w:rPr>
          <w:rFonts w:eastAsia="Times New Roman"/>
          <w:lang w:val="en-US"/>
        </w:rPr>
      </w:pPr>
      <w:r w:rsidRPr="003A7E34">
        <w:rPr>
          <w:rFonts w:eastAsia="Times New Roman"/>
          <w:lang w:val="en-US"/>
        </w:rPr>
        <w:lastRenderedPageBreak/>
        <w:t>According to the study on biomass supply and demand for bioenergy purposes</w:t>
      </w:r>
      <w:r w:rsidR="00554E61" w:rsidRPr="003A7E34">
        <w:rPr>
          <w:rStyle w:val="FootnoteReference"/>
          <w:rFonts w:eastAsia="Times New Roman"/>
          <w:lang w:val="en-US"/>
        </w:rPr>
        <w:footnoteReference w:id="43"/>
      </w:r>
      <w:r w:rsidRPr="003A7E34">
        <w:rPr>
          <w:rFonts w:eastAsia="Times New Roman"/>
          <w:lang w:val="en-US"/>
        </w:rPr>
        <w:t>, the potential annual amount of woody biomass for bioenergy use is 5.8 Mm3 or 1 Mtoe, which includes the biomass not only from forest harvesting but also from wood product waste, which are suitable for bioenergy purposes. It was identified that forest biomass potential for bioenergy use is 3.5 Mm3, of which more than 1 Mm3 is still unused – a potential to increase forest biomass use for bioenergy production. The goal to increase the amount of harvest residuals (logging waste) and small non-merchantable wood used to produce bioenergy was already set in the National Forestry Development Program for 2012 - 2020. The goal was set taking into account the implementation of sustainable forest management principles without any additional subsidization from the state. Main measures to reach the goal to increase biomass production for bioenergy purposes are: information for forest owners on the economic profit from biomass production, increasing biomass production in state forest enterprises using the potential of mature residues tree stands, and increasing the use of negligible value stand wood for biomass production (improving legal preconditions).</w:t>
      </w:r>
    </w:p>
    <w:p w14:paraId="7C35FF0A" w14:textId="77777777" w:rsidR="00F5438F" w:rsidRPr="003A7E34" w:rsidRDefault="00F5438F" w:rsidP="00EC2C4D">
      <w:pPr>
        <w:spacing w:before="0"/>
        <w:rPr>
          <w:rFonts w:eastAsia="Times New Roman"/>
          <w:lang w:val="en-US"/>
        </w:rPr>
      </w:pPr>
    </w:p>
    <w:p w14:paraId="5AD556F0" w14:textId="64C1F283" w:rsidR="0095523E" w:rsidRPr="003A7E34" w:rsidRDefault="39F1765D" w:rsidP="00C42AAE">
      <w:pPr>
        <w:numPr>
          <w:ilvl w:val="3"/>
          <w:numId w:val="21"/>
        </w:numPr>
        <w:spacing w:before="0"/>
        <w:ind w:left="1560" w:hanging="284"/>
        <w:rPr>
          <w:rFonts w:eastAsia="Calibri"/>
          <w:noProof/>
          <w:lang w:val="en-US"/>
        </w:rPr>
      </w:pPr>
      <w:r w:rsidRPr="003A7E34">
        <w:rPr>
          <w:rFonts w:eastAsia="Times New Roman"/>
          <w:b/>
          <w:bCs/>
          <w:i/>
          <w:iCs/>
          <w:noProof/>
          <w:lang w:val="en-US"/>
        </w:rPr>
        <w:t>Indicative</w:t>
      </w:r>
      <w:r w:rsidRPr="003A7E34">
        <w:rPr>
          <w:rFonts w:eastAsia="Times New Roman"/>
          <w:noProof/>
          <w:lang w:val="en-US"/>
        </w:rPr>
        <w:t xml:space="preserve"> projections of development with existing policies for the year 2030 </w:t>
      </w:r>
      <w:r w:rsidRPr="003A7E34">
        <w:rPr>
          <w:rFonts w:eastAsia="Times New Roman"/>
          <w:b/>
          <w:bCs/>
          <w:i/>
          <w:iCs/>
          <w:noProof/>
          <w:lang w:val="en-US"/>
        </w:rPr>
        <w:t>(with an outlook to the year 2040)</w:t>
      </w:r>
    </w:p>
    <w:p w14:paraId="1686B536" w14:textId="2B6BCC8C" w:rsidR="0095523E" w:rsidRPr="003A7E34" w:rsidRDefault="3E8CEAD6" w:rsidP="00EC2C4D">
      <w:pPr>
        <w:spacing w:before="0"/>
        <w:rPr>
          <w:rFonts w:eastAsia="Times New Roman"/>
          <w:noProof/>
          <w:lang w:val="en-US"/>
        </w:rPr>
      </w:pPr>
      <w:r w:rsidRPr="003A7E34">
        <w:rPr>
          <w:rFonts w:eastAsia="Times New Roman"/>
          <w:b/>
          <w:bCs/>
          <w:i/>
          <w:noProof/>
          <w:lang w:val="en-US"/>
        </w:rPr>
        <w:t>Electricity sector</w:t>
      </w:r>
      <w:r w:rsidR="00EC2C4D" w:rsidRPr="003A7E34">
        <w:rPr>
          <w:rFonts w:eastAsia="Times New Roman"/>
          <w:noProof/>
          <w:lang w:val="en-US"/>
        </w:rPr>
        <w:t xml:space="preserve">. </w:t>
      </w:r>
      <w:r w:rsidRPr="003A7E34">
        <w:rPr>
          <w:rFonts w:eastAsia="Times New Roman"/>
          <w:noProof/>
          <w:lang w:val="en-US"/>
        </w:rPr>
        <w:t>By 2050, electricity generated from RES will constitute no less than 100% of power consumed in Lithuania, and the amount of energy produced from RES will be no less than 18 TWh.</w:t>
      </w:r>
    </w:p>
    <w:p w14:paraId="72F37EB7" w14:textId="2EA74E3A" w:rsidR="0095523E" w:rsidRPr="003A7E34" w:rsidRDefault="3E8CEAD6" w:rsidP="00EC2C4D">
      <w:pPr>
        <w:spacing w:before="0"/>
        <w:rPr>
          <w:rFonts w:eastAsia="Times New Roman"/>
          <w:noProof/>
          <w:lang w:val="en-US"/>
        </w:rPr>
      </w:pPr>
      <w:r w:rsidRPr="003A7E34">
        <w:rPr>
          <w:rFonts w:eastAsia="Times New Roman"/>
          <w:noProof/>
          <w:lang w:val="en-US"/>
        </w:rPr>
        <w:t xml:space="preserve">The vital prerequisite for RES development is the assurance of the required </w:t>
      </w:r>
      <w:r w:rsidR="000C2664" w:rsidRPr="003A7E34">
        <w:rPr>
          <w:rFonts w:eastAsia="Times New Roman"/>
          <w:noProof/>
          <w:lang w:val="en-US"/>
        </w:rPr>
        <w:t xml:space="preserve">adequate </w:t>
      </w:r>
      <w:r w:rsidRPr="003A7E34">
        <w:rPr>
          <w:rFonts w:eastAsia="Times New Roman"/>
          <w:noProof/>
          <w:lang w:val="en-US"/>
        </w:rPr>
        <w:t>capacities of the Lithuanian energy system. Taking into consideration the required capacity, the state will ensure the availability of reservations and other system network services by creating an appropriate regulatory environment, while the responsibility for balancing will be borne by the RES-generated electricity producers in line with the EU guidelines. Regional and international cooperation will be gradually promoted in order to reduce the costs of developing RES.</w:t>
      </w:r>
    </w:p>
    <w:p w14:paraId="37A1B780" w14:textId="0C85703B" w:rsidR="0095523E" w:rsidRPr="003A7E34" w:rsidRDefault="3E8CEAD6">
      <w:pPr>
        <w:rPr>
          <w:rFonts w:eastAsia="Times New Roman"/>
          <w:noProof/>
          <w:lang w:val="en-US"/>
        </w:rPr>
      </w:pPr>
      <w:r w:rsidRPr="003A7E34">
        <w:rPr>
          <w:rFonts w:eastAsia="Times New Roman"/>
          <w:noProof/>
          <w:lang w:val="en-US"/>
        </w:rPr>
        <w:t>Electricity self-consumers will account for at least 50% by 2050. These customers will be able to participate in the market through service providers in the energy sector. The active participation of local energy communities in investing in co-owned RES equipment will be encouraged.</w:t>
      </w:r>
    </w:p>
    <w:p w14:paraId="78577811" w14:textId="01A17B2B" w:rsidR="0095523E" w:rsidRPr="003A7E34" w:rsidRDefault="3E8CEAD6">
      <w:pPr>
        <w:rPr>
          <w:rFonts w:eastAsia="Times New Roman"/>
          <w:noProof/>
          <w:lang w:val="en-US"/>
        </w:rPr>
      </w:pPr>
      <w:r w:rsidRPr="003A7E34">
        <w:rPr>
          <w:rFonts w:eastAsia="Times New Roman"/>
          <w:b/>
          <w:bCs/>
          <w:i/>
          <w:noProof/>
          <w:lang w:val="en-US"/>
        </w:rPr>
        <w:t>Transport sector</w:t>
      </w:r>
      <w:r w:rsidR="00EC2C4D" w:rsidRPr="003A7E34">
        <w:rPr>
          <w:rFonts w:eastAsia="Times New Roman"/>
          <w:b/>
          <w:bCs/>
          <w:noProof/>
          <w:lang w:val="en-US"/>
        </w:rPr>
        <w:t xml:space="preserve">. </w:t>
      </w:r>
      <w:r w:rsidRPr="003A7E34">
        <w:rPr>
          <w:rFonts w:eastAsia="Times New Roman"/>
          <w:noProof/>
          <w:lang w:val="en-US"/>
        </w:rPr>
        <w:t>By 2050, 50% of energy consumption in the transport sector will be from RES and there will be 100% less use of cars running on traditional fuel (petroleum and diesel) in cities.</w:t>
      </w:r>
    </w:p>
    <w:p w14:paraId="2AFEC9AF" w14:textId="77777777" w:rsidR="00EC2C4D" w:rsidRPr="003A7E34" w:rsidRDefault="00EC2C4D">
      <w:pPr>
        <w:rPr>
          <w:rFonts w:eastAsia="Times New Roman"/>
          <w:noProof/>
          <w:lang w:val="en-US"/>
        </w:rPr>
      </w:pPr>
    </w:p>
    <w:p w14:paraId="3A8B8626" w14:textId="5BF6C093" w:rsidR="0095523E" w:rsidRPr="003A7E34" w:rsidRDefault="39F1765D" w:rsidP="00C42AAE">
      <w:pPr>
        <w:pStyle w:val="Heading2"/>
        <w:numPr>
          <w:ilvl w:val="1"/>
          <w:numId w:val="21"/>
        </w:numPr>
        <w:spacing w:before="0" w:after="120"/>
        <w:rPr>
          <w:rFonts w:eastAsia="Calibri" w:cs="Times New Roman"/>
          <w:noProof/>
          <w:lang w:val="en-US"/>
        </w:rPr>
      </w:pPr>
      <w:bookmarkStart w:id="153" w:name="_Toc530405591"/>
      <w:bookmarkStart w:id="154" w:name="_Toc530411822"/>
      <w:bookmarkStart w:id="155" w:name="_Toc530414171"/>
      <w:r w:rsidRPr="003A7E34">
        <w:rPr>
          <w:rFonts w:eastAsia="Times New Roman" w:cs="Times New Roman"/>
          <w:noProof/>
          <w:lang w:val="en-US"/>
        </w:rPr>
        <w:t>Dimension Energy efficiency</w:t>
      </w:r>
      <w:bookmarkEnd w:id="153"/>
      <w:bookmarkEnd w:id="154"/>
      <w:bookmarkEnd w:id="155"/>
    </w:p>
    <w:p w14:paraId="263D5243" w14:textId="600C68A8" w:rsidR="0095523E" w:rsidRPr="003A7E34" w:rsidRDefault="39F1765D" w:rsidP="00C42AAE">
      <w:pPr>
        <w:numPr>
          <w:ilvl w:val="3"/>
          <w:numId w:val="21"/>
        </w:numPr>
        <w:spacing w:before="0"/>
        <w:ind w:left="1560" w:hanging="284"/>
        <w:rPr>
          <w:rFonts w:eastAsia="Calibri"/>
          <w:noProof/>
          <w:lang w:val="en-US"/>
        </w:rPr>
      </w:pPr>
      <w:r w:rsidRPr="003A7E34">
        <w:rPr>
          <w:rFonts w:eastAsia="Times New Roman"/>
          <w:noProof/>
          <w:lang w:val="en-US"/>
        </w:rPr>
        <w:t xml:space="preserve">Current primary and final energy consumption in the economy and per sector (including industry, residential, service and transport) </w:t>
      </w:r>
    </w:p>
    <w:p w14:paraId="19898A4A" w14:textId="77777777" w:rsidR="0095523E" w:rsidRPr="003A7E34" w:rsidRDefault="39F1765D" w:rsidP="39F1765D">
      <w:pPr>
        <w:spacing w:before="0"/>
        <w:rPr>
          <w:rFonts w:eastAsia="Times New Roman"/>
          <w:noProof/>
          <w:lang w:val="en-US"/>
        </w:rPr>
      </w:pPr>
      <w:r w:rsidRPr="003A7E34">
        <w:rPr>
          <w:rFonts w:eastAsia="Times New Roman"/>
          <w:noProof/>
          <w:lang w:val="en-US"/>
        </w:rPr>
        <w:t xml:space="preserve"> In 2010-2015, the energy intensity of the country’s economy consistently decreased (primary energy – 32%, final energy – 31%), and in 2015 was the smallest among the three Baltic States at 205 kgoe/1000 EUR (in Latvia – 207 kgoe/1000 EUR, Estonia – 358 kgoe/1000 EUR). Lithuania is still behind (by about 70%) the EU average (120 kgoe/1000 EUR).</w:t>
      </w:r>
    </w:p>
    <w:p w14:paraId="4C8B0A54" w14:textId="77777777" w:rsidR="0095523E" w:rsidRPr="003A7E34" w:rsidRDefault="0095523E" w:rsidP="00441B52">
      <w:pPr>
        <w:spacing w:before="0"/>
        <w:rPr>
          <w:rFonts w:eastAsia="Times New Roman"/>
          <w:noProof/>
          <w:lang w:val="en-US"/>
        </w:rPr>
      </w:pPr>
      <w:r w:rsidRPr="003A7E34">
        <w:rPr>
          <w:rFonts w:eastAsia="Times New Roman"/>
          <w:noProof/>
          <w:lang w:val="en-US"/>
        </w:rPr>
        <w:t>In 2015 primary energy consumption of the economy was equal to 7137,6 ktoe, final energy consumption – 4863,1 ktoe. Final energy consumption in different sectors:</w:t>
      </w:r>
    </w:p>
    <w:p w14:paraId="0D18235E" w14:textId="77777777" w:rsidR="0095523E" w:rsidRPr="003A7E34" w:rsidRDefault="0095523E" w:rsidP="004A6692">
      <w:pPr>
        <w:numPr>
          <w:ilvl w:val="0"/>
          <w:numId w:val="46"/>
        </w:numPr>
        <w:spacing w:before="0" w:after="200"/>
        <w:ind w:left="714" w:hanging="357"/>
        <w:contextualSpacing/>
        <w:jc w:val="left"/>
        <w:rPr>
          <w:rFonts w:eastAsia="Calibri"/>
          <w:noProof/>
          <w:lang w:val="en-US"/>
        </w:rPr>
      </w:pPr>
      <w:r w:rsidRPr="003A7E34">
        <w:rPr>
          <w:rFonts w:eastAsia="Times New Roman"/>
          <w:noProof/>
          <w:lang w:val="en-US"/>
        </w:rPr>
        <w:t>Industry – 945.5 ktoe;</w:t>
      </w:r>
    </w:p>
    <w:p w14:paraId="7211815F" w14:textId="77777777" w:rsidR="0095523E" w:rsidRPr="003A7E34" w:rsidRDefault="0095523E" w:rsidP="004A6692">
      <w:pPr>
        <w:numPr>
          <w:ilvl w:val="0"/>
          <w:numId w:val="46"/>
        </w:numPr>
        <w:spacing w:before="0" w:after="200"/>
        <w:ind w:left="714" w:hanging="357"/>
        <w:contextualSpacing/>
        <w:jc w:val="left"/>
        <w:rPr>
          <w:rFonts w:eastAsia="Calibri"/>
          <w:noProof/>
          <w:lang w:val="en-US"/>
        </w:rPr>
      </w:pPr>
      <w:r w:rsidRPr="003A7E34">
        <w:rPr>
          <w:rFonts w:eastAsia="Times New Roman"/>
          <w:noProof/>
          <w:lang w:val="en-US"/>
        </w:rPr>
        <w:t>Residential – 1359.7 ktoe;</w:t>
      </w:r>
    </w:p>
    <w:p w14:paraId="249D0A81" w14:textId="77777777" w:rsidR="0095523E" w:rsidRPr="003A7E34" w:rsidRDefault="0095523E" w:rsidP="004A6692">
      <w:pPr>
        <w:numPr>
          <w:ilvl w:val="0"/>
          <w:numId w:val="46"/>
        </w:numPr>
        <w:spacing w:before="0" w:after="200"/>
        <w:ind w:left="714" w:hanging="357"/>
        <w:contextualSpacing/>
        <w:jc w:val="left"/>
        <w:rPr>
          <w:rFonts w:eastAsia="Calibri"/>
          <w:noProof/>
          <w:lang w:val="en-US"/>
        </w:rPr>
      </w:pPr>
      <w:r w:rsidRPr="003A7E34">
        <w:rPr>
          <w:rFonts w:eastAsia="Times New Roman"/>
          <w:noProof/>
          <w:lang w:val="en-US"/>
        </w:rPr>
        <w:t>Services – 515.4 ktoe;</w:t>
      </w:r>
    </w:p>
    <w:p w14:paraId="37A8CD68" w14:textId="77777777" w:rsidR="0095523E" w:rsidRPr="003A7E34" w:rsidRDefault="0095523E" w:rsidP="004A6692">
      <w:pPr>
        <w:numPr>
          <w:ilvl w:val="0"/>
          <w:numId w:val="46"/>
        </w:numPr>
        <w:spacing w:before="0" w:after="200"/>
        <w:ind w:left="714" w:hanging="357"/>
        <w:contextualSpacing/>
        <w:jc w:val="left"/>
        <w:rPr>
          <w:rFonts w:eastAsia="Calibri"/>
          <w:noProof/>
          <w:lang w:val="en-US"/>
        </w:rPr>
      </w:pPr>
      <w:r w:rsidRPr="003A7E34">
        <w:rPr>
          <w:rFonts w:eastAsia="Times New Roman"/>
          <w:noProof/>
          <w:lang w:val="en-US"/>
        </w:rPr>
        <w:t>Transport – 1844.4 ktoe;</w:t>
      </w:r>
    </w:p>
    <w:p w14:paraId="61DCE0C0" w14:textId="77777777" w:rsidR="0095523E" w:rsidRPr="003A7E34" w:rsidRDefault="0095523E" w:rsidP="004A6692">
      <w:pPr>
        <w:numPr>
          <w:ilvl w:val="0"/>
          <w:numId w:val="46"/>
        </w:numPr>
        <w:spacing w:before="0" w:after="200"/>
        <w:ind w:left="714" w:hanging="357"/>
        <w:contextualSpacing/>
        <w:jc w:val="left"/>
        <w:rPr>
          <w:rFonts w:eastAsia="Calibri"/>
          <w:noProof/>
          <w:lang w:val="en-US"/>
        </w:rPr>
      </w:pPr>
      <w:r w:rsidRPr="003A7E34">
        <w:rPr>
          <w:rFonts w:eastAsia="Times New Roman"/>
          <w:noProof/>
          <w:lang w:val="en-US"/>
        </w:rPr>
        <w:lastRenderedPageBreak/>
        <w:t>Agriculture – 97,9 ktone;</w:t>
      </w:r>
    </w:p>
    <w:p w14:paraId="71A71B03" w14:textId="6A6EC632" w:rsidR="0095523E" w:rsidRPr="003A7E34" w:rsidRDefault="39F1765D" w:rsidP="004A6692">
      <w:pPr>
        <w:numPr>
          <w:ilvl w:val="0"/>
          <w:numId w:val="46"/>
        </w:numPr>
        <w:spacing w:before="0" w:after="200"/>
        <w:ind w:left="714" w:hanging="357"/>
        <w:contextualSpacing/>
        <w:jc w:val="left"/>
        <w:rPr>
          <w:rFonts w:eastAsia="Calibri"/>
          <w:noProof/>
          <w:lang w:val="en-US"/>
        </w:rPr>
      </w:pPr>
      <w:r w:rsidRPr="003A7E34">
        <w:rPr>
          <w:rFonts w:eastAsia="Times New Roman"/>
          <w:noProof/>
          <w:lang w:val="en-US"/>
        </w:rPr>
        <w:t>Construction – 37.9 ktoe.</w:t>
      </w:r>
    </w:p>
    <w:p w14:paraId="32C42632" w14:textId="77777777" w:rsidR="0095523E" w:rsidRPr="003A7E34" w:rsidRDefault="0095523E" w:rsidP="00EA50D6">
      <w:pPr>
        <w:spacing w:before="0" w:after="200"/>
        <w:ind w:left="1560"/>
        <w:contextualSpacing/>
        <w:rPr>
          <w:rFonts w:eastAsia="Times New Roman"/>
          <w:noProof/>
          <w:lang w:val="en-US"/>
        </w:rPr>
      </w:pPr>
    </w:p>
    <w:p w14:paraId="29FA196B" w14:textId="77777777" w:rsidR="0095523E" w:rsidRPr="003A7E34" w:rsidRDefault="0095523E" w:rsidP="00C42AAE">
      <w:pPr>
        <w:numPr>
          <w:ilvl w:val="3"/>
          <w:numId w:val="21"/>
        </w:numPr>
        <w:spacing w:before="0"/>
        <w:ind w:left="1560" w:hanging="284"/>
        <w:rPr>
          <w:rFonts w:eastAsia="Calibri"/>
          <w:noProof/>
          <w:lang w:val="en-US"/>
        </w:rPr>
      </w:pPr>
      <w:r w:rsidRPr="003A7E34">
        <w:rPr>
          <w:rFonts w:eastAsia="Times New Roman"/>
          <w:noProof/>
          <w:lang w:val="en-US"/>
        </w:rPr>
        <w:t>Current potential for the application of high-efficiency cogeneration and efficient district heating and cooling</w:t>
      </w:r>
      <w:r w:rsidRPr="003A7E34">
        <w:rPr>
          <w:rFonts w:eastAsia="Times New Roman"/>
          <w:noProof/>
          <w:vertAlign w:val="superscript"/>
          <w:lang w:val="en-US"/>
        </w:rPr>
        <w:footnoteReference w:id="44"/>
      </w:r>
    </w:p>
    <w:p w14:paraId="1A762DFF" w14:textId="1AC48A1D" w:rsidR="48589A2F" w:rsidRPr="003A7E34" w:rsidRDefault="48589A2F" w:rsidP="00AA5EBA">
      <w:pPr>
        <w:spacing w:before="0"/>
        <w:rPr>
          <w:rFonts w:eastAsia="Times New Roman"/>
          <w:noProof/>
          <w:lang w:val="en-US"/>
        </w:rPr>
      </w:pPr>
      <w:r w:rsidRPr="003A7E34">
        <w:rPr>
          <w:rFonts w:eastAsia="Times New Roman"/>
          <w:noProof/>
          <w:lang w:val="en-US"/>
        </w:rPr>
        <w:t xml:space="preserve"> In 2016, 3.6 TWh of heat energy was generated in CHP plants. It accounted for about 41% of the total heat energy produced in the DHS system. The installed electric capacities of biofuel and waste fired CHP plants are 79 MW. In implementing the National Programme for Heat Sector Development in 2015–2021, approved by the Government of the Republic of Lithuania on 18 March 2015 by Resolution No. 284 “On the approval of the National Programme for Heat Sector Development in 2015-2021”, high-efficiency biofuel- and municipal waste-fired Vilnius CHP plant with a heat capacity of 229 MW and an electricity capacity of 92 MW, and a waste-fired Kaunas CHP plant with a heat capacity of 70 MW and an electricity capacity of 24 MW power plant by 2020 Kaunas waste heat generating power plant burning waste are expected to be built. These CHP plants are expected to satisfy around 40% of Vilnius and Kaunas district heat needs.</w:t>
      </w:r>
    </w:p>
    <w:p w14:paraId="29E45E50" w14:textId="752D2270" w:rsidR="48589A2F" w:rsidRPr="003A7E34" w:rsidRDefault="48589A2F" w:rsidP="00AA5EBA">
      <w:pPr>
        <w:spacing w:before="0"/>
        <w:rPr>
          <w:rFonts w:eastAsia="Times New Roman"/>
          <w:noProof/>
          <w:lang w:val="en-US"/>
        </w:rPr>
      </w:pPr>
      <w:r w:rsidRPr="003A7E34">
        <w:rPr>
          <w:rFonts w:eastAsia="Times New Roman"/>
          <w:noProof/>
          <w:lang w:val="en-US"/>
        </w:rPr>
        <w:t>The centralised cooling network in Lithuania is not developed. Residential and commercial premises are cooled independently, using electricity. The preliminary annual cooling demand in Lithuania ranges from 5 to 6 TWh. The need was determined based on the assumption that the cooling demand in Lithuania, given its climatic conditions, is ~60 kWh/m2 per year. However, in order to develop this sector, one should consider the fact that it would only be useful to do this when connecting to the network buildings that already have a centralised (common mechanical) ventilation system, such as offices, supermarkets and new high energy class multi-apartment buildings, as investments in old multi-apartment buildings to take advantage of centralised cooling supply would be unreasonably high. In this case, the annual cooling demand would be reduced to 2-3 TWh.</w:t>
      </w:r>
    </w:p>
    <w:p w14:paraId="7AD4A306" w14:textId="77777777" w:rsidR="0095523E" w:rsidRPr="003A7E34" w:rsidRDefault="0095523E" w:rsidP="00C42AAE">
      <w:pPr>
        <w:numPr>
          <w:ilvl w:val="3"/>
          <w:numId w:val="21"/>
        </w:numPr>
        <w:spacing w:before="0" w:after="200"/>
        <w:ind w:left="1560" w:hanging="284"/>
        <w:contextualSpacing/>
        <w:rPr>
          <w:rFonts w:eastAsia="Calibri"/>
          <w:noProof/>
          <w:lang w:val="en-US"/>
        </w:rPr>
      </w:pPr>
      <w:r w:rsidRPr="003A7E34">
        <w:rPr>
          <w:rFonts w:eastAsia="Times New Roman"/>
          <w:noProof/>
          <w:lang w:val="en-US"/>
        </w:rPr>
        <w:t>Projections considering existing energy efficiency policies, measures and programmes as described in point 1.2.(ii) for primary and final energy consumption for each sector at least until 2040 (including for the year 2030)</w:t>
      </w:r>
      <w:r w:rsidRPr="003A7E34">
        <w:rPr>
          <w:rFonts w:eastAsia="Times New Roman"/>
          <w:noProof/>
          <w:vertAlign w:val="superscript"/>
          <w:lang w:val="en-US"/>
        </w:rPr>
        <w:footnoteReference w:id="45"/>
      </w:r>
    </w:p>
    <w:p w14:paraId="00E6ACF7" w14:textId="7130EF85" w:rsidR="3D9A4349" w:rsidRPr="003A7E34" w:rsidRDefault="3D9A4349" w:rsidP="3D9A4349">
      <w:pPr>
        <w:rPr>
          <w:lang w:val="en-US"/>
        </w:rPr>
      </w:pPr>
      <w:r w:rsidRPr="003A7E34">
        <w:rPr>
          <w:rFonts w:eastAsia="Times New Roman"/>
          <w:noProof/>
          <w:lang w:val="en-US"/>
        </w:rPr>
        <w:t>This part to be defined in the final version of the Plan.</w:t>
      </w:r>
    </w:p>
    <w:p w14:paraId="09ED4679" w14:textId="77777777" w:rsidR="0095523E" w:rsidRPr="003A7E34" w:rsidRDefault="3D9A4349" w:rsidP="00C42AAE">
      <w:pPr>
        <w:numPr>
          <w:ilvl w:val="3"/>
          <w:numId w:val="21"/>
        </w:numPr>
        <w:spacing w:before="0" w:after="200"/>
        <w:ind w:left="1560" w:hanging="284"/>
        <w:contextualSpacing/>
        <w:rPr>
          <w:rFonts w:eastAsia="Calibri"/>
          <w:noProof/>
          <w:lang w:val="en-US"/>
        </w:rPr>
      </w:pPr>
      <w:r w:rsidRPr="003A7E34">
        <w:rPr>
          <w:rFonts w:eastAsia="Times New Roman"/>
          <w:noProof/>
          <w:lang w:val="en-US"/>
        </w:rPr>
        <w:t>Cost-optimal levels of minimum energy performance requirements resulting from national calculations, in accordance with Article 5 of Directive 2010/31/EU</w:t>
      </w:r>
    </w:p>
    <w:p w14:paraId="118AC0CC" w14:textId="1EFAC138" w:rsidR="3D9A4349" w:rsidRPr="003A7E34" w:rsidRDefault="3D9A4349" w:rsidP="3D9A4349">
      <w:pPr>
        <w:rPr>
          <w:lang w:val="en-US"/>
        </w:rPr>
      </w:pPr>
      <w:r w:rsidRPr="003A7E34">
        <w:rPr>
          <w:rFonts w:eastAsia="Times New Roman"/>
          <w:noProof/>
          <w:lang w:val="en-US"/>
        </w:rPr>
        <w:t>This part to be defined in the final version of the Plan.</w:t>
      </w:r>
    </w:p>
    <w:p w14:paraId="7BCFB9C5" w14:textId="5F798698" w:rsidR="3D9A4349" w:rsidRPr="003A7E34" w:rsidRDefault="3D9A4349" w:rsidP="3D9A4349">
      <w:pPr>
        <w:rPr>
          <w:rFonts w:eastAsia="Times New Roman"/>
          <w:noProof/>
          <w:lang w:val="en-US"/>
        </w:rPr>
      </w:pPr>
    </w:p>
    <w:p w14:paraId="6E53470D" w14:textId="4D6992DE" w:rsidR="0095523E" w:rsidRPr="003A7E34" w:rsidRDefault="3D9A4349" w:rsidP="00C42AAE">
      <w:pPr>
        <w:pStyle w:val="Heading2"/>
        <w:numPr>
          <w:ilvl w:val="1"/>
          <w:numId w:val="21"/>
        </w:numPr>
        <w:spacing w:before="0" w:after="200"/>
        <w:contextualSpacing/>
        <w:rPr>
          <w:rFonts w:eastAsia="Calibri" w:cs="Times New Roman"/>
          <w:noProof/>
          <w:lang w:val="en-US"/>
        </w:rPr>
      </w:pPr>
      <w:bookmarkStart w:id="156" w:name="_Toc530405592"/>
      <w:bookmarkStart w:id="157" w:name="_Toc530411823"/>
      <w:bookmarkStart w:id="158" w:name="_Toc530414172"/>
      <w:r w:rsidRPr="003A7E34">
        <w:rPr>
          <w:rFonts w:eastAsia="Times New Roman" w:cs="Times New Roman"/>
          <w:noProof/>
          <w:lang w:val="en-US"/>
        </w:rPr>
        <w:t>Dimension energy security</w:t>
      </w:r>
      <w:bookmarkEnd w:id="156"/>
      <w:bookmarkEnd w:id="157"/>
      <w:bookmarkEnd w:id="158"/>
    </w:p>
    <w:p w14:paraId="0BD9AF2B" w14:textId="77777777" w:rsidR="0095523E" w:rsidRPr="003A7E34" w:rsidRDefault="3D9A4349" w:rsidP="00C42AAE">
      <w:pPr>
        <w:numPr>
          <w:ilvl w:val="3"/>
          <w:numId w:val="21"/>
        </w:numPr>
        <w:spacing w:before="0" w:after="200"/>
        <w:ind w:left="1560" w:hanging="284"/>
        <w:contextualSpacing/>
        <w:rPr>
          <w:rFonts w:eastAsia="Calibri"/>
          <w:noProof/>
          <w:lang w:val="en-US"/>
        </w:rPr>
      </w:pPr>
      <w:r w:rsidRPr="003A7E34">
        <w:rPr>
          <w:rFonts w:eastAsia="Times New Roman"/>
          <w:noProof/>
          <w:lang w:val="en-US"/>
        </w:rPr>
        <w:t>Current energy mix, domestic energy resources, import dependency, including relevant risks</w:t>
      </w:r>
    </w:p>
    <w:p w14:paraId="36A2B717" w14:textId="77777777" w:rsidR="0005280D" w:rsidRPr="003A7E34" w:rsidRDefault="0005280D" w:rsidP="0005280D">
      <w:pPr>
        <w:rPr>
          <w:rFonts w:eastAsia="Times New Roman"/>
          <w:noProof/>
          <w:lang w:val="en-US"/>
        </w:rPr>
      </w:pPr>
    </w:p>
    <w:p w14:paraId="1B56C540" w14:textId="003ECC20" w:rsidR="0005280D" w:rsidRPr="003A7E34" w:rsidRDefault="0005280D" w:rsidP="00796633">
      <w:pPr>
        <w:jc w:val="center"/>
        <w:rPr>
          <w:b/>
          <w:bCs/>
          <w:sz w:val="20"/>
          <w:szCs w:val="20"/>
          <w:lang w:val="en-US"/>
        </w:rPr>
      </w:pPr>
      <w:r>
        <w:rPr>
          <w:noProof/>
          <w:lang w:val="en-US"/>
        </w:rPr>
        <w:lastRenderedPageBreak/>
        <w:drawing>
          <wp:inline distT="0" distB="0" distL="0" distR="0" wp14:anchorId="619039E0" wp14:editId="75092708">
            <wp:extent cx="6115050" cy="2619375"/>
            <wp:effectExtent l="0" t="0" r="0" b="0"/>
            <wp:docPr id="1150234146" name="picture"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8">
                      <a:extLst>
                        <a:ext uri="{28A0092B-C50C-407E-A947-70E740481C1C}">
                          <a14:useLocalDpi xmlns:a14="http://schemas.microsoft.com/office/drawing/2010/main" val="0"/>
                        </a:ext>
                      </a:extLst>
                    </a:blip>
                    <a:stretch>
                      <a:fillRect/>
                    </a:stretch>
                  </pic:blipFill>
                  <pic:spPr>
                    <a:xfrm>
                      <a:off x="0" y="0"/>
                      <a:ext cx="6115050" cy="2619375"/>
                    </a:xfrm>
                    <a:prstGeom prst="rect">
                      <a:avLst/>
                    </a:prstGeom>
                  </pic:spPr>
                </pic:pic>
              </a:graphicData>
            </a:graphic>
          </wp:inline>
        </w:drawing>
      </w:r>
      <w:r w:rsidRPr="003A7E34">
        <w:rPr>
          <w:b/>
          <w:bCs/>
          <w:sz w:val="20"/>
          <w:szCs w:val="20"/>
          <w:lang w:val="en-US"/>
        </w:rPr>
        <w:t xml:space="preserve">Figure 1.1.3. </w:t>
      </w:r>
      <w:r w:rsidRPr="003A7E34">
        <w:rPr>
          <w:sz w:val="20"/>
          <w:szCs w:val="20"/>
          <w:lang w:val="en-US"/>
        </w:rPr>
        <w:t>Energy import dependency</w:t>
      </w:r>
    </w:p>
    <w:p w14:paraId="6AD9DE32" w14:textId="77777777" w:rsidR="0005280D" w:rsidRPr="003A7E34" w:rsidRDefault="0005280D" w:rsidP="0005280D">
      <w:pPr>
        <w:rPr>
          <w:b/>
          <w:bCs/>
          <w:sz w:val="20"/>
          <w:szCs w:val="20"/>
          <w:lang w:val="en-US"/>
        </w:rPr>
      </w:pPr>
    </w:p>
    <w:p w14:paraId="432E1BF9" w14:textId="77777777" w:rsidR="0005280D" w:rsidRPr="003A7E34" w:rsidRDefault="0005280D" w:rsidP="0005280D">
      <w:pPr>
        <w:rPr>
          <w:rFonts w:eastAsia="Times New Roman"/>
          <w:noProof/>
          <w:lang w:val="en-US"/>
        </w:rPr>
      </w:pPr>
      <w:r w:rsidRPr="003A7E34">
        <w:rPr>
          <w:rFonts w:eastAsia="Times New Roman"/>
          <w:b/>
          <w:bCs/>
          <w:i/>
          <w:iCs/>
          <w:noProof/>
          <w:lang w:val="en-US"/>
        </w:rPr>
        <w:t>Natural gas</w:t>
      </w:r>
      <w:r w:rsidRPr="003A7E34">
        <w:rPr>
          <w:rFonts w:eastAsia="Times New Roman"/>
          <w:noProof/>
          <w:lang w:val="en-US"/>
        </w:rPr>
        <w:t xml:space="preserve">. Lithuania is highly dependent on energy imports, the vast majority of which are coming from Russia. In 2015, 78% of Lithuania's energy consumption came from imports, of which about 83% came from Russia. However, for natural gas, the Liquefied Natural Gas (LNG) terminal in Klaipėda that started operating in December 2014 is already helping greatly to diversify gas imports. </w:t>
      </w:r>
    </w:p>
    <w:p w14:paraId="5AF40A61" w14:textId="77777777" w:rsidR="0005280D" w:rsidRPr="003A7E34" w:rsidRDefault="0005280D" w:rsidP="0005280D">
      <w:pPr>
        <w:rPr>
          <w:rFonts w:eastAsia="Times New Roman"/>
          <w:noProof/>
          <w:lang w:val="en-US"/>
        </w:rPr>
      </w:pPr>
      <w:r w:rsidRPr="003A7E34">
        <w:rPr>
          <w:rFonts w:eastAsia="Times New Roman"/>
          <w:noProof/>
          <w:lang w:val="en-US"/>
        </w:rPr>
        <w:t xml:space="preserve">On the upstream gas market, the Klaipėda LNG terminal is sufficient to cover around 90% of all current demand of the three Baltic States.The gas pipeline Klaipėda-Kuršėnai is also fully functional, but the work on the gas interconnector pipeline with Poland (known as GIPL) is behind schedule. This pipeline will connect the Baltic countries with the continental European gas network for the first time and is essential for the development of the regional market for natural gas. Analysis indicates that </w:t>
      </w:r>
      <w:r w:rsidRPr="003A7E34">
        <w:rPr>
          <w:rFonts w:eastAsia="Times New Roman"/>
          <w:noProof/>
          <w:u w:val="single"/>
          <w:lang w:val="en-US"/>
        </w:rPr>
        <w:t>one regional LNG terminal</w:t>
      </w:r>
      <w:r w:rsidRPr="003A7E34">
        <w:rPr>
          <w:rFonts w:eastAsia="Times New Roman"/>
          <w:noProof/>
          <w:lang w:val="en-US"/>
        </w:rPr>
        <w:t xml:space="preserve">, together with the pipeline projects that are being built in the region (with substantial EU financial support), including the GIPL (Poland-Lithuania) and the Baltic connector (Estonia-Finland), are sufficient to cover future supply needs of the region. </w:t>
      </w:r>
    </w:p>
    <w:p w14:paraId="5F3F0CCB" w14:textId="77777777" w:rsidR="0005280D" w:rsidRPr="003A7E34" w:rsidRDefault="0005280D" w:rsidP="0005280D">
      <w:pPr>
        <w:rPr>
          <w:rFonts w:eastAsia="Times New Roman"/>
          <w:noProof/>
          <w:lang w:val="en-US"/>
        </w:rPr>
      </w:pPr>
      <w:r w:rsidRPr="003A7E34">
        <w:rPr>
          <w:rFonts w:eastAsia="Times New Roman"/>
          <w:b/>
          <w:bCs/>
          <w:i/>
          <w:iCs/>
          <w:noProof/>
          <w:lang w:val="en-US"/>
        </w:rPr>
        <w:t>Electricity.</w:t>
      </w:r>
      <w:r w:rsidRPr="003A7E34">
        <w:rPr>
          <w:rFonts w:eastAsia="Times New Roman"/>
          <w:noProof/>
          <w:lang w:val="en-US"/>
        </w:rPr>
        <w:t xml:space="preserve"> Lithuania is part of the Nordic and Baltic wholesale electricity market. The interconnection capacity for electricity in the Baltic States increased to 23.7% in 2017, exceeding the 10% target. This was possible thanks to the commissioning of electricity interconnections with Finland via the Estlink2, with Poland via LitPol Link and with Sweden via NordBalt. </w:t>
      </w:r>
    </w:p>
    <w:p w14:paraId="10DAB49F" w14:textId="77777777" w:rsidR="0005280D" w:rsidRPr="003A7E34" w:rsidRDefault="0005280D" w:rsidP="0005280D">
      <w:pPr>
        <w:rPr>
          <w:rFonts w:eastAsia="Times New Roman"/>
          <w:noProof/>
          <w:lang w:val="en-US"/>
        </w:rPr>
      </w:pPr>
      <w:r w:rsidRPr="003A7E34">
        <w:rPr>
          <w:rFonts w:eastAsia="Times New Roman"/>
          <w:noProof/>
          <w:lang w:val="en-US"/>
        </w:rPr>
        <w:t>Electricity interconnections and gas imports diversification had a positive impact on energy prices, despite the very high concentration on the wholesale gas market. Better interconnections and the diversification of gas imports via the LNG terminal have increased competition and benefitted Lithuanian electricity and gas consumers (as well as Latvian and Estonian consumers). In 2016, households' electricity and gas prices in Lithuania were already below the EU average.</w:t>
      </w:r>
    </w:p>
    <w:p w14:paraId="314FE851" w14:textId="77777777" w:rsidR="0005280D" w:rsidRPr="003A7E34" w:rsidRDefault="0005280D" w:rsidP="0005280D">
      <w:pPr>
        <w:rPr>
          <w:rFonts w:eastAsia="Times New Roman"/>
          <w:noProof/>
          <w:lang w:val="en-US"/>
        </w:rPr>
      </w:pPr>
      <w:r w:rsidRPr="003A7E34">
        <w:rPr>
          <w:rFonts w:eastAsia="Times New Roman"/>
          <w:noProof/>
          <w:lang w:val="en-US"/>
        </w:rPr>
        <w:t xml:space="preserve">The next main objective for Lithuania is to synchronise its electricity systems with the European network. For historical reasons, the Baltic States are today operated in a synchronous mode forming the so-called BRELL ring (Belarus-Russia-Estonia-Latvia-Lithuania). The three Baltic States aim to synchronise their grids with the European network by 2025. The core of the work is being carried out within the Baltic Energy Market Interconnection Plan (BEMIP). A dedicated BEMIP working Group was set up supported by the Commission to work on the identification of the most cost-efficient synchronisation scenario that ensures system stability. The infrastructure element of the synchronisation of the Baltic States' electricity system with the European network has beenincluded in the third list of projects of common interest. </w:t>
      </w:r>
    </w:p>
    <w:p w14:paraId="62461BBB" w14:textId="77777777" w:rsidR="0005280D" w:rsidRPr="003A7E34" w:rsidRDefault="0005280D" w:rsidP="3D9A4349">
      <w:pPr>
        <w:rPr>
          <w:lang w:val="en-US"/>
        </w:rPr>
      </w:pPr>
    </w:p>
    <w:p w14:paraId="4A6C6149" w14:textId="793C5A67" w:rsidR="0095523E" w:rsidRPr="003A7E34" w:rsidRDefault="3D9A4349" w:rsidP="00C42AAE">
      <w:pPr>
        <w:numPr>
          <w:ilvl w:val="3"/>
          <w:numId w:val="21"/>
        </w:numPr>
        <w:spacing w:before="0" w:after="200"/>
        <w:ind w:left="1560" w:hanging="284"/>
        <w:contextualSpacing/>
        <w:rPr>
          <w:rFonts w:eastAsia="Calibri"/>
          <w:noProof/>
          <w:lang w:val="en-US"/>
        </w:rPr>
      </w:pPr>
      <w:r w:rsidRPr="003A7E34">
        <w:rPr>
          <w:rFonts w:eastAsia="Times New Roman"/>
          <w:noProof/>
          <w:lang w:val="en-US"/>
        </w:rPr>
        <w:t>Projections of development with existing policies and measures at least until 2040 (including for the year 2030)</w:t>
      </w:r>
    </w:p>
    <w:p w14:paraId="71A089BB" w14:textId="514D3B05" w:rsidR="3D9A4349" w:rsidRPr="003A7E34" w:rsidRDefault="3D9A4349" w:rsidP="3D9A4349">
      <w:pPr>
        <w:rPr>
          <w:lang w:val="en-US"/>
        </w:rPr>
      </w:pPr>
      <w:r w:rsidRPr="003A7E34">
        <w:rPr>
          <w:rFonts w:eastAsia="Times New Roman"/>
          <w:noProof/>
          <w:lang w:val="en-US"/>
        </w:rPr>
        <w:t>This part to be defined in the final version of the Plan.</w:t>
      </w:r>
    </w:p>
    <w:p w14:paraId="3ADCFC7F" w14:textId="1B6523A5" w:rsidR="0095523E" w:rsidRPr="003A7E34" w:rsidRDefault="0095523E" w:rsidP="00EA50D6">
      <w:pPr>
        <w:spacing w:before="0" w:after="160" w:line="259" w:lineRule="auto"/>
        <w:jc w:val="left"/>
        <w:rPr>
          <w:rFonts w:eastAsia="Times New Roman"/>
          <w:b/>
          <w:bCs/>
          <w:noProof/>
          <w:lang w:val="en-US"/>
        </w:rPr>
      </w:pPr>
    </w:p>
    <w:p w14:paraId="4ACF58D8" w14:textId="3D9ECE45" w:rsidR="0095523E" w:rsidRPr="003A7E34" w:rsidRDefault="0095523E" w:rsidP="00C42AAE">
      <w:pPr>
        <w:pStyle w:val="Heading2"/>
        <w:numPr>
          <w:ilvl w:val="1"/>
          <w:numId w:val="21"/>
        </w:numPr>
        <w:rPr>
          <w:rFonts w:eastAsia="Calibri" w:cs="Times New Roman"/>
          <w:noProof/>
          <w:lang w:val="en-US"/>
        </w:rPr>
      </w:pPr>
      <w:bookmarkStart w:id="159" w:name="_Toc530405593"/>
      <w:bookmarkStart w:id="160" w:name="_Toc530411824"/>
      <w:bookmarkStart w:id="161" w:name="_Toc530414173"/>
      <w:r w:rsidRPr="003A7E34">
        <w:rPr>
          <w:rFonts w:eastAsia="Times New Roman" w:cs="Times New Roman"/>
          <w:noProof/>
          <w:lang w:val="en-US"/>
        </w:rPr>
        <w:t>Dimension internal energy market</w:t>
      </w:r>
      <w:bookmarkEnd w:id="159"/>
      <w:bookmarkEnd w:id="160"/>
      <w:bookmarkEnd w:id="161"/>
    </w:p>
    <w:p w14:paraId="2CD8D2FF" w14:textId="4BDEBFE7" w:rsidR="0095523E" w:rsidRPr="003A7E34" w:rsidRDefault="0095523E" w:rsidP="00C42AAE">
      <w:pPr>
        <w:pStyle w:val="Heading3"/>
        <w:numPr>
          <w:ilvl w:val="2"/>
          <w:numId w:val="21"/>
        </w:numPr>
        <w:rPr>
          <w:rFonts w:eastAsia="Calibri" w:cs="Times New Roman"/>
          <w:noProof/>
          <w:lang w:val="en-US"/>
        </w:rPr>
      </w:pPr>
      <w:bookmarkStart w:id="162" w:name="_Toc530405594"/>
      <w:bookmarkStart w:id="163" w:name="_Toc530411825"/>
      <w:bookmarkStart w:id="164" w:name="_Toc530414174"/>
      <w:r w:rsidRPr="003A7E34">
        <w:rPr>
          <w:rFonts w:eastAsia="Times New Roman" w:cs="Times New Roman"/>
          <w:noProof/>
          <w:lang w:val="en-US"/>
        </w:rPr>
        <w:t>Electricity interconnectivity</w:t>
      </w:r>
      <w:bookmarkEnd w:id="162"/>
      <w:bookmarkEnd w:id="163"/>
      <w:bookmarkEnd w:id="164"/>
      <w:r w:rsidRPr="003A7E34">
        <w:rPr>
          <w:rFonts w:eastAsia="Times New Roman" w:cs="Times New Roman"/>
          <w:noProof/>
          <w:lang w:val="en-US"/>
        </w:rPr>
        <w:t xml:space="preserve"> </w:t>
      </w:r>
    </w:p>
    <w:p w14:paraId="07FF6FBF" w14:textId="4B72E420" w:rsidR="0095523E" w:rsidRPr="003A7E34" w:rsidRDefault="0095523E" w:rsidP="00C42AAE">
      <w:pPr>
        <w:numPr>
          <w:ilvl w:val="3"/>
          <w:numId w:val="21"/>
        </w:numPr>
        <w:spacing w:before="0" w:after="200"/>
        <w:ind w:left="1560" w:hanging="284"/>
        <w:contextualSpacing/>
        <w:rPr>
          <w:rFonts w:eastAsia="Calibri"/>
          <w:noProof/>
          <w:lang w:val="en-US"/>
        </w:rPr>
      </w:pPr>
      <w:r w:rsidRPr="003A7E34">
        <w:rPr>
          <w:rFonts w:eastAsia="Times New Roman"/>
          <w:noProof/>
          <w:lang w:val="en-US"/>
        </w:rPr>
        <w:t>Current interconnection level and main interconnectors</w:t>
      </w:r>
      <w:r w:rsidRPr="003A7E34">
        <w:rPr>
          <w:rFonts w:eastAsia="Times New Roman"/>
          <w:noProof/>
          <w:vertAlign w:val="superscript"/>
          <w:lang w:val="en-US"/>
        </w:rPr>
        <w:footnoteReference w:id="46"/>
      </w:r>
      <w:r w:rsidR="00D871C8" w:rsidRPr="003A7E34">
        <w:rPr>
          <w:rFonts w:eastAsia="Times New Roman"/>
          <w:noProof/>
          <w:vertAlign w:val="superscript"/>
          <w:lang w:val="en-US"/>
        </w:rPr>
        <w:t xml:space="preserve"> </w:t>
      </w:r>
    </w:p>
    <w:p w14:paraId="6D6EA9D5" w14:textId="77777777" w:rsidR="0095523E" w:rsidRPr="003A7E34" w:rsidRDefault="0095523E" w:rsidP="00EA50D6">
      <w:pPr>
        <w:spacing w:before="0" w:after="200"/>
        <w:ind w:left="1560"/>
        <w:contextualSpacing/>
        <w:rPr>
          <w:rFonts w:eastAsia="Times New Roman"/>
          <w:noProof/>
          <w:lang w:val="en-US"/>
        </w:rPr>
      </w:pPr>
    </w:p>
    <w:p w14:paraId="49763A1A" w14:textId="77777777" w:rsidR="0095523E" w:rsidRPr="003A7E34" w:rsidRDefault="0095523E">
      <w:pPr>
        <w:jc w:val="left"/>
        <w:rPr>
          <w:rFonts w:eastAsia="Times New Roman"/>
          <w:noProof/>
          <w:lang w:val="en-US"/>
        </w:rPr>
      </w:pPr>
      <w:r w:rsidRPr="003A7E34">
        <w:rPr>
          <w:rFonts w:eastAsia="Times New Roman"/>
          <w:noProof/>
          <w:lang w:val="en-US"/>
        </w:rPr>
        <w:t>Currently, electric power system of Lithuania is directly connected with five neighbouring countries:</w:t>
      </w:r>
    </w:p>
    <w:p w14:paraId="579FDCAC" w14:textId="77777777" w:rsidR="0095523E" w:rsidRPr="003A7E34" w:rsidRDefault="0095523E" w:rsidP="007B1F6D">
      <w:pPr>
        <w:pStyle w:val="ListParagraph"/>
        <w:numPr>
          <w:ilvl w:val="0"/>
          <w:numId w:val="48"/>
        </w:numPr>
        <w:spacing w:after="0" w:line="240" w:lineRule="auto"/>
        <w:ind w:left="1009" w:hanging="357"/>
        <w:rPr>
          <w:rFonts w:ascii="Times New Roman" w:eastAsia="Calibri" w:hAnsi="Times New Roman" w:cs="Times New Roman"/>
          <w:noProof/>
          <w:lang w:val="en-US"/>
        </w:rPr>
      </w:pPr>
      <w:r w:rsidRPr="003A7E34">
        <w:rPr>
          <w:rFonts w:ascii="Times New Roman" w:eastAsia="Times New Roman" w:hAnsi="Times New Roman" w:cs="Times New Roman"/>
          <w:noProof/>
          <w:lang w:val="en-US"/>
        </w:rPr>
        <w:t>Sweden – electric system connected with “NordBalt” high voltage direct current interconnection with capacity of 700 MW;</w:t>
      </w:r>
    </w:p>
    <w:p w14:paraId="2AE19B89" w14:textId="77777777" w:rsidR="0095523E" w:rsidRPr="003A7E34" w:rsidRDefault="0095523E" w:rsidP="007B1F6D">
      <w:pPr>
        <w:numPr>
          <w:ilvl w:val="0"/>
          <w:numId w:val="47"/>
        </w:numPr>
        <w:spacing w:before="0" w:after="0"/>
        <w:jc w:val="left"/>
        <w:rPr>
          <w:rFonts w:eastAsia="Calibri"/>
          <w:noProof/>
          <w:lang w:val="en-US"/>
        </w:rPr>
      </w:pPr>
      <w:r w:rsidRPr="003A7E34">
        <w:rPr>
          <w:rFonts w:eastAsia="Times New Roman"/>
          <w:noProof/>
          <w:lang w:val="en-US"/>
        </w:rPr>
        <w:t>Poland - electric system connected with 400 kV double-circle line “LitPol Link”, which operates through direct current converter. Capacity of converter – 500 MW, thus total interconnection capacity – 500 MW.</w:t>
      </w:r>
    </w:p>
    <w:p w14:paraId="2C18A393" w14:textId="77777777" w:rsidR="0095523E" w:rsidRPr="003A7E34" w:rsidRDefault="0095523E" w:rsidP="007B1F6D">
      <w:pPr>
        <w:numPr>
          <w:ilvl w:val="0"/>
          <w:numId w:val="47"/>
        </w:numPr>
        <w:spacing w:before="0" w:after="0"/>
        <w:jc w:val="left"/>
        <w:rPr>
          <w:rFonts w:eastAsia="Calibri"/>
          <w:noProof/>
          <w:lang w:val="en-US"/>
        </w:rPr>
      </w:pPr>
      <w:r w:rsidRPr="003A7E34">
        <w:rPr>
          <w:rFonts w:eastAsia="Times New Roman"/>
          <w:noProof/>
          <w:lang w:val="en-US"/>
        </w:rPr>
        <w:t>Latvia – electric system connected by four 330 kV and three 110 kV transmission lines. Section capacity is 1500 MW (Latvia – Lithuania) and 1200 MW (Lithuania – Latvia).</w:t>
      </w:r>
    </w:p>
    <w:p w14:paraId="2191FE2C" w14:textId="3C6046F4" w:rsidR="00F05777" w:rsidRPr="003A7E34" w:rsidRDefault="0095523E" w:rsidP="007B1F6D">
      <w:pPr>
        <w:numPr>
          <w:ilvl w:val="0"/>
          <w:numId w:val="47"/>
        </w:numPr>
        <w:spacing w:before="0" w:after="0"/>
        <w:jc w:val="left"/>
        <w:rPr>
          <w:rFonts w:eastAsia="Calibri"/>
          <w:noProof/>
          <w:lang w:val="en-US"/>
        </w:rPr>
      </w:pPr>
      <w:r w:rsidRPr="003A7E34">
        <w:rPr>
          <w:rFonts w:eastAsia="Times New Roman"/>
          <w:noProof/>
          <w:lang w:val="en-US"/>
        </w:rPr>
        <w:t>Belarus – electric system is connected with five 330 kV and seven 110 kV transmission lines.</w:t>
      </w:r>
      <w:r w:rsidR="00D871C8" w:rsidRPr="003A7E34">
        <w:rPr>
          <w:rFonts w:eastAsia="Times New Roman"/>
          <w:noProof/>
          <w:lang w:val="en-US"/>
        </w:rPr>
        <w:t xml:space="preserve"> </w:t>
      </w:r>
      <w:r w:rsidRPr="003A7E34">
        <w:rPr>
          <w:rFonts w:eastAsia="Times New Roman"/>
          <w:noProof/>
          <w:lang w:val="en-US"/>
        </w:rPr>
        <w:t>Capacity of this section is 1300 MW (Belarus – Lithuania) and 1350 MW (Lithuania – Belarus)</w:t>
      </w:r>
    </w:p>
    <w:p w14:paraId="0C226A63" w14:textId="0FB9C7E9" w:rsidR="0095523E" w:rsidRPr="003A7E34" w:rsidRDefault="0095523E" w:rsidP="007B1F6D">
      <w:pPr>
        <w:numPr>
          <w:ilvl w:val="0"/>
          <w:numId w:val="47"/>
        </w:numPr>
        <w:spacing w:before="0" w:after="0"/>
        <w:jc w:val="left"/>
        <w:rPr>
          <w:rFonts w:eastAsia="Calibri"/>
          <w:noProof/>
          <w:lang w:val="en-US"/>
        </w:rPr>
      </w:pPr>
      <w:r w:rsidRPr="003A7E34">
        <w:rPr>
          <w:rFonts w:eastAsia="Times New Roman"/>
          <w:noProof/>
          <w:lang w:val="en-US"/>
        </w:rPr>
        <w:t xml:space="preserve">Russia (Kaliningrad region) – transmission </w:t>
      </w:r>
      <w:r w:rsidR="0005794F" w:rsidRPr="003A7E34">
        <w:rPr>
          <w:rFonts w:eastAsia="Times New Roman"/>
          <w:noProof/>
          <w:lang w:val="en-US"/>
        </w:rPr>
        <w:t>e</w:t>
      </w:r>
      <w:r w:rsidRPr="003A7E34">
        <w:rPr>
          <w:rFonts w:eastAsia="Times New Roman"/>
          <w:noProof/>
          <w:lang w:val="en-US"/>
        </w:rPr>
        <w:t>lectric system is connected with three 330 kV and three 110 kV lines. Capacity of this section is 600 MW (Russia – Lithuania) and 680 MW (Lithuania – Russia).</w:t>
      </w:r>
    </w:p>
    <w:p w14:paraId="1F580B5E" w14:textId="77777777" w:rsidR="0095523E" w:rsidRPr="003A7E34" w:rsidRDefault="0095523E">
      <w:pPr>
        <w:tabs>
          <w:tab w:val="left" w:pos="2592"/>
        </w:tabs>
        <w:rPr>
          <w:rFonts w:eastAsia="Times New Roman"/>
          <w:noProof/>
          <w:lang w:val="en-US"/>
        </w:rPr>
      </w:pPr>
    </w:p>
    <w:p w14:paraId="0FB8DFDB" w14:textId="77777777" w:rsidR="0095523E" w:rsidRPr="003A7E34" w:rsidRDefault="0095523E" w:rsidP="00C42AAE">
      <w:pPr>
        <w:numPr>
          <w:ilvl w:val="3"/>
          <w:numId w:val="21"/>
        </w:numPr>
        <w:spacing w:before="0" w:after="200"/>
        <w:ind w:left="1560" w:hanging="284"/>
        <w:contextualSpacing/>
        <w:rPr>
          <w:rFonts w:eastAsia="Calibri"/>
          <w:noProof/>
          <w:lang w:val="en-US"/>
        </w:rPr>
      </w:pPr>
      <w:r w:rsidRPr="003A7E34">
        <w:rPr>
          <w:rFonts w:eastAsia="Times New Roman"/>
          <w:noProof/>
          <w:lang w:val="en-US"/>
        </w:rPr>
        <w:t>Projections of interconnector expansion requirements (including for the year 2030)</w:t>
      </w:r>
      <w:r w:rsidRPr="003A7E34">
        <w:rPr>
          <w:rFonts w:eastAsia="Times New Roman"/>
          <w:noProof/>
          <w:vertAlign w:val="superscript"/>
          <w:lang w:val="en-US"/>
        </w:rPr>
        <w:footnoteReference w:id="47"/>
      </w:r>
    </w:p>
    <w:p w14:paraId="72AC6C9A" w14:textId="04B253C7" w:rsidR="0095523E" w:rsidRPr="003A7E34" w:rsidRDefault="0095523E" w:rsidP="00EA50D6">
      <w:pPr>
        <w:spacing w:before="0"/>
        <w:ind w:left="-54"/>
        <w:rPr>
          <w:rFonts w:eastAsia="Times New Roman"/>
          <w:noProof/>
          <w:lang w:val="en-US"/>
        </w:rPr>
      </w:pPr>
      <w:r w:rsidRPr="003A7E34">
        <w:rPr>
          <w:rFonts w:eastAsia="Times New Roman"/>
          <w:noProof/>
          <w:lang w:val="en-US"/>
        </w:rPr>
        <w:t>After accomplishment of two strategic projects (“LitPol Link and “NordBalt”), Lithuanian transmission system operator “Litgrid” during upcoming years plans to concentrate all efforts for</w:t>
      </w:r>
      <w:r w:rsidR="00D871C8" w:rsidRPr="003A7E34">
        <w:rPr>
          <w:rFonts w:eastAsia="Times New Roman"/>
          <w:noProof/>
          <w:lang w:val="en-US"/>
        </w:rPr>
        <w:t xml:space="preserve"> </w:t>
      </w:r>
      <w:r w:rsidRPr="003A7E34">
        <w:rPr>
          <w:rFonts w:eastAsia="Times New Roman"/>
          <w:noProof/>
          <w:lang w:val="en-US"/>
        </w:rPr>
        <w:t>synchonization with European electricity network realization and internal transmission network strenghthening. Till 2025 plans regarding electricity transmission network development for synchonization:</w:t>
      </w:r>
    </w:p>
    <w:p w14:paraId="5BCF4595" w14:textId="0C462305" w:rsidR="0095523E" w:rsidRPr="003A7E34" w:rsidRDefault="0095523E" w:rsidP="00C42AAE">
      <w:pPr>
        <w:numPr>
          <w:ilvl w:val="0"/>
          <w:numId w:val="22"/>
        </w:numPr>
        <w:spacing w:before="0"/>
        <w:ind w:left="654"/>
        <w:rPr>
          <w:rFonts w:eastAsia="Calibri"/>
          <w:noProof/>
          <w:lang w:val="en-US"/>
        </w:rPr>
      </w:pPr>
      <w:r w:rsidRPr="003A7E34">
        <w:rPr>
          <w:rFonts w:eastAsia="Times New Roman"/>
          <w:noProof/>
          <w:lang w:val="en-US"/>
        </w:rPr>
        <w:t>Accurate number of lines with Poland and connection schemes needed for synronous work with continental Europe would be revealed after study led by ENTSO-E</w:t>
      </w:r>
      <w:r w:rsidR="00D871C8" w:rsidRPr="003A7E34">
        <w:rPr>
          <w:rFonts w:eastAsia="Times New Roman"/>
          <w:noProof/>
          <w:lang w:val="en-US"/>
        </w:rPr>
        <w:t xml:space="preserve"> </w:t>
      </w:r>
      <w:r w:rsidRPr="003A7E34">
        <w:rPr>
          <w:rFonts w:eastAsia="Times New Roman"/>
          <w:noProof/>
          <w:lang w:val="en-US"/>
        </w:rPr>
        <w:t xml:space="preserve">for technical connection conditions. </w:t>
      </w:r>
    </w:p>
    <w:p w14:paraId="39AD45B6" w14:textId="77777777" w:rsidR="0095523E" w:rsidRPr="003A7E34" w:rsidRDefault="39F1765D" w:rsidP="00C42AAE">
      <w:pPr>
        <w:numPr>
          <w:ilvl w:val="0"/>
          <w:numId w:val="22"/>
        </w:numPr>
        <w:spacing w:before="0"/>
        <w:ind w:left="654"/>
        <w:rPr>
          <w:rFonts w:eastAsia="Calibri"/>
          <w:noProof/>
          <w:lang w:val="en-US"/>
        </w:rPr>
      </w:pPr>
      <w:r w:rsidRPr="003A7E34">
        <w:rPr>
          <w:rFonts w:eastAsia="Times New Roman"/>
          <w:noProof/>
          <w:lang w:val="en-US"/>
        </w:rPr>
        <w:t>Direct current converter in Alytus transformer substation usage and need of new converters will depend on negotiations results with Russia and Belarus according to reorientation of Baltic state’s system for synchronous work with continantal Europe network.</w:t>
      </w:r>
    </w:p>
    <w:p w14:paraId="47583620" w14:textId="77777777" w:rsidR="0095523E" w:rsidRPr="003A7E34" w:rsidRDefault="0095523E">
      <w:pPr>
        <w:rPr>
          <w:rFonts w:eastAsia="Times New Roman"/>
          <w:noProof/>
          <w:lang w:val="en-US"/>
        </w:rPr>
      </w:pPr>
    </w:p>
    <w:p w14:paraId="1E214FC1" w14:textId="4A7AC604" w:rsidR="0095523E" w:rsidRPr="003A7E34" w:rsidRDefault="0095523E" w:rsidP="00C42AAE">
      <w:pPr>
        <w:pStyle w:val="Heading3"/>
        <w:numPr>
          <w:ilvl w:val="2"/>
          <w:numId w:val="21"/>
        </w:numPr>
        <w:rPr>
          <w:rFonts w:eastAsia="Calibri" w:cs="Times New Roman"/>
          <w:noProof/>
          <w:lang w:val="en-US"/>
        </w:rPr>
      </w:pPr>
      <w:bookmarkStart w:id="165" w:name="_Toc530405595"/>
      <w:bookmarkStart w:id="166" w:name="_Toc530411826"/>
      <w:bookmarkStart w:id="167" w:name="_Toc530414175"/>
      <w:r w:rsidRPr="003A7E34">
        <w:rPr>
          <w:rFonts w:eastAsia="Times New Roman" w:cs="Times New Roman"/>
          <w:noProof/>
          <w:lang w:val="en-US"/>
        </w:rPr>
        <w:t>Energy transmission infrastructure</w:t>
      </w:r>
      <w:bookmarkEnd w:id="165"/>
      <w:bookmarkEnd w:id="166"/>
      <w:bookmarkEnd w:id="167"/>
      <w:r w:rsidRPr="003A7E34">
        <w:rPr>
          <w:rFonts w:eastAsia="Times New Roman" w:cs="Times New Roman"/>
          <w:noProof/>
          <w:lang w:val="en-US"/>
        </w:rPr>
        <w:t xml:space="preserve"> </w:t>
      </w:r>
    </w:p>
    <w:p w14:paraId="5AA63660" w14:textId="77777777" w:rsidR="0095523E" w:rsidRPr="003A7E34" w:rsidRDefault="0095523E" w:rsidP="00C42AAE">
      <w:pPr>
        <w:numPr>
          <w:ilvl w:val="3"/>
          <w:numId w:val="21"/>
        </w:numPr>
        <w:spacing w:before="0" w:after="200"/>
        <w:ind w:left="1560" w:hanging="284"/>
        <w:contextualSpacing/>
        <w:rPr>
          <w:rFonts w:eastAsia="Calibri"/>
          <w:noProof/>
          <w:lang w:val="en-US"/>
        </w:rPr>
      </w:pPr>
      <w:r w:rsidRPr="003A7E34">
        <w:rPr>
          <w:rFonts w:eastAsia="Times New Roman"/>
          <w:noProof/>
          <w:lang w:val="en-US"/>
        </w:rPr>
        <w:t>Key characteristics of the existing transmission infrastructure for electricity and gas</w:t>
      </w:r>
      <w:r w:rsidRPr="003A7E34">
        <w:rPr>
          <w:rFonts w:eastAsia="Times New Roman"/>
          <w:noProof/>
          <w:vertAlign w:val="superscript"/>
          <w:lang w:val="en-US"/>
        </w:rPr>
        <w:footnoteReference w:id="48"/>
      </w:r>
      <w:r w:rsidRPr="003A7E34">
        <w:rPr>
          <w:rFonts w:eastAsia="Times New Roman"/>
          <w:noProof/>
          <w:vertAlign w:val="superscript"/>
          <w:lang w:val="en-US"/>
        </w:rPr>
        <w:t xml:space="preserve"> </w:t>
      </w:r>
    </w:p>
    <w:p w14:paraId="3580E641" w14:textId="02962090" w:rsidR="0095523E" w:rsidRPr="003A7E34" w:rsidRDefault="0EF92348" w:rsidP="0EF92348">
      <w:pPr>
        <w:rPr>
          <w:rFonts w:eastAsia="Times New Roman"/>
          <w:lang w:val="en-US"/>
        </w:rPr>
      </w:pPr>
      <w:r w:rsidRPr="003A7E34">
        <w:rPr>
          <w:rFonts w:eastAsia="Times New Roman"/>
          <w:lang w:val="en-US"/>
        </w:rPr>
        <w:t>Lithuanian electricity transmission network – it's 400, 330 and 110 kV transformer substation, connected to the high voltage power transmission lines. Electricity produced in Lithuanian power plants or imported from other power systems through such lines is reaching distribution network, and then electricity consumers. Total air and cable lines length of about 7 000 kilometers.</w:t>
      </w:r>
    </w:p>
    <w:p w14:paraId="12E6A122" w14:textId="29615C8D" w:rsidR="17C4DDD5" w:rsidRPr="003A7E34" w:rsidRDefault="17C4DDD5" w:rsidP="17C4DDD5">
      <w:pPr>
        <w:rPr>
          <w:lang w:val="en-US"/>
        </w:rPr>
      </w:pPr>
      <w:r w:rsidRPr="003A7E34">
        <w:rPr>
          <w:rFonts w:eastAsia="Times New Roman"/>
          <w:lang w:val="en-US"/>
        </w:rPr>
        <w:lastRenderedPageBreak/>
        <w:t xml:space="preserve">Lithuania’s natural gas transmission system is connected with the transmission systems of the Russian Federation (Kaliningrad Region), Belarus, Latvia and the LNG terminal in Klaipėda.  </w:t>
      </w:r>
    </w:p>
    <w:p w14:paraId="5B0C31A7" w14:textId="18BBFA76" w:rsidR="17C4DDD5" w:rsidRPr="003A7E34" w:rsidRDefault="17C4DDD5" w:rsidP="17C4DDD5">
      <w:pPr>
        <w:rPr>
          <w:lang w:val="en-US"/>
        </w:rPr>
      </w:pPr>
      <w:r w:rsidRPr="003A7E34">
        <w:rPr>
          <w:rFonts w:eastAsia="Times New Roman"/>
          <w:lang w:val="en-US"/>
        </w:rPr>
        <w:t xml:space="preserve">The total length of pipelines of the transmission system in the territory of Lithuania is more than 2 100 km. In order to secure a smooth operation of the transmission system and to facilitate the supply of natural gas to distribution systems, 65 M&amp;R Stations and 1 GMS were built. Two GMS owned by the Company were installed in the territory of Lithuania for interconnections with gas transmission systems of other countries. Panevėžys and Jauniūnai gas compressor stations, together with agreements concluded with operators of neighboring systems wherefrom gas is received ensure the required gas pressure parameters throughout the transmission system. </w:t>
      </w:r>
    </w:p>
    <w:p w14:paraId="08385794" w14:textId="47CE837A" w:rsidR="17C4DDD5" w:rsidRPr="003A7E34" w:rsidRDefault="17C4DDD5" w:rsidP="17C4DDD5">
      <w:pPr>
        <w:rPr>
          <w:lang w:val="en-US"/>
        </w:rPr>
      </w:pPr>
      <w:r w:rsidRPr="003A7E34">
        <w:rPr>
          <w:rFonts w:eastAsia="Times New Roman"/>
          <w:lang w:val="en-US"/>
        </w:rPr>
        <w:t xml:space="preserve">Technical capacities of gas pipeline interconnections with gas transmission systems of other countries and the LNG terminal: </w:t>
      </w:r>
    </w:p>
    <w:p w14:paraId="2DEC9546" w14:textId="19D2EC46" w:rsidR="17C4DDD5" w:rsidRPr="003A7E34" w:rsidRDefault="17C4DDD5" w:rsidP="007B1F6D">
      <w:pPr>
        <w:pStyle w:val="ListParagraph"/>
        <w:numPr>
          <w:ilvl w:val="0"/>
          <w:numId w:val="3"/>
        </w:numPr>
        <w:spacing w:after="0" w:line="240" w:lineRule="auto"/>
        <w:ind w:left="714" w:hanging="357"/>
        <w:jc w:val="both"/>
        <w:rPr>
          <w:rFonts w:ascii="Times New Roman" w:hAnsi="Times New Roman" w:cs="Times New Roman"/>
          <w:lang w:val="en-US"/>
        </w:rPr>
      </w:pPr>
      <w:r w:rsidRPr="003A7E34">
        <w:rPr>
          <w:rFonts w:ascii="Times New Roman" w:eastAsia="Times New Roman" w:hAnsi="Times New Roman" w:cs="Times New Roman"/>
          <w:lang w:val="en-US"/>
        </w:rPr>
        <w:t xml:space="preserve">at the entry point via Kotlovka GMS – 325.4 GWh per day; </w:t>
      </w:r>
    </w:p>
    <w:p w14:paraId="1FA44176" w14:textId="675CA8C7" w:rsidR="17C4DDD5" w:rsidRPr="003A7E34" w:rsidRDefault="17C4DDD5" w:rsidP="007B1F6D">
      <w:pPr>
        <w:pStyle w:val="ListParagraph"/>
        <w:numPr>
          <w:ilvl w:val="0"/>
          <w:numId w:val="3"/>
        </w:numPr>
        <w:spacing w:after="0" w:line="240" w:lineRule="auto"/>
        <w:ind w:left="714" w:hanging="357"/>
        <w:jc w:val="both"/>
        <w:rPr>
          <w:rFonts w:ascii="Times New Roman" w:hAnsi="Times New Roman" w:cs="Times New Roman"/>
          <w:lang w:val="en-US"/>
        </w:rPr>
      </w:pPr>
      <w:r w:rsidRPr="003A7E34">
        <w:rPr>
          <w:rFonts w:ascii="Times New Roman" w:eastAsia="Times New Roman" w:hAnsi="Times New Roman" w:cs="Times New Roman"/>
          <w:lang w:val="en-US"/>
        </w:rPr>
        <w:t xml:space="preserve">at the entry point via Klaipėda GMS (at the interconnection point of the transmission system and the LNG terminal) – 122.4 GWh per day;  </w:t>
      </w:r>
    </w:p>
    <w:p w14:paraId="41671ED1" w14:textId="4CC4386B" w:rsidR="17C4DDD5" w:rsidRPr="003A7E34" w:rsidRDefault="17C4DDD5" w:rsidP="007B1F6D">
      <w:pPr>
        <w:pStyle w:val="ListParagraph"/>
        <w:numPr>
          <w:ilvl w:val="0"/>
          <w:numId w:val="3"/>
        </w:numPr>
        <w:spacing w:after="0" w:line="240" w:lineRule="auto"/>
        <w:ind w:left="714" w:hanging="357"/>
        <w:jc w:val="both"/>
        <w:rPr>
          <w:rFonts w:ascii="Times New Roman" w:hAnsi="Times New Roman" w:cs="Times New Roman"/>
          <w:lang w:val="en-US"/>
        </w:rPr>
      </w:pPr>
      <w:r w:rsidRPr="003A7E34">
        <w:rPr>
          <w:rFonts w:ascii="Times New Roman" w:eastAsia="Times New Roman" w:hAnsi="Times New Roman" w:cs="Times New Roman"/>
          <w:lang w:val="en-US"/>
        </w:rPr>
        <w:t xml:space="preserve">at the entry point Kiemėnai GMS to Lithuania – 65.1 GWh per day; </w:t>
      </w:r>
    </w:p>
    <w:p w14:paraId="065EDF80" w14:textId="1E33D3CC" w:rsidR="17C4DDD5" w:rsidRPr="003A7E34" w:rsidRDefault="17C4DDD5" w:rsidP="007B1F6D">
      <w:pPr>
        <w:pStyle w:val="ListParagraph"/>
        <w:numPr>
          <w:ilvl w:val="0"/>
          <w:numId w:val="3"/>
        </w:numPr>
        <w:spacing w:after="0" w:line="240" w:lineRule="auto"/>
        <w:ind w:left="714" w:hanging="357"/>
        <w:jc w:val="both"/>
        <w:rPr>
          <w:rFonts w:ascii="Times New Roman" w:hAnsi="Times New Roman" w:cs="Times New Roman"/>
          <w:lang w:val="en-US"/>
        </w:rPr>
      </w:pPr>
      <w:r w:rsidRPr="003A7E34">
        <w:rPr>
          <w:rFonts w:ascii="Times New Roman" w:eastAsia="Times New Roman" w:hAnsi="Times New Roman" w:cs="Times New Roman"/>
          <w:lang w:val="en-US"/>
        </w:rPr>
        <w:t xml:space="preserve">at the exit point Kiemėnai GMS from Lithuania – 67.6 GWh per day; </w:t>
      </w:r>
    </w:p>
    <w:p w14:paraId="53B3F92F" w14:textId="0A16C18C" w:rsidR="17C4DDD5" w:rsidRPr="003A7E34" w:rsidRDefault="17C4DDD5" w:rsidP="007B1F6D">
      <w:pPr>
        <w:pStyle w:val="ListParagraph"/>
        <w:numPr>
          <w:ilvl w:val="0"/>
          <w:numId w:val="3"/>
        </w:numPr>
        <w:spacing w:after="0" w:line="240" w:lineRule="auto"/>
        <w:ind w:left="714" w:hanging="357"/>
        <w:rPr>
          <w:rFonts w:ascii="Times New Roman" w:hAnsi="Times New Roman" w:cs="Times New Roman"/>
          <w:lang w:val="en-US"/>
        </w:rPr>
      </w:pPr>
      <w:r w:rsidRPr="003A7E34">
        <w:rPr>
          <w:rFonts w:ascii="Times New Roman" w:eastAsia="Times New Roman" w:hAnsi="Times New Roman" w:cs="Times New Roman"/>
          <w:lang w:val="en-US"/>
        </w:rPr>
        <w:t xml:space="preserve">at the exit point Šakiai GMS – 114.2 GWh per day. </w:t>
      </w:r>
    </w:p>
    <w:p w14:paraId="66B78155" w14:textId="15BCD7AF" w:rsidR="17C4DDD5" w:rsidRPr="003A7E34" w:rsidRDefault="0EF92348" w:rsidP="17C4DDD5">
      <w:pPr>
        <w:rPr>
          <w:lang w:val="en-US"/>
        </w:rPr>
      </w:pPr>
      <w:r w:rsidRPr="003A7E34">
        <w:rPr>
          <w:rFonts w:eastAsia="Times New Roman"/>
          <w:lang w:val="en-US"/>
        </w:rPr>
        <w:t xml:space="preserve"> The existing transmission system capacities at points of interconnection with Lithuania’s distribution systems and the directly-connected system users are sufficient to secure the needs of Lithuanian consumers.</w:t>
      </w:r>
    </w:p>
    <w:p w14:paraId="70F6F274" w14:textId="1C0119C9" w:rsidR="17C4DDD5" w:rsidRPr="003A7E34" w:rsidRDefault="17C4DDD5" w:rsidP="17C4DDD5">
      <w:pPr>
        <w:rPr>
          <w:rFonts w:eastAsia="Times New Roman"/>
          <w:lang w:val="en-US"/>
        </w:rPr>
      </w:pPr>
    </w:p>
    <w:p w14:paraId="614DB866" w14:textId="77777777" w:rsidR="0095523E" w:rsidRPr="003A7E34" w:rsidRDefault="0095523E" w:rsidP="00C42AAE">
      <w:pPr>
        <w:numPr>
          <w:ilvl w:val="3"/>
          <w:numId w:val="21"/>
        </w:numPr>
        <w:spacing w:before="0" w:after="200"/>
        <w:ind w:left="1560" w:hanging="284"/>
        <w:contextualSpacing/>
        <w:rPr>
          <w:rFonts w:eastAsia="Calibri"/>
          <w:noProof/>
          <w:lang w:val="en-US"/>
        </w:rPr>
      </w:pPr>
      <w:r w:rsidRPr="003A7E34">
        <w:rPr>
          <w:rFonts w:eastAsia="Times New Roman"/>
          <w:noProof/>
          <w:lang w:val="en-US"/>
        </w:rPr>
        <w:t>Projections of network expansion requirements at least until 2040 (including for the year 2030)</w:t>
      </w:r>
      <w:r w:rsidRPr="003A7E34">
        <w:rPr>
          <w:rFonts w:eastAsia="Times New Roman"/>
          <w:noProof/>
          <w:vertAlign w:val="superscript"/>
          <w:lang w:val="en-US"/>
        </w:rPr>
        <w:footnoteReference w:id="49"/>
      </w:r>
      <w:r w:rsidRPr="003A7E34">
        <w:rPr>
          <w:rFonts w:eastAsia="Times New Roman"/>
          <w:noProof/>
          <w:vertAlign w:val="superscript"/>
          <w:lang w:val="en-US"/>
        </w:rPr>
        <w:t xml:space="preserve"> </w:t>
      </w:r>
    </w:p>
    <w:p w14:paraId="7DA80DEC" w14:textId="61CB2CEE" w:rsidR="0095523E" w:rsidRPr="003A7E34" w:rsidRDefault="17C4DDD5" w:rsidP="17C4DDD5">
      <w:pPr>
        <w:rPr>
          <w:rFonts w:eastAsia="Times New Roman"/>
          <w:lang w:val="en-US"/>
        </w:rPr>
      </w:pPr>
      <w:r w:rsidRPr="003A7E34">
        <w:rPr>
          <w:rFonts w:eastAsia="Times New Roman"/>
          <w:b/>
          <w:bCs/>
          <w:i/>
          <w:iCs/>
          <w:lang w:val="en-US"/>
        </w:rPr>
        <w:t>Electricity.</w:t>
      </w:r>
      <w:r w:rsidRPr="003A7E34">
        <w:rPr>
          <w:rFonts w:eastAsia="Times New Roman"/>
          <w:lang w:val="en-US"/>
        </w:rPr>
        <w:t xml:space="preserve"> Until 2025 planned development of the electricity transmission network for the Baltic power systems in sync with the continental European networks:</w:t>
      </w:r>
    </w:p>
    <w:p w14:paraId="77137B56" w14:textId="77777777" w:rsidR="00E61F0A" w:rsidRPr="003A7E34" w:rsidRDefault="0095523E" w:rsidP="00C42AAE">
      <w:pPr>
        <w:pStyle w:val="ListParagraph"/>
        <w:numPr>
          <w:ilvl w:val="1"/>
          <w:numId w:val="49"/>
        </w:numPr>
        <w:spacing w:after="0" w:line="240" w:lineRule="auto"/>
        <w:ind w:left="1440" w:hanging="720"/>
        <w:rPr>
          <w:rFonts w:ascii="Times New Roman" w:eastAsia="Times New Roman" w:hAnsi="Times New Roman" w:cs="Times New Roman"/>
          <w:lang w:val="en-US"/>
        </w:rPr>
      </w:pPr>
      <w:r w:rsidRPr="003A7E34">
        <w:rPr>
          <w:rFonts w:ascii="Times New Roman" w:eastAsia="Times New Roman" w:hAnsi="Times New Roman" w:cs="Times New Roman"/>
          <w:lang w:val="en-US"/>
        </w:rPr>
        <w:t>construction of 330 kV double-circuit overhead transmission line Kruonis PSPP</w:t>
      </w:r>
      <w:r w:rsidR="00817002" w:rsidRPr="003A7E34">
        <w:rPr>
          <w:rFonts w:ascii="Times New Roman" w:eastAsia="Times New Roman" w:hAnsi="Times New Roman" w:cs="Times New Roman"/>
          <w:lang w:val="en-US"/>
        </w:rPr>
        <w:t>-</w:t>
      </w:r>
      <w:r w:rsidRPr="003A7E34">
        <w:rPr>
          <w:rFonts w:ascii="Times New Roman" w:eastAsia="Times New Roman" w:hAnsi="Times New Roman" w:cs="Times New Roman"/>
          <w:lang w:val="en-US"/>
        </w:rPr>
        <w:t>Alytus;</w:t>
      </w:r>
    </w:p>
    <w:p w14:paraId="332B1404" w14:textId="387416F7" w:rsidR="0095523E" w:rsidRPr="003A7E34" w:rsidRDefault="00817002" w:rsidP="00C42AAE">
      <w:pPr>
        <w:pStyle w:val="ListParagraph"/>
        <w:numPr>
          <w:ilvl w:val="1"/>
          <w:numId w:val="49"/>
        </w:numPr>
        <w:spacing w:after="0" w:line="240" w:lineRule="auto"/>
        <w:ind w:left="1440" w:hanging="720"/>
        <w:rPr>
          <w:rFonts w:ascii="Times New Roman" w:eastAsia="Times New Roman" w:hAnsi="Times New Roman" w:cs="Times New Roman"/>
          <w:lang w:val="en-US"/>
        </w:rPr>
      </w:pPr>
      <w:r w:rsidRPr="003A7E34">
        <w:rPr>
          <w:rFonts w:ascii="Times New Roman" w:eastAsia="Times New Roman" w:hAnsi="Times New Roman" w:cs="Times New Roman"/>
          <w:lang w:val="en-US"/>
        </w:rPr>
        <w:t>t</w:t>
      </w:r>
      <w:r w:rsidR="0095523E" w:rsidRPr="003A7E34">
        <w:rPr>
          <w:rFonts w:ascii="Times New Roman" w:eastAsia="Times New Roman" w:hAnsi="Times New Roman" w:cs="Times New Roman"/>
          <w:lang w:val="en-US"/>
        </w:rPr>
        <w:t>he updated power management and monitoring systems;</w:t>
      </w:r>
    </w:p>
    <w:p w14:paraId="7908070E" w14:textId="77777777" w:rsidR="00E61F0A" w:rsidRPr="003A7E34" w:rsidRDefault="00817002" w:rsidP="00C42AAE">
      <w:pPr>
        <w:pStyle w:val="ListParagraph"/>
        <w:numPr>
          <w:ilvl w:val="1"/>
          <w:numId w:val="49"/>
        </w:numPr>
        <w:spacing w:after="0" w:line="240" w:lineRule="auto"/>
        <w:ind w:left="1440" w:hanging="720"/>
        <w:rPr>
          <w:rFonts w:ascii="Times New Roman" w:eastAsia="Times New Roman" w:hAnsi="Times New Roman" w:cs="Times New Roman"/>
          <w:lang w:val="en-US"/>
        </w:rPr>
      </w:pPr>
      <w:r w:rsidRPr="003A7E34">
        <w:rPr>
          <w:rFonts w:ascii="Times New Roman" w:eastAsia="Times New Roman" w:hAnsi="Times New Roman" w:cs="Times New Roman"/>
          <w:lang w:val="en-US"/>
        </w:rPr>
        <w:t>c</w:t>
      </w:r>
      <w:r w:rsidR="0095523E" w:rsidRPr="003A7E34">
        <w:rPr>
          <w:rFonts w:ascii="Times New Roman" w:eastAsia="Times New Roman" w:hAnsi="Times New Roman" w:cs="Times New Roman"/>
          <w:lang w:val="en-US"/>
        </w:rPr>
        <w:t xml:space="preserve">onstruction of 330 kV distribution </w:t>
      </w:r>
      <w:r w:rsidRPr="003A7E34">
        <w:rPr>
          <w:rFonts w:ascii="Times New Roman" w:eastAsia="Times New Roman" w:hAnsi="Times New Roman" w:cs="Times New Roman"/>
          <w:lang w:val="en-US"/>
        </w:rPr>
        <w:t>–</w:t>
      </w:r>
      <w:r w:rsidR="0095523E" w:rsidRPr="003A7E34">
        <w:rPr>
          <w:rFonts w:ascii="Times New Roman" w:eastAsia="Times New Roman" w:hAnsi="Times New Roman" w:cs="Times New Roman"/>
          <w:lang w:val="en-US"/>
        </w:rPr>
        <w:t xml:space="preserve"> Musa and Vilnios 330/110/10 kV transformer substation;</w:t>
      </w:r>
    </w:p>
    <w:p w14:paraId="16ABABE8" w14:textId="5886764A" w:rsidR="0095523E" w:rsidRPr="003A7E34" w:rsidRDefault="00817002" w:rsidP="00C42AAE">
      <w:pPr>
        <w:pStyle w:val="ListParagraph"/>
        <w:numPr>
          <w:ilvl w:val="1"/>
          <w:numId w:val="49"/>
        </w:numPr>
        <w:spacing w:after="0" w:line="240" w:lineRule="auto"/>
        <w:ind w:left="1440" w:hanging="720"/>
        <w:rPr>
          <w:rFonts w:ascii="Times New Roman" w:eastAsia="Times New Roman" w:hAnsi="Times New Roman" w:cs="Times New Roman"/>
          <w:lang w:val="en-US"/>
        </w:rPr>
      </w:pPr>
      <w:r w:rsidRPr="003A7E34">
        <w:rPr>
          <w:rFonts w:ascii="Times New Roman" w:eastAsia="Times New Roman" w:hAnsi="Times New Roman" w:cs="Times New Roman"/>
          <w:lang w:val="en-US"/>
        </w:rPr>
        <w:t>c</w:t>
      </w:r>
      <w:r w:rsidR="0095523E" w:rsidRPr="003A7E34">
        <w:rPr>
          <w:rFonts w:ascii="Times New Roman" w:eastAsia="Times New Roman" w:hAnsi="Times New Roman" w:cs="Times New Roman"/>
          <w:lang w:val="en-US"/>
        </w:rPr>
        <w:t>onstruction and reconstruction of 330 kV lines: Panevezys-Musa, Vilnius-Vilnia-Neris, Vilnius-Lithuania Power Plant;</w:t>
      </w:r>
    </w:p>
    <w:p w14:paraId="52EE9D93" w14:textId="3318AE01" w:rsidR="0095523E" w:rsidRPr="003A7E34" w:rsidRDefault="00817002" w:rsidP="00C42AAE">
      <w:pPr>
        <w:pStyle w:val="ListParagraph"/>
        <w:numPr>
          <w:ilvl w:val="1"/>
          <w:numId w:val="49"/>
        </w:numPr>
        <w:spacing w:after="0" w:line="240" w:lineRule="auto"/>
        <w:ind w:left="1440" w:hanging="720"/>
        <w:rPr>
          <w:rFonts w:ascii="Times New Roman" w:eastAsia="Times New Roman" w:hAnsi="Times New Roman" w:cs="Times New Roman"/>
          <w:lang w:val="en-US"/>
        </w:rPr>
      </w:pPr>
      <w:r w:rsidRPr="003A7E34">
        <w:rPr>
          <w:rFonts w:ascii="Times New Roman" w:eastAsia="Times New Roman" w:hAnsi="Times New Roman" w:cs="Times New Roman"/>
          <w:lang w:val="en-US"/>
        </w:rPr>
        <w:t>c</w:t>
      </w:r>
      <w:r w:rsidR="0095523E" w:rsidRPr="003A7E34">
        <w:rPr>
          <w:rFonts w:ascii="Times New Roman" w:eastAsia="Times New Roman" w:hAnsi="Times New Roman" w:cs="Times New Roman"/>
          <w:lang w:val="en-US"/>
        </w:rPr>
        <w:t>onstruction of the additional transformer substations users reserving Belarus border 110 kV overhead line.</w:t>
      </w:r>
    </w:p>
    <w:p w14:paraId="33C011C8" w14:textId="77777777" w:rsidR="00E61F0A" w:rsidRPr="003A7E34" w:rsidRDefault="00E61F0A">
      <w:pPr>
        <w:rPr>
          <w:rFonts w:eastAsia="Times New Roman"/>
          <w:lang w:val="en-US"/>
        </w:rPr>
      </w:pPr>
    </w:p>
    <w:p w14:paraId="108A10CB" w14:textId="4A5769F8" w:rsidR="17C4DDD5" w:rsidRPr="003A7E34" w:rsidRDefault="0EF92348" w:rsidP="0EF92348">
      <w:pPr>
        <w:rPr>
          <w:rFonts w:eastAsia="Times New Roman"/>
          <w:lang w:val="en-US"/>
        </w:rPr>
      </w:pPr>
      <w:r w:rsidRPr="003A7E34">
        <w:rPr>
          <w:rFonts w:eastAsia="Times New Roman"/>
          <w:lang w:val="en-US"/>
        </w:rPr>
        <w:t>It is planned to implement reforms and other internal electricity transmission network development projects designed for reliable operation and improved network management system and to ensure network restore (mainly substations and lines of reconstruction projects) and the indicative telecommunication technologies and systems to upgrade and install.</w:t>
      </w:r>
    </w:p>
    <w:p w14:paraId="11B202A2" w14:textId="30DFC745" w:rsidR="17C4DDD5" w:rsidRPr="003A7E34" w:rsidRDefault="17C4DDD5" w:rsidP="17C4DDD5">
      <w:pPr>
        <w:rPr>
          <w:lang w:val="en-US"/>
        </w:rPr>
      </w:pPr>
      <w:r w:rsidRPr="003A7E34">
        <w:rPr>
          <w:rFonts w:eastAsia="Times New Roman"/>
          <w:b/>
          <w:bCs/>
          <w:i/>
          <w:iCs/>
          <w:lang w:val="en-US"/>
        </w:rPr>
        <w:t>Natural gas.</w:t>
      </w:r>
      <w:r w:rsidRPr="003A7E34">
        <w:rPr>
          <w:rFonts w:eastAsia="Times New Roman"/>
          <w:lang w:val="en-US"/>
        </w:rPr>
        <w:t xml:space="preserve"> Amber Grid AB (hereinafter - the Company) is the Lithuania's natural gas transmission system operator responsible for safe operation and development of the system. In order to ensure the reliability of natural gas supply (uninterrupted supply and sufficient capacity of the system) to Lithuania’s consumers, efficient development of the gas transmission system aiming at its smooth integration into the Pan-European Natural Gas Transmission System and enabling the diversification of gas supply sources is important. </w:t>
      </w:r>
    </w:p>
    <w:p w14:paraId="77C3ABA4" w14:textId="3A0EA0D2" w:rsidR="17C4DDD5" w:rsidRPr="003A7E34" w:rsidRDefault="17C4DDD5" w:rsidP="17C4DDD5">
      <w:pPr>
        <w:rPr>
          <w:lang w:val="en-US"/>
        </w:rPr>
      </w:pPr>
      <w:r w:rsidRPr="003A7E34">
        <w:rPr>
          <w:rFonts w:eastAsia="Times New Roman"/>
          <w:lang w:val="en-US"/>
        </w:rPr>
        <w:lastRenderedPageBreak/>
        <w:t xml:space="preserve">The gas transmission system consists of gas transmission pipelines, gas compressor stations, gas metering and regulation stations (hereinafter - M&amp;R Stations), gas metering stations (hereinafter - GMS), gas pipeline anti-corrosion protection equipment, data transmission and communication systems and other facilities attributed to the transmission system. The Lithuania’s gas transmission system is connected to infrastructure of the Klaipėda liquefied natural gas terminal (LNGT) and gas transmission systems of the Russian Federation (the Kaliningrad Region), Belarus and Latvia. Gas is supplied to the Lithuania’s gas transmission system from Russia (via the gas pipeline from Belarus via the Kotlovka GMS) and through the Klaipėda LNGT; gas can also be transported by gas transmission pipeline coming from Latvia. In 2018–2027, the plan is to continue diversification of sources of gas supply, to increase the reliability of gas supply, to continue developing the cooperation between the Baltic Region states in the creation of a common market and to continue the integration of the Baltic Region transmission systems into the single gas system of the EU. Implementation of the following investment projects is planned in pursuit of successful achievement of these goals: </w:t>
      </w:r>
    </w:p>
    <w:p w14:paraId="7533FC68" w14:textId="4373A46B" w:rsidR="17C4DDD5" w:rsidRPr="003A7E34" w:rsidRDefault="17C4DDD5" w:rsidP="17C4DDD5">
      <w:pPr>
        <w:pStyle w:val="ListParagraph"/>
        <w:numPr>
          <w:ilvl w:val="0"/>
          <w:numId w:val="4"/>
        </w:numPr>
        <w:rPr>
          <w:rFonts w:ascii="Times New Roman" w:hAnsi="Times New Roman" w:cs="Times New Roman"/>
          <w:lang w:val="en-US"/>
        </w:rPr>
      </w:pPr>
      <w:r w:rsidRPr="003A7E34">
        <w:rPr>
          <w:rFonts w:ascii="Times New Roman" w:eastAsia="Times New Roman" w:hAnsi="Times New Roman" w:cs="Times New Roman"/>
          <w:lang w:val="en-US"/>
        </w:rPr>
        <w:t xml:space="preserve">constructing interconnection between the Lithuanian and Polish gas transmission systems;  </w:t>
      </w:r>
    </w:p>
    <w:p w14:paraId="7C25AC3C" w14:textId="6FB5E731" w:rsidR="17C4DDD5" w:rsidRPr="003A7E34" w:rsidRDefault="17C4DDD5" w:rsidP="17C4DDD5">
      <w:pPr>
        <w:pStyle w:val="ListParagraph"/>
        <w:numPr>
          <w:ilvl w:val="0"/>
          <w:numId w:val="4"/>
        </w:numPr>
        <w:rPr>
          <w:rFonts w:ascii="Times New Roman" w:hAnsi="Times New Roman" w:cs="Times New Roman"/>
          <w:lang w:val="en-US"/>
        </w:rPr>
      </w:pPr>
      <w:r w:rsidRPr="003A7E34">
        <w:rPr>
          <w:rFonts w:ascii="Times New Roman" w:eastAsia="Times New Roman" w:hAnsi="Times New Roman" w:cs="Times New Roman"/>
          <w:lang w:val="en-US"/>
        </w:rPr>
        <w:t xml:space="preserve">carrying out a joint project of Lithuania's and Latvia's natural gas transmission system operators aimed at increasing the capacity of the gas transmission system interconnection between the two countries. </w:t>
      </w:r>
    </w:p>
    <w:p w14:paraId="15ED5AE5" w14:textId="67ED97F5" w:rsidR="17C4DDD5" w:rsidRPr="003A7E34" w:rsidRDefault="17C4DDD5" w:rsidP="17C4DDD5">
      <w:pPr>
        <w:rPr>
          <w:lang w:val="en-US"/>
        </w:rPr>
      </w:pPr>
      <w:r w:rsidRPr="003A7E34">
        <w:rPr>
          <w:rFonts w:eastAsia="Times New Roman"/>
          <w:lang w:val="en-US"/>
        </w:rPr>
        <w:t xml:space="preserve">These projects will be relevant for processes of the formation of the regional gas market in the East Baltic Region and will enable transmitting gas to participants of gas markets of other countries of the region. </w:t>
      </w:r>
    </w:p>
    <w:p w14:paraId="7A848546" w14:textId="2A0C98F7" w:rsidR="17C4DDD5" w:rsidRPr="003A7E34" w:rsidRDefault="17C4DDD5" w:rsidP="17C4DDD5">
      <w:pPr>
        <w:rPr>
          <w:lang w:val="en-US"/>
        </w:rPr>
      </w:pPr>
      <w:r w:rsidRPr="003A7E34">
        <w:rPr>
          <w:rFonts w:eastAsia="Times New Roman"/>
          <w:noProof/>
          <w:lang w:val="en-US"/>
        </w:rPr>
        <w:t xml:space="preserve">The implementation of several large transmission system rehabilitation and modernization projects co-financed from the EU Structural Funds planned in 2018–2027: </w:t>
      </w:r>
    </w:p>
    <w:p w14:paraId="4CEEBA98" w14:textId="19D8D783" w:rsidR="17C4DDD5" w:rsidRPr="003A7E34" w:rsidRDefault="17C4DDD5" w:rsidP="007B1F6D">
      <w:pPr>
        <w:pStyle w:val="ListParagraph"/>
        <w:numPr>
          <w:ilvl w:val="0"/>
          <w:numId w:val="5"/>
        </w:numPr>
        <w:spacing w:after="0" w:line="240" w:lineRule="auto"/>
        <w:ind w:left="714" w:hanging="357"/>
        <w:contextualSpacing w:val="0"/>
        <w:rPr>
          <w:rFonts w:ascii="Times New Roman" w:hAnsi="Times New Roman" w:cs="Times New Roman"/>
          <w:lang w:val="en-US"/>
        </w:rPr>
      </w:pPr>
      <w:r w:rsidRPr="003A7E34">
        <w:rPr>
          <w:rFonts w:ascii="Times New Roman" w:eastAsia="Times New Roman" w:hAnsi="Times New Roman" w:cs="Times New Roman"/>
          <w:noProof/>
          <w:lang w:val="en-US"/>
        </w:rPr>
        <w:t xml:space="preserve"> installation of pig launching and receiving stations and implementation of prompt technological control of the gas transmission system (stage 1) in 2017–2018; </w:t>
      </w:r>
    </w:p>
    <w:p w14:paraId="201518D6" w14:textId="0CA7C8BA" w:rsidR="17C4DDD5" w:rsidRPr="003A7E34" w:rsidRDefault="17C4DDD5" w:rsidP="007B1F6D">
      <w:pPr>
        <w:pStyle w:val="ListParagraph"/>
        <w:numPr>
          <w:ilvl w:val="0"/>
          <w:numId w:val="5"/>
        </w:numPr>
        <w:spacing w:after="0" w:line="240" w:lineRule="auto"/>
        <w:ind w:left="714" w:hanging="357"/>
        <w:contextualSpacing w:val="0"/>
        <w:rPr>
          <w:rFonts w:ascii="Times New Roman" w:hAnsi="Times New Roman" w:cs="Times New Roman"/>
          <w:lang w:val="en-US"/>
        </w:rPr>
      </w:pPr>
      <w:r w:rsidRPr="003A7E34">
        <w:rPr>
          <w:rFonts w:ascii="Times New Roman" w:eastAsia="Times New Roman" w:hAnsi="Times New Roman" w:cs="Times New Roman"/>
          <w:noProof/>
          <w:lang w:val="en-US"/>
        </w:rPr>
        <w:t xml:space="preserve"> installation of pig launching and receiving stations and implementation of prompt technological control of the gas transmission system in 2018-2021 (stage 2); </w:t>
      </w:r>
    </w:p>
    <w:p w14:paraId="332155F4" w14:textId="655B3A0D" w:rsidR="17C4DDD5" w:rsidRPr="003A7E34" w:rsidRDefault="17C4DDD5" w:rsidP="007B1F6D">
      <w:pPr>
        <w:pStyle w:val="ListParagraph"/>
        <w:numPr>
          <w:ilvl w:val="0"/>
          <w:numId w:val="5"/>
        </w:numPr>
        <w:spacing w:after="0" w:line="240" w:lineRule="auto"/>
        <w:ind w:left="714" w:hanging="357"/>
        <w:contextualSpacing w:val="0"/>
        <w:rPr>
          <w:rFonts w:ascii="Times New Roman" w:hAnsi="Times New Roman" w:cs="Times New Roman"/>
          <w:lang w:val="en-US"/>
        </w:rPr>
      </w:pPr>
      <w:r w:rsidRPr="003A7E34">
        <w:rPr>
          <w:rFonts w:ascii="Times New Roman" w:eastAsia="Times New Roman" w:hAnsi="Times New Roman" w:cs="Times New Roman"/>
          <w:noProof/>
          <w:lang w:val="en-US"/>
        </w:rPr>
        <w:t xml:space="preserve"> implementation of the system of remote control of technological processes of the gas transmission system and collection of gas meter data in 2017-2019; </w:t>
      </w:r>
    </w:p>
    <w:p w14:paraId="4A7E7596" w14:textId="23F8D3EB" w:rsidR="17C4DDD5" w:rsidRPr="003A7E34" w:rsidRDefault="17C4DDD5" w:rsidP="007B1F6D">
      <w:pPr>
        <w:pStyle w:val="ListParagraph"/>
        <w:numPr>
          <w:ilvl w:val="0"/>
          <w:numId w:val="5"/>
        </w:numPr>
        <w:spacing w:after="0" w:line="240" w:lineRule="auto"/>
        <w:ind w:left="714" w:hanging="357"/>
        <w:contextualSpacing w:val="0"/>
        <w:rPr>
          <w:rFonts w:ascii="Times New Roman" w:hAnsi="Times New Roman" w:cs="Times New Roman"/>
          <w:lang w:val="en-US"/>
        </w:rPr>
      </w:pPr>
      <w:r w:rsidRPr="003A7E34">
        <w:rPr>
          <w:rFonts w:ascii="Times New Roman" w:eastAsia="Times New Roman" w:hAnsi="Times New Roman" w:cs="Times New Roman"/>
          <w:noProof/>
          <w:lang w:val="en-US"/>
        </w:rPr>
        <w:t xml:space="preserve">replacement of valve units and their connection to SCADA remote control system in 2018–2022; </w:t>
      </w:r>
    </w:p>
    <w:p w14:paraId="4DB022FA" w14:textId="551B4FB8" w:rsidR="17C4DDD5" w:rsidRPr="003A7E34" w:rsidRDefault="17C4DDD5" w:rsidP="007B1F6D">
      <w:pPr>
        <w:pStyle w:val="ListParagraph"/>
        <w:numPr>
          <w:ilvl w:val="0"/>
          <w:numId w:val="5"/>
        </w:numPr>
        <w:spacing w:after="0" w:line="240" w:lineRule="auto"/>
        <w:ind w:left="714" w:hanging="357"/>
        <w:contextualSpacing w:val="0"/>
        <w:rPr>
          <w:rFonts w:ascii="Times New Roman" w:hAnsi="Times New Roman" w:cs="Times New Roman"/>
          <w:lang w:val="en-US"/>
        </w:rPr>
      </w:pPr>
      <w:r w:rsidRPr="003A7E34">
        <w:rPr>
          <w:rFonts w:ascii="Times New Roman" w:eastAsia="Times New Roman" w:hAnsi="Times New Roman" w:cs="Times New Roman"/>
          <w:noProof/>
          <w:lang w:val="en-US"/>
        </w:rPr>
        <w:t xml:space="preserve"> reconstruction of individual sections of the gas transmission pipeline Vilnius– Panevėžys–Riga in 2017–2019; </w:t>
      </w:r>
    </w:p>
    <w:p w14:paraId="3D225880" w14:textId="733F145A" w:rsidR="17C4DDD5" w:rsidRPr="003A7E34" w:rsidRDefault="17C4DDD5" w:rsidP="007B1F6D">
      <w:pPr>
        <w:pStyle w:val="ListParagraph"/>
        <w:numPr>
          <w:ilvl w:val="0"/>
          <w:numId w:val="5"/>
        </w:numPr>
        <w:spacing w:after="0" w:line="240" w:lineRule="auto"/>
        <w:ind w:left="714" w:hanging="357"/>
        <w:contextualSpacing w:val="0"/>
        <w:rPr>
          <w:rFonts w:ascii="Times New Roman" w:hAnsi="Times New Roman" w:cs="Times New Roman"/>
          <w:lang w:val="en-US"/>
        </w:rPr>
      </w:pPr>
      <w:r w:rsidRPr="003A7E34">
        <w:rPr>
          <w:rFonts w:ascii="Times New Roman" w:eastAsia="Times New Roman" w:hAnsi="Times New Roman" w:cs="Times New Roman"/>
          <w:noProof/>
          <w:lang w:val="en-US"/>
        </w:rPr>
        <w:t xml:space="preserve"> modernization of Panevėžys gas compressor station in 2016–2018; </w:t>
      </w:r>
    </w:p>
    <w:p w14:paraId="129E6D79" w14:textId="5BD5C4B2" w:rsidR="17C4DDD5" w:rsidRPr="003A7E34" w:rsidRDefault="17C4DDD5" w:rsidP="007B1F6D">
      <w:pPr>
        <w:pStyle w:val="ListParagraph"/>
        <w:numPr>
          <w:ilvl w:val="0"/>
          <w:numId w:val="5"/>
        </w:numPr>
        <w:spacing w:after="0" w:line="240" w:lineRule="auto"/>
        <w:ind w:left="714" w:hanging="357"/>
        <w:contextualSpacing w:val="0"/>
        <w:rPr>
          <w:rFonts w:ascii="Times New Roman" w:hAnsi="Times New Roman" w:cs="Times New Roman"/>
          <w:lang w:val="en-US"/>
        </w:rPr>
      </w:pPr>
      <w:r w:rsidRPr="003A7E34">
        <w:rPr>
          <w:rFonts w:ascii="Times New Roman" w:eastAsia="Times New Roman" w:hAnsi="Times New Roman" w:cs="Times New Roman"/>
          <w:noProof/>
          <w:lang w:val="en-US"/>
        </w:rPr>
        <w:t xml:space="preserve"> modernization of Jonava M&amp;R Station in 2016–2018; </w:t>
      </w:r>
    </w:p>
    <w:p w14:paraId="4672C9A4" w14:textId="4D6A438D" w:rsidR="17C4DDD5" w:rsidRPr="003A7E34" w:rsidRDefault="17C4DDD5" w:rsidP="007B1F6D">
      <w:pPr>
        <w:pStyle w:val="ListParagraph"/>
        <w:numPr>
          <w:ilvl w:val="0"/>
          <w:numId w:val="5"/>
        </w:numPr>
        <w:spacing w:after="0" w:line="240" w:lineRule="auto"/>
        <w:ind w:left="714" w:hanging="357"/>
        <w:contextualSpacing w:val="0"/>
        <w:rPr>
          <w:rFonts w:ascii="Times New Roman" w:hAnsi="Times New Roman" w:cs="Times New Roman"/>
          <w:lang w:val="en-US"/>
        </w:rPr>
      </w:pPr>
      <w:r w:rsidRPr="003A7E34">
        <w:rPr>
          <w:rFonts w:ascii="Times New Roman" w:eastAsia="Times New Roman" w:hAnsi="Times New Roman" w:cs="Times New Roman"/>
          <w:noProof/>
          <w:lang w:val="en-US"/>
        </w:rPr>
        <w:t>modernization of Alytus M&amp;R Station in 2016–2018; - reconstruction of individual sections of the second part of the gas transmission pipeline Vilnius–Kaunas planned in 2019–2021.</w:t>
      </w:r>
    </w:p>
    <w:p w14:paraId="1831FFA9" w14:textId="77777777" w:rsidR="0095523E" w:rsidRPr="003A7E34" w:rsidRDefault="0095523E">
      <w:pPr>
        <w:rPr>
          <w:rFonts w:eastAsia="Times New Roman"/>
          <w:noProof/>
          <w:lang w:val="en-US"/>
        </w:rPr>
      </w:pPr>
    </w:p>
    <w:p w14:paraId="5129C717" w14:textId="5172ECF8" w:rsidR="0095523E" w:rsidRPr="003A7E34" w:rsidRDefault="0095523E" w:rsidP="00C42AAE">
      <w:pPr>
        <w:pStyle w:val="Heading3"/>
        <w:numPr>
          <w:ilvl w:val="2"/>
          <w:numId w:val="21"/>
        </w:numPr>
        <w:rPr>
          <w:rFonts w:eastAsia="Calibri" w:cs="Times New Roman"/>
          <w:noProof/>
          <w:lang w:val="en-US"/>
        </w:rPr>
      </w:pPr>
      <w:bookmarkStart w:id="168" w:name="_Toc530405596"/>
      <w:bookmarkStart w:id="169" w:name="_Toc530411827"/>
      <w:bookmarkStart w:id="170" w:name="_Toc530414176"/>
      <w:r w:rsidRPr="003A7E34">
        <w:rPr>
          <w:rFonts w:eastAsia="Times New Roman" w:cs="Times New Roman"/>
          <w:noProof/>
          <w:lang w:val="en-US"/>
        </w:rPr>
        <w:t>Electricity and gas markets, energy prices</w:t>
      </w:r>
      <w:bookmarkEnd w:id="168"/>
      <w:bookmarkEnd w:id="169"/>
      <w:bookmarkEnd w:id="170"/>
    </w:p>
    <w:p w14:paraId="699AE152" w14:textId="77777777" w:rsidR="0095523E" w:rsidRPr="003A7E34" w:rsidRDefault="0095523E" w:rsidP="00C42AAE">
      <w:pPr>
        <w:numPr>
          <w:ilvl w:val="3"/>
          <w:numId w:val="21"/>
        </w:numPr>
        <w:spacing w:before="0" w:after="200"/>
        <w:ind w:left="1560" w:hanging="284"/>
        <w:contextualSpacing/>
        <w:rPr>
          <w:rFonts w:eastAsia="Calibri"/>
          <w:noProof/>
          <w:lang w:val="en-US"/>
        </w:rPr>
      </w:pPr>
      <w:r w:rsidRPr="003A7E34">
        <w:rPr>
          <w:rFonts w:eastAsia="Times New Roman"/>
          <w:noProof/>
          <w:lang w:val="en-US"/>
        </w:rPr>
        <w:t xml:space="preserve">Current situation of electricity and gas markets, including energy prices </w:t>
      </w:r>
    </w:p>
    <w:p w14:paraId="75C2F408" w14:textId="77777777" w:rsidR="0095523E" w:rsidRPr="003A7E34" w:rsidRDefault="17C4DDD5" w:rsidP="17C4DDD5">
      <w:pPr>
        <w:rPr>
          <w:rFonts w:eastAsia="Times New Roman"/>
          <w:lang w:val="en-US"/>
        </w:rPr>
      </w:pPr>
      <w:r w:rsidRPr="003A7E34">
        <w:rPr>
          <w:rFonts w:eastAsia="Times New Roman"/>
          <w:lang w:val="en-US"/>
        </w:rPr>
        <w:t>In 2016, the total installed electricity-generating capacity in Lithuania was 3591 MW, 2222 MW out of it – reliable power for peak consumer demand. In 2016, the peak demand was 1979 MW. The projected peak demand will be 1980 MW in 2020, 2450 MW in 2030, and 3150 MW in 2050. At the same time, however, the reliable power is expected to decrease down to 2261 MW in 2020, and 1599 MW in 2030 and 2050. Therefore, one of the challenges to be solved in the near future will be the management of the imbalance between the increasing peak demand and the decreasing reliable power after 2020.</w:t>
      </w:r>
    </w:p>
    <w:p w14:paraId="3E56B545" w14:textId="06022D93" w:rsidR="17C4DDD5" w:rsidRPr="003A7E34" w:rsidRDefault="17C4DDD5" w:rsidP="17C4DDD5">
      <w:pPr>
        <w:rPr>
          <w:rFonts w:eastAsia="Times New Roman"/>
          <w:lang w:val="en-US"/>
        </w:rPr>
      </w:pPr>
    </w:p>
    <w:p w14:paraId="3BB96CBA" w14:textId="611043DC" w:rsidR="17C4DDD5" w:rsidRPr="003A7E34" w:rsidRDefault="17C4DDD5" w:rsidP="00796633">
      <w:pPr>
        <w:jc w:val="center"/>
        <w:rPr>
          <w:lang w:val="en-US"/>
        </w:rPr>
      </w:pPr>
      <w:r>
        <w:rPr>
          <w:noProof/>
          <w:lang w:val="en-US"/>
        </w:rPr>
        <w:lastRenderedPageBreak/>
        <w:drawing>
          <wp:inline distT="0" distB="0" distL="0" distR="0" wp14:anchorId="25F0C77B" wp14:editId="59547F96">
            <wp:extent cx="5095874" cy="2381249"/>
            <wp:effectExtent l="0" t="0" r="0" b="635"/>
            <wp:docPr id="7966933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9">
                      <a:extLst>
                        <a:ext uri="{28A0092B-C50C-407E-A947-70E740481C1C}">
                          <a14:useLocalDpi xmlns:a14="http://schemas.microsoft.com/office/drawing/2010/main" val="0"/>
                        </a:ext>
                      </a:extLst>
                    </a:blip>
                    <a:stretch>
                      <a:fillRect/>
                    </a:stretch>
                  </pic:blipFill>
                  <pic:spPr>
                    <a:xfrm>
                      <a:off x="0" y="0"/>
                      <a:ext cx="5095874" cy="2381249"/>
                    </a:xfrm>
                    <a:prstGeom prst="rect">
                      <a:avLst/>
                    </a:prstGeom>
                  </pic:spPr>
                </pic:pic>
              </a:graphicData>
            </a:graphic>
          </wp:inline>
        </w:drawing>
      </w:r>
    </w:p>
    <w:p w14:paraId="10ED294C" w14:textId="2E94987F" w:rsidR="17C4DDD5" w:rsidRPr="003A7E34" w:rsidRDefault="5E230566" w:rsidP="00796633">
      <w:pPr>
        <w:jc w:val="center"/>
        <w:rPr>
          <w:rFonts w:eastAsia="Times New Roman"/>
          <w:sz w:val="20"/>
          <w:szCs w:val="20"/>
          <w:lang w:val="en-US"/>
        </w:rPr>
      </w:pPr>
      <w:r w:rsidRPr="003A7E34">
        <w:rPr>
          <w:rFonts w:eastAsia="Times New Roman"/>
          <w:b/>
          <w:bCs/>
          <w:noProof/>
          <w:sz w:val="20"/>
          <w:szCs w:val="20"/>
          <w:lang w:val="en-US"/>
        </w:rPr>
        <w:t>Figure 4.5.3.1.</w:t>
      </w:r>
      <w:r w:rsidRPr="003A7E34">
        <w:rPr>
          <w:b/>
          <w:bCs/>
          <w:sz w:val="20"/>
          <w:szCs w:val="20"/>
          <w:lang w:val="en-US"/>
        </w:rPr>
        <w:t xml:space="preserve"> </w:t>
      </w:r>
      <w:r w:rsidRPr="003A7E34">
        <w:rPr>
          <w:rFonts w:eastAsia="Times New Roman"/>
          <w:sz w:val="20"/>
          <w:szCs w:val="20"/>
          <w:lang w:val="en-US"/>
        </w:rPr>
        <w:t>Electricity consumption in 2006–2016 according to consumer groups</w:t>
      </w:r>
    </w:p>
    <w:p w14:paraId="0EA9E2B6" w14:textId="52CFD4E7" w:rsidR="17C4DDD5" w:rsidRPr="003A7E34" w:rsidRDefault="17C4DDD5" w:rsidP="17C4DDD5">
      <w:pPr>
        <w:rPr>
          <w:rFonts w:eastAsia="Times New Roman"/>
          <w:b/>
          <w:bCs/>
          <w:sz w:val="20"/>
          <w:szCs w:val="20"/>
          <w:lang w:val="en-US"/>
        </w:rPr>
      </w:pPr>
    </w:p>
    <w:p w14:paraId="5318D0AA" w14:textId="368FFF5E" w:rsidR="0095523E" w:rsidRPr="003A7E34" w:rsidRDefault="0EF92348" w:rsidP="0EF92348">
      <w:pPr>
        <w:rPr>
          <w:rFonts w:eastAsia="Times New Roman"/>
          <w:lang w:val="en-US"/>
        </w:rPr>
      </w:pPr>
      <w:r w:rsidRPr="003A7E34">
        <w:rPr>
          <w:rFonts w:eastAsia="Times New Roman"/>
          <w:lang w:val="en-US"/>
        </w:rPr>
        <w:t>In 2016, Lithuania produced a total of 3.97 TWh of electricity. Half of all electricity produced in the country was generated by power plants using renewable energy sources. About 0.45 TWh of electricity was generated by hydropower plants (excluding Kruonis PSPP), 1.13 TWh – by wind turbines and about 0.44 TWh was produced by solar, biomass and biogas fired power plants. The remaining electricity was produced by conventional fuel-fired power plants. The largest share of electricity consumed in the country (about 72% of total electricity consumption or 68% of total electricity demand) was imported in Lithuania during 2016. Most of it (37%) was imported from Latvia and Estonia, (27%) – via NordBalt interconnection with Sweden, (5%) – via LitPol Link interconnection with Poland, and the rest (31%) – from third countries.</w:t>
      </w:r>
    </w:p>
    <w:p w14:paraId="3C15545A" w14:textId="38D45E76" w:rsidR="0EF92348" w:rsidRPr="003A7E34" w:rsidRDefault="0EF92348" w:rsidP="0EF92348">
      <w:pPr>
        <w:rPr>
          <w:rFonts w:eastAsia="Times New Roman"/>
          <w:lang w:val="en-US"/>
        </w:rPr>
      </w:pPr>
    </w:p>
    <w:p w14:paraId="7A09EA0A" w14:textId="30C81FBE" w:rsidR="0095523E" w:rsidRPr="003A7E34" w:rsidRDefault="17C4DDD5" w:rsidP="17C4DDD5">
      <w:pPr>
        <w:rPr>
          <w:rFonts w:eastAsia="Times New Roman"/>
          <w:lang w:val="en-US"/>
        </w:rPr>
      </w:pPr>
      <w:r w:rsidRPr="003A7E34">
        <w:rPr>
          <w:rFonts w:eastAsia="Times New Roman"/>
          <w:u w:val="single"/>
          <w:lang w:val="en-US"/>
        </w:rPr>
        <w:t xml:space="preserve">Price structure (2016): </w:t>
      </w:r>
    </w:p>
    <w:p w14:paraId="69646B21" w14:textId="4C409FFA" w:rsidR="0095523E" w:rsidRPr="003A7E34" w:rsidRDefault="0EF92348" w:rsidP="0EF92348">
      <w:pPr>
        <w:spacing w:after="0"/>
        <w:rPr>
          <w:rFonts w:eastAsia="Times New Roman"/>
          <w:lang w:val="en-US"/>
        </w:rPr>
      </w:pPr>
      <w:r w:rsidRPr="003A7E34">
        <w:rPr>
          <w:rFonts w:eastAsia="Times New Roman"/>
          <w:lang w:val="en-US"/>
        </w:rPr>
        <w:t>3.678 ct/kWh – purchase price</w:t>
      </w:r>
    </w:p>
    <w:p w14:paraId="4C6EC799" w14:textId="2A80FFA7" w:rsidR="0095523E" w:rsidRPr="003A7E34" w:rsidRDefault="0EF92348" w:rsidP="0EF92348">
      <w:pPr>
        <w:spacing w:before="0" w:after="0"/>
        <w:rPr>
          <w:rFonts w:eastAsia="Times New Roman"/>
          <w:lang w:val="en-US"/>
        </w:rPr>
      </w:pPr>
      <w:r w:rsidRPr="003A7E34">
        <w:rPr>
          <w:rFonts w:eastAsia="Times New Roman"/>
          <w:lang w:val="en-US"/>
        </w:rPr>
        <w:t>1.986 ct/kWh – distribution through low voltage grids max price cap</w:t>
      </w:r>
    </w:p>
    <w:p w14:paraId="50EC2707" w14:textId="71D0B95D" w:rsidR="0095523E" w:rsidRPr="003A7E34" w:rsidRDefault="0EF92348" w:rsidP="0EF92348">
      <w:pPr>
        <w:spacing w:before="0" w:after="0"/>
        <w:rPr>
          <w:rFonts w:eastAsia="Times New Roman"/>
          <w:lang w:val="en-US"/>
        </w:rPr>
      </w:pPr>
      <w:r w:rsidRPr="003A7E34">
        <w:rPr>
          <w:rFonts w:eastAsia="Times New Roman"/>
          <w:lang w:val="en-US"/>
        </w:rPr>
        <w:t>1.386 ct/kWh – public interest services</w:t>
      </w:r>
    </w:p>
    <w:p w14:paraId="0EA20758" w14:textId="6EE35B8D" w:rsidR="0095523E" w:rsidRPr="003A7E34" w:rsidRDefault="0EF92348" w:rsidP="0EF92348">
      <w:pPr>
        <w:spacing w:before="0" w:after="0"/>
        <w:rPr>
          <w:rFonts w:eastAsia="Times New Roman"/>
          <w:lang w:val="en-US"/>
        </w:rPr>
      </w:pPr>
      <w:r w:rsidRPr="003A7E34">
        <w:rPr>
          <w:rFonts w:eastAsia="Times New Roman"/>
          <w:lang w:val="en-US"/>
        </w:rPr>
        <w:t>0.830 ct/kWh – distribution through medium voltage network max price cap</w:t>
      </w:r>
    </w:p>
    <w:p w14:paraId="79007F9A" w14:textId="576B13B9" w:rsidR="0095523E" w:rsidRPr="003A7E34" w:rsidRDefault="0EF92348" w:rsidP="0EF92348">
      <w:pPr>
        <w:spacing w:before="0" w:after="0"/>
        <w:rPr>
          <w:rFonts w:eastAsia="Times New Roman"/>
          <w:lang w:val="en-US"/>
        </w:rPr>
      </w:pPr>
      <w:r w:rsidRPr="003A7E34">
        <w:rPr>
          <w:rFonts w:eastAsia="Times New Roman"/>
          <w:lang w:val="en-US"/>
        </w:rPr>
        <w:t>0.672 ct/kWh – transmission services max price cap</w:t>
      </w:r>
    </w:p>
    <w:p w14:paraId="232C1F79" w14:textId="5CA5854C" w:rsidR="0095523E" w:rsidRPr="003A7E34" w:rsidRDefault="0EF92348" w:rsidP="0EF92348">
      <w:pPr>
        <w:spacing w:before="0" w:after="0"/>
        <w:rPr>
          <w:rFonts w:eastAsia="Times New Roman"/>
          <w:lang w:val="en-US"/>
        </w:rPr>
      </w:pPr>
      <w:r w:rsidRPr="003A7E34">
        <w:rPr>
          <w:rFonts w:eastAsia="Times New Roman"/>
          <w:lang w:val="en-US"/>
        </w:rPr>
        <w:t>0.393 ct/kWh – price of system services</w:t>
      </w:r>
    </w:p>
    <w:p w14:paraId="6EC0276A" w14:textId="47589A1F" w:rsidR="0095523E" w:rsidRPr="003A7E34" w:rsidRDefault="0EF92348" w:rsidP="0EF92348">
      <w:pPr>
        <w:spacing w:before="0"/>
        <w:rPr>
          <w:rFonts w:eastAsia="Times New Roman"/>
          <w:lang w:val="en-US"/>
        </w:rPr>
      </w:pPr>
      <w:r w:rsidRPr="003A7E34">
        <w:rPr>
          <w:rFonts w:eastAsia="Times New Roman"/>
          <w:lang w:val="en-US"/>
        </w:rPr>
        <w:t>0.143 ct/kWh – public supply service price cap</w:t>
      </w:r>
    </w:p>
    <w:p w14:paraId="24CB6DBB" w14:textId="02860132" w:rsidR="0095523E" w:rsidRPr="003A7E34" w:rsidRDefault="0095523E" w:rsidP="17C4DDD5">
      <w:pPr>
        <w:rPr>
          <w:rFonts w:eastAsia="Times New Roman"/>
          <w:lang w:val="en-US"/>
        </w:rPr>
      </w:pPr>
    </w:p>
    <w:p w14:paraId="25367F18" w14:textId="77777777" w:rsidR="00C55C01" w:rsidRPr="003A7E34" w:rsidRDefault="00C55C01" w:rsidP="17C4DDD5">
      <w:pPr>
        <w:rPr>
          <w:rFonts w:eastAsia="Times New Roman"/>
          <w:lang w:val="en-US"/>
        </w:rPr>
      </w:pPr>
      <w:r w:rsidRPr="003A7E34">
        <w:rPr>
          <w:noProof/>
          <w:lang w:val="en-US"/>
        </w:rPr>
        <w:lastRenderedPageBreak/>
        <w:drawing>
          <wp:inline distT="0" distB="0" distL="0" distR="0" wp14:anchorId="70A14E50" wp14:editId="6B4A6016">
            <wp:extent cx="5514975" cy="3014663"/>
            <wp:effectExtent l="0" t="0" r="9525" b="14605"/>
            <wp:docPr id="12" name="Chart 12">
              <a:extLst xmlns:a="http://schemas.openxmlformats.org/drawingml/2006/main">
                <a:ext uri="{FF2B5EF4-FFF2-40B4-BE49-F238E27FC236}">
                  <a16:creationId xmlns:a16="http://schemas.microsoft.com/office/drawing/2014/main" id="{3176CD64-CDF9-4462-BABB-2761653F38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6426064" w14:textId="245FB510" w:rsidR="00CE7B5C" w:rsidRPr="003A7E34" w:rsidRDefault="000F7C2B" w:rsidP="00CE7B5C">
      <w:pPr>
        <w:rPr>
          <w:rFonts w:eastAsia="Times New Roman"/>
          <w:sz w:val="20"/>
          <w:szCs w:val="20"/>
          <w:lang w:val="en-US"/>
        </w:rPr>
      </w:pPr>
      <w:r w:rsidRPr="003A7E34">
        <w:rPr>
          <w:rFonts w:eastAsia="Times New Roman"/>
          <w:b/>
          <w:bCs/>
          <w:noProof/>
          <w:sz w:val="20"/>
          <w:szCs w:val="20"/>
          <w:lang w:val="en-US"/>
        </w:rPr>
        <w:t>Figure 4.5.3.2.</w:t>
      </w:r>
      <w:r w:rsidRPr="003A7E34">
        <w:rPr>
          <w:b/>
          <w:bCs/>
          <w:sz w:val="20"/>
          <w:szCs w:val="20"/>
          <w:lang w:val="en-US"/>
        </w:rPr>
        <w:t xml:space="preserve"> </w:t>
      </w:r>
      <w:r w:rsidR="00CE7B5C" w:rsidRPr="003A7E34">
        <w:rPr>
          <w:rFonts w:eastAsia="Times New Roman"/>
          <w:b/>
          <w:bCs/>
          <w:sz w:val="20"/>
          <w:szCs w:val="20"/>
          <w:lang w:val="en-US"/>
        </w:rPr>
        <w:t xml:space="preserve">Electricity prices for </w:t>
      </w:r>
      <w:r w:rsidR="00CE7B5C" w:rsidRPr="003A7E34">
        <w:rPr>
          <w:rFonts w:eastAsia="Times New Roman"/>
          <w:b/>
          <w:bCs/>
          <w:sz w:val="20"/>
          <w:szCs w:val="20"/>
        </w:rPr>
        <w:t xml:space="preserve">for </w:t>
      </w:r>
      <w:r w:rsidR="00CE7B5C" w:rsidRPr="003A7E34">
        <w:rPr>
          <w:rFonts w:eastAsia="Times New Roman"/>
          <w:b/>
          <w:bCs/>
          <w:sz w:val="20"/>
          <w:szCs w:val="20"/>
          <w:lang w:val="en-US"/>
        </w:rPr>
        <w:t>m</w:t>
      </w:r>
      <w:r w:rsidR="00CE7B5C" w:rsidRPr="003A7E34">
        <w:rPr>
          <w:rFonts w:eastAsia="Times New Roman"/>
          <w:b/>
          <w:sz w:val="20"/>
          <w:lang w:val="en-US"/>
        </w:rPr>
        <w:t>edium</w:t>
      </w:r>
      <w:r w:rsidR="00CE7B5C" w:rsidRPr="003A7E34">
        <w:rPr>
          <w:rFonts w:eastAsia="Times New Roman"/>
          <w:b/>
          <w:bCs/>
          <w:sz w:val="20"/>
          <w:szCs w:val="20"/>
        </w:rPr>
        <w:t xml:space="preserve"> size households</w:t>
      </w:r>
      <w:r w:rsidR="00835E87" w:rsidRPr="003A7E34">
        <w:rPr>
          <w:rFonts w:eastAsia="Times New Roman"/>
          <w:b/>
          <w:bCs/>
          <w:sz w:val="20"/>
          <w:szCs w:val="20"/>
        </w:rPr>
        <w:t>,</w:t>
      </w:r>
      <w:r w:rsidR="00CE7B5C" w:rsidRPr="003A7E34">
        <w:rPr>
          <w:rFonts w:eastAsia="Times New Roman"/>
          <w:b/>
          <w:bCs/>
          <w:sz w:val="20"/>
          <w:szCs w:val="20"/>
        </w:rPr>
        <w:t xml:space="preserve"> </w:t>
      </w:r>
      <w:r w:rsidR="00CE7B5C" w:rsidRPr="003A7E34">
        <w:rPr>
          <w:rFonts w:eastAsia="Times New Roman"/>
          <w:b/>
          <w:bCs/>
          <w:sz w:val="20"/>
          <w:szCs w:val="20"/>
          <w:lang w:val="en-US"/>
        </w:rPr>
        <w:t xml:space="preserve">2008–2017, </w:t>
      </w:r>
      <w:r w:rsidR="00CE7B5C" w:rsidRPr="003A7E34">
        <w:rPr>
          <w:rFonts w:eastAsia="Times New Roman"/>
          <w:b/>
          <w:bCs/>
          <w:sz w:val="20"/>
          <w:szCs w:val="20"/>
        </w:rPr>
        <w:t>EUR/</w:t>
      </w:r>
      <w:r w:rsidR="00CE7B5C" w:rsidRPr="003A7E34">
        <w:rPr>
          <w:rFonts w:eastAsia="Times New Roman"/>
          <w:b/>
          <w:bCs/>
          <w:sz w:val="20"/>
          <w:szCs w:val="20"/>
          <w:lang w:val="en-US"/>
        </w:rPr>
        <w:t>MWh (Eurostat)</w:t>
      </w:r>
    </w:p>
    <w:p w14:paraId="03A03F71" w14:textId="0AD77223" w:rsidR="000F7C2B" w:rsidRPr="003A7E34" w:rsidRDefault="000F7C2B" w:rsidP="000F7C2B">
      <w:pPr>
        <w:rPr>
          <w:rFonts w:eastAsia="Times New Roman"/>
          <w:sz w:val="20"/>
          <w:szCs w:val="20"/>
          <w:lang w:val="en-US"/>
        </w:rPr>
      </w:pPr>
    </w:p>
    <w:p w14:paraId="10AF1903" w14:textId="77777777" w:rsidR="00C55C01" w:rsidRPr="003A7E34" w:rsidRDefault="00C55C01" w:rsidP="17C4DDD5">
      <w:pPr>
        <w:rPr>
          <w:rFonts w:eastAsia="Times New Roman"/>
          <w:lang w:val="en-US"/>
        </w:rPr>
      </w:pPr>
    </w:p>
    <w:p w14:paraId="40D2B398" w14:textId="612312B9" w:rsidR="0095523E" w:rsidRPr="003A7E34" w:rsidRDefault="000F7C2B" w:rsidP="17C4DDD5">
      <w:pPr>
        <w:rPr>
          <w:rFonts w:eastAsia="Times New Roman"/>
          <w:lang w:val="en-US"/>
        </w:rPr>
      </w:pPr>
      <w:r w:rsidRPr="003A7E34">
        <w:rPr>
          <w:noProof/>
          <w:lang w:val="en-US"/>
        </w:rPr>
        <w:drawing>
          <wp:inline distT="0" distB="0" distL="0" distR="0" wp14:anchorId="47D6B515" wp14:editId="3B2AA426">
            <wp:extent cx="5514975" cy="3014663"/>
            <wp:effectExtent l="0" t="0" r="9525" b="14605"/>
            <wp:docPr id="15" name="Chart 15">
              <a:extLst xmlns:a="http://schemas.openxmlformats.org/drawingml/2006/main">
                <a:ext uri="{FF2B5EF4-FFF2-40B4-BE49-F238E27FC236}">
                  <a16:creationId xmlns:a16="http://schemas.microsoft.com/office/drawing/2014/main" id="{A3AC0F92-3966-4FCE-BEB7-81500E32BE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7314B09" w14:textId="27207CC7" w:rsidR="0095523E" w:rsidRPr="003A7E34" w:rsidRDefault="5E230566" w:rsidP="5E230566">
      <w:pPr>
        <w:rPr>
          <w:rFonts w:eastAsia="Times New Roman"/>
          <w:sz w:val="20"/>
          <w:szCs w:val="20"/>
          <w:lang w:val="en-US"/>
        </w:rPr>
      </w:pPr>
      <w:r w:rsidRPr="003A7E34">
        <w:rPr>
          <w:rFonts w:eastAsia="Times New Roman"/>
          <w:b/>
          <w:bCs/>
          <w:noProof/>
          <w:sz w:val="20"/>
          <w:szCs w:val="20"/>
          <w:lang w:val="en-US"/>
        </w:rPr>
        <w:t>Figure 4.5.3.</w:t>
      </w:r>
      <w:r w:rsidR="000F7C2B" w:rsidRPr="003A7E34">
        <w:rPr>
          <w:rFonts w:eastAsia="Times New Roman"/>
          <w:b/>
          <w:bCs/>
          <w:noProof/>
          <w:sz w:val="20"/>
          <w:szCs w:val="20"/>
          <w:lang w:val="en-US"/>
        </w:rPr>
        <w:t>3</w:t>
      </w:r>
      <w:r w:rsidRPr="003A7E34">
        <w:rPr>
          <w:rFonts w:eastAsia="Times New Roman"/>
          <w:b/>
          <w:bCs/>
          <w:noProof/>
          <w:sz w:val="20"/>
          <w:szCs w:val="20"/>
          <w:lang w:val="en-US"/>
        </w:rPr>
        <w:t>.</w:t>
      </w:r>
      <w:r w:rsidRPr="003A7E34">
        <w:rPr>
          <w:b/>
          <w:bCs/>
          <w:sz w:val="20"/>
          <w:szCs w:val="20"/>
          <w:lang w:val="en-US"/>
        </w:rPr>
        <w:t xml:space="preserve"> </w:t>
      </w:r>
      <w:r w:rsidRPr="003A7E34">
        <w:rPr>
          <w:rFonts w:eastAsia="Times New Roman"/>
          <w:b/>
          <w:bCs/>
          <w:sz w:val="20"/>
          <w:szCs w:val="20"/>
          <w:lang w:val="en-US"/>
        </w:rPr>
        <w:t xml:space="preserve">Electricity prices for </w:t>
      </w:r>
      <w:r w:rsidR="000F7C2B" w:rsidRPr="003A7E34">
        <w:rPr>
          <w:rFonts w:eastAsia="Times New Roman"/>
          <w:b/>
          <w:bCs/>
          <w:sz w:val="20"/>
          <w:szCs w:val="20"/>
        </w:rPr>
        <w:t xml:space="preserve">for </w:t>
      </w:r>
      <w:r w:rsidR="000F7C2B" w:rsidRPr="003A7E34">
        <w:rPr>
          <w:rFonts w:eastAsia="Times New Roman"/>
          <w:b/>
          <w:bCs/>
          <w:sz w:val="20"/>
          <w:szCs w:val="20"/>
          <w:lang w:val="en-US"/>
        </w:rPr>
        <w:t>m</w:t>
      </w:r>
      <w:r w:rsidR="000F7C2B" w:rsidRPr="003A7E34">
        <w:rPr>
          <w:rFonts w:eastAsia="Times New Roman"/>
          <w:b/>
          <w:sz w:val="20"/>
          <w:lang w:val="en-US"/>
        </w:rPr>
        <w:t>edium</w:t>
      </w:r>
      <w:r w:rsidR="000F7C2B" w:rsidRPr="003A7E34">
        <w:rPr>
          <w:rFonts w:eastAsia="Times New Roman"/>
          <w:b/>
          <w:bCs/>
          <w:sz w:val="20"/>
          <w:szCs w:val="20"/>
        </w:rPr>
        <w:t xml:space="preserve"> size industries</w:t>
      </w:r>
      <w:r w:rsidR="00835E87" w:rsidRPr="003A7E34">
        <w:rPr>
          <w:rFonts w:eastAsia="Times New Roman"/>
          <w:b/>
          <w:bCs/>
          <w:sz w:val="20"/>
          <w:szCs w:val="20"/>
        </w:rPr>
        <w:t>,</w:t>
      </w:r>
      <w:r w:rsidR="000F7C2B" w:rsidRPr="003A7E34">
        <w:rPr>
          <w:rFonts w:eastAsia="Times New Roman"/>
          <w:b/>
          <w:bCs/>
          <w:sz w:val="20"/>
          <w:szCs w:val="20"/>
        </w:rPr>
        <w:t xml:space="preserve"> </w:t>
      </w:r>
      <w:r w:rsidRPr="003A7E34">
        <w:rPr>
          <w:rFonts w:eastAsia="Times New Roman"/>
          <w:b/>
          <w:bCs/>
          <w:sz w:val="20"/>
          <w:szCs w:val="20"/>
          <w:lang w:val="en-US"/>
        </w:rPr>
        <w:t>2008–2017</w:t>
      </w:r>
      <w:r w:rsidR="000F7C2B" w:rsidRPr="003A7E34">
        <w:rPr>
          <w:rFonts w:eastAsia="Times New Roman"/>
          <w:b/>
          <w:bCs/>
          <w:sz w:val="20"/>
          <w:szCs w:val="20"/>
          <w:lang w:val="en-US"/>
        </w:rPr>
        <w:t xml:space="preserve">, </w:t>
      </w:r>
      <w:r w:rsidR="000F7C2B" w:rsidRPr="003A7E34">
        <w:rPr>
          <w:rFonts w:eastAsia="Times New Roman"/>
          <w:b/>
          <w:bCs/>
          <w:sz w:val="20"/>
          <w:szCs w:val="20"/>
        </w:rPr>
        <w:t>EUR/</w:t>
      </w:r>
      <w:r w:rsidR="000F7C2B" w:rsidRPr="003A7E34">
        <w:rPr>
          <w:rFonts w:eastAsia="Times New Roman"/>
          <w:b/>
          <w:bCs/>
          <w:sz w:val="20"/>
          <w:szCs w:val="20"/>
          <w:lang w:val="en-US"/>
        </w:rPr>
        <w:t>MWh</w:t>
      </w:r>
      <w:r w:rsidRPr="003A7E34">
        <w:rPr>
          <w:rFonts w:eastAsia="Times New Roman"/>
          <w:b/>
          <w:bCs/>
          <w:sz w:val="20"/>
          <w:szCs w:val="20"/>
          <w:lang w:val="en-US"/>
        </w:rPr>
        <w:t xml:space="preserve"> (Eurostat)</w:t>
      </w:r>
    </w:p>
    <w:p w14:paraId="27C1E94A" w14:textId="7411322D" w:rsidR="0095523E" w:rsidRPr="003A7E34" w:rsidRDefault="0095523E" w:rsidP="17C4DDD5">
      <w:pPr>
        <w:rPr>
          <w:rFonts w:eastAsia="Times New Roman"/>
          <w:lang w:val="en-US"/>
        </w:rPr>
      </w:pPr>
    </w:p>
    <w:p w14:paraId="5CB51221" w14:textId="1145B495" w:rsidR="0095523E" w:rsidRPr="003A7E34" w:rsidRDefault="17C4DDD5" w:rsidP="17C4DDD5">
      <w:pPr>
        <w:rPr>
          <w:rFonts w:eastAsia="Times New Roman"/>
          <w:lang w:val="en-US"/>
        </w:rPr>
      </w:pPr>
      <w:r w:rsidRPr="003A7E34">
        <w:rPr>
          <w:rFonts w:eastAsia="Times New Roman"/>
          <w:lang w:val="en-US"/>
        </w:rPr>
        <w:t xml:space="preserve">The share of natural gas in the country’s overall consumption of fuel and energy remains significant (25.1% in 2016), yet as of 2012, there has been a downward trend (35.9% in 2012). From 2006 to 2012, the country’s natural gas needs ranged around 33.5 TWh, while in 2013–2016, due to the increasing use of renewable resources, the overall consumption of natural gas decreased to 23.38 TWh. In 2016, 65% of </w:t>
      </w:r>
      <w:r w:rsidRPr="003A7E34">
        <w:rPr>
          <w:rFonts w:eastAsia="Times New Roman"/>
          <w:lang w:val="en-US"/>
        </w:rPr>
        <w:lastRenderedPageBreak/>
        <w:t>natural gas imported in Lithuania was consumed in industry (the majority in the production of fertilisers), 21% in the energy sector, and 14% in households and the small commercial sector.</w:t>
      </w:r>
    </w:p>
    <w:p w14:paraId="23147E22" w14:textId="2260F88C" w:rsidR="17C4DDD5" w:rsidRPr="003A7E34" w:rsidRDefault="17C4DDD5" w:rsidP="17C4DDD5">
      <w:pPr>
        <w:rPr>
          <w:rFonts w:eastAsia="Times New Roman"/>
          <w:lang w:val="en-US"/>
        </w:rPr>
      </w:pPr>
    </w:p>
    <w:p w14:paraId="7D2BE02F" w14:textId="00F6FE18" w:rsidR="0011206E" w:rsidRPr="003A7E34" w:rsidRDefault="0011206E" w:rsidP="17C4DDD5">
      <w:pPr>
        <w:rPr>
          <w:rFonts w:eastAsia="Times New Roman"/>
          <w:lang w:val="en-US"/>
        </w:rPr>
      </w:pPr>
      <w:r w:rsidRPr="003A7E34">
        <w:rPr>
          <w:noProof/>
          <w:lang w:val="en-US"/>
        </w:rPr>
        <w:drawing>
          <wp:inline distT="0" distB="0" distL="0" distR="0" wp14:anchorId="3DDDDF69" wp14:editId="2DFAEA00">
            <wp:extent cx="5514975" cy="3014663"/>
            <wp:effectExtent l="0" t="0" r="9525" b="14605"/>
            <wp:docPr id="25" name="Chart 25">
              <a:extLst xmlns:a="http://schemas.openxmlformats.org/drawingml/2006/main">
                <a:ext uri="{FF2B5EF4-FFF2-40B4-BE49-F238E27FC236}">
                  <a16:creationId xmlns:a16="http://schemas.microsoft.com/office/drawing/2014/main" id="{59B3BF76-0476-4D05-AD99-E70D72976A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E7EA29B" w14:textId="5386AF22" w:rsidR="0011206E" w:rsidRPr="003A7E34" w:rsidRDefault="003D3D75" w:rsidP="17C4DDD5">
      <w:pPr>
        <w:rPr>
          <w:rFonts w:eastAsia="Times New Roman"/>
          <w:lang w:val="en-US"/>
        </w:rPr>
      </w:pPr>
      <w:r w:rsidRPr="003A7E34">
        <w:rPr>
          <w:rFonts w:eastAsia="Times New Roman"/>
          <w:b/>
          <w:bCs/>
          <w:noProof/>
          <w:sz w:val="20"/>
          <w:szCs w:val="20"/>
          <w:lang w:val="en-US"/>
        </w:rPr>
        <w:t>Figure 4.5.3.</w:t>
      </w:r>
      <w:r w:rsidR="00D74C8B" w:rsidRPr="003A7E34">
        <w:rPr>
          <w:rFonts w:eastAsia="Times New Roman"/>
          <w:b/>
          <w:bCs/>
          <w:noProof/>
          <w:sz w:val="20"/>
          <w:szCs w:val="20"/>
          <w:lang w:val="en-US"/>
        </w:rPr>
        <w:t>4</w:t>
      </w:r>
      <w:r w:rsidRPr="003A7E34">
        <w:rPr>
          <w:rFonts w:eastAsia="Times New Roman"/>
          <w:b/>
          <w:bCs/>
          <w:noProof/>
          <w:sz w:val="20"/>
          <w:szCs w:val="20"/>
          <w:lang w:val="en-US"/>
        </w:rPr>
        <w:t>.</w:t>
      </w:r>
      <w:r w:rsidRPr="003A7E34">
        <w:rPr>
          <w:b/>
          <w:bCs/>
          <w:sz w:val="20"/>
          <w:szCs w:val="20"/>
          <w:lang w:val="en-US"/>
        </w:rPr>
        <w:t xml:space="preserve"> </w:t>
      </w:r>
      <w:r w:rsidRPr="003A7E34">
        <w:rPr>
          <w:rFonts w:eastAsia="Times New Roman"/>
          <w:b/>
          <w:bCs/>
          <w:sz w:val="20"/>
          <w:szCs w:val="20"/>
          <w:lang w:val="en-US"/>
        </w:rPr>
        <w:t>Natural gas prices for for medium size households, EUR/GJ, 2008–2017 (Eurostat)</w:t>
      </w:r>
    </w:p>
    <w:p w14:paraId="791A1AA6" w14:textId="77777777" w:rsidR="003D3D75" w:rsidRPr="003A7E34" w:rsidRDefault="003D3D75" w:rsidP="17C4DDD5">
      <w:pPr>
        <w:rPr>
          <w:rFonts w:eastAsia="Times New Roman"/>
          <w:lang w:val="en-US"/>
        </w:rPr>
      </w:pPr>
    </w:p>
    <w:p w14:paraId="7CC28E05" w14:textId="642F1FB5" w:rsidR="0011206E" w:rsidRPr="003A7E34" w:rsidRDefault="003D3D75" w:rsidP="17C4DDD5">
      <w:pPr>
        <w:rPr>
          <w:rFonts w:eastAsia="Times New Roman"/>
          <w:lang w:val="en-US"/>
        </w:rPr>
      </w:pPr>
      <w:r w:rsidRPr="003A7E34">
        <w:rPr>
          <w:noProof/>
          <w:lang w:val="en-US"/>
        </w:rPr>
        <w:drawing>
          <wp:inline distT="0" distB="0" distL="0" distR="0" wp14:anchorId="7EE05A7C" wp14:editId="06B1E754">
            <wp:extent cx="5514975" cy="3014663"/>
            <wp:effectExtent l="0" t="0" r="9525" b="14605"/>
            <wp:docPr id="26" name="Chart 26">
              <a:extLst xmlns:a="http://schemas.openxmlformats.org/drawingml/2006/main">
                <a:ext uri="{FF2B5EF4-FFF2-40B4-BE49-F238E27FC236}">
                  <a16:creationId xmlns:a16="http://schemas.microsoft.com/office/drawing/2014/main" id="{C011B029-B8C9-47AB-93F7-F6386D496F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90AE21A" w14:textId="305A9042" w:rsidR="003D3D75" w:rsidRPr="003A7E34" w:rsidRDefault="003D3D75" w:rsidP="003D3D75">
      <w:pPr>
        <w:rPr>
          <w:rFonts w:eastAsia="Times New Roman"/>
          <w:b/>
          <w:bCs/>
          <w:sz w:val="20"/>
          <w:szCs w:val="20"/>
          <w:lang w:val="en-US"/>
        </w:rPr>
      </w:pPr>
      <w:r w:rsidRPr="003A7E34">
        <w:rPr>
          <w:rFonts w:eastAsia="Times New Roman"/>
          <w:b/>
          <w:bCs/>
          <w:noProof/>
          <w:sz w:val="20"/>
          <w:szCs w:val="20"/>
          <w:lang w:val="en-US"/>
        </w:rPr>
        <w:t>Figure 4.5.3.</w:t>
      </w:r>
      <w:r w:rsidR="00D74C8B" w:rsidRPr="003A7E34">
        <w:rPr>
          <w:rFonts w:eastAsia="Times New Roman"/>
          <w:b/>
          <w:bCs/>
          <w:noProof/>
          <w:sz w:val="20"/>
          <w:szCs w:val="20"/>
          <w:lang w:val="en-US"/>
        </w:rPr>
        <w:t>5</w:t>
      </w:r>
      <w:r w:rsidRPr="003A7E34">
        <w:rPr>
          <w:rFonts w:eastAsia="Times New Roman"/>
          <w:b/>
          <w:bCs/>
          <w:noProof/>
          <w:sz w:val="20"/>
          <w:szCs w:val="20"/>
          <w:lang w:val="en-US"/>
        </w:rPr>
        <w:t>.</w:t>
      </w:r>
      <w:r w:rsidRPr="003A7E34">
        <w:rPr>
          <w:b/>
          <w:bCs/>
          <w:sz w:val="20"/>
          <w:szCs w:val="20"/>
          <w:lang w:val="en-US"/>
        </w:rPr>
        <w:t xml:space="preserve"> </w:t>
      </w:r>
      <w:r w:rsidRPr="003A7E34">
        <w:rPr>
          <w:rFonts w:eastAsia="Times New Roman"/>
          <w:b/>
          <w:bCs/>
          <w:sz w:val="20"/>
          <w:szCs w:val="20"/>
          <w:lang w:val="en-US"/>
        </w:rPr>
        <w:t xml:space="preserve">Natural gas prices for </w:t>
      </w:r>
      <w:r w:rsidR="00835E87" w:rsidRPr="003A7E34">
        <w:rPr>
          <w:rFonts w:eastAsia="Times New Roman"/>
          <w:b/>
          <w:bCs/>
          <w:sz w:val="20"/>
          <w:szCs w:val="20"/>
          <w:lang w:val="en-US"/>
        </w:rPr>
        <w:t>medium size industries, EUR/GJ</w:t>
      </w:r>
      <w:r w:rsidR="00D74C8B" w:rsidRPr="003A7E34">
        <w:rPr>
          <w:rFonts w:eastAsia="Times New Roman"/>
          <w:b/>
          <w:bCs/>
          <w:sz w:val="20"/>
          <w:szCs w:val="20"/>
          <w:lang w:val="en-US"/>
        </w:rPr>
        <w:t xml:space="preserve">, </w:t>
      </w:r>
      <w:r w:rsidRPr="003A7E34">
        <w:rPr>
          <w:rFonts w:eastAsia="Times New Roman"/>
          <w:b/>
          <w:bCs/>
          <w:sz w:val="20"/>
          <w:szCs w:val="20"/>
          <w:lang w:val="en-US"/>
        </w:rPr>
        <w:t>2008–2017 (Eurostat)</w:t>
      </w:r>
    </w:p>
    <w:p w14:paraId="46226235" w14:textId="63C4297E" w:rsidR="17C4DDD5" w:rsidRPr="003A7E34" w:rsidRDefault="17C4DDD5" w:rsidP="17C4DDD5">
      <w:pPr>
        <w:rPr>
          <w:rFonts w:eastAsia="Times New Roman"/>
          <w:lang w:val="en-US"/>
        </w:rPr>
      </w:pPr>
    </w:p>
    <w:p w14:paraId="29856929" w14:textId="60DE5560" w:rsidR="0095523E" w:rsidRPr="003A7E34" w:rsidRDefault="17C4DDD5" w:rsidP="17C4DDD5">
      <w:pPr>
        <w:rPr>
          <w:rFonts w:eastAsia="Times New Roman"/>
          <w:lang w:val="en-US"/>
        </w:rPr>
      </w:pPr>
      <w:r w:rsidRPr="003A7E34">
        <w:rPr>
          <w:rFonts w:eastAsia="Times New Roman"/>
          <w:lang w:val="en-US"/>
        </w:rPr>
        <w:t xml:space="preserve">Following the completion of the liquefied natural gas terminal in Klaipėda and the EU Third Energy Package in late 2014, and the second gas pipeline Klaipėda-Kuršėnai in 2015, the situation in the natural gas market </w:t>
      </w:r>
      <w:r w:rsidRPr="003A7E34">
        <w:rPr>
          <w:rFonts w:eastAsia="Times New Roman"/>
          <w:lang w:val="en-US"/>
        </w:rPr>
        <w:lastRenderedPageBreak/>
        <w:t>has been substantially improved by enabling acquisition of natural gas in international markets, eliminating decades-old monopoly in the natural gas sector and creating competition. Lithuania has become able to independently supply itself with natural gas (and to supply significant quantities to the Baltic region) through the LNG terminal in the event of a disruption of supply from Russia or a lack of competitiveness. In 2016, 60% of the natural gas consumed in Lithuania was imported through the Klaipėda LNG terminal. These significant changes in the natural gas sector as well as favorable trends in international markets have led to a 50% decrease in the price of imported natural gas in Lithuania from 2012 to 2016, transforming Lithuania from one of the highest prices for natural gas paying EU members to one of the lowest price natural gas paying EU members. Considering the results achieved, the global dynamics of the LNG market and the potential of the regional natural gas market, it is strategically important for Lithuania to secure long-term LNG supply in order to ensure a competitive and reliable supply of natural gas.</w:t>
      </w:r>
    </w:p>
    <w:p w14:paraId="76EBC019" w14:textId="77777777" w:rsidR="00E61F0A" w:rsidRPr="003A7E34" w:rsidRDefault="00E61F0A">
      <w:pPr>
        <w:rPr>
          <w:rFonts w:eastAsia="Times New Roman"/>
          <w:lang w:val="en-US"/>
        </w:rPr>
      </w:pPr>
    </w:p>
    <w:p w14:paraId="7E201651" w14:textId="62844FE7" w:rsidR="0095523E" w:rsidRPr="003A7E34" w:rsidRDefault="00E70E99">
      <w:pPr>
        <w:rPr>
          <w:rFonts w:eastAsia="Times New Roman"/>
          <w:b/>
          <w:bCs/>
          <w:noProof/>
          <w:lang w:val="en-US"/>
        </w:rPr>
      </w:pPr>
      <w:r w:rsidRPr="003A7E34">
        <w:rPr>
          <w:noProof/>
          <w:lang w:val="en-US"/>
        </w:rPr>
        <w:drawing>
          <wp:inline distT="0" distB="0" distL="0" distR="0" wp14:anchorId="08FA38EC" wp14:editId="565510A5">
            <wp:extent cx="5661329" cy="2743200"/>
            <wp:effectExtent l="0" t="0" r="0" b="0"/>
            <wp:docPr id="924993444" name="Diagrama 9249934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0052C1F" w14:textId="0349D62D" w:rsidR="0095523E" w:rsidRPr="003A7E34" w:rsidRDefault="5E230566" w:rsidP="5E230566">
      <w:pPr>
        <w:jc w:val="center"/>
        <w:rPr>
          <w:rFonts w:eastAsia="Times New Roman"/>
          <w:noProof/>
          <w:lang w:val="en-US"/>
        </w:rPr>
      </w:pPr>
      <w:r w:rsidRPr="003A7E34">
        <w:rPr>
          <w:rFonts w:eastAsia="Times New Roman"/>
          <w:b/>
          <w:bCs/>
          <w:noProof/>
          <w:sz w:val="20"/>
          <w:szCs w:val="20"/>
          <w:lang w:val="en-US"/>
        </w:rPr>
        <w:t>Figure 4.2.5.4.</w:t>
      </w:r>
      <w:r w:rsidRPr="003A7E34">
        <w:rPr>
          <w:rFonts w:eastAsia="Times New Roman"/>
          <w:sz w:val="20"/>
          <w:szCs w:val="20"/>
          <w:lang w:val="en-US"/>
        </w:rPr>
        <w:t xml:space="preserve"> Average import price of natural gas in 2007–2016, EUR/MWh</w:t>
      </w:r>
    </w:p>
    <w:p w14:paraId="5E5399D9" w14:textId="44873C1A" w:rsidR="0095523E" w:rsidRPr="003A7E34" w:rsidRDefault="0095523E" w:rsidP="00EA50D6">
      <w:pPr>
        <w:spacing w:before="0" w:after="160" w:line="259" w:lineRule="auto"/>
        <w:jc w:val="left"/>
        <w:rPr>
          <w:rFonts w:eastAsia="Times New Roman"/>
          <w:noProof/>
          <w:lang w:val="en-US"/>
        </w:rPr>
      </w:pPr>
    </w:p>
    <w:p w14:paraId="4841F206" w14:textId="77777777" w:rsidR="0095523E" w:rsidRPr="003A7E34" w:rsidRDefault="0095523E" w:rsidP="001B5D52">
      <w:pPr>
        <w:numPr>
          <w:ilvl w:val="3"/>
          <w:numId w:val="21"/>
        </w:numPr>
        <w:spacing w:before="0"/>
        <w:ind w:left="1560" w:hanging="284"/>
        <w:rPr>
          <w:rFonts w:eastAsia="Calibri"/>
          <w:noProof/>
          <w:lang w:val="en-US"/>
        </w:rPr>
      </w:pPr>
      <w:r w:rsidRPr="003A7E34">
        <w:rPr>
          <w:rFonts w:eastAsia="Times New Roman"/>
          <w:noProof/>
          <w:lang w:val="en-US"/>
        </w:rPr>
        <w:t>Projections of development with existing policies and measures at least until 2040 (including for the year 2030)</w:t>
      </w:r>
    </w:p>
    <w:p w14:paraId="24EEA201" w14:textId="77777777" w:rsidR="0095523E" w:rsidRPr="003A7E34" w:rsidRDefault="0095523E">
      <w:pPr>
        <w:rPr>
          <w:rFonts w:eastAsia="Times New Roman"/>
          <w:lang w:val="en-US"/>
        </w:rPr>
      </w:pPr>
      <w:r w:rsidRPr="003A7E34">
        <w:rPr>
          <w:rFonts w:eastAsia="Times New Roman"/>
          <w:lang w:val="en-US"/>
        </w:rPr>
        <w:t>The aim is to switch from regulated electricity prices to electricity in the market-based model, based on the laws of supply and demand. The European Union will promote consumer empowerment (decentralized system development, distributed generation, greatly increasing installed renewable resources of the system, particularly in the household sector), the future will be aimed at the domestic consumers to fully participate in the electricity market together with other market participants. Renewable integration will be widely used in user load response (load management) and energy storage systems and aimed to improve efficiency as possible, decarbonization process to achieve at the lowest cost. The average market price for electricity in the last few years has been quite dynamic.</w:t>
      </w:r>
    </w:p>
    <w:p w14:paraId="71C9C153" w14:textId="074BD868" w:rsidR="0095523E" w:rsidRPr="003A7E34" w:rsidRDefault="17C4DDD5" w:rsidP="17C4DDD5">
      <w:pPr>
        <w:rPr>
          <w:rFonts w:eastAsia="Times New Roman"/>
          <w:lang w:val="en-US"/>
        </w:rPr>
      </w:pPr>
      <w:r w:rsidRPr="003A7E34">
        <w:rPr>
          <w:rFonts w:eastAsia="Times New Roman"/>
          <w:lang w:val="en-US"/>
        </w:rPr>
        <w:t xml:space="preserve">It is anticipated that in Lithuania natural gas will remain an important energy resource for the transition to a low-carbon economy in 2050. In 2020–2030, the demand for natural gas in the country will reach 20.4–20.9 TWh, of which about 51% will be comprised of the demand for gas as a raw material in the fertilizer industry. The demand for natural gas is expected to increase to 24.5 TWh by 2040 and consumption of natural gas as a raw material for fertilizer production (non-energy use) is expected to amount to 44%. The increase of natural gas consumption as a primary energy resource in the country is associated with an </w:t>
      </w:r>
      <w:r w:rsidRPr="003A7E34">
        <w:rPr>
          <w:rFonts w:eastAsia="Times New Roman"/>
          <w:lang w:val="en-US"/>
        </w:rPr>
        <w:lastRenderedPageBreak/>
        <w:t>increase in the RES balancing needs in the production of electricity and heat. In 2050, the total consumption of natural gas in the country will be 20 TWh, of which 55% will be consumed for non-energy purposes (fertilizer production).</w:t>
      </w:r>
    </w:p>
    <w:p w14:paraId="156167B9" w14:textId="77777777" w:rsidR="00E61F0A" w:rsidRPr="003A7E34" w:rsidRDefault="00E61F0A">
      <w:pPr>
        <w:rPr>
          <w:rFonts w:eastAsia="Times New Roman"/>
          <w:lang w:val="en-US"/>
        </w:rPr>
      </w:pPr>
    </w:p>
    <w:p w14:paraId="640A797F" w14:textId="08E040B2" w:rsidR="0095523E" w:rsidRPr="003A7E34" w:rsidRDefault="000F02FA">
      <w:pPr>
        <w:rPr>
          <w:rFonts w:eastAsia="Times New Roman"/>
          <w:sz w:val="20"/>
          <w:szCs w:val="20"/>
          <w:lang w:val="en-US"/>
        </w:rPr>
      </w:pPr>
      <w:r w:rsidRPr="003A7E34">
        <w:rPr>
          <w:noProof/>
          <w:lang w:val="en-US"/>
        </w:rPr>
        <w:drawing>
          <wp:inline distT="0" distB="0" distL="0" distR="0" wp14:anchorId="3AC30CF6" wp14:editId="37A9F071">
            <wp:extent cx="6070060" cy="2743200"/>
            <wp:effectExtent l="0" t="0" r="6985" b="0"/>
            <wp:docPr id="31" name="Chart 31">
              <a:extLst xmlns:a="http://schemas.openxmlformats.org/drawingml/2006/main">
                <a:ext uri="{FF2B5EF4-FFF2-40B4-BE49-F238E27FC236}">
                  <a16:creationId xmlns:a16="http://schemas.microsoft.com/office/drawing/2014/main" id="{025C3941-6590-4DE8-83FF-3CA7434E3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0E3F002" w14:textId="746388EA" w:rsidR="0095523E" w:rsidRPr="003A7E34" w:rsidRDefault="5E230566" w:rsidP="00903D51">
      <w:pPr>
        <w:jc w:val="center"/>
        <w:rPr>
          <w:rFonts w:eastAsia="Times New Roman"/>
          <w:sz w:val="20"/>
          <w:szCs w:val="20"/>
          <w:lang w:val="en-US"/>
        </w:rPr>
      </w:pPr>
      <w:r w:rsidRPr="003A7E34">
        <w:rPr>
          <w:rFonts w:eastAsia="Times New Roman"/>
          <w:b/>
          <w:bCs/>
          <w:noProof/>
          <w:sz w:val="20"/>
          <w:szCs w:val="20"/>
          <w:lang w:val="en-US"/>
        </w:rPr>
        <w:t>Figure 4.5.3.5.</w:t>
      </w:r>
      <w:r w:rsidR="00C158BD" w:rsidRPr="003A7E34">
        <w:rPr>
          <w:rFonts w:eastAsia="Times New Roman"/>
          <w:b/>
          <w:bCs/>
          <w:noProof/>
          <w:sz w:val="20"/>
          <w:szCs w:val="20"/>
          <w:lang w:val="en-US"/>
        </w:rPr>
        <w:t xml:space="preserve"> </w:t>
      </w:r>
      <w:r w:rsidRPr="003A7E34">
        <w:rPr>
          <w:rFonts w:eastAsia="Times New Roman"/>
          <w:sz w:val="20"/>
          <w:szCs w:val="20"/>
          <w:lang w:val="en-US"/>
        </w:rPr>
        <w:t>Forecast of average natural gas prices to end consumers' in Lithuania, EUR/MWh</w:t>
      </w:r>
      <w:r w:rsidR="00C3219E" w:rsidRPr="003A7E34">
        <w:rPr>
          <w:rStyle w:val="FootnoteReference"/>
          <w:rFonts w:eastAsia="Times New Roman"/>
          <w:sz w:val="20"/>
          <w:szCs w:val="20"/>
          <w:lang w:val="en-US"/>
        </w:rPr>
        <w:footnoteReference w:id="50"/>
      </w:r>
    </w:p>
    <w:p w14:paraId="437B1B4C" w14:textId="77777777" w:rsidR="0095523E" w:rsidRPr="003A7E34" w:rsidRDefault="0095523E">
      <w:pPr>
        <w:rPr>
          <w:rFonts w:eastAsia="Times New Roman"/>
          <w:noProof/>
          <w:lang w:val="en-US"/>
        </w:rPr>
      </w:pPr>
    </w:p>
    <w:p w14:paraId="64D310A5" w14:textId="18A55410" w:rsidR="0095523E" w:rsidRPr="003A7E34" w:rsidRDefault="0095523E" w:rsidP="00C42AAE">
      <w:pPr>
        <w:pStyle w:val="Heading2"/>
        <w:numPr>
          <w:ilvl w:val="1"/>
          <w:numId w:val="21"/>
        </w:numPr>
        <w:rPr>
          <w:rFonts w:eastAsia="Calibri" w:cs="Times New Roman"/>
          <w:noProof/>
          <w:lang w:val="en-US"/>
        </w:rPr>
      </w:pPr>
      <w:bookmarkStart w:id="171" w:name="_Toc530405597"/>
      <w:bookmarkStart w:id="172" w:name="_Toc530411828"/>
      <w:bookmarkStart w:id="173" w:name="_Toc530414177"/>
      <w:r w:rsidRPr="003A7E34">
        <w:rPr>
          <w:rFonts w:eastAsia="Times New Roman" w:cs="Times New Roman"/>
          <w:noProof/>
          <w:lang w:val="en-US"/>
        </w:rPr>
        <w:t>Dimension research, innovation and competitiveness</w:t>
      </w:r>
      <w:bookmarkEnd w:id="171"/>
      <w:bookmarkEnd w:id="172"/>
      <w:bookmarkEnd w:id="173"/>
    </w:p>
    <w:p w14:paraId="10326DAD" w14:textId="77777777" w:rsidR="0095523E" w:rsidRPr="003A7E34" w:rsidRDefault="0095523E" w:rsidP="00EA50D6">
      <w:pPr>
        <w:spacing w:before="0" w:after="200"/>
        <w:ind w:left="792"/>
        <w:contextualSpacing/>
        <w:jc w:val="left"/>
        <w:rPr>
          <w:rFonts w:eastAsia="Times New Roman"/>
          <w:b/>
          <w:bCs/>
          <w:noProof/>
          <w:lang w:val="en-US"/>
        </w:rPr>
      </w:pPr>
    </w:p>
    <w:p w14:paraId="79A63041" w14:textId="77777777" w:rsidR="0095523E" w:rsidRPr="003A7E34" w:rsidRDefault="0095523E" w:rsidP="00493D59">
      <w:pPr>
        <w:numPr>
          <w:ilvl w:val="3"/>
          <w:numId w:val="21"/>
        </w:numPr>
        <w:spacing w:before="0"/>
        <w:ind w:left="1560" w:hanging="284"/>
        <w:rPr>
          <w:rFonts w:eastAsia="Calibri"/>
          <w:noProof/>
          <w:lang w:val="en-US"/>
        </w:rPr>
      </w:pPr>
      <w:r w:rsidRPr="003A7E34">
        <w:rPr>
          <w:rFonts w:eastAsia="Times New Roman"/>
          <w:noProof/>
          <w:lang w:val="en-US"/>
        </w:rPr>
        <w:t>Current situation of the low-carbon-technologies sector and, t</w:t>
      </w:r>
      <w:r w:rsidRPr="003A7E34">
        <w:rPr>
          <w:rFonts w:eastAsia="Times New Roman"/>
          <w:b/>
          <w:bCs/>
          <w:i/>
          <w:iCs/>
          <w:noProof/>
          <w:lang w:val="en-US"/>
        </w:rPr>
        <w:t>o the extent possible</w:t>
      </w:r>
      <w:r w:rsidRPr="003A7E34">
        <w:rPr>
          <w:rFonts w:eastAsia="Times New Roman"/>
          <w:noProof/>
          <w:lang w:val="en-US"/>
        </w:rPr>
        <w:t xml:space="preserve">, its position on the global market </w:t>
      </w:r>
      <w:r w:rsidRPr="003A7E34">
        <w:rPr>
          <w:rFonts w:eastAsia="Times New Roman"/>
          <w:b/>
          <w:bCs/>
          <w:i/>
          <w:iCs/>
          <w:noProof/>
          <w:lang w:val="en-US"/>
        </w:rPr>
        <w:t>(that analysis is to be carried out at Union or global level)</w:t>
      </w:r>
    </w:p>
    <w:p w14:paraId="77962678" w14:textId="5058DEA2" w:rsidR="0095523E" w:rsidRPr="003A7E34" w:rsidRDefault="0095523E" w:rsidP="00493D59">
      <w:pPr>
        <w:spacing w:before="0"/>
        <w:rPr>
          <w:rFonts w:eastAsia="Times New Roman"/>
          <w:lang w:val="en-US"/>
        </w:rPr>
      </w:pPr>
      <w:r w:rsidRPr="003A7E34">
        <w:rPr>
          <w:rFonts w:eastAsia="Times New Roman"/>
          <w:lang w:val="en-US"/>
        </w:rPr>
        <w:t>The Eco-Innovation Scoreboard 2017, published</w:t>
      </w:r>
      <w:r w:rsidRPr="003A7E34">
        <w:rPr>
          <w:rFonts w:eastAsia="Times New Roman"/>
          <w:b/>
          <w:bCs/>
          <w:lang w:val="en-US"/>
        </w:rPr>
        <w:t xml:space="preserve"> </w:t>
      </w:r>
      <w:r w:rsidRPr="003A7E34">
        <w:rPr>
          <w:rFonts w:eastAsia="Times New Roman"/>
          <w:lang w:val="en-US"/>
        </w:rPr>
        <w:t>by the European Commission</w:t>
      </w:r>
      <w:r w:rsidRPr="003A7E34">
        <w:rPr>
          <w:rFonts w:eastAsia="Times New Roman"/>
          <w:b/>
          <w:bCs/>
          <w:lang w:val="en-US"/>
        </w:rPr>
        <w:t xml:space="preserve"> </w:t>
      </w:r>
      <w:r w:rsidRPr="003A7E34">
        <w:rPr>
          <w:rFonts w:eastAsia="Times New Roman"/>
          <w:lang w:val="en-US"/>
        </w:rPr>
        <w:t>in</w:t>
      </w:r>
      <w:r w:rsidR="00CF7A63" w:rsidRPr="003A7E34">
        <w:rPr>
          <w:rFonts w:eastAsia="Times New Roman"/>
          <w:lang w:val="en-US"/>
        </w:rPr>
        <w:t xml:space="preserve"> </w:t>
      </w:r>
      <w:r w:rsidRPr="003A7E34">
        <w:rPr>
          <w:rFonts w:eastAsia="Times New Roman"/>
          <w:lang w:val="en-US"/>
        </w:rPr>
        <w:t>2017, ranks Lithuania in 17nd place among the 28 EU Member States. The performance of Lithuania in every component is below the EU average.</w:t>
      </w:r>
    </w:p>
    <w:p w14:paraId="564EC958" w14:textId="77777777" w:rsidR="0095523E" w:rsidRPr="003A7E34" w:rsidRDefault="0095523E" w:rsidP="00493D59">
      <w:pPr>
        <w:spacing w:before="0"/>
        <w:rPr>
          <w:rFonts w:eastAsia="Times New Roman"/>
          <w:lang w:val="en-US"/>
        </w:rPr>
      </w:pPr>
      <w:r w:rsidRPr="003A7E34">
        <w:rPr>
          <w:rFonts w:eastAsia="Times New Roman"/>
          <w:lang w:val="en-US"/>
        </w:rPr>
        <w:t xml:space="preserve">Lithuania’s leading eco-innovation areas are assessment and management of contaminants in soil, cleaner production, resource and energy efficiency, promotion of renewable energy, water protection and research and development (R&amp;D) in the biotechnologies sector. </w:t>
      </w:r>
    </w:p>
    <w:p w14:paraId="278F29A2" w14:textId="77777777" w:rsidR="0095523E" w:rsidRPr="003A7E34" w:rsidRDefault="0095523E" w:rsidP="00493D59">
      <w:pPr>
        <w:spacing w:before="0"/>
        <w:rPr>
          <w:rFonts w:eastAsia="Times New Roman"/>
          <w:lang w:val="en-US"/>
        </w:rPr>
      </w:pPr>
      <w:r w:rsidRPr="003A7E34">
        <w:rPr>
          <w:rFonts w:eastAsia="Times New Roman"/>
          <w:lang w:val="en-US"/>
        </w:rPr>
        <w:t>An analysis of the barriers and drivers reveals that the key barriers are still a lack of common understanding of the eco-innovation definition and an even greater lack of understanding of circular economy. Cooperation between business and academia has improved due to the introduction of integrated science, studies and business centers (valleys). The main drivers are favorable financial support, especially from EU structural funds, a positive relationship in the form of collaborative grants for eco-innovation with Norway, and sufficient and well-qualified human resources and infrastructure, which remains a stable part of the Eco-IS rating.</w:t>
      </w:r>
    </w:p>
    <w:p w14:paraId="3A3CFE93" w14:textId="77777777" w:rsidR="0095523E" w:rsidRPr="003A7E34" w:rsidRDefault="0095523E" w:rsidP="00493D59">
      <w:pPr>
        <w:spacing w:before="0"/>
        <w:rPr>
          <w:rFonts w:eastAsia="Times New Roman"/>
          <w:lang w:val="en-US"/>
        </w:rPr>
      </w:pPr>
      <w:r w:rsidRPr="003A7E34">
        <w:rPr>
          <w:rFonts w:eastAsia="Times New Roman"/>
          <w:lang w:val="en-US"/>
        </w:rPr>
        <w:t xml:space="preserve">During the period of 2014-2016 Lithuania has continued its eco-innovation development, building on the effective waste management, renewable energy resources, and electric vehicles. The process of </w:t>
      </w:r>
      <w:r w:rsidRPr="003A7E34">
        <w:rPr>
          <w:rFonts w:eastAsia="Times New Roman"/>
          <w:lang w:val="en-US"/>
        </w:rPr>
        <w:lastRenderedPageBreak/>
        <w:t xml:space="preserve">‘clusterisation’ also continues, with more than redoubled the number of new clusters working with eco-innovation comparing with 2013. </w:t>
      </w:r>
    </w:p>
    <w:p w14:paraId="50FF1542" w14:textId="65D80C98" w:rsidR="0095523E" w:rsidRPr="003A7E34" w:rsidRDefault="0095523E" w:rsidP="00493D59">
      <w:pPr>
        <w:spacing w:before="0"/>
        <w:rPr>
          <w:rFonts w:eastAsia="Times New Roman"/>
          <w:lang w:val="en-US"/>
        </w:rPr>
      </w:pPr>
      <w:r w:rsidRPr="003A7E34">
        <w:rPr>
          <w:rFonts w:eastAsia="Times New Roman"/>
          <w:lang w:val="en-US"/>
        </w:rPr>
        <w:t xml:space="preserve">The trend of utilization of renewable energy resources and the process of establishing clusters </w:t>
      </w:r>
      <w:r w:rsidR="00002F91" w:rsidRPr="003A7E34">
        <w:rPr>
          <w:rFonts w:eastAsia="Times New Roman"/>
          <w:lang w:val="en-US"/>
        </w:rPr>
        <w:t>is</w:t>
      </w:r>
      <w:r w:rsidRPr="003A7E34">
        <w:rPr>
          <w:rFonts w:eastAsia="Times New Roman"/>
          <w:lang w:val="en-US"/>
        </w:rPr>
        <w:t xml:space="preserve"> still ongoing. In addition to </w:t>
      </w:r>
      <w:r w:rsidR="00E76923" w:rsidRPr="003A7E34">
        <w:rPr>
          <w:rFonts w:eastAsia="Times New Roman"/>
          <w:lang w:val="en-US"/>
        </w:rPr>
        <w:t>VESK</w:t>
      </w:r>
      <w:r w:rsidRPr="003A7E34">
        <w:rPr>
          <w:rFonts w:eastAsia="Times New Roman"/>
          <w:lang w:val="en-US"/>
        </w:rPr>
        <w:t xml:space="preserve"> cluster (promoting use of wind energy)</w:t>
      </w:r>
      <w:r w:rsidR="00E76923" w:rsidRPr="003A7E34">
        <w:rPr>
          <w:rStyle w:val="FootnoteReference"/>
          <w:rFonts w:eastAsia="Times New Roman"/>
          <w:lang w:val="en-US"/>
        </w:rPr>
        <w:footnoteReference w:id="51"/>
      </w:r>
      <w:r w:rsidRPr="003A7E34">
        <w:rPr>
          <w:rFonts w:eastAsia="Times New Roman"/>
          <w:lang w:val="en-US"/>
        </w:rPr>
        <w:t xml:space="preserve">, </w:t>
      </w:r>
      <w:r w:rsidR="000C4C91" w:rsidRPr="003A7E34">
        <w:rPr>
          <w:rFonts w:eastAsia="Times New Roman"/>
          <w:lang w:val="en-US"/>
        </w:rPr>
        <w:t>BJVK</w:t>
      </w:r>
      <w:r w:rsidRPr="003A7E34">
        <w:rPr>
          <w:rFonts w:eastAsia="Times New Roman"/>
          <w:lang w:val="en-US"/>
        </w:rPr>
        <w:t xml:space="preserve"> (developing modern, innovative biofuel equipment and technologies, in order to effectively use biomass)</w:t>
      </w:r>
      <w:r w:rsidR="00294DF5" w:rsidRPr="003A7E34">
        <w:rPr>
          <w:rStyle w:val="FootnoteReference"/>
          <w:rFonts w:eastAsia="Times New Roman"/>
          <w:lang w:val="en-US"/>
        </w:rPr>
        <w:footnoteReference w:id="52"/>
      </w:r>
      <w:r w:rsidRPr="003A7E34">
        <w:rPr>
          <w:rFonts w:eastAsia="Times New Roman"/>
          <w:lang w:val="en-US"/>
        </w:rPr>
        <w:t>, several new clusters have emerged. Among these are the Smart &amp; Green City cluster (promoting the use of new technologies to achieve environmentally friendly solutions)</w:t>
      </w:r>
      <w:r w:rsidR="004F55FA" w:rsidRPr="003A7E34">
        <w:rPr>
          <w:rStyle w:val="FootnoteReference"/>
          <w:rFonts w:eastAsia="Times New Roman"/>
          <w:lang w:val="en-US"/>
        </w:rPr>
        <w:footnoteReference w:id="53"/>
      </w:r>
      <w:r w:rsidRPr="003A7E34">
        <w:rPr>
          <w:rFonts w:eastAsia="Times New Roman"/>
          <w:lang w:val="en-US"/>
        </w:rPr>
        <w:t>, the Photovoltaic Technology cluster (the development of environmental energy technologies)</w:t>
      </w:r>
      <w:r w:rsidR="00CB5A60" w:rsidRPr="003A7E34">
        <w:rPr>
          <w:rStyle w:val="FootnoteReference"/>
          <w:rFonts w:eastAsia="Times New Roman"/>
          <w:lang w:val="en-US"/>
        </w:rPr>
        <w:footnoteReference w:id="54"/>
      </w:r>
      <w:r w:rsidRPr="003A7E34">
        <w:rPr>
          <w:rFonts w:eastAsia="Times New Roman"/>
          <w:lang w:val="en-US"/>
        </w:rPr>
        <w:t>.</w:t>
      </w:r>
    </w:p>
    <w:p w14:paraId="64DF663B" w14:textId="77777777" w:rsidR="0095523E" w:rsidRPr="003A7E34" w:rsidRDefault="0095523E" w:rsidP="00493D59">
      <w:pPr>
        <w:spacing w:before="0"/>
        <w:rPr>
          <w:rFonts w:eastAsia="Times New Roman"/>
          <w:lang w:val="en-US"/>
        </w:rPr>
      </w:pPr>
      <w:r w:rsidRPr="003A7E34">
        <w:rPr>
          <w:rFonts w:eastAsia="Times New Roman"/>
          <w:lang w:val="en-US"/>
        </w:rPr>
        <w:t>The growing number of clusters demonstrates that Lithuanian businesses are becoming more environmentally responsible and understand the benefits of eco-innovation. These clusters are also a fertile ground for the future of Lithuanian circular economy as they already base their operations on energy efficiency and effective use of their resources.</w:t>
      </w:r>
    </w:p>
    <w:p w14:paraId="6961DCCB" w14:textId="083D19E4" w:rsidR="0095523E" w:rsidRPr="003A7E34" w:rsidRDefault="0095523E" w:rsidP="00493D59">
      <w:pPr>
        <w:spacing w:before="0"/>
        <w:rPr>
          <w:rFonts w:eastAsia="Times New Roman"/>
          <w:lang w:val="en-US"/>
        </w:rPr>
      </w:pPr>
      <w:r w:rsidRPr="003A7E34">
        <w:rPr>
          <w:rFonts w:eastAsia="Times New Roman"/>
          <w:lang w:val="en-US"/>
        </w:rPr>
        <w:t>It is very important for Lithuania to encourage cross-sector cooperation for the development of Eco-innovation.</w:t>
      </w:r>
    </w:p>
    <w:p w14:paraId="096361C2" w14:textId="401BA43C" w:rsidR="0095523E" w:rsidRPr="003A7E34" w:rsidRDefault="0095523E" w:rsidP="00493D59">
      <w:pPr>
        <w:spacing w:before="0"/>
        <w:rPr>
          <w:rFonts w:eastAsia="Times New Roman"/>
          <w:lang w:val="en-US"/>
        </w:rPr>
      </w:pPr>
      <w:r w:rsidRPr="003A7E34">
        <w:rPr>
          <w:rFonts w:eastAsia="Times New Roman"/>
          <w:lang w:val="en-US"/>
        </w:rPr>
        <w:t>At the moment around 3</w:t>
      </w:r>
      <w:r w:rsidR="00605060" w:rsidRPr="003A7E34">
        <w:rPr>
          <w:rFonts w:eastAsia="Times New Roman"/>
          <w:lang w:val="en-US"/>
        </w:rPr>
        <w:t xml:space="preserve"> </w:t>
      </w:r>
      <w:r w:rsidRPr="003A7E34">
        <w:rPr>
          <w:rFonts w:eastAsia="Times New Roman"/>
          <w:lang w:val="en-US"/>
        </w:rPr>
        <w:t xml:space="preserve">000 domestic consumers have smart meters installed in their households (out of </w:t>
      </w:r>
      <w:r w:rsidR="00A82C23" w:rsidRPr="003A7E34">
        <w:rPr>
          <w:rFonts w:eastAsia="Times New Roman"/>
          <w:lang w:val="en-US"/>
        </w:rPr>
        <w:t>1</w:t>
      </w:r>
      <w:r w:rsidR="0054690A" w:rsidRPr="003A7E34">
        <w:rPr>
          <w:rFonts w:eastAsia="Times New Roman"/>
          <w:lang w:val="en-US"/>
        </w:rPr>
        <w:t xml:space="preserve"> </w:t>
      </w:r>
      <w:r w:rsidR="00A82C23" w:rsidRPr="003A7E34">
        <w:rPr>
          <w:rFonts w:eastAsia="Times New Roman"/>
          <w:lang w:val="en-US"/>
        </w:rPr>
        <w:t>700</w:t>
      </w:r>
      <w:r w:rsidR="0054690A" w:rsidRPr="003A7E34">
        <w:rPr>
          <w:rFonts w:eastAsia="Times New Roman"/>
          <w:lang w:val="en-US"/>
        </w:rPr>
        <w:t xml:space="preserve"> </w:t>
      </w:r>
      <w:r w:rsidR="00A82C23" w:rsidRPr="003A7E34">
        <w:rPr>
          <w:rFonts w:eastAsia="Times New Roman"/>
          <w:lang w:val="en-US"/>
        </w:rPr>
        <w:t>000</w:t>
      </w:r>
      <w:r w:rsidRPr="003A7E34">
        <w:rPr>
          <w:rFonts w:eastAsia="Times New Roman"/>
          <w:lang w:val="en-US"/>
        </w:rPr>
        <w:t>). Almost half of all business consumers (32</w:t>
      </w:r>
      <w:r w:rsidR="005E1E9E" w:rsidRPr="003A7E34">
        <w:rPr>
          <w:rFonts w:eastAsia="Times New Roman"/>
          <w:lang w:val="en-US"/>
        </w:rPr>
        <w:t xml:space="preserve"> </w:t>
      </w:r>
      <w:r w:rsidRPr="003A7E34">
        <w:rPr>
          <w:rFonts w:eastAsia="Times New Roman"/>
          <w:lang w:val="en-US"/>
        </w:rPr>
        <w:t>000) have such meters installed.</w:t>
      </w:r>
    </w:p>
    <w:p w14:paraId="44AA17DB" w14:textId="1E0F31F1" w:rsidR="0095523E" w:rsidRPr="003A7E34" w:rsidRDefault="0095523E" w:rsidP="00493D59">
      <w:pPr>
        <w:spacing w:before="0"/>
        <w:rPr>
          <w:rFonts w:eastAsia="Times New Roman"/>
          <w:lang w:val="en-US"/>
        </w:rPr>
      </w:pPr>
      <w:r w:rsidRPr="003A7E34">
        <w:rPr>
          <w:rFonts w:eastAsia="Times New Roman"/>
          <w:lang w:val="en-US"/>
        </w:rPr>
        <w:t xml:space="preserve">Regarding electric vehicles, </w:t>
      </w:r>
      <w:r w:rsidR="00A42095" w:rsidRPr="003A7E34">
        <w:rPr>
          <w:rFonts w:eastAsia="Times New Roman"/>
          <w:lang w:val="en-US"/>
        </w:rPr>
        <w:t>in 2017 there are</w:t>
      </w:r>
      <w:r w:rsidRPr="003A7E34">
        <w:rPr>
          <w:rFonts w:eastAsia="Times New Roman"/>
          <w:lang w:val="en-US"/>
        </w:rPr>
        <w:t xml:space="preserve"> 2 public high-power charging points installed on 38.08 km and 45.86 km of national importance road A1 Vilnius-Kaunas-Klaipeda. By the end of </w:t>
      </w:r>
      <w:r w:rsidR="00A42095" w:rsidRPr="003A7E34">
        <w:rPr>
          <w:rFonts w:eastAsia="Times New Roman"/>
          <w:lang w:val="en-US"/>
        </w:rPr>
        <w:t>2017</w:t>
      </w:r>
      <w:r w:rsidRPr="003A7E34">
        <w:rPr>
          <w:rFonts w:eastAsia="Times New Roman"/>
          <w:lang w:val="en-US"/>
        </w:rPr>
        <w:t xml:space="preserve"> it </w:t>
      </w:r>
      <w:r w:rsidR="00A42095" w:rsidRPr="003A7E34">
        <w:rPr>
          <w:rFonts w:eastAsia="Times New Roman"/>
          <w:lang w:val="en-US"/>
        </w:rPr>
        <w:t>wa</w:t>
      </w:r>
      <w:r w:rsidRPr="003A7E34">
        <w:rPr>
          <w:rFonts w:eastAsia="Times New Roman"/>
          <w:lang w:val="en-US"/>
        </w:rPr>
        <w:t xml:space="preserve">s planned to develop the charging infrastructure with another 10 stations on the all main trans-European road network (on the international highways E85 and E67), and by the end of </w:t>
      </w:r>
      <w:r w:rsidR="00EE1C99" w:rsidRPr="003A7E34">
        <w:rPr>
          <w:rFonts w:eastAsia="Times New Roman"/>
          <w:lang w:val="en-US"/>
        </w:rPr>
        <w:t>2018 to install</w:t>
      </w:r>
      <w:r w:rsidRPr="003A7E34">
        <w:rPr>
          <w:rFonts w:eastAsia="Times New Roman"/>
          <w:lang w:val="en-US"/>
        </w:rPr>
        <w:t xml:space="preserve"> 14 units more. This infrastructure is being created and developed in accordance with the European Union standards and provides the possibility of recharging for all types of electric vehicles (AC, DC (Combo2) and others). The information system www.eismoinfo.lt will provide electronic services on information about the type, status and occupy of these charging points in real time.</w:t>
      </w:r>
    </w:p>
    <w:p w14:paraId="6A4869F2" w14:textId="77777777" w:rsidR="0095523E" w:rsidRPr="003A7E34" w:rsidRDefault="0095523E" w:rsidP="00493D59">
      <w:pPr>
        <w:spacing w:before="0"/>
        <w:rPr>
          <w:rFonts w:eastAsia="Times New Roman"/>
          <w:lang w:val="en-US"/>
        </w:rPr>
      </w:pPr>
      <w:r w:rsidRPr="003A7E34">
        <w:rPr>
          <w:rFonts w:eastAsia="Times New Roman"/>
          <w:lang w:val="en-US"/>
        </w:rPr>
        <w:t>Lithuanian municipalities are planning to develop charging infrastructure installing about 100 public charging points by 2020, financed by the EU Structural Funds allocated by the Ministry of Transport, and about 300 public charging points more, after 2020.</w:t>
      </w:r>
    </w:p>
    <w:p w14:paraId="6E759062" w14:textId="77777777" w:rsidR="00E61F0A" w:rsidRPr="003A7E34" w:rsidRDefault="00E61F0A" w:rsidP="00E61F0A">
      <w:pPr>
        <w:spacing w:before="0"/>
        <w:rPr>
          <w:rFonts w:eastAsia="Times New Roman"/>
          <w:lang w:val="en-US"/>
        </w:rPr>
      </w:pPr>
    </w:p>
    <w:p w14:paraId="0AA44C5F" w14:textId="65398CB6" w:rsidR="00A31022" w:rsidRPr="003A7E34" w:rsidRDefault="00725E08" w:rsidP="00A31022">
      <w:pPr>
        <w:spacing w:before="0" w:after="0"/>
        <w:jc w:val="center"/>
        <w:rPr>
          <w:rFonts w:eastAsia="Times New Roman"/>
          <w:lang w:val="en-US"/>
        </w:rPr>
      </w:pPr>
      <w:r w:rsidRPr="003A7E34">
        <w:rPr>
          <w:noProof/>
          <w:lang w:val="en-US"/>
        </w:rPr>
        <w:lastRenderedPageBreak/>
        <w:drawing>
          <wp:inline distT="0" distB="0" distL="0" distR="0" wp14:anchorId="6BD80312" wp14:editId="58FACB63">
            <wp:extent cx="5848350" cy="2743200"/>
            <wp:effectExtent l="0" t="0" r="0" b="0"/>
            <wp:docPr id="35" name="Chart 35">
              <a:extLst xmlns:a="http://schemas.openxmlformats.org/drawingml/2006/main">
                <a:ext uri="{FF2B5EF4-FFF2-40B4-BE49-F238E27FC236}">
                  <a16:creationId xmlns:a16="http://schemas.microsoft.com/office/drawing/2014/main" id="{C2F89F98-58D3-4E32-8DBC-2EC7FDA773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0074FE3" w14:textId="6FFCC24E" w:rsidR="0095523E" w:rsidRPr="003A7E34" w:rsidRDefault="5E230566" w:rsidP="00E70004">
      <w:pPr>
        <w:jc w:val="center"/>
        <w:rPr>
          <w:rFonts w:eastAsia="Times New Roman"/>
          <w:lang w:val="en-US"/>
        </w:rPr>
      </w:pPr>
      <w:r w:rsidRPr="003A7E34">
        <w:rPr>
          <w:rFonts w:eastAsia="Times New Roman"/>
          <w:b/>
          <w:bCs/>
          <w:noProof/>
          <w:sz w:val="20"/>
          <w:szCs w:val="20"/>
          <w:lang w:val="en-US"/>
        </w:rPr>
        <w:t>Figure 4.6.1.</w:t>
      </w:r>
      <w:r w:rsidRPr="003A7E34">
        <w:rPr>
          <w:rFonts w:eastAsia="Times New Roman"/>
          <w:lang w:val="en-US"/>
        </w:rPr>
        <w:t xml:space="preserve"> </w:t>
      </w:r>
      <w:r w:rsidRPr="003A7E34">
        <w:rPr>
          <w:rFonts w:eastAsia="Times New Roman"/>
          <w:sz w:val="20"/>
          <w:szCs w:val="20"/>
          <w:lang w:val="en-US"/>
        </w:rPr>
        <w:t>Number of registered electric vehicles</w:t>
      </w:r>
      <w:r w:rsidR="0050138B" w:rsidRPr="003A7E34">
        <w:rPr>
          <w:rStyle w:val="FootnoteReference"/>
          <w:rFonts w:eastAsia="Times New Roman"/>
          <w:sz w:val="20"/>
          <w:szCs w:val="20"/>
          <w:lang w:val="en-US"/>
        </w:rPr>
        <w:footnoteReference w:id="55"/>
      </w:r>
      <w:r w:rsidRPr="003A7E34">
        <w:rPr>
          <w:rFonts w:eastAsia="Times New Roman"/>
          <w:sz w:val="20"/>
          <w:szCs w:val="20"/>
          <w:lang w:val="en-US"/>
        </w:rPr>
        <w:t xml:space="preserve"> in Lithuania (Regitra, 2018)</w:t>
      </w:r>
      <w:r w:rsidR="00A11CA7" w:rsidRPr="003A7E34">
        <w:rPr>
          <w:rStyle w:val="FootnoteReference"/>
          <w:rFonts w:eastAsia="Times New Roman"/>
          <w:sz w:val="20"/>
          <w:szCs w:val="20"/>
          <w:lang w:val="en-US"/>
        </w:rPr>
        <w:footnoteReference w:id="56"/>
      </w:r>
    </w:p>
    <w:p w14:paraId="39829782" w14:textId="77777777" w:rsidR="0095523E" w:rsidRPr="003A7E34" w:rsidRDefault="0095523E" w:rsidP="00EA50D6">
      <w:pPr>
        <w:spacing w:before="0" w:after="0"/>
        <w:rPr>
          <w:rFonts w:eastAsia="Times New Roman"/>
          <w:lang w:val="en-US"/>
        </w:rPr>
      </w:pPr>
    </w:p>
    <w:p w14:paraId="1F34FD2B" w14:textId="6DBB7B1E" w:rsidR="0095523E" w:rsidRPr="003A7E34" w:rsidRDefault="0095523E" w:rsidP="00E61F0A">
      <w:pPr>
        <w:spacing w:before="0"/>
        <w:rPr>
          <w:rFonts w:eastAsia="Times New Roman"/>
          <w:lang w:val="en-US"/>
        </w:rPr>
      </w:pPr>
      <w:r w:rsidRPr="003A7E34">
        <w:rPr>
          <w:rFonts w:eastAsia="Times New Roman"/>
          <w:lang w:val="en-US"/>
        </w:rPr>
        <w:t xml:space="preserve">The Lithuanian electric vehicle charging infrastructure map can be viewed at the Lithuanian Motor Vehicle Association page (today there are marked </w:t>
      </w:r>
      <w:r w:rsidR="002B3F20" w:rsidRPr="003A7E34">
        <w:rPr>
          <w:rFonts w:eastAsia="Times New Roman"/>
          <w:lang w:val="en-US"/>
        </w:rPr>
        <w:t>more than</w:t>
      </w:r>
      <w:r w:rsidRPr="003A7E34">
        <w:rPr>
          <w:rFonts w:eastAsia="Times New Roman"/>
          <w:lang w:val="en-US"/>
        </w:rPr>
        <w:t xml:space="preserve"> 70 charging points)</w:t>
      </w:r>
      <w:r w:rsidR="002B3F20" w:rsidRPr="003A7E34">
        <w:rPr>
          <w:rStyle w:val="FootnoteReference"/>
          <w:rFonts w:eastAsia="Times New Roman"/>
          <w:lang w:val="en-US"/>
        </w:rPr>
        <w:footnoteReference w:id="57"/>
      </w:r>
      <w:r w:rsidRPr="003A7E34">
        <w:rPr>
          <w:rFonts w:eastAsia="Times New Roman"/>
          <w:lang w:val="en-US"/>
        </w:rPr>
        <w:t>.</w:t>
      </w:r>
    </w:p>
    <w:p w14:paraId="2F86F179" w14:textId="081C2C69" w:rsidR="0095523E" w:rsidRPr="003A7E34" w:rsidRDefault="0095523E" w:rsidP="00C42AAE">
      <w:pPr>
        <w:numPr>
          <w:ilvl w:val="3"/>
          <w:numId w:val="21"/>
        </w:numPr>
        <w:spacing w:before="0"/>
        <w:ind w:left="1560" w:hanging="284"/>
        <w:rPr>
          <w:rFonts w:eastAsia="Calibri"/>
          <w:noProof/>
          <w:lang w:val="en-US"/>
        </w:rPr>
      </w:pPr>
      <w:r w:rsidRPr="003A7E34">
        <w:rPr>
          <w:rFonts w:eastAsia="Times New Roman"/>
          <w:noProof/>
          <w:lang w:val="en-US"/>
        </w:rPr>
        <w:t xml:space="preserve">Current level of public and, </w:t>
      </w:r>
      <w:r w:rsidRPr="003A7E34">
        <w:rPr>
          <w:rFonts w:eastAsia="Times New Roman"/>
          <w:b/>
          <w:bCs/>
          <w:i/>
          <w:iCs/>
          <w:noProof/>
          <w:lang w:val="en-US"/>
        </w:rPr>
        <w:t>where available</w:t>
      </w:r>
      <w:r w:rsidRPr="003A7E34">
        <w:rPr>
          <w:rFonts w:eastAsia="Times New Roman"/>
          <w:noProof/>
          <w:lang w:val="en-US"/>
        </w:rPr>
        <w:t>, private research and innovation spending on low-carbon-technologies, current number of patents, and current number of researchers</w:t>
      </w:r>
      <w:r w:rsidR="00A52C4F" w:rsidRPr="003A7E34">
        <w:rPr>
          <w:rFonts w:eastAsia="Times New Roman"/>
          <w:noProof/>
          <w:lang w:val="en-US"/>
        </w:rPr>
        <w:t xml:space="preserve"> </w:t>
      </w:r>
    </w:p>
    <w:p w14:paraId="66EA7E74" w14:textId="13877642" w:rsidR="0095523E" w:rsidRPr="003A7E34" w:rsidRDefault="46DF7FC9" w:rsidP="46DF7FC9">
      <w:pPr>
        <w:spacing w:before="0"/>
        <w:rPr>
          <w:rFonts w:eastAsia="Times New Roman"/>
          <w:lang w:val="en-US"/>
        </w:rPr>
      </w:pPr>
      <w:r w:rsidRPr="003A7E34">
        <w:rPr>
          <w:rFonts w:eastAsia="Times New Roman"/>
          <w:lang w:val="en-US"/>
        </w:rPr>
        <w:t>In 2012–2014 environmental innovation was introduced by 50.9% of innovative enterprises. 47.6% of innovation introduced by enterprises was directly beneficial to the environment within the enterprise, 31.6% – through the use of goods or services. Environmental innovation was mainly introduced by water supply, sewerage, waste management and remediation (81.4% of innovative enterprises) and electricity, gas, steam and air conditioning supply (81.1%) enterprises, while those ranking last in terms of this indicator were financial and insurance (17.2%), information and communication (23.4%), and professional, scientific and technical activities (29.4%) enterprises.</w:t>
      </w:r>
    </w:p>
    <w:p w14:paraId="65377C22" w14:textId="576E430D" w:rsidR="0095523E" w:rsidRPr="003A7E34" w:rsidRDefault="46DF7FC9" w:rsidP="46DF7FC9">
      <w:pPr>
        <w:spacing w:before="0"/>
        <w:rPr>
          <w:rFonts w:eastAsia="Times New Roman"/>
          <w:lang w:val="en-US"/>
        </w:rPr>
      </w:pPr>
      <w:r w:rsidRPr="003A7E34">
        <w:rPr>
          <w:rFonts w:eastAsia="Times New Roman"/>
          <w:lang w:val="en-US"/>
        </w:rPr>
        <w:t>The main purposes of environmental innovation, indicated by the largest number of enterprises, were as follows: to reduce energy use or CO2 footprint (27.7%), soil, noise, water or air pollution (27.7%), and material or water use per unit of output (14.8%).</w:t>
      </w:r>
    </w:p>
    <w:p w14:paraId="1CA20B9B" w14:textId="26BA843A" w:rsidR="0095523E" w:rsidRPr="003A7E34" w:rsidRDefault="46DF7FC9" w:rsidP="46DF7FC9">
      <w:pPr>
        <w:spacing w:before="0"/>
        <w:rPr>
          <w:rFonts w:eastAsia="Times New Roman"/>
          <w:lang w:val="en-US"/>
        </w:rPr>
      </w:pPr>
      <w:r w:rsidRPr="003A7E34">
        <w:rPr>
          <w:rFonts w:eastAsia="Times New Roman"/>
          <w:lang w:val="en-US"/>
        </w:rPr>
        <w:t>The main factors affecting enterprises’ decision to take up environmental innovation were as follows: improving enterprise’s reputation (64.5%), high cost of energy, water or materials (62%), and voluntary actions or initiatives for environmental good practice within the sector (55%). The said factors were insignificant only to a small number of innovative enterprises (5.1, 7.3, and 7.7% respectively).</w:t>
      </w:r>
    </w:p>
    <w:p w14:paraId="0FA3F854" w14:textId="3A0EC386" w:rsidR="0095523E" w:rsidRPr="003A7E34" w:rsidRDefault="46DF7FC9" w:rsidP="46DF7FC9">
      <w:pPr>
        <w:spacing w:before="0"/>
        <w:rPr>
          <w:rFonts w:eastAsia="Times New Roman"/>
          <w:lang w:val="en-US"/>
        </w:rPr>
      </w:pPr>
      <w:r w:rsidRPr="003A7E34">
        <w:rPr>
          <w:rFonts w:eastAsia="Times New Roman"/>
          <w:lang w:val="en-US"/>
        </w:rPr>
        <w:t xml:space="preserve">In 2012–2014, 19.7% of enterprises had control procedures to regularly identify and reduce enterprise’s environmental impacts in place. Such procedures were introduced by 11.6% of innovative and 8.1% of non-innovative enterprises. Among innovative enterprises, such control procedures were in place in 33.5% of </w:t>
      </w:r>
      <w:r w:rsidRPr="003A7E34">
        <w:rPr>
          <w:rFonts w:eastAsia="Times New Roman"/>
          <w:lang w:val="en-US"/>
        </w:rPr>
        <w:lastRenderedPageBreak/>
        <w:t>manufacturing and 25.6% of service enterprises, among non-innovative enterprises – in 13.6% of manufacturing and 13.7% of service enterprises.</w:t>
      </w:r>
    </w:p>
    <w:p w14:paraId="10AC8EDB" w14:textId="4DD40CF1" w:rsidR="0095523E" w:rsidRPr="003A7E34" w:rsidRDefault="46DF7FC9" w:rsidP="0025156E">
      <w:pPr>
        <w:spacing w:before="0"/>
        <w:rPr>
          <w:rFonts w:eastAsia="Times New Roman"/>
          <w:lang w:val="en-US"/>
        </w:rPr>
      </w:pPr>
      <w:r w:rsidRPr="003A7E34">
        <w:rPr>
          <w:rFonts w:eastAsia="Times New Roman"/>
          <w:lang w:val="en-US"/>
        </w:rPr>
        <w:t>In 2015, R&amp;D expenditure amounted to EUR 387 million.</w:t>
      </w:r>
      <w:r w:rsidR="006D3168" w:rsidRPr="003A7E34">
        <w:rPr>
          <w:rStyle w:val="FootnoteReference"/>
          <w:rFonts w:eastAsia="Times New Roman"/>
          <w:lang w:val="en-US"/>
        </w:rPr>
        <w:footnoteReference w:id="58"/>
      </w:r>
      <w:r w:rsidRPr="003A7E34">
        <w:rPr>
          <w:rFonts w:eastAsia="Times New Roman"/>
          <w:lang w:val="en-US"/>
        </w:rPr>
        <w:t xml:space="preserve"> Compared to 2014, it increased by EUR 10.2 million, or 2.7%. The total R&amp;D expenditure in Lithuania accounted for 1.04% of GDP (in 2014, 1.03%). R&amp;D expenditure as a percentage of GDP in the higher education and government sectors made up 0.76% (in 2014, 0.71%), in the business sector – 0.28% (in 2014, 0.32%).</w:t>
      </w:r>
    </w:p>
    <w:p w14:paraId="2BCF0C9F" w14:textId="3024B6D2" w:rsidR="0095523E" w:rsidRPr="003A7E34" w:rsidRDefault="46DF7FC9" w:rsidP="0025156E">
      <w:pPr>
        <w:spacing w:before="0"/>
        <w:rPr>
          <w:rFonts w:eastAsia="Times New Roman"/>
          <w:lang w:val="en-US"/>
        </w:rPr>
      </w:pPr>
      <w:r w:rsidRPr="003A7E34">
        <w:rPr>
          <w:rFonts w:eastAsia="Times New Roman"/>
          <w:lang w:val="en-US"/>
        </w:rPr>
        <w:t>In 2015, high-tech manufacturing enterprises created 0.7% of value added, medium-high-tech – 2%, knowledge-intensive service enterprises – 7.7% of the gross value added in the whole economy.</w:t>
      </w:r>
    </w:p>
    <w:p w14:paraId="1E210FAA" w14:textId="77777777" w:rsidR="0095523E" w:rsidRPr="003A7E34" w:rsidRDefault="39F1765D" w:rsidP="0025156E">
      <w:pPr>
        <w:numPr>
          <w:ilvl w:val="3"/>
          <w:numId w:val="21"/>
        </w:numPr>
        <w:spacing w:before="0"/>
        <w:ind w:left="1560" w:hanging="284"/>
        <w:rPr>
          <w:rFonts w:eastAsia="Calibri"/>
          <w:b/>
          <w:bCs/>
          <w:i/>
          <w:iCs/>
          <w:noProof/>
          <w:lang w:val="en-US"/>
        </w:rPr>
      </w:pPr>
      <w:r w:rsidRPr="003A7E34">
        <w:rPr>
          <w:rFonts w:eastAsia="Times New Roman"/>
          <w:b/>
          <w:bCs/>
          <w:i/>
          <w:iCs/>
          <w:noProof/>
          <w:lang w:val="en-US"/>
        </w:rPr>
        <w:t>Breakdown of current price elements that make up the main three price components (energy, network, taxes/levies)</w:t>
      </w:r>
    </w:p>
    <w:p w14:paraId="6D7D3466" w14:textId="0ACFE9D1" w:rsidR="008F4EF8" w:rsidRPr="003A7E34" w:rsidRDefault="000F1BF9" w:rsidP="008F4EF8">
      <w:pPr>
        <w:rPr>
          <w:noProof/>
          <w:lang w:val="en-US"/>
        </w:rPr>
      </w:pPr>
      <w:r w:rsidRPr="003A7E34">
        <w:rPr>
          <w:noProof/>
          <w:lang w:val="en-US"/>
        </w:rPr>
        <w:t>ACER analysed the breakdown of the standard incumbent electricity and gas offers available to household consumers in EU capital cities for five consecutive year. Similarly to the MMR covering 201</w:t>
      </w:r>
      <w:r w:rsidR="00D826BF" w:rsidRPr="003A7E34">
        <w:rPr>
          <w:noProof/>
          <w:lang w:val="en-US"/>
        </w:rPr>
        <w:t>6</w:t>
      </w:r>
      <w:r w:rsidRPr="003A7E34">
        <w:rPr>
          <w:noProof/>
          <w:lang w:val="en-US"/>
        </w:rPr>
        <w:t>, the analysis for 201</w:t>
      </w:r>
      <w:r w:rsidR="00D36DE5" w:rsidRPr="003A7E34">
        <w:rPr>
          <w:noProof/>
          <w:lang w:val="en-US"/>
        </w:rPr>
        <w:t>7</w:t>
      </w:r>
      <w:r w:rsidRPr="003A7E34">
        <w:rPr>
          <w:noProof/>
          <w:lang w:val="en-US"/>
        </w:rPr>
        <w:t xml:space="preserve"> is based on an annual consumption of 3,500 kWh for electricity and 11,000 kWh for gas.</w:t>
      </w:r>
      <w:r w:rsidR="00BD0CEA" w:rsidRPr="003A7E34">
        <w:rPr>
          <w:rStyle w:val="FootnoteReference"/>
          <w:noProof/>
          <w:lang w:val="en-US"/>
        </w:rPr>
        <w:footnoteReference w:id="59"/>
      </w:r>
    </w:p>
    <w:p w14:paraId="45F3F2B0" w14:textId="77B183E5" w:rsidR="000A5B50" w:rsidRPr="003A7E34" w:rsidRDefault="008F4EF8" w:rsidP="008F4EF8">
      <w:pPr>
        <w:jc w:val="center"/>
        <w:rPr>
          <w:noProof/>
          <w:lang w:val="en-US"/>
        </w:rPr>
      </w:pPr>
      <w:r>
        <w:rPr>
          <w:noProof/>
          <w:lang w:val="en-US"/>
        </w:rPr>
        <w:drawing>
          <wp:inline distT="0" distB="0" distL="0" distR="0" wp14:anchorId="4C0CE8F7" wp14:editId="45E83B9C">
            <wp:extent cx="5505452" cy="2743200"/>
            <wp:effectExtent l="0" t="0" r="0" b="0"/>
            <wp:docPr id="18491222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a:extLst>
                        <a:ext uri="{FF2B5EF4-FFF2-40B4-BE49-F238E27FC236}">
                          <a16:creationId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97D204F9-7A8A-4D4A-8075-C98C05F9DB75}"/>
                        </a:ext>
                      </a:extLst>
                    </a:blip>
                    <a:stretch>
                      <a:fillRect/>
                    </a:stretch>
                  </pic:blipFill>
                  <pic:spPr>
                    <a:xfrm>
                      <a:off x="0" y="0"/>
                      <a:ext cx="5505452" cy="2743200"/>
                    </a:xfrm>
                    <a:prstGeom prst="rect">
                      <a:avLst/>
                    </a:prstGeom>
                  </pic:spPr>
                </pic:pic>
              </a:graphicData>
            </a:graphic>
          </wp:inline>
        </w:drawing>
      </w:r>
    </w:p>
    <w:p w14:paraId="02911FDA" w14:textId="771B59B0" w:rsidR="007806AF" w:rsidRPr="003A7E34" w:rsidRDefault="007806AF" w:rsidP="00E46F4F">
      <w:pPr>
        <w:jc w:val="center"/>
        <w:rPr>
          <w:noProof/>
          <w:lang w:val="en-US"/>
        </w:rPr>
      </w:pPr>
      <w:r w:rsidRPr="003A7E34">
        <w:rPr>
          <w:rFonts w:eastAsia="Times New Roman"/>
          <w:b/>
          <w:bCs/>
          <w:noProof/>
          <w:sz w:val="20"/>
          <w:szCs w:val="20"/>
          <w:lang w:val="en-US"/>
        </w:rPr>
        <w:t>Figure 4.6.2.</w:t>
      </w:r>
      <w:r w:rsidRPr="003A7E34">
        <w:rPr>
          <w:rFonts w:eastAsia="Times New Roman"/>
          <w:lang w:val="en-US"/>
        </w:rPr>
        <w:t xml:space="preserve"> </w:t>
      </w:r>
      <w:r w:rsidR="00E46F4F" w:rsidRPr="003A7E34">
        <w:rPr>
          <w:rFonts w:eastAsia="Times New Roman"/>
          <w:sz w:val="20"/>
          <w:szCs w:val="20"/>
          <w:lang w:val="en-US"/>
        </w:rPr>
        <w:t>POTP</w:t>
      </w:r>
      <w:r w:rsidR="00923D0A" w:rsidRPr="003A7E34">
        <w:rPr>
          <w:rFonts w:eastAsia="Times New Roman"/>
          <w:sz w:val="20"/>
          <w:szCs w:val="20"/>
          <w:lang w:val="en-US"/>
        </w:rPr>
        <w:t xml:space="preserve"> </w:t>
      </w:r>
      <w:r w:rsidR="00E46F4F" w:rsidRPr="003A7E34">
        <w:rPr>
          <w:rFonts w:eastAsia="Times New Roman"/>
          <w:sz w:val="20"/>
          <w:szCs w:val="20"/>
          <w:lang w:val="en-US"/>
        </w:rPr>
        <w:t xml:space="preserve">electricity breakdown of incumbents’ standard offers for households in </w:t>
      </w:r>
      <w:r w:rsidR="008F4EF8" w:rsidRPr="003A7E34">
        <w:rPr>
          <w:rFonts w:eastAsia="Times New Roman"/>
          <w:sz w:val="20"/>
          <w:szCs w:val="20"/>
          <w:lang w:val="en-US"/>
        </w:rPr>
        <w:t>Lithuania</w:t>
      </w:r>
      <w:r w:rsidR="00D55C78" w:rsidRPr="003A7E34">
        <w:rPr>
          <w:rFonts w:eastAsia="Times New Roman"/>
          <w:sz w:val="20"/>
          <w:szCs w:val="20"/>
          <w:lang w:val="en-US"/>
        </w:rPr>
        <w:t xml:space="preserve"> - 384 EUR (</w:t>
      </w:r>
      <w:r w:rsidR="00E46F4F" w:rsidRPr="003A7E34">
        <w:rPr>
          <w:rFonts w:eastAsia="Times New Roman"/>
          <w:sz w:val="20"/>
          <w:szCs w:val="20"/>
          <w:lang w:val="en-US"/>
        </w:rPr>
        <w:t>November–December 201</w:t>
      </w:r>
      <w:r w:rsidR="00D55C78" w:rsidRPr="003A7E34">
        <w:rPr>
          <w:rFonts w:eastAsia="Times New Roman"/>
          <w:sz w:val="20"/>
          <w:szCs w:val="20"/>
          <w:lang w:val="en-US"/>
        </w:rPr>
        <w:t>7)</w:t>
      </w:r>
    </w:p>
    <w:p w14:paraId="7FEB6F56" w14:textId="28722A9B" w:rsidR="007806AF" w:rsidRPr="003A7E34" w:rsidRDefault="007806AF" w:rsidP="000856F8">
      <w:pPr>
        <w:rPr>
          <w:noProof/>
          <w:lang w:val="en-US"/>
        </w:rPr>
      </w:pPr>
    </w:p>
    <w:p w14:paraId="3ED939AD" w14:textId="701DD49C" w:rsidR="0066178D" w:rsidRPr="003A7E34" w:rsidRDefault="00046553" w:rsidP="00046553">
      <w:pPr>
        <w:jc w:val="center"/>
        <w:rPr>
          <w:noProof/>
          <w:lang w:val="en-US"/>
        </w:rPr>
      </w:pPr>
      <w:r>
        <w:rPr>
          <w:noProof/>
          <w:lang w:val="en-US"/>
        </w:rPr>
        <w:lastRenderedPageBreak/>
        <w:drawing>
          <wp:inline distT="0" distB="0" distL="0" distR="0" wp14:anchorId="185EB1BE" wp14:editId="31923604">
            <wp:extent cx="5238748" cy="2343150"/>
            <wp:effectExtent l="0" t="0" r="0" b="0"/>
            <wp:docPr id="662498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a:extLst>
                        <a:ext uri="{FF2B5EF4-FFF2-40B4-BE49-F238E27FC236}">
                          <a16:creationId xmlns:arto="http://schemas.microsoft.com/office/word/2006/arto" xmlns:a16="http://schemas.microsoft.com/office/drawing/2014/main"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BAA4DEDF-9B15-4E8A-986A-1A9ABCD569FF}"/>
                        </a:ext>
                      </a:extLst>
                    </a:blip>
                    <a:stretch>
                      <a:fillRect/>
                    </a:stretch>
                  </pic:blipFill>
                  <pic:spPr>
                    <a:xfrm>
                      <a:off x="0" y="0"/>
                      <a:ext cx="5238748" cy="2343150"/>
                    </a:xfrm>
                    <a:prstGeom prst="rect">
                      <a:avLst/>
                    </a:prstGeom>
                  </pic:spPr>
                </pic:pic>
              </a:graphicData>
            </a:graphic>
          </wp:inline>
        </w:drawing>
      </w:r>
    </w:p>
    <w:p w14:paraId="1E313804" w14:textId="3AF0FB09" w:rsidR="00A97AD5" w:rsidRPr="003A7E34" w:rsidRDefault="00A97AD5" w:rsidP="009F1C6B">
      <w:pPr>
        <w:jc w:val="center"/>
        <w:rPr>
          <w:noProof/>
          <w:lang w:val="en-US"/>
        </w:rPr>
      </w:pPr>
      <w:r w:rsidRPr="003A7E34">
        <w:rPr>
          <w:rFonts w:eastAsia="Times New Roman"/>
          <w:b/>
          <w:bCs/>
          <w:noProof/>
          <w:sz w:val="20"/>
          <w:szCs w:val="20"/>
          <w:lang w:val="en-US"/>
        </w:rPr>
        <w:t>Figure 4.6.2.</w:t>
      </w:r>
      <w:r w:rsidRPr="003A7E34">
        <w:rPr>
          <w:rFonts w:eastAsia="Times New Roman"/>
          <w:lang w:val="en-US"/>
        </w:rPr>
        <w:t xml:space="preserve"> </w:t>
      </w:r>
      <w:r w:rsidRPr="003A7E34">
        <w:rPr>
          <w:rFonts w:eastAsia="Times New Roman"/>
          <w:sz w:val="20"/>
          <w:szCs w:val="20"/>
          <w:lang w:val="en-US"/>
        </w:rPr>
        <w:t xml:space="preserve">POTP </w:t>
      </w:r>
      <w:r w:rsidR="009F1C6B" w:rsidRPr="003A7E34">
        <w:rPr>
          <w:rFonts w:eastAsia="Times New Roman"/>
          <w:sz w:val="20"/>
          <w:szCs w:val="20"/>
          <w:lang w:val="en-US"/>
        </w:rPr>
        <w:t xml:space="preserve">gas breakdown of incumbents’ standard offers for households in </w:t>
      </w:r>
      <w:r w:rsidR="00046553" w:rsidRPr="003A7E34">
        <w:rPr>
          <w:rFonts w:eastAsia="Times New Roman"/>
          <w:sz w:val="20"/>
          <w:szCs w:val="20"/>
          <w:lang w:val="en-US"/>
        </w:rPr>
        <w:t>Lithuania</w:t>
      </w:r>
      <w:r w:rsidR="007A7D92" w:rsidRPr="003A7E34">
        <w:rPr>
          <w:rFonts w:eastAsia="Times New Roman"/>
          <w:sz w:val="20"/>
          <w:szCs w:val="20"/>
          <w:lang w:val="en-US"/>
        </w:rPr>
        <w:t xml:space="preserve"> – 457EUR (</w:t>
      </w:r>
      <w:r w:rsidR="009F1C6B" w:rsidRPr="003A7E34">
        <w:rPr>
          <w:rFonts w:eastAsia="Times New Roman"/>
          <w:sz w:val="20"/>
          <w:szCs w:val="20"/>
          <w:lang w:val="en-US"/>
        </w:rPr>
        <w:t>November–December 201</w:t>
      </w:r>
      <w:r w:rsidR="007A7D92" w:rsidRPr="003A7E34">
        <w:rPr>
          <w:rFonts w:eastAsia="Times New Roman"/>
          <w:sz w:val="20"/>
          <w:szCs w:val="20"/>
          <w:lang w:val="en-US"/>
        </w:rPr>
        <w:t>7)</w:t>
      </w:r>
    </w:p>
    <w:p w14:paraId="21A4B94A" w14:textId="77777777" w:rsidR="00A97AD5" w:rsidRPr="003A7E34" w:rsidRDefault="00A97AD5" w:rsidP="000856F8">
      <w:pPr>
        <w:rPr>
          <w:noProof/>
          <w:lang w:val="en-US"/>
        </w:rPr>
      </w:pPr>
    </w:p>
    <w:p w14:paraId="19FD892E" w14:textId="299093E1" w:rsidR="000856F8" w:rsidRPr="003A7E34" w:rsidRDefault="000856F8" w:rsidP="000856F8">
      <w:pPr>
        <w:rPr>
          <w:noProof/>
          <w:lang w:val="en-US"/>
        </w:rPr>
      </w:pPr>
      <w:r w:rsidRPr="003A7E34">
        <w:rPr>
          <w:noProof/>
          <w:lang w:val="en-US"/>
        </w:rPr>
        <w:t xml:space="preserve">The Eurostat figures </w:t>
      </w:r>
      <w:r w:rsidR="002C2205" w:rsidRPr="003A7E34">
        <w:rPr>
          <w:noProof/>
          <w:lang w:val="en-US"/>
        </w:rPr>
        <w:t>reveal</w:t>
      </w:r>
      <w:r w:rsidRPr="003A7E34">
        <w:rPr>
          <w:noProof/>
          <w:lang w:val="en-US"/>
        </w:rPr>
        <w:t xml:space="preserve"> the prices of electricity, water, gas and science in Lithuania show the biggest difference from the EU average, making just 40 </w:t>
      </w:r>
      <w:r w:rsidR="00906CD3" w:rsidRPr="003A7E34">
        <w:rPr>
          <w:noProof/>
          <w:lang w:val="en-US"/>
        </w:rPr>
        <w:t>%</w:t>
      </w:r>
      <w:r w:rsidRPr="003A7E34">
        <w:rPr>
          <w:noProof/>
          <w:lang w:val="en-US"/>
        </w:rPr>
        <w:t xml:space="preserve"> of the EU average.</w:t>
      </w:r>
    </w:p>
    <w:p w14:paraId="26DCD54A" w14:textId="651423FD" w:rsidR="002E5C25" w:rsidRPr="003A7E34" w:rsidRDefault="002E5C25" w:rsidP="00776FB7">
      <w:pPr>
        <w:spacing w:before="0"/>
        <w:rPr>
          <w:noProof/>
          <w:lang w:val="en-US"/>
        </w:rPr>
      </w:pPr>
      <w:r w:rsidRPr="003A7E34">
        <w:rPr>
          <w:noProof/>
          <w:lang w:val="en-US"/>
        </w:rPr>
        <w:t xml:space="preserve">During the second half of 2017 </w:t>
      </w:r>
      <w:r w:rsidR="00AB3103" w:rsidRPr="003A7E34">
        <w:rPr>
          <w:noProof/>
          <w:lang w:val="en-US"/>
        </w:rPr>
        <w:t>electricity price  in Lithuania was the second lowest in EU.</w:t>
      </w:r>
      <w:r w:rsidR="00AB3103" w:rsidRPr="003A7E34">
        <w:rPr>
          <w:rStyle w:val="FootnoteReference"/>
          <w:noProof/>
          <w:lang w:val="en-US"/>
        </w:rPr>
        <w:t xml:space="preserve"> </w:t>
      </w:r>
      <w:r w:rsidR="00AB3103" w:rsidRPr="003A7E34">
        <w:rPr>
          <w:rStyle w:val="FootnoteReference"/>
          <w:noProof/>
          <w:lang w:val="en-US"/>
        </w:rPr>
        <w:footnoteReference w:id="60"/>
      </w:r>
    </w:p>
    <w:p w14:paraId="6E205130" w14:textId="12DD2C31" w:rsidR="00ED4DD8" w:rsidRPr="003A7E34" w:rsidRDefault="00355B77" w:rsidP="00776FB7">
      <w:pPr>
        <w:spacing w:before="0"/>
        <w:rPr>
          <w:rFonts w:eastAsia="Calibri"/>
          <w:b/>
          <w:bCs/>
          <w:i/>
          <w:iCs/>
          <w:noProof/>
          <w:lang w:val="en-US"/>
        </w:rPr>
      </w:pPr>
      <w:r>
        <w:rPr>
          <w:noProof/>
          <w:lang w:val="en-US"/>
        </w:rPr>
        <w:drawing>
          <wp:inline distT="0" distB="0" distL="0" distR="0" wp14:anchorId="1AE94DC6" wp14:editId="09D2ABB0">
            <wp:extent cx="6118858" cy="3112770"/>
            <wp:effectExtent l="0" t="0" r="0" b="0"/>
            <wp:docPr id="10106335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a:extLst>
                        <a:ext uri="{28A0092B-C50C-407E-A947-70E740481C1C}">
                          <a14:useLocalDpi xmlns:a14="http://schemas.microsoft.com/office/drawing/2010/main" val="0"/>
                        </a:ext>
                      </a:extLst>
                    </a:blip>
                    <a:stretch>
                      <a:fillRect/>
                    </a:stretch>
                  </pic:blipFill>
                  <pic:spPr>
                    <a:xfrm>
                      <a:off x="0" y="0"/>
                      <a:ext cx="6118858" cy="3112770"/>
                    </a:xfrm>
                    <a:prstGeom prst="rect">
                      <a:avLst/>
                    </a:prstGeom>
                  </pic:spPr>
                </pic:pic>
              </a:graphicData>
            </a:graphic>
          </wp:inline>
        </w:drawing>
      </w:r>
    </w:p>
    <w:p w14:paraId="32105390" w14:textId="756D019F" w:rsidR="00D75D11" w:rsidRPr="003A7E34" w:rsidRDefault="00D75D11" w:rsidP="00776FB7">
      <w:pPr>
        <w:spacing w:before="0"/>
        <w:rPr>
          <w:rFonts w:eastAsia="Calibri"/>
          <w:b/>
          <w:bCs/>
          <w:i/>
          <w:iCs/>
          <w:noProof/>
          <w:lang w:val="en-US"/>
        </w:rPr>
      </w:pPr>
    </w:p>
    <w:p w14:paraId="71E41BAF" w14:textId="0BE5B17E" w:rsidR="004D7631" w:rsidRPr="003A7E34" w:rsidRDefault="00DE1479" w:rsidP="00DE1479">
      <w:pPr>
        <w:rPr>
          <w:noProof/>
          <w:lang w:val="en-US"/>
        </w:rPr>
      </w:pPr>
      <w:r w:rsidRPr="003A7E34">
        <w:rPr>
          <w:noProof/>
          <w:lang w:val="en-US"/>
        </w:rPr>
        <w:t>For non-household consumers (defined as medium-size consumers with an annual consumption within the range of 500 MWh &lt; consumption &lt; 2 000 MWh), electricity price</w:t>
      </w:r>
      <w:r w:rsidR="009A12B4" w:rsidRPr="003A7E34">
        <w:rPr>
          <w:noProof/>
          <w:lang w:val="en-US"/>
        </w:rPr>
        <w:t xml:space="preserve"> in Lithuania</w:t>
      </w:r>
      <w:r w:rsidRPr="003A7E34">
        <w:rPr>
          <w:noProof/>
          <w:lang w:val="en-US"/>
        </w:rPr>
        <w:t xml:space="preserve"> during the second half of 2017 </w:t>
      </w:r>
      <w:r w:rsidR="006B2957" w:rsidRPr="003A7E34">
        <w:rPr>
          <w:noProof/>
          <w:lang w:val="en-US"/>
        </w:rPr>
        <w:t>was among the lowest one</w:t>
      </w:r>
      <w:r w:rsidR="002E5C25" w:rsidRPr="003A7E34">
        <w:rPr>
          <w:noProof/>
          <w:lang w:val="en-US"/>
        </w:rPr>
        <w:t xml:space="preserve">s. </w:t>
      </w:r>
    </w:p>
    <w:p w14:paraId="34324D69" w14:textId="57DD3295" w:rsidR="00776FB7" w:rsidRPr="003A7E34" w:rsidRDefault="00347D69" w:rsidP="008A7D89">
      <w:pPr>
        <w:rPr>
          <w:noProof/>
          <w:lang w:val="en-US"/>
        </w:rPr>
      </w:pPr>
      <w:r>
        <w:rPr>
          <w:noProof/>
          <w:lang w:val="en-US"/>
        </w:rPr>
        <w:lastRenderedPageBreak/>
        <w:drawing>
          <wp:inline distT="0" distB="0" distL="0" distR="0" wp14:anchorId="5C4E7886" wp14:editId="418988A1">
            <wp:extent cx="6118858" cy="2995930"/>
            <wp:effectExtent l="0" t="0" r="0" b="0"/>
            <wp:docPr id="180795219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0">
                      <a:extLst>
                        <a:ext uri="{28A0092B-C50C-407E-A947-70E740481C1C}">
                          <a14:useLocalDpi xmlns:a14="http://schemas.microsoft.com/office/drawing/2010/main" val="0"/>
                        </a:ext>
                      </a:extLst>
                    </a:blip>
                    <a:stretch>
                      <a:fillRect/>
                    </a:stretch>
                  </pic:blipFill>
                  <pic:spPr>
                    <a:xfrm>
                      <a:off x="0" y="0"/>
                      <a:ext cx="6118858" cy="2995930"/>
                    </a:xfrm>
                    <a:prstGeom prst="rect">
                      <a:avLst/>
                    </a:prstGeom>
                  </pic:spPr>
                </pic:pic>
              </a:graphicData>
            </a:graphic>
          </wp:inline>
        </w:drawing>
      </w:r>
    </w:p>
    <w:p w14:paraId="63B63FD6" w14:textId="24B84F8E" w:rsidR="00781814" w:rsidRPr="003A7E34" w:rsidRDefault="00781814" w:rsidP="008A7D89">
      <w:pPr>
        <w:rPr>
          <w:noProof/>
          <w:lang w:val="en-US"/>
        </w:rPr>
      </w:pPr>
    </w:p>
    <w:p w14:paraId="4DD0B029" w14:textId="772ED97C" w:rsidR="00555876" w:rsidRPr="003A7E34" w:rsidRDefault="00555876" w:rsidP="004635B0">
      <w:pPr>
        <w:rPr>
          <w:rFonts w:eastAsia="Times New Roman"/>
          <w:sz w:val="20"/>
          <w:szCs w:val="20"/>
          <w:lang w:val="en-US"/>
        </w:rPr>
      </w:pPr>
      <w:r w:rsidRPr="003A7E34">
        <w:rPr>
          <w:rFonts w:eastAsia="Times New Roman"/>
          <w:b/>
          <w:bCs/>
          <w:noProof/>
          <w:sz w:val="20"/>
          <w:szCs w:val="20"/>
          <w:lang w:val="en-US"/>
        </w:rPr>
        <w:t>Table 4.6.1.</w:t>
      </w:r>
      <w:r w:rsidRPr="003A7E34">
        <w:rPr>
          <w:rFonts w:eastAsia="Times New Roman"/>
          <w:lang w:val="en-US"/>
        </w:rPr>
        <w:t xml:space="preserve"> </w:t>
      </w:r>
      <w:r w:rsidR="004635B0" w:rsidRPr="003A7E34">
        <w:rPr>
          <w:rFonts w:eastAsia="Times New Roman"/>
          <w:sz w:val="20"/>
          <w:szCs w:val="20"/>
          <w:lang w:val="en-US"/>
        </w:rPr>
        <w:t>Power transmission and distribution service price caps for 2012–2017 (ct/kWh)</w:t>
      </w:r>
      <w:r w:rsidR="004635B0" w:rsidRPr="003A7E34">
        <w:rPr>
          <w:rStyle w:val="FootnoteReference"/>
          <w:rFonts w:eastAsia="Times New Roman"/>
          <w:sz w:val="20"/>
          <w:szCs w:val="20"/>
          <w:lang w:val="en-US"/>
        </w:rPr>
        <w:footnoteReference w:id="61"/>
      </w:r>
    </w:p>
    <w:tbl>
      <w:tblPr>
        <w:tblW w:w="9742" w:type="dxa"/>
        <w:tblLook w:val="04A0" w:firstRow="1" w:lastRow="0" w:firstColumn="1" w:lastColumn="0" w:noHBand="0" w:noVBand="1"/>
      </w:tblPr>
      <w:tblGrid>
        <w:gridCol w:w="3256"/>
        <w:gridCol w:w="2178"/>
        <w:gridCol w:w="718"/>
        <w:gridCol w:w="718"/>
        <w:gridCol w:w="718"/>
        <w:gridCol w:w="718"/>
        <w:gridCol w:w="718"/>
        <w:gridCol w:w="718"/>
      </w:tblGrid>
      <w:tr w:rsidR="003A7E34" w:rsidRPr="003A7E34" w14:paraId="39551354" w14:textId="77777777" w:rsidTr="001560FD">
        <w:trPr>
          <w:trHeight w:val="288"/>
        </w:trPr>
        <w:tc>
          <w:tcPr>
            <w:tcW w:w="325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251D9A2" w14:textId="77777777" w:rsidR="00010859" w:rsidRPr="003A7E34" w:rsidRDefault="00010859" w:rsidP="00010859">
            <w:pPr>
              <w:spacing w:before="0" w:after="0"/>
              <w:jc w:val="center"/>
              <w:rPr>
                <w:rFonts w:eastAsia="Times New Roman"/>
                <w:b/>
                <w:bCs/>
                <w:lang w:val="en-US" w:eastAsia="lt-LT"/>
              </w:rPr>
            </w:pPr>
            <w:r w:rsidRPr="003A7E34">
              <w:rPr>
                <w:rFonts w:eastAsia="Times New Roman"/>
                <w:b/>
                <w:bCs/>
                <w:lang w:val="en-US" w:eastAsia="lt-LT"/>
              </w:rPr>
              <w:t xml:space="preserve">Name of the regulated service </w:t>
            </w:r>
          </w:p>
        </w:tc>
        <w:tc>
          <w:tcPr>
            <w:tcW w:w="217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9170294" w14:textId="77777777" w:rsidR="00010859" w:rsidRPr="003A7E34" w:rsidRDefault="00010859" w:rsidP="00010859">
            <w:pPr>
              <w:spacing w:before="0" w:after="0"/>
              <w:jc w:val="center"/>
              <w:rPr>
                <w:rFonts w:eastAsia="Times New Roman"/>
                <w:b/>
                <w:bCs/>
                <w:lang w:val="en-US" w:eastAsia="lt-LT"/>
              </w:rPr>
            </w:pPr>
            <w:r w:rsidRPr="003A7E34">
              <w:rPr>
                <w:rFonts w:eastAsia="Times New Roman"/>
                <w:b/>
                <w:bCs/>
                <w:lang w:val="en-US" w:eastAsia="lt-LT"/>
              </w:rPr>
              <w:t xml:space="preserve">Supplier of the regulated service </w:t>
            </w:r>
          </w:p>
        </w:tc>
        <w:tc>
          <w:tcPr>
            <w:tcW w:w="4308" w:type="dxa"/>
            <w:gridSpan w:val="6"/>
            <w:tcBorders>
              <w:top w:val="single" w:sz="4" w:space="0" w:color="auto"/>
              <w:left w:val="nil"/>
              <w:bottom w:val="single" w:sz="4" w:space="0" w:color="auto"/>
              <w:right w:val="single" w:sz="4" w:space="0" w:color="auto"/>
            </w:tcBorders>
            <w:shd w:val="clear" w:color="auto" w:fill="auto"/>
            <w:vAlign w:val="bottom"/>
            <w:hideMark/>
          </w:tcPr>
          <w:p w14:paraId="02CACE32" w14:textId="77777777" w:rsidR="00010859" w:rsidRPr="003A7E34" w:rsidRDefault="00010859" w:rsidP="00010859">
            <w:pPr>
              <w:spacing w:before="0" w:after="0"/>
              <w:jc w:val="center"/>
              <w:rPr>
                <w:rFonts w:eastAsia="Times New Roman"/>
                <w:b/>
                <w:bCs/>
                <w:lang w:val="en-US" w:eastAsia="lt-LT"/>
              </w:rPr>
            </w:pPr>
            <w:r w:rsidRPr="003A7E34">
              <w:rPr>
                <w:rFonts w:eastAsia="Times New Roman"/>
                <w:b/>
                <w:bCs/>
                <w:lang w:val="en-US" w:eastAsia="lt-LT"/>
              </w:rPr>
              <w:t>Regulated service price cap (ct/kWh)</w:t>
            </w:r>
          </w:p>
        </w:tc>
      </w:tr>
      <w:tr w:rsidR="003A7E34" w:rsidRPr="003A7E34" w14:paraId="19F84942" w14:textId="77777777" w:rsidTr="001560FD">
        <w:trPr>
          <w:trHeight w:val="288"/>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0FD35C15" w14:textId="77777777" w:rsidR="00010859" w:rsidRPr="003A7E34" w:rsidRDefault="00010859" w:rsidP="00010859">
            <w:pPr>
              <w:spacing w:before="0" w:after="0"/>
              <w:jc w:val="left"/>
              <w:rPr>
                <w:rFonts w:eastAsia="Times New Roman"/>
                <w:b/>
                <w:bCs/>
                <w:lang w:val="en-US" w:eastAsia="lt-LT"/>
              </w:rPr>
            </w:pP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3A803E96" w14:textId="77777777" w:rsidR="00010859" w:rsidRPr="003A7E34" w:rsidRDefault="00010859" w:rsidP="00010859">
            <w:pPr>
              <w:spacing w:before="0" w:after="0"/>
              <w:jc w:val="left"/>
              <w:rPr>
                <w:rFonts w:eastAsia="Times New Roman"/>
                <w:b/>
                <w:bCs/>
                <w:lang w:val="en-US" w:eastAsia="lt-LT"/>
              </w:rPr>
            </w:pPr>
          </w:p>
        </w:tc>
        <w:tc>
          <w:tcPr>
            <w:tcW w:w="718" w:type="dxa"/>
            <w:tcBorders>
              <w:top w:val="nil"/>
              <w:left w:val="nil"/>
              <w:bottom w:val="single" w:sz="4" w:space="0" w:color="auto"/>
              <w:right w:val="single" w:sz="4" w:space="0" w:color="auto"/>
            </w:tcBorders>
            <w:shd w:val="clear" w:color="auto" w:fill="auto"/>
            <w:vAlign w:val="bottom"/>
            <w:hideMark/>
          </w:tcPr>
          <w:p w14:paraId="64EDD9BB" w14:textId="77777777" w:rsidR="00010859" w:rsidRPr="003A7E34" w:rsidRDefault="00010859" w:rsidP="00010859">
            <w:pPr>
              <w:spacing w:before="0" w:after="0"/>
              <w:jc w:val="center"/>
              <w:rPr>
                <w:rFonts w:eastAsia="Times New Roman"/>
                <w:b/>
                <w:bCs/>
                <w:lang w:val="en-US" w:eastAsia="lt-LT"/>
              </w:rPr>
            </w:pPr>
            <w:r w:rsidRPr="003A7E34">
              <w:rPr>
                <w:rFonts w:eastAsia="Times New Roman"/>
                <w:b/>
                <w:bCs/>
                <w:lang w:val="en-US" w:eastAsia="lt-LT"/>
              </w:rPr>
              <w:t>2012</w:t>
            </w:r>
          </w:p>
        </w:tc>
        <w:tc>
          <w:tcPr>
            <w:tcW w:w="718" w:type="dxa"/>
            <w:tcBorders>
              <w:top w:val="nil"/>
              <w:left w:val="nil"/>
              <w:bottom w:val="single" w:sz="4" w:space="0" w:color="auto"/>
              <w:right w:val="single" w:sz="4" w:space="0" w:color="auto"/>
            </w:tcBorders>
            <w:shd w:val="clear" w:color="auto" w:fill="auto"/>
            <w:vAlign w:val="bottom"/>
            <w:hideMark/>
          </w:tcPr>
          <w:p w14:paraId="13C6C197" w14:textId="77777777" w:rsidR="00010859" w:rsidRPr="003A7E34" w:rsidRDefault="00010859" w:rsidP="00010859">
            <w:pPr>
              <w:spacing w:before="0" w:after="0"/>
              <w:jc w:val="center"/>
              <w:rPr>
                <w:rFonts w:eastAsia="Times New Roman"/>
                <w:b/>
                <w:bCs/>
                <w:lang w:val="en-US" w:eastAsia="lt-LT"/>
              </w:rPr>
            </w:pPr>
            <w:r w:rsidRPr="003A7E34">
              <w:rPr>
                <w:rFonts w:eastAsia="Times New Roman"/>
                <w:b/>
                <w:bCs/>
                <w:lang w:val="en-US" w:eastAsia="lt-LT"/>
              </w:rPr>
              <w:t>2013</w:t>
            </w:r>
          </w:p>
        </w:tc>
        <w:tc>
          <w:tcPr>
            <w:tcW w:w="718" w:type="dxa"/>
            <w:tcBorders>
              <w:top w:val="nil"/>
              <w:left w:val="nil"/>
              <w:bottom w:val="single" w:sz="4" w:space="0" w:color="auto"/>
              <w:right w:val="single" w:sz="4" w:space="0" w:color="auto"/>
            </w:tcBorders>
            <w:shd w:val="clear" w:color="auto" w:fill="auto"/>
            <w:vAlign w:val="bottom"/>
            <w:hideMark/>
          </w:tcPr>
          <w:p w14:paraId="4AFD6B7D" w14:textId="77777777" w:rsidR="00010859" w:rsidRPr="003A7E34" w:rsidRDefault="00010859" w:rsidP="00010859">
            <w:pPr>
              <w:spacing w:before="0" w:after="0"/>
              <w:jc w:val="center"/>
              <w:rPr>
                <w:rFonts w:eastAsia="Times New Roman"/>
                <w:b/>
                <w:bCs/>
                <w:lang w:val="en-US" w:eastAsia="lt-LT"/>
              </w:rPr>
            </w:pPr>
            <w:r w:rsidRPr="003A7E34">
              <w:rPr>
                <w:rFonts w:eastAsia="Times New Roman"/>
                <w:b/>
                <w:bCs/>
                <w:lang w:val="en-US" w:eastAsia="lt-LT"/>
              </w:rPr>
              <w:t>2014</w:t>
            </w:r>
          </w:p>
        </w:tc>
        <w:tc>
          <w:tcPr>
            <w:tcW w:w="718" w:type="dxa"/>
            <w:tcBorders>
              <w:top w:val="nil"/>
              <w:left w:val="nil"/>
              <w:bottom w:val="single" w:sz="4" w:space="0" w:color="auto"/>
              <w:right w:val="single" w:sz="4" w:space="0" w:color="auto"/>
            </w:tcBorders>
            <w:shd w:val="clear" w:color="auto" w:fill="auto"/>
            <w:vAlign w:val="bottom"/>
            <w:hideMark/>
          </w:tcPr>
          <w:p w14:paraId="771165A3" w14:textId="77777777" w:rsidR="00010859" w:rsidRPr="003A7E34" w:rsidRDefault="00010859" w:rsidP="00010859">
            <w:pPr>
              <w:spacing w:before="0" w:after="0"/>
              <w:jc w:val="center"/>
              <w:rPr>
                <w:rFonts w:eastAsia="Times New Roman"/>
                <w:b/>
                <w:bCs/>
                <w:lang w:val="en-US" w:eastAsia="lt-LT"/>
              </w:rPr>
            </w:pPr>
            <w:r w:rsidRPr="003A7E34">
              <w:rPr>
                <w:rFonts w:eastAsia="Times New Roman"/>
                <w:b/>
                <w:bCs/>
                <w:lang w:val="en-US" w:eastAsia="lt-LT"/>
              </w:rPr>
              <w:t>2015</w:t>
            </w:r>
          </w:p>
        </w:tc>
        <w:tc>
          <w:tcPr>
            <w:tcW w:w="718" w:type="dxa"/>
            <w:tcBorders>
              <w:top w:val="nil"/>
              <w:left w:val="nil"/>
              <w:bottom w:val="single" w:sz="4" w:space="0" w:color="auto"/>
              <w:right w:val="single" w:sz="4" w:space="0" w:color="auto"/>
            </w:tcBorders>
            <w:shd w:val="clear" w:color="auto" w:fill="auto"/>
            <w:vAlign w:val="bottom"/>
            <w:hideMark/>
          </w:tcPr>
          <w:p w14:paraId="71750623" w14:textId="77777777" w:rsidR="00010859" w:rsidRPr="003A7E34" w:rsidRDefault="00010859" w:rsidP="00010859">
            <w:pPr>
              <w:spacing w:before="0" w:after="0"/>
              <w:jc w:val="center"/>
              <w:rPr>
                <w:rFonts w:eastAsia="Times New Roman"/>
                <w:b/>
                <w:bCs/>
                <w:lang w:val="en-US" w:eastAsia="lt-LT"/>
              </w:rPr>
            </w:pPr>
            <w:r w:rsidRPr="003A7E34">
              <w:rPr>
                <w:rFonts w:eastAsia="Times New Roman"/>
                <w:b/>
                <w:bCs/>
                <w:lang w:val="en-US" w:eastAsia="lt-LT"/>
              </w:rPr>
              <w:t>2016</w:t>
            </w:r>
          </w:p>
        </w:tc>
        <w:tc>
          <w:tcPr>
            <w:tcW w:w="718" w:type="dxa"/>
            <w:tcBorders>
              <w:top w:val="nil"/>
              <w:left w:val="nil"/>
              <w:bottom w:val="single" w:sz="4" w:space="0" w:color="auto"/>
              <w:right w:val="single" w:sz="4" w:space="0" w:color="auto"/>
            </w:tcBorders>
            <w:shd w:val="clear" w:color="auto" w:fill="auto"/>
            <w:vAlign w:val="bottom"/>
            <w:hideMark/>
          </w:tcPr>
          <w:p w14:paraId="31796A85" w14:textId="77777777" w:rsidR="00010859" w:rsidRPr="003A7E34" w:rsidRDefault="00010859" w:rsidP="00010859">
            <w:pPr>
              <w:spacing w:before="0" w:after="0"/>
              <w:jc w:val="center"/>
              <w:rPr>
                <w:rFonts w:eastAsia="Times New Roman"/>
                <w:b/>
                <w:bCs/>
                <w:lang w:val="en-US" w:eastAsia="lt-LT"/>
              </w:rPr>
            </w:pPr>
            <w:r w:rsidRPr="003A7E34">
              <w:rPr>
                <w:rFonts w:eastAsia="Times New Roman"/>
                <w:b/>
                <w:bCs/>
                <w:lang w:val="en-US" w:eastAsia="lt-LT"/>
              </w:rPr>
              <w:t>2017</w:t>
            </w:r>
          </w:p>
        </w:tc>
      </w:tr>
      <w:tr w:rsidR="003A7E34" w:rsidRPr="003A7E34" w14:paraId="0E3DB0F0" w14:textId="77777777" w:rsidTr="001560FD">
        <w:trPr>
          <w:trHeight w:val="288"/>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51F33C1" w14:textId="77777777" w:rsidR="00010859" w:rsidRPr="003A7E34" w:rsidRDefault="00010859" w:rsidP="00010859">
            <w:pPr>
              <w:spacing w:before="0" w:after="0"/>
              <w:jc w:val="left"/>
              <w:rPr>
                <w:rFonts w:eastAsia="Times New Roman"/>
                <w:lang w:val="en-US" w:eastAsia="lt-LT"/>
              </w:rPr>
            </w:pPr>
            <w:r w:rsidRPr="003A7E34">
              <w:rPr>
                <w:rFonts w:eastAsia="Times New Roman"/>
                <w:lang w:val="en-US" w:eastAsia="lt-LT"/>
              </w:rPr>
              <w:t>Power transmission</w:t>
            </w:r>
          </w:p>
        </w:tc>
        <w:tc>
          <w:tcPr>
            <w:tcW w:w="2178" w:type="dxa"/>
            <w:tcBorders>
              <w:top w:val="nil"/>
              <w:left w:val="nil"/>
              <w:bottom w:val="single" w:sz="4" w:space="0" w:color="auto"/>
              <w:right w:val="single" w:sz="4" w:space="0" w:color="auto"/>
            </w:tcBorders>
            <w:shd w:val="clear" w:color="auto" w:fill="auto"/>
            <w:vAlign w:val="bottom"/>
            <w:hideMark/>
          </w:tcPr>
          <w:p w14:paraId="79115797" w14:textId="1176EF1A" w:rsidR="00010859" w:rsidRPr="003A7E34" w:rsidRDefault="00C20C9A" w:rsidP="00010859">
            <w:pPr>
              <w:spacing w:before="0" w:after="0"/>
              <w:jc w:val="left"/>
              <w:rPr>
                <w:rFonts w:eastAsia="Times New Roman"/>
                <w:lang w:val="en-US" w:eastAsia="lt-LT"/>
              </w:rPr>
            </w:pPr>
            <w:r w:rsidRPr="003A7E34">
              <w:rPr>
                <w:rFonts w:eastAsia="Times New Roman"/>
                <w:lang w:val="en-US" w:eastAsia="lt-LT"/>
              </w:rPr>
              <w:t xml:space="preserve">TSO </w:t>
            </w:r>
            <w:r w:rsidR="00010859" w:rsidRPr="003A7E34">
              <w:rPr>
                <w:rFonts w:eastAsia="Times New Roman"/>
                <w:lang w:val="en-US" w:eastAsia="lt-LT"/>
              </w:rPr>
              <w:t xml:space="preserve">Litgrid </w:t>
            </w:r>
          </w:p>
        </w:tc>
        <w:tc>
          <w:tcPr>
            <w:tcW w:w="718" w:type="dxa"/>
            <w:tcBorders>
              <w:top w:val="nil"/>
              <w:left w:val="nil"/>
              <w:bottom w:val="single" w:sz="4" w:space="0" w:color="auto"/>
              <w:right w:val="single" w:sz="4" w:space="0" w:color="auto"/>
            </w:tcBorders>
            <w:shd w:val="clear" w:color="auto" w:fill="auto"/>
            <w:vAlign w:val="bottom"/>
            <w:hideMark/>
          </w:tcPr>
          <w:p w14:paraId="295A2BF3" w14:textId="77777777" w:rsidR="00010859" w:rsidRPr="003A7E34" w:rsidRDefault="00010859" w:rsidP="00010859">
            <w:pPr>
              <w:spacing w:before="0" w:after="0"/>
              <w:jc w:val="center"/>
              <w:rPr>
                <w:rFonts w:eastAsia="Times New Roman"/>
                <w:lang w:val="en-US" w:eastAsia="lt-LT"/>
              </w:rPr>
            </w:pPr>
            <w:r w:rsidRPr="003A7E34">
              <w:rPr>
                <w:rFonts w:eastAsia="Times New Roman"/>
                <w:lang w:val="en-US" w:eastAsia="lt-LT"/>
              </w:rPr>
              <w:t>0.672</w:t>
            </w:r>
          </w:p>
        </w:tc>
        <w:tc>
          <w:tcPr>
            <w:tcW w:w="718" w:type="dxa"/>
            <w:tcBorders>
              <w:top w:val="nil"/>
              <w:left w:val="nil"/>
              <w:bottom w:val="single" w:sz="4" w:space="0" w:color="auto"/>
              <w:right w:val="single" w:sz="4" w:space="0" w:color="auto"/>
            </w:tcBorders>
            <w:shd w:val="clear" w:color="auto" w:fill="auto"/>
            <w:vAlign w:val="bottom"/>
            <w:hideMark/>
          </w:tcPr>
          <w:p w14:paraId="0354D8EE" w14:textId="77777777" w:rsidR="00010859" w:rsidRPr="003A7E34" w:rsidRDefault="00010859" w:rsidP="00010859">
            <w:pPr>
              <w:spacing w:before="0" w:after="0"/>
              <w:jc w:val="center"/>
              <w:rPr>
                <w:rFonts w:eastAsia="Times New Roman"/>
                <w:lang w:val="en-US" w:eastAsia="lt-LT"/>
              </w:rPr>
            </w:pPr>
            <w:r w:rsidRPr="003A7E34">
              <w:rPr>
                <w:rFonts w:eastAsia="Times New Roman"/>
                <w:lang w:val="en-US" w:eastAsia="lt-LT"/>
              </w:rPr>
              <w:t>0.699</w:t>
            </w:r>
          </w:p>
        </w:tc>
        <w:tc>
          <w:tcPr>
            <w:tcW w:w="718" w:type="dxa"/>
            <w:tcBorders>
              <w:top w:val="nil"/>
              <w:left w:val="nil"/>
              <w:bottom w:val="single" w:sz="4" w:space="0" w:color="auto"/>
              <w:right w:val="single" w:sz="4" w:space="0" w:color="auto"/>
            </w:tcBorders>
            <w:shd w:val="clear" w:color="auto" w:fill="auto"/>
            <w:vAlign w:val="bottom"/>
            <w:hideMark/>
          </w:tcPr>
          <w:p w14:paraId="6912D928" w14:textId="77777777" w:rsidR="00010859" w:rsidRPr="003A7E34" w:rsidRDefault="00010859" w:rsidP="00010859">
            <w:pPr>
              <w:spacing w:before="0" w:after="0"/>
              <w:jc w:val="center"/>
              <w:rPr>
                <w:rFonts w:eastAsia="Times New Roman"/>
                <w:lang w:val="en-US" w:eastAsia="lt-LT"/>
              </w:rPr>
            </w:pPr>
            <w:r w:rsidRPr="003A7E34">
              <w:rPr>
                <w:rFonts w:eastAsia="Times New Roman"/>
                <w:lang w:val="en-US" w:eastAsia="lt-LT"/>
              </w:rPr>
              <w:t>0.639</w:t>
            </w:r>
          </w:p>
        </w:tc>
        <w:tc>
          <w:tcPr>
            <w:tcW w:w="718" w:type="dxa"/>
            <w:tcBorders>
              <w:top w:val="nil"/>
              <w:left w:val="nil"/>
              <w:bottom w:val="single" w:sz="4" w:space="0" w:color="auto"/>
              <w:right w:val="single" w:sz="4" w:space="0" w:color="auto"/>
            </w:tcBorders>
            <w:shd w:val="clear" w:color="auto" w:fill="auto"/>
            <w:vAlign w:val="bottom"/>
            <w:hideMark/>
          </w:tcPr>
          <w:p w14:paraId="1321C44E" w14:textId="77777777" w:rsidR="00010859" w:rsidRPr="003A7E34" w:rsidRDefault="00010859" w:rsidP="00010859">
            <w:pPr>
              <w:spacing w:before="0" w:after="0"/>
              <w:jc w:val="center"/>
              <w:rPr>
                <w:rFonts w:eastAsia="Times New Roman"/>
                <w:lang w:val="en-US" w:eastAsia="lt-LT"/>
              </w:rPr>
            </w:pPr>
            <w:r w:rsidRPr="003A7E34">
              <w:rPr>
                <w:rFonts w:eastAsia="Times New Roman"/>
                <w:lang w:val="en-US" w:eastAsia="lt-LT"/>
              </w:rPr>
              <w:t>0.538</w:t>
            </w:r>
          </w:p>
        </w:tc>
        <w:tc>
          <w:tcPr>
            <w:tcW w:w="718" w:type="dxa"/>
            <w:tcBorders>
              <w:top w:val="nil"/>
              <w:left w:val="nil"/>
              <w:bottom w:val="single" w:sz="4" w:space="0" w:color="auto"/>
              <w:right w:val="single" w:sz="4" w:space="0" w:color="auto"/>
            </w:tcBorders>
            <w:shd w:val="clear" w:color="auto" w:fill="auto"/>
            <w:vAlign w:val="bottom"/>
            <w:hideMark/>
          </w:tcPr>
          <w:p w14:paraId="1174969E" w14:textId="77777777" w:rsidR="00010859" w:rsidRPr="003A7E34" w:rsidRDefault="00010859" w:rsidP="00010859">
            <w:pPr>
              <w:spacing w:before="0" w:after="0"/>
              <w:jc w:val="center"/>
              <w:rPr>
                <w:rFonts w:eastAsia="Times New Roman"/>
                <w:lang w:val="en-US" w:eastAsia="lt-LT"/>
              </w:rPr>
            </w:pPr>
            <w:r w:rsidRPr="003A7E34">
              <w:rPr>
                <w:rFonts w:eastAsia="Times New Roman"/>
                <w:lang w:val="en-US" w:eastAsia="lt-LT"/>
              </w:rPr>
              <w:t>0.691</w:t>
            </w:r>
          </w:p>
        </w:tc>
        <w:tc>
          <w:tcPr>
            <w:tcW w:w="718" w:type="dxa"/>
            <w:tcBorders>
              <w:top w:val="nil"/>
              <w:left w:val="nil"/>
              <w:bottom w:val="single" w:sz="4" w:space="0" w:color="auto"/>
              <w:right w:val="single" w:sz="4" w:space="0" w:color="auto"/>
            </w:tcBorders>
            <w:shd w:val="clear" w:color="auto" w:fill="auto"/>
            <w:vAlign w:val="bottom"/>
            <w:hideMark/>
          </w:tcPr>
          <w:p w14:paraId="40C2DA4E" w14:textId="77777777" w:rsidR="00010859" w:rsidRPr="003A7E34" w:rsidRDefault="00010859" w:rsidP="00010859">
            <w:pPr>
              <w:spacing w:before="0" w:after="0"/>
              <w:jc w:val="center"/>
              <w:rPr>
                <w:rFonts w:eastAsia="Times New Roman"/>
                <w:lang w:val="en-US" w:eastAsia="lt-LT"/>
              </w:rPr>
            </w:pPr>
            <w:r w:rsidRPr="003A7E34">
              <w:rPr>
                <w:rFonts w:eastAsia="Times New Roman"/>
                <w:lang w:val="en-US" w:eastAsia="lt-LT"/>
              </w:rPr>
              <w:t>0.672</w:t>
            </w:r>
          </w:p>
        </w:tc>
      </w:tr>
      <w:tr w:rsidR="003A7E34" w:rsidRPr="003A7E34" w14:paraId="7EF7DF7D" w14:textId="77777777" w:rsidTr="001560FD">
        <w:trPr>
          <w:trHeight w:val="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6FB9AF6A" w14:textId="77777777" w:rsidR="00010859" w:rsidRPr="003A7E34" w:rsidRDefault="00010859" w:rsidP="00010859">
            <w:pPr>
              <w:spacing w:before="0" w:after="0"/>
              <w:jc w:val="left"/>
              <w:rPr>
                <w:rFonts w:eastAsia="Times New Roman"/>
                <w:lang w:val="en-US" w:eastAsia="lt-LT"/>
              </w:rPr>
            </w:pPr>
            <w:r w:rsidRPr="003A7E34">
              <w:rPr>
                <w:rFonts w:eastAsia="Times New Roman"/>
                <w:lang w:val="en-US" w:eastAsia="lt-LT"/>
              </w:rPr>
              <w:t>Power distribution for medium voltage network</w:t>
            </w:r>
          </w:p>
        </w:tc>
        <w:tc>
          <w:tcPr>
            <w:tcW w:w="2178" w:type="dxa"/>
            <w:tcBorders>
              <w:top w:val="nil"/>
              <w:left w:val="nil"/>
              <w:bottom w:val="single" w:sz="4" w:space="0" w:color="auto"/>
              <w:right w:val="single" w:sz="4" w:space="0" w:color="auto"/>
            </w:tcBorders>
            <w:shd w:val="clear" w:color="auto" w:fill="auto"/>
            <w:vAlign w:val="bottom"/>
            <w:hideMark/>
          </w:tcPr>
          <w:p w14:paraId="418B799B" w14:textId="680A1F28" w:rsidR="00010859" w:rsidRPr="003A7E34" w:rsidRDefault="00C20C9A" w:rsidP="00010859">
            <w:pPr>
              <w:spacing w:before="0" w:after="0"/>
              <w:jc w:val="left"/>
              <w:rPr>
                <w:rFonts w:eastAsia="Times New Roman"/>
                <w:lang w:val="en-US" w:eastAsia="lt-LT"/>
              </w:rPr>
            </w:pPr>
            <w:r w:rsidRPr="003A7E34">
              <w:rPr>
                <w:rFonts w:eastAsia="Times New Roman"/>
                <w:lang w:val="en-US" w:eastAsia="lt-LT"/>
              </w:rPr>
              <w:t>DSO ESO</w:t>
            </w:r>
            <w:r w:rsidR="00010859" w:rsidRPr="003A7E34">
              <w:rPr>
                <w:rFonts w:eastAsia="Times New Roman"/>
                <w:lang w:val="en-US" w:eastAsia="lt-LT"/>
              </w:rPr>
              <w:t xml:space="preserve"> </w:t>
            </w:r>
          </w:p>
        </w:tc>
        <w:tc>
          <w:tcPr>
            <w:tcW w:w="718" w:type="dxa"/>
            <w:tcBorders>
              <w:top w:val="nil"/>
              <w:left w:val="nil"/>
              <w:bottom w:val="single" w:sz="4" w:space="0" w:color="auto"/>
              <w:right w:val="single" w:sz="4" w:space="0" w:color="auto"/>
            </w:tcBorders>
            <w:shd w:val="clear" w:color="auto" w:fill="auto"/>
            <w:vAlign w:val="bottom"/>
            <w:hideMark/>
          </w:tcPr>
          <w:p w14:paraId="1EC51224" w14:textId="77777777" w:rsidR="00010859" w:rsidRPr="003A7E34" w:rsidRDefault="00010859" w:rsidP="00010859">
            <w:pPr>
              <w:spacing w:before="0" w:after="0"/>
              <w:jc w:val="center"/>
              <w:rPr>
                <w:rFonts w:eastAsia="Times New Roman"/>
                <w:lang w:val="en-US" w:eastAsia="lt-LT"/>
              </w:rPr>
            </w:pPr>
            <w:r w:rsidRPr="003A7E34">
              <w:rPr>
                <w:rFonts w:eastAsia="Times New Roman"/>
                <w:lang w:val="en-US" w:eastAsia="lt-LT"/>
              </w:rPr>
              <w:t>1.413</w:t>
            </w:r>
          </w:p>
        </w:tc>
        <w:tc>
          <w:tcPr>
            <w:tcW w:w="718" w:type="dxa"/>
            <w:tcBorders>
              <w:top w:val="nil"/>
              <w:left w:val="nil"/>
              <w:bottom w:val="single" w:sz="4" w:space="0" w:color="auto"/>
              <w:right w:val="single" w:sz="4" w:space="0" w:color="auto"/>
            </w:tcBorders>
            <w:shd w:val="clear" w:color="auto" w:fill="auto"/>
            <w:vAlign w:val="bottom"/>
            <w:hideMark/>
          </w:tcPr>
          <w:p w14:paraId="0955B8F6" w14:textId="77777777" w:rsidR="00010859" w:rsidRPr="003A7E34" w:rsidRDefault="00010859" w:rsidP="00010859">
            <w:pPr>
              <w:spacing w:before="0" w:after="0"/>
              <w:jc w:val="center"/>
              <w:rPr>
                <w:rFonts w:eastAsia="Times New Roman"/>
                <w:lang w:val="en-US" w:eastAsia="lt-LT"/>
              </w:rPr>
            </w:pPr>
            <w:r w:rsidRPr="003A7E34">
              <w:rPr>
                <w:rFonts w:eastAsia="Times New Roman"/>
                <w:lang w:val="en-US" w:eastAsia="lt-LT"/>
              </w:rPr>
              <w:t>1.375</w:t>
            </w:r>
          </w:p>
        </w:tc>
        <w:tc>
          <w:tcPr>
            <w:tcW w:w="718" w:type="dxa"/>
            <w:tcBorders>
              <w:top w:val="nil"/>
              <w:left w:val="nil"/>
              <w:bottom w:val="single" w:sz="4" w:space="0" w:color="auto"/>
              <w:right w:val="single" w:sz="4" w:space="0" w:color="auto"/>
            </w:tcBorders>
            <w:shd w:val="clear" w:color="auto" w:fill="auto"/>
            <w:vAlign w:val="bottom"/>
            <w:hideMark/>
          </w:tcPr>
          <w:p w14:paraId="38A56C97" w14:textId="77777777" w:rsidR="00010859" w:rsidRPr="003A7E34" w:rsidRDefault="00010859" w:rsidP="00010859">
            <w:pPr>
              <w:spacing w:before="0" w:after="0"/>
              <w:jc w:val="center"/>
              <w:rPr>
                <w:rFonts w:eastAsia="Times New Roman"/>
                <w:lang w:val="en-US" w:eastAsia="lt-LT"/>
              </w:rPr>
            </w:pPr>
            <w:r w:rsidRPr="003A7E34">
              <w:rPr>
                <w:rFonts w:eastAsia="Times New Roman"/>
                <w:lang w:val="en-US" w:eastAsia="lt-LT"/>
              </w:rPr>
              <w:t>1.297</w:t>
            </w:r>
          </w:p>
        </w:tc>
        <w:tc>
          <w:tcPr>
            <w:tcW w:w="718" w:type="dxa"/>
            <w:tcBorders>
              <w:top w:val="nil"/>
              <w:left w:val="nil"/>
              <w:bottom w:val="single" w:sz="4" w:space="0" w:color="auto"/>
              <w:right w:val="single" w:sz="4" w:space="0" w:color="auto"/>
            </w:tcBorders>
            <w:shd w:val="clear" w:color="auto" w:fill="auto"/>
            <w:vAlign w:val="bottom"/>
            <w:hideMark/>
          </w:tcPr>
          <w:p w14:paraId="3D43B1AD" w14:textId="77777777" w:rsidR="00010859" w:rsidRPr="003A7E34" w:rsidRDefault="00010859" w:rsidP="00010859">
            <w:pPr>
              <w:spacing w:before="0" w:after="0"/>
              <w:jc w:val="center"/>
              <w:rPr>
                <w:rFonts w:eastAsia="Times New Roman"/>
                <w:lang w:val="en-US" w:eastAsia="lt-LT"/>
              </w:rPr>
            </w:pPr>
            <w:r w:rsidRPr="003A7E34">
              <w:rPr>
                <w:rFonts w:eastAsia="Times New Roman"/>
                <w:lang w:val="en-US" w:eastAsia="lt-LT"/>
              </w:rPr>
              <w:t>1.178</w:t>
            </w:r>
          </w:p>
        </w:tc>
        <w:tc>
          <w:tcPr>
            <w:tcW w:w="718" w:type="dxa"/>
            <w:tcBorders>
              <w:top w:val="nil"/>
              <w:left w:val="nil"/>
              <w:bottom w:val="single" w:sz="4" w:space="0" w:color="auto"/>
              <w:right w:val="single" w:sz="4" w:space="0" w:color="auto"/>
            </w:tcBorders>
            <w:shd w:val="clear" w:color="auto" w:fill="auto"/>
            <w:vAlign w:val="bottom"/>
            <w:hideMark/>
          </w:tcPr>
          <w:p w14:paraId="69040500" w14:textId="77777777" w:rsidR="00010859" w:rsidRPr="003A7E34" w:rsidRDefault="00010859" w:rsidP="00010859">
            <w:pPr>
              <w:spacing w:before="0" w:after="0"/>
              <w:jc w:val="center"/>
              <w:rPr>
                <w:rFonts w:eastAsia="Times New Roman"/>
                <w:lang w:val="en-US" w:eastAsia="lt-LT"/>
              </w:rPr>
            </w:pPr>
            <w:r w:rsidRPr="003A7E34">
              <w:rPr>
                <w:rFonts w:eastAsia="Times New Roman"/>
                <w:lang w:val="en-US" w:eastAsia="lt-LT"/>
              </w:rPr>
              <w:t>1.000</w:t>
            </w:r>
          </w:p>
        </w:tc>
        <w:tc>
          <w:tcPr>
            <w:tcW w:w="718" w:type="dxa"/>
            <w:tcBorders>
              <w:top w:val="nil"/>
              <w:left w:val="nil"/>
              <w:bottom w:val="single" w:sz="4" w:space="0" w:color="auto"/>
              <w:right w:val="single" w:sz="4" w:space="0" w:color="auto"/>
            </w:tcBorders>
            <w:shd w:val="clear" w:color="auto" w:fill="auto"/>
            <w:vAlign w:val="bottom"/>
            <w:hideMark/>
          </w:tcPr>
          <w:p w14:paraId="5A40B1F5" w14:textId="77777777" w:rsidR="00010859" w:rsidRPr="003A7E34" w:rsidRDefault="00010859" w:rsidP="00010859">
            <w:pPr>
              <w:spacing w:before="0" w:after="0"/>
              <w:jc w:val="center"/>
              <w:rPr>
                <w:rFonts w:eastAsia="Times New Roman"/>
                <w:lang w:val="en-US" w:eastAsia="lt-LT"/>
              </w:rPr>
            </w:pPr>
            <w:r w:rsidRPr="003A7E34">
              <w:rPr>
                <w:rFonts w:eastAsia="Times New Roman"/>
                <w:lang w:val="en-US" w:eastAsia="lt-LT"/>
              </w:rPr>
              <w:t>0.830</w:t>
            </w:r>
          </w:p>
        </w:tc>
      </w:tr>
      <w:tr w:rsidR="00010859" w:rsidRPr="003A7E34" w14:paraId="700F3958" w14:textId="77777777" w:rsidTr="001560FD">
        <w:trPr>
          <w:trHeight w:val="70"/>
        </w:trPr>
        <w:tc>
          <w:tcPr>
            <w:tcW w:w="3256" w:type="dxa"/>
            <w:tcBorders>
              <w:top w:val="nil"/>
              <w:left w:val="single" w:sz="4" w:space="0" w:color="auto"/>
              <w:bottom w:val="single" w:sz="4" w:space="0" w:color="auto"/>
              <w:right w:val="single" w:sz="4" w:space="0" w:color="auto"/>
            </w:tcBorders>
            <w:shd w:val="clear" w:color="auto" w:fill="auto"/>
            <w:vAlign w:val="bottom"/>
            <w:hideMark/>
          </w:tcPr>
          <w:p w14:paraId="0645B64D" w14:textId="77777777" w:rsidR="00010859" w:rsidRPr="003A7E34" w:rsidRDefault="00010859" w:rsidP="00010859">
            <w:pPr>
              <w:spacing w:before="0" w:after="0"/>
              <w:jc w:val="left"/>
              <w:rPr>
                <w:rFonts w:eastAsia="Times New Roman"/>
                <w:lang w:val="en-US" w:eastAsia="lt-LT"/>
              </w:rPr>
            </w:pPr>
            <w:r w:rsidRPr="003A7E34">
              <w:rPr>
                <w:rFonts w:eastAsia="Times New Roman"/>
                <w:lang w:val="en-US" w:eastAsia="lt-LT"/>
              </w:rPr>
              <w:t>Power distribution for low voltage networks</w:t>
            </w:r>
          </w:p>
        </w:tc>
        <w:tc>
          <w:tcPr>
            <w:tcW w:w="2178" w:type="dxa"/>
            <w:tcBorders>
              <w:top w:val="nil"/>
              <w:left w:val="nil"/>
              <w:bottom w:val="single" w:sz="4" w:space="0" w:color="auto"/>
              <w:right w:val="single" w:sz="4" w:space="0" w:color="auto"/>
            </w:tcBorders>
            <w:shd w:val="clear" w:color="auto" w:fill="auto"/>
            <w:vAlign w:val="bottom"/>
            <w:hideMark/>
          </w:tcPr>
          <w:p w14:paraId="3B6F4D10" w14:textId="3EBFEFAD" w:rsidR="00010859" w:rsidRPr="003A7E34" w:rsidRDefault="00C20C9A" w:rsidP="00010859">
            <w:pPr>
              <w:spacing w:before="0" w:after="0"/>
              <w:jc w:val="left"/>
              <w:rPr>
                <w:rFonts w:eastAsia="Times New Roman"/>
                <w:lang w:val="en-US" w:eastAsia="lt-LT"/>
              </w:rPr>
            </w:pPr>
            <w:r w:rsidRPr="003A7E34">
              <w:rPr>
                <w:rFonts w:eastAsia="Times New Roman"/>
                <w:lang w:val="en-US" w:eastAsia="lt-LT"/>
              </w:rPr>
              <w:t>DSO ESO</w:t>
            </w:r>
          </w:p>
        </w:tc>
        <w:tc>
          <w:tcPr>
            <w:tcW w:w="718" w:type="dxa"/>
            <w:tcBorders>
              <w:top w:val="nil"/>
              <w:left w:val="nil"/>
              <w:bottom w:val="single" w:sz="4" w:space="0" w:color="auto"/>
              <w:right w:val="single" w:sz="4" w:space="0" w:color="auto"/>
            </w:tcBorders>
            <w:shd w:val="clear" w:color="auto" w:fill="auto"/>
            <w:vAlign w:val="bottom"/>
            <w:hideMark/>
          </w:tcPr>
          <w:p w14:paraId="37EC3548" w14:textId="77777777" w:rsidR="00010859" w:rsidRPr="003A7E34" w:rsidRDefault="00010859" w:rsidP="00010859">
            <w:pPr>
              <w:spacing w:before="0" w:after="0"/>
              <w:jc w:val="center"/>
              <w:rPr>
                <w:rFonts w:eastAsia="Times New Roman"/>
                <w:lang w:val="en-US" w:eastAsia="lt-LT"/>
              </w:rPr>
            </w:pPr>
            <w:r w:rsidRPr="003A7E34">
              <w:rPr>
                <w:rFonts w:eastAsia="Times New Roman"/>
                <w:lang w:val="en-US" w:eastAsia="lt-LT"/>
              </w:rPr>
              <w:t>1.856</w:t>
            </w:r>
          </w:p>
        </w:tc>
        <w:tc>
          <w:tcPr>
            <w:tcW w:w="718" w:type="dxa"/>
            <w:tcBorders>
              <w:top w:val="nil"/>
              <w:left w:val="nil"/>
              <w:bottom w:val="single" w:sz="4" w:space="0" w:color="auto"/>
              <w:right w:val="single" w:sz="4" w:space="0" w:color="auto"/>
            </w:tcBorders>
            <w:shd w:val="clear" w:color="auto" w:fill="auto"/>
            <w:vAlign w:val="bottom"/>
            <w:hideMark/>
          </w:tcPr>
          <w:p w14:paraId="7BC4D628" w14:textId="77777777" w:rsidR="00010859" w:rsidRPr="003A7E34" w:rsidRDefault="00010859" w:rsidP="00010859">
            <w:pPr>
              <w:spacing w:before="0" w:after="0"/>
              <w:jc w:val="center"/>
              <w:rPr>
                <w:rFonts w:eastAsia="Times New Roman"/>
                <w:lang w:val="en-US" w:eastAsia="lt-LT"/>
              </w:rPr>
            </w:pPr>
            <w:r w:rsidRPr="003A7E34">
              <w:rPr>
                <w:rFonts w:eastAsia="Times New Roman"/>
                <w:lang w:val="en-US" w:eastAsia="lt-LT"/>
              </w:rPr>
              <w:t>1.801</w:t>
            </w:r>
          </w:p>
        </w:tc>
        <w:tc>
          <w:tcPr>
            <w:tcW w:w="718" w:type="dxa"/>
            <w:tcBorders>
              <w:top w:val="nil"/>
              <w:left w:val="nil"/>
              <w:bottom w:val="single" w:sz="4" w:space="0" w:color="auto"/>
              <w:right w:val="single" w:sz="4" w:space="0" w:color="auto"/>
            </w:tcBorders>
            <w:shd w:val="clear" w:color="auto" w:fill="auto"/>
            <w:vAlign w:val="bottom"/>
            <w:hideMark/>
          </w:tcPr>
          <w:p w14:paraId="4958B5EA" w14:textId="77777777" w:rsidR="00010859" w:rsidRPr="003A7E34" w:rsidRDefault="00010859" w:rsidP="00010859">
            <w:pPr>
              <w:spacing w:before="0" w:after="0"/>
              <w:jc w:val="center"/>
              <w:rPr>
                <w:rFonts w:eastAsia="Times New Roman"/>
                <w:lang w:val="en-US" w:eastAsia="lt-LT"/>
              </w:rPr>
            </w:pPr>
            <w:r w:rsidRPr="003A7E34">
              <w:rPr>
                <w:rFonts w:eastAsia="Times New Roman"/>
                <w:lang w:val="en-US" w:eastAsia="lt-LT"/>
              </w:rPr>
              <w:t>1.785</w:t>
            </w:r>
          </w:p>
        </w:tc>
        <w:tc>
          <w:tcPr>
            <w:tcW w:w="718" w:type="dxa"/>
            <w:tcBorders>
              <w:top w:val="nil"/>
              <w:left w:val="nil"/>
              <w:bottom w:val="single" w:sz="4" w:space="0" w:color="auto"/>
              <w:right w:val="single" w:sz="4" w:space="0" w:color="auto"/>
            </w:tcBorders>
            <w:shd w:val="clear" w:color="auto" w:fill="auto"/>
            <w:vAlign w:val="bottom"/>
            <w:hideMark/>
          </w:tcPr>
          <w:p w14:paraId="6B47B5BC" w14:textId="77777777" w:rsidR="00010859" w:rsidRPr="003A7E34" w:rsidRDefault="00010859" w:rsidP="00010859">
            <w:pPr>
              <w:spacing w:before="0" w:after="0"/>
              <w:jc w:val="center"/>
              <w:rPr>
                <w:rFonts w:eastAsia="Times New Roman"/>
                <w:lang w:val="en-US" w:eastAsia="lt-LT"/>
              </w:rPr>
            </w:pPr>
            <w:r w:rsidRPr="003A7E34">
              <w:rPr>
                <w:rFonts w:eastAsia="Times New Roman"/>
                <w:lang w:val="en-US" w:eastAsia="lt-LT"/>
              </w:rPr>
              <w:t>1.550</w:t>
            </w:r>
          </w:p>
        </w:tc>
        <w:tc>
          <w:tcPr>
            <w:tcW w:w="718" w:type="dxa"/>
            <w:tcBorders>
              <w:top w:val="nil"/>
              <w:left w:val="nil"/>
              <w:bottom w:val="single" w:sz="4" w:space="0" w:color="auto"/>
              <w:right w:val="single" w:sz="4" w:space="0" w:color="auto"/>
            </w:tcBorders>
            <w:shd w:val="clear" w:color="auto" w:fill="auto"/>
            <w:vAlign w:val="bottom"/>
            <w:hideMark/>
          </w:tcPr>
          <w:p w14:paraId="3913E46F" w14:textId="77777777" w:rsidR="00010859" w:rsidRPr="003A7E34" w:rsidRDefault="00010859" w:rsidP="00010859">
            <w:pPr>
              <w:spacing w:before="0" w:after="0"/>
              <w:jc w:val="center"/>
              <w:rPr>
                <w:rFonts w:eastAsia="Times New Roman"/>
                <w:lang w:val="en-US" w:eastAsia="lt-LT"/>
              </w:rPr>
            </w:pPr>
            <w:r w:rsidRPr="003A7E34">
              <w:rPr>
                <w:rFonts w:eastAsia="Times New Roman"/>
                <w:lang w:val="en-US" w:eastAsia="lt-LT"/>
              </w:rPr>
              <w:t>1.766</w:t>
            </w:r>
          </w:p>
        </w:tc>
        <w:tc>
          <w:tcPr>
            <w:tcW w:w="718" w:type="dxa"/>
            <w:tcBorders>
              <w:top w:val="nil"/>
              <w:left w:val="nil"/>
              <w:bottom w:val="single" w:sz="4" w:space="0" w:color="auto"/>
              <w:right w:val="single" w:sz="4" w:space="0" w:color="auto"/>
            </w:tcBorders>
            <w:shd w:val="clear" w:color="auto" w:fill="auto"/>
            <w:vAlign w:val="bottom"/>
            <w:hideMark/>
          </w:tcPr>
          <w:p w14:paraId="4B2F48F8" w14:textId="77777777" w:rsidR="00010859" w:rsidRPr="003A7E34" w:rsidRDefault="00010859" w:rsidP="00010859">
            <w:pPr>
              <w:spacing w:before="0" w:after="0"/>
              <w:jc w:val="center"/>
              <w:rPr>
                <w:rFonts w:eastAsia="Times New Roman"/>
                <w:lang w:val="en-US" w:eastAsia="lt-LT"/>
              </w:rPr>
            </w:pPr>
            <w:r w:rsidRPr="003A7E34">
              <w:rPr>
                <w:rFonts w:eastAsia="Times New Roman"/>
                <w:lang w:val="en-US" w:eastAsia="lt-LT"/>
              </w:rPr>
              <w:t>1.655</w:t>
            </w:r>
          </w:p>
        </w:tc>
      </w:tr>
    </w:tbl>
    <w:p w14:paraId="27E6DE69" w14:textId="77777777" w:rsidR="00010859" w:rsidRPr="003A7E34" w:rsidRDefault="00010859" w:rsidP="008A7D89">
      <w:pPr>
        <w:rPr>
          <w:noProof/>
          <w:lang w:val="en-US"/>
        </w:rPr>
      </w:pPr>
    </w:p>
    <w:p w14:paraId="64AF83B3" w14:textId="62C0A648" w:rsidR="0095523E" w:rsidRPr="003A7E34" w:rsidRDefault="39F1765D" w:rsidP="0025156E">
      <w:pPr>
        <w:numPr>
          <w:ilvl w:val="3"/>
          <w:numId w:val="21"/>
        </w:numPr>
        <w:spacing w:before="0"/>
        <w:ind w:left="1560" w:hanging="284"/>
        <w:rPr>
          <w:rFonts w:eastAsia="Calibri"/>
          <w:b/>
          <w:bCs/>
          <w:i/>
          <w:iCs/>
          <w:noProof/>
          <w:lang w:val="en-US"/>
        </w:rPr>
      </w:pPr>
      <w:r w:rsidRPr="003A7E34">
        <w:rPr>
          <w:rFonts w:eastAsia="Times New Roman"/>
          <w:b/>
          <w:bCs/>
          <w:i/>
          <w:iCs/>
          <w:noProof/>
          <w:lang w:val="en-US"/>
        </w:rPr>
        <w:t>Description of energy subsidies, including for fossil fuels</w:t>
      </w:r>
    </w:p>
    <w:p w14:paraId="07E5A09A" w14:textId="4057D987" w:rsidR="39F1765D" w:rsidRPr="003A7E34" w:rsidRDefault="00FE502E" w:rsidP="39F1765D">
      <w:pPr>
        <w:rPr>
          <w:rFonts w:eastAsia="Times New Roman"/>
          <w:noProof/>
          <w:lang w:val="en-US"/>
        </w:rPr>
      </w:pPr>
      <w:r>
        <w:rPr>
          <w:noProof/>
          <w:lang w:val="en-US"/>
        </w:rPr>
        <w:lastRenderedPageBreak/>
        <w:drawing>
          <wp:inline distT="0" distB="0" distL="0" distR="0" wp14:anchorId="6B574283" wp14:editId="42485548">
            <wp:extent cx="6115050" cy="4152900"/>
            <wp:effectExtent l="0" t="0" r="0" b="0"/>
            <wp:docPr id="11184276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1">
                      <a:extLst>
                        <a:ext uri="{28A0092B-C50C-407E-A947-70E740481C1C}">
                          <a14:useLocalDpi xmlns:a14="http://schemas.microsoft.com/office/drawing/2010/main" val="0"/>
                        </a:ext>
                      </a:extLst>
                    </a:blip>
                    <a:stretch>
                      <a:fillRect/>
                    </a:stretch>
                  </pic:blipFill>
                  <pic:spPr>
                    <a:xfrm>
                      <a:off x="0" y="0"/>
                      <a:ext cx="6115050" cy="4152900"/>
                    </a:xfrm>
                    <a:prstGeom prst="rect">
                      <a:avLst/>
                    </a:prstGeom>
                  </pic:spPr>
                </pic:pic>
              </a:graphicData>
            </a:graphic>
          </wp:inline>
        </w:drawing>
      </w:r>
    </w:p>
    <w:p w14:paraId="0540DC79" w14:textId="3B448198" w:rsidR="000152B9" w:rsidRPr="003A7E34" w:rsidRDefault="00A17EF7" w:rsidP="39F1765D">
      <w:pPr>
        <w:rPr>
          <w:rFonts w:eastAsia="Times New Roman"/>
          <w:noProof/>
          <w:sz w:val="20"/>
          <w:szCs w:val="20"/>
          <w:lang w:val="en-US"/>
        </w:rPr>
      </w:pPr>
      <w:r w:rsidRPr="003A7E34">
        <w:rPr>
          <w:rFonts w:eastAsia="Times New Roman"/>
          <w:b/>
          <w:bCs/>
          <w:noProof/>
          <w:sz w:val="20"/>
          <w:szCs w:val="20"/>
          <w:lang w:val="en-US"/>
        </w:rPr>
        <w:t>Figure 4.6.2.</w:t>
      </w:r>
      <w:r w:rsidRPr="003A7E34">
        <w:rPr>
          <w:rFonts w:eastAsia="Times New Roman"/>
          <w:sz w:val="20"/>
          <w:szCs w:val="20"/>
          <w:lang w:val="en-US"/>
        </w:rPr>
        <w:t xml:space="preserve"> </w:t>
      </w:r>
      <w:r w:rsidRPr="003A7E34">
        <w:rPr>
          <w:rFonts w:eastAsia="Times New Roman"/>
          <w:noProof/>
          <w:sz w:val="20"/>
          <w:szCs w:val="20"/>
          <w:lang w:val="en-US"/>
        </w:rPr>
        <w:t xml:space="preserve">Energy support </w:t>
      </w:r>
      <w:r w:rsidR="00034C49" w:rsidRPr="003A7E34">
        <w:rPr>
          <w:rFonts w:eastAsia="Times New Roman"/>
          <w:noProof/>
          <w:sz w:val="20"/>
          <w:szCs w:val="20"/>
          <w:lang w:val="en-US"/>
        </w:rPr>
        <w:t xml:space="preserve">in Lithuania </w:t>
      </w:r>
      <w:r w:rsidRPr="003A7E34">
        <w:rPr>
          <w:rFonts w:eastAsia="Times New Roman"/>
          <w:noProof/>
          <w:sz w:val="20"/>
          <w:szCs w:val="20"/>
          <w:lang w:val="en-US"/>
        </w:rPr>
        <w:t>2005-2012</w:t>
      </w:r>
      <w:r w:rsidR="00B46BD9" w:rsidRPr="003A7E34">
        <w:rPr>
          <w:rStyle w:val="FootnoteReference"/>
          <w:rFonts w:eastAsia="Times New Roman"/>
          <w:noProof/>
          <w:sz w:val="20"/>
          <w:szCs w:val="20"/>
          <w:lang w:val="en-US"/>
        </w:rPr>
        <w:footnoteReference w:id="62"/>
      </w:r>
    </w:p>
    <w:p w14:paraId="630D9A99" w14:textId="77777777" w:rsidR="00034C49" w:rsidRPr="003A7E34" w:rsidRDefault="00034C49" w:rsidP="39F1765D">
      <w:pPr>
        <w:rPr>
          <w:rFonts w:eastAsia="Times New Roman"/>
          <w:noProof/>
          <w:lang w:val="en-US"/>
        </w:rPr>
      </w:pPr>
    </w:p>
    <w:p w14:paraId="146F204B" w14:textId="3CC63A3A" w:rsidR="00407938" w:rsidRPr="003A7E34" w:rsidRDefault="008D51F0" w:rsidP="39F1765D">
      <w:pPr>
        <w:rPr>
          <w:rFonts w:eastAsia="Times New Roman"/>
          <w:noProof/>
          <w:lang w:val="en-US"/>
        </w:rPr>
      </w:pPr>
      <w:r w:rsidRPr="003A7E34">
        <w:rPr>
          <w:rFonts w:eastAsia="Times New Roman"/>
          <w:noProof/>
          <w:lang w:val="en-US"/>
        </w:rPr>
        <w:t xml:space="preserve">1. </w:t>
      </w:r>
      <w:r w:rsidR="00A7735F" w:rsidRPr="003A7E34">
        <w:rPr>
          <w:rFonts w:eastAsia="Times New Roman"/>
          <w:noProof/>
          <w:lang w:val="en-US"/>
        </w:rPr>
        <w:t>The operators of renewable energy plants are entitled to priority connection to the grid. The grid operator shall ensure priority transmission of electricity from renewable energy sources. The grid operators are obliged to optimise, boost or expand their grids if this is required for RES plant connection.</w:t>
      </w:r>
    </w:p>
    <w:p w14:paraId="1BB49AD0" w14:textId="1A6CC314" w:rsidR="00A7735F" w:rsidRPr="003A7E34" w:rsidRDefault="00A7735F" w:rsidP="39F1765D">
      <w:pPr>
        <w:rPr>
          <w:rFonts w:eastAsia="Times New Roman"/>
          <w:noProof/>
          <w:lang w:val="en-US"/>
        </w:rPr>
      </w:pPr>
      <w:r w:rsidRPr="003A7E34">
        <w:rPr>
          <w:rFonts w:eastAsia="Times New Roman"/>
          <w:noProof/>
          <w:lang w:val="en-US"/>
        </w:rPr>
        <w:t>2.</w:t>
      </w:r>
      <w:r w:rsidR="00F23EEC" w:rsidRPr="003A7E34">
        <w:rPr>
          <w:rFonts w:eastAsia="Times New Roman"/>
          <w:noProof/>
          <w:lang w:val="en-US"/>
        </w:rPr>
        <w:t xml:space="preserve"> Feed-in tariff (Law on Energy from Renewable Sources) - In Lithuania, renewable electricity generation is promoted through a feed-in tariff. According to the National Control Commission for Prices and Energy (NCC), the operators of renewable electricity generation plants are entitled against the grid operator to payment for electricity exported to the grid. All electricity produced by RES plants whose total installed capacity does not exceed 10 kW shall be purchased at the feed-in tariff set by the NCC. Feed-in tariff contracts for the operators of RES plants with a total installed capacity exceeding 10 kW are awarded through tenders. Tariff rates for RES plants with a generating capacity of up to 10 kW and maximum tariff rates for RES plants exceeding 10 kW on a  quarterly basis shall be set by the NCC. The feed-in tariffs are guaranteed for 12 years.</w:t>
      </w:r>
    </w:p>
    <w:p w14:paraId="5984A670" w14:textId="4DB71F54" w:rsidR="00F23EEC" w:rsidRPr="003A7E34" w:rsidRDefault="00F23EEC" w:rsidP="0034243D">
      <w:pPr>
        <w:rPr>
          <w:rFonts w:eastAsia="Times New Roman"/>
          <w:noProof/>
          <w:lang w:val="en-US"/>
        </w:rPr>
      </w:pPr>
      <w:r w:rsidRPr="003A7E34">
        <w:rPr>
          <w:rFonts w:eastAsia="Times New Roman"/>
          <w:noProof/>
          <w:lang w:val="en-US"/>
        </w:rPr>
        <w:t xml:space="preserve">3. </w:t>
      </w:r>
      <w:r w:rsidR="00A70D9B" w:rsidRPr="003A7E34">
        <w:rPr>
          <w:rFonts w:eastAsia="Times New Roman"/>
          <w:noProof/>
          <w:lang w:val="en-US"/>
        </w:rPr>
        <w:t>Loan (The Fund of the</w:t>
      </w:r>
      <w:r w:rsidR="00EC6F74" w:rsidRPr="003A7E34">
        <w:rPr>
          <w:rFonts w:eastAsia="Times New Roman"/>
          <w:noProof/>
          <w:lang w:val="en-US"/>
        </w:rPr>
        <w:t xml:space="preserve"> Programme for Climate Change Mitigation) - The Fund for the Programme for Climate Change Mitigation supports projects aiming to reduce </w:t>
      </w:r>
      <w:r w:rsidR="00392214" w:rsidRPr="003A7E34">
        <w:rPr>
          <w:rFonts w:eastAsia="Times New Roman"/>
          <w:noProof/>
          <w:lang w:val="en-US"/>
        </w:rPr>
        <w:t>GHG</w:t>
      </w:r>
      <w:r w:rsidR="00EC6F74" w:rsidRPr="003A7E34">
        <w:rPr>
          <w:rFonts w:eastAsia="Times New Roman"/>
          <w:noProof/>
          <w:lang w:val="en-US"/>
        </w:rPr>
        <w:t xml:space="preserve"> emissions. </w:t>
      </w:r>
      <w:r w:rsidR="00392214" w:rsidRPr="003A7E34">
        <w:rPr>
          <w:rFonts w:eastAsia="Times New Roman"/>
          <w:noProof/>
          <w:lang w:val="en-US"/>
        </w:rPr>
        <w:t>T</w:t>
      </w:r>
      <w:r w:rsidR="00EC6F74" w:rsidRPr="003A7E34">
        <w:rPr>
          <w:rFonts w:eastAsia="Times New Roman"/>
          <w:noProof/>
          <w:lang w:val="en-US"/>
        </w:rPr>
        <w:t xml:space="preserve">he funds for this programme are intended to be used to encourage renewable energy use and the introduction of environmentally friendly technologies. This fund provides support in the form of loans and subsidies </w:t>
      </w:r>
      <w:r w:rsidR="00EC6F74" w:rsidRPr="003A7E34">
        <w:rPr>
          <w:rFonts w:eastAsia="Times New Roman"/>
          <w:noProof/>
          <w:lang w:val="en-US"/>
        </w:rPr>
        <w:lastRenderedPageBreak/>
        <w:t xml:space="preserve">according to the Guidelines for the Use of the Fund for the </w:t>
      </w:r>
      <w:r w:rsidR="000E433F" w:rsidRPr="003A7E34">
        <w:rPr>
          <w:rFonts w:eastAsia="Times New Roman"/>
          <w:noProof/>
          <w:lang w:val="en-US"/>
        </w:rPr>
        <w:t>Special Programme for Climate Change Mitigation, approved by Order No. D1-275/2010.</w:t>
      </w:r>
    </w:p>
    <w:p w14:paraId="3D40A263" w14:textId="166D3B71" w:rsidR="0034243D" w:rsidRPr="003A7E34" w:rsidRDefault="000E433F" w:rsidP="0034243D">
      <w:pPr>
        <w:rPr>
          <w:rFonts w:eastAsia="Times New Roman"/>
          <w:noProof/>
          <w:lang w:val="en-US"/>
        </w:rPr>
      </w:pPr>
      <w:r w:rsidRPr="003A7E34">
        <w:rPr>
          <w:rFonts w:eastAsia="Times New Roman"/>
          <w:noProof/>
          <w:lang w:val="en-US"/>
        </w:rPr>
        <w:t>4. Subsidy (LEIF)</w:t>
      </w:r>
      <w:r w:rsidR="00522DF0" w:rsidRPr="003A7E34">
        <w:rPr>
          <w:rStyle w:val="FootnoteReference"/>
          <w:rFonts w:eastAsia="Times New Roman"/>
          <w:noProof/>
          <w:lang w:val="en-US"/>
        </w:rPr>
        <w:footnoteReference w:id="63"/>
      </w:r>
      <w:r w:rsidRPr="003A7E34">
        <w:rPr>
          <w:rFonts w:eastAsia="Times New Roman"/>
          <w:noProof/>
          <w:lang w:val="en-US"/>
        </w:rPr>
        <w:t xml:space="preserve"> - The Lithuanian Environmental Investment Fund (LEIF) supports projects aiming to reduce environmental damage in the long term. This definition includes RES-E projects with the exception of geothermal energy. Projects are supported in the form of interest subsidies and soft loans. There are two calls a year that are published in the media or on the website of the LEIF. For general information in English on the funding of projects by the Lithuanian Environmental Fund please see </w:t>
      </w:r>
      <w:hyperlink r:id="rId62" w:history="1">
        <w:r w:rsidRPr="003A7E34">
          <w:rPr>
            <w:rStyle w:val="Hyperlink"/>
            <w:rFonts w:eastAsia="Times New Roman"/>
            <w:noProof/>
            <w:color w:val="auto"/>
            <w:lang w:val="en-US"/>
          </w:rPr>
          <w:t>www.laaif.lt/index.php</w:t>
        </w:r>
      </w:hyperlink>
      <w:r w:rsidRPr="003A7E34">
        <w:rPr>
          <w:rFonts w:eastAsia="Times New Roman"/>
          <w:noProof/>
          <w:lang w:val="en-US"/>
        </w:rPr>
        <w:t>.</w:t>
      </w:r>
    </w:p>
    <w:p w14:paraId="3FD88272" w14:textId="117CB890" w:rsidR="00F2775C" w:rsidRPr="003A7E34" w:rsidRDefault="000E433F" w:rsidP="0034243D">
      <w:pPr>
        <w:rPr>
          <w:rFonts w:eastAsia="Times New Roman"/>
          <w:noProof/>
          <w:lang w:val="en-US"/>
        </w:rPr>
      </w:pPr>
      <w:r w:rsidRPr="003A7E34">
        <w:rPr>
          <w:rFonts w:eastAsia="Times New Roman"/>
          <w:noProof/>
          <w:lang w:val="en-US"/>
        </w:rPr>
        <w:t>5</w:t>
      </w:r>
      <w:r w:rsidR="00F2775C" w:rsidRPr="003A7E34">
        <w:rPr>
          <w:rFonts w:eastAsia="Times New Roman"/>
          <w:noProof/>
          <w:lang w:val="en-US"/>
        </w:rPr>
        <w:t>. Tax regulation mechanisms (Law on Excise Taxes) - In Lithuania, the obligation to pay excise tax on electricity arises where: it is sold or otherwise transmitted to a person who has no business licence; it is received by an unlicensed person from another EU member state; it is imported by an unlicensed person or it is consumed by the holder of a licence or an electricity producer for own use. Electricity consumption for own use is defined as the consumption of electricity for purposes other than electricity production processes and production process maintenance (Chapter IV Art. 45 Law on Excise Taxes).</w:t>
      </w:r>
    </w:p>
    <w:p w14:paraId="723C8F3A" w14:textId="253DAAED" w:rsidR="00F2775C" w:rsidRPr="003A7E34" w:rsidRDefault="00A70D9B" w:rsidP="0034243D">
      <w:pPr>
        <w:rPr>
          <w:rFonts w:eastAsia="Times New Roman"/>
          <w:noProof/>
          <w:lang w:val="en-US"/>
        </w:rPr>
      </w:pPr>
      <w:r w:rsidRPr="003A7E34">
        <w:rPr>
          <w:rFonts w:eastAsia="Times New Roman"/>
          <w:noProof/>
          <w:lang w:val="en-US"/>
        </w:rPr>
        <w:t>6</w:t>
      </w:r>
      <w:r w:rsidR="00F2775C" w:rsidRPr="003A7E34">
        <w:rPr>
          <w:rFonts w:eastAsia="Times New Roman"/>
          <w:noProof/>
          <w:lang w:val="en-US"/>
        </w:rPr>
        <w:t xml:space="preserve">. </w:t>
      </w:r>
      <w:r w:rsidR="00D02E9E" w:rsidRPr="003A7E34">
        <w:rPr>
          <w:rFonts w:eastAsia="Times New Roman"/>
          <w:noProof/>
          <w:lang w:val="en-US"/>
        </w:rPr>
        <w:t>Price-based mechanisms (Purchase of heat produced from RES) - The production of heat and the purchase of heat produced from renewable sources are public service obligations. The state promotes the purchase of heat produced from all renewable energy sources. Utilities have a priority purchase obligation for renewable heat generated by independent producers. Heat suppliers are obliged to purchase all RES heat generated by independent heat producers which satisfy quality, supply security and environmental requirements. This obligation does not apply where the supply of renewable heat generated by independent heat producers exceeds network capacity (Chapter IV Art. 25 Law on Energy from Renewable Sources; Chapter II Art. 4, Chapter IV Art. 10 Law on Heat).   The procedure and the conditions for the purchase of heat from independent heat producers are defined by the National Control Commission for Prices and Energy (Chapter II Art. 4 Item 2, Chapter IV Art. 10 Item 1 Law on Heat).</w:t>
      </w:r>
    </w:p>
    <w:p w14:paraId="4EEFBD4E" w14:textId="7AD39F44" w:rsidR="00D02E9E" w:rsidRPr="003A7E34" w:rsidRDefault="00A70D9B" w:rsidP="0034243D">
      <w:pPr>
        <w:rPr>
          <w:rFonts w:eastAsia="Times New Roman"/>
          <w:noProof/>
          <w:lang w:val="en-US"/>
        </w:rPr>
      </w:pPr>
      <w:r w:rsidRPr="003A7E34">
        <w:rPr>
          <w:rFonts w:eastAsia="Times New Roman"/>
          <w:noProof/>
          <w:lang w:val="en-US"/>
        </w:rPr>
        <w:t>7</w:t>
      </w:r>
      <w:r w:rsidR="00D02E9E" w:rsidRPr="003A7E34">
        <w:rPr>
          <w:rFonts w:eastAsia="Times New Roman"/>
          <w:noProof/>
          <w:lang w:val="en-US"/>
        </w:rPr>
        <w:t xml:space="preserve">. Tax regulation mechanism (Law on Environmental Pollution Taxes) - Environmental pollution tax for stationary sources of pollution shall be paid by all operators of fuel-burning installations whose nominal thermal capacity exceeds 50 MW. This tax must also be paid by operators using at least one solid fuel boiler whose thermal capacity amounts to or exceeds 0.5 MW and operators using incinerators whose thermal capacity amounts to or exceeds 1 MW (Appendix 1 Item 1.1; Appendix 2 Items 5, 6 Order No. </w:t>
      </w:r>
      <w:r w:rsidR="00012391" w:rsidRPr="003A7E34">
        <w:rPr>
          <w:rFonts w:eastAsia="Times New Roman"/>
          <w:noProof/>
          <w:lang w:val="en-US"/>
        </w:rPr>
        <w:t>80/2002 as amended on 29.06.2005). Operators using liquid biomass shall be exempt from environmental pollution tax for all stationary source emissions resulting from the use of liquid biomass (Art. 5 Par. 4 Law on Environmental Pollution Taxes).</w:t>
      </w:r>
    </w:p>
    <w:p w14:paraId="4665EFD5" w14:textId="1B4354BF" w:rsidR="00012391" w:rsidRPr="003A7E34" w:rsidRDefault="00A70D9B" w:rsidP="0034243D">
      <w:pPr>
        <w:rPr>
          <w:rFonts w:eastAsia="Times New Roman"/>
          <w:noProof/>
          <w:lang w:val="en-US"/>
        </w:rPr>
      </w:pPr>
      <w:r w:rsidRPr="003A7E34">
        <w:rPr>
          <w:rFonts w:eastAsia="Times New Roman"/>
          <w:noProof/>
          <w:lang w:val="en-US"/>
        </w:rPr>
        <w:t>8</w:t>
      </w:r>
      <w:r w:rsidR="00012391" w:rsidRPr="003A7E34">
        <w:rPr>
          <w:rFonts w:eastAsia="Times New Roman"/>
          <w:noProof/>
          <w:lang w:val="en-US"/>
        </w:rPr>
        <w:t>. Subsidy (National Paying Agency under the Ministry of Agriculture) - Part of the price of rape oil used for the production of rapeseed methyl (ethyl) ester (RME) and part of the price of rape seed and cereal grain purchased for the production of dehydrated ethanol will be reimbursed under this support scheme (Chapter I Item 3 Order No. 3D-417). The maximum reimbursement for rapeseed and cereal grains is set by the Minister of Agriculture each year (Chapter V Item 11 Order No. 3D-417). This measure is implemented by the National Paying Agency on behalf of the Ministry of Agriculture (Chapter IX Item 18 Order No. 3D-417).</w:t>
      </w:r>
    </w:p>
    <w:p w14:paraId="7AD0A88B" w14:textId="176F56F3" w:rsidR="00012391" w:rsidRPr="003A7E34" w:rsidRDefault="00A70D9B" w:rsidP="0034243D">
      <w:pPr>
        <w:rPr>
          <w:rFonts w:eastAsia="Times New Roman"/>
          <w:noProof/>
          <w:lang w:val="en-US"/>
        </w:rPr>
      </w:pPr>
      <w:r w:rsidRPr="003A7E34">
        <w:rPr>
          <w:rFonts w:eastAsia="Times New Roman"/>
          <w:noProof/>
          <w:lang w:val="en-US"/>
        </w:rPr>
        <w:t>9</w:t>
      </w:r>
      <w:r w:rsidR="00012391" w:rsidRPr="003A7E34">
        <w:rPr>
          <w:rFonts w:eastAsia="Times New Roman"/>
          <w:noProof/>
          <w:lang w:val="en-US"/>
        </w:rPr>
        <w:t xml:space="preserve">. </w:t>
      </w:r>
      <w:r w:rsidR="00792461" w:rsidRPr="003A7E34">
        <w:rPr>
          <w:rFonts w:eastAsia="Times New Roman"/>
          <w:noProof/>
          <w:lang w:val="en-US"/>
        </w:rPr>
        <w:t>Tax regulation mechanism (Law on Environmental Pollution Taxes) - Natural and legal persons using biofuels, including biohydrogen, in vehicles are exempt from environmental pollution tax on their mobile source emissions. The decision to grant exemption from environmental pollution tax is based on documentary evidence. Moreover, in order to be eligible for environmental pollution tax relief, biofuels must meet certain statutory standards. The amount of subsidy is equal to the amount of tax a natural or legal person is exempt from (Art. 5 Par. 3 Item 4 Law on Environmental Pollution Taxes).</w:t>
      </w:r>
    </w:p>
    <w:p w14:paraId="49657F77" w14:textId="05E215BF" w:rsidR="00792461" w:rsidRPr="003A7E34" w:rsidRDefault="00792461" w:rsidP="0034243D">
      <w:pPr>
        <w:rPr>
          <w:rFonts w:eastAsia="Times New Roman"/>
          <w:noProof/>
          <w:lang w:val="en-US"/>
        </w:rPr>
      </w:pPr>
      <w:r w:rsidRPr="003A7E34">
        <w:rPr>
          <w:rFonts w:eastAsia="Times New Roman"/>
          <w:noProof/>
          <w:lang w:val="en-US"/>
        </w:rPr>
        <w:lastRenderedPageBreak/>
        <w:t>1</w:t>
      </w:r>
      <w:r w:rsidR="00A70D9B" w:rsidRPr="003A7E34">
        <w:rPr>
          <w:rFonts w:eastAsia="Times New Roman"/>
          <w:noProof/>
          <w:lang w:val="en-US"/>
        </w:rPr>
        <w:t>0</w:t>
      </w:r>
      <w:r w:rsidRPr="003A7E34">
        <w:rPr>
          <w:rFonts w:eastAsia="Times New Roman"/>
          <w:noProof/>
          <w:lang w:val="en-US"/>
        </w:rPr>
        <w:t>. Tax regulation mechanism (Law on Excise Taxes) - Excise tax relief applies to transport biofuels produced from biomass. The excise tax rate is reduced in proportion to the percentage of biomass per tonne of biofuel. The relief applies to bioethanol, biodiesel, bio-ETBE and vegetable oil. To be eligible under this support scheme, biofuels must comply with the mandatory statutory quality requirements and other requirements, standards and European norms (Chapter III Art. 40 Law on Excise Taxes).</w:t>
      </w:r>
    </w:p>
    <w:p w14:paraId="78B5A13B" w14:textId="4FC9082B" w:rsidR="00792461" w:rsidRPr="003A7E34" w:rsidRDefault="00792461" w:rsidP="0034243D">
      <w:pPr>
        <w:rPr>
          <w:rFonts w:eastAsia="Times New Roman"/>
          <w:noProof/>
          <w:lang w:val="en-US"/>
        </w:rPr>
      </w:pPr>
      <w:r w:rsidRPr="003A7E34">
        <w:rPr>
          <w:rFonts w:eastAsia="Times New Roman"/>
          <w:noProof/>
          <w:lang w:val="en-US"/>
        </w:rPr>
        <w:t>1</w:t>
      </w:r>
      <w:r w:rsidR="00A70D9B" w:rsidRPr="003A7E34">
        <w:rPr>
          <w:rFonts w:eastAsia="Times New Roman"/>
          <w:noProof/>
          <w:lang w:val="en-US"/>
        </w:rPr>
        <w:t>1</w:t>
      </w:r>
      <w:r w:rsidRPr="003A7E34">
        <w:rPr>
          <w:rFonts w:eastAsia="Times New Roman"/>
          <w:noProof/>
          <w:lang w:val="en-US"/>
        </w:rPr>
        <w:t xml:space="preserve">. </w:t>
      </w:r>
      <w:r w:rsidR="00C32927" w:rsidRPr="003A7E34">
        <w:rPr>
          <w:rFonts w:eastAsia="Times New Roman"/>
          <w:noProof/>
          <w:lang w:val="en-US"/>
        </w:rPr>
        <w:t>Fixed prices for CHP-generated electricity. CHP electricity is supported by setting regulated fixed prices for determined production quota.</w:t>
      </w:r>
    </w:p>
    <w:p w14:paraId="2A792AB8" w14:textId="68705210" w:rsidR="00C32927" w:rsidRPr="003A7E34" w:rsidRDefault="00C32927" w:rsidP="0034243D">
      <w:pPr>
        <w:rPr>
          <w:rFonts w:eastAsia="Times New Roman"/>
          <w:noProof/>
          <w:lang w:val="en-US"/>
        </w:rPr>
      </w:pPr>
      <w:r w:rsidRPr="003A7E34">
        <w:rPr>
          <w:rFonts w:eastAsia="Times New Roman"/>
          <w:noProof/>
          <w:lang w:val="en-US"/>
        </w:rPr>
        <w:t>1</w:t>
      </w:r>
      <w:r w:rsidR="00A70D9B" w:rsidRPr="003A7E34">
        <w:rPr>
          <w:rFonts w:eastAsia="Times New Roman"/>
          <w:noProof/>
          <w:lang w:val="en-US"/>
        </w:rPr>
        <w:t>2</w:t>
      </w:r>
      <w:r w:rsidRPr="003A7E34">
        <w:rPr>
          <w:rFonts w:eastAsia="Times New Roman"/>
          <w:noProof/>
          <w:lang w:val="en-US"/>
        </w:rPr>
        <w:t xml:space="preserve">. </w:t>
      </w:r>
      <w:r w:rsidR="00C47E4F" w:rsidRPr="003A7E34">
        <w:rPr>
          <w:rFonts w:eastAsia="Times New Roman"/>
          <w:noProof/>
          <w:lang w:val="en-US"/>
        </w:rPr>
        <w:t>Feed-in tariff for electricity produced from biofuels.</w:t>
      </w:r>
    </w:p>
    <w:p w14:paraId="19665418" w14:textId="5DE9DBDC" w:rsidR="00C47E4F" w:rsidRPr="003A7E34" w:rsidRDefault="00C47E4F" w:rsidP="0034243D">
      <w:pPr>
        <w:rPr>
          <w:rFonts w:eastAsia="Times New Roman"/>
          <w:noProof/>
          <w:lang w:val="en-US"/>
        </w:rPr>
      </w:pPr>
      <w:r w:rsidRPr="003A7E34">
        <w:rPr>
          <w:rFonts w:eastAsia="Times New Roman"/>
          <w:noProof/>
          <w:lang w:val="en-US"/>
        </w:rPr>
        <w:t>1</w:t>
      </w:r>
      <w:r w:rsidR="00A70D9B" w:rsidRPr="003A7E34">
        <w:rPr>
          <w:rFonts w:eastAsia="Times New Roman"/>
          <w:noProof/>
          <w:lang w:val="en-US"/>
        </w:rPr>
        <w:t>3</w:t>
      </w:r>
      <w:r w:rsidRPr="003A7E34">
        <w:rPr>
          <w:rFonts w:eastAsia="Times New Roman"/>
          <w:noProof/>
          <w:lang w:val="en-US"/>
        </w:rPr>
        <w:t>. Reduced rate of excise tax for heating.</w:t>
      </w:r>
    </w:p>
    <w:p w14:paraId="64FFAB07" w14:textId="0FBBA9BC" w:rsidR="00C47E4F" w:rsidRPr="003A7E34" w:rsidRDefault="00C47E4F" w:rsidP="0034243D">
      <w:pPr>
        <w:rPr>
          <w:rFonts w:eastAsia="Times New Roman"/>
          <w:noProof/>
          <w:lang w:val="en-US"/>
        </w:rPr>
      </w:pPr>
      <w:r w:rsidRPr="003A7E34">
        <w:rPr>
          <w:rFonts w:eastAsia="Times New Roman"/>
          <w:noProof/>
          <w:lang w:val="en-US"/>
        </w:rPr>
        <w:t>1</w:t>
      </w:r>
      <w:r w:rsidR="00A70D9B" w:rsidRPr="003A7E34">
        <w:rPr>
          <w:rFonts w:eastAsia="Times New Roman"/>
          <w:noProof/>
          <w:lang w:val="en-US"/>
        </w:rPr>
        <w:t>4</w:t>
      </w:r>
      <w:r w:rsidRPr="003A7E34">
        <w:rPr>
          <w:rFonts w:eastAsia="Times New Roman"/>
          <w:noProof/>
          <w:lang w:val="en-US"/>
        </w:rPr>
        <w:t>. Reduced VAT for Heat Energy in the Residential Sector.</w:t>
      </w:r>
    </w:p>
    <w:p w14:paraId="25DBB95F" w14:textId="63A4892E" w:rsidR="00C47E4F" w:rsidRPr="003A7E34" w:rsidRDefault="00C47E4F" w:rsidP="0034243D">
      <w:pPr>
        <w:rPr>
          <w:rFonts w:eastAsia="Times New Roman"/>
          <w:noProof/>
          <w:lang w:val="en-US"/>
        </w:rPr>
      </w:pPr>
      <w:r w:rsidRPr="003A7E34">
        <w:rPr>
          <w:rFonts w:eastAsia="Times New Roman"/>
          <w:noProof/>
          <w:lang w:val="en-US"/>
        </w:rPr>
        <w:t>1</w:t>
      </w:r>
      <w:r w:rsidR="00A70D9B" w:rsidRPr="003A7E34">
        <w:rPr>
          <w:rFonts w:eastAsia="Times New Roman"/>
          <w:noProof/>
          <w:lang w:val="en-US"/>
        </w:rPr>
        <w:t>5</w:t>
      </w:r>
      <w:r w:rsidRPr="003A7E34">
        <w:rPr>
          <w:rFonts w:eastAsia="Times New Roman"/>
          <w:noProof/>
          <w:lang w:val="en-US"/>
        </w:rPr>
        <w:t xml:space="preserve">. </w:t>
      </w:r>
      <w:r w:rsidR="00481E13" w:rsidRPr="003A7E34">
        <w:rPr>
          <w:rFonts w:eastAsia="Times New Roman"/>
          <w:noProof/>
          <w:lang w:val="en-US"/>
        </w:rPr>
        <w:t xml:space="preserve">Exemption of excise tax for agriculture and fisheries. No estimates available. </w:t>
      </w:r>
    </w:p>
    <w:p w14:paraId="50456B25" w14:textId="50598F58" w:rsidR="00481E13" w:rsidRPr="003A7E34" w:rsidRDefault="00481E13" w:rsidP="0034243D">
      <w:pPr>
        <w:rPr>
          <w:rFonts w:eastAsia="Times New Roman"/>
          <w:noProof/>
          <w:lang w:val="en-US"/>
        </w:rPr>
      </w:pPr>
      <w:r w:rsidRPr="003A7E34">
        <w:rPr>
          <w:rFonts w:eastAsia="Times New Roman"/>
          <w:noProof/>
          <w:lang w:val="en-US"/>
        </w:rPr>
        <w:t>1</w:t>
      </w:r>
      <w:r w:rsidR="00A70D9B" w:rsidRPr="003A7E34">
        <w:rPr>
          <w:rFonts w:eastAsia="Times New Roman"/>
          <w:noProof/>
          <w:lang w:val="en-US"/>
        </w:rPr>
        <w:t>6</w:t>
      </w:r>
      <w:r w:rsidRPr="003A7E34">
        <w:rPr>
          <w:rFonts w:eastAsia="Times New Roman"/>
          <w:noProof/>
          <w:lang w:val="en-US"/>
        </w:rPr>
        <w:t xml:space="preserve">. Excise-tax Reduction on Fuel Oil for Licenced Purchasers. Fuel oil that corresponds to certain criteria set by the Government or its authorized institution is taxed by the excise tax at a rate of 52 LTL / 1000 litres. However, if fuel oil does not satisfy these criteria, it is taxed at a rate of 1043 LTL / 1000 litres. No estimates available. </w:t>
      </w:r>
    </w:p>
    <w:p w14:paraId="3D4DF3EE" w14:textId="3814D771" w:rsidR="00481E13" w:rsidRPr="003A7E34" w:rsidRDefault="00481E13" w:rsidP="0034243D">
      <w:pPr>
        <w:rPr>
          <w:rFonts w:eastAsia="Times New Roman"/>
          <w:noProof/>
          <w:lang w:val="en-US"/>
        </w:rPr>
      </w:pPr>
      <w:r w:rsidRPr="003A7E34">
        <w:rPr>
          <w:rFonts w:eastAsia="Times New Roman"/>
          <w:noProof/>
          <w:lang w:val="en-US"/>
        </w:rPr>
        <w:t>1</w:t>
      </w:r>
      <w:r w:rsidR="00A70D9B" w:rsidRPr="003A7E34">
        <w:rPr>
          <w:rFonts w:eastAsia="Times New Roman"/>
          <w:noProof/>
          <w:lang w:val="en-US"/>
        </w:rPr>
        <w:t>7</w:t>
      </w:r>
      <w:r w:rsidRPr="003A7E34">
        <w:rPr>
          <w:rFonts w:eastAsia="Times New Roman"/>
          <w:noProof/>
          <w:lang w:val="en-US"/>
        </w:rPr>
        <w:t xml:space="preserve">. </w:t>
      </w:r>
      <w:r w:rsidR="00C8253D" w:rsidRPr="003A7E34">
        <w:rPr>
          <w:rFonts w:eastAsia="Times New Roman"/>
          <w:noProof/>
          <w:lang w:val="en-US"/>
        </w:rPr>
        <w:t xml:space="preserve">Excise-tax Reduction on Coal for Licenced Purchasers. For coal a reduced excise tax of 13 LTL/ t (standard excise tax rate is 26 LTL / t) is applied if the fuel is used for business needs. For business use of coke and lignite a reduced excise tax rate of 16 LTL / t (standard excise tax rate is 31 LTL / t) is applied. The mentioned excise tax rates are practiced if fuels are sold to a subject, who has a license issued by the Central Tax Administrator. No estimates available. </w:t>
      </w:r>
    </w:p>
    <w:p w14:paraId="52E78E86" w14:textId="146060E6" w:rsidR="00C8253D" w:rsidRPr="003A7E34" w:rsidRDefault="00C8253D" w:rsidP="0034243D">
      <w:pPr>
        <w:rPr>
          <w:rFonts w:eastAsia="Times New Roman"/>
          <w:noProof/>
          <w:lang w:val="en-US"/>
        </w:rPr>
      </w:pPr>
      <w:r w:rsidRPr="003A7E34">
        <w:rPr>
          <w:rFonts w:eastAsia="Times New Roman"/>
          <w:noProof/>
          <w:lang w:val="en-US"/>
        </w:rPr>
        <w:t>1</w:t>
      </w:r>
      <w:r w:rsidR="00A70D9B" w:rsidRPr="003A7E34">
        <w:rPr>
          <w:rFonts w:eastAsia="Times New Roman"/>
          <w:noProof/>
          <w:lang w:val="en-US"/>
        </w:rPr>
        <w:t>8</w:t>
      </w:r>
      <w:r w:rsidRPr="003A7E34">
        <w:rPr>
          <w:rFonts w:eastAsia="Times New Roman"/>
          <w:noProof/>
          <w:lang w:val="en-US"/>
        </w:rPr>
        <w:t>. Excise-tax Exemption on Natural Gas Used for Public Transport. A standard excise tax rate of 758 LTL / 1000 m is applied to natural gas that is applied as motor fuel. However, if natural gas is used as motor fueal for local (city and suburb) buses, then the excise tax is not applicable. No estimates available.</w:t>
      </w:r>
    </w:p>
    <w:p w14:paraId="5957B67E" w14:textId="5619C7E4" w:rsidR="00C8253D" w:rsidRPr="003A7E34" w:rsidRDefault="00A70D9B" w:rsidP="0034243D">
      <w:pPr>
        <w:rPr>
          <w:rFonts w:eastAsia="Times New Roman"/>
          <w:noProof/>
          <w:lang w:val="en-US"/>
        </w:rPr>
      </w:pPr>
      <w:r w:rsidRPr="003A7E34">
        <w:rPr>
          <w:rFonts w:eastAsia="Times New Roman"/>
          <w:noProof/>
          <w:lang w:val="en-US"/>
        </w:rPr>
        <w:t>19</w:t>
      </w:r>
      <w:r w:rsidR="00C8253D" w:rsidRPr="003A7E34">
        <w:rPr>
          <w:rFonts w:eastAsia="Times New Roman"/>
          <w:noProof/>
          <w:lang w:val="en-US"/>
        </w:rPr>
        <w:t xml:space="preserve">. </w:t>
      </w:r>
      <w:r w:rsidR="00EC6ECB" w:rsidRPr="003A7E34">
        <w:rPr>
          <w:rFonts w:eastAsia="Times New Roman"/>
          <w:noProof/>
          <w:lang w:val="en-US"/>
        </w:rPr>
        <w:t xml:space="preserve">Excise-tax Exemption for Natural Gas Used in Electricity and Heat Production. </w:t>
      </w:r>
    </w:p>
    <w:p w14:paraId="3599FA7E" w14:textId="13EC42EA" w:rsidR="00EC6ECB" w:rsidRPr="003A7E34" w:rsidRDefault="00EC6ECB" w:rsidP="0034243D">
      <w:pPr>
        <w:rPr>
          <w:rFonts w:eastAsia="Times New Roman"/>
          <w:noProof/>
          <w:lang w:val="en-US"/>
        </w:rPr>
      </w:pPr>
      <w:r w:rsidRPr="003A7E34">
        <w:rPr>
          <w:rFonts w:eastAsia="Times New Roman"/>
          <w:noProof/>
          <w:lang w:val="en-US"/>
        </w:rPr>
        <w:t>2</w:t>
      </w:r>
      <w:r w:rsidR="00A70D9B" w:rsidRPr="003A7E34">
        <w:rPr>
          <w:rFonts w:eastAsia="Times New Roman"/>
          <w:noProof/>
          <w:lang w:val="en-US"/>
        </w:rPr>
        <w:t>0</w:t>
      </w:r>
      <w:r w:rsidRPr="003A7E34">
        <w:rPr>
          <w:rFonts w:eastAsia="Times New Roman"/>
          <w:noProof/>
          <w:lang w:val="en-US"/>
        </w:rPr>
        <w:t xml:space="preserve">. Excise-tax Exemption for Coal Used in Electricity and Heat Production. No estimates available. </w:t>
      </w:r>
    </w:p>
    <w:p w14:paraId="0496A461" w14:textId="7C67C3CC" w:rsidR="00EC6ECB" w:rsidRPr="003A7E34" w:rsidRDefault="00EC6ECB" w:rsidP="0034243D">
      <w:pPr>
        <w:rPr>
          <w:rFonts w:eastAsia="Times New Roman"/>
          <w:noProof/>
          <w:lang w:val="en-US"/>
        </w:rPr>
      </w:pPr>
      <w:r w:rsidRPr="003A7E34">
        <w:rPr>
          <w:rFonts w:eastAsia="Times New Roman"/>
          <w:noProof/>
          <w:lang w:val="en-US"/>
        </w:rPr>
        <w:t>2</w:t>
      </w:r>
      <w:r w:rsidR="00A70D9B" w:rsidRPr="003A7E34">
        <w:rPr>
          <w:rFonts w:eastAsia="Times New Roman"/>
          <w:noProof/>
          <w:lang w:val="en-US"/>
        </w:rPr>
        <w:t>1</w:t>
      </w:r>
      <w:r w:rsidRPr="003A7E34">
        <w:rPr>
          <w:rFonts w:eastAsia="Times New Roman"/>
          <w:noProof/>
          <w:lang w:val="en-US"/>
        </w:rPr>
        <w:t xml:space="preserve">. Excise-tax Exemption for Oil Used in Electricity and Heat Production. No estimates available. </w:t>
      </w:r>
    </w:p>
    <w:p w14:paraId="595F41B8" w14:textId="3723719F" w:rsidR="00EC6ECB" w:rsidRPr="003A7E34" w:rsidRDefault="00EC6ECB" w:rsidP="0034243D">
      <w:pPr>
        <w:rPr>
          <w:rFonts w:eastAsia="Times New Roman"/>
          <w:noProof/>
          <w:lang w:val="en-US"/>
        </w:rPr>
      </w:pPr>
      <w:r w:rsidRPr="003A7E34">
        <w:rPr>
          <w:rFonts w:eastAsia="Times New Roman"/>
          <w:noProof/>
          <w:lang w:val="en-US"/>
        </w:rPr>
        <w:t>2</w:t>
      </w:r>
      <w:r w:rsidR="00A70D9B" w:rsidRPr="003A7E34">
        <w:rPr>
          <w:rFonts w:eastAsia="Times New Roman"/>
          <w:noProof/>
          <w:lang w:val="en-US"/>
        </w:rPr>
        <w:t>2</w:t>
      </w:r>
      <w:r w:rsidRPr="003A7E34">
        <w:rPr>
          <w:rFonts w:eastAsia="Times New Roman"/>
          <w:noProof/>
          <w:lang w:val="en-US"/>
        </w:rPr>
        <w:t xml:space="preserve">. </w:t>
      </w:r>
      <w:r w:rsidR="000152B9" w:rsidRPr="003A7E34">
        <w:rPr>
          <w:rFonts w:eastAsia="Times New Roman"/>
          <w:noProof/>
          <w:lang w:val="en-US"/>
        </w:rPr>
        <w:t>Excise-tax exemption for home use. A standard excise tax rate of 1050 LTL / t is applied to (liquid) petroleum gas. However, petroleum gas is exempt from excise tax if it is poured into home gas cylinders. No estimates available.</w:t>
      </w:r>
    </w:p>
    <w:p w14:paraId="3BE09F18" w14:textId="580880F5" w:rsidR="00FA21BC" w:rsidRPr="003A7E34" w:rsidRDefault="00FA21BC" w:rsidP="00EA50D6">
      <w:pPr>
        <w:spacing w:before="0" w:after="160" w:line="259" w:lineRule="auto"/>
        <w:jc w:val="left"/>
        <w:rPr>
          <w:rFonts w:eastAsia="Times New Roman"/>
          <w:noProof/>
          <w:lang w:val="en-US"/>
        </w:rPr>
      </w:pPr>
      <w:r w:rsidRPr="003A7E34">
        <w:rPr>
          <w:rFonts w:eastAsia="Times New Roman"/>
          <w:noProof/>
          <w:lang w:val="en-US"/>
        </w:rPr>
        <w:br w:type="page"/>
      </w:r>
    </w:p>
    <w:p w14:paraId="33443C27" w14:textId="0DB8214F" w:rsidR="0095523E" w:rsidRPr="003A7E34" w:rsidRDefault="0095523E" w:rsidP="00C42AAE">
      <w:pPr>
        <w:pStyle w:val="ListParagraph"/>
        <w:numPr>
          <w:ilvl w:val="0"/>
          <w:numId w:val="21"/>
        </w:numPr>
        <w:rPr>
          <w:rStyle w:val="Heading1Char"/>
          <w:rFonts w:eastAsia="Calibri" w:cs="Times New Roman"/>
          <w:noProof/>
          <w:lang w:val="en-US"/>
        </w:rPr>
      </w:pPr>
      <w:bookmarkStart w:id="174" w:name="_Toc530405598"/>
      <w:bookmarkStart w:id="175" w:name="_Toc530411829"/>
      <w:bookmarkStart w:id="176" w:name="_Toc530414178"/>
      <w:r w:rsidRPr="003A7E34">
        <w:rPr>
          <w:rStyle w:val="Heading1Char"/>
          <w:rFonts w:cs="Times New Roman"/>
          <w:lang w:val="en-US"/>
        </w:rPr>
        <w:lastRenderedPageBreak/>
        <w:t>IMPACT ASSESSMENT OF PLANNED POLICIES AND MEASURES</w:t>
      </w:r>
      <w:bookmarkEnd w:id="174"/>
      <w:bookmarkEnd w:id="175"/>
      <w:bookmarkEnd w:id="176"/>
      <w:r w:rsidRPr="003A7E34">
        <w:rPr>
          <w:rFonts w:ascii="Times New Roman" w:eastAsia="Times New Roman" w:hAnsi="Times New Roman" w:cs="Times New Roman"/>
          <w:noProof/>
          <w:vertAlign w:val="superscript"/>
          <w:lang w:val="en-US"/>
        </w:rPr>
        <w:footnoteReference w:id="64"/>
      </w:r>
    </w:p>
    <w:p w14:paraId="1AD29388" w14:textId="2ED5BD6B" w:rsidR="0095523E" w:rsidRPr="003A7E34" w:rsidRDefault="0095523E" w:rsidP="00C42AAE">
      <w:pPr>
        <w:pStyle w:val="Heading2"/>
        <w:numPr>
          <w:ilvl w:val="1"/>
          <w:numId w:val="21"/>
        </w:numPr>
        <w:spacing w:before="0" w:after="120"/>
        <w:rPr>
          <w:rFonts w:eastAsia="Calibri" w:cs="Times New Roman"/>
          <w:noProof/>
          <w:lang w:val="en-US"/>
        </w:rPr>
      </w:pPr>
      <w:bookmarkStart w:id="177" w:name="_Toc530405599"/>
      <w:bookmarkStart w:id="178" w:name="_Toc530411830"/>
      <w:bookmarkStart w:id="179" w:name="_Toc530414179"/>
      <w:r w:rsidRPr="003A7E34">
        <w:rPr>
          <w:rFonts w:eastAsia="Times New Roman" w:cs="Times New Roman"/>
          <w:noProof/>
          <w:lang w:val="en-US"/>
        </w:rPr>
        <w:t>Impacts of planned policies and measures described in section 3 on energy system and GHG emissions and removals including comparison to projections with existing policies and measures (as described in section 4).</w:t>
      </w:r>
      <w:bookmarkEnd w:id="177"/>
      <w:bookmarkEnd w:id="178"/>
      <w:bookmarkEnd w:id="179"/>
    </w:p>
    <w:p w14:paraId="153A99EB" w14:textId="77777777" w:rsidR="0095523E" w:rsidRPr="003A7E34" w:rsidRDefault="39F1765D" w:rsidP="00C42AAE">
      <w:pPr>
        <w:numPr>
          <w:ilvl w:val="3"/>
          <w:numId w:val="21"/>
        </w:numPr>
        <w:spacing w:before="0"/>
        <w:ind w:left="1560" w:hanging="284"/>
        <w:rPr>
          <w:rFonts w:eastAsia="Calibri"/>
          <w:noProof/>
          <w:lang w:val="en-US"/>
        </w:rPr>
      </w:pPr>
      <w:r w:rsidRPr="003A7E34">
        <w:rPr>
          <w:rFonts w:eastAsia="Times New Roman"/>
          <w:noProof/>
          <w:lang w:val="en-US"/>
        </w:rPr>
        <w:t xml:space="preserve">Projections of the development of the energy system and GHG emissions and removals as well as, </w:t>
      </w:r>
      <w:r w:rsidRPr="003A7E34">
        <w:rPr>
          <w:rFonts w:eastAsia="Times New Roman"/>
          <w:b/>
          <w:bCs/>
          <w:i/>
          <w:iCs/>
          <w:noProof/>
          <w:lang w:val="en-US"/>
        </w:rPr>
        <w:t>where relevant</w:t>
      </w:r>
      <w:r w:rsidRPr="003A7E34">
        <w:rPr>
          <w:rFonts w:eastAsia="Times New Roman"/>
          <w:noProof/>
          <w:lang w:val="en-US"/>
        </w:rPr>
        <w:t xml:space="preserve"> of emissions of air pollutants in accordance with Directive (EU) </w:t>
      </w:r>
      <w:r w:rsidRPr="003A7E34">
        <w:rPr>
          <w:rFonts w:eastAsia="Times New Roman"/>
          <w:b/>
          <w:bCs/>
          <w:i/>
          <w:iCs/>
          <w:noProof/>
          <w:lang w:val="en-US"/>
        </w:rPr>
        <w:t>2016/2284</w:t>
      </w:r>
      <w:r w:rsidRPr="003A7E34">
        <w:rPr>
          <w:rFonts w:eastAsia="Times New Roman"/>
          <w:noProof/>
          <w:lang w:val="en-US"/>
        </w:rPr>
        <w:t xml:space="preserve"> under the planned policies and measures at least until ten years after the period covered by the plan (including for the last year of the period covered by the plan), including relevant Union policies and measures.</w:t>
      </w:r>
    </w:p>
    <w:p w14:paraId="2842BF67" w14:textId="1C2373EC" w:rsidR="007D0CAC" w:rsidRPr="003A7E34" w:rsidRDefault="007D0CAC" w:rsidP="00E61F0A">
      <w:pPr>
        <w:spacing w:before="0"/>
        <w:rPr>
          <w:rFonts w:eastAsia="Times New Roman"/>
          <w:noProof/>
          <w:lang w:val="en-US"/>
        </w:rPr>
      </w:pPr>
      <w:r w:rsidRPr="003A7E34">
        <w:rPr>
          <w:rFonts w:eastAsia="Times New Roman"/>
          <w:noProof/>
          <w:lang w:val="en-US"/>
        </w:rPr>
        <w:t>In addition to impacts</w:t>
      </w:r>
      <w:r w:rsidR="00D871C8" w:rsidRPr="003A7E34">
        <w:rPr>
          <w:rFonts w:eastAsia="Times New Roman"/>
          <w:noProof/>
          <w:lang w:val="en-US"/>
        </w:rPr>
        <w:t xml:space="preserve"> </w:t>
      </w:r>
      <w:r w:rsidRPr="003A7E34">
        <w:rPr>
          <w:rFonts w:eastAsia="Times New Roman"/>
          <w:noProof/>
          <w:lang w:val="en-US"/>
        </w:rPr>
        <w:t xml:space="preserve">of implementation existing policies and measures in all economy sectors, which the most will be continued beyound 2020, on energy system and GHG emission reduction and generation of removals described in Section 4.2.1, the planned policies and measures were identified. The evaluation of policies and measures is still under development. </w:t>
      </w:r>
    </w:p>
    <w:p w14:paraId="23B5AD3C" w14:textId="2B88E75E" w:rsidR="007D0CAC" w:rsidRPr="003A7E34" w:rsidRDefault="007D0CAC" w:rsidP="00E61F0A">
      <w:pPr>
        <w:spacing w:before="0"/>
        <w:rPr>
          <w:rFonts w:eastAsia="Times New Roman"/>
          <w:noProof/>
          <w:lang w:val="en-US"/>
        </w:rPr>
      </w:pPr>
      <w:r w:rsidRPr="003A7E34">
        <w:rPr>
          <w:rFonts w:eastAsia="Times New Roman"/>
          <w:noProof/>
          <w:lang w:val="en-US"/>
        </w:rPr>
        <w:t>Ministry of Energy and Environment initiated dialogues with Minsitry of Agriculture, Transport and communication and with the departments at the Mini</w:t>
      </w:r>
      <w:r w:rsidR="00E03E9C" w:rsidRPr="003A7E34">
        <w:rPr>
          <w:rFonts w:eastAsia="Times New Roman"/>
          <w:noProof/>
          <w:lang w:val="en-US"/>
        </w:rPr>
        <w:t>s</w:t>
      </w:r>
      <w:r w:rsidRPr="003A7E34">
        <w:rPr>
          <w:rFonts w:eastAsia="Times New Roman"/>
          <w:noProof/>
          <w:lang w:val="en-US"/>
        </w:rPr>
        <w:t xml:space="preserve">try of Environment. The ministries and departments were informed on the proceeding preparation procedure of the NECP and were asked to indicate the planned policies and measures related with GHG mitigation and adaptation for the period 2021–2030. The negotiation process has been prolonged due to issues related with unclear financing and implementation mechanism. </w:t>
      </w:r>
    </w:p>
    <w:p w14:paraId="0BC38FF8" w14:textId="77777777" w:rsidR="007D0CAC" w:rsidRPr="003A7E34" w:rsidRDefault="5E230566" w:rsidP="5E230566">
      <w:pPr>
        <w:spacing w:before="0"/>
        <w:rPr>
          <w:rFonts w:eastAsia="Times New Roman"/>
          <w:noProof/>
          <w:lang w:val="en-US"/>
        </w:rPr>
      </w:pPr>
      <w:r w:rsidRPr="003A7E34">
        <w:rPr>
          <w:rFonts w:eastAsia="Times New Roman"/>
          <w:noProof/>
          <w:lang w:val="en-US"/>
        </w:rPr>
        <w:t xml:space="preserve">In this stage we present the plannned measures which were identified in preparation of GHG projections in 2016. </w:t>
      </w:r>
    </w:p>
    <w:p w14:paraId="3A758E5B" w14:textId="6AB02CBD" w:rsidR="0095523E" w:rsidRPr="003A7E34" w:rsidRDefault="39F1765D" w:rsidP="00C42AAE">
      <w:pPr>
        <w:numPr>
          <w:ilvl w:val="3"/>
          <w:numId w:val="21"/>
        </w:numPr>
        <w:spacing w:before="0"/>
        <w:ind w:left="1560" w:hanging="284"/>
        <w:rPr>
          <w:rFonts w:eastAsia="Calibri"/>
          <w:noProof/>
          <w:lang w:val="en-US"/>
        </w:rPr>
      </w:pPr>
      <w:r w:rsidRPr="003A7E34">
        <w:rPr>
          <w:rFonts w:eastAsia="Times New Roman"/>
          <w:noProof/>
          <w:lang w:val="en-US"/>
        </w:rPr>
        <w:t xml:space="preserve">Assessment of policy interactions (between existing policies and measures and planned policies and measures within a policy dimension and between existing policies and measures and planned policies and measures of different dimensions) at least until the last year of the period covered by the plan, </w:t>
      </w:r>
      <w:r w:rsidRPr="003A7E34">
        <w:rPr>
          <w:rFonts w:eastAsia="Times New Roman"/>
          <w:b/>
          <w:bCs/>
          <w:i/>
          <w:iCs/>
          <w:noProof/>
          <w:lang w:val="en-US"/>
        </w:rPr>
        <w:t>in particular to establish a robust understanding of the impact of energy efficiency / energy savings policies on the sizing of the energy system and to reduce the risk of stranded investment in energy supply</w:t>
      </w:r>
    </w:p>
    <w:p w14:paraId="4261F471" w14:textId="09016378" w:rsidR="39F1765D" w:rsidRPr="003A7E34" w:rsidRDefault="39F1765D" w:rsidP="39F1765D">
      <w:pPr>
        <w:rPr>
          <w:rFonts w:eastAsia="Times New Roman"/>
          <w:noProof/>
          <w:lang w:val="en-US"/>
        </w:rPr>
      </w:pPr>
      <w:r w:rsidRPr="003A7E34">
        <w:rPr>
          <w:rFonts w:eastAsia="Times New Roman"/>
          <w:noProof/>
          <w:lang w:val="en-US"/>
        </w:rPr>
        <w:t>This part to be defined in the final version of the Plan.</w:t>
      </w:r>
    </w:p>
    <w:p w14:paraId="022B2C52" w14:textId="77777777" w:rsidR="0095523E" w:rsidRPr="003A7E34" w:rsidRDefault="5E230566" w:rsidP="5E230566">
      <w:pPr>
        <w:numPr>
          <w:ilvl w:val="3"/>
          <w:numId w:val="21"/>
        </w:numPr>
        <w:spacing w:before="0"/>
        <w:ind w:left="1560" w:hanging="284"/>
        <w:rPr>
          <w:rFonts w:eastAsia="Calibri"/>
          <w:b/>
          <w:bCs/>
          <w:i/>
          <w:iCs/>
          <w:noProof/>
          <w:lang w:val="en-US"/>
        </w:rPr>
      </w:pPr>
      <w:r w:rsidRPr="003A7E34">
        <w:rPr>
          <w:rFonts w:eastAsia="Times New Roman"/>
          <w:b/>
          <w:bCs/>
          <w:i/>
          <w:iCs/>
          <w:noProof/>
          <w:lang w:val="en-US"/>
        </w:rPr>
        <w:t>Assessment of interactions between existing policies and measures and planned policies and measures, and between those policies and measures and Union climate and energy policy measures</w:t>
      </w:r>
    </w:p>
    <w:p w14:paraId="532E350D" w14:textId="09016378" w:rsidR="39F1765D" w:rsidRPr="003A7E34" w:rsidRDefault="39F1765D" w:rsidP="39F1765D">
      <w:pPr>
        <w:rPr>
          <w:rFonts w:eastAsia="Times New Roman"/>
          <w:noProof/>
          <w:lang w:val="en-US"/>
        </w:rPr>
      </w:pPr>
      <w:r w:rsidRPr="003A7E34">
        <w:rPr>
          <w:rFonts w:eastAsia="Times New Roman"/>
          <w:noProof/>
          <w:lang w:val="en-US"/>
        </w:rPr>
        <w:t>This part to be defined in the final version of the Plan.</w:t>
      </w:r>
    </w:p>
    <w:p w14:paraId="4B4E9EAB" w14:textId="3213F8CE" w:rsidR="39F1765D" w:rsidRPr="003A7E34" w:rsidRDefault="39F1765D" w:rsidP="39F1765D">
      <w:pPr>
        <w:spacing w:before="0"/>
        <w:rPr>
          <w:rFonts w:eastAsia="Times New Roman"/>
          <w:noProof/>
          <w:lang w:val="en-US"/>
        </w:rPr>
      </w:pPr>
    </w:p>
    <w:p w14:paraId="52BB9516" w14:textId="77777777" w:rsidR="0095523E" w:rsidRPr="003A7E34" w:rsidRDefault="0095523E" w:rsidP="00EA50D6">
      <w:pPr>
        <w:spacing w:before="0" w:after="160" w:line="259" w:lineRule="auto"/>
        <w:jc w:val="left"/>
        <w:rPr>
          <w:rFonts w:eastAsia="Times New Roman"/>
          <w:b/>
          <w:bCs/>
          <w:noProof/>
          <w:lang w:val="en-US"/>
        </w:rPr>
      </w:pPr>
      <w:bookmarkStart w:id="180" w:name="_Toc476578604"/>
      <w:bookmarkStart w:id="181" w:name="_Toc476649581"/>
      <w:bookmarkStart w:id="182" w:name="_Toc476656025"/>
      <w:bookmarkEnd w:id="180"/>
      <w:bookmarkEnd w:id="181"/>
      <w:bookmarkEnd w:id="182"/>
      <w:r w:rsidRPr="003A7E34">
        <w:rPr>
          <w:rFonts w:eastAsia="Times New Roman"/>
          <w:b/>
          <w:bCs/>
          <w:noProof/>
          <w:lang w:val="en-US"/>
        </w:rPr>
        <w:br w:type="page"/>
      </w:r>
    </w:p>
    <w:p w14:paraId="0153555F" w14:textId="26C05D20" w:rsidR="0095523E" w:rsidRPr="003A7E34" w:rsidRDefault="0095523E" w:rsidP="00B15836">
      <w:pPr>
        <w:pStyle w:val="Heading2"/>
        <w:numPr>
          <w:ilvl w:val="1"/>
          <w:numId w:val="21"/>
        </w:numPr>
        <w:spacing w:before="0" w:after="120"/>
        <w:rPr>
          <w:rFonts w:eastAsia="Calibri" w:cs="Times New Roman"/>
          <w:noProof/>
          <w:lang w:val="en-US"/>
        </w:rPr>
      </w:pPr>
      <w:bookmarkStart w:id="183" w:name="_Toc530405600"/>
      <w:bookmarkStart w:id="184" w:name="_Toc530411831"/>
      <w:bookmarkStart w:id="185" w:name="_Toc530414180"/>
      <w:r w:rsidRPr="003A7E34">
        <w:rPr>
          <w:rFonts w:eastAsia="Times New Roman" w:cs="Times New Roman"/>
          <w:noProof/>
          <w:lang w:val="en-US"/>
        </w:rPr>
        <w:lastRenderedPageBreak/>
        <w:t xml:space="preserve">Macroeconomic </w:t>
      </w:r>
      <w:r w:rsidRPr="003A7E34">
        <w:rPr>
          <w:rFonts w:eastAsia="Times New Roman" w:cs="Times New Roman"/>
          <w:i/>
          <w:iCs/>
          <w:noProof/>
          <w:lang w:val="en-US"/>
        </w:rPr>
        <w:t>and, to the extent feasible, the health</w:t>
      </w:r>
      <w:r w:rsidRPr="003A7E34">
        <w:rPr>
          <w:rFonts w:eastAsia="Times New Roman" w:cs="Times New Roman"/>
          <w:noProof/>
          <w:lang w:val="en-US"/>
        </w:rPr>
        <w:t xml:space="preserve">, environmental, </w:t>
      </w:r>
      <w:r w:rsidRPr="003A7E34">
        <w:rPr>
          <w:rFonts w:eastAsia="Times New Roman" w:cs="Times New Roman"/>
          <w:i/>
          <w:iCs/>
          <w:noProof/>
          <w:lang w:val="en-US"/>
        </w:rPr>
        <w:t>employment and educatio</w:t>
      </w:r>
      <w:r w:rsidRPr="003A7E34">
        <w:rPr>
          <w:rFonts w:eastAsia="Times New Roman" w:cs="Times New Roman"/>
          <w:noProof/>
          <w:lang w:val="en-US"/>
        </w:rPr>
        <w:t xml:space="preserve">n, skills and social impacts </w:t>
      </w:r>
      <w:r w:rsidRPr="003A7E34">
        <w:rPr>
          <w:rFonts w:eastAsia="Times New Roman" w:cs="Times New Roman"/>
          <w:i/>
          <w:iCs/>
          <w:noProof/>
          <w:lang w:val="en-US"/>
        </w:rPr>
        <w:t>including just transition aspects</w:t>
      </w:r>
      <w:r w:rsidRPr="003A7E34">
        <w:rPr>
          <w:rFonts w:eastAsia="Times New Roman" w:cs="Times New Roman"/>
          <w:noProof/>
          <w:lang w:val="en-US"/>
        </w:rPr>
        <w:t xml:space="preserve"> (in terms of costs and benefits as well as cost-effectiveness) of the planned policies and measures described in section 3 at least until the last year of the period covered by the plan, including comparison to projections with existing policies and measures</w:t>
      </w:r>
      <w:bookmarkEnd w:id="183"/>
      <w:bookmarkEnd w:id="184"/>
      <w:bookmarkEnd w:id="185"/>
    </w:p>
    <w:p w14:paraId="74FED1F5" w14:textId="48F94AB1" w:rsidR="0095523E" w:rsidRPr="003A7E34" w:rsidRDefault="39F1765D" w:rsidP="00B15836">
      <w:pPr>
        <w:tabs>
          <w:tab w:val="left" w:pos="1701"/>
          <w:tab w:val="left" w:pos="1843"/>
          <w:tab w:val="left" w:pos="10065"/>
        </w:tabs>
        <w:spacing w:before="0"/>
        <w:ind w:right="-3"/>
        <w:rPr>
          <w:rFonts w:eastAsia="Times New Roman"/>
          <w:lang w:val="en-US"/>
        </w:rPr>
      </w:pPr>
      <w:r w:rsidRPr="003A7E34">
        <w:rPr>
          <w:rFonts w:eastAsia="Times New Roman"/>
          <w:lang w:val="en-US"/>
        </w:rPr>
        <w:t>Based on data, provided in the Commission impact assessment accompanying A policy framework for climate and energy in the period from 2020 up to 2030, implementation of Lithuania’ s GHG emissions reduction target will cost annually from 0.39% to 0.91% of GDP depending on the range of percentage of RES in final energy demand and EE improvement, at the same time it will allow to save from 2.9 till 4.7 billion EUR for the purchasing fossil fuels, in comparison with oil prices in 2014, in the period 2021–2030.</w:t>
      </w:r>
      <w:r w:rsidR="007C03E9" w:rsidRPr="003A7E34">
        <w:rPr>
          <w:rStyle w:val="FootnoteReference"/>
          <w:rFonts w:eastAsia="Times New Roman"/>
          <w:lang w:val="en-US"/>
        </w:rPr>
        <w:footnoteReference w:id="65"/>
      </w:r>
      <w:r w:rsidRPr="003A7E34">
        <w:rPr>
          <w:rFonts w:eastAsia="Times New Roman"/>
          <w:lang w:val="en-US"/>
        </w:rPr>
        <w:t xml:space="preserve"> </w:t>
      </w:r>
    </w:p>
    <w:p w14:paraId="5D663F4E" w14:textId="44AF9418" w:rsidR="39F1765D" w:rsidRPr="003A7E34" w:rsidRDefault="39F1765D" w:rsidP="00B15836">
      <w:pPr>
        <w:spacing w:before="0"/>
        <w:ind w:right="-3"/>
        <w:rPr>
          <w:rFonts w:eastAsia="Times New Roman"/>
          <w:lang w:val="en-US"/>
        </w:rPr>
      </w:pPr>
    </w:p>
    <w:p w14:paraId="5953A7A1" w14:textId="5D32C53B" w:rsidR="0095523E" w:rsidRPr="003A7E34" w:rsidRDefault="0095523E" w:rsidP="00B15836">
      <w:pPr>
        <w:pStyle w:val="Heading2"/>
        <w:numPr>
          <w:ilvl w:val="1"/>
          <w:numId w:val="21"/>
        </w:numPr>
        <w:spacing w:before="0" w:after="120"/>
        <w:rPr>
          <w:rFonts w:eastAsia="Calibri" w:cs="Times New Roman"/>
          <w:noProof/>
          <w:lang w:val="en-US"/>
        </w:rPr>
      </w:pPr>
      <w:bookmarkStart w:id="186" w:name="_Toc530405601"/>
      <w:bookmarkStart w:id="187" w:name="_Toc530411832"/>
      <w:bookmarkStart w:id="188" w:name="_Toc530414181"/>
      <w:r w:rsidRPr="003A7E34">
        <w:rPr>
          <w:rFonts w:eastAsia="Times New Roman" w:cs="Times New Roman"/>
          <w:noProof/>
          <w:lang w:val="en-US"/>
        </w:rPr>
        <w:t>Overview of investment needs</w:t>
      </w:r>
      <w:bookmarkEnd w:id="186"/>
      <w:bookmarkEnd w:id="187"/>
      <w:bookmarkEnd w:id="188"/>
    </w:p>
    <w:p w14:paraId="76ED2786" w14:textId="77777777" w:rsidR="0095523E" w:rsidRPr="003A7E34" w:rsidRDefault="39F1765D" w:rsidP="00B15836">
      <w:pPr>
        <w:numPr>
          <w:ilvl w:val="3"/>
          <w:numId w:val="21"/>
        </w:numPr>
        <w:spacing w:before="0"/>
        <w:ind w:left="1560" w:hanging="284"/>
        <w:rPr>
          <w:rFonts w:eastAsia="Calibri"/>
          <w:b/>
          <w:bCs/>
          <w:i/>
          <w:iCs/>
          <w:noProof/>
          <w:lang w:val="en-US"/>
        </w:rPr>
      </w:pPr>
      <w:r w:rsidRPr="003A7E34">
        <w:rPr>
          <w:rFonts w:eastAsia="Times New Roman"/>
          <w:b/>
          <w:bCs/>
          <w:i/>
          <w:iCs/>
          <w:noProof/>
          <w:lang w:val="en-US"/>
        </w:rPr>
        <w:t>existing investment flows and forward investment assumptions with regards to the planned policies and measures</w:t>
      </w:r>
    </w:p>
    <w:p w14:paraId="73AACE7B" w14:textId="09016378" w:rsidR="39F1765D" w:rsidRPr="003A7E34" w:rsidRDefault="39F1765D" w:rsidP="00B15836">
      <w:pPr>
        <w:spacing w:before="0"/>
        <w:rPr>
          <w:rFonts w:eastAsia="Times New Roman"/>
          <w:noProof/>
          <w:lang w:val="en-US"/>
        </w:rPr>
      </w:pPr>
      <w:r w:rsidRPr="003A7E34">
        <w:rPr>
          <w:rFonts w:eastAsia="Times New Roman"/>
          <w:noProof/>
          <w:lang w:val="en-US"/>
        </w:rPr>
        <w:t>This part to be defined in the final version of the Plan.</w:t>
      </w:r>
    </w:p>
    <w:p w14:paraId="6476E423" w14:textId="22E71C84" w:rsidR="39F1765D" w:rsidRPr="003A7E34" w:rsidRDefault="39F1765D" w:rsidP="00B15836">
      <w:pPr>
        <w:spacing w:before="0"/>
        <w:rPr>
          <w:rFonts w:eastAsia="Times New Roman"/>
          <w:noProof/>
          <w:lang w:val="en-US"/>
        </w:rPr>
      </w:pPr>
    </w:p>
    <w:p w14:paraId="6CA8642D" w14:textId="77777777" w:rsidR="0095523E" w:rsidRPr="003A7E34" w:rsidRDefault="39F1765D" w:rsidP="00B15836">
      <w:pPr>
        <w:numPr>
          <w:ilvl w:val="3"/>
          <w:numId w:val="21"/>
        </w:numPr>
        <w:spacing w:before="0"/>
        <w:ind w:left="1560" w:hanging="284"/>
        <w:rPr>
          <w:rFonts w:eastAsia="Calibri"/>
          <w:b/>
          <w:bCs/>
          <w:i/>
          <w:iCs/>
          <w:noProof/>
          <w:lang w:val="en-US"/>
        </w:rPr>
      </w:pPr>
      <w:r w:rsidRPr="003A7E34">
        <w:rPr>
          <w:rFonts w:eastAsia="Times New Roman"/>
          <w:b/>
          <w:bCs/>
          <w:i/>
          <w:iCs/>
          <w:noProof/>
          <w:lang w:val="en-US"/>
        </w:rPr>
        <w:t>sector or market risk factors or barriers in the national or regional context</w:t>
      </w:r>
    </w:p>
    <w:p w14:paraId="06183C6E" w14:textId="09016378" w:rsidR="39F1765D" w:rsidRPr="003A7E34" w:rsidRDefault="39F1765D" w:rsidP="00B15836">
      <w:pPr>
        <w:spacing w:before="0"/>
        <w:rPr>
          <w:rFonts w:eastAsia="Times New Roman"/>
          <w:noProof/>
          <w:lang w:val="en-US"/>
        </w:rPr>
      </w:pPr>
      <w:r w:rsidRPr="003A7E34">
        <w:rPr>
          <w:rFonts w:eastAsia="Times New Roman"/>
          <w:noProof/>
          <w:lang w:val="en-US"/>
        </w:rPr>
        <w:t>This part to be defined in the final version of the Plan.</w:t>
      </w:r>
    </w:p>
    <w:p w14:paraId="1B0B90AA" w14:textId="7864436C" w:rsidR="0095523E" w:rsidRPr="003A7E34" w:rsidRDefault="39F1765D" w:rsidP="00B15836">
      <w:pPr>
        <w:numPr>
          <w:ilvl w:val="3"/>
          <w:numId w:val="21"/>
        </w:numPr>
        <w:spacing w:before="0"/>
        <w:ind w:left="1560" w:hanging="284"/>
        <w:rPr>
          <w:rFonts w:eastAsia="Calibri"/>
          <w:b/>
          <w:bCs/>
          <w:i/>
          <w:iCs/>
          <w:noProof/>
          <w:lang w:val="en-US"/>
        </w:rPr>
      </w:pPr>
      <w:r w:rsidRPr="003A7E34">
        <w:rPr>
          <w:rFonts w:eastAsia="Times New Roman"/>
          <w:b/>
          <w:bCs/>
          <w:i/>
          <w:iCs/>
          <w:noProof/>
          <w:lang w:val="en-US"/>
        </w:rPr>
        <w:t>analysis of additional public finance support or resources to fill identified gaps identified under point ii</w:t>
      </w:r>
    </w:p>
    <w:p w14:paraId="3852ABD7" w14:textId="09016378" w:rsidR="39F1765D" w:rsidRPr="003A7E34" w:rsidRDefault="39F1765D" w:rsidP="00B15836">
      <w:pPr>
        <w:spacing w:before="0"/>
        <w:rPr>
          <w:rFonts w:eastAsia="Times New Roman"/>
          <w:noProof/>
          <w:lang w:val="en-US"/>
        </w:rPr>
      </w:pPr>
      <w:r w:rsidRPr="003A7E34">
        <w:rPr>
          <w:rFonts w:eastAsia="Times New Roman"/>
          <w:noProof/>
          <w:lang w:val="en-US"/>
        </w:rPr>
        <w:t>This part to be defined in the final version of the Plan.</w:t>
      </w:r>
    </w:p>
    <w:p w14:paraId="09E63D78" w14:textId="35BFE312" w:rsidR="39F1765D" w:rsidRPr="003A7E34" w:rsidRDefault="39F1765D" w:rsidP="00B15836">
      <w:pPr>
        <w:spacing w:before="0"/>
        <w:rPr>
          <w:rFonts w:eastAsia="Times New Roman"/>
          <w:noProof/>
          <w:lang w:val="en-US"/>
        </w:rPr>
      </w:pPr>
    </w:p>
    <w:p w14:paraId="5B0B75AE" w14:textId="66F1E798" w:rsidR="0095523E" w:rsidRPr="003A7E34" w:rsidRDefault="39F1765D" w:rsidP="00B15836">
      <w:pPr>
        <w:pStyle w:val="Heading2"/>
        <w:numPr>
          <w:ilvl w:val="1"/>
          <w:numId w:val="21"/>
        </w:numPr>
        <w:spacing w:before="0" w:after="120"/>
        <w:rPr>
          <w:rFonts w:eastAsia="Calibri" w:cs="Times New Roman"/>
          <w:noProof/>
          <w:lang w:val="en-US"/>
        </w:rPr>
      </w:pPr>
      <w:bookmarkStart w:id="189" w:name="_Toc530405602"/>
      <w:bookmarkStart w:id="190" w:name="_Toc530411833"/>
      <w:bookmarkStart w:id="191" w:name="_Toc530414182"/>
      <w:r w:rsidRPr="003A7E34">
        <w:rPr>
          <w:rFonts w:eastAsia="Times New Roman" w:cs="Times New Roman"/>
          <w:noProof/>
          <w:lang w:val="en-US"/>
        </w:rPr>
        <w:t>Impacts of planned policies and measures described in section 3 on other Member States and regional cooperation at least until the last year of the period covered by the plan, including comparison to projections with existing policies and measures</w:t>
      </w:r>
      <w:bookmarkEnd w:id="189"/>
      <w:bookmarkEnd w:id="190"/>
      <w:bookmarkEnd w:id="191"/>
    </w:p>
    <w:p w14:paraId="7C47D450" w14:textId="77777777" w:rsidR="0095523E" w:rsidRPr="003A7E34" w:rsidRDefault="39F1765D" w:rsidP="00B15836">
      <w:pPr>
        <w:numPr>
          <w:ilvl w:val="3"/>
          <w:numId w:val="21"/>
        </w:numPr>
        <w:spacing w:before="0"/>
        <w:ind w:left="1560" w:hanging="284"/>
        <w:rPr>
          <w:rFonts w:eastAsia="Calibri"/>
          <w:noProof/>
          <w:lang w:val="en-US"/>
        </w:rPr>
      </w:pPr>
      <w:r w:rsidRPr="003A7E34">
        <w:rPr>
          <w:rFonts w:eastAsia="Times New Roman"/>
          <w:noProof/>
          <w:lang w:val="en-US"/>
        </w:rPr>
        <w:t>Impacts on the energy system in neighbouring and other Member States in the region to the extent possible</w:t>
      </w:r>
    </w:p>
    <w:p w14:paraId="3390F563" w14:textId="09016378" w:rsidR="39F1765D" w:rsidRPr="003A7E34" w:rsidRDefault="39F1765D" w:rsidP="00B15836">
      <w:pPr>
        <w:spacing w:before="0"/>
        <w:rPr>
          <w:rFonts w:eastAsia="Times New Roman"/>
          <w:noProof/>
          <w:lang w:val="en-US"/>
        </w:rPr>
      </w:pPr>
      <w:r w:rsidRPr="003A7E34">
        <w:rPr>
          <w:rFonts w:eastAsia="Times New Roman"/>
          <w:noProof/>
          <w:lang w:val="en-US"/>
        </w:rPr>
        <w:t>This part to be defined in the final version of the Plan.</w:t>
      </w:r>
    </w:p>
    <w:p w14:paraId="70494362" w14:textId="77777777" w:rsidR="0095523E" w:rsidRPr="003A7E34" w:rsidRDefault="39F1765D" w:rsidP="00B15836">
      <w:pPr>
        <w:numPr>
          <w:ilvl w:val="3"/>
          <w:numId w:val="21"/>
        </w:numPr>
        <w:spacing w:before="0"/>
        <w:ind w:left="1560" w:hanging="284"/>
        <w:rPr>
          <w:rFonts w:eastAsia="Calibri"/>
          <w:noProof/>
          <w:lang w:val="en-US"/>
        </w:rPr>
      </w:pPr>
      <w:r w:rsidRPr="003A7E34">
        <w:rPr>
          <w:rFonts w:eastAsia="Times New Roman"/>
          <w:noProof/>
          <w:lang w:val="en-US"/>
        </w:rPr>
        <w:t>Impacts on energy prices, utilities and energy market integration</w:t>
      </w:r>
    </w:p>
    <w:p w14:paraId="45AAECA7" w14:textId="777592D9" w:rsidR="0095523E" w:rsidRPr="003A7E34" w:rsidRDefault="39F1765D" w:rsidP="00B15836">
      <w:pPr>
        <w:spacing w:before="0"/>
        <w:rPr>
          <w:rFonts w:eastAsia="Times New Roman"/>
          <w:noProof/>
          <w:lang w:val="en-US"/>
        </w:rPr>
      </w:pPr>
      <w:r w:rsidRPr="003A7E34">
        <w:rPr>
          <w:rFonts w:eastAsia="Times New Roman"/>
          <w:noProof/>
          <w:lang w:val="en-US"/>
        </w:rPr>
        <w:t>This part to be defined in the final version of the Plan.</w:t>
      </w:r>
    </w:p>
    <w:p w14:paraId="4945ABA4" w14:textId="77777777" w:rsidR="0095523E" w:rsidRPr="003A7E34" w:rsidRDefault="39F1765D" w:rsidP="00B15836">
      <w:pPr>
        <w:numPr>
          <w:ilvl w:val="3"/>
          <w:numId w:val="21"/>
        </w:numPr>
        <w:spacing w:before="0"/>
        <w:ind w:left="1560" w:hanging="284"/>
        <w:rPr>
          <w:rFonts w:eastAsia="Calibri"/>
          <w:noProof/>
          <w:lang w:val="en-US"/>
        </w:rPr>
      </w:pPr>
      <w:r w:rsidRPr="003A7E34">
        <w:rPr>
          <w:rFonts w:eastAsia="Times New Roman"/>
          <w:b/>
          <w:bCs/>
          <w:i/>
          <w:iCs/>
          <w:noProof/>
          <w:lang w:val="en-US"/>
        </w:rPr>
        <w:t>Where relevant</w:t>
      </w:r>
      <w:r w:rsidRPr="003A7E34">
        <w:rPr>
          <w:rFonts w:eastAsia="Times New Roman"/>
          <w:noProof/>
          <w:lang w:val="en-US"/>
        </w:rPr>
        <w:t>, impacts on regional cooperation</w:t>
      </w:r>
    </w:p>
    <w:p w14:paraId="390FD853" w14:textId="2ADE0087" w:rsidR="00274AF4" w:rsidRPr="003A7E34" w:rsidRDefault="39F1765D" w:rsidP="00B15836">
      <w:pPr>
        <w:spacing w:before="0"/>
        <w:rPr>
          <w:rFonts w:eastAsia="Times New Roman"/>
          <w:lang w:val="en-US"/>
        </w:rPr>
      </w:pPr>
      <w:r w:rsidRPr="003A7E34">
        <w:rPr>
          <w:rFonts w:eastAsia="Times New Roman"/>
          <w:noProof/>
          <w:lang w:val="en-US"/>
        </w:rPr>
        <w:t>This part to be defined in the final version of the Plan.</w:t>
      </w:r>
    </w:p>
    <w:sectPr w:rsidR="00274AF4" w:rsidRPr="003A7E34" w:rsidSect="00EC2CEE">
      <w:headerReference w:type="default" r:id="rId63"/>
      <w:footerReference w:type="default" r:id="rId64"/>
      <w:headerReference w:type="first" r:id="rId65"/>
      <w:pgSz w:w="12240" w:h="15840" w:code="1"/>
      <w:pgMar w:top="1701" w:right="902"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1C272" w14:textId="77777777" w:rsidR="008A1805" w:rsidRDefault="008A1805" w:rsidP="009E5F26">
      <w:pPr>
        <w:spacing w:before="0" w:after="0"/>
      </w:pPr>
      <w:r>
        <w:separator/>
      </w:r>
    </w:p>
  </w:endnote>
  <w:endnote w:type="continuationSeparator" w:id="0">
    <w:p w14:paraId="7C267D39" w14:textId="77777777" w:rsidR="008A1805" w:rsidRDefault="008A1805" w:rsidP="009E5F26">
      <w:pPr>
        <w:spacing w:before="0" w:after="0"/>
      </w:pPr>
      <w:r>
        <w:continuationSeparator/>
      </w:r>
    </w:p>
  </w:endnote>
  <w:endnote w:type="continuationNotice" w:id="1">
    <w:p w14:paraId="498D5F96" w14:textId="77777777" w:rsidR="008A1805" w:rsidRDefault="008A180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399205"/>
      <w:docPartObj>
        <w:docPartGallery w:val="Page Numbers (Bottom of Page)"/>
        <w:docPartUnique/>
      </w:docPartObj>
    </w:sdtPr>
    <w:sdtEndPr>
      <w:rPr>
        <w:noProof/>
      </w:rPr>
    </w:sdtEndPr>
    <w:sdtContent>
      <w:p w14:paraId="6B466C5E" w14:textId="417923B1" w:rsidR="00C30D60" w:rsidRDefault="00C30D60" w:rsidP="0036781D">
        <w:pPr>
          <w:pStyle w:val="Footer"/>
          <w:jc w:val="right"/>
        </w:pPr>
        <w:r>
          <w:fldChar w:fldCharType="begin"/>
        </w:r>
        <w:r>
          <w:instrText xml:space="preserve"> PAGE   \* MERGEFORMAT </w:instrText>
        </w:r>
        <w:r>
          <w:fldChar w:fldCharType="separate"/>
        </w:r>
        <w:r w:rsidR="00512B99">
          <w:rPr>
            <w:noProof/>
          </w:rPr>
          <w:t>44</w:t>
        </w:r>
        <w:r>
          <w:rPr>
            <w:noProof/>
          </w:rPr>
          <w:fldChar w:fldCharType="end"/>
        </w:r>
      </w:p>
    </w:sdtContent>
  </w:sdt>
  <w:p w14:paraId="4D698DD6" w14:textId="77777777" w:rsidR="00C30D60" w:rsidRDefault="00C30D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16536" w14:textId="77777777" w:rsidR="008A1805" w:rsidRDefault="008A1805" w:rsidP="009E5F26">
      <w:pPr>
        <w:spacing w:before="0" w:after="0"/>
      </w:pPr>
      <w:r>
        <w:separator/>
      </w:r>
    </w:p>
  </w:footnote>
  <w:footnote w:type="continuationSeparator" w:id="0">
    <w:p w14:paraId="0BBFA1F6" w14:textId="77777777" w:rsidR="008A1805" w:rsidRDefault="008A1805" w:rsidP="009E5F26">
      <w:pPr>
        <w:spacing w:before="0" w:after="0"/>
      </w:pPr>
      <w:r>
        <w:continuationSeparator/>
      </w:r>
    </w:p>
  </w:footnote>
  <w:footnote w:type="continuationNotice" w:id="1">
    <w:p w14:paraId="29F7E81C" w14:textId="77777777" w:rsidR="008A1805" w:rsidRDefault="008A1805">
      <w:pPr>
        <w:spacing w:before="0" w:after="0"/>
      </w:pPr>
    </w:p>
  </w:footnote>
  <w:footnote w:id="2">
    <w:p w14:paraId="091F0E0C" w14:textId="77777777" w:rsidR="00C30D60" w:rsidRPr="004F4DAF" w:rsidRDefault="00C30D60" w:rsidP="3BF41050">
      <w:pPr>
        <w:pStyle w:val="FootnoteText"/>
        <w:ind w:left="0" w:firstLine="0"/>
        <w:rPr>
          <w:lang w:val="lt-LT"/>
        </w:rPr>
      </w:pPr>
      <w:r w:rsidRPr="3BF41050">
        <w:rPr>
          <w:rStyle w:val="FootnoteReference"/>
          <w:rFonts w:eastAsia="Times New Roman"/>
        </w:rPr>
        <w:footnoteRef/>
      </w:r>
      <w:r w:rsidRPr="3BF41050">
        <w:rPr>
          <w:rFonts w:eastAsia="Times New Roman"/>
        </w:rPr>
        <w:t xml:space="preserve"> </w:t>
      </w:r>
      <w:r w:rsidRPr="3BF41050">
        <w:rPr>
          <w:rFonts w:eastAsia="Times New Roman"/>
          <w:noProof/>
        </w:rPr>
        <w:t xml:space="preserve">Available online: </w:t>
      </w:r>
      <w:hyperlink r:id="rId1" w:anchor="a/717">
        <w:r w:rsidRPr="3BF41050">
          <w:rPr>
            <w:rStyle w:val="Hyperlink"/>
            <w:rFonts w:eastAsia="Times New Roman"/>
            <w:noProof/>
          </w:rPr>
          <w:t>http://www.am.lt/VI/en/VI/index.php#a/717</w:t>
        </w:r>
      </w:hyperlink>
    </w:p>
  </w:footnote>
  <w:footnote w:id="3">
    <w:p w14:paraId="076A8DF9" w14:textId="77777777" w:rsidR="00C30D60" w:rsidRDefault="00C30D60" w:rsidP="3BF41050">
      <w:r w:rsidRPr="3BF41050">
        <w:rPr>
          <w:rFonts w:eastAsia="Times New Roman"/>
          <w:sz w:val="20"/>
          <w:szCs w:val="20"/>
          <w:vertAlign w:val="superscript"/>
        </w:rPr>
        <w:footnoteRef/>
      </w:r>
      <w:r w:rsidRPr="3BF41050">
        <w:rPr>
          <w:rFonts w:eastAsia="Times New Roman"/>
          <w:sz w:val="20"/>
          <w:szCs w:val="20"/>
        </w:rPr>
        <w:t>Doha Amendment to the UNFCCC Kyoto protocol in the period 2013-2020</w:t>
      </w:r>
    </w:p>
  </w:footnote>
  <w:footnote w:id="4">
    <w:p w14:paraId="09E814DE" w14:textId="4BB99CF0" w:rsidR="00C30D60" w:rsidRPr="0062761D" w:rsidRDefault="00C30D60" w:rsidP="3BF41050">
      <w:pPr>
        <w:pStyle w:val="FootnoteText"/>
        <w:ind w:left="0" w:firstLine="0"/>
        <w:rPr>
          <w:lang w:val="lt-LT"/>
        </w:rPr>
      </w:pPr>
      <w:r w:rsidRPr="3BF41050">
        <w:rPr>
          <w:rStyle w:val="FootnoteReference"/>
          <w:rFonts w:eastAsia="Times New Roman"/>
        </w:rPr>
        <w:footnoteRef/>
      </w:r>
      <w:r w:rsidRPr="3BF41050">
        <w:rPr>
          <w:rFonts w:eastAsia="Times New Roman"/>
        </w:rPr>
        <w:t xml:space="preserve"> established by the Order No 1-71/D1-249 of the Minister of Energy and Minister of Environment (2017)</w:t>
      </w:r>
    </w:p>
  </w:footnote>
  <w:footnote w:id="5">
    <w:p w14:paraId="5A656EC3" w14:textId="6D2F39D5" w:rsidR="00C30D60" w:rsidRPr="00D84395" w:rsidRDefault="00C30D60">
      <w:pPr>
        <w:pStyle w:val="FootnoteText"/>
        <w:rPr>
          <w:lang w:val="en-US"/>
        </w:rPr>
      </w:pPr>
      <w:r>
        <w:rPr>
          <w:rStyle w:val="FootnoteReference"/>
        </w:rPr>
        <w:footnoteRef/>
      </w:r>
      <w:r>
        <w:t xml:space="preserve"> </w:t>
      </w:r>
      <w:hyperlink r:id="rId2" w:history="1">
        <w:r w:rsidRPr="00AE4954">
          <w:rPr>
            <w:rStyle w:val="Hyperlink"/>
          </w:rPr>
          <w:t>https://epilietis.lrv.lt/lt/dalyvauk-1/dalyvauk-viesosiose-konsultacijose/dalyvauk-viesosiose-konsultacijose-1?page=1</w:t>
        </w:r>
      </w:hyperlink>
      <w:r>
        <w:t xml:space="preserve"> </w:t>
      </w:r>
    </w:p>
  </w:footnote>
  <w:footnote w:id="6">
    <w:p w14:paraId="6868FD2B" w14:textId="5E9BA992" w:rsidR="00C30D60" w:rsidRDefault="00C30D60" w:rsidP="3BF41050">
      <w:pPr>
        <w:pStyle w:val="FootnoteText"/>
        <w:ind w:left="0" w:firstLine="0"/>
      </w:pPr>
      <w:r w:rsidRPr="3BF41050">
        <w:rPr>
          <w:rStyle w:val="FootnoteReference"/>
          <w:rFonts w:eastAsia="Times New Roman"/>
        </w:rPr>
        <w:footnoteRef/>
      </w:r>
      <w:r w:rsidRPr="3BF41050">
        <w:rPr>
          <w:rFonts w:eastAsia="Times New Roman"/>
        </w:rPr>
        <w:t xml:space="preserve"> Consistency to be ensured with long-term low emission strategies pursuant to Article 14. </w:t>
      </w:r>
    </w:p>
  </w:footnote>
  <w:footnote w:id="7">
    <w:p w14:paraId="30ABCF71" w14:textId="1CEB17FA" w:rsidR="00C30D60" w:rsidRPr="007607AA" w:rsidRDefault="00C30D60" w:rsidP="3BF41050">
      <w:pPr>
        <w:pStyle w:val="FootnoteText"/>
        <w:ind w:left="0" w:firstLine="0"/>
        <w:rPr>
          <w:lang w:val="en-US"/>
        </w:rPr>
      </w:pPr>
      <w:r w:rsidRPr="3BF41050">
        <w:rPr>
          <w:rStyle w:val="FootnoteReference"/>
          <w:rFonts w:eastAsia="Times New Roman"/>
        </w:rPr>
        <w:footnoteRef/>
      </w:r>
      <w:r w:rsidRPr="3BF41050">
        <w:rPr>
          <w:rFonts w:eastAsia="Times New Roman"/>
        </w:rPr>
        <w:t xml:space="preserve"> </w:t>
      </w:r>
      <w:r w:rsidRPr="3BF41050">
        <w:rPr>
          <w:rFonts w:eastAsia="Times New Roman"/>
          <w:noProof/>
          <w:lang w:val="en-US"/>
        </w:rPr>
        <w:t xml:space="preserve">available online: </w:t>
      </w:r>
      <w:hyperlink r:id="rId3" w:anchor="a/717" w:history="1">
        <w:r w:rsidRPr="3BF41050">
          <w:rPr>
            <w:rStyle w:val="Hyperlink"/>
            <w:rFonts w:eastAsia="Times New Roman"/>
            <w:noProof/>
            <w:lang w:val="en-US"/>
          </w:rPr>
          <w:t>http://www.am.lt/VI/en/VI/index.php#a/717</w:t>
        </w:r>
      </w:hyperlink>
      <w:r w:rsidRPr="3BF41050">
        <w:rPr>
          <w:rFonts w:eastAsia="Times New Roman"/>
          <w:noProof/>
          <w:lang w:val="en-US"/>
        </w:rPr>
        <w:t xml:space="preserve"> </w:t>
      </w:r>
    </w:p>
  </w:footnote>
  <w:footnote w:id="8">
    <w:p w14:paraId="4A2AF45E" w14:textId="0906EFBD" w:rsidR="00C30D60" w:rsidRPr="00171E30" w:rsidRDefault="00C30D60">
      <w:pPr>
        <w:pStyle w:val="FootnoteText"/>
        <w:rPr>
          <w:lang w:val="en-US"/>
        </w:rPr>
      </w:pPr>
      <w:r>
        <w:rPr>
          <w:rStyle w:val="FootnoteReference"/>
        </w:rPr>
        <w:footnoteRef/>
      </w:r>
      <w:r>
        <w:t xml:space="preserve"> </w:t>
      </w:r>
      <w:r w:rsidRPr="00171E30">
        <w:t>Lithuanian biomass energy association (Litbioma):</w:t>
      </w:r>
      <w:r>
        <w:t xml:space="preserve"> </w:t>
      </w:r>
      <w:hyperlink r:id="rId4" w:history="1">
        <w:r w:rsidRPr="00AE4954">
          <w:rPr>
            <w:rStyle w:val="Hyperlink"/>
          </w:rPr>
          <w:t>http://www.biokuras.lt/en</w:t>
        </w:r>
      </w:hyperlink>
      <w:r>
        <w:t xml:space="preserve"> </w:t>
      </w:r>
    </w:p>
  </w:footnote>
  <w:footnote w:id="9">
    <w:p w14:paraId="120B08E9" w14:textId="08679AE0" w:rsidR="00C30D60" w:rsidRPr="00694FF7" w:rsidRDefault="00C30D60">
      <w:pPr>
        <w:pStyle w:val="FootnoteText"/>
        <w:rPr>
          <w:lang w:val="lt-LT"/>
        </w:rPr>
      </w:pPr>
      <w:r>
        <w:rPr>
          <w:rStyle w:val="FootnoteReference"/>
        </w:rPr>
        <w:footnoteRef/>
      </w:r>
      <w:r>
        <w:t xml:space="preserve"> </w:t>
      </w:r>
      <w:r w:rsidRPr="00AC3973">
        <w:t>Tebėra, A., 2014 m. „Medienos kuro pasiūlos ir paklausos įvertinimas“</w:t>
      </w:r>
      <w:r>
        <w:t xml:space="preserve"> </w:t>
      </w:r>
    </w:p>
  </w:footnote>
  <w:footnote w:id="10">
    <w:p w14:paraId="56B1BE83" w14:textId="77777777" w:rsidR="00C30D60" w:rsidRDefault="00C30D60" w:rsidP="3BF41050">
      <w:r w:rsidRPr="3BF41050">
        <w:rPr>
          <w:rFonts w:eastAsia="Times New Roman"/>
          <w:sz w:val="20"/>
          <w:szCs w:val="20"/>
          <w:vertAlign w:val="superscript"/>
        </w:rPr>
        <w:footnoteRef/>
      </w:r>
      <w:r w:rsidRPr="3BF41050">
        <w:rPr>
          <w:rFonts w:eastAsia="Times New Roman"/>
          <w:sz w:val="20"/>
          <w:szCs w:val="20"/>
          <w:vertAlign w:val="superscript"/>
        </w:rPr>
        <w:t xml:space="preserve"> </w:t>
      </w:r>
      <w:r w:rsidRPr="3BF41050">
        <w:rPr>
          <w:rFonts w:eastAsia="Times New Roman"/>
          <w:sz w:val="20"/>
          <w:szCs w:val="20"/>
        </w:rPr>
        <w:t>STR 2.01.02:2016 „Design and Certification of Energy Performance of buildings “, adopted on 11 November 2016 by the Order No D1-754 of the Minister of Environment</w:t>
      </w:r>
    </w:p>
  </w:footnote>
  <w:footnote w:id="11">
    <w:p w14:paraId="0AB56E90" w14:textId="372B936B" w:rsidR="00C30D60" w:rsidRPr="008551B8" w:rsidRDefault="00C30D60">
      <w:pPr>
        <w:pStyle w:val="FootnoteText"/>
        <w:rPr>
          <w:lang w:val="lt-LT"/>
        </w:rPr>
      </w:pPr>
      <w:r>
        <w:rPr>
          <w:rStyle w:val="FootnoteReference"/>
        </w:rPr>
        <w:footnoteRef/>
      </w:r>
      <w:r>
        <w:t xml:space="preserve"> </w:t>
      </w:r>
      <w:hyperlink r:id="rId5" w:history="1">
        <w:r w:rsidRPr="00AE4954">
          <w:rPr>
            <w:rStyle w:val="Hyperlink"/>
          </w:rPr>
          <w:t>http://publications.jrc.ec.europa.eu/repository/bitstream/JRC101191/ldna27998enn.pdf</w:t>
        </w:r>
      </w:hyperlink>
      <w:r>
        <w:t xml:space="preserve"> </w:t>
      </w:r>
    </w:p>
  </w:footnote>
  <w:footnote w:id="12">
    <w:p w14:paraId="1D6AD899"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In accordance with Regulation (EU) No 347/2013 of the European Parliament and of the Council of 17 April 2013 on guidelines for trans-European energy infrastructure and repealing Decision No 1364/2006/EC and amending Regulations (EC) No 713/2009, (EC) No 714/2009 and (EC) No 715/2009 (OJ L 115, 25.4.2013, p. 39).</w:t>
      </w:r>
    </w:p>
  </w:footnote>
  <w:footnote w:id="13">
    <w:p w14:paraId="69816AAF" w14:textId="57D9F448" w:rsidR="00C30D60" w:rsidRPr="00B9596C" w:rsidRDefault="00C30D60">
      <w:pPr>
        <w:pStyle w:val="FootnoteText"/>
        <w:rPr>
          <w:lang w:val="lt-LT"/>
        </w:rPr>
      </w:pPr>
      <w:r>
        <w:rPr>
          <w:rStyle w:val="FootnoteReference"/>
        </w:rPr>
        <w:footnoteRef/>
      </w:r>
      <w:r>
        <w:t xml:space="preserve"> </w:t>
      </w:r>
      <w:hyperlink r:id="rId6" w:history="1">
        <w:r w:rsidRPr="00AE4954">
          <w:rPr>
            <w:rStyle w:val="Hyperlink"/>
          </w:rPr>
          <w:t>https://www.kn.lt/en/our-activities/lng-terminals/klaipeda-small-scale-lng-terminal/560</w:t>
        </w:r>
      </w:hyperlink>
      <w:r>
        <w:t xml:space="preserve"> </w:t>
      </w:r>
    </w:p>
  </w:footnote>
  <w:footnote w:id="14">
    <w:p w14:paraId="7924006E" w14:textId="4E76E6D9" w:rsidR="00C30D60" w:rsidRDefault="00C30D60">
      <w:r w:rsidRPr="46DF7FC9">
        <w:rPr>
          <w:rFonts w:eastAsia="Times New Roman"/>
          <w:sz w:val="20"/>
          <w:szCs w:val="20"/>
        </w:rPr>
        <w:footnoteRef/>
      </w:r>
      <w:r w:rsidRPr="46DF7FC9">
        <w:rPr>
          <w:rFonts w:eastAsia="Times New Roman"/>
          <w:sz w:val="20"/>
          <w:szCs w:val="20"/>
        </w:rPr>
        <w:t xml:space="preserve"> </w:t>
      </w:r>
      <w:hyperlink r:id="rId7">
        <w:r w:rsidRPr="46DF7FC9">
          <w:rPr>
            <w:rStyle w:val="Hyperlink"/>
            <w:rFonts w:eastAsia="Times New Roman"/>
            <w:sz w:val="20"/>
            <w:szCs w:val="20"/>
          </w:rPr>
          <w:t>https://ec.europa.eu/eurostat/web/microdata/european-union-statistics-on-income-and-living-conditions</w:t>
        </w:r>
      </w:hyperlink>
      <w:r w:rsidRPr="46DF7FC9">
        <w:rPr>
          <w:rFonts w:eastAsia="Times New Roman"/>
          <w:sz w:val="20"/>
          <w:szCs w:val="20"/>
        </w:rPr>
        <w:t xml:space="preserve"> </w:t>
      </w:r>
    </w:p>
  </w:footnote>
  <w:footnote w:id="15">
    <w:p w14:paraId="0614FCD4" w14:textId="4A090610" w:rsidR="00C30D60" w:rsidRDefault="00C30D60" w:rsidP="46DF7FC9">
      <w:r>
        <w:footnoteRef/>
      </w:r>
      <w:r>
        <w:t xml:space="preserve"> Source: </w:t>
      </w:r>
      <w:hyperlink r:id="rId8">
        <w:r w:rsidRPr="46DF7FC9">
          <w:rPr>
            <w:rStyle w:val="Hyperlink"/>
            <w:rFonts w:eastAsia="Times New Roman"/>
          </w:rPr>
          <w:t>www.energypoverty.eu</w:t>
        </w:r>
      </w:hyperlink>
      <w:r w:rsidRPr="46DF7FC9">
        <w:rPr>
          <w:rFonts w:eastAsia="Times New Roman"/>
        </w:rPr>
        <w:t xml:space="preserve"> </w:t>
      </w:r>
    </w:p>
  </w:footnote>
  <w:footnote w:id="16">
    <w:p w14:paraId="7C2D2703" w14:textId="11CC889E" w:rsidR="00C30D60" w:rsidRPr="00A836E0" w:rsidRDefault="00C30D60" w:rsidP="3BF41050">
      <w:pPr>
        <w:pStyle w:val="FootnoteText"/>
        <w:ind w:left="0" w:firstLine="0"/>
        <w:rPr>
          <w:lang w:val="lt-LT"/>
        </w:rPr>
      </w:pPr>
      <w:r w:rsidRPr="3BF41050">
        <w:rPr>
          <w:rStyle w:val="FootnoteReference"/>
          <w:rFonts w:eastAsia="Times New Roman"/>
        </w:rPr>
        <w:footnoteRef/>
      </w:r>
      <w:r w:rsidRPr="3BF41050">
        <w:rPr>
          <w:rFonts w:eastAsia="Times New Roman"/>
        </w:rPr>
        <w:t xml:space="preserve"> </w:t>
      </w:r>
      <w:r w:rsidRPr="3BF41050">
        <w:rPr>
          <w:rFonts w:eastAsia="Times New Roman"/>
          <w:noProof/>
          <w:lang w:val="en-US"/>
        </w:rPr>
        <w:t>By the request of the Ministry of Economy, the Ministry of Energy and the Ministry of Transport Communications a comprehensive feasibility study on the development of electric vehicles was carried out in 2012. The aim of the study was to investigate the need and possibilities of developing electric vehicles and related transport infrastructure in Lithuania, to evaluate its potential economic and environmental benefits, identify problems and obstacles, and, taking into account foreign experience, to provide recommendations for the development of electric vehicle transport and related transport infrastructure in Lithuania</w:t>
      </w:r>
    </w:p>
  </w:footnote>
  <w:footnote w:id="17">
    <w:p w14:paraId="3EBABA85" w14:textId="4E17E985" w:rsidR="00C30D60" w:rsidRPr="00DC2A94" w:rsidRDefault="00C30D60" w:rsidP="3BF41050">
      <w:pPr>
        <w:pStyle w:val="FootnoteText"/>
        <w:ind w:left="0" w:firstLine="0"/>
        <w:rPr>
          <w:lang w:val="lt-LT"/>
        </w:rPr>
      </w:pPr>
      <w:r w:rsidRPr="3BF41050">
        <w:rPr>
          <w:rStyle w:val="FootnoteReference"/>
          <w:rFonts w:eastAsia="Times New Roman"/>
        </w:rPr>
        <w:footnoteRef/>
      </w:r>
      <w:r w:rsidRPr="3BF41050">
        <w:rPr>
          <w:rFonts w:eastAsia="Times New Roman"/>
        </w:rPr>
        <w:t xml:space="preserve"> </w:t>
      </w:r>
      <w:hyperlink r:id="rId9" w:history="1">
        <w:r w:rsidRPr="3BF41050">
          <w:rPr>
            <w:rStyle w:val="Hyperlink"/>
            <w:rFonts w:eastAsia="Times New Roman"/>
          </w:rPr>
          <w:t>https://sumin.lrv.lt/lt/administracine-informacija/nacionaline-susisiekimo-pletros-2014-2022-metu-programa</w:t>
        </w:r>
      </w:hyperlink>
      <w:r w:rsidRPr="3BF41050">
        <w:rPr>
          <w:rFonts w:eastAsia="Times New Roman"/>
        </w:rPr>
        <w:t xml:space="preserve"> </w:t>
      </w:r>
    </w:p>
  </w:footnote>
  <w:footnote w:id="18">
    <w:p w14:paraId="004509A1" w14:textId="40995DAB" w:rsidR="00C30D60" w:rsidRPr="00CF7A19" w:rsidRDefault="00C30D60" w:rsidP="3BF41050">
      <w:pPr>
        <w:pStyle w:val="FootnoteText"/>
        <w:ind w:left="0" w:firstLine="0"/>
        <w:rPr>
          <w:lang w:val="lt-LT"/>
        </w:rPr>
      </w:pPr>
      <w:r w:rsidRPr="3BF41050">
        <w:rPr>
          <w:rStyle w:val="FootnoteReference"/>
          <w:rFonts w:eastAsia="Times New Roman"/>
        </w:rPr>
        <w:footnoteRef/>
      </w:r>
      <w:r w:rsidRPr="3BF41050">
        <w:rPr>
          <w:rFonts w:eastAsia="Times New Roman"/>
        </w:rPr>
        <w:t xml:space="preserve"> </w:t>
      </w:r>
      <w:r w:rsidRPr="3BF41050">
        <w:rPr>
          <w:rFonts w:eastAsia="Times New Roman"/>
          <w:i/>
          <w:iCs/>
        </w:rPr>
        <w:t>Source:</w:t>
      </w:r>
      <w:r w:rsidRPr="3BF41050">
        <w:rPr>
          <w:rFonts w:eastAsia="Times New Roman"/>
        </w:rPr>
        <w:t xml:space="preserve"> </w:t>
      </w:r>
      <w:hyperlink r:id="rId10">
        <w:r w:rsidRPr="3BF41050">
          <w:rPr>
            <w:rStyle w:val="Hyperlink"/>
            <w:rFonts w:eastAsia="Times New Roman"/>
          </w:rPr>
          <w:t>http://www.am.lt/VI/files/File/Klimato%20kaita/studija%202030.pdf</w:t>
        </w:r>
      </w:hyperlink>
    </w:p>
  </w:footnote>
  <w:footnote w:id="19">
    <w:p w14:paraId="05C14032" w14:textId="6B60E916" w:rsidR="00C30D60" w:rsidRPr="00CE3BBF" w:rsidRDefault="00C30D60" w:rsidP="00C20D5A">
      <w:pPr>
        <w:pStyle w:val="FootnoteText"/>
        <w:ind w:left="0" w:firstLine="0"/>
      </w:pPr>
      <w:r w:rsidRPr="3BF41050">
        <w:rPr>
          <w:rStyle w:val="FootnoteReference"/>
          <w:rFonts w:eastAsia="Times New Roman"/>
        </w:rPr>
        <w:footnoteRef/>
      </w:r>
      <w:r w:rsidRPr="3BF41050">
        <w:rPr>
          <w:rFonts w:eastAsia="Times New Roman"/>
        </w:rPr>
        <w:t xml:space="preserve">When planning those measures, Member States shall take into account the end of life of </w:t>
      </w:r>
      <w:r>
        <w:rPr>
          <w:rFonts w:eastAsia="Times New Roman"/>
        </w:rPr>
        <w:t xml:space="preserve">the </w:t>
      </w:r>
      <w:r w:rsidRPr="3BF41050">
        <w:rPr>
          <w:rFonts w:eastAsia="Times New Roman"/>
        </w:rPr>
        <w:t>existing installations and the potential for repowering.</w:t>
      </w:r>
    </w:p>
  </w:footnote>
  <w:footnote w:id="20">
    <w:p w14:paraId="291A339B" w14:textId="6304F1E8" w:rsidR="00C30D60" w:rsidRPr="00626132" w:rsidRDefault="00C30D60">
      <w:pPr>
        <w:pStyle w:val="FootnoteText"/>
        <w:rPr>
          <w:lang w:val="lt-LT"/>
        </w:rPr>
      </w:pPr>
      <w:r>
        <w:rPr>
          <w:rStyle w:val="FootnoteReference"/>
        </w:rPr>
        <w:footnoteRef/>
      </w:r>
      <w:r>
        <w:t xml:space="preserve"> </w:t>
      </w:r>
      <w:hyperlink r:id="rId11" w:history="1">
        <w:r w:rsidRPr="003A6327">
          <w:rPr>
            <w:rStyle w:val="Hyperlink"/>
            <w:rFonts w:eastAsia="Times New Roman"/>
            <w:noProof/>
            <w:lang w:val="en-US"/>
          </w:rPr>
          <w:t>http://www.krea.lt/images/angle180/klimato-kaita-gaires-savivaldybems.pdf</w:t>
        </w:r>
      </w:hyperlink>
      <w:r>
        <w:rPr>
          <w:rFonts w:eastAsia="Times New Roman"/>
          <w:noProof/>
          <w:lang w:val="en-US"/>
        </w:rPr>
        <w:t xml:space="preserve"> </w:t>
      </w:r>
    </w:p>
  </w:footnote>
  <w:footnote w:id="21">
    <w:p w14:paraId="044F446C" w14:textId="5770F54D" w:rsidR="00C30D60" w:rsidRPr="00492A80" w:rsidRDefault="00C30D60">
      <w:pPr>
        <w:pStyle w:val="FootnoteText"/>
        <w:rPr>
          <w:lang w:val="lt-LT"/>
        </w:rPr>
      </w:pPr>
      <w:r>
        <w:rPr>
          <w:rStyle w:val="FootnoteReference"/>
        </w:rPr>
        <w:footnoteRef/>
      </w:r>
      <w:r>
        <w:t xml:space="preserve"> </w:t>
      </w:r>
      <w:hyperlink r:id="rId12" w:history="1">
        <w:r w:rsidRPr="003A6327">
          <w:rPr>
            <w:rStyle w:val="Hyperlink"/>
          </w:rPr>
          <w:t>http://www.am.lt/VI/files/0.801697001448351965.pdf</w:t>
        </w:r>
      </w:hyperlink>
      <w:r>
        <w:t xml:space="preserve"> </w:t>
      </w:r>
    </w:p>
  </w:footnote>
  <w:footnote w:id="22">
    <w:p w14:paraId="34DF505F"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In accordance with Article 2a of Directive 2010/31/EU.</w:t>
      </w:r>
    </w:p>
  </w:footnote>
  <w:footnote w:id="23">
    <w:p w14:paraId="761B1A0F"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In accordance with Article 18 of Directive 2012/27/EU.</w:t>
      </w:r>
    </w:p>
  </w:footnote>
  <w:footnote w:id="24">
    <w:p w14:paraId="08C3B195"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In accordance with Article 8 of Directive 2012/27/EU.</w:t>
      </w:r>
    </w:p>
  </w:footnote>
  <w:footnote w:id="25">
    <w:p w14:paraId="5680459E"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In accordance with Articles 12 and 17 of Directive 2012/27/EU</w:t>
      </w:r>
    </w:p>
  </w:footnote>
  <w:footnote w:id="26">
    <w:p w14:paraId="11FBA9D9"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In accordance with Article 19 of Directive 2012/27/EU.</w:t>
      </w:r>
    </w:p>
  </w:footnote>
  <w:footnote w:id="27">
    <w:p w14:paraId="7EAFAF70"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In accordance with Article 15(2) of Directive 2012/27/EU.</w:t>
      </w:r>
    </w:p>
  </w:footnote>
  <w:footnote w:id="28">
    <w:p w14:paraId="1FD36772"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Policies and measures shall reflect the energy efficiency first principle.</w:t>
      </w:r>
    </w:p>
  </w:footnote>
  <w:footnote w:id="29">
    <w:p w14:paraId="0C3437CA"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Consistency shall be ensured with the preventive action and emergency plans under Regulation (EU) 2017/1938 of the European Parliament and of the Council of 25 October 2017 concerning measures to safeguard the security of gas supply and repealing Regulation (EU) No 994/2010 (OJ L 280, 28.10.2017, p. 1) as well as the risk preparedness plans under Regulation (EU) 2018/... [as proposed by COM(2016) 862 on risk-preparedness in the electricity sector and repealing Directive 2005/89/EC].</w:t>
      </w:r>
    </w:p>
  </w:footnote>
  <w:footnote w:id="30">
    <w:p w14:paraId="5CE8224E"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Policies and measures shall reflect the energy efficiency first principle.</w:t>
      </w:r>
    </w:p>
  </w:footnote>
  <w:footnote w:id="31">
    <w:p w14:paraId="5078E8E5"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Other than the PCI Regional Groups established under Regulation (EU) No 347/2013.</w:t>
      </w:r>
    </w:p>
  </w:footnote>
  <w:footnote w:id="32">
    <w:p w14:paraId="19BC4035"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Other than the PCI Regional Groups established under Regulation (EU) No 347/2013.</w:t>
      </w:r>
    </w:p>
  </w:footnote>
  <w:footnote w:id="33">
    <w:p w14:paraId="52BFD7B4" w14:textId="32A99DFC" w:rsidR="00C30D60" w:rsidRPr="002A7635" w:rsidRDefault="00C30D60">
      <w:pPr>
        <w:pStyle w:val="FootnoteText"/>
        <w:rPr>
          <w:lang w:val="lt-LT"/>
        </w:rPr>
      </w:pPr>
      <w:r>
        <w:rPr>
          <w:rStyle w:val="FootnoteReference"/>
        </w:rPr>
        <w:footnoteRef/>
      </w:r>
      <w:r>
        <w:t xml:space="preserve"> </w:t>
      </w:r>
      <w:hyperlink r:id="rId13" w:history="1">
        <w:r w:rsidRPr="00660FFE">
          <w:rPr>
            <w:rStyle w:val="Hyperlink"/>
            <w:rFonts w:eastAsia="Times New Roman"/>
            <w:lang w:val="en-US"/>
          </w:rPr>
          <w:t>http://www.vkekk.lt/en/Pages/national-decisions.aspx</w:t>
        </w:r>
      </w:hyperlink>
      <w:r>
        <w:rPr>
          <w:rFonts w:eastAsia="Times New Roman"/>
          <w:lang w:val="en-US"/>
        </w:rPr>
        <w:t xml:space="preserve"> </w:t>
      </w:r>
    </w:p>
  </w:footnote>
  <w:footnote w:id="34">
    <w:p w14:paraId="3FE0BE0D"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In accordance with Article 15(8) of Directive 2012/27/EU.</w:t>
      </w:r>
    </w:p>
  </w:footnote>
  <w:footnote w:id="35">
    <w:p w14:paraId="55AE67D6"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Current situation shall reflect the date of submission of the national plan (or latest available date). Existing policies and measures encompass implemented and adopted policies and measures. Adopted policies and measures are those for which an official government decision has been made by the date of submission of the national plan and there is a clear commitment to proceed with implementation. Implemented policies and measures are those for which one or more of the following applies at the date of submission of the national plan or progress report: directly applicable European legislation or national legislation is in force, one or more voluntary agreements have been established, financial resources have been allocated, human resources have been mobilised.</w:t>
      </w:r>
    </w:p>
  </w:footnote>
  <w:footnote w:id="36">
    <w:p w14:paraId="1ED26D23"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The selection of exogenous factors may be based on the assumptions made in the EU Reference Scenario 2016 or other subsequent policy scenarios for the same variables. Besides, Member States specific results of the EU Reference Scenario 2016 as well as results of subsequent policy scenarios may also be a useful source of information when developing national projections with existing policies and measures and impact assessments.</w:t>
      </w:r>
    </w:p>
  </w:footnote>
  <w:footnote w:id="37">
    <w:p w14:paraId="089C0BC3" w14:textId="646ED093" w:rsidR="00C30D60" w:rsidRPr="00CF241F" w:rsidRDefault="00C30D60" w:rsidP="3BF41050">
      <w:pPr>
        <w:spacing w:before="0" w:after="0"/>
        <w:rPr>
          <w:rFonts w:eastAsia="Calibri"/>
          <w:noProof/>
          <w:color w:val="0563C1"/>
          <w:sz w:val="20"/>
          <w:szCs w:val="20"/>
          <w:u w:val="single"/>
        </w:rPr>
      </w:pPr>
      <w:r w:rsidRPr="3BF41050">
        <w:rPr>
          <w:rStyle w:val="FootnoteReference"/>
          <w:rFonts w:eastAsia="Times New Roman"/>
          <w:sz w:val="20"/>
          <w:szCs w:val="20"/>
        </w:rPr>
        <w:footnoteRef/>
      </w:r>
      <w:r w:rsidRPr="3BF41050">
        <w:rPr>
          <w:rFonts w:eastAsia="Times New Roman"/>
          <w:sz w:val="20"/>
          <w:szCs w:val="20"/>
        </w:rPr>
        <w:t xml:space="preserve"> Source: </w:t>
      </w:r>
      <w:hyperlink r:id="rId14" w:history="1">
        <w:r w:rsidRPr="3BF41050">
          <w:rPr>
            <w:rFonts w:eastAsia="Times New Roman"/>
            <w:noProof/>
            <w:color w:val="0563C1"/>
            <w:sz w:val="20"/>
            <w:szCs w:val="20"/>
            <w:u w:val="single"/>
          </w:rPr>
          <w:t>http://ec.europa.eu/transport/sites/transport/files/media/publications/doc/trends-to-2050-update-2013.pdf</w:t>
        </w:r>
      </w:hyperlink>
      <w:r w:rsidRPr="3BF41050">
        <w:rPr>
          <w:rFonts w:eastAsia="Times New Roman"/>
          <w:noProof/>
          <w:color w:val="0563C1"/>
          <w:sz w:val="20"/>
          <w:szCs w:val="20"/>
          <w:u w:val="single"/>
        </w:rPr>
        <w:t xml:space="preserve"> </w:t>
      </w:r>
    </w:p>
  </w:footnote>
  <w:footnote w:id="38">
    <w:p w14:paraId="1A288B44" w14:textId="77777777" w:rsidR="00C30D60" w:rsidRPr="00CF241F" w:rsidRDefault="00C30D60" w:rsidP="3BF41050">
      <w:pPr>
        <w:spacing w:before="0" w:after="0"/>
        <w:rPr>
          <w:rFonts w:eastAsia="Calibri"/>
          <w:noProof/>
          <w:color w:val="0563C1"/>
          <w:sz w:val="20"/>
          <w:szCs w:val="20"/>
          <w:u w:val="single"/>
        </w:rPr>
      </w:pPr>
      <w:r w:rsidRPr="3BF41050">
        <w:rPr>
          <w:rFonts w:eastAsia="Times New Roman"/>
          <w:noProof/>
          <w:sz w:val="20"/>
          <w:szCs w:val="20"/>
          <w:vertAlign w:val="superscript"/>
        </w:rPr>
        <w:footnoteRef/>
      </w:r>
      <w:r w:rsidRPr="3BF41050">
        <w:rPr>
          <w:rFonts w:eastAsia="Times New Roman"/>
          <w:noProof/>
          <w:sz w:val="20"/>
          <w:szCs w:val="20"/>
        </w:rPr>
        <w:t xml:space="preserve"> Source:</w:t>
      </w:r>
      <w:r w:rsidRPr="3BF41050">
        <w:rPr>
          <w:rFonts w:eastAsia="Times New Roman"/>
          <w:noProof/>
          <w:sz w:val="20"/>
          <w:szCs w:val="20"/>
          <w:u w:val="single"/>
        </w:rPr>
        <w:t xml:space="preserve"> </w:t>
      </w:r>
      <w:hyperlink r:id="rId15" w:history="1">
        <w:r w:rsidRPr="3BF41050">
          <w:rPr>
            <w:rFonts w:eastAsia="Times New Roman"/>
            <w:color w:val="0563C1"/>
            <w:sz w:val="20"/>
            <w:szCs w:val="20"/>
          </w:rPr>
          <w:t>http://ec.europa.eu/transport/sites/transport/files/media/publications/doc/trends-to-2050-update-2013.pd</w:t>
        </w:r>
      </w:hyperlink>
      <w:r w:rsidRPr="3BF41050">
        <w:rPr>
          <w:rFonts w:eastAsia="Times New Roman"/>
          <w:color w:val="0563C1"/>
          <w:sz w:val="20"/>
          <w:szCs w:val="20"/>
        </w:rPr>
        <w:t>f</w:t>
      </w:r>
    </w:p>
  </w:footnote>
  <w:footnote w:id="39">
    <w:p w14:paraId="629C92FA" w14:textId="094CA227" w:rsidR="00C30D60" w:rsidRPr="00C551B1" w:rsidRDefault="00C30D60" w:rsidP="3BF41050">
      <w:pPr>
        <w:pStyle w:val="FootnoteText"/>
        <w:ind w:left="0" w:firstLine="0"/>
        <w:jc w:val="left"/>
        <w:rPr>
          <w:lang w:val="en-US"/>
        </w:rPr>
      </w:pPr>
      <w:r w:rsidRPr="3BF41050">
        <w:rPr>
          <w:rStyle w:val="FootnoteReference"/>
          <w:rFonts w:eastAsia="Times New Roman"/>
        </w:rPr>
        <w:footnoteRef/>
      </w:r>
      <w:r w:rsidRPr="3BF41050">
        <w:rPr>
          <w:rFonts w:eastAsia="Times New Roman"/>
        </w:rPr>
        <w:t xml:space="preserve"> Source: </w:t>
      </w:r>
      <w:hyperlink r:id="rId16" w:history="1">
        <w:r w:rsidRPr="3BF41050">
          <w:rPr>
            <w:rFonts w:eastAsia="Times New Roman"/>
            <w:color w:val="0563C1"/>
            <w:u w:val="single"/>
          </w:rPr>
          <w:t>http://www.am.lt/VI/files/File/Klimato%20kaita/Prognoziu%20ataskaitos/PaMs%20report%202017.pdf</w:t>
        </w:r>
      </w:hyperlink>
    </w:p>
  </w:footnote>
  <w:footnote w:id="40">
    <w:p w14:paraId="7F9BC824" w14:textId="7DA35DCC" w:rsidR="00C30D60" w:rsidRPr="00EC2C4D" w:rsidRDefault="00C30D60" w:rsidP="3BF41050">
      <w:pPr>
        <w:pStyle w:val="FootnoteText"/>
        <w:ind w:left="0" w:firstLine="0"/>
        <w:rPr>
          <w:lang w:val="lt-LT"/>
        </w:rPr>
      </w:pPr>
      <w:r w:rsidRPr="3BF41050">
        <w:rPr>
          <w:rStyle w:val="FootnoteReference"/>
          <w:rFonts w:eastAsia="Times New Roman"/>
        </w:rPr>
        <w:footnoteRef/>
      </w:r>
      <w:r w:rsidRPr="3BF41050">
        <w:rPr>
          <w:rFonts w:eastAsia="Times New Roman"/>
        </w:rPr>
        <w:t xml:space="preserve"> </w:t>
      </w:r>
      <w:hyperlink r:id="rId17" w:history="1">
        <w:r w:rsidRPr="3BF41050">
          <w:rPr>
            <w:rStyle w:val="Hyperlink"/>
            <w:rFonts w:eastAsia="Times New Roman"/>
          </w:rPr>
          <w:t>https://ec.europa.eu/energy/en/topics/renewable-energy/national-action-plans</w:t>
        </w:r>
      </w:hyperlink>
      <w:r w:rsidRPr="3BF41050">
        <w:rPr>
          <w:rFonts w:eastAsia="Times New Roman"/>
        </w:rPr>
        <w:t xml:space="preserve"> </w:t>
      </w:r>
    </w:p>
  </w:footnote>
  <w:footnote w:id="41">
    <w:p w14:paraId="0F400902" w14:textId="543F9D47" w:rsidR="00C30D60" w:rsidRPr="00EC2C4D" w:rsidRDefault="00C30D60" w:rsidP="3BF41050">
      <w:pPr>
        <w:pStyle w:val="FootnoteText"/>
        <w:ind w:left="0" w:firstLine="0"/>
        <w:rPr>
          <w:lang w:val="lt-LT"/>
        </w:rPr>
      </w:pPr>
      <w:r w:rsidRPr="3BF41050">
        <w:rPr>
          <w:rStyle w:val="FootnoteReference"/>
          <w:rFonts w:eastAsia="Times New Roman"/>
        </w:rPr>
        <w:footnoteRef/>
      </w:r>
      <w:r w:rsidRPr="3BF41050">
        <w:rPr>
          <w:rFonts w:eastAsia="Times New Roman"/>
        </w:rPr>
        <w:t xml:space="preserve"> </w:t>
      </w:r>
      <w:hyperlink r:id="rId18" w:history="1">
        <w:r w:rsidRPr="3BF41050">
          <w:rPr>
            <w:rStyle w:val="Hyperlink"/>
            <w:rFonts w:eastAsia="Times New Roman"/>
          </w:rPr>
          <w:t>https://ec.europa.eu/energy/en/topics/renewable-energy/national-action-plans</w:t>
        </w:r>
      </w:hyperlink>
      <w:r w:rsidRPr="3BF41050">
        <w:rPr>
          <w:rFonts w:eastAsia="Times New Roman"/>
        </w:rPr>
        <w:t xml:space="preserve"> </w:t>
      </w:r>
    </w:p>
  </w:footnote>
  <w:footnote w:id="42">
    <w:p w14:paraId="0B29E652" w14:textId="4CE8784F" w:rsidR="00C30D60" w:rsidRPr="00EC2C4D" w:rsidRDefault="00C30D60" w:rsidP="3BF41050">
      <w:pPr>
        <w:pStyle w:val="FootnoteText"/>
        <w:ind w:left="0" w:firstLine="0"/>
        <w:rPr>
          <w:lang w:val="lt-LT"/>
        </w:rPr>
      </w:pPr>
      <w:r w:rsidRPr="3BF41050">
        <w:rPr>
          <w:rStyle w:val="FootnoteReference"/>
          <w:rFonts w:eastAsia="Times New Roman"/>
        </w:rPr>
        <w:footnoteRef/>
      </w:r>
      <w:r w:rsidRPr="3BF41050">
        <w:rPr>
          <w:rStyle w:val="FootnoteReference"/>
          <w:rFonts w:eastAsia="Times New Roman"/>
        </w:rPr>
        <w:footnoteRef/>
      </w:r>
      <w:r w:rsidRPr="3BF41050">
        <w:rPr>
          <w:rFonts w:eastAsia="Times New Roman"/>
        </w:rPr>
        <w:t xml:space="preserve"> </w:t>
      </w:r>
      <w:hyperlink r:id="rId19" w:history="1">
        <w:r w:rsidRPr="3BF41050">
          <w:rPr>
            <w:rStyle w:val="Hyperlink"/>
            <w:rFonts w:eastAsia="Times New Roman"/>
          </w:rPr>
          <w:t>https://ec.europa.eu/energy/en/topics/renewable-energy/national-action-plans</w:t>
        </w:r>
      </w:hyperlink>
      <w:r w:rsidRPr="3BF41050">
        <w:rPr>
          <w:rFonts w:eastAsia="Times New Roman"/>
        </w:rPr>
        <w:t xml:space="preserve"> </w:t>
      </w:r>
    </w:p>
  </w:footnote>
  <w:footnote w:id="43">
    <w:p w14:paraId="14411DD3" w14:textId="0D85B925" w:rsidR="00C30D60" w:rsidRPr="00554E61" w:rsidRDefault="00C30D60">
      <w:pPr>
        <w:pStyle w:val="FootnoteText"/>
        <w:rPr>
          <w:lang w:val="en-US"/>
        </w:rPr>
      </w:pPr>
      <w:r>
        <w:rPr>
          <w:rStyle w:val="FootnoteReference"/>
        </w:rPr>
        <w:footnoteRef/>
      </w:r>
      <w:r>
        <w:t xml:space="preserve"> </w:t>
      </w:r>
      <w:r w:rsidRPr="00554E61">
        <w:t>Tebėra, A., 2014 m. „Medienos kuro pasiūlos ir paklausos įvertinimas“</w:t>
      </w:r>
    </w:p>
  </w:footnote>
  <w:footnote w:id="44">
    <w:p w14:paraId="09B19CE1"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In accordance with Article 14(1) of Directive 2012/27/EU.</w:t>
      </w:r>
    </w:p>
  </w:footnote>
  <w:footnote w:id="45">
    <w:p w14:paraId="7DDC09F3"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This reference business as usual projection shall be the basis for the 2030 final and primary energy consumption target which is described in 2.3 and conversion factors.</w:t>
      </w:r>
    </w:p>
  </w:footnote>
  <w:footnote w:id="46">
    <w:p w14:paraId="7D76A18A"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With reference to overviews of existing transmission infrastructure by Transmission System Operators (TSOs).</w:t>
      </w:r>
    </w:p>
  </w:footnote>
  <w:footnote w:id="47">
    <w:p w14:paraId="4B202B7C"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With reference to national network development plans and regional investment plans of TSOs.</w:t>
      </w:r>
    </w:p>
  </w:footnote>
  <w:footnote w:id="48">
    <w:p w14:paraId="2C3113BB"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With reference to overviews of existing transmission infrastructure by TSOs.</w:t>
      </w:r>
    </w:p>
  </w:footnote>
  <w:footnote w:id="49">
    <w:p w14:paraId="71CEC50C"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With reference to national network development plans and regional investment plans of TSOs.</w:t>
      </w:r>
    </w:p>
  </w:footnote>
  <w:footnote w:id="50">
    <w:p w14:paraId="2988655B" w14:textId="6A4CF600" w:rsidR="00C30D60" w:rsidRPr="00C3219E" w:rsidRDefault="00C30D60" w:rsidP="00EB6FF1">
      <w:pPr>
        <w:pStyle w:val="FootnoteText"/>
        <w:ind w:left="0" w:firstLine="0"/>
        <w:jc w:val="left"/>
        <w:rPr>
          <w:lang w:val="lt-LT"/>
        </w:rPr>
      </w:pPr>
      <w:r>
        <w:rPr>
          <w:rStyle w:val="FootnoteReference"/>
        </w:rPr>
        <w:footnoteRef/>
      </w:r>
      <w:r>
        <w:rPr>
          <w:rStyle w:val="Hyperlink"/>
          <w:lang w:val="lt-LT"/>
        </w:rPr>
        <w:t xml:space="preserve"> </w:t>
      </w:r>
      <w:hyperlink r:id="rId20" w:history="1">
        <w:r w:rsidRPr="003A6327">
          <w:rPr>
            <w:rStyle w:val="Hyperlink"/>
            <w:lang w:val="lt-LT"/>
          </w:rPr>
          <w:t>https://enmin.lrv.lt/uploads/enmin/documents/files/National_energy_independence_strategy_2018.pdf</w:t>
        </w:r>
      </w:hyperlink>
      <w:r>
        <w:rPr>
          <w:lang w:val="lt-LT"/>
        </w:rPr>
        <w:t xml:space="preserve"> </w:t>
      </w:r>
      <w:r>
        <w:t>[retrieved on 31.07.2018]</w:t>
      </w:r>
    </w:p>
  </w:footnote>
  <w:footnote w:id="51">
    <w:p w14:paraId="1ABB083F" w14:textId="64C716BE" w:rsidR="00C30D60" w:rsidRPr="00E76923" w:rsidRDefault="00C30D60" w:rsidP="006E0A0E">
      <w:pPr>
        <w:pStyle w:val="FootnoteText"/>
        <w:ind w:left="0" w:firstLine="0"/>
        <w:rPr>
          <w:lang w:val="lt-LT"/>
        </w:rPr>
      </w:pPr>
      <w:r>
        <w:rPr>
          <w:rStyle w:val="FootnoteReference"/>
        </w:rPr>
        <w:footnoteRef/>
      </w:r>
      <w:r>
        <w:t xml:space="preserve"> </w:t>
      </w:r>
      <w:r>
        <w:rPr>
          <w:lang w:val="lt-LT"/>
        </w:rPr>
        <w:t xml:space="preserve">VESK - </w:t>
      </w:r>
      <w:hyperlink r:id="rId21" w:history="1">
        <w:r w:rsidRPr="002E5628">
          <w:rPr>
            <w:rStyle w:val="Hyperlink"/>
            <w:lang w:val="lt-LT"/>
          </w:rPr>
          <w:t>http://maps.klaster.lt/klasterioaprasymas/vejo-energetikos-skatinimo-klasteris-vesk-paslaugos-keiciancios-kliento-materialiniu-gerybiu-savybes/</w:t>
        </w:r>
      </w:hyperlink>
      <w:r>
        <w:rPr>
          <w:lang w:val="lt-LT"/>
        </w:rPr>
        <w:t xml:space="preserve"> </w:t>
      </w:r>
      <w:r>
        <w:t>[retrieved on 31.10.2018]</w:t>
      </w:r>
    </w:p>
  </w:footnote>
  <w:footnote w:id="52">
    <w:p w14:paraId="28E20C0E" w14:textId="1A3F2170" w:rsidR="00C30D60" w:rsidRPr="00294DF5" w:rsidRDefault="00C30D60" w:rsidP="006E0A0E">
      <w:pPr>
        <w:pStyle w:val="FootnoteText"/>
        <w:ind w:left="0" w:firstLine="0"/>
        <w:rPr>
          <w:lang w:val="lt-LT"/>
        </w:rPr>
      </w:pPr>
      <w:r>
        <w:rPr>
          <w:rStyle w:val="FootnoteReference"/>
        </w:rPr>
        <w:footnoteRef/>
      </w:r>
      <w:r>
        <w:t xml:space="preserve"> </w:t>
      </w:r>
      <w:r>
        <w:rPr>
          <w:lang w:val="lt-LT"/>
        </w:rPr>
        <w:t xml:space="preserve">BJVK - </w:t>
      </w:r>
      <w:hyperlink r:id="rId22" w:history="1">
        <w:r w:rsidRPr="002E5628">
          <w:rPr>
            <w:rStyle w:val="Hyperlink"/>
            <w:lang w:val="lt-LT"/>
          </w:rPr>
          <w:t>http://maps.klaster.lt/klasterioaprasymas/bio-jegainiu-vystymo-klasteris-paslaugos-keiciancios-kliento-materialiniu-gerybiu-savybe/</w:t>
        </w:r>
      </w:hyperlink>
      <w:r>
        <w:rPr>
          <w:lang w:val="lt-LT"/>
        </w:rPr>
        <w:t xml:space="preserve"> </w:t>
      </w:r>
      <w:r>
        <w:t>[retrieved on 31.10.2018]</w:t>
      </w:r>
    </w:p>
  </w:footnote>
  <w:footnote w:id="53">
    <w:p w14:paraId="0E034075" w14:textId="7A31CAE3" w:rsidR="00C30D60" w:rsidRPr="00093F6D" w:rsidRDefault="00C30D60" w:rsidP="006E0A0E">
      <w:pPr>
        <w:pStyle w:val="FootnoteText"/>
        <w:ind w:left="0" w:firstLine="0"/>
        <w:rPr>
          <w:lang w:val="en-US"/>
        </w:rPr>
      </w:pPr>
      <w:r>
        <w:rPr>
          <w:rStyle w:val="FootnoteReference"/>
        </w:rPr>
        <w:footnoteRef/>
      </w:r>
      <w:r>
        <w:t xml:space="preserve"> </w:t>
      </w:r>
      <w:r>
        <w:rPr>
          <w:lang w:val="lt-LT"/>
        </w:rPr>
        <w:t xml:space="preserve">Smart </w:t>
      </w:r>
      <w:r>
        <w:rPr>
          <w:lang w:val="en-US"/>
        </w:rPr>
        <w:t xml:space="preserve">&amp; Green City Cluster - </w:t>
      </w:r>
      <w:hyperlink r:id="rId23" w:history="1">
        <w:r w:rsidRPr="002E5628">
          <w:rPr>
            <w:rStyle w:val="Hyperlink"/>
            <w:lang w:val="en-US"/>
          </w:rPr>
          <w:t>http://maps.klaster.lt/klasterioaprasymas/ismaniojo-zalio-miesto-klasteris-informacines-paslaugos/</w:t>
        </w:r>
      </w:hyperlink>
      <w:r>
        <w:rPr>
          <w:lang w:val="en-US"/>
        </w:rPr>
        <w:t xml:space="preserve"> </w:t>
      </w:r>
      <w:r>
        <w:t>[retrieved on 31.10.2018]</w:t>
      </w:r>
    </w:p>
  </w:footnote>
  <w:footnote w:id="54">
    <w:p w14:paraId="2C681D5A" w14:textId="1836D906" w:rsidR="00C30D60" w:rsidRPr="00CB5A60" w:rsidRDefault="00C30D60" w:rsidP="006E0A0E">
      <w:pPr>
        <w:pStyle w:val="FootnoteText"/>
        <w:ind w:left="0" w:firstLine="0"/>
        <w:rPr>
          <w:lang w:val="en-US"/>
        </w:rPr>
      </w:pPr>
      <w:r>
        <w:rPr>
          <w:rStyle w:val="FootnoteReference"/>
        </w:rPr>
        <w:footnoteRef/>
      </w:r>
      <w:r>
        <w:t xml:space="preserve"> </w:t>
      </w:r>
      <w:r w:rsidRPr="00CB5A60">
        <w:t xml:space="preserve">Photovoltaic Technology cluster </w:t>
      </w:r>
      <w:r>
        <w:t xml:space="preserve">- </w:t>
      </w:r>
      <w:hyperlink r:id="rId24" w:history="1">
        <w:r w:rsidRPr="002E5628">
          <w:rPr>
            <w:rStyle w:val="Hyperlink"/>
          </w:rPr>
          <w:t>http://maps.klaster.lt/klasterioaprasymas/fotoelektros-technologiju-klasteris-elektronikos-pramone/</w:t>
        </w:r>
      </w:hyperlink>
      <w:r>
        <w:t xml:space="preserve"> [retrieved on 31.10.2018] </w:t>
      </w:r>
    </w:p>
  </w:footnote>
  <w:footnote w:id="55">
    <w:p w14:paraId="4EB71F13" w14:textId="1B3284A1" w:rsidR="00C30D60" w:rsidRPr="0050138B" w:rsidRDefault="00C30D60" w:rsidP="007F771A">
      <w:pPr>
        <w:pStyle w:val="FootnoteText"/>
        <w:ind w:left="0" w:firstLine="0"/>
        <w:rPr>
          <w:lang w:val="lt-LT"/>
        </w:rPr>
      </w:pPr>
      <w:r>
        <w:rPr>
          <w:rStyle w:val="FootnoteReference"/>
        </w:rPr>
        <w:footnoteRef/>
      </w:r>
      <w:r>
        <w:t xml:space="preserve"> </w:t>
      </w:r>
      <w:r w:rsidRPr="0050138B">
        <w:t>Decision-Aiding Evaluation of Public Infrastructure for Electric Vehicles in Cities and Resorts of Lithuania</w:t>
      </w:r>
      <w:r>
        <w:t xml:space="preserve"> </w:t>
      </w:r>
      <w:hyperlink r:id="rId25" w:history="1">
        <w:r w:rsidRPr="002E5628">
          <w:rPr>
            <w:rStyle w:val="Hyperlink"/>
          </w:rPr>
          <w:t>https://www.mdpi.com/2071-1050/10/4/904</w:t>
        </w:r>
      </w:hyperlink>
      <w:r>
        <w:t xml:space="preserve"> [retrieved on 31.10.2018]</w:t>
      </w:r>
    </w:p>
  </w:footnote>
  <w:footnote w:id="56">
    <w:p w14:paraId="3BFE94D9" w14:textId="2932420F" w:rsidR="00C30D60" w:rsidRPr="00A11CA7" w:rsidRDefault="00C30D60" w:rsidP="007F771A">
      <w:pPr>
        <w:pStyle w:val="FootnoteText"/>
        <w:ind w:left="0" w:firstLine="0"/>
        <w:rPr>
          <w:lang w:val="lt-LT"/>
        </w:rPr>
      </w:pPr>
      <w:r>
        <w:rPr>
          <w:rStyle w:val="FootnoteReference"/>
        </w:rPr>
        <w:footnoteRef/>
      </w:r>
      <w:r>
        <w:t xml:space="preserve"> </w:t>
      </w:r>
      <w:r>
        <w:rPr>
          <w:lang w:val="lt-LT"/>
        </w:rPr>
        <w:t xml:space="preserve">Regitra data online - </w:t>
      </w:r>
      <w:hyperlink r:id="rId26" w:history="1">
        <w:r w:rsidRPr="002E5628">
          <w:rPr>
            <w:rStyle w:val="Hyperlink"/>
            <w:lang w:val="lt-LT"/>
          </w:rPr>
          <w:t>https://regitra.lt/lt/paslaugos-ir-veikla/duomenu-teikimas/statistika/transporto-priemones-2?filesyear=2018&amp;filesquery</w:t>
        </w:r>
      </w:hyperlink>
      <w:r w:rsidRPr="006A1060">
        <w:rPr>
          <w:lang w:val="lt-LT"/>
        </w:rPr>
        <w:t>=</w:t>
      </w:r>
      <w:r>
        <w:rPr>
          <w:lang w:val="lt-LT"/>
        </w:rPr>
        <w:t xml:space="preserve"> </w:t>
      </w:r>
      <w:r>
        <w:t>[retrieved on 31.10.2018]</w:t>
      </w:r>
    </w:p>
  </w:footnote>
  <w:footnote w:id="57">
    <w:p w14:paraId="4C6F240F" w14:textId="121613FD" w:rsidR="00C30D60" w:rsidRPr="002B3F20" w:rsidRDefault="00C30D60" w:rsidP="007F771A">
      <w:pPr>
        <w:pStyle w:val="FootnoteText"/>
        <w:ind w:left="0" w:firstLine="0"/>
        <w:rPr>
          <w:lang w:val="en-US"/>
        </w:rPr>
      </w:pPr>
      <w:r>
        <w:rPr>
          <w:rStyle w:val="FootnoteReference"/>
        </w:rPr>
        <w:footnoteRef/>
      </w:r>
      <w:r>
        <w:t xml:space="preserve">EV charging stations map - </w:t>
      </w:r>
      <w:hyperlink r:id="rId27" w:history="1">
        <w:r w:rsidRPr="002E5628">
          <w:rPr>
            <w:rStyle w:val="Hyperlink"/>
          </w:rPr>
          <w:t>http://www.elektromobilis.org/dokumentai/krovimo-stoteli-em-lapis/</w:t>
        </w:r>
      </w:hyperlink>
      <w:r>
        <w:t xml:space="preserve"> [retrieved on 31.10.2017]</w:t>
      </w:r>
    </w:p>
  </w:footnote>
  <w:footnote w:id="58">
    <w:p w14:paraId="74675BE4" w14:textId="5F2AD52E" w:rsidR="00C30D60" w:rsidRPr="006D3168" w:rsidRDefault="00C30D60">
      <w:pPr>
        <w:pStyle w:val="FootnoteText"/>
        <w:rPr>
          <w:lang w:val="lt-LT"/>
        </w:rPr>
      </w:pPr>
      <w:r>
        <w:rPr>
          <w:rStyle w:val="FootnoteReference"/>
        </w:rPr>
        <w:footnoteRef/>
      </w:r>
      <w:r>
        <w:t xml:space="preserve"> </w:t>
      </w:r>
      <w:r w:rsidRPr="00FB25E8">
        <w:t>Research and Development Activities in Lithuania 2015</w:t>
      </w:r>
      <w:r>
        <w:t xml:space="preserve"> - </w:t>
      </w:r>
      <w:hyperlink r:id="rId28" w:history="1">
        <w:r w:rsidRPr="002E5628">
          <w:rPr>
            <w:rStyle w:val="Hyperlink"/>
          </w:rPr>
          <w:t>https://osp.stat.gov.lt/en/informaciniai-pranesimai?articleId=4740809</w:t>
        </w:r>
      </w:hyperlink>
      <w:r>
        <w:t xml:space="preserve"> [retrieved on 31.10.2017]</w:t>
      </w:r>
    </w:p>
  </w:footnote>
  <w:footnote w:id="59">
    <w:p w14:paraId="6BF5186B" w14:textId="77777777" w:rsidR="00C30D60" w:rsidRPr="00BD0CEA" w:rsidRDefault="00C30D60" w:rsidP="002C2205">
      <w:pPr>
        <w:pStyle w:val="FootnoteText"/>
        <w:ind w:left="0" w:firstLine="0"/>
        <w:rPr>
          <w:lang w:val="lt-LT"/>
        </w:rPr>
      </w:pPr>
      <w:r>
        <w:rPr>
          <w:rStyle w:val="FootnoteReference"/>
        </w:rPr>
        <w:footnoteRef/>
      </w:r>
      <w:r>
        <w:t xml:space="preserve"> </w:t>
      </w:r>
      <w:r w:rsidRPr="00D36DE5">
        <w:rPr>
          <w:rStyle w:val="Hyperlink"/>
        </w:rPr>
        <w:t>https://acer.europa.eu/Official_documents/Acts_of_the_Agency/Publication/MMR%202017%20-%20RETAIL.pdf</w:t>
      </w:r>
    </w:p>
  </w:footnote>
  <w:footnote w:id="60">
    <w:p w14:paraId="1885EE50" w14:textId="77777777" w:rsidR="00C30D60" w:rsidRPr="008A7D89" w:rsidRDefault="00C30D60" w:rsidP="00AB3103">
      <w:pPr>
        <w:pStyle w:val="FootnoteText"/>
        <w:rPr>
          <w:lang w:val="lt-LT"/>
        </w:rPr>
      </w:pPr>
      <w:r>
        <w:rPr>
          <w:rStyle w:val="FootnoteReference"/>
        </w:rPr>
        <w:footnoteRef/>
      </w:r>
      <w:r>
        <w:t xml:space="preserve"> </w:t>
      </w:r>
      <w:r>
        <w:rPr>
          <w:lang w:val="lt-LT"/>
        </w:rPr>
        <w:t xml:space="preserve">Electricity price statistics - </w:t>
      </w:r>
      <w:hyperlink r:id="rId29" w:history="1">
        <w:r w:rsidRPr="002E5628">
          <w:rPr>
            <w:rStyle w:val="Hyperlink"/>
            <w:lang w:val="lt-LT"/>
          </w:rPr>
          <w:t>https://ec.europa.eu/eurostat/statistics-explained/index.php/Electricity_price_statistics</w:t>
        </w:r>
      </w:hyperlink>
      <w:r>
        <w:rPr>
          <w:lang w:val="lt-LT"/>
        </w:rPr>
        <w:t xml:space="preserve"> </w:t>
      </w:r>
      <w:r>
        <w:t>[retrieved on 31.10.2018]</w:t>
      </w:r>
    </w:p>
  </w:footnote>
  <w:footnote w:id="61">
    <w:p w14:paraId="5B5A4F0D" w14:textId="79C55D45" w:rsidR="00C30D60" w:rsidRPr="004635B0" w:rsidRDefault="00C30D60">
      <w:pPr>
        <w:pStyle w:val="FootnoteText"/>
        <w:rPr>
          <w:lang w:val="en-US"/>
        </w:rPr>
      </w:pPr>
      <w:r>
        <w:rPr>
          <w:rStyle w:val="FootnoteReference"/>
        </w:rPr>
        <w:footnoteRef/>
      </w:r>
      <w:r>
        <w:t xml:space="preserve"> </w:t>
      </w:r>
      <w:r>
        <w:rPr>
          <w:lang w:val="en-US"/>
        </w:rPr>
        <w:t>N</w:t>
      </w:r>
      <w:r w:rsidRPr="00335CC3">
        <w:rPr>
          <w:lang w:val="en-US"/>
        </w:rPr>
        <w:t xml:space="preserve">ational </w:t>
      </w:r>
      <w:r>
        <w:rPr>
          <w:lang w:val="en-US"/>
        </w:rPr>
        <w:t>C</w:t>
      </w:r>
      <w:r w:rsidRPr="00335CC3">
        <w:rPr>
          <w:lang w:val="en-US"/>
        </w:rPr>
        <w:t xml:space="preserve">ommission for </w:t>
      </w:r>
      <w:r>
        <w:rPr>
          <w:lang w:val="en-US"/>
        </w:rPr>
        <w:t>E</w:t>
      </w:r>
      <w:r w:rsidRPr="00335CC3">
        <w:rPr>
          <w:lang w:val="en-US"/>
        </w:rPr>
        <w:t xml:space="preserve">nergy </w:t>
      </w:r>
      <w:r>
        <w:rPr>
          <w:lang w:val="en-US"/>
        </w:rPr>
        <w:t>C</w:t>
      </w:r>
      <w:r w:rsidRPr="00335CC3">
        <w:rPr>
          <w:lang w:val="en-US"/>
        </w:rPr>
        <w:t xml:space="preserve">ontrol and </w:t>
      </w:r>
      <w:r>
        <w:rPr>
          <w:lang w:val="en-US"/>
        </w:rPr>
        <w:t>P</w:t>
      </w:r>
      <w:r w:rsidRPr="00335CC3">
        <w:rPr>
          <w:lang w:val="en-US"/>
        </w:rPr>
        <w:t>rices</w:t>
      </w:r>
      <w:r>
        <w:rPr>
          <w:lang w:val="en-US"/>
        </w:rPr>
        <w:t xml:space="preserve"> - </w:t>
      </w:r>
      <w:hyperlink r:id="rId30" w:history="1">
        <w:r w:rsidRPr="002E5628">
          <w:rPr>
            <w:rStyle w:val="Hyperlink"/>
            <w:lang w:val="en-US"/>
          </w:rPr>
          <w:t>http://www.regula.lt/SiteAssets/naujienu-medziaga/2017/2017-rugpjutis/Annual%20Report%20for%20EC%20on%20Lithuanian%20gas%20and%20electricity%20markets_NCC_2017.pdf</w:t>
        </w:r>
      </w:hyperlink>
      <w:r>
        <w:rPr>
          <w:lang w:val="en-US"/>
        </w:rPr>
        <w:t xml:space="preserve"> </w:t>
      </w:r>
      <w:r>
        <w:t>[retrieved on 26.10.2018]</w:t>
      </w:r>
    </w:p>
  </w:footnote>
  <w:footnote w:id="62">
    <w:p w14:paraId="40F6CD1B" w14:textId="77777777" w:rsidR="00C30D60" w:rsidRDefault="00C30D60" w:rsidP="005A2429">
      <w:pPr>
        <w:pStyle w:val="FootnoteText"/>
      </w:pPr>
      <w:r>
        <w:rPr>
          <w:rStyle w:val="FootnoteReference"/>
        </w:rPr>
        <w:footnoteRef/>
      </w:r>
      <w:r>
        <w:t xml:space="preserve"> </w:t>
      </w:r>
    </w:p>
    <w:p w14:paraId="4E2C6DDF" w14:textId="451E5950" w:rsidR="00C30D60" w:rsidRPr="00B46BD9" w:rsidRDefault="00C30D60" w:rsidP="005A2429">
      <w:pPr>
        <w:pStyle w:val="FootnoteText"/>
        <w:rPr>
          <w:lang w:val="lt-LT"/>
        </w:rPr>
      </w:pPr>
      <w:r>
        <w:t xml:space="preserve">Country profile - European Environment Agency - </w:t>
      </w:r>
      <w:hyperlink r:id="rId31" w:history="1">
        <w:r w:rsidRPr="002E5628">
          <w:rPr>
            <w:rStyle w:val="Hyperlink"/>
          </w:rPr>
          <w:t>https://www.eea.europa.eu/publications/energy-support/lithuania-country-profile</w:t>
        </w:r>
      </w:hyperlink>
      <w:r>
        <w:t xml:space="preserve"> [retrieved on 31.10.2017]</w:t>
      </w:r>
    </w:p>
  </w:footnote>
  <w:footnote w:id="63">
    <w:p w14:paraId="778E1BA4" w14:textId="6C5BAF34" w:rsidR="00C30D60" w:rsidRPr="00522DF0" w:rsidRDefault="00C30D60">
      <w:pPr>
        <w:pStyle w:val="FootnoteText"/>
        <w:rPr>
          <w:lang w:val="en-US"/>
        </w:rPr>
      </w:pPr>
      <w:r>
        <w:rPr>
          <w:rStyle w:val="FootnoteReference"/>
        </w:rPr>
        <w:footnoteRef/>
      </w:r>
      <w:r>
        <w:t xml:space="preserve"> </w:t>
      </w:r>
      <w:r>
        <w:rPr>
          <w:lang w:val="en-US"/>
        </w:rPr>
        <w:t xml:space="preserve">RES legal: Lithuania - </w:t>
      </w:r>
      <w:hyperlink r:id="rId32" w:history="1">
        <w:r w:rsidRPr="002E5628">
          <w:rPr>
            <w:rStyle w:val="Hyperlink"/>
            <w:lang w:val="en-US"/>
          </w:rPr>
          <w:t>http://www.res-legal.eu/search-by-country/lithuania/single/s/res-e/t/promotion/aid/subsidy-leif/lastp/159/</w:t>
        </w:r>
      </w:hyperlink>
      <w:r>
        <w:rPr>
          <w:lang w:val="en-US"/>
        </w:rPr>
        <w:t xml:space="preserve"> </w:t>
      </w:r>
      <w:r>
        <w:t>[retrieved on 29.10.2018]</w:t>
      </w:r>
    </w:p>
  </w:footnote>
  <w:footnote w:id="64">
    <w:p w14:paraId="246A4E94" w14:textId="77777777" w:rsidR="00C30D60" w:rsidRPr="00CE3BBF" w:rsidRDefault="00C30D60" w:rsidP="3BF41050">
      <w:pPr>
        <w:pStyle w:val="FootnoteText"/>
        <w:ind w:left="0" w:firstLine="0"/>
        <w:jc w:val="left"/>
      </w:pPr>
      <w:r w:rsidRPr="3BF41050">
        <w:rPr>
          <w:rStyle w:val="FootnoteReference"/>
          <w:rFonts w:eastAsia="Times New Roman"/>
        </w:rPr>
        <w:footnoteRef/>
      </w:r>
      <w:r w:rsidRPr="00CE3BBF">
        <w:tab/>
      </w:r>
      <w:r w:rsidRPr="3BF41050">
        <w:rPr>
          <w:rFonts w:eastAsia="Times New Roman"/>
        </w:rPr>
        <w:t>Planned policies and measures are options under discussion and having a realistic chance of being adopted and implemented after the date of submission of the national plan. The resulting projections under section 5.1.i shall therefore include not only implemented and adopted policies and measures (projections with existing policies and measures), but also planned policies and measures.</w:t>
      </w:r>
    </w:p>
  </w:footnote>
  <w:footnote w:id="65">
    <w:p w14:paraId="1EB354F3" w14:textId="6D6CEC52" w:rsidR="00C30D60" w:rsidRPr="007C03E9" w:rsidRDefault="00C30D60" w:rsidP="00733C51">
      <w:pPr>
        <w:pStyle w:val="FootnoteText"/>
        <w:ind w:left="0" w:firstLine="0"/>
        <w:rPr>
          <w:lang w:val="lt-LT"/>
        </w:rPr>
      </w:pPr>
      <w:r>
        <w:rPr>
          <w:rStyle w:val="FootnoteReference"/>
        </w:rPr>
        <w:footnoteRef/>
      </w:r>
      <w:r>
        <w:t xml:space="preserve"> </w:t>
      </w:r>
      <w:hyperlink r:id="rId33" w:history="1">
        <w:r w:rsidRPr="00660FFE">
          <w:rPr>
            <w:rStyle w:val="Hyperlink"/>
          </w:rPr>
          <w:t>http://am.lrv.lt/uploads/am/documents/files/%C5%A0ESD%20apskaitos%20ir%20kt%20ataskaitos/7th%20National%20Communication.pdf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786A8" w14:textId="2F0F0292" w:rsidR="00C30D60" w:rsidRDefault="00C30D60" w:rsidP="006A62D8">
    <w:pPr>
      <w:pStyle w:val="Header"/>
      <w:jc w:val="right"/>
    </w:pPr>
    <w:r>
      <w:t>Draft version 20.11.2018</w:t>
    </w:r>
  </w:p>
  <w:p w14:paraId="43144CB4" w14:textId="144CE988" w:rsidR="00C30D60" w:rsidRDefault="00C30D60" w:rsidP="1F6C9C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F3CDD" w14:textId="444B14D0" w:rsidR="00C30D60" w:rsidRDefault="00C30D60">
    <w:pPr>
      <w:pStyle w:val="Header"/>
    </w:pPr>
    <w:r>
      <w:t>Ministry of Energy</w:t>
    </w:r>
    <w:r>
      <w:tab/>
    </w:r>
    <w:r>
      <w:tab/>
      <w:t>20.11.2018</w:t>
    </w:r>
  </w:p>
  <w:p w14:paraId="210B9112" w14:textId="06126938" w:rsidR="00C30D60" w:rsidRDefault="00C30D60">
    <w:pPr>
      <w:pStyle w:val="Header"/>
    </w:pPr>
    <w:r>
      <w:t>Ministry of Environment</w:t>
    </w:r>
    <w:r>
      <w:tab/>
    </w:r>
    <w:r>
      <w:tab/>
      <w:t>Draft version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26EDA"/>
    <w:multiLevelType w:val="hybridMultilevel"/>
    <w:tmpl w:val="BDE47DAC"/>
    <w:lvl w:ilvl="0" w:tplc="979A712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45247"/>
    <w:multiLevelType w:val="hybridMultilevel"/>
    <w:tmpl w:val="55A65392"/>
    <w:lvl w:ilvl="0" w:tplc="FFFFFFFF">
      <w:start w:val="1"/>
      <w:numFmt w:val="decimal"/>
      <w:lvlText w:val="%1."/>
      <w:lvlJc w:val="left"/>
      <w:pPr>
        <w:tabs>
          <w:tab w:val="num" w:pos="360"/>
        </w:tabs>
        <w:ind w:left="360" w:hanging="360"/>
      </w:pPr>
    </w:lvl>
    <w:lvl w:ilvl="1" w:tplc="DA6861B0">
      <w:start w:val="2"/>
      <w:numFmt w:val="bullet"/>
      <w:lvlText w:val="-"/>
      <w:lvlJc w:val="left"/>
      <w:pPr>
        <w:ind w:left="1080" w:hanging="360"/>
      </w:pPr>
      <w:rPr>
        <w:rFonts w:ascii="Times New Roman" w:eastAsiaTheme="minorHAnsi" w:hAnsi="Times New Roman" w:cs="Times New Roman" w:hint="default"/>
      </w:rPr>
    </w:lvl>
    <w:lvl w:ilvl="2" w:tplc="3BB85FBE" w:tentative="1">
      <w:start w:val="1"/>
      <w:numFmt w:val="decimal"/>
      <w:lvlText w:val="%3."/>
      <w:lvlJc w:val="left"/>
      <w:pPr>
        <w:tabs>
          <w:tab w:val="num" w:pos="1800"/>
        </w:tabs>
        <w:ind w:left="1800" w:hanging="360"/>
      </w:pPr>
    </w:lvl>
    <w:lvl w:ilvl="3" w:tplc="73A883C6" w:tentative="1">
      <w:start w:val="1"/>
      <w:numFmt w:val="decimal"/>
      <w:lvlText w:val="%4."/>
      <w:lvlJc w:val="left"/>
      <w:pPr>
        <w:tabs>
          <w:tab w:val="num" w:pos="2520"/>
        </w:tabs>
        <w:ind w:left="2520" w:hanging="360"/>
      </w:pPr>
    </w:lvl>
    <w:lvl w:ilvl="4" w:tplc="B8227C9A" w:tentative="1">
      <w:start w:val="1"/>
      <w:numFmt w:val="decimal"/>
      <w:lvlText w:val="%5."/>
      <w:lvlJc w:val="left"/>
      <w:pPr>
        <w:tabs>
          <w:tab w:val="num" w:pos="3240"/>
        </w:tabs>
        <w:ind w:left="3240" w:hanging="360"/>
      </w:pPr>
    </w:lvl>
    <w:lvl w:ilvl="5" w:tplc="C42EB538" w:tentative="1">
      <w:start w:val="1"/>
      <w:numFmt w:val="decimal"/>
      <w:lvlText w:val="%6."/>
      <w:lvlJc w:val="left"/>
      <w:pPr>
        <w:tabs>
          <w:tab w:val="num" w:pos="3960"/>
        </w:tabs>
        <w:ind w:left="3960" w:hanging="360"/>
      </w:pPr>
    </w:lvl>
    <w:lvl w:ilvl="6" w:tplc="C1545AB8" w:tentative="1">
      <w:start w:val="1"/>
      <w:numFmt w:val="decimal"/>
      <w:lvlText w:val="%7."/>
      <w:lvlJc w:val="left"/>
      <w:pPr>
        <w:tabs>
          <w:tab w:val="num" w:pos="4680"/>
        </w:tabs>
        <w:ind w:left="4680" w:hanging="360"/>
      </w:pPr>
    </w:lvl>
    <w:lvl w:ilvl="7" w:tplc="A06E0E50" w:tentative="1">
      <w:start w:val="1"/>
      <w:numFmt w:val="decimal"/>
      <w:lvlText w:val="%8."/>
      <w:lvlJc w:val="left"/>
      <w:pPr>
        <w:tabs>
          <w:tab w:val="num" w:pos="5400"/>
        </w:tabs>
        <w:ind w:left="5400" w:hanging="360"/>
      </w:pPr>
    </w:lvl>
    <w:lvl w:ilvl="8" w:tplc="87100E0E" w:tentative="1">
      <w:start w:val="1"/>
      <w:numFmt w:val="decimal"/>
      <w:lvlText w:val="%9."/>
      <w:lvlJc w:val="left"/>
      <w:pPr>
        <w:tabs>
          <w:tab w:val="num" w:pos="6120"/>
        </w:tabs>
        <w:ind w:left="6120" w:hanging="360"/>
      </w:pPr>
    </w:lvl>
  </w:abstractNum>
  <w:abstractNum w:abstractNumId="2" w15:restartNumberingAfterBreak="0">
    <w:nsid w:val="01AB18D8"/>
    <w:multiLevelType w:val="hybridMultilevel"/>
    <w:tmpl w:val="7BB8D2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39685C"/>
    <w:multiLevelType w:val="hybridMultilevel"/>
    <w:tmpl w:val="246A7C82"/>
    <w:lvl w:ilvl="0" w:tplc="25F23822">
      <w:start w:val="1"/>
      <w:numFmt w:val="decimal"/>
      <w:lvlText w:val="%1."/>
      <w:lvlJc w:val="left"/>
      <w:pPr>
        <w:tabs>
          <w:tab w:val="num" w:pos="360"/>
        </w:tabs>
        <w:ind w:left="360" w:hanging="360"/>
      </w:pPr>
      <w:rPr>
        <w:rFonts w:ascii="Times New Roman" w:hAnsi="Times New Roman" w:cs="Times New Roman" w:hint="default"/>
      </w:rPr>
    </w:lvl>
    <w:lvl w:ilvl="1" w:tplc="41584AAE" w:tentative="1">
      <w:start w:val="1"/>
      <w:numFmt w:val="decimal"/>
      <w:lvlText w:val="%2."/>
      <w:lvlJc w:val="left"/>
      <w:pPr>
        <w:tabs>
          <w:tab w:val="num" w:pos="1080"/>
        </w:tabs>
        <w:ind w:left="1080" w:hanging="360"/>
      </w:pPr>
    </w:lvl>
    <w:lvl w:ilvl="2" w:tplc="8C6ECDBC" w:tentative="1">
      <w:start w:val="1"/>
      <w:numFmt w:val="decimal"/>
      <w:lvlText w:val="%3."/>
      <w:lvlJc w:val="left"/>
      <w:pPr>
        <w:tabs>
          <w:tab w:val="num" w:pos="1800"/>
        </w:tabs>
        <w:ind w:left="1800" w:hanging="360"/>
      </w:pPr>
    </w:lvl>
    <w:lvl w:ilvl="3" w:tplc="41A26C82" w:tentative="1">
      <w:start w:val="1"/>
      <w:numFmt w:val="decimal"/>
      <w:lvlText w:val="%4."/>
      <w:lvlJc w:val="left"/>
      <w:pPr>
        <w:tabs>
          <w:tab w:val="num" w:pos="2520"/>
        </w:tabs>
        <w:ind w:left="2520" w:hanging="360"/>
      </w:pPr>
    </w:lvl>
    <w:lvl w:ilvl="4" w:tplc="4418A4D6" w:tentative="1">
      <w:start w:val="1"/>
      <w:numFmt w:val="decimal"/>
      <w:lvlText w:val="%5."/>
      <w:lvlJc w:val="left"/>
      <w:pPr>
        <w:tabs>
          <w:tab w:val="num" w:pos="3240"/>
        </w:tabs>
        <w:ind w:left="3240" w:hanging="360"/>
      </w:pPr>
    </w:lvl>
    <w:lvl w:ilvl="5" w:tplc="4A96F37A" w:tentative="1">
      <w:start w:val="1"/>
      <w:numFmt w:val="decimal"/>
      <w:lvlText w:val="%6."/>
      <w:lvlJc w:val="left"/>
      <w:pPr>
        <w:tabs>
          <w:tab w:val="num" w:pos="3960"/>
        </w:tabs>
        <w:ind w:left="3960" w:hanging="360"/>
      </w:pPr>
    </w:lvl>
    <w:lvl w:ilvl="6" w:tplc="47D29EB6" w:tentative="1">
      <w:start w:val="1"/>
      <w:numFmt w:val="decimal"/>
      <w:lvlText w:val="%7."/>
      <w:lvlJc w:val="left"/>
      <w:pPr>
        <w:tabs>
          <w:tab w:val="num" w:pos="4680"/>
        </w:tabs>
        <w:ind w:left="4680" w:hanging="360"/>
      </w:pPr>
    </w:lvl>
    <w:lvl w:ilvl="7" w:tplc="3D2E8F86" w:tentative="1">
      <w:start w:val="1"/>
      <w:numFmt w:val="decimal"/>
      <w:lvlText w:val="%8."/>
      <w:lvlJc w:val="left"/>
      <w:pPr>
        <w:tabs>
          <w:tab w:val="num" w:pos="5400"/>
        </w:tabs>
        <w:ind w:left="5400" w:hanging="360"/>
      </w:pPr>
    </w:lvl>
    <w:lvl w:ilvl="8" w:tplc="9F4CAD26" w:tentative="1">
      <w:start w:val="1"/>
      <w:numFmt w:val="decimal"/>
      <w:lvlText w:val="%9."/>
      <w:lvlJc w:val="left"/>
      <w:pPr>
        <w:tabs>
          <w:tab w:val="num" w:pos="6120"/>
        </w:tabs>
        <w:ind w:left="6120" w:hanging="360"/>
      </w:pPr>
    </w:lvl>
  </w:abstractNum>
  <w:abstractNum w:abstractNumId="4" w15:restartNumberingAfterBreak="0">
    <w:nsid w:val="038238D2"/>
    <w:multiLevelType w:val="hybridMultilevel"/>
    <w:tmpl w:val="FE0CD178"/>
    <w:lvl w:ilvl="0" w:tplc="FFFFFFFF">
      <w:start w:val="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A9792E"/>
    <w:multiLevelType w:val="hybridMultilevel"/>
    <w:tmpl w:val="77A4347A"/>
    <w:lvl w:ilvl="0" w:tplc="DA6861B0">
      <w:start w:val="2"/>
      <w:numFmt w:val="bullet"/>
      <w:lvlText w:val="-"/>
      <w:lvlJc w:val="left"/>
      <w:pPr>
        <w:ind w:left="720" w:hanging="360"/>
      </w:pPr>
      <w:rPr>
        <w:rFonts w:ascii="Times New Roman" w:eastAsiaTheme="minorHAnsi" w:hAnsi="Times New Roman" w:cs="Times New Roman" w:hint="default"/>
      </w:rPr>
    </w:lvl>
    <w:lvl w:ilvl="1" w:tplc="DA6861B0">
      <w:start w:val="2"/>
      <w:numFmt w:val="bullet"/>
      <w:lvlText w:val="-"/>
      <w:lvlJc w:val="left"/>
      <w:pPr>
        <w:ind w:left="1440" w:hanging="360"/>
      </w:pPr>
      <w:rPr>
        <w:rFonts w:ascii="Times New Roman" w:eastAsiaTheme="minorHAnsi"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6134030"/>
    <w:multiLevelType w:val="hybridMultilevel"/>
    <w:tmpl w:val="65D86CA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70034BF"/>
    <w:multiLevelType w:val="hybridMultilevel"/>
    <w:tmpl w:val="7D7471AE"/>
    <w:lvl w:ilvl="0" w:tplc="DA6861B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4473B4"/>
    <w:multiLevelType w:val="hybridMultilevel"/>
    <w:tmpl w:val="372AA2C6"/>
    <w:lvl w:ilvl="0" w:tplc="FFFFFFFF">
      <w:start w:val="2"/>
      <w:numFmt w:val="bullet"/>
      <w:lvlText w:val="-"/>
      <w:lvlJc w:val="left"/>
      <w:pPr>
        <w:ind w:left="720" w:hanging="360"/>
      </w:pPr>
      <w:rPr>
        <w:rFonts w:ascii="Times New Roman" w:hAnsi="Times New Roman" w:hint="default"/>
      </w:rPr>
    </w:lvl>
    <w:lvl w:ilvl="1" w:tplc="AE6E62FA">
      <w:start w:val="1"/>
      <w:numFmt w:val="bullet"/>
      <w:lvlText w:val="o"/>
      <w:lvlJc w:val="left"/>
      <w:pPr>
        <w:ind w:left="1440" w:hanging="360"/>
      </w:pPr>
      <w:rPr>
        <w:rFonts w:ascii="Courier New" w:hAnsi="Courier New" w:hint="default"/>
      </w:rPr>
    </w:lvl>
    <w:lvl w:ilvl="2" w:tplc="8CBED49A">
      <w:start w:val="1"/>
      <w:numFmt w:val="bullet"/>
      <w:lvlText w:val=""/>
      <w:lvlJc w:val="left"/>
      <w:pPr>
        <w:ind w:left="2160" w:hanging="360"/>
      </w:pPr>
      <w:rPr>
        <w:rFonts w:ascii="Wingdings" w:hAnsi="Wingdings" w:hint="default"/>
      </w:rPr>
    </w:lvl>
    <w:lvl w:ilvl="3" w:tplc="B6BE1B82">
      <w:start w:val="1"/>
      <w:numFmt w:val="bullet"/>
      <w:lvlText w:val=""/>
      <w:lvlJc w:val="left"/>
      <w:pPr>
        <w:ind w:left="2880" w:hanging="360"/>
      </w:pPr>
      <w:rPr>
        <w:rFonts w:ascii="Symbol" w:hAnsi="Symbol" w:hint="default"/>
      </w:rPr>
    </w:lvl>
    <w:lvl w:ilvl="4" w:tplc="8CB45254">
      <w:start w:val="1"/>
      <w:numFmt w:val="bullet"/>
      <w:lvlText w:val="o"/>
      <w:lvlJc w:val="left"/>
      <w:pPr>
        <w:ind w:left="3600" w:hanging="360"/>
      </w:pPr>
      <w:rPr>
        <w:rFonts w:ascii="Courier New" w:hAnsi="Courier New" w:hint="default"/>
      </w:rPr>
    </w:lvl>
    <w:lvl w:ilvl="5" w:tplc="F0324404">
      <w:start w:val="1"/>
      <w:numFmt w:val="bullet"/>
      <w:lvlText w:val=""/>
      <w:lvlJc w:val="left"/>
      <w:pPr>
        <w:ind w:left="4320" w:hanging="360"/>
      </w:pPr>
      <w:rPr>
        <w:rFonts w:ascii="Wingdings" w:hAnsi="Wingdings" w:hint="default"/>
      </w:rPr>
    </w:lvl>
    <w:lvl w:ilvl="6" w:tplc="D5C2F3A0">
      <w:start w:val="1"/>
      <w:numFmt w:val="bullet"/>
      <w:lvlText w:val=""/>
      <w:lvlJc w:val="left"/>
      <w:pPr>
        <w:ind w:left="5040" w:hanging="360"/>
      </w:pPr>
      <w:rPr>
        <w:rFonts w:ascii="Symbol" w:hAnsi="Symbol" w:hint="default"/>
      </w:rPr>
    </w:lvl>
    <w:lvl w:ilvl="7" w:tplc="EC2A939A">
      <w:start w:val="1"/>
      <w:numFmt w:val="bullet"/>
      <w:lvlText w:val="o"/>
      <w:lvlJc w:val="left"/>
      <w:pPr>
        <w:ind w:left="5760" w:hanging="360"/>
      </w:pPr>
      <w:rPr>
        <w:rFonts w:ascii="Courier New" w:hAnsi="Courier New" w:hint="default"/>
      </w:rPr>
    </w:lvl>
    <w:lvl w:ilvl="8" w:tplc="FBDA69E6">
      <w:start w:val="1"/>
      <w:numFmt w:val="bullet"/>
      <w:lvlText w:val=""/>
      <w:lvlJc w:val="left"/>
      <w:pPr>
        <w:ind w:left="6480" w:hanging="360"/>
      </w:pPr>
      <w:rPr>
        <w:rFonts w:ascii="Wingdings" w:hAnsi="Wingdings" w:hint="default"/>
      </w:rPr>
    </w:lvl>
  </w:abstractNum>
  <w:abstractNum w:abstractNumId="9" w15:restartNumberingAfterBreak="0">
    <w:nsid w:val="07CD7F64"/>
    <w:multiLevelType w:val="hybridMultilevel"/>
    <w:tmpl w:val="8F1491D0"/>
    <w:lvl w:ilvl="0" w:tplc="FFFFFFFF">
      <w:start w:val="2"/>
      <w:numFmt w:val="bullet"/>
      <w:lvlText w:val="-"/>
      <w:lvlJc w:val="left"/>
      <w:pPr>
        <w:ind w:left="720" w:hanging="360"/>
      </w:pPr>
      <w:rPr>
        <w:rFonts w:ascii="Times New Roman" w:hAnsi="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83D488D"/>
    <w:multiLevelType w:val="multilevel"/>
    <w:tmpl w:val="721ABE7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Roman"/>
      <w:lvlText w:val="%4."/>
      <w:lvlJc w:val="right"/>
      <w:pPr>
        <w:ind w:left="1728" w:hanging="648"/>
      </w:pPr>
      <w:rPr>
        <w:rFonts w:hint="default"/>
        <w:b w:val="0"/>
        <w:i w:val="0"/>
        <w:sz w:val="22"/>
        <w:szCs w:val="22"/>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F086ACE"/>
    <w:multiLevelType w:val="hybridMultilevel"/>
    <w:tmpl w:val="5FE2C202"/>
    <w:lvl w:ilvl="0" w:tplc="4C5A7C7C">
      <w:start w:val="1"/>
      <w:numFmt w:val="decimal"/>
      <w:lvlText w:val="%1."/>
      <w:lvlJc w:val="left"/>
      <w:pPr>
        <w:tabs>
          <w:tab w:val="num" w:pos="360"/>
        </w:tabs>
        <w:ind w:left="360" w:hanging="360"/>
      </w:pPr>
    </w:lvl>
    <w:lvl w:ilvl="1" w:tplc="14CE9A8A" w:tentative="1">
      <w:start w:val="1"/>
      <w:numFmt w:val="decimal"/>
      <w:lvlText w:val="%2."/>
      <w:lvlJc w:val="left"/>
      <w:pPr>
        <w:tabs>
          <w:tab w:val="num" w:pos="1080"/>
        </w:tabs>
        <w:ind w:left="1080" w:hanging="360"/>
      </w:pPr>
    </w:lvl>
    <w:lvl w:ilvl="2" w:tplc="46023714" w:tentative="1">
      <w:start w:val="1"/>
      <w:numFmt w:val="decimal"/>
      <w:lvlText w:val="%3."/>
      <w:lvlJc w:val="left"/>
      <w:pPr>
        <w:tabs>
          <w:tab w:val="num" w:pos="1800"/>
        </w:tabs>
        <w:ind w:left="1800" w:hanging="360"/>
      </w:pPr>
    </w:lvl>
    <w:lvl w:ilvl="3" w:tplc="71007D54" w:tentative="1">
      <w:start w:val="1"/>
      <w:numFmt w:val="decimal"/>
      <w:lvlText w:val="%4."/>
      <w:lvlJc w:val="left"/>
      <w:pPr>
        <w:tabs>
          <w:tab w:val="num" w:pos="2520"/>
        </w:tabs>
        <w:ind w:left="2520" w:hanging="360"/>
      </w:pPr>
    </w:lvl>
    <w:lvl w:ilvl="4" w:tplc="5D6AFE54" w:tentative="1">
      <w:start w:val="1"/>
      <w:numFmt w:val="decimal"/>
      <w:lvlText w:val="%5."/>
      <w:lvlJc w:val="left"/>
      <w:pPr>
        <w:tabs>
          <w:tab w:val="num" w:pos="3240"/>
        </w:tabs>
        <w:ind w:left="3240" w:hanging="360"/>
      </w:pPr>
    </w:lvl>
    <w:lvl w:ilvl="5" w:tplc="A232D152" w:tentative="1">
      <w:start w:val="1"/>
      <w:numFmt w:val="decimal"/>
      <w:lvlText w:val="%6."/>
      <w:lvlJc w:val="left"/>
      <w:pPr>
        <w:tabs>
          <w:tab w:val="num" w:pos="3960"/>
        </w:tabs>
        <w:ind w:left="3960" w:hanging="360"/>
      </w:pPr>
    </w:lvl>
    <w:lvl w:ilvl="6" w:tplc="EA80DEFE" w:tentative="1">
      <w:start w:val="1"/>
      <w:numFmt w:val="decimal"/>
      <w:lvlText w:val="%7."/>
      <w:lvlJc w:val="left"/>
      <w:pPr>
        <w:tabs>
          <w:tab w:val="num" w:pos="4680"/>
        </w:tabs>
        <w:ind w:left="4680" w:hanging="360"/>
      </w:pPr>
    </w:lvl>
    <w:lvl w:ilvl="7" w:tplc="375081BE" w:tentative="1">
      <w:start w:val="1"/>
      <w:numFmt w:val="decimal"/>
      <w:lvlText w:val="%8."/>
      <w:lvlJc w:val="left"/>
      <w:pPr>
        <w:tabs>
          <w:tab w:val="num" w:pos="5400"/>
        </w:tabs>
        <w:ind w:left="5400" w:hanging="360"/>
      </w:pPr>
    </w:lvl>
    <w:lvl w:ilvl="8" w:tplc="EAEE581C" w:tentative="1">
      <w:start w:val="1"/>
      <w:numFmt w:val="decimal"/>
      <w:lvlText w:val="%9."/>
      <w:lvlJc w:val="left"/>
      <w:pPr>
        <w:tabs>
          <w:tab w:val="num" w:pos="6120"/>
        </w:tabs>
        <w:ind w:left="6120" w:hanging="360"/>
      </w:pPr>
    </w:lvl>
  </w:abstractNum>
  <w:abstractNum w:abstractNumId="12" w15:restartNumberingAfterBreak="0">
    <w:nsid w:val="104C59B1"/>
    <w:multiLevelType w:val="hybridMultilevel"/>
    <w:tmpl w:val="FFFFFFFF"/>
    <w:lvl w:ilvl="0" w:tplc="253A9BB8">
      <w:start w:val="1"/>
      <w:numFmt w:val="bullet"/>
      <w:lvlText w:val=""/>
      <w:lvlJc w:val="left"/>
      <w:pPr>
        <w:ind w:left="720" w:hanging="360"/>
      </w:pPr>
      <w:rPr>
        <w:rFonts w:ascii="Symbol" w:hAnsi="Symbol" w:hint="default"/>
      </w:rPr>
    </w:lvl>
    <w:lvl w:ilvl="1" w:tplc="5C64CDCE">
      <w:start w:val="1"/>
      <w:numFmt w:val="bullet"/>
      <w:lvlText w:val="o"/>
      <w:lvlJc w:val="left"/>
      <w:pPr>
        <w:ind w:left="1440" w:hanging="360"/>
      </w:pPr>
      <w:rPr>
        <w:rFonts w:ascii="Courier New" w:hAnsi="Courier New" w:hint="default"/>
      </w:rPr>
    </w:lvl>
    <w:lvl w:ilvl="2" w:tplc="EC12091C">
      <w:start w:val="1"/>
      <w:numFmt w:val="bullet"/>
      <w:lvlText w:val=""/>
      <w:lvlJc w:val="left"/>
      <w:pPr>
        <w:ind w:left="2160" w:hanging="360"/>
      </w:pPr>
      <w:rPr>
        <w:rFonts w:ascii="Wingdings" w:hAnsi="Wingdings" w:hint="default"/>
      </w:rPr>
    </w:lvl>
    <w:lvl w:ilvl="3" w:tplc="E3C0C64E">
      <w:start w:val="1"/>
      <w:numFmt w:val="bullet"/>
      <w:lvlText w:val=""/>
      <w:lvlJc w:val="left"/>
      <w:pPr>
        <w:ind w:left="2880" w:hanging="360"/>
      </w:pPr>
      <w:rPr>
        <w:rFonts w:ascii="Symbol" w:hAnsi="Symbol" w:hint="default"/>
      </w:rPr>
    </w:lvl>
    <w:lvl w:ilvl="4" w:tplc="17321B22">
      <w:start w:val="1"/>
      <w:numFmt w:val="bullet"/>
      <w:lvlText w:val="o"/>
      <w:lvlJc w:val="left"/>
      <w:pPr>
        <w:ind w:left="3600" w:hanging="360"/>
      </w:pPr>
      <w:rPr>
        <w:rFonts w:ascii="Courier New" w:hAnsi="Courier New" w:hint="default"/>
      </w:rPr>
    </w:lvl>
    <w:lvl w:ilvl="5" w:tplc="545E2D82">
      <w:start w:val="1"/>
      <w:numFmt w:val="bullet"/>
      <w:lvlText w:val=""/>
      <w:lvlJc w:val="left"/>
      <w:pPr>
        <w:ind w:left="4320" w:hanging="360"/>
      </w:pPr>
      <w:rPr>
        <w:rFonts w:ascii="Wingdings" w:hAnsi="Wingdings" w:hint="default"/>
      </w:rPr>
    </w:lvl>
    <w:lvl w:ilvl="6" w:tplc="1D0A5A6A">
      <w:start w:val="1"/>
      <w:numFmt w:val="bullet"/>
      <w:lvlText w:val=""/>
      <w:lvlJc w:val="left"/>
      <w:pPr>
        <w:ind w:left="5040" w:hanging="360"/>
      </w:pPr>
      <w:rPr>
        <w:rFonts w:ascii="Symbol" w:hAnsi="Symbol" w:hint="default"/>
      </w:rPr>
    </w:lvl>
    <w:lvl w:ilvl="7" w:tplc="02B897FA">
      <w:start w:val="1"/>
      <w:numFmt w:val="bullet"/>
      <w:lvlText w:val="o"/>
      <w:lvlJc w:val="left"/>
      <w:pPr>
        <w:ind w:left="5760" w:hanging="360"/>
      </w:pPr>
      <w:rPr>
        <w:rFonts w:ascii="Courier New" w:hAnsi="Courier New" w:hint="default"/>
      </w:rPr>
    </w:lvl>
    <w:lvl w:ilvl="8" w:tplc="EAFA3F28">
      <w:start w:val="1"/>
      <w:numFmt w:val="bullet"/>
      <w:lvlText w:val=""/>
      <w:lvlJc w:val="left"/>
      <w:pPr>
        <w:ind w:left="6480" w:hanging="360"/>
      </w:pPr>
      <w:rPr>
        <w:rFonts w:ascii="Wingdings" w:hAnsi="Wingdings" w:hint="default"/>
      </w:rPr>
    </w:lvl>
  </w:abstractNum>
  <w:abstractNum w:abstractNumId="13" w15:restartNumberingAfterBreak="0">
    <w:nsid w:val="139E598A"/>
    <w:multiLevelType w:val="hybridMultilevel"/>
    <w:tmpl w:val="CDF0286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45355C"/>
    <w:multiLevelType w:val="hybridMultilevel"/>
    <w:tmpl w:val="732E38B6"/>
    <w:lvl w:ilvl="0" w:tplc="58063E64">
      <w:start w:val="1"/>
      <w:numFmt w:val="bullet"/>
      <w:lvlText w:val=""/>
      <w:lvlJc w:val="left"/>
      <w:pPr>
        <w:ind w:left="720" w:hanging="360"/>
      </w:pPr>
      <w:rPr>
        <w:rFonts w:ascii="Symbol" w:hAnsi="Symbol" w:hint="default"/>
      </w:rPr>
    </w:lvl>
    <w:lvl w:ilvl="1" w:tplc="FFFFFFFF">
      <w:start w:val="2"/>
      <w:numFmt w:val="bullet"/>
      <w:lvlText w:val="-"/>
      <w:lvlJc w:val="left"/>
      <w:pPr>
        <w:ind w:left="1440" w:hanging="360"/>
      </w:pPr>
      <w:rPr>
        <w:rFonts w:ascii="Times New Roman" w:hAnsi="Times New Roman" w:hint="default"/>
      </w:rPr>
    </w:lvl>
    <w:lvl w:ilvl="2" w:tplc="8CB0D7EA">
      <w:start w:val="1"/>
      <w:numFmt w:val="bullet"/>
      <w:lvlText w:val=""/>
      <w:lvlJc w:val="left"/>
      <w:pPr>
        <w:ind w:left="2160" w:hanging="360"/>
      </w:pPr>
      <w:rPr>
        <w:rFonts w:ascii="Wingdings" w:hAnsi="Wingdings" w:hint="default"/>
      </w:rPr>
    </w:lvl>
    <w:lvl w:ilvl="3" w:tplc="E7FE8774">
      <w:start w:val="1"/>
      <w:numFmt w:val="bullet"/>
      <w:lvlText w:val=""/>
      <w:lvlJc w:val="left"/>
      <w:pPr>
        <w:ind w:left="2880" w:hanging="360"/>
      </w:pPr>
      <w:rPr>
        <w:rFonts w:ascii="Symbol" w:hAnsi="Symbol" w:hint="default"/>
      </w:rPr>
    </w:lvl>
    <w:lvl w:ilvl="4" w:tplc="1034DC28">
      <w:start w:val="1"/>
      <w:numFmt w:val="bullet"/>
      <w:lvlText w:val="o"/>
      <w:lvlJc w:val="left"/>
      <w:pPr>
        <w:ind w:left="3600" w:hanging="360"/>
      </w:pPr>
      <w:rPr>
        <w:rFonts w:ascii="Courier New" w:hAnsi="Courier New" w:hint="default"/>
      </w:rPr>
    </w:lvl>
    <w:lvl w:ilvl="5" w:tplc="8C6A370A">
      <w:start w:val="1"/>
      <w:numFmt w:val="bullet"/>
      <w:lvlText w:val=""/>
      <w:lvlJc w:val="left"/>
      <w:pPr>
        <w:ind w:left="4320" w:hanging="360"/>
      </w:pPr>
      <w:rPr>
        <w:rFonts w:ascii="Wingdings" w:hAnsi="Wingdings" w:hint="default"/>
      </w:rPr>
    </w:lvl>
    <w:lvl w:ilvl="6" w:tplc="D9F4FF44">
      <w:start w:val="1"/>
      <w:numFmt w:val="bullet"/>
      <w:lvlText w:val=""/>
      <w:lvlJc w:val="left"/>
      <w:pPr>
        <w:ind w:left="5040" w:hanging="360"/>
      </w:pPr>
      <w:rPr>
        <w:rFonts w:ascii="Symbol" w:hAnsi="Symbol" w:hint="default"/>
      </w:rPr>
    </w:lvl>
    <w:lvl w:ilvl="7" w:tplc="7506FCEC">
      <w:start w:val="1"/>
      <w:numFmt w:val="bullet"/>
      <w:lvlText w:val="o"/>
      <w:lvlJc w:val="left"/>
      <w:pPr>
        <w:ind w:left="5760" w:hanging="360"/>
      </w:pPr>
      <w:rPr>
        <w:rFonts w:ascii="Courier New" w:hAnsi="Courier New" w:hint="default"/>
      </w:rPr>
    </w:lvl>
    <w:lvl w:ilvl="8" w:tplc="B1BC0B28">
      <w:start w:val="1"/>
      <w:numFmt w:val="bullet"/>
      <w:lvlText w:val=""/>
      <w:lvlJc w:val="left"/>
      <w:pPr>
        <w:ind w:left="6480" w:hanging="360"/>
      </w:pPr>
      <w:rPr>
        <w:rFonts w:ascii="Wingdings" w:hAnsi="Wingdings" w:hint="default"/>
      </w:rPr>
    </w:lvl>
  </w:abstractNum>
  <w:abstractNum w:abstractNumId="15" w15:restartNumberingAfterBreak="0">
    <w:nsid w:val="1FB35355"/>
    <w:multiLevelType w:val="hybridMultilevel"/>
    <w:tmpl w:val="FFFFFFFF"/>
    <w:lvl w:ilvl="0" w:tplc="37D2DDA2">
      <w:start w:val="1"/>
      <w:numFmt w:val="bullet"/>
      <w:lvlText w:val=""/>
      <w:lvlJc w:val="left"/>
      <w:pPr>
        <w:ind w:left="720" w:hanging="360"/>
      </w:pPr>
      <w:rPr>
        <w:rFonts w:ascii="Symbol" w:hAnsi="Symbol" w:hint="default"/>
      </w:rPr>
    </w:lvl>
    <w:lvl w:ilvl="1" w:tplc="14D8FD94">
      <w:start w:val="1"/>
      <w:numFmt w:val="bullet"/>
      <w:lvlText w:val="o"/>
      <w:lvlJc w:val="left"/>
      <w:pPr>
        <w:ind w:left="1440" w:hanging="360"/>
      </w:pPr>
      <w:rPr>
        <w:rFonts w:ascii="Courier New" w:hAnsi="Courier New" w:hint="default"/>
      </w:rPr>
    </w:lvl>
    <w:lvl w:ilvl="2" w:tplc="A760B9E2">
      <w:start w:val="1"/>
      <w:numFmt w:val="bullet"/>
      <w:lvlText w:val=""/>
      <w:lvlJc w:val="left"/>
      <w:pPr>
        <w:ind w:left="2160" w:hanging="360"/>
      </w:pPr>
      <w:rPr>
        <w:rFonts w:ascii="Wingdings" w:hAnsi="Wingdings" w:hint="default"/>
      </w:rPr>
    </w:lvl>
    <w:lvl w:ilvl="3" w:tplc="9092A370">
      <w:start w:val="1"/>
      <w:numFmt w:val="bullet"/>
      <w:lvlText w:val=""/>
      <w:lvlJc w:val="left"/>
      <w:pPr>
        <w:ind w:left="2880" w:hanging="360"/>
      </w:pPr>
      <w:rPr>
        <w:rFonts w:ascii="Symbol" w:hAnsi="Symbol" w:hint="default"/>
      </w:rPr>
    </w:lvl>
    <w:lvl w:ilvl="4" w:tplc="A246E8DC">
      <w:start w:val="1"/>
      <w:numFmt w:val="bullet"/>
      <w:lvlText w:val="o"/>
      <w:lvlJc w:val="left"/>
      <w:pPr>
        <w:ind w:left="3600" w:hanging="360"/>
      </w:pPr>
      <w:rPr>
        <w:rFonts w:ascii="Courier New" w:hAnsi="Courier New" w:hint="default"/>
      </w:rPr>
    </w:lvl>
    <w:lvl w:ilvl="5" w:tplc="D6DC62DE">
      <w:start w:val="1"/>
      <w:numFmt w:val="bullet"/>
      <w:lvlText w:val=""/>
      <w:lvlJc w:val="left"/>
      <w:pPr>
        <w:ind w:left="4320" w:hanging="360"/>
      </w:pPr>
      <w:rPr>
        <w:rFonts w:ascii="Wingdings" w:hAnsi="Wingdings" w:hint="default"/>
      </w:rPr>
    </w:lvl>
    <w:lvl w:ilvl="6" w:tplc="5630E2EE">
      <w:start w:val="1"/>
      <w:numFmt w:val="bullet"/>
      <w:lvlText w:val=""/>
      <w:lvlJc w:val="left"/>
      <w:pPr>
        <w:ind w:left="5040" w:hanging="360"/>
      </w:pPr>
      <w:rPr>
        <w:rFonts w:ascii="Symbol" w:hAnsi="Symbol" w:hint="default"/>
      </w:rPr>
    </w:lvl>
    <w:lvl w:ilvl="7" w:tplc="5DE81A36">
      <w:start w:val="1"/>
      <w:numFmt w:val="bullet"/>
      <w:lvlText w:val="o"/>
      <w:lvlJc w:val="left"/>
      <w:pPr>
        <w:ind w:left="5760" w:hanging="360"/>
      </w:pPr>
      <w:rPr>
        <w:rFonts w:ascii="Courier New" w:hAnsi="Courier New" w:hint="default"/>
      </w:rPr>
    </w:lvl>
    <w:lvl w:ilvl="8" w:tplc="F1D87012">
      <w:start w:val="1"/>
      <w:numFmt w:val="bullet"/>
      <w:lvlText w:val=""/>
      <w:lvlJc w:val="left"/>
      <w:pPr>
        <w:ind w:left="6480" w:hanging="360"/>
      </w:pPr>
      <w:rPr>
        <w:rFonts w:ascii="Wingdings" w:hAnsi="Wingdings" w:hint="default"/>
      </w:rPr>
    </w:lvl>
  </w:abstractNum>
  <w:abstractNum w:abstractNumId="16" w15:restartNumberingAfterBreak="0">
    <w:nsid w:val="2703610D"/>
    <w:multiLevelType w:val="hybridMultilevel"/>
    <w:tmpl w:val="15A2601A"/>
    <w:lvl w:ilvl="0" w:tplc="DA6861B0">
      <w:start w:val="2"/>
      <w:numFmt w:val="bullet"/>
      <w:lvlText w:val="-"/>
      <w:lvlJc w:val="left"/>
      <w:pPr>
        <w:ind w:left="1800" w:hanging="360"/>
      </w:pPr>
      <w:rPr>
        <w:rFonts w:ascii="Times New Roman" w:eastAsiaTheme="minorHAnsi" w:hAnsi="Times New Roman" w:cs="Times New Roman" w:hint="default"/>
      </w:rPr>
    </w:lvl>
    <w:lvl w:ilvl="1" w:tplc="FFFFFFFF">
      <w:start w:val="2"/>
      <w:numFmt w:val="bullet"/>
      <w:lvlText w:val="-"/>
      <w:lvlJc w:val="left"/>
      <w:pPr>
        <w:ind w:left="2520" w:hanging="360"/>
      </w:pPr>
      <w:rPr>
        <w:rFonts w:ascii="Times New Roman" w:hAnsi="Times New Roman" w:hint="default"/>
      </w:rPr>
    </w:lvl>
    <w:lvl w:ilvl="2" w:tplc="04270005" w:tentative="1">
      <w:start w:val="1"/>
      <w:numFmt w:val="bullet"/>
      <w:lvlText w:val=""/>
      <w:lvlJc w:val="left"/>
      <w:pPr>
        <w:ind w:left="3240" w:hanging="360"/>
      </w:pPr>
      <w:rPr>
        <w:rFonts w:ascii="Wingdings" w:hAnsi="Wingdings" w:hint="default"/>
      </w:rPr>
    </w:lvl>
    <w:lvl w:ilvl="3" w:tplc="04270001" w:tentative="1">
      <w:start w:val="1"/>
      <w:numFmt w:val="bullet"/>
      <w:lvlText w:val=""/>
      <w:lvlJc w:val="left"/>
      <w:pPr>
        <w:ind w:left="3960" w:hanging="360"/>
      </w:pPr>
      <w:rPr>
        <w:rFonts w:ascii="Symbol" w:hAnsi="Symbol" w:hint="default"/>
      </w:rPr>
    </w:lvl>
    <w:lvl w:ilvl="4" w:tplc="04270003" w:tentative="1">
      <w:start w:val="1"/>
      <w:numFmt w:val="bullet"/>
      <w:lvlText w:val="o"/>
      <w:lvlJc w:val="left"/>
      <w:pPr>
        <w:ind w:left="4680" w:hanging="360"/>
      </w:pPr>
      <w:rPr>
        <w:rFonts w:ascii="Courier New" w:hAnsi="Courier New" w:cs="Courier New" w:hint="default"/>
      </w:rPr>
    </w:lvl>
    <w:lvl w:ilvl="5" w:tplc="04270005" w:tentative="1">
      <w:start w:val="1"/>
      <w:numFmt w:val="bullet"/>
      <w:lvlText w:val=""/>
      <w:lvlJc w:val="left"/>
      <w:pPr>
        <w:ind w:left="5400" w:hanging="360"/>
      </w:pPr>
      <w:rPr>
        <w:rFonts w:ascii="Wingdings" w:hAnsi="Wingdings" w:hint="default"/>
      </w:rPr>
    </w:lvl>
    <w:lvl w:ilvl="6" w:tplc="04270001" w:tentative="1">
      <w:start w:val="1"/>
      <w:numFmt w:val="bullet"/>
      <w:lvlText w:val=""/>
      <w:lvlJc w:val="left"/>
      <w:pPr>
        <w:ind w:left="6120" w:hanging="360"/>
      </w:pPr>
      <w:rPr>
        <w:rFonts w:ascii="Symbol" w:hAnsi="Symbol" w:hint="default"/>
      </w:rPr>
    </w:lvl>
    <w:lvl w:ilvl="7" w:tplc="04270003" w:tentative="1">
      <w:start w:val="1"/>
      <w:numFmt w:val="bullet"/>
      <w:lvlText w:val="o"/>
      <w:lvlJc w:val="left"/>
      <w:pPr>
        <w:ind w:left="6840" w:hanging="360"/>
      </w:pPr>
      <w:rPr>
        <w:rFonts w:ascii="Courier New" w:hAnsi="Courier New" w:cs="Courier New" w:hint="default"/>
      </w:rPr>
    </w:lvl>
    <w:lvl w:ilvl="8" w:tplc="04270005" w:tentative="1">
      <w:start w:val="1"/>
      <w:numFmt w:val="bullet"/>
      <w:lvlText w:val=""/>
      <w:lvlJc w:val="left"/>
      <w:pPr>
        <w:ind w:left="7560" w:hanging="360"/>
      </w:pPr>
      <w:rPr>
        <w:rFonts w:ascii="Wingdings" w:hAnsi="Wingdings" w:hint="default"/>
      </w:rPr>
    </w:lvl>
  </w:abstractNum>
  <w:abstractNum w:abstractNumId="17" w15:restartNumberingAfterBreak="0">
    <w:nsid w:val="27BD24D1"/>
    <w:multiLevelType w:val="hybridMultilevel"/>
    <w:tmpl w:val="41747DAA"/>
    <w:lvl w:ilvl="0" w:tplc="FFFFFFFF">
      <w:start w:val="1"/>
      <w:numFmt w:val="decimal"/>
      <w:lvlText w:val="%1."/>
      <w:lvlJc w:val="left"/>
      <w:pPr>
        <w:tabs>
          <w:tab w:val="num" w:pos="360"/>
        </w:tabs>
        <w:ind w:left="360" w:hanging="360"/>
      </w:pPr>
      <w:rPr>
        <w:b w:val="0"/>
      </w:rPr>
    </w:lvl>
    <w:lvl w:ilvl="1" w:tplc="720EE0FA" w:tentative="1">
      <w:start w:val="1"/>
      <w:numFmt w:val="decimal"/>
      <w:lvlText w:val="%2."/>
      <w:lvlJc w:val="left"/>
      <w:pPr>
        <w:tabs>
          <w:tab w:val="num" w:pos="1080"/>
        </w:tabs>
        <w:ind w:left="1080" w:hanging="360"/>
      </w:pPr>
    </w:lvl>
    <w:lvl w:ilvl="2" w:tplc="9B96455A" w:tentative="1">
      <w:start w:val="1"/>
      <w:numFmt w:val="decimal"/>
      <w:lvlText w:val="%3."/>
      <w:lvlJc w:val="left"/>
      <w:pPr>
        <w:tabs>
          <w:tab w:val="num" w:pos="1800"/>
        </w:tabs>
        <w:ind w:left="1800" w:hanging="360"/>
      </w:pPr>
    </w:lvl>
    <w:lvl w:ilvl="3" w:tplc="252099F0" w:tentative="1">
      <w:start w:val="1"/>
      <w:numFmt w:val="decimal"/>
      <w:lvlText w:val="%4."/>
      <w:lvlJc w:val="left"/>
      <w:pPr>
        <w:tabs>
          <w:tab w:val="num" w:pos="2520"/>
        </w:tabs>
        <w:ind w:left="2520" w:hanging="360"/>
      </w:pPr>
    </w:lvl>
    <w:lvl w:ilvl="4" w:tplc="2E281DB6" w:tentative="1">
      <w:start w:val="1"/>
      <w:numFmt w:val="decimal"/>
      <w:lvlText w:val="%5."/>
      <w:lvlJc w:val="left"/>
      <w:pPr>
        <w:tabs>
          <w:tab w:val="num" w:pos="3240"/>
        </w:tabs>
        <w:ind w:left="3240" w:hanging="360"/>
      </w:pPr>
    </w:lvl>
    <w:lvl w:ilvl="5" w:tplc="2D384C18" w:tentative="1">
      <w:start w:val="1"/>
      <w:numFmt w:val="decimal"/>
      <w:lvlText w:val="%6."/>
      <w:lvlJc w:val="left"/>
      <w:pPr>
        <w:tabs>
          <w:tab w:val="num" w:pos="3960"/>
        </w:tabs>
        <w:ind w:left="3960" w:hanging="360"/>
      </w:pPr>
    </w:lvl>
    <w:lvl w:ilvl="6" w:tplc="C2DACF6A" w:tentative="1">
      <w:start w:val="1"/>
      <w:numFmt w:val="decimal"/>
      <w:lvlText w:val="%7."/>
      <w:lvlJc w:val="left"/>
      <w:pPr>
        <w:tabs>
          <w:tab w:val="num" w:pos="4680"/>
        </w:tabs>
        <w:ind w:left="4680" w:hanging="360"/>
      </w:pPr>
    </w:lvl>
    <w:lvl w:ilvl="7" w:tplc="8D9E7574" w:tentative="1">
      <w:start w:val="1"/>
      <w:numFmt w:val="decimal"/>
      <w:lvlText w:val="%8."/>
      <w:lvlJc w:val="left"/>
      <w:pPr>
        <w:tabs>
          <w:tab w:val="num" w:pos="5400"/>
        </w:tabs>
        <w:ind w:left="5400" w:hanging="360"/>
      </w:pPr>
    </w:lvl>
    <w:lvl w:ilvl="8" w:tplc="56CA1CE0" w:tentative="1">
      <w:start w:val="1"/>
      <w:numFmt w:val="decimal"/>
      <w:lvlText w:val="%9."/>
      <w:lvlJc w:val="left"/>
      <w:pPr>
        <w:tabs>
          <w:tab w:val="num" w:pos="6120"/>
        </w:tabs>
        <w:ind w:left="6120" w:hanging="360"/>
      </w:pPr>
    </w:lvl>
  </w:abstractNum>
  <w:abstractNum w:abstractNumId="18" w15:restartNumberingAfterBreak="0">
    <w:nsid w:val="2A4F63FA"/>
    <w:multiLevelType w:val="hybridMultilevel"/>
    <w:tmpl w:val="5770FB1C"/>
    <w:lvl w:ilvl="0" w:tplc="0427000F">
      <w:start w:val="1"/>
      <w:numFmt w:val="decimal"/>
      <w:lvlText w:val="%1."/>
      <w:lvlJc w:val="left"/>
      <w:pPr>
        <w:ind w:left="720" w:hanging="360"/>
      </w:pPr>
      <w:rPr>
        <w:rFonts w:eastAsia="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2A913A56"/>
    <w:multiLevelType w:val="hybridMultilevel"/>
    <w:tmpl w:val="69321F26"/>
    <w:lvl w:ilvl="0" w:tplc="FFFFFFFF">
      <w:start w:val="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EB3061"/>
    <w:multiLevelType w:val="hybridMultilevel"/>
    <w:tmpl w:val="FFFFFFFF"/>
    <w:lvl w:ilvl="0" w:tplc="4A422E74">
      <w:start w:val="1"/>
      <w:numFmt w:val="bullet"/>
      <w:lvlText w:val=""/>
      <w:lvlJc w:val="left"/>
      <w:pPr>
        <w:ind w:left="720" w:hanging="360"/>
      </w:pPr>
      <w:rPr>
        <w:rFonts w:ascii="Symbol" w:hAnsi="Symbol" w:hint="default"/>
      </w:rPr>
    </w:lvl>
    <w:lvl w:ilvl="1" w:tplc="A1C46040">
      <w:start w:val="1"/>
      <w:numFmt w:val="bullet"/>
      <w:lvlText w:val="o"/>
      <w:lvlJc w:val="left"/>
      <w:pPr>
        <w:ind w:left="1440" w:hanging="360"/>
      </w:pPr>
      <w:rPr>
        <w:rFonts w:ascii="Courier New" w:hAnsi="Courier New" w:hint="default"/>
      </w:rPr>
    </w:lvl>
    <w:lvl w:ilvl="2" w:tplc="16562A34">
      <w:start w:val="1"/>
      <w:numFmt w:val="bullet"/>
      <w:lvlText w:val=""/>
      <w:lvlJc w:val="left"/>
      <w:pPr>
        <w:ind w:left="2160" w:hanging="360"/>
      </w:pPr>
      <w:rPr>
        <w:rFonts w:ascii="Wingdings" w:hAnsi="Wingdings" w:hint="default"/>
      </w:rPr>
    </w:lvl>
    <w:lvl w:ilvl="3" w:tplc="9A5412A8">
      <w:start w:val="1"/>
      <w:numFmt w:val="bullet"/>
      <w:lvlText w:val=""/>
      <w:lvlJc w:val="left"/>
      <w:pPr>
        <w:ind w:left="2880" w:hanging="360"/>
      </w:pPr>
      <w:rPr>
        <w:rFonts w:ascii="Symbol" w:hAnsi="Symbol" w:hint="default"/>
      </w:rPr>
    </w:lvl>
    <w:lvl w:ilvl="4" w:tplc="0F54445E">
      <w:start w:val="1"/>
      <w:numFmt w:val="bullet"/>
      <w:lvlText w:val="o"/>
      <w:lvlJc w:val="left"/>
      <w:pPr>
        <w:ind w:left="3600" w:hanging="360"/>
      </w:pPr>
      <w:rPr>
        <w:rFonts w:ascii="Courier New" w:hAnsi="Courier New" w:hint="default"/>
      </w:rPr>
    </w:lvl>
    <w:lvl w:ilvl="5" w:tplc="5C4403BA">
      <w:start w:val="1"/>
      <w:numFmt w:val="bullet"/>
      <w:lvlText w:val=""/>
      <w:lvlJc w:val="left"/>
      <w:pPr>
        <w:ind w:left="4320" w:hanging="360"/>
      </w:pPr>
      <w:rPr>
        <w:rFonts w:ascii="Wingdings" w:hAnsi="Wingdings" w:hint="default"/>
      </w:rPr>
    </w:lvl>
    <w:lvl w:ilvl="6" w:tplc="6EFC4AD0">
      <w:start w:val="1"/>
      <w:numFmt w:val="bullet"/>
      <w:lvlText w:val=""/>
      <w:lvlJc w:val="left"/>
      <w:pPr>
        <w:ind w:left="5040" w:hanging="360"/>
      </w:pPr>
      <w:rPr>
        <w:rFonts w:ascii="Symbol" w:hAnsi="Symbol" w:hint="default"/>
      </w:rPr>
    </w:lvl>
    <w:lvl w:ilvl="7" w:tplc="9EDCE1A4">
      <w:start w:val="1"/>
      <w:numFmt w:val="bullet"/>
      <w:lvlText w:val="o"/>
      <w:lvlJc w:val="left"/>
      <w:pPr>
        <w:ind w:left="5760" w:hanging="360"/>
      </w:pPr>
      <w:rPr>
        <w:rFonts w:ascii="Courier New" w:hAnsi="Courier New" w:hint="default"/>
      </w:rPr>
    </w:lvl>
    <w:lvl w:ilvl="8" w:tplc="FF62D61C">
      <w:start w:val="1"/>
      <w:numFmt w:val="bullet"/>
      <w:lvlText w:val=""/>
      <w:lvlJc w:val="left"/>
      <w:pPr>
        <w:ind w:left="6480" w:hanging="360"/>
      </w:pPr>
      <w:rPr>
        <w:rFonts w:ascii="Wingdings" w:hAnsi="Wingdings" w:hint="default"/>
      </w:rPr>
    </w:lvl>
  </w:abstractNum>
  <w:abstractNum w:abstractNumId="21" w15:restartNumberingAfterBreak="0">
    <w:nsid w:val="2E2A490A"/>
    <w:multiLevelType w:val="hybridMultilevel"/>
    <w:tmpl w:val="863080BA"/>
    <w:lvl w:ilvl="0" w:tplc="FFFFFFFF">
      <w:start w:val="2"/>
      <w:numFmt w:val="bullet"/>
      <w:lvlText w:val="-"/>
      <w:lvlJc w:val="left"/>
      <w:pPr>
        <w:ind w:left="2448" w:hanging="360"/>
      </w:pPr>
      <w:rPr>
        <w:rFonts w:ascii="Times New Roman" w:hAnsi="Times New Roman" w:hint="default"/>
      </w:rPr>
    </w:lvl>
    <w:lvl w:ilvl="1" w:tplc="04270003" w:tentative="1">
      <w:start w:val="1"/>
      <w:numFmt w:val="bullet"/>
      <w:lvlText w:val="o"/>
      <w:lvlJc w:val="left"/>
      <w:pPr>
        <w:ind w:left="3168" w:hanging="360"/>
      </w:pPr>
      <w:rPr>
        <w:rFonts w:ascii="Courier New" w:hAnsi="Courier New" w:cs="Courier New" w:hint="default"/>
      </w:rPr>
    </w:lvl>
    <w:lvl w:ilvl="2" w:tplc="04270005" w:tentative="1">
      <w:start w:val="1"/>
      <w:numFmt w:val="bullet"/>
      <w:lvlText w:val=""/>
      <w:lvlJc w:val="left"/>
      <w:pPr>
        <w:ind w:left="3888" w:hanging="360"/>
      </w:pPr>
      <w:rPr>
        <w:rFonts w:ascii="Wingdings" w:hAnsi="Wingdings" w:hint="default"/>
      </w:rPr>
    </w:lvl>
    <w:lvl w:ilvl="3" w:tplc="04270001" w:tentative="1">
      <w:start w:val="1"/>
      <w:numFmt w:val="bullet"/>
      <w:lvlText w:val=""/>
      <w:lvlJc w:val="left"/>
      <w:pPr>
        <w:ind w:left="4608" w:hanging="360"/>
      </w:pPr>
      <w:rPr>
        <w:rFonts w:ascii="Symbol" w:hAnsi="Symbol" w:hint="default"/>
      </w:rPr>
    </w:lvl>
    <w:lvl w:ilvl="4" w:tplc="04270003" w:tentative="1">
      <w:start w:val="1"/>
      <w:numFmt w:val="bullet"/>
      <w:lvlText w:val="o"/>
      <w:lvlJc w:val="left"/>
      <w:pPr>
        <w:ind w:left="5328" w:hanging="360"/>
      </w:pPr>
      <w:rPr>
        <w:rFonts w:ascii="Courier New" w:hAnsi="Courier New" w:cs="Courier New" w:hint="default"/>
      </w:rPr>
    </w:lvl>
    <w:lvl w:ilvl="5" w:tplc="04270005" w:tentative="1">
      <w:start w:val="1"/>
      <w:numFmt w:val="bullet"/>
      <w:lvlText w:val=""/>
      <w:lvlJc w:val="left"/>
      <w:pPr>
        <w:ind w:left="6048" w:hanging="360"/>
      </w:pPr>
      <w:rPr>
        <w:rFonts w:ascii="Wingdings" w:hAnsi="Wingdings" w:hint="default"/>
      </w:rPr>
    </w:lvl>
    <w:lvl w:ilvl="6" w:tplc="04270001" w:tentative="1">
      <w:start w:val="1"/>
      <w:numFmt w:val="bullet"/>
      <w:lvlText w:val=""/>
      <w:lvlJc w:val="left"/>
      <w:pPr>
        <w:ind w:left="6768" w:hanging="360"/>
      </w:pPr>
      <w:rPr>
        <w:rFonts w:ascii="Symbol" w:hAnsi="Symbol" w:hint="default"/>
      </w:rPr>
    </w:lvl>
    <w:lvl w:ilvl="7" w:tplc="04270003" w:tentative="1">
      <w:start w:val="1"/>
      <w:numFmt w:val="bullet"/>
      <w:lvlText w:val="o"/>
      <w:lvlJc w:val="left"/>
      <w:pPr>
        <w:ind w:left="7488" w:hanging="360"/>
      </w:pPr>
      <w:rPr>
        <w:rFonts w:ascii="Courier New" w:hAnsi="Courier New" w:cs="Courier New" w:hint="default"/>
      </w:rPr>
    </w:lvl>
    <w:lvl w:ilvl="8" w:tplc="04270005" w:tentative="1">
      <w:start w:val="1"/>
      <w:numFmt w:val="bullet"/>
      <w:lvlText w:val=""/>
      <w:lvlJc w:val="left"/>
      <w:pPr>
        <w:ind w:left="8208" w:hanging="360"/>
      </w:pPr>
      <w:rPr>
        <w:rFonts w:ascii="Wingdings" w:hAnsi="Wingdings" w:hint="default"/>
      </w:rPr>
    </w:lvl>
  </w:abstractNum>
  <w:abstractNum w:abstractNumId="22" w15:restartNumberingAfterBreak="0">
    <w:nsid w:val="31CD3AB0"/>
    <w:multiLevelType w:val="hybridMultilevel"/>
    <w:tmpl w:val="FFFFFFFF"/>
    <w:lvl w:ilvl="0" w:tplc="42788A74">
      <w:start w:val="1"/>
      <w:numFmt w:val="bullet"/>
      <w:lvlText w:val=""/>
      <w:lvlJc w:val="left"/>
      <w:pPr>
        <w:ind w:left="720" w:hanging="360"/>
      </w:pPr>
      <w:rPr>
        <w:rFonts w:ascii="Symbol" w:hAnsi="Symbol" w:hint="default"/>
      </w:rPr>
    </w:lvl>
    <w:lvl w:ilvl="1" w:tplc="2F0AE684">
      <w:start w:val="1"/>
      <w:numFmt w:val="lowerLetter"/>
      <w:lvlText w:val="%2."/>
      <w:lvlJc w:val="left"/>
      <w:pPr>
        <w:ind w:left="1440" w:hanging="360"/>
      </w:pPr>
    </w:lvl>
    <w:lvl w:ilvl="2" w:tplc="D4009A02">
      <w:start w:val="1"/>
      <w:numFmt w:val="lowerRoman"/>
      <w:lvlText w:val="%3."/>
      <w:lvlJc w:val="right"/>
      <w:pPr>
        <w:ind w:left="2160" w:hanging="180"/>
      </w:pPr>
    </w:lvl>
    <w:lvl w:ilvl="3" w:tplc="CC3EDC22">
      <w:start w:val="1"/>
      <w:numFmt w:val="decimal"/>
      <w:lvlText w:val="%4."/>
      <w:lvlJc w:val="left"/>
      <w:pPr>
        <w:ind w:left="2880" w:hanging="360"/>
      </w:pPr>
    </w:lvl>
    <w:lvl w:ilvl="4" w:tplc="927C3650">
      <w:start w:val="1"/>
      <w:numFmt w:val="lowerLetter"/>
      <w:lvlText w:val="%5."/>
      <w:lvlJc w:val="left"/>
      <w:pPr>
        <w:ind w:left="3600" w:hanging="360"/>
      </w:pPr>
    </w:lvl>
    <w:lvl w:ilvl="5" w:tplc="0D86546E">
      <w:start w:val="1"/>
      <w:numFmt w:val="lowerRoman"/>
      <w:lvlText w:val="%6."/>
      <w:lvlJc w:val="right"/>
      <w:pPr>
        <w:ind w:left="4320" w:hanging="180"/>
      </w:pPr>
    </w:lvl>
    <w:lvl w:ilvl="6" w:tplc="5380EB90">
      <w:start w:val="1"/>
      <w:numFmt w:val="decimal"/>
      <w:lvlText w:val="%7."/>
      <w:lvlJc w:val="left"/>
      <w:pPr>
        <w:ind w:left="5040" w:hanging="360"/>
      </w:pPr>
    </w:lvl>
    <w:lvl w:ilvl="7" w:tplc="8B82A3D4">
      <w:start w:val="1"/>
      <w:numFmt w:val="lowerLetter"/>
      <w:lvlText w:val="%8."/>
      <w:lvlJc w:val="left"/>
      <w:pPr>
        <w:ind w:left="5760" w:hanging="360"/>
      </w:pPr>
    </w:lvl>
    <w:lvl w:ilvl="8" w:tplc="A87C133C">
      <w:start w:val="1"/>
      <w:numFmt w:val="lowerRoman"/>
      <w:lvlText w:val="%9."/>
      <w:lvlJc w:val="right"/>
      <w:pPr>
        <w:ind w:left="6480" w:hanging="180"/>
      </w:pPr>
    </w:lvl>
  </w:abstractNum>
  <w:abstractNum w:abstractNumId="23" w15:restartNumberingAfterBreak="0">
    <w:nsid w:val="386127E0"/>
    <w:multiLevelType w:val="hybridMultilevel"/>
    <w:tmpl w:val="071ADDEC"/>
    <w:lvl w:ilvl="0" w:tplc="61706E7E">
      <w:numFmt w:val="bullet"/>
      <w:lvlText w:val="-"/>
      <w:lvlJc w:val="left"/>
      <w:pPr>
        <w:ind w:left="3996" w:hanging="360"/>
      </w:pPr>
      <w:rPr>
        <w:rFonts w:ascii="Times New Roman" w:eastAsiaTheme="minorHAnsi" w:hAnsi="Times New Roman" w:cs="Times New Roman" w:hint="default"/>
      </w:rPr>
    </w:lvl>
    <w:lvl w:ilvl="1" w:tplc="04270003" w:tentative="1">
      <w:start w:val="1"/>
      <w:numFmt w:val="bullet"/>
      <w:lvlText w:val="o"/>
      <w:lvlJc w:val="left"/>
      <w:pPr>
        <w:ind w:left="3618" w:hanging="360"/>
      </w:pPr>
      <w:rPr>
        <w:rFonts w:ascii="Courier New" w:hAnsi="Courier New" w:cs="Courier New" w:hint="default"/>
      </w:rPr>
    </w:lvl>
    <w:lvl w:ilvl="2" w:tplc="04270005" w:tentative="1">
      <w:start w:val="1"/>
      <w:numFmt w:val="bullet"/>
      <w:lvlText w:val=""/>
      <w:lvlJc w:val="left"/>
      <w:pPr>
        <w:ind w:left="4338" w:hanging="360"/>
      </w:pPr>
      <w:rPr>
        <w:rFonts w:ascii="Wingdings" w:hAnsi="Wingdings" w:hint="default"/>
      </w:rPr>
    </w:lvl>
    <w:lvl w:ilvl="3" w:tplc="04270001">
      <w:start w:val="1"/>
      <w:numFmt w:val="bullet"/>
      <w:lvlText w:val=""/>
      <w:lvlJc w:val="left"/>
      <w:pPr>
        <w:ind w:left="5058" w:hanging="360"/>
      </w:pPr>
      <w:rPr>
        <w:rFonts w:ascii="Symbol" w:hAnsi="Symbol" w:hint="default"/>
      </w:rPr>
    </w:lvl>
    <w:lvl w:ilvl="4" w:tplc="04270003" w:tentative="1">
      <w:start w:val="1"/>
      <w:numFmt w:val="bullet"/>
      <w:lvlText w:val="o"/>
      <w:lvlJc w:val="left"/>
      <w:pPr>
        <w:ind w:left="5778" w:hanging="360"/>
      </w:pPr>
      <w:rPr>
        <w:rFonts w:ascii="Courier New" w:hAnsi="Courier New" w:cs="Courier New" w:hint="default"/>
      </w:rPr>
    </w:lvl>
    <w:lvl w:ilvl="5" w:tplc="04270005" w:tentative="1">
      <w:start w:val="1"/>
      <w:numFmt w:val="bullet"/>
      <w:lvlText w:val=""/>
      <w:lvlJc w:val="left"/>
      <w:pPr>
        <w:ind w:left="6498" w:hanging="360"/>
      </w:pPr>
      <w:rPr>
        <w:rFonts w:ascii="Wingdings" w:hAnsi="Wingdings" w:hint="default"/>
      </w:rPr>
    </w:lvl>
    <w:lvl w:ilvl="6" w:tplc="04270001" w:tentative="1">
      <w:start w:val="1"/>
      <w:numFmt w:val="bullet"/>
      <w:lvlText w:val=""/>
      <w:lvlJc w:val="left"/>
      <w:pPr>
        <w:ind w:left="7218" w:hanging="360"/>
      </w:pPr>
      <w:rPr>
        <w:rFonts w:ascii="Symbol" w:hAnsi="Symbol" w:hint="default"/>
      </w:rPr>
    </w:lvl>
    <w:lvl w:ilvl="7" w:tplc="04270003" w:tentative="1">
      <w:start w:val="1"/>
      <w:numFmt w:val="bullet"/>
      <w:lvlText w:val="o"/>
      <w:lvlJc w:val="left"/>
      <w:pPr>
        <w:ind w:left="7938" w:hanging="360"/>
      </w:pPr>
      <w:rPr>
        <w:rFonts w:ascii="Courier New" w:hAnsi="Courier New" w:cs="Courier New" w:hint="default"/>
      </w:rPr>
    </w:lvl>
    <w:lvl w:ilvl="8" w:tplc="04270005" w:tentative="1">
      <w:start w:val="1"/>
      <w:numFmt w:val="bullet"/>
      <w:lvlText w:val=""/>
      <w:lvlJc w:val="left"/>
      <w:pPr>
        <w:ind w:left="8658" w:hanging="360"/>
      </w:pPr>
      <w:rPr>
        <w:rFonts w:ascii="Wingdings" w:hAnsi="Wingdings" w:hint="default"/>
      </w:rPr>
    </w:lvl>
  </w:abstractNum>
  <w:abstractNum w:abstractNumId="24" w15:restartNumberingAfterBreak="0">
    <w:nsid w:val="3D3F6B6E"/>
    <w:multiLevelType w:val="hybridMultilevel"/>
    <w:tmpl w:val="45762354"/>
    <w:lvl w:ilvl="0" w:tplc="FFFFFFFF">
      <w:start w:val="2"/>
      <w:numFmt w:val="bullet"/>
      <w:lvlText w:val="-"/>
      <w:lvlJc w:val="left"/>
      <w:pPr>
        <w:ind w:left="720" w:hanging="360"/>
      </w:pPr>
      <w:rPr>
        <w:rFonts w:ascii="Times New Roman" w:hAnsi="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3E447D18"/>
    <w:multiLevelType w:val="hybridMultilevel"/>
    <w:tmpl w:val="B61E2EF2"/>
    <w:lvl w:ilvl="0" w:tplc="DA6861B0">
      <w:start w:val="2"/>
      <w:numFmt w:val="bullet"/>
      <w:lvlText w:val="-"/>
      <w:lvlJc w:val="left"/>
      <w:pPr>
        <w:ind w:left="720" w:hanging="360"/>
      </w:pPr>
      <w:rPr>
        <w:rFonts w:ascii="Times New Roman" w:eastAsiaTheme="minorHAnsi" w:hAnsi="Times New Roman" w:cs="Times New Roman" w:hint="default"/>
      </w:rPr>
    </w:lvl>
    <w:lvl w:ilvl="1" w:tplc="A54824FA">
      <w:start w:val="1"/>
      <w:numFmt w:val="bullet"/>
      <w:lvlText w:val="o"/>
      <w:lvlJc w:val="left"/>
      <w:pPr>
        <w:ind w:left="1440" w:hanging="360"/>
      </w:pPr>
      <w:rPr>
        <w:rFonts w:ascii="Courier New" w:hAnsi="Courier New" w:hint="default"/>
      </w:rPr>
    </w:lvl>
    <w:lvl w:ilvl="2" w:tplc="E9E20DC6">
      <w:start w:val="1"/>
      <w:numFmt w:val="bullet"/>
      <w:lvlText w:val=""/>
      <w:lvlJc w:val="left"/>
      <w:pPr>
        <w:ind w:left="2160" w:hanging="360"/>
      </w:pPr>
      <w:rPr>
        <w:rFonts w:ascii="Wingdings" w:hAnsi="Wingdings" w:hint="default"/>
      </w:rPr>
    </w:lvl>
    <w:lvl w:ilvl="3" w:tplc="BCEE88B6">
      <w:start w:val="1"/>
      <w:numFmt w:val="bullet"/>
      <w:lvlText w:val=""/>
      <w:lvlJc w:val="left"/>
      <w:pPr>
        <w:ind w:left="2880" w:hanging="360"/>
      </w:pPr>
      <w:rPr>
        <w:rFonts w:ascii="Symbol" w:hAnsi="Symbol" w:hint="default"/>
      </w:rPr>
    </w:lvl>
    <w:lvl w:ilvl="4" w:tplc="3FFC1AB2">
      <w:start w:val="1"/>
      <w:numFmt w:val="bullet"/>
      <w:lvlText w:val="o"/>
      <w:lvlJc w:val="left"/>
      <w:pPr>
        <w:ind w:left="3600" w:hanging="360"/>
      </w:pPr>
      <w:rPr>
        <w:rFonts w:ascii="Courier New" w:hAnsi="Courier New" w:hint="default"/>
      </w:rPr>
    </w:lvl>
    <w:lvl w:ilvl="5" w:tplc="624679F6">
      <w:start w:val="1"/>
      <w:numFmt w:val="bullet"/>
      <w:lvlText w:val=""/>
      <w:lvlJc w:val="left"/>
      <w:pPr>
        <w:ind w:left="4320" w:hanging="360"/>
      </w:pPr>
      <w:rPr>
        <w:rFonts w:ascii="Wingdings" w:hAnsi="Wingdings" w:hint="default"/>
      </w:rPr>
    </w:lvl>
    <w:lvl w:ilvl="6" w:tplc="37D6778A">
      <w:start w:val="1"/>
      <w:numFmt w:val="bullet"/>
      <w:lvlText w:val=""/>
      <w:lvlJc w:val="left"/>
      <w:pPr>
        <w:ind w:left="5040" w:hanging="360"/>
      </w:pPr>
      <w:rPr>
        <w:rFonts w:ascii="Symbol" w:hAnsi="Symbol" w:hint="default"/>
      </w:rPr>
    </w:lvl>
    <w:lvl w:ilvl="7" w:tplc="564C30C2">
      <w:start w:val="1"/>
      <w:numFmt w:val="bullet"/>
      <w:lvlText w:val="o"/>
      <w:lvlJc w:val="left"/>
      <w:pPr>
        <w:ind w:left="5760" w:hanging="360"/>
      </w:pPr>
      <w:rPr>
        <w:rFonts w:ascii="Courier New" w:hAnsi="Courier New" w:hint="default"/>
      </w:rPr>
    </w:lvl>
    <w:lvl w:ilvl="8" w:tplc="E25C7200">
      <w:start w:val="1"/>
      <w:numFmt w:val="bullet"/>
      <w:lvlText w:val=""/>
      <w:lvlJc w:val="left"/>
      <w:pPr>
        <w:ind w:left="6480" w:hanging="360"/>
      </w:pPr>
      <w:rPr>
        <w:rFonts w:ascii="Wingdings" w:hAnsi="Wingdings" w:hint="default"/>
      </w:rPr>
    </w:lvl>
  </w:abstractNum>
  <w:abstractNum w:abstractNumId="26" w15:restartNumberingAfterBreak="0">
    <w:nsid w:val="3FE02D0F"/>
    <w:multiLevelType w:val="hybridMultilevel"/>
    <w:tmpl w:val="FFFFFFFF"/>
    <w:lvl w:ilvl="0" w:tplc="92EE221E">
      <w:start w:val="1"/>
      <w:numFmt w:val="bullet"/>
      <w:lvlText w:val=""/>
      <w:lvlJc w:val="left"/>
      <w:pPr>
        <w:ind w:left="720" w:hanging="360"/>
      </w:pPr>
      <w:rPr>
        <w:rFonts w:ascii="Symbol" w:hAnsi="Symbol" w:hint="default"/>
      </w:rPr>
    </w:lvl>
    <w:lvl w:ilvl="1" w:tplc="1F9AD4E6">
      <w:start w:val="1"/>
      <w:numFmt w:val="bullet"/>
      <w:lvlText w:val="o"/>
      <w:lvlJc w:val="left"/>
      <w:pPr>
        <w:ind w:left="1440" w:hanging="360"/>
      </w:pPr>
      <w:rPr>
        <w:rFonts w:ascii="Courier New" w:hAnsi="Courier New" w:hint="default"/>
      </w:rPr>
    </w:lvl>
    <w:lvl w:ilvl="2" w:tplc="0874B482">
      <w:start w:val="1"/>
      <w:numFmt w:val="bullet"/>
      <w:lvlText w:val=""/>
      <w:lvlJc w:val="left"/>
      <w:pPr>
        <w:ind w:left="2160" w:hanging="360"/>
      </w:pPr>
      <w:rPr>
        <w:rFonts w:ascii="Wingdings" w:hAnsi="Wingdings" w:hint="default"/>
      </w:rPr>
    </w:lvl>
    <w:lvl w:ilvl="3" w:tplc="75887B78">
      <w:start w:val="1"/>
      <w:numFmt w:val="bullet"/>
      <w:lvlText w:val=""/>
      <w:lvlJc w:val="left"/>
      <w:pPr>
        <w:ind w:left="2880" w:hanging="360"/>
      </w:pPr>
      <w:rPr>
        <w:rFonts w:ascii="Symbol" w:hAnsi="Symbol" w:hint="default"/>
      </w:rPr>
    </w:lvl>
    <w:lvl w:ilvl="4" w:tplc="2250AFFE">
      <w:start w:val="1"/>
      <w:numFmt w:val="bullet"/>
      <w:lvlText w:val="o"/>
      <w:lvlJc w:val="left"/>
      <w:pPr>
        <w:ind w:left="3600" w:hanging="360"/>
      </w:pPr>
      <w:rPr>
        <w:rFonts w:ascii="Courier New" w:hAnsi="Courier New" w:hint="default"/>
      </w:rPr>
    </w:lvl>
    <w:lvl w:ilvl="5" w:tplc="3E9C7108">
      <w:start w:val="1"/>
      <w:numFmt w:val="bullet"/>
      <w:lvlText w:val=""/>
      <w:lvlJc w:val="left"/>
      <w:pPr>
        <w:ind w:left="4320" w:hanging="360"/>
      </w:pPr>
      <w:rPr>
        <w:rFonts w:ascii="Wingdings" w:hAnsi="Wingdings" w:hint="default"/>
      </w:rPr>
    </w:lvl>
    <w:lvl w:ilvl="6" w:tplc="CDD895EC">
      <w:start w:val="1"/>
      <w:numFmt w:val="bullet"/>
      <w:lvlText w:val=""/>
      <w:lvlJc w:val="left"/>
      <w:pPr>
        <w:ind w:left="5040" w:hanging="360"/>
      </w:pPr>
      <w:rPr>
        <w:rFonts w:ascii="Symbol" w:hAnsi="Symbol" w:hint="default"/>
      </w:rPr>
    </w:lvl>
    <w:lvl w:ilvl="7" w:tplc="F29A8E58">
      <w:start w:val="1"/>
      <w:numFmt w:val="bullet"/>
      <w:lvlText w:val="o"/>
      <w:lvlJc w:val="left"/>
      <w:pPr>
        <w:ind w:left="5760" w:hanging="360"/>
      </w:pPr>
      <w:rPr>
        <w:rFonts w:ascii="Courier New" w:hAnsi="Courier New" w:hint="default"/>
      </w:rPr>
    </w:lvl>
    <w:lvl w:ilvl="8" w:tplc="5B02D8AC">
      <w:start w:val="1"/>
      <w:numFmt w:val="bullet"/>
      <w:lvlText w:val=""/>
      <w:lvlJc w:val="left"/>
      <w:pPr>
        <w:ind w:left="6480" w:hanging="360"/>
      </w:pPr>
      <w:rPr>
        <w:rFonts w:ascii="Wingdings" w:hAnsi="Wingdings" w:hint="default"/>
      </w:rPr>
    </w:lvl>
  </w:abstractNum>
  <w:abstractNum w:abstractNumId="27" w15:restartNumberingAfterBreak="0">
    <w:nsid w:val="400C5D1A"/>
    <w:multiLevelType w:val="hybridMultilevel"/>
    <w:tmpl w:val="F22C37E6"/>
    <w:lvl w:ilvl="0" w:tplc="DA6861B0">
      <w:start w:val="2"/>
      <w:numFmt w:val="bullet"/>
      <w:lvlText w:val="-"/>
      <w:lvlJc w:val="left"/>
      <w:pPr>
        <w:ind w:left="1014" w:hanging="360"/>
      </w:pPr>
      <w:rPr>
        <w:rFonts w:ascii="Times New Roman" w:eastAsiaTheme="minorHAnsi" w:hAnsi="Times New Roman" w:cs="Times New Roman" w:hint="default"/>
      </w:rPr>
    </w:lvl>
    <w:lvl w:ilvl="1" w:tplc="04270003" w:tentative="1">
      <w:start w:val="1"/>
      <w:numFmt w:val="bullet"/>
      <w:lvlText w:val="o"/>
      <w:lvlJc w:val="left"/>
      <w:pPr>
        <w:ind w:left="1734" w:hanging="360"/>
      </w:pPr>
      <w:rPr>
        <w:rFonts w:ascii="Courier New" w:hAnsi="Courier New" w:cs="Courier New" w:hint="default"/>
      </w:rPr>
    </w:lvl>
    <w:lvl w:ilvl="2" w:tplc="04270005" w:tentative="1">
      <w:start w:val="1"/>
      <w:numFmt w:val="bullet"/>
      <w:lvlText w:val=""/>
      <w:lvlJc w:val="left"/>
      <w:pPr>
        <w:ind w:left="2454" w:hanging="360"/>
      </w:pPr>
      <w:rPr>
        <w:rFonts w:ascii="Wingdings" w:hAnsi="Wingdings" w:hint="default"/>
      </w:rPr>
    </w:lvl>
    <w:lvl w:ilvl="3" w:tplc="04270001">
      <w:start w:val="1"/>
      <w:numFmt w:val="bullet"/>
      <w:lvlText w:val=""/>
      <w:lvlJc w:val="left"/>
      <w:pPr>
        <w:ind w:left="3174" w:hanging="360"/>
      </w:pPr>
      <w:rPr>
        <w:rFonts w:ascii="Symbol" w:hAnsi="Symbol" w:hint="default"/>
      </w:rPr>
    </w:lvl>
    <w:lvl w:ilvl="4" w:tplc="04270003" w:tentative="1">
      <w:start w:val="1"/>
      <w:numFmt w:val="bullet"/>
      <w:lvlText w:val="o"/>
      <w:lvlJc w:val="left"/>
      <w:pPr>
        <w:ind w:left="3894" w:hanging="360"/>
      </w:pPr>
      <w:rPr>
        <w:rFonts w:ascii="Courier New" w:hAnsi="Courier New" w:cs="Courier New" w:hint="default"/>
      </w:rPr>
    </w:lvl>
    <w:lvl w:ilvl="5" w:tplc="04270005" w:tentative="1">
      <w:start w:val="1"/>
      <w:numFmt w:val="bullet"/>
      <w:lvlText w:val=""/>
      <w:lvlJc w:val="left"/>
      <w:pPr>
        <w:ind w:left="4614" w:hanging="360"/>
      </w:pPr>
      <w:rPr>
        <w:rFonts w:ascii="Wingdings" w:hAnsi="Wingdings" w:hint="default"/>
      </w:rPr>
    </w:lvl>
    <w:lvl w:ilvl="6" w:tplc="04270001" w:tentative="1">
      <w:start w:val="1"/>
      <w:numFmt w:val="bullet"/>
      <w:lvlText w:val=""/>
      <w:lvlJc w:val="left"/>
      <w:pPr>
        <w:ind w:left="5334" w:hanging="360"/>
      </w:pPr>
      <w:rPr>
        <w:rFonts w:ascii="Symbol" w:hAnsi="Symbol" w:hint="default"/>
      </w:rPr>
    </w:lvl>
    <w:lvl w:ilvl="7" w:tplc="04270003" w:tentative="1">
      <w:start w:val="1"/>
      <w:numFmt w:val="bullet"/>
      <w:lvlText w:val="o"/>
      <w:lvlJc w:val="left"/>
      <w:pPr>
        <w:ind w:left="6054" w:hanging="360"/>
      </w:pPr>
      <w:rPr>
        <w:rFonts w:ascii="Courier New" w:hAnsi="Courier New" w:cs="Courier New" w:hint="default"/>
      </w:rPr>
    </w:lvl>
    <w:lvl w:ilvl="8" w:tplc="04270005" w:tentative="1">
      <w:start w:val="1"/>
      <w:numFmt w:val="bullet"/>
      <w:lvlText w:val=""/>
      <w:lvlJc w:val="left"/>
      <w:pPr>
        <w:ind w:left="6774" w:hanging="360"/>
      </w:pPr>
      <w:rPr>
        <w:rFonts w:ascii="Wingdings" w:hAnsi="Wingdings" w:hint="default"/>
      </w:rPr>
    </w:lvl>
  </w:abstractNum>
  <w:abstractNum w:abstractNumId="28" w15:restartNumberingAfterBreak="0">
    <w:nsid w:val="4272459B"/>
    <w:multiLevelType w:val="hybridMultilevel"/>
    <w:tmpl w:val="2D6E309E"/>
    <w:lvl w:ilvl="0" w:tplc="FFFFFFFF">
      <w:start w:val="1"/>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6217DD"/>
    <w:multiLevelType w:val="hybridMultilevel"/>
    <w:tmpl w:val="CDCEDE4E"/>
    <w:lvl w:ilvl="0" w:tplc="FFFFFFFF">
      <w:start w:val="2"/>
      <w:numFmt w:val="bullet"/>
      <w:lvlText w:val="-"/>
      <w:lvlJc w:val="left"/>
      <w:pPr>
        <w:ind w:left="720" w:hanging="360"/>
      </w:pPr>
      <w:rPr>
        <w:rFonts w:ascii="Times New Roman" w:hAnsi="Times New Roman" w:hint="default"/>
      </w:rPr>
    </w:lvl>
    <w:lvl w:ilvl="1" w:tplc="FFFFFFFF">
      <w:start w:val="2"/>
      <w:numFmt w:val="bullet"/>
      <w:lvlText w:val="-"/>
      <w:lvlJc w:val="left"/>
      <w:pPr>
        <w:ind w:left="1440" w:hanging="360"/>
      </w:pPr>
      <w:rPr>
        <w:rFonts w:ascii="Times New Roman" w:hAnsi="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45465025"/>
    <w:multiLevelType w:val="hybridMultilevel"/>
    <w:tmpl w:val="692C2CBC"/>
    <w:lvl w:ilvl="0" w:tplc="FFFFFFFF">
      <w:start w:val="2"/>
      <w:numFmt w:val="bullet"/>
      <w:lvlText w:val="-"/>
      <w:lvlJc w:val="left"/>
      <w:pPr>
        <w:ind w:left="720" w:hanging="360"/>
      </w:pPr>
      <w:rPr>
        <w:rFonts w:ascii="Times New Roman" w:hAnsi="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4D25491A"/>
    <w:multiLevelType w:val="hybridMultilevel"/>
    <w:tmpl w:val="FFFFFFFF"/>
    <w:lvl w:ilvl="0" w:tplc="72F48E7E">
      <w:start w:val="1"/>
      <w:numFmt w:val="bullet"/>
      <w:lvlText w:val=""/>
      <w:lvlJc w:val="left"/>
      <w:pPr>
        <w:ind w:left="720" w:hanging="360"/>
      </w:pPr>
      <w:rPr>
        <w:rFonts w:ascii="Symbol" w:hAnsi="Symbol" w:hint="default"/>
      </w:rPr>
    </w:lvl>
    <w:lvl w:ilvl="1" w:tplc="D8C4900A">
      <w:start w:val="1"/>
      <w:numFmt w:val="bullet"/>
      <w:lvlText w:val="o"/>
      <w:lvlJc w:val="left"/>
      <w:pPr>
        <w:ind w:left="1440" w:hanging="360"/>
      </w:pPr>
      <w:rPr>
        <w:rFonts w:ascii="Courier New" w:hAnsi="Courier New" w:hint="default"/>
      </w:rPr>
    </w:lvl>
    <w:lvl w:ilvl="2" w:tplc="326E066A">
      <w:start w:val="1"/>
      <w:numFmt w:val="bullet"/>
      <w:lvlText w:val=""/>
      <w:lvlJc w:val="left"/>
      <w:pPr>
        <w:ind w:left="2160" w:hanging="360"/>
      </w:pPr>
      <w:rPr>
        <w:rFonts w:ascii="Wingdings" w:hAnsi="Wingdings" w:hint="default"/>
      </w:rPr>
    </w:lvl>
    <w:lvl w:ilvl="3" w:tplc="6C44F10E">
      <w:start w:val="1"/>
      <w:numFmt w:val="bullet"/>
      <w:lvlText w:val=""/>
      <w:lvlJc w:val="left"/>
      <w:pPr>
        <w:ind w:left="2880" w:hanging="360"/>
      </w:pPr>
      <w:rPr>
        <w:rFonts w:ascii="Symbol" w:hAnsi="Symbol" w:hint="default"/>
      </w:rPr>
    </w:lvl>
    <w:lvl w:ilvl="4" w:tplc="537C449C">
      <w:start w:val="1"/>
      <w:numFmt w:val="bullet"/>
      <w:lvlText w:val="o"/>
      <w:lvlJc w:val="left"/>
      <w:pPr>
        <w:ind w:left="3600" w:hanging="360"/>
      </w:pPr>
      <w:rPr>
        <w:rFonts w:ascii="Courier New" w:hAnsi="Courier New" w:hint="default"/>
      </w:rPr>
    </w:lvl>
    <w:lvl w:ilvl="5" w:tplc="A5A07C66">
      <w:start w:val="1"/>
      <w:numFmt w:val="bullet"/>
      <w:lvlText w:val=""/>
      <w:lvlJc w:val="left"/>
      <w:pPr>
        <w:ind w:left="4320" w:hanging="360"/>
      </w:pPr>
      <w:rPr>
        <w:rFonts w:ascii="Wingdings" w:hAnsi="Wingdings" w:hint="default"/>
      </w:rPr>
    </w:lvl>
    <w:lvl w:ilvl="6" w:tplc="DE90ECC8">
      <w:start w:val="1"/>
      <w:numFmt w:val="bullet"/>
      <w:lvlText w:val=""/>
      <w:lvlJc w:val="left"/>
      <w:pPr>
        <w:ind w:left="5040" w:hanging="360"/>
      </w:pPr>
      <w:rPr>
        <w:rFonts w:ascii="Symbol" w:hAnsi="Symbol" w:hint="default"/>
      </w:rPr>
    </w:lvl>
    <w:lvl w:ilvl="7" w:tplc="34B8EC9A">
      <w:start w:val="1"/>
      <w:numFmt w:val="bullet"/>
      <w:lvlText w:val="o"/>
      <w:lvlJc w:val="left"/>
      <w:pPr>
        <w:ind w:left="5760" w:hanging="360"/>
      </w:pPr>
      <w:rPr>
        <w:rFonts w:ascii="Courier New" w:hAnsi="Courier New" w:hint="default"/>
      </w:rPr>
    </w:lvl>
    <w:lvl w:ilvl="8" w:tplc="8730D61A">
      <w:start w:val="1"/>
      <w:numFmt w:val="bullet"/>
      <w:lvlText w:val=""/>
      <w:lvlJc w:val="left"/>
      <w:pPr>
        <w:ind w:left="6480" w:hanging="360"/>
      </w:pPr>
      <w:rPr>
        <w:rFonts w:ascii="Wingdings" w:hAnsi="Wingdings" w:hint="default"/>
      </w:rPr>
    </w:lvl>
  </w:abstractNum>
  <w:abstractNum w:abstractNumId="32" w15:restartNumberingAfterBreak="0">
    <w:nsid w:val="4F263560"/>
    <w:multiLevelType w:val="hybridMultilevel"/>
    <w:tmpl w:val="BCAA3C26"/>
    <w:lvl w:ilvl="0" w:tplc="DA6861B0">
      <w:start w:val="2"/>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509652D6"/>
    <w:multiLevelType w:val="multilevel"/>
    <w:tmpl w:val="A718C764"/>
    <w:lvl w:ilvl="0">
      <w:start w:val="1"/>
      <w:numFmt w:val="decimal"/>
      <w:lvlText w:val="%1."/>
      <w:lvlJc w:val="left"/>
      <w:pPr>
        <w:ind w:left="360" w:hanging="360"/>
      </w:pPr>
      <w:rPr>
        <w:rFonts w:asciiTheme="minorHAnsi" w:hAnsiTheme="minorHAnsi" w:hint="default"/>
        <w:b/>
        <w:sz w:val="24"/>
      </w:rPr>
    </w:lvl>
    <w:lvl w:ilvl="1">
      <w:start w:val="1"/>
      <w:numFmt w:val="decimal"/>
      <w:lvlText w:val="%1.%2."/>
      <w:lvlJc w:val="left"/>
      <w:pPr>
        <w:ind w:left="792" w:hanging="432"/>
      </w:pPr>
      <w:rPr>
        <w:rFonts w:hint="default"/>
      </w:rPr>
    </w:lvl>
    <w:lvl w:ilvl="2">
      <w:start w:val="1"/>
      <w:numFmt w:val="decimal"/>
      <w:lvlText w:val="%1.%2.%3."/>
      <w:lvlJc w:val="left"/>
      <w:pPr>
        <w:ind w:left="930" w:hanging="504"/>
      </w:pPr>
      <w:rPr>
        <w:rFonts w:hint="default"/>
      </w:rPr>
    </w:lvl>
    <w:lvl w:ilvl="3">
      <w:start w:val="1"/>
      <w:numFmt w:val="lowerRoman"/>
      <w:lvlText w:val="%4."/>
      <w:lvlJc w:val="left"/>
      <w:pPr>
        <w:ind w:left="1458" w:hanging="648"/>
      </w:pPr>
      <w:rPr>
        <w:rFonts w:ascii="Times New Roman" w:hAnsi="Times New Roman" w:cs="Times New Roman" w:hint="default"/>
        <w:b/>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1C95A70"/>
    <w:multiLevelType w:val="hybridMultilevel"/>
    <w:tmpl w:val="9FC6077A"/>
    <w:lvl w:ilvl="0" w:tplc="FFFFFFFF">
      <w:start w:val="2"/>
      <w:numFmt w:val="bullet"/>
      <w:lvlText w:val="-"/>
      <w:lvlJc w:val="left"/>
      <w:pPr>
        <w:ind w:left="720" w:hanging="360"/>
      </w:pPr>
      <w:rPr>
        <w:rFonts w:ascii="Times New Roman" w:hAnsi="Times New Roman" w:hint="default"/>
      </w:rPr>
    </w:lvl>
    <w:lvl w:ilvl="1" w:tplc="8E18A6EC">
      <w:start w:val="1"/>
      <w:numFmt w:val="bullet"/>
      <w:lvlText w:val="o"/>
      <w:lvlJc w:val="left"/>
      <w:pPr>
        <w:ind w:left="1440" w:hanging="360"/>
      </w:pPr>
      <w:rPr>
        <w:rFonts w:ascii="Courier New" w:hAnsi="Courier New" w:hint="default"/>
      </w:rPr>
    </w:lvl>
    <w:lvl w:ilvl="2" w:tplc="245AF472">
      <w:start w:val="1"/>
      <w:numFmt w:val="bullet"/>
      <w:lvlText w:val=""/>
      <w:lvlJc w:val="left"/>
      <w:pPr>
        <w:ind w:left="2160" w:hanging="360"/>
      </w:pPr>
      <w:rPr>
        <w:rFonts w:ascii="Wingdings" w:hAnsi="Wingdings" w:hint="default"/>
      </w:rPr>
    </w:lvl>
    <w:lvl w:ilvl="3" w:tplc="72D6DB80">
      <w:start w:val="1"/>
      <w:numFmt w:val="bullet"/>
      <w:lvlText w:val=""/>
      <w:lvlJc w:val="left"/>
      <w:pPr>
        <w:ind w:left="2880" w:hanging="360"/>
      </w:pPr>
      <w:rPr>
        <w:rFonts w:ascii="Symbol" w:hAnsi="Symbol" w:hint="default"/>
      </w:rPr>
    </w:lvl>
    <w:lvl w:ilvl="4" w:tplc="60980F7E">
      <w:start w:val="1"/>
      <w:numFmt w:val="bullet"/>
      <w:lvlText w:val="o"/>
      <w:lvlJc w:val="left"/>
      <w:pPr>
        <w:ind w:left="3600" w:hanging="360"/>
      </w:pPr>
      <w:rPr>
        <w:rFonts w:ascii="Courier New" w:hAnsi="Courier New" w:hint="default"/>
      </w:rPr>
    </w:lvl>
    <w:lvl w:ilvl="5" w:tplc="9DFC432A">
      <w:start w:val="1"/>
      <w:numFmt w:val="bullet"/>
      <w:lvlText w:val=""/>
      <w:lvlJc w:val="left"/>
      <w:pPr>
        <w:ind w:left="4320" w:hanging="360"/>
      </w:pPr>
      <w:rPr>
        <w:rFonts w:ascii="Wingdings" w:hAnsi="Wingdings" w:hint="default"/>
      </w:rPr>
    </w:lvl>
    <w:lvl w:ilvl="6" w:tplc="253A741E">
      <w:start w:val="1"/>
      <w:numFmt w:val="bullet"/>
      <w:lvlText w:val=""/>
      <w:lvlJc w:val="left"/>
      <w:pPr>
        <w:ind w:left="5040" w:hanging="360"/>
      </w:pPr>
      <w:rPr>
        <w:rFonts w:ascii="Symbol" w:hAnsi="Symbol" w:hint="default"/>
      </w:rPr>
    </w:lvl>
    <w:lvl w:ilvl="7" w:tplc="3C0E67D8">
      <w:start w:val="1"/>
      <w:numFmt w:val="bullet"/>
      <w:lvlText w:val="o"/>
      <w:lvlJc w:val="left"/>
      <w:pPr>
        <w:ind w:left="5760" w:hanging="360"/>
      </w:pPr>
      <w:rPr>
        <w:rFonts w:ascii="Courier New" w:hAnsi="Courier New" w:hint="default"/>
      </w:rPr>
    </w:lvl>
    <w:lvl w:ilvl="8" w:tplc="556683E8">
      <w:start w:val="1"/>
      <w:numFmt w:val="bullet"/>
      <w:lvlText w:val=""/>
      <w:lvlJc w:val="left"/>
      <w:pPr>
        <w:ind w:left="6480" w:hanging="360"/>
      </w:pPr>
      <w:rPr>
        <w:rFonts w:ascii="Wingdings" w:hAnsi="Wingdings" w:hint="default"/>
      </w:rPr>
    </w:lvl>
  </w:abstractNum>
  <w:abstractNum w:abstractNumId="35" w15:restartNumberingAfterBreak="0">
    <w:nsid w:val="54016317"/>
    <w:multiLevelType w:val="hybridMultilevel"/>
    <w:tmpl w:val="6A9A1136"/>
    <w:lvl w:ilvl="0" w:tplc="FFFFFFFF">
      <w:start w:val="2"/>
      <w:numFmt w:val="bullet"/>
      <w:lvlText w:val="-"/>
      <w:lvlJc w:val="left"/>
      <w:pPr>
        <w:ind w:left="6598" w:hanging="360"/>
      </w:pPr>
      <w:rPr>
        <w:rFonts w:ascii="Times New Roman" w:hAnsi="Times New Roman" w:hint="default"/>
      </w:rPr>
    </w:lvl>
    <w:lvl w:ilvl="1" w:tplc="04270003" w:tentative="1">
      <w:start w:val="1"/>
      <w:numFmt w:val="bullet"/>
      <w:lvlText w:val="o"/>
      <w:lvlJc w:val="left"/>
      <w:pPr>
        <w:ind w:left="7318" w:hanging="360"/>
      </w:pPr>
      <w:rPr>
        <w:rFonts w:ascii="Courier New" w:hAnsi="Courier New" w:cs="Courier New" w:hint="default"/>
      </w:rPr>
    </w:lvl>
    <w:lvl w:ilvl="2" w:tplc="04270005" w:tentative="1">
      <w:start w:val="1"/>
      <w:numFmt w:val="bullet"/>
      <w:lvlText w:val=""/>
      <w:lvlJc w:val="left"/>
      <w:pPr>
        <w:ind w:left="8038" w:hanging="360"/>
      </w:pPr>
      <w:rPr>
        <w:rFonts w:ascii="Wingdings" w:hAnsi="Wingdings" w:hint="default"/>
      </w:rPr>
    </w:lvl>
    <w:lvl w:ilvl="3" w:tplc="04270001" w:tentative="1">
      <w:start w:val="1"/>
      <w:numFmt w:val="bullet"/>
      <w:lvlText w:val=""/>
      <w:lvlJc w:val="left"/>
      <w:pPr>
        <w:ind w:left="8758" w:hanging="360"/>
      </w:pPr>
      <w:rPr>
        <w:rFonts w:ascii="Symbol" w:hAnsi="Symbol" w:hint="default"/>
      </w:rPr>
    </w:lvl>
    <w:lvl w:ilvl="4" w:tplc="04270003" w:tentative="1">
      <w:start w:val="1"/>
      <w:numFmt w:val="bullet"/>
      <w:lvlText w:val="o"/>
      <w:lvlJc w:val="left"/>
      <w:pPr>
        <w:ind w:left="9478" w:hanging="360"/>
      </w:pPr>
      <w:rPr>
        <w:rFonts w:ascii="Courier New" w:hAnsi="Courier New" w:cs="Courier New" w:hint="default"/>
      </w:rPr>
    </w:lvl>
    <w:lvl w:ilvl="5" w:tplc="04270005" w:tentative="1">
      <w:start w:val="1"/>
      <w:numFmt w:val="bullet"/>
      <w:lvlText w:val=""/>
      <w:lvlJc w:val="left"/>
      <w:pPr>
        <w:ind w:left="10198" w:hanging="360"/>
      </w:pPr>
      <w:rPr>
        <w:rFonts w:ascii="Wingdings" w:hAnsi="Wingdings" w:hint="default"/>
      </w:rPr>
    </w:lvl>
    <w:lvl w:ilvl="6" w:tplc="04270001" w:tentative="1">
      <w:start w:val="1"/>
      <w:numFmt w:val="bullet"/>
      <w:lvlText w:val=""/>
      <w:lvlJc w:val="left"/>
      <w:pPr>
        <w:ind w:left="10918" w:hanging="360"/>
      </w:pPr>
      <w:rPr>
        <w:rFonts w:ascii="Symbol" w:hAnsi="Symbol" w:hint="default"/>
      </w:rPr>
    </w:lvl>
    <w:lvl w:ilvl="7" w:tplc="04270003" w:tentative="1">
      <w:start w:val="1"/>
      <w:numFmt w:val="bullet"/>
      <w:lvlText w:val="o"/>
      <w:lvlJc w:val="left"/>
      <w:pPr>
        <w:ind w:left="11638" w:hanging="360"/>
      </w:pPr>
      <w:rPr>
        <w:rFonts w:ascii="Courier New" w:hAnsi="Courier New" w:cs="Courier New" w:hint="default"/>
      </w:rPr>
    </w:lvl>
    <w:lvl w:ilvl="8" w:tplc="04270005" w:tentative="1">
      <w:start w:val="1"/>
      <w:numFmt w:val="bullet"/>
      <w:lvlText w:val=""/>
      <w:lvlJc w:val="left"/>
      <w:pPr>
        <w:ind w:left="12358" w:hanging="360"/>
      </w:pPr>
      <w:rPr>
        <w:rFonts w:ascii="Wingdings" w:hAnsi="Wingdings" w:hint="default"/>
      </w:rPr>
    </w:lvl>
  </w:abstractNum>
  <w:abstractNum w:abstractNumId="36" w15:restartNumberingAfterBreak="0">
    <w:nsid w:val="59C06D1E"/>
    <w:multiLevelType w:val="hybridMultilevel"/>
    <w:tmpl w:val="BACEEAAE"/>
    <w:lvl w:ilvl="0" w:tplc="FFFFFFFF">
      <w:start w:val="1"/>
      <w:numFmt w:val="decimal"/>
      <w:lvlText w:val="%1."/>
      <w:lvlJc w:val="left"/>
      <w:pPr>
        <w:tabs>
          <w:tab w:val="num" w:pos="360"/>
        </w:tabs>
        <w:ind w:left="360" w:hanging="360"/>
      </w:pPr>
    </w:lvl>
    <w:lvl w:ilvl="1" w:tplc="FFFFFFFF">
      <w:start w:val="2"/>
      <w:numFmt w:val="bullet"/>
      <w:lvlText w:val="-"/>
      <w:lvlJc w:val="left"/>
      <w:pPr>
        <w:ind w:left="1080" w:hanging="360"/>
      </w:pPr>
      <w:rPr>
        <w:rFonts w:ascii="Times New Roman" w:hAnsi="Times New Roman" w:hint="default"/>
      </w:rPr>
    </w:lvl>
    <w:lvl w:ilvl="2" w:tplc="3BB85FBE" w:tentative="1">
      <w:start w:val="1"/>
      <w:numFmt w:val="decimal"/>
      <w:lvlText w:val="%3."/>
      <w:lvlJc w:val="left"/>
      <w:pPr>
        <w:tabs>
          <w:tab w:val="num" w:pos="1800"/>
        </w:tabs>
        <w:ind w:left="1800" w:hanging="360"/>
      </w:pPr>
    </w:lvl>
    <w:lvl w:ilvl="3" w:tplc="73A883C6" w:tentative="1">
      <w:start w:val="1"/>
      <w:numFmt w:val="decimal"/>
      <w:lvlText w:val="%4."/>
      <w:lvlJc w:val="left"/>
      <w:pPr>
        <w:tabs>
          <w:tab w:val="num" w:pos="2520"/>
        </w:tabs>
        <w:ind w:left="2520" w:hanging="360"/>
      </w:pPr>
    </w:lvl>
    <w:lvl w:ilvl="4" w:tplc="B8227C9A" w:tentative="1">
      <w:start w:val="1"/>
      <w:numFmt w:val="decimal"/>
      <w:lvlText w:val="%5."/>
      <w:lvlJc w:val="left"/>
      <w:pPr>
        <w:tabs>
          <w:tab w:val="num" w:pos="3240"/>
        </w:tabs>
        <w:ind w:left="3240" w:hanging="360"/>
      </w:pPr>
    </w:lvl>
    <w:lvl w:ilvl="5" w:tplc="C42EB538" w:tentative="1">
      <w:start w:val="1"/>
      <w:numFmt w:val="decimal"/>
      <w:lvlText w:val="%6."/>
      <w:lvlJc w:val="left"/>
      <w:pPr>
        <w:tabs>
          <w:tab w:val="num" w:pos="3960"/>
        </w:tabs>
        <w:ind w:left="3960" w:hanging="360"/>
      </w:pPr>
    </w:lvl>
    <w:lvl w:ilvl="6" w:tplc="C1545AB8" w:tentative="1">
      <w:start w:val="1"/>
      <w:numFmt w:val="decimal"/>
      <w:lvlText w:val="%7."/>
      <w:lvlJc w:val="left"/>
      <w:pPr>
        <w:tabs>
          <w:tab w:val="num" w:pos="4680"/>
        </w:tabs>
        <w:ind w:left="4680" w:hanging="360"/>
      </w:pPr>
    </w:lvl>
    <w:lvl w:ilvl="7" w:tplc="A06E0E50" w:tentative="1">
      <w:start w:val="1"/>
      <w:numFmt w:val="decimal"/>
      <w:lvlText w:val="%8."/>
      <w:lvlJc w:val="left"/>
      <w:pPr>
        <w:tabs>
          <w:tab w:val="num" w:pos="5400"/>
        </w:tabs>
        <w:ind w:left="5400" w:hanging="360"/>
      </w:pPr>
    </w:lvl>
    <w:lvl w:ilvl="8" w:tplc="87100E0E" w:tentative="1">
      <w:start w:val="1"/>
      <w:numFmt w:val="decimal"/>
      <w:lvlText w:val="%9."/>
      <w:lvlJc w:val="left"/>
      <w:pPr>
        <w:tabs>
          <w:tab w:val="num" w:pos="6120"/>
        </w:tabs>
        <w:ind w:left="6120" w:hanging="360"/>
      </w:pPr>
    </w:lvl>
  </w:abstractNum>
  <w:abstractNum w:abstractNumId="37" w15:restartNumberingAfterBreak="0">
    <w:nsid w:val="59E44FD6"/>
    <w:multiLevelType w:val="hybridMultilevel"/>
    <w:tmpl w:val="FFFFFFFF"/>
    <w:lvl w:ilvl="0" w:tplc="212C0C3A">
      <w:start w:val="1"/>
      <w:numFmt w:val="bullet"/>
      <w:lvlText w:val=""/>
      <w:lvlJc w:val="left"/>
      <w:pPr>
        <w:ind w:left="720" w:hanging="360"/>
      </w:pPr>
      <w:rPr>
        <w:rFonts w:ascii="Symbol" w:hAnsi="Symbol" w:hint="default"/>
      </w:rPr>
    </w:lvl>
    <w:lvl w:ilvl="1" w:tplc="4BFEB0C0">
      <w:start w:val="1"/>
      <w:numFmt w:val="bullet"/>
      <w:lvlText w:val="o"/>
      <w:lvlJc w:val="left"/>
      <w:pPr>
        <w:ind w:left="1440" w:hanging="360"/>
      </w:pPr>
      <w:rPr>
        <w:rFonts w:ascii="Courier New" w:hAnsi="Courier New" w:hint="default"/>
      </w:rPr>
    </w:lvl>
    <w:lvl w:ilvl="2" w:tplc="41421454">
      <w:start w:val="1"/>
      <w:numFmt w:val="bullet"/>
      <w:lvlText w:val=""/>
      <w:lvlJc w:val="left"/>
      <w:pPr>
        <w:ind w:left="2160" w:hanging="360"/>
      </w:pPr>
      <w:rPr>
        <w:rFonts w:ascii="Wingdings" w:hAnsi="Wingdings" w:hint="default"/>
      </w:rPr>
    </w:lvl>
    <w:lvl w:ilvl="3" w:tplc="4EB4BDF4">
      <w:start w:val="1"/>
      <w:numFmt w:val="bullet"/>
      <w:lvlText w:val=""/>
      <w:lvlJc w:val="left"/>
      <w:pPr>
        <w:ind w:left="2880" w:hanging="360"/>
      </w:pPr>
      <w:rPr>
        <w:rFonts w:ascii="Symbol" w:hAnsi="Symbol" w:hint="default"/>
      </w:rPr>
    </w:lvl>
    <w:lvl w:ilvl="4" w:tplc="E180710C">
      <w:start w:val="1"/>
      <w:numFmt w:val="bullet"/>
      <w:lvlText w:val="o"/>
      <w:lvlJc w:val="left"/>
      <w:pPr>
        <w:ind w:left="3600" w:hanging="360"/>
      </w:pPr>
      <w:rPr>
        <w:rFonts w:ascii="Courier New" w:hAnsi="Courier New" w:hint="default"/>
      </w:rPr>
    </w:lvl>
    <w:lvl w:ilvl="5" w:tplc="5ADC1B24">
      <w:start w:val="1"/>
      <w:numFmt w:val="bullet"/>
      <w:lvlText w:val=""/>
      <w:lvlJc w:val="left"/>
      <w:pPr>
        <w:ind w:left="4320" w:hanging="360"/>
      </w:pPr>
      <w:rPr>
        <w:rFonts w:ascii="Wingdings" w:hAnsi="Wingdings" w:hint="default"/>
      </w:rPr>
    </w:lvl>
    <w:lvl w:ilvl="6" w:tplc="A00A42A4">
      <w:start w:val="1"/>
      <w:numFmt w:val="bullet"/>
      <w:lvlText w:val=""/>
      <w:lvlJc w:val="left"/>
      <w:pPr>
        <w:ind w:left="5040" w:hanging="360"/>
      </w:pPr>
      <w:rPr>
        <w:rFonts w:ascii="Symbol" w:hAnsi="Symbol" w:hint="default"/>
      </w:rPr>
    </w:lvl>
    <w:lvl w:ilvl="7" w:tplc="08D29AD2">
      <w:start w:val="1"/>
      <w:numFmt w:val="bullet"/>
      <w:lvlText w:val="o"/>
      <w:lvlJc w:val="left"/>
      <w:pPr>
        <w:ind w:left="5760" w:hanging="360"/>
      </w:pPr>
      <w:rPr>
        <w:rFonts w:ascii="Courier New" w:hAnsi="Courier New" w:hint="default"/>
      </w:rPr>
    </w:lvl>
    <w:lvl w:ilvl="8" w:tplc="E99EF7D2">
      <w:start w:val="1"/>
      <w:numFmt w:val="bullet"/>
      <w:lvlText w:val=""/>
      <w:lvlJc w:val="left"/>
      <w:pPr>
        <w:ind w:left="6480" w:hanging="360"/>
      </w:pPr>
      <w:rPr>
        <w:rFonts w:ascii="Wingdings" w:hAnsi="Wingdings" w:hint="default"/>
      </w:rPr>
    </w:lvl>
  </w:abstractNum>
  <w:abstractNum w:abstractNumId="38" w15:restartNumberingAfterBreak="0">
    <w:nsid w:val="64485BCB"/>
    <w:multiLevelType w:val="hybridMultilevel"/>
    <w:tmpl w:val="6A84C202"/>
    <w:lvl w:ilvl="0" w:tplc="FFFFFFFF">
      <w:start w:val="2"/>
      <w:numFmt w:val="bullet"/>
      <w:lvlText w:val="-"/>
      <w:lvlJc w:val="left"/>
      <w:pPr>
        <w:ind w:left="720" w:hanging="360"/>
      </w:pPr>
      <w:rPr>
        <w:rFonts w:ascii="Times New Roman" w:hAnsi="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646B1951"/>
    <w:multiLevelType w:val="hybridMultilevel"/>
    <w:tmpl w:val="DADCDA74"/>
    <w:lvl w:ilvl="0" w:tplc="FFFFFFFF">
      <w:start w:val="1"/>
      <w:numFmt w:val="decimal"/>
      <w:lvlText w:val="%1."/>
      <w:lvlJc w:val="left"/>
      <w:pPr>
        <w:tabs>
          <w:tab w:val="num" w:pos="360"/>
        </w:tabs>
        <w:ind w:left="360" w:hanging="360"/>
      </w:pPr>
    </w:lvl>
    <w:lvl w:ilvl="1" w:tplc="32625836">
      <w:numFmt w:val="bullet"/>
      <w:lvlText w:val="•"/>
      <w:lvlJc w:val="left"/>
      <w:pPr>
        <w:ind w:left="1080" w:hanging="360"/>
      </w:pPr>
      <w:rPr>
        <w:rFonts w:ascii="Times New Roman" w:eastAsia="Times New Roman" w:hAnsi="Times New Roman" w:cs="Times New Roman" w:hint="default"/>
      </w:rPr>
    </w:lvl>
    <w:lvl w:ilvl="2" w:tplc="3BB85FBE" w:tentative="1">
      <w:start w:val="1"/>
      <w:numFmt w:val="decimal"/>
      <w:lvlText w:val="%3."/>
      <w:lvlJc w:val="left"/>
      <w:pPr>
        <w:tabs>
          <w:tab w:val="num" w:pos="1800"/>
        </w:tabs>
        <w:ind w:left="1800" w:hanging="360"/>
      </w:pPr>
    </w:lvl>
    <w:lvl w:ilvl="3" w:tplc="73A883C6" w:tentative="1">
      <w:start w:val="1"/>
      <w:numFmt w:val="decimal"/>
      <w:lvlText w:val="%4."/>
      <w:lvlJc w:val="left"/>
      <w:pPr>
        <w:tabs>
          <w:tab w:val="num" w:pos="2520"/>
        </w:tabs>
        <w:ind w:left="2520" w:hanging="360"/>
      </w:pPr>
    </w:lvl>
    <w:lvl w:ilvl="4" w:tplc="B8227C9A" w:tentative="1">
      <w:start w:val="1"/>
      <w:numFmt w:val="decimal"/>
      <w:lvlText w:val="%5."/>
      <w:lvlJc w:val="left"/>
      <w:pPr>
        <w:tabs>
          <w:tab w:val="num" w:pos="3240"/>
        </w:tabs>
        <w:ind w:left="3240" w:hanging="360"/>
      </w:pPr>
    </w:lvl>
    <w:lvl w:ilvl="5" w:tplc="C42EB538" w:tentative="1">
      <w:start w:val="1"/>
      <w:numFmt w:val="decimal"/>
      <w:lvlText w:val="%6."/>
      <w:lvlJc w:val="left"/>
      <w:pPr>
        <w:tabs>
          <w:tab w:val="num" w:pos="3960"/>
        </w:tabs>
        <w:ind w:left="3960" w:hanging="360"/>
      </w:pPr>
    </w:lvl>
    <w:lvl w:ilvl="6" w:tplc="C1545AB8" w:tentative="1">
      <w:start w:val="1"/>
      <w:numFmt w:val="decimal"/>
      <w:lvlText w:val="%7."/>
      <w:lvlJc w:val="left"/>
      <w:pPr>
        <w:tabs>
          <w:tab w:val="num" w:pos="4680"/>
        </w:tabs>
        <w:ind w:left="4680" w:hanging="360"/>
      </w:pPr>
    </w:lvl>
    <w:lvl w:ilvl="7" w:tplc="A06E0E50" w:tentative="1">
      <w:start w:val="1"/>
      <w:numFmt w:val="decimal"/>
      <w:lvlText w:val="%8."/>
      <w:lvlJc w:val="left"/>
      <w:pPr>
        <w:tabs>
          <w:tab w:val="num" w:pos="5400"/>
        </w:tabs>
        <w:ind w:left="5400" w:hanging="360"/>
      </w:pPr>
    </w:lvl>
    <w:lvl w:ilvl="8" w:tplc="87100E0E" w:tentative="1">
      <w:start w:val="1"/>
      <w:numFmt w:val="decimal"/>
      <w:lvlText w:val="%9."/>
      <w:lvlJc w:val="left"/>
      <w:pPr>
        <w:tabs>
          <w:tab w:val="num" w:pos="6120"/>
        </w:tabs>
        <w:ind w:left="6120" w:hanging="360"/>
      </w:pPr>
    </w:lvl>
  </w:abstractNum>
  <w:abstractNum w:abstractNumId="40" w15:restartNumberingAfterBreak="0">
    <w:nsid w:val="652874EC"/>
    <w:multiLevelType w:val="hybridMultilevel"/>
    <w:tmpl w:val="89B42434"/>
    <w:lvl w:ilvl="0" w:tplc="FFFFFFFF">
      <w:start w:val="2"/>
      <w:numFmt w:val="bullet"/>
      <w:lvlText w:val="-"/>
      <w:lvlJc w:val="left"/>
      <w:pPr>
        <w:ind w:left="720" w:hanging="360"/>
      </w:pPr>
      <w:rPr>
        <w:rFonts w:ascii="Times New Roman" w:hAnsi="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66EE1427"/>
    <w:multiLevelType w:val="hybridMultilevel"/>
    <w:tmpl w:val="A2AAF6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68460FC6"/>
    <w:multiLevelType w:val="hybridMultilevel"/>
    <w:tmpl w:val="FFFFFFFF"/>
    <w:lvl w:ilvl="0" w:tplc="88C6B4FE">
      <w:start w:val="1"/>
      <w:numFmt w:val="bullet"/>
      <w:lvlText w:val=""/>
      <w:lvlJc w:val="left"/>
      <w:pPr>
        <w:ind w:left="720" w:hanging="360"/>
      </w:pPr>
      <w:rPr>
        <w:rFonts w:ascii="Symbol" w:hAnsi="Symbol" w:hint="default"/>
      </w:rPr>
    </w:lvl>
    <w:lvl w:ilvl="1" w:tplc="02FE31AA">
      <w:start w:val="1"/>
      <w:numFmt w:val="bullet"/>
      <w:lvlText w:val="o"/>
      <w:lvlJc w:val="left"/>
      <w:pPr>
        <w:ind w:left="1440" w:hanging="360"/>
      </w:pPr>
      <w:rPr>
        <w:rFonts w:ascii="Courier New" w:hAnsi="Courier New" w:hint="default"/>
      </w:rPr>
    </w:lvl>
    <w:lvl w:ilvl="2" w:tplc="930A7798">
      <w:start w:val="1"/>
      <w:numFmt w:val="bullet"/>
      <w:lvlText w:val=""/>
      <w:lvlJc w:val="left"/>
      <w:pPr>
        <w:ind w:left="2160" w:hanging="360"/>
      </w:pPr>
      <w:rPr>
        <w:rFonts w:ascii="Wingdings" w:hAnsi="Wingdings" w:hint="default"/>
      </w:rPr>
    </w:lvl>
    <w:lvl w:ilvl="3" w:tplc="860AAEA0">
      <w:start w:val="1"/>
      <w:numFmt w:val="bullet"/>
      <w:lvlText w:val=""/>
      <w:lvlJc w:val="left"/>
      <w:pPr>
        <w:ind w:left="2880" w:hanging="360"/>
      </w:pPr>
      <w:rPr>
        <w:rFonts w:ascii="Symbol" w:hAnsi="Symbol" w:hint="default"/>
      </w:rPr>
    </w:lvl>
    <w:lvl w:ilvl="4" w:tplc="E118FBA6">
      <w:start w:val="1"/>
      <w:numFmt w:val="bullet"/>
      <w:lvlText w:val="o"/>
      <w:lvlJc w:val="left"/>
      <w:pPr>
        <w:ind w:left="3600" w:hanging="360"/>
      </w:pPr>
      <w:rPr>
        <w:rFonts w:ascii="Courier New" w:hAnsi="Courier New" w:hint="default"/>
      </w:rPr>
    </w:lvl>
    <w:lvl w:ilvl="5" w:tplc="91A6FD04">
      <w:start w:val="1"/>
      <w:numFmt w:val="bullet"/>
      <w:lvlText w:val=""/>
      <w:lvlJc w:val="left"/>
      <w:pPr>
        <w:ind w:left="4320" w:hanging="360"/>
      </w:pPr>
      <w:rPr>
        <w:rFonts w:ascii="Wingdings" w:hAnsi="Wingdings" w:hint="default"/>
      </w:rPr>
    </w:lvl>
    <w:lvl w:ilvl="6" w:tplc="31AC21B6">
      <w:start w:val="1"/>
      <w:numFmt w:val="bullet"/>
      <w:lvlText w:val=""/>
      <w:lvlJc w:val="left"/>
      <w:pPr>
        <w:ind w:left="5040" w:hanging="360"/>
      </w:pPr>
      <w:rPr>
        <w:rFonts w:ascii="Symbol" w:hAnsi="Symbol" w:hint="default"/>
      </w:rPr>
    </w:lvl>
    <w:lvl w:ilvl="7" w:tplc="BE42864E">
      <w:start w:val="1"/>
      <w:numFmt w:val="bullet"/>
      <w:lvlText w:val="o"/>
      <w:lvlJc w:val="left"/>
      <w:pPr>
        <w:ind w:left="5760" w:hanging="360"/>
      </w:pPr>
      <w:rPr>
        <w:rFonts w:ascii="Courier New" w:hAnsi="Courier New" w:hint="default"/>
      </w:rPr>
    </w:lvl>
    <w:lvl w:ilvl="8" w:tplc="D3261940">
      <w:start w:val="1"/>
      <w:numFmt w:val="bullet"/>
      <w:lvlText w:val=""/>
      <w:lvlJc w:val="left"/>
      <w:pPr>
        <w:ind w:left="6480" w:hanging="360"/>
      </w:pPr>
      <w:rPr>
        <w:rFonts w:ascii="Wingdings" w:hAnsi="Wingdings" w:hint="default"/>
      </w:rPr>
    </w:lvl>
  </w:abstractNum>
  <w:abstractNum w:abstractNumId="43" w15:restartNumberingAfterBreak="0">
    <w:nsid w:val="69DF55A8"/>
    <w:multiLevelType w:val="hybridMultilevel"/>
    <w:tmpl w:val="AC12C6B0"/>
    <w:lvl w:ilvl="0" w:tplc="DA6861B0">
      <w:start w:val="2"/>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6C1945B1"/>
    <w:multiLevelType w:val="hybridMultilevel"/>
    <w:tmpl w:val="D03ADC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8B1A08"/>
    <w:multiLevelType w:val="multilevel"/>
    <w:tmpl w:val="9D1CB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0A552D"/>
    <w:multiLevelType w:val="hybridMultilevel"/>
    <w:tmpl w:val="E7FE8DDC"/>
    <w:lvl w:ilvl="0" w:tplc="FFFFFFFF">
      <w:start w:val="2"/>
      <w:numFmt w:val="bullet"/>
      <w:lvlText w:val="-"/>
      <w:lvlJc w:val="left"/>
      <w:pPr>
        <w:ind w:left="720" w:hanging="360"/>
      </w:pPr>
      <w:rPr>
        <w:rFonts w:ascii="Times New Roman" w:hAnsi="Times New Roman" w:hint="default"/>
      </w:rPr>
    </w:lvl>
    <w:lvl w:ilvl="1" w:tplc="9E0A5922">
      <w:start w:val="1"/>
      <w:numFmt w:val="bullet"/>
      <w:lvlText w:val="o"/>
      <w:lvlJc w:val="left"/>
      <w:pPr>
        <w:ind w:left="1440" w:hanging="360"/>
      </w:pPr>
      <w:rPr>
        <w:rFonts w:ascii="Courier New" w:hAnsi="Courier New" w:hint="default"/>
      </w:rPr>
    </w:lvl>
    <w:lvl w:ilvl="2" w:tplc="D286048A">
      <w:start w:val="1"/>
      <w:numFmt w:val="bullet"/>
      <w:lvlText w:val=""/>
      <w:lvlJc w:val="left"/>
      <w:pPr>
        <w:ind w:left="2160" w:hanging="360"/>
      </w:pPr>
      <w:rPr>
        <w:rFonts w:ascii="Wingdings" w:hAnsi="Wingdings" w:hint="default"/>
      </w:rPr>
    </w:lvl>
    <w:lvl w:ilvl="3" w:tplc="600E94BE">
      <w:start w:val="1"/>
      <w:numFmt w:val="bullet"/>
      <w:lvlText w:val=""/>
      <w:lvlJc w:val="left"/>
      <w:pPr>
        <w:ind w:left="2880" w:hanging="360"/>
      </w:pPr>
      <w:rPr>
        <w:rFonts w:ascii="Symbol" w:hAnsi="Symbol" w:hint="default"/>
      </w:rPr>
    </w:lvl>
    <w:lvl w:ilvl="4" w:tplc="E4D07D2C">
      <w:start w:val="1"/>
      <w:numFmt w:val="bullet"/>
      <w:lvlText w:val="o"/>
      <w:lvlJc w:val="left"/>
      <w:pPr>
        <w:ind w:left="3600" w:hanging="360"/>
      </w:pPr>
      <w:rPr>
        <w:rFonts w:ascii="Courier New" w:hAnsi="Courier New" w:hint="default"/>
      </w:rPr>
    </w:lvl>
    <w:lvl w:ilvl="5" w:tplc="62D85280">
      <w:start w:val="1"/>
      <w:numFmt w:val="bullet"/>
      <w:lvlText w:val=""/>
      <w:lvlJc w:val="left"/>
      <w:pPr>
        <w:ind w:left="4320" w:hanging="360"/>
      </w:pPr>
      <w:rPr>
        <w:rFonts w:ascii="Wingdings" w:hAnsi="Wingdings" w:hint="default"/>
      </w:rPr>
    </w:lvl>
    <w:lvl w:ilvl="6" w:tplc="5554D50E">
      <w:start w:val="1"/>
      <w:numFmt w:val="bullet"/>
      <w:lvlText w:val=""/>
      <w:lvlJc w:val="left"/>
      <w:pPr>
        <w:ind w:left="5040" w:hanging="360"/>
      </w:pPr>
      <w:rPr>
        <w:rFonts w:ascii="Symbol" w:hAnsi="Symbol" w:hint="default"/>
      </w:rPr>
    </w:lvl>
    <w:lvl w:ilvl="7" w:tplc="33E4440A">
      <w:start w:val="1"/>
      <w:numFmt w:val="bullet"/>
      <w:lvlText w:val="o"/>
      <w:lvlJc w:val="left"/>
      <w:pPr>
        <w:ind w:left="5760" w:hanging="360"/>
      </w:pPr>
      <w:rPr>
        <w:rFonts w:ascii="Courier New" w:hAnsi="Courier New" w:hint="default"/>
      </w:rPr>
    </w:lvl>
    <w:lvl w:ilvl="8" w:tplc="C6B0DD2E">
      <w:start w:val="1"/>
      <w:numFmt w:val="bullet"/>
      <w:lvlText w:val=""/>
      <w:lvlJc w:val="left"/>
      <w:pPr>
        <w:ind w:left="6480" w:hanging="360"/>
      </w:pPr>
      <w:rPr>
        <w:rFonts w:ascii="Wingdings" w:hAnsi="Wingdings" w:hint="default"/>
      </w:rPr>
    </w:lvl>
  </w:abstractNum>
  <w:abstractNum w:abstractNumId="47" w15:restartNumberingAfterBreak="0">
    <w:nsid w:val="717970F7"/>
    <w:multiLevelType w:val="hybridMultilevel"/>
    <w:tmpl w:val="2BA22A9E"/>
    <w:lvl w:ilvl="0" w:tplc="76B2EE42">
      <w:start w:val="1"/>
      <w:numFmt w:val="decimal"/>
      <w:lvlText w:val="%1."/>
      <w:lvlJc w:val="left"/>
      <w:pPr>
        <w:tabs>
          <w:tab w:val="num" w:pos="360"/>
        </w:tabs>
        <w:ind w:left="360" w:hanging="360"/>
      </w:pPr>
    </w:lvl>
    <w:lvl w:ilvl="1" w:tplc="FEEEB832" w:tentative="1">
      <w:start w:val="1"/>
      <w:numFmt w:val="decimal"/>
      <w:lvlText w:val="%2."/>
      <w:lvlJc w:val="left"/>
      <w:pPr>
        <w:tabs>
          <w:tab w:val="num" w:pos="1080"/>
        </w:tabs>
        <w:ind w:left="1080" w:hanging="360"/>
      </w:pPr>
    </w:lvl>
    <w:lvl w:ilvl="2" w:tplc="DDE66994" w:tentative="1">
      <w:start w:val="1"/>
      <w:numFmt w:val="decimal"/>
      <w:lvlText w:val="%3."/>
      <w:lvlJc w:val="left"/>
      <w:pPr>
        <w:tabs>
          <w:tab w:val="num" w:pos="1800"/>
        </w:tabs>
        <w:ind w:left="1800" w:hanging="360"/>
      </w:pPr>
    </w:lvl>
    <w:lvl w:ilvl="3" w:tplc="B7166166" w:tentative="1">
      <w:start w:val="1"/>
      <w:numFmt w:val="decimal"/>
      <w:lvlText w:val="%4."/>
      <w:lvlJc w:val="left"/>
      <w:pPr>
        <w:tabs>
          <w:tab w:val="num" w:pos="2520"/>
        </w:tabs>
        <w:ind w:left="2520" w:hanging="360"/>
      </w:pPr>
    </w:lvl>
    <w:lvl w:ilvl="4" w:tplc="251C1868" w:tentative="1">
      <w:start w:val="1"/>
      <w:numFmt w:val="decimal"/>
      <w:lvlText w:val="%5."/>
      <w:lvlJc w:val="left"/>
      <w:pPr>
        <w:tabs>
          <w:tab w:val="num" w:pos="3240"/>
        </w:tabs>
        <w:ind w:left="3240" w:hanging="360"/>
      </w:pPr>
    </w:lvl>
    <w:lvl w:ilvl="5" w:tplc="CA92F624" w:tentative="1">
      <w:start w:val="1"/>
      <w:numFmt w:val="decimal"/>
      <w:lvlText w:val="%6."/>
      <w:lvlJc w:val="left"/>
      <w:pPr>
        <w:tabs>
          <w:tab w:val="num" w:pos="3960"/>
        </w:tabs>
        <w:ind w:left="3960" w:hanging="360"/>
      </w:pPr>
    </w:lvl>
    <w:lvl w:ilvl="6" w:tplc="6BE251C0" w:tentative="1">
      <w:start w:val="1"/>
      <w:numFmt w:val="decimal"/>
      <w:lvlText w:val="%7."/>
      <w:lvlJc w:val="left"/>
      <w:pPr>
        <w:tabs>
          <w:tab w:val="num" w:pos="4680"/>
        </w:tabs>
        <w:ind w:left="4680" w:hanging="360"/>
      </w:pPr>
    </w:lvl>
    <w:lvl w:ilvl="7" w:tplc="9C7A86F4" w:tentative="1">
      <w:start w:val="1"/>
      <w:numFmt w:val="decimal"/>
      <w:lvlText w:val="%8."/>
      <w:lvlJc w:val="left"/>
      <w:pPr>
        <w:tabs>
          <w:tab w:val="num" w:pos="5400"/>
        </w:tabs>
        <w:ind w:left="5400" w:hanging="360"/>
      </w:pPr>
    </w:lvl>
    <w:lvl w:ilvl="8" w:tplc="9D569644" w:tentative="1">
      <w:start w:val="1"/>
      <w:numFmt w:val="decimal"/>
      <w:lvlText w:val="%9."/>
      <w:lvlJc w:val="left"/>
      <w:pPr>
        <w:tabs>
          <w:tab w:val="num" w:pos="6120"/>
        </w:tabs>
        <w:ind w:left="6120" w:hanging="360"/>
      </w:pPr>
    </w:lvl>
  </w:abstractNum>
  <w:abstractNum w:abstractNumId="48" w15:restartNumberingAfterBreak="0">
    <w:nsid w:val="723D5004"/>
    <w:multiLevelType w:val="hybridMultilevel"/>
    <w:tmpl w:val="FFFFFFFF"/>
    <w:lvl w:ilvl="0" w:tplc="C7386608">
      <w:start w:val="1"/>
      <w:numFmt w:val="bullet"/>
      <w:lvlText w:val=""/>
      <w:lvlJc w:val="left"/>
      <w:pPr>
        <w:ind w:left="720" w:hanging="360"/>
      </w:pPr>
      <w:rPr>
        <w:rFonts w:ascii="Symbol" w:hAnsi="Symbol" w:hint="default"/>
      </w:rPr>
    </w:lvl>
    <w:lvl w:ilvl="1" w:tplc="A6883322">
      <w:start w:val="1"/>
      <w:numFmt w:val="bullet"/>
      <w:lvlText w:val="o"/>
      <w:lvlJc w:val="left"/>
      <w:pPr>
        <w:ind w:left="1440" w:hanging="360"/>
      </w:pPr>
      <w:rPr>
        <w:rFonts w:ascii="Courier New" w:hAnsi="Courier New" w:hint="default"/>
      </w:rPr>
    </w:lvl>
    <w:lvl w:ilvl="2" w:tplc="F3246E9A">
      <w:start w:val="1"/>
      <w:numFmt w:val="bullet"/>
      <w:lvlText w:val=""/>
      <w:lvlJc w:val="left"/>
      <w:pPr>
        <w:ind w:left="2160" w:hanging="360"/>
      </w:pPr>
      <w:rPr>
        <w:rFonts w:ascii="Wingdings" w:hAnsi="Wingdings" w:hint="default"/>
      </w:rPr>
    </w:lvl>
    <w:lvl w:ilvl="3" w:tplc="99F0F62E">
      <w:start w:val="1"/>
      <w:numFmt w:val="bullet"/>
      <w:lvlText w:val=""/>
      <w:lvlJc w:val="left"/>
      <w:pPr>
        <w:ind w:left="2880" w:hanging="360"/>
      </w:pPr>
      <w:rPr>
        <w:rFonts w:ascii="Symbol" w:hAnsi="Symbol" w:hint="default"/>
      </w:rPr>
    </w:lvl>
    <w:lvl w:ilvl="4" w:tplc="D0863722">
      <w:start w:val="1"/>
      <w:numFmt w:val="bullet"/>
      <w:lvlText w:val="o"/>
      <w:lvlJc w:val="left"/>
      <w:pPr>
        <w:ind w:left="3600" w:hanging="360"/>
      </w:pPr>
      <w:rPr>
        <w:rFonts w:ascii="Courier New" w:hAnsi="Courier New" w:hint="default"/>
      </w:rPr>
    </w:lvl>
    <w:lvl w:ilvl="5" w:tplc="7296633C">
      <w:start w:val="1"/>
      <w:numFmt w:val="bullet"/>
      <w:lvlText w:val=""/>
      <w:lvlJc w:val="left"/>
      <w:pPr>
        <w:ind w:left="4320" w:hanging="360"/>
      </w:pPr>
      <w:rPr>
        <w:rFonts w:ascii="Wingdings" w:hAnsi="Wingdings" w:hint="default"/>
      </w:rPr>
    </w:lvl>
    <w:lvl w:ilvl="6" w:tplc="505E7FF6">
      <w:start w:val="1"/>
      <w:numFmt w:val="bullet"/>
      <w:lvlText w:val=""/>
      <w:lvlJc w:val="left"/>
      <w:pPr>
        <w:ind w:left="5040" w:hanging="360"/>
      </w:pPr>
      <w:rPr>
        <w:rFonts w:ascii="Symbol" w:hAnsi="Symbol" w:hint="default"/>
      </w:rPr>
    </w:lvl>
    <w:lvl w:ilvl="7" w:tplc="6180E45A">
      <w:start w:val="1"/>
      <w:numFmt w:val="bullet"/>
      <w:lvlText w:val="o"/>
      <w:lvlJc w:val="left"/>
      <w:pPr>
        <w:ind w:left="5760" w:hanging="360"/>
      </w:pPr>
      <w:rPr>
        <w:rFonts w:ascii="Courier New" w:hAnsi="Courier New" w:hint="default"/>
      </w:rPr>
    </w:lvl>
    <w:lvl w:ilvl="8" w:tplc="0986A458">
      <w:start w:val="1"/>
      <w:numFmt w:val="bullet"/>
      <w:lvlText w:val=""/>
      <w:lvlJc w:val="left"/>
      <w:pPr>
        <w:ind w:left="6480" w:hanging="360"/>
      </w:pPr>
      <w:rPr>
        <w:rFonts w:ascii="Wingdings" w:hAnsi="Wingdings" w:hint="default"/>
      </w:rPr>
    </w:lvl>
  </w:abstractNum>
  <w:abstractNum w:abstractNumId="49" w15:restartNumberingAfterBreak="0">
    <w:nsid w:val="76114158"/>
    <w:multiLevelType w:val="hybridMultilevel"/>
    <w:tmpl w:val="FFFFFFFF"/>
    <w:lvl w:ilvl="0" w:tplc="FF4E0E4E">
      <w:start w:val="1"/>
      <w:numFmt w:val="bullet"/>
      <w:lvlText w:val=""/>
      <w:lvlJc w:val="left"/>
      <w:pPr>
        <w:ind w:left="720" w:hanging="360"/>
      </w:pPr>
      <w:rPr>
        <w:rFonts w:ascii="Symbol" w:hAnsi="Symbol" w:hint="default"/>
      </w:rPr>
    </w:lvl>
    <w:lvl w:ilvl="1" w:tplc="0448B252">
      <w:start w:val="1"/>
      <w:numFmt w:val="bullet"/>
      <w:lvlText w:val="o"/>
      <w:lvlJc w:val="left"/>
      <w:pPr>
        <w:ind w:left="1440" w:hanging="360"/>
      </w:pPr>
      <w:rPr>
        <w:rFonts w:ascii="Courier New" w:hAnsi="Courier New" w:hint="default"/>
      </w:rPr>
    </w:lvl>
    <w:lvl w:ilvl="2" w:tplc="6898139C">
      <w:start w:val="1"/>
      <w:numFmt w:val="bullet"/>
      <w:lvlText w:val=""/>
      <w:lvlJc w:val="left"/>
      <w:pPr>
        <w:ind w:left="2160" w:hanging="360"/>
      </w:pPr>
      <w:rPr>
        <w:rFonts w:ascii="Wingdings" w:hAnsi="Wingdings" w:hint="default"/>
      </w:rPr>
    </w:lvl>
    <w:lvl w:ilvl="3" w:tplc="98DCCA16">
      <w:start w:val="1"/>
      <w:numFmt w:val="bullet"/>
      <w:lvlText w:val=""/>
      <w:lvlJc w:val="left"/>
      <w:pPr>
        <w:ind w:left="2880" w:hanging="360"/>
      </w:pPr>
      <w:rPr>
        <w:rFonts w:ascii="Symbol" w:hAnsi="Symbol" w:hint="default"/>
      </w:rPr>
    </w:lvl>
    <w:lvl w:ilvl="4" w:tplc="542EDBAC">
      <w:start w:val="1"/>
      <w:numFmt w:val="bullet"/>
      <w:lvlText w:val="o"/>
      <w:lvlJc w:val="left"/>
      <w:pPr>
        <w:ind w:left="3600" w:hanging="360"/>
      </w:pPr>
      <w:rPr>
        <w:rFonts w:ascii="Courier New" w:hAnsi="Courier New" w:hint="default"/>
      </w:rPr>
    </w:lvl>
    <w:lvl w:ilvl="5" w:tplc="EC8C342A">
      <w:start w:val="1"/>
      <w:numFmt w:val="bullet"/>
      <w:lvlText w:val=""/>
      <w:lvlJc w:val="left"/>
      <w:pPr>
        <w:ind w:left="4320" w:hanging="360"/>
      </w:pPr>
      <w:rPr>
        <w:rFonts w:ascii="Wingdings" w:hAnsi="Wingdings" w:hint="default"/>
      </w:rPr>
    </w:lvl>
    <w:lvl w:ilvl="6" w:tplc="7D0CAD5A">
      <w:start w:val="1"/>
      <w:numFmt w:val="bullet"/>
      <w:lvlText w:val=""/>
      <w:lvlJc w:val="left"/>
      <w:pPr>
        <w:ind w:left="5040" w:hanging="360"/>
      </w:pPr>
      <w:rPr>
        <w:rFonts w:ascii="Symbol" w:hAnsi="Symbol" w:hint="default"/>
      </w:rPr>
    </w:lvl>
    <w:lvl w:ilvl="7" w:tplc="D1D0CACE">
      <w:start w:val="1"/>
      <w:numFmt w:val="bullet"/>
      <w:lvlText w:val="o"/>
      <w:lvlJc w:val="left"/>
      <w:pPr>
        <w:ind w:left="5760" w:hanging="360"/>
      </w:pPr>
      <w:rPr>
        <w:rFonts w:ascii="Courier New" w:hAnsi="Courier New" w:hint="default"/>
      </w:rPr>
    </w:lvl>
    <w:lvl w:ilvl="8" w:tplc="D3026B1E">
      <w:start w:val="1"/>
      <w:numFmt w:val="bullet"/>
      <w:lvlText w:val=""/>
      <w:lvlJc w:val="left"/>
      <w:pPr>
        <w:ind w:left="6480" w:hanging="360"/>
      </w:pPr>
      <w:rPr>
        <w:rFonts w:ascii="Wingdings" w:hAnsi="Wingdings" w:hint="default"/>
      </w:rPr>
    </w:lvl>
  </w:abstractNum>
  <w:abstractNum w:abstractNumId="50" w15:restartNumberingAfterBreak="0">
    <w:nsid w:val="76EF0C68"/>
    <w:multiLevelType w:val="hybridMultilevel"/>
    <w:tmpl w:val="6B84177C"/>
    <w:lvl w:ilvl="0" w:tplc="517A2858">
      <w:start w:val="1"/>
      <w:numFmt w:val="lowerRoman"/>
      <w:lvlText w:val="%1."/>
      <w:lvlJc w:val="righ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82A2DF4"/>
    <w:multiLevelType w:val="hybridMultilevel"/>
    <w:tmpl w:val="39C2155C"/>
    <w:lvl w:ilvl="0" w:tplc="FFFFFFFF">
      <w:start w:val="2"/>
      <w:numFmt w:val="bullet"/>
      <w:lvlText w:val="-"/>
      <w:lvlJc w:val="left"/>
      <w:pPr>
        <w:ind w:left="720" w:hanging="360"/>
      </w:pPr>
      <w:rPr>
        <w:rFonts w:ascii="Times New Roman" w:hAnsi="Times New Roman" w:hint="default"/>
      </w:rPr>
    </w:lvl>
    <w:lvl w:ilvl="1" w:tplc="FFFFFFFF">
      <w:start w:val="2"/>
      <w:numFmt w:val="bullet"/>
      <w:lvlText w:val="-"/>
      <w:lvlJc w:val="left"/>
      <w:pPr>
        <w:ind w:left="1440" w:hanging="360"/>
      </w:pPr>
      <w:rPr>
        <w:rFonts w:ascii="Times New Roman" w:hAnsi="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7F6D510C"/>
    <w:multiLevelType w:val="hybridMultilevel"/>
    <w:tmpl w:val="E4448428"/>
    <w:lvl w:ilvl="0" w:tplc="FFFFFFFF">
      <w:start w:val="2"/>
      <w:numFmt w:val="bullet"/>
      <w:lvlText w:val="-"/>
      <w:lvlJc w:val="left"/>
      <w:pPr>
        <w:ind w:left="720" w:hanging="360"/>
      </w:pPr>
      <w:rPr>
        <w:rFonts w:ascii="Times New Roman" w:hAnsi="Times New Roman" w:hint="default"/>
      </w:rPr>
    </w:lvl>
    <w:lvl w:ilvl="1" w:tplc="41DE2E28">
      <w:start w:val="1"/>
      <w:numFmt w:val="bullet"/>
      <w:lvlText w:val="o"/>
      <w:lvlJc w:val="left"/>
      <w:pPr>
        <w:ind w:left="1440" w:hanging="360"/>
      </w:pPr>
      <w:rPr>
        <w:rFonts w:ascii="Courier New" w:hAnsi="Courier New" w:hint="default"/>
      </w:rPr>
    </w:lvl>
    <w:lvl w:ilvl="2" w:tplc="219A61A4">
      <w:start w:val="1"/>
      <w:numFmt w:val="bullet"/>
      <w:lvlText w:val=""/>
      <w:lvlJc w:val="left"/>
      <w:pPr>
        <w:ind w:left="2160" w:hanging="360"/>
      </w:pPr>
      <w:rPr>
        <w:rFonts w:ascii="Wingdings" w:hAnsi="Wingdings" w:hint="default"/>
      </w:rPr>
    </w:lvl>
    <w:lvl w:ilvl="3" w:tplc="5FC80D76">
      <w:start w:val="1"/>
      <w:numFmt w:val="bullet"/>
      <w:lvlText w:val=""/>
      <w:lvlJc w:val="left"/>
      <w:pPr>
        <w:ind w:left="2880" w:hanging="360"/>
      </w:pPr>
      <w:rPr>
        <w:rFonts w:ascii="Symbol" w:hAnsi="Symbol" w:hint="default"/>
      </w:rPr>
    </w:lvl>
    <w:lvl w:ilvl="4" w:tplc="C9F2F346">
      <w:start w:val="1"/>
      <w:numFmt w:val="bullet"/>
      <w:lvlText w:val="o"/>
      <w:lvlJc w:val="left"/>
      <w:pPr>
        <w:ind w:left="3600" w:hanging="360"/>
      </w:pPr>
      <w:rPr>
        <w:rFonts w:ascii="Courier New" w:hAnsi="Courier New" w:hint="default"/>
      </w:rPr>
    </w:lvl>
    <w:lvl w:ilvl="5" w:tplc="50728350">
      <w:start w:val="1"/>
      <w:numFmt w:val="bullet"/>
      <w:lvlText w:val=""/>
      <w:lvlJc w:val="left"/>
      <w:pPr>
        <w:ind w:left="4320" w:hanging="360"/>
      </w:pPr>
      <w:rPr>
        <w:rFonts w:ascii="Wingdings" w:hAnsi="Wingdings" w:hint="default"/>
      </w:rPr>
    </w:lvl>
    <w:lvl w:ilvl="6" w:tplc="3932ADEC">
      <w:start w:val="1"/>
      <w:numFmt w:val="bullet"/>
      <w:lvlText w:val=""/>
      <w:lvlJc w:val="left"/>
      <w:pPr>
        <w:ind w:left="5040" w:hanging="360"/>
      </w:pPr>
      <w:rPr>
        <w:rFonts w:ascii="Symbol" w:hAnsi="Symbol" w:hint="default"/>
      </w:rPr>
    </w:lvl>
    <w:lvl w:ilvl="7" w:tplc="ADE22E9E">
      <w:start w:val="1"/>
      <w:numFmt w:val="bullet"/>
      <w:lvlText w:val="o"/>
      <w:lvlJc w:val="left"/>
      <w:pPr>
        <w:ind w:left="5760" w:hanging="360"/>
      </w:pPr>
      <w:rPr>
        <w:rFonts w:ascii="Courier New" w:hAnsi="Courier New" w:hint="default"/>
      </w:rPr>
    </w:lvl>
    <w:lvl w:ilvl="8" w:tplc="DCF2F2EC">
      <w:start w:val="1"/>
      <w:numFmt w:val="bullet"/>
      <w:lvlText w:val=""/>
      <w:lvlJc w:val="left"/>
      <w:pPr>
        <w:ind w:left="6480" w:hanging="360"/>
      </w:pPr>
      <w:rPr>
        <w:rFonts w:ascii="Wingdings" w:hAnsi="Wingdings" w:hint="default"/>
      </w:rPr>
    </w:lvl>
  </w:abstractNum>
  <w:num w:numId="1">
    <w:abstractNumId w:val="31"/>
  </w:num>
  <w:num w:numId="2">
    <w:abstractNumId w:val="49"/>
  </w:num>
  <w:num w:numId="3">
    <w:abstractNumId w:val="42"/>
  </w:num>
  <w:num w:numId="4">
    <w:abstractNumId w:val="12"/>
  </w:num>
  <w:num w:numId="5">
    <w:abstractNumId w:val="15"/>
  </w:num>
  <w:num w:numId="6">
    <w:abstractNumId w:val="22"/>
  </w:num>
  <w:num w:numId="7">
    <w:abstractNumId w:val="26"/>
  </w:num>
  <w:num w:numId="8">
    <w:abstractNumId w:val="37"/>
  </w:num>
  <w:num w:numId="9">
    <w:abstractNumId w:val="48"/>
  </w:num>
  <w:num w:numId="10">
    <w:abstractNumId w:val="20"/>
  </w:num>
  <w:num w:numId="11">
    <w:abstractNumId w:val="33"/>
  </w:num>
  <w:num w:numId="12">
    <w:abstractNumId w:val="28"/>
  </w:num>
  <w:num w:numId="13">
    <w:abstractNumId w:val="11"/>
  </w:num>
  <w:num w:numId="14">
    <w:abstractNumId w:val="47"/>
  </w:num>
  <w:num w:numId="15">
    <w:abstractNumId w:val="39"/>
  </w:num>
  <w:num w:numId="16">
    <w:abstractNumId w:val="3"/>
  </w:num>
  <w:num w:numId="17">
    <w:abstractNumId w:val="17"/>
  </w:num>
  <w:num w:numId="18">
    <w:abstractNumId w:val="6"/>
  </w:num>
  <w:num w:numId="19">
    <w:abstractNumId w:val="0"/>
  </w:num>
  <w:num w:numId="20">
    <w:abstractNumId w:val="50"/>
  </w:num>
  <w:num w:numId="21">
    <w:abstractNumId w:val="10"/>
  </w:num>
  <w:num w:numId="22">
    <w:abstractNumId w:val="23"/>
  </w:num>
  <w:num w:numId="23">
    <w:abstractNumId w:val="13"/>
  </w:num>
  <w:num w:numId="24">
    <w:abstractNumId w:val="18"/>
  </w:num>
  <w:num w:numId="25">
    <w:abstractNumId w:val="46"/>
  </w:num>
  <w:num w:numId="26">
    <w:abstractNumId w:val="51"/>
  </w:num>
  <w:num w:numId="27">
    <w:abstractNumId w:val="8"/>
  </w:num>
  <w:num w:numId="28">
    <w:abstractNumId w:val="24"/>
  </w:num>
  <w:num w:numId="29">
    <w:abstractNumId w:val="7"/>
  </w:num>
  <w:num w:numId="30">
    <w:abstractNumId w:val="21"/>
  </w:num>
  <w:num w:numId="31">
    <w:abstractNumId w:val="25"/>
  </w:num>
  <w:num w:numId="32">
    <w:abstractNumId w:val="19"/>
  </w:num>
  <w:num w:numId="33">
    <w:abstractNumId w:val="4"/>
  </w:num>
  <w:num w:numId="34">
    <w:abstractNumId w:val="14"/>
  </w:num>
  <w:num w:numId="35">
    <w:abstractNumId w:val="52"/>
  </w:num>
  <w:num w:numId="36">
    <w:abstractNumId w:val="34"/>
  </w:num>
  <w:num w:numId="37">
    <w:abstractNumId w:val="9"/>
  </w:num>
  <w:num w:numId="38">
    <w:abstractNumId w:val="40"/>
  </w:num>
  <w:num w:numId="39">
    <w:abstractNumId w:val="38"/>
  </w:num>
  <w:num w:numId="40">
    <w:abstractNumId w:val="35"/>
  </w:num>
  <w:num w:numId="41">
    <w:abstractNumId w:val="29"/>
  </w:num>
  <w:num w:numId="42">
    <w:abstractNumId w:val="36"/>
  </w:num>
  <w:num w:numId="43">
    <w:abstractNumId w:val="30"/>
  </w:num>
  <w:num w:numId="44">
    <w:abstractNumId w:val="5"/>
  </w:num>
  <w:num w:numId="45">
    <w:abstractNumId w:val="1"/>
  </w:num>
  <w:num w:numId="46">
    <w:abstractNumId w:val="32"/>
  </w:num>
  <w:num w:numId="47">
    <w:abstractNumId w:val="27"/>
  </w:num>
  <w:num w:numId="48">
    <w:abstractNumId w:val="43"/>
  </w:num>
  <w:num w:numId="49">
    <w:abstractNumId w:val="16"/>
  </w:num>
  <w:num w:numId="50">
    <w:abstractNumId w:val="45"/>
  </w:num>
  <w:num w:numId="51">
    <w:abstractNumId w:val="2"/>
  </w:num>
  <w:num w:numId="52">
    <w:abstractNumId w:val="44"/>
  </w:num>
  <w:num w:numId="53">
    <w:abstractNumId w:val="4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7362"/>
    <w:rsid w:val="0000136E"/>
    <w:rsid w:val="00001EFA"/>
    <w:rsid w:val="00002868"/>
    <w:rsid w:val="00002F91"/>
    <w:rsid w:val="00007DAE"/>
    <w:rsid w:val="00010859"/>
    <w:rsid w:val="00012391"/>
    <w:rsid w:val="000152B9"/>
    <w:rsid w:val="00023F47"/>
    <w:rsid w:val="00024342"/>
    <w:rsid w:val="00024347"/>
    <w:rsid w:val="00025612"/>
    <w:rsid w:val="00025993"/>
    <w:rsid w:val="00026976"/>
    <w:rsid w:val="0003329E"/>
    <w:rsid w:val="000346AA"/>
    <w:rsid w:val="00034918"/>
    <w:rsid w:val="00034AAC"/>
    <w:rsid w:val="00034C49"/>
    <w:rsid w:val="00036B0C"/>
    <w:rsid w:val="00040EE3"/>
    <w:rsid w:val="00041500"/>
    <w:rsid w:val="000420A3"/>
    <w:rsid w:val="00043196"/>
    <w:rsid w:val="00044136"/>
    <w:rsid w:val="00046553"/>
    <w:rsid w:val="00046F7A"/>
    <w:rsid w:val="00047F78"/>
    <w:rsid w:val="000506E2"/>
    <w:rsid w:val="00051A89"/>
    <w:rsid w:val="0005280D"/>
    <w:rsid w:val="00054433"/>
    <w:rsid w:val="00056959"/>
    <w:rsid w:val="00056BD8"/>
    <w:rsid w:val="0005794F"/>
    <w:rsid w:val="00060735"/>
    <w:rsid w:val="000612B5"/>
    <w:rsid w:val="00062D02"/>
    <w:rsid w:val="00065F23"/>
    <w:rsid w:val="00080381"/>
    <w:rsid w:val="00083825"/>
    <w:rsid w:val="00083B85"/>
    <w:rsid w:val="0008444D"/>
    <w:rsid w:val="00084D77"/>
    <w:rsid w:val="000853B9"/>
    <w:rsid w:val="000856F8"/>
    <w:rsid w:val="00086AEB"/>
    <w:rsid w:val="00091816"/>
    <w:rsid w:val="00091DAB"/>
    <w:rsid w:val="00092C18"/>
    <w:rsid w:val="00093F6D"/>
    <w:rsid w:val="0009549B"/>
    <w:rsid w:val="00095E26"/>
    <w:rsid w:val="00096F5C"/>
    <w:rsid w:val="000A1A4C"/>
    <w:rsid w:val="000A1AE1"/>
    <w:rsid w:val="000A29B5"/>
    <w:rsid w:val="000A5B50"/>
    <w:rsid w:val="000B2522"/>
    <w:rsid w:val="000B2725"/>
    <w:rsid w:val="000C11AA"/>
    <w:rsid w:val="000C1F3A"/>
    <w:rsid w:val="000C2664"/>
    <w:rsid w:val="000C31A1"/>
    <w:rsid w:val="000C4C91"/>
    <w:rsid w:val="000C5A92"/>
    <w:rsid w:val="000C5F99"/>
    <w:rsid w:val="000C65DA"/>
    <w:rsid w:val="000D0629"/>
    <w:rsid w:val="000D0C6D"/>
    <w:rsid w:val="000D2A44"/>
    <w:rsid w:val="000D7582"/>
    <w:rsid w:val="000E433F"/>
    <w:rsid w:val="000F02FA"/>
    <w:rsid w:val="000F0FB1"/>
    <w:rsid w:val="000F15E3"/>
    <w:rsid w:val="000F1BF9"/>
    <w:rsid w:val="000F41D1"/>
    <w:rsid w:val="000F4272"/>
    <w:rsid w:val="000F4EBE"/>
    <w:rsid w:val="000F6A97"/>
    <w:rsid w:val="000F7C2B"/>
    <w:rsid w:val="001017E3"/>
    <w:rsid w:val="00101FE1"/>
    <w:rsid w:val="00102925"/>
    <w:rsid w:val="00103589"/>
    <w:rsid w:val="00103FD9"/>
    <w:rsid w:val="00106092"/>
    <w:rsid w:val="00107EB6"/>
    <w:rsid w:val="001110DC"/>
    <w:rsid w:val="00111A17"/>
    <w:rsid w:val="0011206E"/>
    <w:rsid w:val="001139A7"/>
    <w:rsid w:val="00114CFC"/>
    <w:rsid w:val="00114DA8"/>
    <w:rsid w:val="00115511"/>
    <w:rsid w:val="001169F7"/>
    <w:rsid w:val="00117DC8"/>
    <w:rsid w:val="00120103"/>
    <w:rsid w:val="00124223"/>
    <w:rsid w:val="0012459A"/>
    <w:rsid w:val="0012505F"/>
    <w:rsid w:val="001257B2"/>
    <w:rsid w:val="00127590"/>
    <w:rsid w:val="00127C44"/>
    <w:rsid w:val="0013049D"/>
    <w:rsid w:val="001304CA"/>
    <w:rsid w:val="001311C5"/>
    <w:rsid w:val="00132360"/>
    <w:rsid w:val="00132571"/>
    <w:rsid w:val="00133366"/>
    <w:rsid w:val="001336CD"/>
    <w:rsid w:val="00134ACC"/>
    <w:rsid w:val="00135C8D"/>
    <w:rsid w:val="00136651"/>
    <w:rsid w:val="00140811"/>
    <w:rsid w:val="001412AB"/>
    <w:rsid w:val="00146AC3"/>
    <w:rsid w:val="001514FB"/>
    <w:rsid w:val="00152D10"/>
    <w:rsid w:val="00152E3C"/>
    <w:rsid w:val="0015310E"/>
    <w:rsid w:val="0015558B"/>
    <w:rsid w:val="001560FD"/>
    <w:rsid w:val="00156341"/>
    <w:rsid w:val="001567BA"/>
    <w:rsid w:val="0015699A"/>
    <w:rsid w:val="0016101E"/>
    <w:rsid w:val="00164551"/>
    <w:rsid w:val="00165A96"/>
    <w:rsid w:val="0017051C"/>
    <w:rsid w:val="00171E30"/>
    <w:rsid w:val="00173252"/>
    <w:rsid w:val="00173625"/>
    <w:rsid w:val="00174A05"/>
    <w:rsid w:val="00176A2D"/>
    <w:rsid w:val="00180736"/>
    <w:rsid w:val="00180942"/>
    <w:rsid w:val="00182956"/>
    <w:rsid w:val="0018704D"/>
    <w:rsid w:val="001A177B"/>
    <w:rsid w:val="001A1BD1"/>
    <w:rsid w:val="001A22B4"/>
    <w:rsid w:val="001A4D7B"/>
    <w:rsid w:val="001A7B9A"/>
    <w:rsid w:val="001A7DFB"/>
    <w:rsid w:val="001B3690"/>
    <w:rsid w:val="001B36BE"/>
    <w:rsid w:val="001B5531"/>
    <w:rsid w:val="001B568D"/>
    <w:rsid w:val="001B5D52"/>
    <w:rsid w:val="001B5DC5"/>
    <w:rsid w:val="001C1827"/>
    <w:rsid w:val="001C57CF"/>
    <w:rsid w:val="001C625C"/>
    <w:rsid w:val="001C7CBD"/>
    <w:rsid w:val="001D0029"/>
    <w:rsid w:val="001D2BE2"/>
    <w:rsid w:val="001D4A23"/>
    <w:rsid w:val="001D74C1"/>
    <w:rsid w:val="001E1751"/>
    <w:rsid w:val="001E3F62"/>
    <w:rsid w:val="001E658C"/>
    <w:rsid w:val="001E7581"/>
    <w:rsid w:val="001F10E7"/>
    <w:rsid w:val="001F181A"/>
    <w:rsid w:val="001F3772"/>
    <w:rsid w:val="001F4EFC"/>
    <w:rsid w:val="001F5B21"/>
    <w:rsid w:val="001F6A52"/>
    <w:rsid w:val="001F7126"/>
    <w:rsid w:val="00200944"/>
    <w:rsid w:val="00202C1F"/>
    <w:rsid w:val="0020368A"/>
    <w:rsid w:val="00204853"/>
    <w:rsid w:val="00204F87"/>
    <w:rsid w:val="00206151"/>
    <w:rsid w:val="00206673"/>
    <w:rsid w:val="00207ACA"/>
    <w:rsid w:val="00207D01"/>
    <w:rsid w:val="00207E9F"/>
    <w:rsid w:val="0021127D"/>
    <w:rsid w:val="0021164C"/>
    <w:rsid w:val="00211976"/>
    <w:rsid w:val="00211EA0"/>
    <w:rsid w:val="002122BC"/>
    <w:rsid w:val="0021236C"/>
    <w:rsid w:val="0021426D"/>
    <w:rsid w:val="002175DC"/>
    <w:rsid w:val="00217A2F"/>
    <w:rsid w:val="00221656"/>
    <w:rsid w:val="00221D16"/>
    <w:rsid w:val="002244D3"/>
    <w:rsid w:val="0022731B"/>
    <w:rsid w:val="002314AD"/>
    <w:rsid w:val="00231970"/>
    <w:rsid w:val="00232576"/>
    <w:rsid w:val="00232F41"/>
    <w:rsid w:val="00234E62"/>
    <w:rsid w:val="00235EC1"/>
    <w:rsid w:val="00237F15"/>
    <w:rsid w:val="002434DA"/>
    <w:rsid w:val="00244D90"/>
    <w:rsid w:val="00245BBF"/>
    <w:rsid w:val="002479E8"/>
    <w:rsid w:val="00247CA8"/>
    <w:rsid w:val="00247FA3"/>
    <w:rsid w:val="0025156E"/>
    <w:rsid w:val="0025372A"/>
    <w:rsid w:val="00254C1C"/>
    <w:rsid w:val="00255986"/>
    <w:rsid w:val="00255B98"/>
    <w:rsid w:val="002569FF"/>
    <w:rsid w:val="00262517"/>
    <w:rsid w:val="00266288"/>
    <w:rsid w:val="00267CDE"/>
    <w:rsid w:val="00274519"/>
    <w:rsid w:val="00274AF4"/>
    <w:rsid w:val="00275EBF"/>
    <w:rsid w:val="00277C35"/>
    <w:rsid w:val="002917CC"/>
    <w:rsid w:val="00293FA9"/>
    <w:rsid w:val="00294DF5"/>
    <w:rsid w:val="00296BFD"/>
    <w:rsid w:val="00296C64"/>
    <w:rsid w:val="00297714"/>
    <w:rsid w:val="002A00C3"/>
    <w:rsid w:val="002A31F6"/>
    <w:rsid w:val="002A3947"/>
    <w:rsid w:val="002A5D1B"/>
    <w:rsid w:val="002A6A7C"/>
    <w:rsid w:val="002A7635"/>
    <w:rsid w:val="002A7E44"/>
    <w:rsid w:val="002B0A58"/>
    <w:rsid w:val="002B3F20"/>
    <w:rsid w:val="002B7F33"/>
    <w:rsid w:val="002C1788"/>
    <w:rsid w:val="002C2205"/>
    <w:rsid w:val="002C3419"/>
    <w:rsid w:val="002C5058"/>
    <w:rsid w:val="002C5D9A"/>
    <w:rsid w:val="002C66D5"/>
    <w:rsid w:val="002C6F6F"/>
    <w:rsid w:val="002C7735"/>
    <w:rsid w:val="002D1171"/>
    <w:rsid w:val="002D2F80"/>
    <w:rsid w:val="002D3F00"/>
    <w:rsid w:val="002D42FC"/>
    <w:rsid w:val="002D6824"/>
    <w:rsid w:val="002E156B"/>
    <w:rsid w:val="002E22DA"/>
    <w:rsid w:val="002E2812"/>
    <w:rsid w:val="002E2CFC"/>
    <w:rsid w:val="002E2D0D"/>
    <w:rsid w:val="002E32F7"/>
    <w:rsid w:val="002E54E6"/>
    <w:rsid w:val="002E5C25"/>
    <w:rsid w:val="002F0174"/>
    <w:rsid w:val="002F0782"/>
    <w:rsid w:val="002F0D2D"/>
    <w:rsid w:val="002F2FA3"/>
    <w:rsid w:val="002F38D4"/>
    <w:rsid w:val="002F45C0"/>
    <w:rsid w:val="002F6557"/>
    <w:rsid w:val="002F6BDB"/>
    <w:rsid w:val="002F6F33"/>
    <w:rsid w:val="002F75C1"/>
    <w:rsid w:val="0030005E"/>
    <w:rsid w:val="00301CF6"/>
    <w:rsid w:val="00301D5D"/>
    <w:rsid w:val="003033E7"/>
    <w:rsid w:val="003101FE"/>
    <w:rsid w:val="003102FF"/>
    <w:rsid w:val="00314165"/>
    <w:rsid w:val="003222C3"/>
    <w:rsid w:val="0032281F"/>
    <w:rsid w:val="00322CEA"/>
    <w:rsid w:val="00326CD7"/>
    <w:rsid w:val="00326ECC"/>
    <w:rsid w:val="00327B37"/>
    <w:rsid w:val="00327F7E"/>
    <w:rsid w:val="003337A4"/>
    <w:rsid w:val="00333B79"/>
    <w:rsid w:val="00335573"/>
    <w:rsid w:val="00335CC3"/>
    <w:rsid w:val="00341385"/>
    <w:rsid w:val="0034243D"/>
    <w:rsid w:val="003434C0"/>
    <w:rsid w:val="00345230"/>
    <w:rsid w:val="00345DFB"/>
    <w:rsid w:val="00347D69"/>
    <w:rsid w:val="0035021A"/>
    <w:rsid w:val="00352091"/>
    <w:rsid w:val="0035265A"/>
    <w:rsid w:val="00354592"/>
    <w:rsid w:val="003545DD"/>
    <w:rsid w:val="00355B77"/>
    <w:rsid w:val="00355EDE"/>
    <w:rsid w:val="00356FA3"/>
    <w:rsid w:val="00357BC5"/>
    <w:rsid w:val="0036002F"/>
    <w:rsid w:val="003604BD"/>
    <w:rsid w:val="00361301"/>
    <w:rsid w:val="003617A6"/>
    <w:rsid w:val="00363B8D"/>
    <w:rsid w:val="00364A75"/>
    <w:rsid w:val="003666E9"/>
    <w:rsid w:val="003671B6"/>
    <w:rsid w:val="003674C2"/>
    <w:rsid w:val="0036781D"/>
    <w:rsid w:val="00367C0D"/>
    <w:rsid w:val="00370212"/>
    <w:rsid w:val="00375622"/>
    <w:rsid w:val="00381212"/>
    <w:rsid w:val="00382AF2"/>
    <w:rsid w:val="00385832"/>
    <w:rsid w:val="00386058"/>
    <w:rsid w:val="003875E6"/>
    <w:rsid w:val="003917EE"/>
    <w:rsid w:val="00392214"/>
    <w:rsid w:val="00393836"/>
    <w:rsid w:val="00394A19"/>
    <w:rsid w:val="00394A3C"/>
    <w:rsid w:val="00394F15"/>
    <w:rsid w:val="0039580C"/>
    <w:rsid w:val="003A3DBB"/>
    <w:rsid w:val="003A6E0E"/>
    <w:rsid w:val="003A7E21"/>
    <w:rsid w:val="003A7E34"/>
    <w:rsid w:val="003B11EC"/>
    <w:rsid w:val="003B241B"/>
    <w:rsid w:val="003B3B3A"/>
    <w:rsid w:val="003B63D5"/>
    <w:rsid w:val="003B67D5"/>
    <w:rsid w:val="003B7176"/>
    <w:rsid w:val="003B7907"/>
    <w:rsid w:val="003C18CB"/>
    <w:rsid w:val="003C41B9"/>
    <w:rsid w:val="003C44DA"/>
    <w:rsid w:val="003C5BEC"/>
    <w:rsid w:val="003C729C"/>
    <w:rsid w:val="003C766D"/>
    <w:rsid w:val="003D0C04"/>
    <w:rsid w:val="003D3D75"/>
    <w:rsid w:val="003D5F08"/>
    <w:rsid w:val="003D73E9"/>
    <w:rsid w:val="003D77B7"/>
    <w:rsid w:val="003D78C3"/>
    <w:rsid w:val="003E12D1"/>
    <w:rsid w:val="003E1B9C"/>
    <w:rsid w:val="003F2656"/>
    <w:rsid w:val="003F330F"/>
    <w:rsid w:val="003F564F"/>
    <w:rsid w:val="003F5BBD"/>
    <w:rsid w:val="00401CCA"/>
    <w:rsid w:val="004028B5"/>
    <w:rsid w:val="00402F11"/>
    <w:rsid w:val="0040611A"/>
    <w:rsid w:val="0040654A"/>
    <w:rsid w:val="00406EE9"/>
    <w:rsid w:val="00407938"/>
    <w:rsid w:val="0041000C"/>
    <w:rsid w:val="00413B5C"/>
    <w:rsid w:val="004222DF"/>
    <w:rsid w:val="00430A50"/>
    <w:rsid w:val="00431CA6"/>
    <w:rsid w:val="00433A4E"/>
    <w:rsid w:val="0043437C"/>
    <w:rsid w:val="00434FD2"/>
    <w:rsid w:val="004367DB"/>
    <w:rsid w:val="0044098C"/>
    <w:rsid w:val="00441B52"/>
    <w:rsid w:val="00441E56"/>
    <w:rsid w:val="00443985"/>
    <w:rsid w:val="004452E5"/>
    <w:rsid w:val="004458AD"/>
    <w:rsid w:val="00446968"/>
    <w:rsid w:val="004514F6"/>
    <w:rsid w:val="00451A37"/>
    <w:rsid w:val="00454E09"/>
    <w:rsid w:val="00454F72"/>
    <w:rsid w:val="00461187"/>
    <w:rsid w:val="00462C97"/>
    <w:rsid w:val="004635B0"/>
    <w:rsid w:val="00463620"/>
    <w:rsid w:val="00464C6A"/>
    <w:rsid w:val="004705F3"/>
    <w:rsid w:val="004728D3"/>
    <w:rsid w:val="00473856"/>
    <w:rsid w:val="004756D9"/>
    <w:rsid w:val="0047675D"/>
    <w:rsid w:val="00477309"/>
    <w:rsid w:val="004773A5"/>
    <w:rsid w:val="004803C7"/>
    <w:rsid w:val="00481E13"/>
    <w:rsid w:val="004877A4"/>
    <w:rsid w:val="00490A97"/>
    <w:rsid w:val="004916FF"/>
    <w:rsid w:val="00492A80"/>
    <w:rsid w:val="00492A8E"/>
    <w:rsid w:val="004934A8"/>
    <w:rsid w:val="00493D59"/>
    <w:rsid w:val="00494EF5"/>
    <w:rsid w:val="004A1CDC"/>
    <w:rsid w:val="004A3E46"/>
    <w:rsid w:val="004A3FD6"/>
    <w:rsid w:val="004A4884"/>
    <w:rsid w:val="004A5176"/>
    <w:rsid w:val="004A53C8"/>
    <w:rsid w:val="004A6692"/>
    <w:rsid w:val="004A6A1A"/>
    <w:rsid w:val="004A6EF4"/>
    <w:rsid w:val="004B0029"/>
    <w:rsid w:val="004B6646"/>
    <w:rsid w:val="004C51FB"/>
    <w:rsid w:val="004D04C1"/>
    <w:rsid w:val="004D0944"/>
    <w:rsid w:val="004D15BC"/>
    <w:rsid w:val="004D47D8"/>
    <w:rsid w:val="004D53F8"/>
    <w:rsid w:val="004D67BB"/>
    <w:rsid w:val="004D7631"/>
    <w:rsid w:val="004D7A45"/>
    <w:rsid w:val="004E0F75"/>
    <w:rsid w:val="004E1A20"/>
    <w:rsid w:val="004E22BD"/>
    <w:rsid w:val="004E2BCB"/>
    <w:rsid w:val="004E4DE7"/>
    <w:rsid w:val="004E5780"/>
    <w:rsid w:val="004E78F6"/>
    <w:rsid w:val="004E7F53"/>
    <w:rsid w:val="004F01B6"/>
    <w:rsid w:val="004F5543"/>
    <w:rsid w:val="004F55FA"/>
    <w:rsid w:val="004F6DFC"/>
    <w:rsid w:val="004F6E28"/>
    <w:rsid w:val="0050138B"/>
    <w:rsid w:val="005036D6"/>
    <w:rsid w:val="00504923"/>
    <w:rsid w:val="005058BD"/>
    <w:rsid w:val="005070FA"/>
    <w:rsid w:val="0051262A"/>
    <w:rsid w:val="005126E9"/>
    <w:rsid w:val="00512B99"/>
    <w:rsid w:val="005149D3"/>
    <w:rsid w:val="00522BD5"/>
    <w:rsid w:val="00522DF0"/>
    <w:rsid w:val="0052613E"/>
    <w:rsid w:val="00527B15"/>
    <w:rsid w:val="00533D56"/>
    <w:rsid w:val="00536A0B"/>
    <w:rsid w:val="00537BAA"/>
    <w:rsid w:val="00537E15"/>
    <w:rsid w:val="0054012A"/>
    <w:rsid w:val="00540B06"/>
    <w:rsid w:val="005417BD"/>
    <w:rsid w:val="00541D97"/>
    <w:rsid w:val="00544651"/>
    <w:rsid w:val="00545453"/>
    <w:rsid w:val="00545970"/>
    <w:rsid w:val="00546299"/>
    <w:rsid w:val="0054690A"/>
    <w:rsid w:val="00547E4B"/>
    <w:rsid w:val="00550D81"/>
    <w:rsid w:val="00552CF4"/>
    <w:rsid w:val="00553A24"/>
    <w:rsid w:val="00554E61"/>
    <w:rsid w:val="00555876"/>
    <w:rsid w:val="005568F8"/>
    <w:rsid w:val="00556F6C"/>
    <w:rsid w:val="00561629"/>
    <w:rsid w:val="00563AF4"/>
    <w:rsid w:val="00563D58"/>
    <w:rsid w:val="00564C93"/>
    <w:rsid w:val="00565DAE"/>
    <w:rsid w:val="0056686E"/>
    <w:rsid w:val="00572498"/>
    <w:rsid w:val="00576114"/>
    <w:rsid w:val="00577AD7"/>
    <w:rsid w:val="00577FB6"/>
    <w:rsid w:val="005812AE"/>
    <w:rsid w:val="005813B8"/>
    <w:rsid w:val="00584090"/>
    <w:rsid w:val="00590E7C"/>
    <w:rsid w:val="00591AC5"/>
    <w:rsid w:val="005926AF"/>
    <w:rsid w:val="005931D1"/>
    <w:rsid w:val="00594FF6"/>
    <w:rsid w:val="00596EA0"/>
    <w:rsid w:val="00596EF6"/>
    <w:rsid w:val="005A0B0C"/>
    <w:rsid w:val="005A2429"/>
    <w:rsid w:val="005A3DA8"/>
    <w:rsid w:val="005A49F4"/>
    <w:rsid w:val="005A6666"/>
    <w:rsid w:val="005A73A8"/>
    <w:rsid w:val="005B0C8A"/>
    <w:rsid w:val="005B0F97"/>
    <w:rsid w:val="005B1860"/>
    <w:rsid w:val="005B3A4B"/>
    <w:rsid w:val="005B3BA6"/>
    <w:rsid w:val="005B5A59"/>
    <w:rsid w:val="005B5DBF"/>
    <w:rsid w:val="005B76CF"/>
    <w:rsid w:val="005C0FCE"/>
    <w:rsid w:val="005C2B81"/>
    <w:rsid w:val="005C4F80"/>
    <w:rsid w:val="005D02D1"/>
    <w:rsid w:val="005D183A"/>
    <w:rsid w:val="005D4261"/>
    <w:rsid w:val="005D52ED"/>
    <w:rsid w:val="005D5683"/>
    <w:rsid w:val="005E1BBD"/>
    <w:rsid w:val="005E1D49"/>
    <w:rsid w:val="005E1E9E"/>
    <w:rsid w:val="005E2E33"/>
    <w:rsid w:val="005E5428"/>
    <w:rsid w:val="005F06FF"/>
    <w:rsid w:val="005F0F94"/>
    <w:rsid w:val="005F124F"/>
    <w:rsid w:val="005F1460"/>
    <w:rsid w:val="005F2154"/>
    <w:rsid w:val="005F222A"/>
    <w:rsid w:val="005F374F"/>
    <w:rsid w:val="005F6839"/>
    <w:rsid w:val="00605060"/>
    <w:rsid w:val="006073CE"/>
    <w:rsid w:val="00612B63"/>
    <w:rsid w:val="00614333"/>
    <w:rsid w:val="00615512"/>
    <w:rsid w:val="00617B15"/>
    <w:rsid w:val="00617EF4"/>
    <w:rsid w:val="006209E8"/>
    <w:rsid w:val="00620A86"/>
    <w:rsid w:val="00621F75"/>
    <w:rsid w:val="00623654"/>
    <w:rsid w:val="00626132"/>
    <w:rsid w:val="0062761D"/>
    <w:rsid w:val="00627B62"/>
    <w:rsid w:val="00633616"/>
    <w:rsid w:val="00636A23"/>
    <w:rsid w:val="00636DA5"/>
    <w:rsid w:val="0064354B"/>
    <w:rsid w:val="006435CE"/>
    <w:rsid w:val="00643AF7"/>
    <w:rsid w:val="006450B9"/>
    <w:rsid w:val="00646E4E"/>
    <w:rsid w:val="0064706B"/>
    <w:rsid w:val="00647A5A"/>
    <w:rsid w:val="00647DAB"/>
    <w:rsid w:val="00651E9C"/>
    <w:rsid w:val="00655237"/>
    <w:rsid w:val="006557B7"/>
    <w:rsid w:val="00656E3A"/>
    <w:rsid w:val="0066178D"/>
    <w:rsid w:val="006660C5"/>
    <w:rsid w:val="00671923"/>
    <w:rsid w:val="00671F24"/>
    <w:rsid w:val="00674FC3"/>
    <w:rsid w:val="00683A68"/>
    <w:rsid w:val="00685D68"/>
    <w:rsid w:val="00686666"/>
    <w:rsid w:val="00686BCB"/>
    <w:rsid w:val="00687725"/>
    <w:rsid w:val="006925C2"/>
    <w:rsid w:val="00694FF7"/>
    <w:rsid w:val="0069589D"/>
    <w:rsid w:val="00695AD3"/>
    <w:rsid w:val="00696D96"/>
    <w:rsid w:val="00697D22"/>
    <w:rsid w:val="006A094A"/>
    <w:rsid w:val="006A1060"/>
    <w:rsid w:val="006A3ECB"/>
    <w:rsid w:val="006A62B6"/>
    <w:rsid w:val="006A62D8"/>
    <w:rsid w:val="006A7E38"/>
    <w:rsid w:val="006B0484"/>
    <w:rsid w:val="006B2957"/>
    <w:rsid w:val="006B2F09"/>
    <w:rsid w:val="006B3BE4"/>
    <w:rsid w:val="006B7020"/>
    <w:rsid w:val="006B741A"/>
    <w:rsid w:val="006C439F"/>
    <w:rsid w:val="006C728E"/>
    <w:rsid w:val="006D0101"/>
    <w:rsid w:val="006D0B7D"/>
    <w:rsid w:val="006D1BA7"/>
    <w:rsid w:val="006D1DA8"/>
    <w:rsid w:val="006D2E72"/>
    <w:rsid w:val="006D3168"/>
    <w:rsid w:val="006D5016"/>
    <w:rsid w:val="006D5855"/>
    <w:rsid w:val="006D67E7"/>
    <w:rsid w:val="006E0A0E"/>
    <w:rsid w:val="006E0DF0"/>
    <w:rsid w:val="006E4F2B"/>
    <w:rsid w:val="006E58DE"/>
    <w:rsid w:val="006F03DA"/>
    <w:rsid w:val="00701665"/>
    <w:rsid w:val="00705E71"/>
    <w:rsid w:val="00706592"/>
    <w:rsid w:val="00710F9F"/>
    <w:rsid w:val="00712440"/>
    <w:rsid w:val="00713E7D"/>
    <w:rsid w:val="00715525"/>
    <w:rsid w:val="00715BBC"/>
    <w:rsid w:val="00722579"/>
    <w:rsid w:val="00723242"/>
    <w:rsid w:val="00723DA4"/>
    <w:rsid w:val="0072414E"/>
    <w:rsid w:val="007255BA"/>
    <w:rsid w:val="00725E08"/>
    <w:rsid w:val="007270D6"/>
    <w:rsid w:val="00727C1E"/>
    <w:rsid w:val="00731887"/>
    <w:rsid w:val="007328A7"/>
    <w:rsid w:val="00733C51"/>
    <w:rsid w:val="00734696"/>
    <w:rsid w:val="00735965"/>
    <w:rsid w:val="0074194D"/>
    <w:rsid w:val="00741E09"/>
    <w:rsid w:val="00744343"/>
    <w:rsid w:val="0074435D"/>
    <w:rsid w:val="0074504A"/>
    <w:rsid w:val="007451F7"/>
    <w:rsid w:val="0075019A"/>
    <w:rsid w:val="00750FF3"/>
    <w:rsid w:val="007544CE"/>
    <w:rsid w:val="00754EDA"/>
    <w:rsid w:val="00757EF5"/>
    <w:rsid w:val="007607A3"/>
    <w:rsid w:val="007607AA"/>
    <w:rsid w:val="00764E6B"/>
    <w:rsid w:val="00765E26"/>
    <w:rsid w:val="007675E3"/>
    <w:rsid w:val="007707C9"/>
    <w:rsid w:val="00771B03"/>
    <w:rsid w:val="007723D0"/>
    <w:rsid w:val="0077472D"/>
    <w:rsid w:val="00776136"/>
    <w:rsid w:val="007768C1"/>
    <w:rsid w:val="00776FB7"/>
    <w:rsid w:val="007777D5"/>
    <w:rsid w:val="007804E8"/>
    <w:rsid w:val="007806AF"/>
    <w:rsid w:val="00780D90"/>
    <w:rsid w:val="00781814"/>
    <w:rsid w:val="00781980"/>
    <w:rsid w:val="00781D4C"/>
    <w:rsid w:val="00781F8B"/>
    <w:rsid w:val="007877E9"/>
    <w:rsid w:val="00787B8B"/>
    <w:rsid w:val="00791765"/>
    <w:rsid w:val="00791F09"/>
    <w:rsid w:val="00792461"/>
    <w:rsid w:val="007935CA"/>
    <w:rsid w:val="00795F2B"/>
    <w:rsid w:val="00796633"/>
    <w:rsid w:val="007A01D2"/>
    <w:rsid w:val="007A42F6"/>
    <w:rsid w:val="007A4328"/>
    <w:rsid w:val="007A75AD"/>
    <w:rsid w:val="007A7D92"/>
    <w:rsid w:val="007B1F6D"/>
    <w:rsid w:val="007B30B0"/>
    <w:rsid w:val="007B3305"/>
    <w:rsid w:val="007B5907"/>
    <w:rsid w:val="007B696B"/>
    <w:rsid w:val="007B7626"/>
    <w:rsid w:val="007C03E9"/>
    <w:rsid w:val="007C240A"/>
    <w:rsid w:val="007C5525"/>
    <w:rsid w:val="007C6700"/>
    <w:rsid w:val="007D0CAC"/>
    <w:rsid w:val="007D2204"/>
    <w:rsid w:val="007D2658"/>
    <w:rsid w:val="007D2A62"/>
    <w:rsid w:val="007D3C5B"/>
    <w:rsid w:val="007D3CA5"/>
    <w:rsid w:val="007D48C1"/>
    <w:rsid w:val="007D54BF"/>
    <w:rsid w:val="007D5BDB"/>
    <w:rsid w:val="007D5F87"/>
    <w:rsid w:val="007E3773"/>
    <w:rsid w:val="007E432B"/>
    <w:rsid w:val="007E62C6"/>
    <w:rsid w:val="007E6822"/>
    <w:rsid w:val="007E6A9F"/>
    <w:rsid w:val="007E711E"/>
    <w:rsid w:val="007F5423"/>
    <w:rsid w:val="007F54CD"/>
    <w:rsid w:val="007F771A"/>
    <w:rsid w:val="00803749"/>
    <w:rsid w:val="00804C9A"/>
    <w:rsid w:val="0080641A"/>
    <w:rsid w:val="00811E7D"/>
    <w:rsid w:val="00812214"/>
    <w:rsid w:val="008131AC"/>
    <w:rsid w:val="0081440C"/>
    <w:rsid w:val="00817002"/>
    <w:rsid w:val="0081750D"/>
    <w:rsid w:val="008223E8"/>
    <w:rsid w:val="0082365D"/>
    <w:rsid w:val="00824980"/>
    <w:rsid w:val="00825D5C"/>
    <w:rsid w:val="008278CA"/>
    <w:rsid w:val="0083396F"/>
    <w:rsid w:val="00834A93"/>
    <w:rsid w:val="0083510E"/>
    <w:rsid w:val="00835338"/>
    <w:rsid w:val="00835603"/>
    <w:rsid w:val="00835E87"/>
    <w:rsid w:val="00836CBA"/>
    <w:rsid w:val="008430A7"/>
    <w:rsid w:val="00843CEF"/>
    <w:rsid w:val="008447F4"/>
    <w:rsid w:val="0084535B"/>
    <w:rsid w:val="00846E9F"/>
    <w:rsid w:val="00851ED9"/>
    <w:rsid w:val="00852A10"/>
    <w:rsid w:val="0085444C"/>
    <w:rsid w:val="008551B8"/>
    <w:rsid w:val="00856C8A"/>
    <w:rsid w:val="008574FA"/>
    <w:rsid w:val="00857E94"/>
    <w:rsid w:val="0086103A"/>
    <w:rsid w:val="00861069"/>
    <w:rsid w:val="0086184B"/>
    <w:rsid w:val="00861F3E"/>
    <w:rsid w:val="00862DC7"/>
    <w:rsid w:val="0086682F"/>
    <w:rsid w:val="00867609"/>
    <w:rsid w:val="0087013B"/>
    <w:rsid w:val="00871DC2"/>
    <w:rsid w:val="00871E48"/>
    <w:rsid w:val="00872457"/>
    <w:rsid w:val="0087364D"/>
    <w:rsid w:val="00874767"/>
    <w:rsid w:val="00874DAE"/>
    <w:rsid w:val="00875B12"/>
    <w:rsid w:val="0087606B"/>
    <w:rsid w:val="00883834"/>
    <w:rsid w:val="00886E5F"/>
    <w:rsid w:val="00887096"/>
    <w:rsid w:val="00890A9B"/>
    <w:rsid w:val="00893525"/>
    <w:rsid w:val="00893697"/>
    <w:rsid w:val="00894342"/>
    <w:rsid w:val="00894AE1"/>
    <w:rsid w:val="00895243"/>
    <w:rsid w:val="008961F9"/>
    <w:rsid w:val="00897313"/>
    <w:rsid w:val="0089773C"/>
    <w:rsid w:val="008A0715"/>
    <w:rsid w:val="008A0F94"/>
    <w:rsid w:val="008A1805"/>
    <w:rsid w:val="008A3A49"/>
    <w:rsid w:val="008A3ECD"/>
    <w:rsid w:val="008A4325"/>
    <w:rsid w:val="008A4C47"/>
    <w:rsid w:val="008A4DED"/>
    <w:rsid w:val="008A5FFE"/>
    <w:rsid w:val="008A798E"/>
    <w:rsid w:val="008A7D89"/>
    <w:rsid w:val="008C04CC"/>
    <w:rsid w:val="008C0CFF"/>
    <w:rsid w:val="008C100D"/>
    <w:rsid w:val="008C23FC"/>
    <w:rsid w:val="008C263C"/>
    <w:rsid w:val="008C4D0C"/>
    <w:rsid w:val="008C4F89"/>
    <w:rsid w:val="008C7069"/>
    <w:rsid w:val="008C7986"/>
    <w:rsid w:val="008D1621"/>
    <w:rsid w:val="008D3507"/>
    <w:rsid w:val="008D37FE"/>
    <w:rsid w:val="008D3DFE"/>
    <w:rsid w:val="008D3EF0"/>
    <w:rsid w:val="008D51F0"/>
    <w:rsid w:val="008D583F"/>
    <w:rsid w:val="008D6A28"/>
    <w:rsid w:val="008E424B"/>
    <w:rsid w:val="008E5688"/>
    <w:rsid w:val="008E6415"/>
    <w:rsid w:val="008E774C"/>
    <w:rsid w:val="008E7762"/>
    <w:rsid w:val="008F1EB2"/>
    <w:rsid w:val="008F3CA5"/>
    <w:rsid w:val="008F4398"/>
    <w:rsid w:val="008F4D2F"/>
    <w:rsid w:val="008F4EF8"/>
    <w:rsid w:val="008F5D9A"/>
    <w:rsid w:val="008F6FC3"/>
    <w:rsid w:val="008F755F"/>
    <w:rsid w:val="0090051C"/>
    <w:rsid w:val="00901ACE"/>
    <w:rsid w:val="00902BBC"/>
    <w:rsid w:val="00903D51"/>
    <w:rsid w:val="009054F0"/>
    <w:rsid w:val="00906116"/>
    <w:rsid w:val="00906CD3"/>
    <w:rsid w:val="00910505"/>
    <w:rsid w:val="00910A37"/>
    <w:rsid w:val="009142B5"/>
    <w:rsid w:val="00915B0F"/>
    <w:rsid w:val="00917545"/>
    <w:rsid w:val="00920875"/>
    <w:rsid w:val="00921D2C"/>
    <w:rsid w:val="009238DB"/>
    <w:rsid w:val="00923D0A"/>
    <w:rsid w:val="00926386"/>
    <w:rsid w:val="0092689A"/>
    <w:rsid w:val="00930111"/>
    <w:rsid w:val="009302E5"/>
    <w:rsid w:val="0093161F"/>
    <w:rsid w:val="00931A1B"/>
    <w:rsid w:val="00932CCE"/>
    <w:rsid w:val="009332D1"/>
    <w:rsid w:val="0093393C"/>
    <w:rsid w:val="00934FCF"/>
    <w:rsid w:val="00935009"/>
    <w:rsid w:val="009350E0"/>
    <w:rsid w:val="00935607"/>
    <w:rsid w:val="00935CE0"/>
    <w:rsid w:val="0093706B"/>
    <w:rsid w:val="0093781E"/>
    <w:rsid w:val="00942274"/>
    <w:rsid w:val="0094537B"/>
    <w:rsid w:val="00945D40"/>
    <w:rsid w:val="00951BC1"/>
    <w:rsid w:val="00952951"/>
    <w:rsid w:val="00952DEB"/>
    <w:rsid w:val="00953FB7"/>
    <w:rsid w:val="009544B1"/>
    <w:rsid w:val="0095523E"/>
    <w:rsid w:val="0095729C"/>
    <w:rsid w:val="009655F4"/>
    <w:rsid w:val="0096560A"/>
    <w:rsid w:val="00965ED1"/>
    <w:rsid w:val="00966049"/>
    <w:rsid w:val="00967631"/>
    <w:rsid w:val="00971A33"/>
    <w:rsid w:val="009720F1"/>
    <w:rsid w:val="00972FEA"/>
    <w:rsid w:val="00973164"/>
    <w:rsid w:val="00976788"/>
    <w:rsid w:val="00976CA5"/>
    <w:rsid w:val="009821FE"/>
    <w:rsid w:val="00983BA8"/>
    <w:rsid w:val="009875F6"/>
    <w:rsid w:val="00987EBA"/>
    <w:rsid w:val="00991322"/>
    <w:rsid w:val="00991791"/>
    <w:rsid w:val="00995FBA"/>
    <w:rsid w:val="00996B48"/>
    <w:rsid w:val="00996C05"/>
    <w:rsid w:val="009A06E7"/>
    <w:rsid w:val="009A12B4"/>
    <w:rsid w:val="009A4E95"/>
    <w:rsid w:val="009A5173"/>
    <w:rsid w:val="009A59BA"/>
    <w:rsid w:val="009B0459"/>
    <w:rsid w:val="009B073B"/>
    <w:rsid w:val="009B19C0"/>
    <w:rsid w:val="009B1D25"/>
    <w:rsid w:val="009B1D71"/>
    <w:rsid w:val="009B352C"/>
    <w:rsid w:val="009B5567"/>
    <w:rsid w:val="009B7018"/>
    <w:rsid w:val="009C01E5"/>
    <w:rsid w:val="009C116B"/>
    <w:rsid w:val="009C174F"/>
    <w:rsid w:val="009C1CD1"/>
    <w:rsid w:val="009C295A"/>
    <w:rsid w:val="009C2FDF"/>
    <w:rsid w:val="009C586F"/>
    <w:rsid w:val="009C5B16"/>
    <w:rsid w:val="009D01A9"/>
    <w:rsid w:val="009D0B46"/>
    <w:rsid w:val="009D0BED"/>
    <w:rsid w:val="009E0F06"/>
    <w:rsid w:val="009E5F26"/>
    <w:rsid w:val="009E6D7E"/>
    <w:rsid w:val="009E754E"/>
    <w:rsid w:val="009F01CD"/>
    <w:rsid w:val="009F07A7"/>
    <w:rsid w:val="009F0F36"/>
    <w:rsid w:val="009F1C6B"/>
    <w:rsid w:val="009F2E43"/>
    <w:rsid w:val="009F6F11"/>
    <w:rsid w:val="009F7EEE"/>
    <w:rsid w:val="00A0031F"/>
    <w:rsid w:val="00A01BE4"/>
    <w:rsid w:val="00A02C01"/>
    <w:rsid w:val="00A038B1"/>
    <w:rsid w:val="00A03B62"/>
    <w:rsid w:val="00A046E0"/>
    <w:rsid w:val="00A05B28"/>
    <w:rsid w:val="00A075AD"/>
    <w:rsid w:val="00A07B76"/>
    <w:rsid w:val="00A10DB1"/>
    <w:rsid w:val="00A11CA7"/>
    <w:rsid w:val="00A12EEA"/>
    <w:rsid w:val="00A1483D"/>
    <w:rsid w:val="00A15145"/>
    <w:rsid w:val="00A157B2"/>
    <w:rsid w:val="00A177E8"/>
    <w:rsid w:val="00A17EF7"/>
    <w:rsid w:val="00A24F7E"/>
    <w:rsid w:val="00A254B2"/>
    <w:rsid w:val="00A25833"/>
    <w:rsid w:val="00A26367"/>
    <w:rsid w:val="00A27CE5"/>
    <w:rsid w:val="00A302E2"/>
    <w:rsid w:val="00A30905"/>
    <w:rsid w:val="00A31022"/>
    <w:rsid w:val="00A34289"/>
    <w:rsid w:val="00A36CCC"/>
    <w:rsid w:val="00A41170"/>
    <w:rsid w:val="00A41217"/>
    <w:rsid w:val="00A41B88"/>
    <w:rsid w:val="00A42095"/>
    <w:rsid w:val="00A4324D"/>
    <w:rsid w:val="00A4369F"/>
    <w:rsid w:val="00A437C4"/>
    <w:rsid w:val="00A44068"/>
    <w:rsid w:val="00A4463E"/>
    <w:rsid w:val="00A45319"/>
    <w:rsid w:val="00A4582A"/>
    <w:rsid w:val="00A45B90"/>
    <w:rsid w:val="00A46423"/>
    <w:rsid w:val="00A52A04"/>
    <w:rsid w:val="00A52C4F"/>
    <w:rsid w:val="00A54657"/>
    <w:rsid w:val="00A547F5"/>
    <w:rsid w:val="00A605FF"/>
    <w:rsid w:val="00A61725"/>
    <w:rsid w:val="00A61CC1"/>
    <w:rsid w:val="00A621AF"/>
    <w:rsid w:val="00A6674C"/>
    <w:rsid w:val="00A66BA9"/>
    <w:rsid w:val="00A66FB0"/>
    <w:rsid w:val="00A70D9B"/>
    <w:rsid w:val="00A71703"/>
    <w:rsid w:val="00A72CA0"/>
    <w:rsid w:val="00A72CD9"/>
    <w:rsid w:val="00A75B56"/>
    <w:rsid w:val="00A76C0E"/>
    <w:rsid w:val="00A76FC8"/>
    <w:rsid w:val="00A7735F"/>
    <w:rsid w:val="00A80943"/>
    <w:rsid w:val="00A822BE"/>
    <w:rsid w:val="00A82C23"/>
    <w:rsid w:val="00A836E0"/>
    <w:rsid w:val="00A85722"/>
    <w:rsid w:val="00A860F4"/>
    <w:rsid w:val="00A86C72"/>
    <w:rsid w:val="00A8728C"/>
    <w:rsid w:val="00A91550"/>
    <w:rsid w:val="00A91B86"/>
    <w:rsid w:val="00A95750"/>
    <w:rsid w:val="00A95BD3"/>
    <w:rsid w:val="00A97AD5"/>
    <w:rsid w:val="00AA0465"/>
    <w:rsid w:val="00AA1436"/>
    <w:rsid w:val="00AA1652"/>
    <w:rsid w:val="00AA1966"/>
    <w:rsid w:val="00AA4D1D"/>
    <w:rsid w:val="00AA5EBA"/>
    <w:rsid w:val="00AA62DE"/>
    <w:rsid w:val="00AA64AB"/>
    <w:rsid w:val="00AB2086"/>
    <w:rsid w:val="00AB3103"/>
    <w:rsid w:val="00AB7BF1"/>
    <w:rsid w:val="00AC1105"/>
    <w:rsid w:val="00AC2BB9"/>
    <w:rsid w:val="00AC2BDF"/>
    <w:rsid w:val="00AC2D8B"/>
    <w:rsid w:val="00AC2F0F"/>
    <w:rsid w:val="00AC3973"/>
    <w:rsid w:val="00AC4638"/>
    <w:rsid w:val="00AD15F2"/>
    <w:rsid w:val="00AD2C74"/>
    <w:rsid w:val="00AD7110"/>
    <w:rsid w:val="00AD79D4"/>
    <w:rsid w:val="00AE5E23"/>
    <w:rsid w:val="00AE6CEB"/>
    <w:rsid w:val="00AE7236"/>
    <w:rsid w:val="00AF0580"/>
    <w:rsid w:val="00AF476C"/>
    <w:rsid w:val="00B02B14"/>
    <w:rsid w:val="00B02B6E"/>
    <w:rsid w:val="00B0336E"/>
    <w:rsid w:val="00B041C4"/>
    <w:rsid w:val="00B04D24"/>
    <w:rsid w:val="00B10A87"/>
    <w:rsid w:val="00B13055"/>
    <w:rsid w:val="00B15836"/>
    <w:rsid w:val="00B15C53"/>
    <w:rsid w:val="00B1613D"/>
    <w:rsid w:val="00B20B0B"/>
    <w:rsid w:val="00B219B5"/>
    <w:rsid w:val="00B2252C"/>
    <w:rsid w:val="00B2487D"/>
    <w:rsid w:val="00B252B8"/>
    <w:rsid w:val="00B254C3"/>
    <w:rsid w:val="00B25D3C"/>
    <w:rsid w:val="00B26EE1"/>
    <w:rsid w:val="00B2780F"/>
    <w:rsid w:val="00B30AE7"/>
    <w:rsid w:val="00B32394"/>
    <w:rsid w:val="00B3538F"/>
    <w:rsid w:val="00B35613"/>
    <w:rsid w:val="00B36186"/>
    <w:rsid w:val="00B36F85"/>
    <w:rsid w:val="00B37699"/>
    <w:rsid w:val="00B40F2B"/>
    <w:rsid w:val="00B4114A"/>
    <w:rsid w:val="00B441C9"/>
    <w:rsid w:val="00B46BD9"/>
    <w:rsid w:val="00B470DE"/>
    <w:rsid w:val="00B47ACD"/>
    <w:rsid w:val="00B47B9C"/>
    <w:rsid w:val="00B50A79"/>
    <w:rsid w:val="00B52625"/>
    <w:rsid w:val="00B53476"/>
    <w:rsid w:val="00B54802"/>
    <w:rsid w:val="00B55944"/>
    <w:rsid w:val="00B62782"/>
    <w:rsid w:val="00B642AB"/>
    <w:rsid w:val="00B66021"/>
    <w:rsid w:val="00B7535D"/>
    <w:rsid w:val="00B769AF"/>
    <w:rsid w:val="00B76C03"/>
    <w:rsid w:val="00B77022"/>
    <w:rsid w:val="00B804FE"/>
    <w:rsid w:val="00B80694"/>
    <w:rsid w:val="00B8092E"/>
    <w:rsid w:val="00B80C44"/>
    <w:rsid w:val="00B80DC5"/>
    <w:rsid w:val="00B82131"/>
    <w:rsid w:val="00B87EDE"/>
    <w:rsid w:val="00B9082C"/>
    <w:rsid w:val="00B9311D"/>
    <w:rsid w:val="00B937DC"/>
    <w:rsid w:val="00B93F9F"/>
    <w:rsid w:val="00B9596C"/>
    <w:rsid w:val="00B97C0D"/>
    <w:rsid w:val="00BA17BB"/>
    <w:rsid w:val="00BA1B66"/>
    <w:rsid w:val="00BA3108"/>
    <w:rsid w:val="00BA6C86"/>
    <w:rsid w:val="00BB1304"/>
    <w:rsid w:val="00BB36BE"/>
    <w:rsid w:val="00BB6A94"/>
    <w:rsid w:val="00BB7AF9"/>
    <w:rsid w:val="00BC0D07"/>
    <w:rsid w:val="00BC3949"/>
    <w:rsid w:val="00BC47E0"/>
    <w:rsid w:val="00BC5D1A"/>
    <w:rsid w:val="00BC6380"/>
    <w:rsid w:val="00BC754F"/>
    <w:rsid w:val="00BC7777"/>
    <w:rsid w:val="00BD0CEA"/>
    <w:rsid w:val="00BD34E3"/>
    <w:rsid w:val="00BD471C"/>
    <w:rsid w:val="00BD5662"/>
    <w:rsid w:val="00BD6015"/>
    <w:rsid w:val="00BD6BFB"/>
    <w:rsid w:val="00BD71C0"/>
    <w:rsid w:val="00BE0804"/>
    <w:rsid w:val="00BE5436"/>
    <w:rsid w:val="00BE722F"/>
    <w:rsid w:val="00BE7436"/>
    <w:rsid w:val="00BF071A"/>
    <w:rsid w:val="00BF258A"/>
    <w:rsid w:val="00BF41A1"/>
    <w:rsid w:val="00BF4EC1"/>
    <w:rsid w:val="00BF69D5"/>
    <w:rsid w:val="00C00DE8"/>
    <w:rsid w:val="00C01ED4"/>
    <w:rsid w:val="00C02383"/>
    <w:rsid w:val="00C02DC5"/>
    <w:rsid w:val="00C0501C"/>
    <w:rsid w:val="00C07872"/>
    <w:rsid w:val="00C10AC4"/>
    <w:rsid w:val="00C11A89"/>
    <w:rsid w:val="00C14160"/>
    <w:rsid w:val="00C14696"/>
    <w:rsid w:val="00C14F89"/>
    <w:rsid w:val="00C158BD"/>
    <w:rsid w:val="00C1606B"/>
    <w:rsid w:val="00C20AF2"/>
    <w:rsid w:val="00C20C9A"/>
    <w:rsid w:val="00C20D5A"/>
    <w:rsid w:val="00C21399"/>
    <w:rsid w:val="00C2425A"/>
    <w:rsid w:val="00C256CA"/>
    <w:rsid w:val="00C268DC"/>
    <w:rsid w:val="00C30D60"/>
    <w:rsid w:val="00C3219E"/>
    <w:rsid w:val="00C3272E"/>
    <w:rsid w:val="00C32927"/>
    <w:rsid w:val="00C32FF5"/>
    <w:rsid w:val="00C354B0"/>
    <w:rsid w:val="00C36C2D"/>
    <w:rsid w:val="00C37BA0"/>
    <w:rsid w:val="00C40FAF"/>
    <w:rsid w:val="00C41531"/>
    <w:rsid w:val="00C41EAF"/>
    <w:rsid w:val="00C41EBB"/>
    <w:rsid w:val="00C42AAE"/>
    <w:rsid w:val="00C434AD"/>
    <w:rsid w:val="00C43738"/>
    <w:rsid w:val="00C44AB7"/>
    <w:rsid w:val="00C44FB0"/>
    <w:rsid w:val="00C47E4F"/>
    <w:rsid w:val="00C50D08"/>
    <w:rsid w:val="00C511DA"/>
    <w:rsid w:val="00C512FC"/>
    <w:rsid w:val="00C51D0F"/>
    <w:rsid w:val="00C551B1"/>
    <w:rsid w:val="00C55C01"/>
    <w:rsid w:val="00C57C26"/>
    <w:rsid w:val="00C57F8C"/>
    <w:rsid w:val="00C61798"/>
    <w:rsid w:val="00C656A2"/>
    <w:rsid w:val="00C6779D"/>
    <w:rsid w:val="00C67A32"/>
    <w:rsid w:val="00C702F3"/>
    <w:rsid w:val="00C7079C"/>
    <w:rsid w:val="00C70AAA"/>
    <w:rsid w:val="00C71AF3"/>
    <w:rsid w:val="00C76107"/>
    <w:rsid w:val="00C77106"/>
    <w:rsid w:val="00C77C2C"/>
    <w:rsid w:val="00C81143"/>
    <w:rsid w:val="00C8253D"/>
    <w:rsid w:val="00C82977"/>
    <w:rsid w:val="00C85A8C"/>
    <w:rsid w:val="00C9239D"/>
    <w:rsid w:val="00C9330B"/>
    <w:rsid w:val="00C93929"/>
    <w:rsid w:val="00C9687F"/>
    <w:rsid w:val="00C969B5"/>
    <w:rsid w:val="00CA04B3"/>
    <w:rsid w:val="00CA1C1E"/>
    <w:rsid w:val="00CA3F33"/>
    <w:rsid w:val="00CA43A4"/>
    <w:rsid w:val="00CA49E9"/>
    <w:rsid w:val="00CA50D0"/>
    <w:rsid w:val="00CA52B0"/>
    <w:rsid w:val="00CA6F92"/>
    <w:rsid w:val="00CB049B"/>
    <w:rsid w:val="00CB5A60"/>
    <w:rsid w:val="00CC005D"/>
    <w:rsid w:val="00CC5C11"/>
    <w:rsid w:val="00CC7F3C"/>
    <w:rsid w:val="00CD0295"/>
    <w:rsid w:val="00CD08BB"/>
    <w:rsid w:val="00CD1AD5"/>
    <w:rsid w:val="00CD4C9E"/>
    <w:rsid w:val="00CD5B71"/>
    <w:rsid w:val="00CE0486"/>
    <w:rsid w:val="00CE3018"/>
    <w:rsid w:val="00CE50C1"/>
    <w:rsid w:val="00CE6013"/>
    <w:rsid w:val="00CE6E92"/>
    <w:rsid w:val="00CE7B5C"/>
    <w:rsid w:val="00CE7DB0"/>
    <w:rsid w:val="00CF241F"/>
    <w:rsid w:val="00CF3FDD"/>
    <w:rsid w:val="00CF42CF"/>
    <w:rsid w:val="00CF7362"/>
    <w:rsid w:val="00CF7A19"/>
    <w:rsid w:val="00CF7A63"/>
    <w:rsid w:val="00D00F2F"/>
    <w:rsid w:val="00D027C2"/>
    <w:rsid w:val="00D02E9E"/>
    <w:rsid w:val="00D0439A"/>
    <w:rsid w:val="00D05456"/>
    <w:rsid w:val="00D10722"/>
    <w:rsid w:val="00D11E4F"/>
    <w:rsid w:val="00D126BA"/>
    <w:rsid w:val="00D13FB9"/>
    <w:rsid w:val="00D14B11"/>
    <w:rsid w:val="00D15222"/>
    <w:rsid w:val="00D15DDA"/>
    <w:rsid w:val="00D15F12"/>
    <w:rsid w:val="00D20342"/>
    <w:rsid w:val="00D2302A"/>
    <w:rsid w:val="00D249F0"/>
    <w:rsid w:val="00D25167"/>
    <w:rsid w:val="00D25615"/>
    <w:rsid w:val="00D26518"/>
    <w:rsid w:val="00D3143B"/>
    <w:rsid w:val="00D31C87"/>
    <w:rsid w:val="00D33AA3"/>
    <w:rsid w:val="00D36DE5"/>
    <w:rsid w:val="00D40915"/>
    <w:rsid w:val="00D434BF"/>
    <w:rsid w:val="00D47B56"/>
    <w:rsid w:val="00D518E8"/>
    <w:rsid w:val="00D53A34"/>
    <w:rsid w:val="00D559BE"/>
    <w:rsid w:val="00D55ABF"/>
    <w:rsid w:val="00D55C78"/>
    <w:rsid w:val="00D55D0E"/>
    <w:rsid w:val="00D56480"/>
    <w:rsid w:val="00D5691A"/>
    <w:rsid w:val="00D625D3"/>
    <w:rsid w:val="00D62733"/>
    <w:rsid w:val="00D62D58"/>
    <w:rsid w:val="00D63447"/>
    <w:rsid w:val="00D636DE"/>
    <w:rsid w:val="00D667CC"/>
    <w:rsid w:val="00D670B8"/>
    <w:rsid w:val="00D71E7C"/>
    <w:rsid w:val="00D720ED"/>
    <w:rsid w:val="00D73C62"/>
    <w:rsid w:val="00D74C8B"/>
    <w:rsid w:val="00D75D11"/>
    <w:rsid w:val="00D7692B"/>
    <w:rsid w:val="00D807FB"/>
    <w:rsid w:val="00D81326"/>
    <w:rsid w:val="00D8141F"/>
    <w:rsid w:val="00D81AC8"/>
    <w:rsid w:val="00D826BF"/>
    <w:rsid w:val="00D82F7E"/>
    <w:rsid w:val="00D83ADF"/>
    <w:rsid w:val="00D84395"/>
    <w:rsid w:val="00D851D6"/>
    <w:rsid w:val="00D8642A"/>
    <w:rsid w:val="00D871C8"/>
    <w:rsid w:val="00D91AFA"/>
    <w:rsid w:val="00D951F9"/>
    <w:rsid w:val="00D95466"/>
    <w:rsid w:val="00D960ED"/>
    <w:rsid w:val="00D96F7E"/>
    <w:rsid w:val="00DA291E"/>
    <w:rsid w:val="00DA3527"/>
    <w:rsid w:val="00DA35FA"/>
    <w:rsid w:val="00DA4BF9"/>
    <w:rsid w:val="00DA4FB1"/>
    <w:rsid w:val="00DA5507"/>
    <w:rsid w:val="00DB1CA0"/>
    <w:rsid w:val="00DB206B"/>
    <w:rsid w:val="00DB206C"/>
    <w:rsid w:val="00DB3347"/>
    <w:rsid w:val="00DB3658"/>
    <w:rsid w:val="00DB38AB"/>
    <w:rsid w:val="00DB4C21"/>
    <w:rsid w:val="00DB4EF5"/>
    <w:rsid w:val="00DB730E"/>
    <w:rsid w:val="00DB760E"/>
    <w:rsid w:val="00DC0846"/>
    <w:rsid w:val="00DC273B"/>
    <w:rsid w:val="00DC2A94"/>
    <w:rsid w:val="00DC31B0"/>
    <w:rsid w:val="00DC53A2"/>
    <w:rsid w:val="00DD0C13"/>
    <w:rsid w:val="00DD1820"/>
    <w:rsid w:val="00DD1825"/>
    <w:rsid w:val="00DD2297"/>
    <w:rsid w:val="00DD31AC"/>
    <w:rsid w:val="00DD3FE2"/>
    <w:rsid w:val="00DD6D52"/>
    <w:rsid w:val="00DD739A"/>
    <w:rsid w:val="00DE1479"/>
    <w:rsid w:val="00DE1DDF"/>
    <w:rsid w:val="00DE236F"/>
    <w:rsid w:val="00DE69AA"/>
    <w:rsid w:val="00DF1685"/>
    <w:rsid w:val="00DF1701"/>
    <w:rsid w:val="00DF2D9B"/>
    <w:rsid w:val="00DF65DB"/>
    <w:rsid w:val="00DF7988"/>
    <w:rsid w:val="00E0005C"/>
    <w:rsid w:val="00E00CDE"/>
    <w:rsid w:val="00E019CF"/>
    <w:rsid w:val="00E03E9C"/>
    <w:rsid w:val="00E06694"/>
    <w:rsid w:val="00E067A6"/>
    <w:rsid w:val="00E106DA"/>
    <w:rsid w:val="00E11078"/>
    <w:rsid w:val="00E14060"/>
    <w:rsid w:val="00E26E78"/>
    <w:rsid w:val="00E27A36"/>
    <w:rsid w:val="00E42E1D"/>
    <w:rsid w:val="00E46F4F"/>
    <w:rsid w:val="00E47DB4"/>
    <w:rsid w:val="00E50C52"/>
    <w:rsid w:val="00E5163E"/>
    <w:rsid w:val="00E606BF"/>
    <w:rsid w:val="00E61446"/>
    <w:rsid w:val="00E61F0A"/>
    <w:rsid w:val="00E63E9B"/>
    <w:rsid w:val="00E6532B"/>
    <w:rsid w:val="00E66ACC"/>
    <w:rsid w:val="00E6713C"/>
    <w:rsid w:val="00E70004"/>
    <w:rsid w:val="00E70778"/>
    <w:rsid w:val="00E70E99"/>
    <w:rsid w:val="00E72F17"/>
    <w:rsid w:val="00E761BB"/>
    <w:rsid w:val="00E76923"/>
    <w:rsid w:val="00E77FE9"/>
    <w:rsid w:val="00E80485"/>
    <w:rsid w:val="00E80868"/>
    <w:rsid w:val="00E81643"/>
    <w:rsid w:val="00E8343A"/>
    <w:rsid w:val="00E8347C"/>
    <w:rsid w:val="00E842AD"/>
    <w:rsid w:val="00E86BD1"/>
    <w:rsid w:val="00E87A99"/>
    <w:rsid w:val="00E94883"/>
    <w:rsid w:val="00E961E5"/>
    <w:rsid w:val="00E97FC4"/>
    <w:rsid w:val="00EA50D6"/>
    <w:rsid w:val="00EA5301"/>
    <w:rsid w:val="00EA54EC"/>
    <w:rsid w:val="00EA55FA"/>
    <w:rsid w:val="00EB1BF6"/>
    <w:rsid w:val="00EB3415"/>
    <w:rsid w:val="00EB609F"/>
    <w:rsid w:val="00EB6FF1"/>
    <w:rsid w:val="00EC07FC"/>
    <w:rsid w:val="00EC0E12"/>
    <w:rsid w:val="00EC2C4D"/>
    <w:rsid w:val="00EC2CEE"/>
    <w:rsid w:val="00EC36D3"/>
    <w:rsid w:val="00EC4D50"/>
    <w:rsid w:val="00EC6ECB"/>
    <w:rsid w:val="00EC6F74"/>
    <w:rsid w:val="00ED0FAA"/>
    <w:rsid w:val="00ED2A75"/>
    <w:rsid w:val="00ED4DD8"/>
    <w:rsid w:val="00ED5A13"/>
    <w:rsid w:val="00ED5D27"/>
    <w:rsid w:val="00ED6EC7"/>
    <w:rsid w:val="00EE13C2"/>
    <w:rsid w:val="00EE1C99"/>
    <w:rsid w:val="00EE237F"/>
    <w:rsid w:val="00EE24A0"/>
    <w:rsid w:val="00EE2A44"/>
    <w:rsid w:val="00EE4D88"/>
    <w:rsid w:val="00EE5C4A"/>
    <w:rsid w:val="00EE7406"/>
    <w:rsid w:val="00EF290F"/>
    <w:rsid w:val="00EF41B9"/>
    <w:rsid w:val="00EF5F51"/>
    <w:rsid w:val="00F01C25"/>
    <w:rsid w:val="00F030E3"/>
    <w:rsid w:val="00F03733"/>
    <w:rsid w:val="00F03B1A"/>
    <w:rsid w:val="00F04236"/>
    <w:rsid w:val="00F05777"/>
    <w:rsid w:val="00F10DAB"/>
    <w:rsid w:val="00F10E45"/>
    <w:rsid w:val="00F12863"/>
    <w:rsid w:val="00F15B4F"/>
    <w:rsid w:val="00F21A8F"/>
    <w:rsid w:val="00F233E3"/>
    <w:rsid w:val="00F23849"/>
    <w:rsid w:val="00F23EEC"/>
    <w:rsid w:val="00F248F5"/>
    <w:rsid w:val="00F26FB7"/>
    <w:rsid w:val="00F2775C"/>
    <w:rsid w:val="00F30A2D"/>
    <w:rsid w:val="00F30A31"/>
    <w:rsid w:val="00F30BC4"/>
    <w:rsid w:val="00F346A4"/>
    <w:rsid w:val="00F36F42"/>
    <w:rsid w:val="00F37CE1"/>
    <w:rsid w:val="00F417DB"/>
    <w:rsid w:val="00F433AA"/>
    <w:rsid w:val="00F45143"/>
    <w:rsid w:val="00F52163"/>
    <w:rsid w:val="00F5438F"/>
    <w:rsid w:val="00F55520"/>
    <w:rsid w:val="00F609D5"/>
    <w:rsid w:val="00F618BE"/>
    <w:rsid w:val="00F628A7"/>
    <w:rsid w:val="00F63732"/>
    <w:rsid w:val="00F65255"/>
    <w:rsid w:val="00F6796D"/>
    <w:rsid w:val="00F679A0"/>
    <w:rsid w:val="00F70B5C"/>
    <w:rsid w:val="00F72184"/>
    <w:rsid w:val="00F72693"/>
    <w:rsid w:val="00F80716"/>
    <w:rsid w:val="00F821BC"/>
    <w:rsid w:val="00F82EEC"/>
    <w:rsid w:val="00F831E4"/>
    <w:rsid w:val="00F83CFC"/>
    <w:rsid w:val="00F83DC5"/>
    <w:rsid w:val="00F84930"/>
    <w:rsid w:val="00F84C88"/>
    <w:rsid w:val="00F84FEC"/>
    <w:rsid w:val="00F85467"/>
    <w:rsid w:val="00F85BFA"/>
    <w:rsid w:val="00F85F98"/>
    <w:rsid w:val="00F864A6"/>
    <w:rsid w:val="00F87127"/>
    <w:rsid w:val="00F9057E"/>
    <w:rsid w:val="00F92742"/>
    <w:rsid w:val="00F94C32"/>
    <w:rsid w:val="00F96C01"/>
    <w:rsid w:val="00FA1F7D"/>
    <w:rsid w:val="00FA21BC"/>
    <w:rsid w:val="00FA284E"/>
    <w:rsid w:val="00FA5F2E"/>
    <w:rsid w:val="00FA79EA"/>
    <w:rsid w:val="00FB13FB"/>
    <w:rsid w:val="00FB161F"/>
    <w:rsid w:val="00FB25E8"/>
    <w:rsid w:val="00FB7EC4"/>
    <w:rsid w:val="00FC40CB"/>
    <w:rsid w:val="00FD0275"/>
    <w:rsid w:val="00FD02BF"/>
    <w:rsid w:val="00FD0551"/>
    <w:rsid w:val="00FD1C2F"/>
    <w:rsid w:val="00FD38BE"/>
    <w:rsid w:val="00FD4D2D"/>
    <w:rsid w:val="00FD4D68"/>
    <w:rsid w:val="00FD5F58"/>
    <w:rsid w:val="00FD6C9B"/>
    <w:rsid w:val="00FD7922"/>
    <w:rsid w:val="00FD7DCD"/>
    <w:rsid w:val="00FE0B07"/>
    <w:rsid w:val="00FE4C9B"/>
    <w:rsid w:val="00FE4D0C"/>
    <w:rsid w:val="00FE502E"/>
    <w:rsid w:val="00FE6F79"/>
    <w:rsid w:val="00FF0C9B"/>
    <w:rsid w:val="00FF1DAC"/>
    <w:rsid w:val="00FF3B7F"/>
    <w:rsid w:val="00FF6163"/>
    <w:rsid w:val="00FF7AFE"/>
    <w:rsid w:val="0185A49E"/>
    <w:rsid w:val="02384B0C"/>
    <w:rsid w:val="025E7B43"/>
    <w:rsid w:val="0331706D"/>
    <w:rsid w:val="04258060"/>
    <w:rsid w:val="04A89A78"/>
    <w:rsid w:val="05E555E9"/>
    <w:rsid w:val="0699A877"/>
    <w:rsid w:val="071F5F7E"/>
    <w:rsid w:val="07449648"/>
    <w:rsid w:val="0768CEB1"/>
    <w:rsid w:val="07A065B9"/>
    <w:rsid w:val="07AAD4F0"/>
    <w:rsid w:val="07B2E0AC"/>
    <w:rsid w:val="0827C5FC"/>
    <w:rsid w:val="0850B7BF"/>
    <w:rsid w:val="0A4D7607"/>
    <w:rsid w:val="0A576405"/>
    <w:rsid w:val="0A5BCE8F"/>
    <w:rsid w:val="0AB1667F"/>
    <w:rsid w:val="0AC74474"/>
    <w:rsid w:val="0C52D799"/>
    <w:rsid w:val="0C82A9B0"/>
    <w:rsid w:val="0D825025"/>
    <w:rsid w:val="0DE7ACDD"/>
    <w:rsid w:val="0DFBA3C0"/>
    <w:rsid w:val="0E62B64E"/>
    <w:rsid w:val="0EF92348"/>
    <w:rsid w:val="0F9782D6"/>
    <w:rsid w:val="1020372C"/>
    <w:rsid w:val="10ACEF88"/>
    <w:rsid w:val="11268707"/>
    <w:rsid w:val="1343B9CD"/>
    <w:rsid w:val="13B19886"/>
    <w:rsid w:val="1469D09C"/>
    <w:rsid w:val="15180BBC"/>
    <w:rsid w:val="15FBD3C2"/>
    <w:rsid w:val="16B4DC59"/>
    <w:rsid w:val="16DA3941"/>
    <w:rsid w:val="16DE7BBF"/>
    <w:rsid w:val="17C4DDD5"/>
    <w:rsid w:val="17DE1C9B"/>
    <w:rsid w:val="17F98BCB"/>
    <w:rsid w:val="18A3384A"/>
    <w:rsid w:val="18DC1F61"/>
    <w:rsid w:val="19659A08"/>
    <w:rsid w:val="1A38EADB"/>
    <w:rsid w:val="1A4A8C9E"/>
    <w:rsid w:val="1AB67845"/>
    <w:rsid w:val="1ADEF2A0"/>
    <w:rsid w:val="1AE67422"/>
    <w:rsid w:val="1CC4B4D8"/>
    <w:rsid w:val="1CF6B27F"/>
    <w:rsid w:val="1D94E69E"/>
    <w:rsid w:val="1DE4B3DD"/>
    <w:rsid w:val="1E16077D"/>
    <w:rsid w:val="1E40E9A0"/>
    <w:rsid w:val="1F603D79"/>
    <w:rsid w:val="1F6C9CAF"/>
    <w:rsid w:val="1FFBAE72"/>
    <w:rsid w:val="2057DD77"/>
    <w:rsid w:val="216B0932"/>
    <w:rsid w:val="2195A9B6"/>
    <w:rsid w:val="2299F9DD"/>
    <w:rsid w:val="23F38F5B"/>
    <w:rsid w:val="23FDDB42"/>
    <w:rsid w:val="24F1834E"/>
    <w:rsid w:val="26A249F1"/>
    <w:rsid w:val="26C8D8AB"/>
    <w:rsid w:val="2771E1E1"/>
    <w:rsid w:val="2886541A"/>
    <w:rsid w:val="28A7A009"/>
    <w:rsid w:val="293D3400"/>
    <w:rsid w:val="295173C6"/>
    <w:rsid w:val="29B2B2CA"/>
    <w:rsid w:val="2AB1C2C2"/>
    <w:rsid w:val="2AF59357"/>
    <w:rsid w:val="2C323CFF"/>
    <w:rsid w:val="2CA51618"/>
    <w:rsid w:val="2CC8ED87"/>
    <w:rsid w:val="2D951E82"/>
    <w:rsid w:val="2E055401"/>
    <w:rsid w:val="2EDF55A3"/>
    <w:rsid w:val="2F641882"/>
    <w:rsid w:val="2FB5E493"/>
    <w:rsid w:val="2FF9D604"/>
    <w:rsid w:val="30472C13"/>
    <w:rsid w:val="314282BB"/>
    <w:rsid w:val="31E65C7C"/>
    <w:rsid w:val="32645B2C"/>
    <w:rsid w:val="32900E13"/>
    <w:rsid w:val="329A9DDE"/>
    <w:rsid w:val="32E6507C"/>
    <w:rsid w:val="3333ED9C"/>
    <w:rsid w:val="333458BE"/>
    <w:rsid w:val="338E4C38"/>
    <w:rsid w:val="339FD795"/>
    <w:rsid w:val="349996CC"/>
    <w:rsid w:val="34A40B2F"/>
    <w:rsid w:val="353F1226"/>
    <w:rsid w:val="3618697E"/>
    <w:rsid w:val="36C90A9F"/>
    <w:rsid w:val="37191465"/>
    <w:rsid w:val="372247B6"/>
    <w:rsid w:val="3734CFCC"/>
    <w:rsid w:val="377D3B6F"/>
    <w:rsid w:val="379B3662"/>
    <w:rsid w:val="37D45F18"/>
    <w:rsid w:val="3863BD23"/>
    <w:rsid w:val="38959210"/>
    <w:rsid w:val="38ACE2F2"/>
    <w:rsid w:val="39BFB336"/>
    <w:rsid w:val="39F1765D"/>
    <w:rsid w:val="3ABF66A6"/>
    <w:rsid w:val="3BDB3BE3"/>
    <w:rsid w:val="3BDBB92C"/>
    <w:rsid w:val="3BF41050"/>
    <w:rsid w:val="3C2593DD"/>
    <w:rsid w:val="3CA54D62"/>
    <w:rsid w:val="3CC041A7"/>
    <w:rsid w:val="3CD78FE8"/>
    <w:rsid w:val="3D2C8231"/>
    <w:rsid w:val="3D4DEB5D"/>
    <w:rsid w:val="3D9A4349"/>
    <w:rsid w:val="3E38971F"/>
    <w:rsid w:val="3E771302"/>
    <w:rsid w:val="3E8CEAD6"/>
    <w:rsid w:val="3EC21764"/>
    <w:rsid w:val="3EC704FA"/>
    <w:rsid w:val="3F2DB95C"/>
    <w:rsid w:val="40002EA1"/>
    <w:rsid w:val="40FC0DC9"/>
    <w:rsid w:val="419BCBAB"/>
    <w:rsid w:val="425BBC74"/>
    <w:rsid w:val="42727324"/>
    <w:rsid w:val="4333DD66"/>
    <w:rsid w:val="43E0DEFE"/>
    <w:rsid w:val="443E45F6"/>
    <w:rsid w:val="46C901DF"/>
    <w:rsid w:val="46DF7FC9"/>
    <w:rsid w:val="4711C629"/>
    <w:rsid w:val="4747ED17"/>
    <w:rsid w:val="48589A2F"/>
    <w:rsid w:val="48617ED5"/>
    <w:rsid w:val="4AEF4CB7"/>
    <w:rsid w:val="4CA97B79"/>
    <w:rsid w:val="4CB9ED02"/>
    <w:rsid w:val="4D884F87"/>
    <w:rsid w:val="4D946976"/>
    <w:rsid w:val="4D9A54A7"/>
    <w:rsid w:val="4DB98505"/>
    <w:rsid w:val="4DEC44FE"/>
    <w:rsid w:val="4E010731"/>
    <w:rsid w:val="4E9EC415"/>
    <w:rsid w:val="4EA93846"/>
    <w:rsid w:val="4F2941F5"/>
    <w:rsid w:val="4F394C36"/>
    <w:rsid w:val="4F394DF5"/>
    <w:rsid w:val="50ACA58D"/>
    <w:rsid w:val="51FB42FD"/>
    <w:rsid w:val="52BB9C8A"/>
    <w:rsid w:val="5305CE0F"/>
    <w:rsid w:val="539D8D2E"/>
    <w:rsid w:val="53BCBD49"/>
    <w:rsid w:val="54AD01A0"/>
    <w:rsid w:val="552E9934"/>
    <w:rsid w:val="55321E8E"/>
    <w:rsid w:val="56148B67"/>
    <w:rsid w:val="56784FA2"/>
    <w:rsid w:val="56B99B5C"/>
    <w:rsid w:val="57D97ADC"/>
    <w:rsid w:val="58540D98"/>
    <w:rsid w:val="59E44E8C"/>
    <w:rsid w:val="59FEFEED"/>
    <w:rsid w:val="5A2C430D"/>
    <w:rsid w:val="5AB20C49"/>
    <w:rsid w:val="5AE9D4A4"/>
    <w:rsid w:val="5B209942"/>
    <w:rsid w:val="5B24A866"/>
    <w:rsid w:val="5BE75A37"/>
    <w:rsid w:val="5BEF4B3E"/>
    <w:rsid w:val="5C5B3296"/>
    <w:rsid w:val="5E230566"/>
    <w:rsid w:val="5E7BE51D"/>
    <w:rsid w:val="5EDA04EA"/>
    <w:rsid w:val="5F897C33"/>
    <w:rsid w:val="6075FA9D"/>
    <w:rsid w:val="609C0C40"/>
    <w:rsid w:val="60A2A514"/>
    <w:rsid w:val="60CF9C1B"/>
    <w:rsid w:val="6172BFD2"/>
    <w:rsid w:val="61B09D96"/>
    <w:rsid w:val="6208E1E2"/>
    <w:rsid w:val="621E79D8"/>
    <w:rsid w:val="625748C2"/>
    <w:rsid w:val="625C305E"/>
    <w:rsid w:val="62960186"/>
    <w:rsid w:val="645726C2"/>
    <w:rsid w:val="64D09C9C"/>
    <w:rsid w:val="6505AB4B"/>
    <w:rsid w:val="652E060B"/>
    <w:rsid w:val="65A32EE3"/>
    <w:rsid w:val="65AABA34"/>
    <w:rsid w:val="66564572"/>
    <w:rsid w:val="66EE2A53"/>
    <w:rsid w:val="6723AA32"/>
    <w:rsid w:val="67452D63"/>
    <w:rsid w:val="676DC113"/>
    <w:rsid w:val="681540F1"/>
    <w:rsid w:val="6996B333"/>
    <w:rsid w:val="69AC8393"/>
    <w:rsid w:val="6AA47269"/>
    <w:rsid w:val="6CAD8985"/>
    <w:rsid w:val="6CFAC07A"/>
    <w:rsid w:val="6D3E9E34"/>
    <w:rsid w:val="6DD062FB"/>
    <w:rsid w:val="6F5E0E87"/>
    <w:rsid w:val="6FAAC7C6"/>
    <w:rsid w:val="6FDE85E0"/>
    <w:rsid w:val="71228AC5"/>
    <w:rsid w:val="71359DB6"/>
    <w:rsid w:val="7146CCFA"/>
    <w:rsid w:val="72E4265A"/>
    <w:rsid w:val="72F0A3A1"/>
    <w:rsid w:val="7382E15F"/>
    <w:rsid w:val="7435FA09"/>
    <w:rsid w:val="7456E6A7"/>
    <w:rsid w:val="747E6526"/>
    <w:rsid w:val="75487701"/>
    <w:rsid w:val="75D1D55E"/>
    <w:rsid w:val="75D6BF1A"/>
    <w:rsid w:val="769285A6"/>
    <w:rsid w:val="7717E8D6"/>
    <w:rsid w:val="776884D7"/>
    <w:rsid w:val="77823D36"/>
    <w:rsid w:val="77F7174F"/>
    <w:rsid w:val="783B9DA8"/>
    <w:rsid w:val="788946C8"/>
    <w:rsid w:val="78DFAF7C"/>
    <w:rsid w:val="798B5856"/>
    <w:rsid w:val="7A88BD29"/>
    <w:rsid w:val="7C85C871"/>
    <w:rsid w:val="7E5ED50C"/>
    <w:rsid w:val="7ECB81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E0B87"/>
  <w15:docId w15:val="{42EB89F1-3DAE-4D01-BA8B-7150F245F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7AD5"/>
    <w:pPr>
      <w:spacing w:before="120" w:after="120" w:line="240" w:lineRule="auto"/>
      <w:jc w:val="both"/>
    </w:pPr>
    <w:rPr>
      <w:rFonts w:ascii="Times New Roman" w:hAnsi="Times New Roman" w:cs="Times New Roman"/>
      <w:lang w:val="en-GB"/>
    </w:rPr>
  </w:style>
  <w:style w:type="paragraph" w:styleId="Heading1">
    <w:name w:val="heading 1"/>
    <w:basedOn w:val="Normal"/>
    <w:next w:val="Normal"/>
    <w:link w:val="Heading1Char"/>
    <w:uiPriority w:val="9"/>
    <w:qFormat/>
    <w:rsid w:val="00174A05"/>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464C6A"/>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464C6A"/>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5F26"/>
    <w:pPr>
      <w:tabs>
        <w:tab w:val="center" w:pos="4986"/>
        <w:tab w:val="right" w:pos="9972"/>
      </w:tabs>
      <w:spacing w:before="0" w:after="0"/>
    </w:pPr>
  </w:style>
  <w:style w:type="character" w:customStyle="1" w:styleId="HeaderChar">
    <w:name w:val="Header Char"/>
    <w:basedOn w:val="DefaultParagraphFont"/>
    <w:link w:val="Header"/>
    <w:uiPriority w:val="99"/>
    <w:rsid w:val="009E5F26"/>
    <w:rPr>
      <w:rFonts w:ascii="Times New Roman" w:hAnsi="Times New Roman" w:cs="Times New Roman"/>
      <w:sz w:val="24"/>
      <w:lang w:val="en-GB"/>
    </w:rPr>
  </w:style>
  <w:style w:type="paragraph" w:styleId="Footer">
    <w:name w:val="footer"/>
    <w:basedOn w:val="Normal"/>
    <w:link w:val="FooterChar"/>
    <w:uiPriority w:val="99"/>
    <w:unhideWhenUsed/>
    <w:rsid w:val="009E5F26"/>
    <w:pPr>
      <w:tabs>
        <w:tab w:val="center" w:pos="4986"/>
        <w:tab w:val="right" w:pos="9972"/>
      </w:tabs>
      <w:spacing w:before="0" w:after="0"/>
    </w:pPr>
  </w:style>
  <w:style w:type="character" w:customStyle="1" w:styleId="FooterChar">
    <w:name w:val="Footer Char"/>
    <w:basedOn w:val="DefaultParagraphFont"/>
    <w:link w:val="Footer"/>
    <w:uiPriority w:val="99"/>
    <w:rsid w:val="009E5F26"/>
    <w:rPr>
      <w:rFonts w:ascii="Times New Roman" w:hAnsi="Times New Roman" w:cs="Times New Roman"/>
      <w:sz w:val="24"/>
      <w:lang w:val="en-GB"/>
    </w:rPr>
  </w:style>
  <w:style w:type="paragraph" w:styleId="ListParagraph">
    <w:name w:val="List Paragraph"/>
    <w:aliases w:val="Normal bullet 2,Bullet list,List Paragraph1,Numbered List,1st level - Bullet List Paragraph,Lettre d'introduction,Paragrafo elenco,List Paragraph11,Normal bullet 21,List Paragraph111,Bullet list1"/>
    <w:basedOn w:val="Normal"/>
    <w:link w:val="ListParagraphChar"/>
    <w:uiPriority w:val="34"/>
    <w:qFormat/>
    <w:rsid w:val="0064706B"/>
    <w:pPr>
      <w:spacing w:before="0" w:after="200" w:line="276" w:lineRule="auto"/>
      <w:ind w:left="720"/>
      <w:contextualSpacing/>
      <w:jc w:val="left"/>
    </w:pPr>
    <w:rPr>
      <w:rFonts w:asciiTheme="minorHAnsi" w:hAnsiTheme="minorHAnsi" w:cstheme="minorBidi"/>
    </w:rPr>
  </w:style>
  <w:style w:type="table" w:styleId="TableGrid">
    <w:name w:val="Table Grid"/>
    <w:basedOn w:val="TableNormal"/>
    <w:uiPriority w:val="39"/>
    <w:rsid w:val="0064706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A05B28"/>
    <w:rPr>
      <w:sz w:val="16"/>
      <w:szCs w:val="16"/>
    </w:rPr>
  </w:style>
  <w:style w:type="paragraph" w:styleId="CommentText">
    <w:name w:val="annotation text"/>
    <w:basedOn w:val="Normal"/>
    <w:link w:val="CommentTextChar"/>
    <w:uiPriority w:val="99"/>
    <w:unhideWhenUsed/>
    <w:rsid w:val="00A05B28"/>
    <w:pPr>
      <w:spacing w:before="0" w:after="200"/>
      <w:jc w:val="left"/>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A05B28"/>
    <w:rPr>
      <w:sz w:val="20"/>
      <w:szCs w:val="20"/>
      <w:lang w:val="en-GB"/>
    </w:rPr>
  </w:style>
  <w:style w:type="character" w:styleId="Hyperlink">
    <w:name w:val="Hyperlink"/>
    <w:basedOn w:val="DefaultParagraphFont"/>
    <w:uiPriority w:val="99"/>
    <w:unhideWhenUsed/>
    <w:rsid w:val="00A05B28"/>
    <w:rPr>
      <w:color w:val="646464" w:themeColor="hyperlink"/>
      <w:u w:val="single"/>
    </w:rPr>
  </w:style>
  <w:style w:type="paragraph" w:styleId="BalloonText">
    <w:name w:val="Balloon Text"/>
    <w:basedOn w:val="Normal"/>
    <w:link w:val="BalloonTextChar"/>
    <w:uiPriority w:val="99"/>
    <w:semiHidden/>
    <w:unhideWhenUsed/>
    <w:rsid w:val="00A05B2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5B28"/>
    <w:rPr>
      <w:rFonts w:ascii="Segoe UI" w:hAnsi="Segoe UI" w:cs="Segoe UI"/>
      <w:sz w:val="18"/>
      <w:szCs w:val="18"/>
      <w:lang w:val="en-GB"/>
    </w:rPr>
  </w:style>
  <w:style w:type="paragraph" w:styleId="Caption">
    <w:name w:val="caption"/>
    <w:basedOn w:val="Normal"/>
    <w:next w:val="Normal"/>
    <w:uiPriority w:val="35"/>
    <w:unhideWhenUsed/>
    <w:qFormat/>
    <w:rsid w:val="00CA50D0"/>
    <w:pPr>
      <w:spacing w:before="0" w:after="200"/>
    </w:pPr>
    <w:rPr>
      <w:b/>
      <w:bCs/>
      <w:color w:val="7E97AD" w:themeColor="accent1"/>
      <w:sz w:val="18"/>
      <w:szCs w:val="18"/>
    </w:rPr>
  </w:style>
  <w:style w:type="paragraph" w:styleId="FootnoteText">
    <w:name w:val="footnote text"/>
    <w:aliases w:val="Footnote Text Char3,Footnote Text Char1 Char1,Footnote Text Char2 Char Char,Footnote Text Char1 Char1 Char Char,Footnote Text Char2 Char Char Char Char,Footnote Text Char1 Char1 Char Char Char Char Char,-E Fußnotentext"/>
    <w:basedOn w:val="Normal"/>
    <w:link w:val="FootnoteTextChar"/>
    <w:uiPriority w:val="99"/>
    <w:unhideWhenUsed/>
    <w:qFormat/>
    <w:rsid w:val="00F04236"/>
    <w:pPr>
      <w:spacing w:before="0" w:after="0"/>
      <w:ind w:left="720" w:hanging="720"/>
    </w:pPr>
    <w:rPr>
      <w:sz w:val="20"/>
      <w:szCs w:val="20"/>
    </w:rPr>
  </w:style>
  <w:style w:type="character" w:customStyle="1" w:styleId="FootnoteTextChar">
    <w:name w:val="Footnote Text Char"/>
    <w:aliases w:val="Footnote Text Char3 Char,Footnote Text Char1 Char1 Char,Footnote Text Char2 Char Char Char,Footnote Text Char1 Char1 Char Char Char,Footnote Text Char2 Char Char Char Char Char,Footnote Text Char1 Char1 Char Char Char Char Char Char"/>
    <w:basedOn w:val="DefaultParagraphFont"/>
    <w:link w:val="FootnoteText"/>
    <w:uiPriority w:val="99"/>
    <w:qFormat/>
    <w:rsid w:val="00F04236"/>
    <w:rPr>
      <w:rFonts w:ascii="Times New Roman" w:hAnsi="Times New Roman" w:cs="Times New Roman"/>
      <w:sz w:val="20"/>
      <w:szCs w:val="20"/>
      <w:lang w:val="en-GB"/>
    </w:rPr>
  </w:style>
  <w:style w:type="character" w:styleId="FootnoteReference">
    <w:name w:val="footnote reference"/>
    <w:aliases w:val="ftref,Footnotes refss,Fussnota,Footnote symbol,Footnote reference number,Times 10 Point,Exposant 3 Point,EN Footnote Reference,note TESI,Footnote Reference Superscript,Zchn Zchn,Footnote number,Footnote Reference Number,BVI fnr"/>
    <w:basedOn w:val="DefaultParagraphFont"/>
    <w:uiPriority w:val="99"/>
    <w:unhideWhenUsed/>
    <w:rsid w:val="00F04236"/>
    <w:rPr>
      <w:shd w:val="clear" w:color="auto" w:fill="auto"/>
      <w:vertAlign w:val="superscript"/>
    </w:rPr>
  </w:style>
  <w:style w:type="paragraph" w:styleId="CommentSubject">
    <w:name w:val="annotation subject"/>
    <w:basedOn w:val="CommentText"/>
    <w:next w:val="CommentText"/>
    <w:link w:val="CommentSubjectChar"/>
    <w:uiPriority w:val="99"/>
    <w:semiHidden/>
    <w:unhideWhenUsed/>
    <w:rsid w:val="00D5691A"/>
    <w:pPr>
      <w:spacing w:before="120" w:after="120"/>
      <w:jc w:val="both"/>
    </w:pPr>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D5691A"/>
    <w:rPr>
      <w:rFonts w:ascii="Times New Roman" w:hAnsi="Times New Roman" w:cs="Times New Roman"/>
      <w:b/>
      <w:bCs/>
      <w:sz w:val="20"/>
      <w:szCs w:val="20"/>
      <w:lang w:val="en-GB"/>
    </w:rPr>
  </w:style>
  <w:style w:type="character" w:customStyle="1" w:styleId="CommentTextChar1">
    <w:name w:val="Comment Text Char1"/>
    <w:basedOn w:val="DefaultParagraphFont"/>
    <w:uiPriority w:val="99"/>
    <w:rsid w:val="008D37FE"/>
    <w:rPr>
      <w:rFonts w:ascii="Times New Roman" w:hAnsi="Times New Roman"/>
      <w:lang w:eastAsia="en-US"/>
    </w:rPr>
  </w:style>
  <w:style w:type="paragraph" w:customStyle="1" w:styleId="Text1">
    <w:name w:val="Text 1"/>
    <w:basedOn w:val="Normal"/>
    <w:rsid w:val="005D183A"/>
    <w:pPr>
      <w:ind w:left="850"/>
    </w:pPr>
  </w:style>
  <w:style w:type="paragraph" w:customStyle="1" w:styleId="default">
    <w:name w:val="default"/>
    <w:basedOn w:val="Normal"/>
    <w:rsid w:val="000A1AE1"/>
    <w:pPr>
      <w:autoSpaceDE w:val="0"/>
      <w:autoSpaceDN w:val="0"/>
      <w:spacing w:before="0" w:after="0"/>
      <w:jc w:val="left"/>
    </w:pPr>
    <w:rPr>
      <w:color w:val="000000"/>
      <w:szCs w:val="24"/>
      <w:lang w:val="lt-LT" w:eastAsia="lt-LT"/>
    </w:rPr>
  </w:style>
  <w:style w:type="character" w:customStyle="1" w:styleId="ListParagraphChar">
    <w:name w:val="List Paragraph Char"/>
    <w:aliases w:val="Normal bullet 2 Char,Bullet list Char,List Paragraph1 Char,Numbered List Char,1st level - Bullet List Paragraph Char,Lettre d'introduction Char,Paragrafo elenco Char,List Paragraph11 Char,Normal bullet 21 Char,List Paragraph111 Char"/>
    <w:link w:val="ListParagraph"/>
    <w:uiPriority w:val="34"/>
    <w:locked/>
    <w:rsid w:val="00CF7A19"/>
    <w:rPr>
      <w:lang w:val="en-GB"/>
    </w:rPr>
  </w:style>
  <w:style w:type="paragraph" w:customStyle="1" w:styleId="Tables">
    <w:name w:val="Tables"/>
    <w:basedOn w:val="Caption"/>
    <w:qFormat/>
    <w:rsid w:val="00361301"/>
    <w:pPr>
      <w:suppressLineNumbers/>
      <w:suppressAutoHyphens/>
      <w:spacing w:before="120" w:after="0"/>
    </w:pPr>
    <w:rPr>
      <w:rFonts w:ascii="Calibri" w:eastAsia="Times New Roman" w:hAnsi="Calibri" w:cs="Calibri"/>
      <w:b w:val="0"/>
      <w:color w:val="auto"/>
      <w:sz w:val="22"/>
      <w:szCs w:val="24"/>
      <w:lang w:val="en-US" w:eastAsia="ar-SA"/>
    </w:rPr>
  </w:style>
  <w:style w:type="table" w:styleId="LightShading-Accent6">
    <w:name w:val="Light Shading Accent 6"/>
    <w:basedOn w:val="TableNormal"/>
    <w:uiPriority w:val="60"/>
    <w:rsid w:val="00102925"/>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Heading1Char">
    <w:name w:val="Heading 1 Char"/>
    <w:basedOn w:val="DefaultParagraphFont"/>
    <w:link w:val="Heading1"/>
    <w:uiPriority w:val="9"/>
    <w:rsid w:val="00174A05"/>
    <w:rPr>
      <w:rFonts w:ascii="Times New Roman" w:eastAsiaTheme="majorEastAsia" w:hAnsi="Times New Roman" w:cstheme="majorBidi"/>
      <w:b/>
      <w:szCs w:val="32"/>
      <w:lang w:val="en-GB"/>
    </w:rPr>
  </w:style>
  <w:style w:type="character" w:customStyle="1" w:styleId="Heading2Char">
    <w:name w:val="Heading 2 Char"/>
    <w:basedOn w:val="DefaultParagraphFont"/>
    <w:link w:val="Heading2"/>
    <w:uiPriority w:val="9"/>
    <w:rsid w:val="00464C6A"/>
    <w:rPr>
      <w:rFonts w:ascii="Times New Roman" w:eastAsiaTheme="majorEastAsia" w:hAnsi="Times New Roman" w:cstheme="majorBidi"/>
      <w:b/>
      <w:szCs w:val="26"/>
      <w:lang w:val="en-GB"/>
    </w:rPr>
  </w:style>
  <w:style w:type="character" w:customStyle="1" w:styleId="Heading3Char">
    <w:name w:val="Heading 3 Char"/>
    <w:basedOn w:val="DefaultParagraphFont"/>
    <w:link w:val="Heading3"/>
    <w:uiPriority w:val="9"/>
    <w:rsid w:val="00464C6A"/>
    <w:rPr>
      <w:rFonts w:ascii="Times New Roman" w:eastAsiaTheme="majorEastAsia" w:hAnsi="Times New Roman" w:cstheme="majorBidi"/>
      <w:b/>
      <w:szCs w:val="24"/>
      <w:lang w:val="en-GB"/>
    </w:rPr>
  </w:style>
  <w:style w:type="paragraph" w:styleId="TOCHeading">
    <w:name w:val="TOC Heading"/>
    <w:basedOn w:val="Heading1"/>
    <w:next w:val="Normal"/>
    <w:uiPriority w:val="39"/>
    <w:unhideWhenUsed/>
    <w:qFormat/>
    <w:rsid w:val="005F06FF"/>
    <w:pPr>
      <w:spacing w:line="259" w:lineRule="auto"/>
      <w:jc w:val="left"/>
      <w:outlineLvl w:val="9"/>
    </w:pPr>
    <w:rPr>
      <w:rFonts w:asciiTheme="majorHAnsi" w:hAnsiTheme="majorHAnsi"/>
      <w:b w:val="0"/>
      <w:color w:val="577188" w:themeColor="accent1" w:themeShade="BF"/>
      <w:sz w:val="32"/>
      <w:lang w:val="en-US"/>
    </w:rPr>
  </w:style>
  <w:style w:type="paragraph" w:styleId="TOC1">
    <w:name w:val="toc 1"/>
    <w:basedOn w:val="Normal"/>
    <w:next w:val="Normal"/>
    <w:autoRedefine/>
    <w:uiPriority w:val="39"/>
    <w:unhideWhenUsed/>
    <w:rsid w:val="005F06FF"/>
    <w:pPr>
      <w:spacing w:after="100"/>
    </w:pPr>
  </w:style>
  <w:style w:type="paragraph" w:styleId="TOC2">
    <w:name w:val="toc 2"/>
    <w:basedOn w:val="Normal"/>
    <w:next w:val="Normal"/>
    <w:autoRedefine/>
    <w:uiPriority w:val="39"/>
    <w:unhideWhenUsed/>
    <w:rsid w:val="005F06FF"/>
    <w:pPr>
      <w:spacing w:after="100"/>
      <w:ind w:left="220"/>
    </w:pPr>
  </w:style>
  <w:style w:type="paragraph" w:styleId="TOC3">
    <w:name w:val="toc 3"/>
    <w:basedOn w:val="Normal"/>
    <w:next w:val="Normal"/>
    <w:autoRedefine/>
    <w:uiPriority w:val="39"/>
    <w:unhideWhenUsed/>
    <w:rsid w:val="0093161F"/>
    <w:pPr>
      <w:spacing w:after="100"/>
      <w:ind w:left="440"/>
    </w:pPr>
  </w:style>
  <w:style w:type="character" w:customStyle="1" w:styleId="UnresolvedMention1">
    <w:name w:val="Unresolved Mention1"/>
    <w:basedOn w:val="DefaultParagraphFont"/>
    <w:uiPriority w:val="99"/>
    <w:semiHidden/>
    <w:unhideWhenUsed/>
    <w:rsid w:val="007607AA"/>
    <w:rPr>
      <w:color w:val="605E5C"/>
      <w:shd w:val="clear" w:color="auto" w:fill="E1DFDD"/>
    </w:rPr>
  </w:style>
  <w:style w:type="character" w:styleId="FollowedHyperlink">
    <w:name w:val="FollowedHyperlink"/>
    <w:basedOn w:val="DefaultParagraphFont"/>
    <w:uiPriority w:val="99"/>
    <w:semiHidden/>
    <w:unhideWhenUsed/>
    <w:rsid w:val="00836CBA"/>
    <w:rPr>
      <w:color w:val="969696" w:themeColor="followedHyperlink"/>
      <w:u w:val="single"/>
    </w:rPr>
  </w:style>
  <w:style w:type="character" w:customStyle="1" w:styleId="UnresolvedMention2">
    <w:name w:val="Unresolved Mention2"/>
    <w:basedOn w:val="DefaultParagraphFont"/>
    <w:uiPriority w:val="99"/>
    <w:semiHidden/>
    <w:unhideWhenUsed/>
    <w:rsid w:val="00F628A7"/>
    <w:rPr>
      <w:color w:val="605E5C"/>
      <w:shd w:val="clear" w:color="auto" w:fill="E1DFDD"/>
    </w:rPr>
  </w:style>
  <w:style w:type="character" w:customStyle="1" w:styleId="UnresolvedMention3">
    <w:name w:val="Unresolved Mention3"/>
    <w:basedOn w:val="DefaultParagraphFont"/>
    <w:uiPriority w:val="99"/>
    <w:semiHidden/>
    <w:unhideWhenUsed/>
    <w:rsid w:val="002E15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508304">
      <w:bodyDiv w:val="1"/>
      <w:marLeft w:val="0"/>
      <w:marRight w:val="0"/>
      <w:marTop w:val="0"/>
      <w:marBottom w:val="0"/>
      <w:divBdr>
        <w:top w:val="none" w:sz="0" w:space="0" w:color="auto"/>
        <w:left w:val="none" w:sz="0" w:space="0" w:color="auto"/>
        <w:bottom w:val="none" w:sz="0" w:space="0" w:color="auto"/>
        <w:right w:val="none" w:sz="0" w:space="0" w:color="auto"/>
      </w:divBdr>
      <w:divsChild>
        <w:div w:id="549653358">
          <w:marLeft w:val="0"/>
          <w:marRight w:val="0"/>
          <w:marTop w:val="0"/>
          <w:marBottom w:val="0"/>
          <w:divBdr>
            <w:top w:val="none" w:sz="0" w:space="0" w:color="auto"/>
            <w:left w:val="none" w:sz="0" w:space="0" w:color="auto"/>
            <w:bottom w:val="none" w:sz="0" w:space="0" w:color="auto"/>
            <w:right w:val="none" w:sz="0" w:space="0" w:color="auto"/>
          </w:divBdr>
          <w:divsChild>
            <w:div w:id="2147164683">
              <w:marLeft w:val="0"/>
              <w:marRight w:val="0"/>
              <w:marTop w:val="0"/>
              <w:marBottom w:val="0"/>
              <w:divBdr>
                <w:top w:val="none" w:sz="0" w:space="0" w:color="auto"/>
                <w:left w:val="none" w:sz="0" w:space="0" w:color="auto"/>
                <w:bottom w:val="none" w:sz="0" w:space="0" w:color="auto"/>
                <w:right w:val="none" w:sz="0" w:space="0" w:color="auto"/>
              </w:divBdr>
              <w:divsChild>
                <w:div w:id="970938491">
                  <w:marLeft w:val="0"/>
                  <w:marRight w:val="0"/>
                  <w:marTop w:val="0"/>
                  <w:marBottom w:val="0"/>
                  <w:divBdr>
                    <w:top w:val="none" w:sz="0" w:space="0" w:color="auto"/>
                    <w:left w:val="none" w:sz="0" w:space="0" w:color="auto"/>
                    <w:bottom w:val="none" w:sz="0" w:space="0" w:color="auto"/>
                    <w:right w:val="none" w:sz="0" w:space="0" w:color="auto"/>
                  </w:divBdr>
                  <w:divsChild>
                    <w:div w:id="1761608746">
                      <w:marLeft w:val="0"/>
                      <w:marRight w:val="0"/>
                      <w:marTop w:val="0"/>
                      <w:marBottom w:val="0"/>
                      <w:divBdr>
                        <w:top w:val="none" w:sz="0" w:space="0" w:color="auto"/>
                        <w:left w:val="none" w:sz="0" w:space="0" w:color="auto"/>
                        <w:bottom w:val="none" w:sz="0" w:space="0" w:color="auto"/>
                        <w:right w:val="none" w:sz="0" w:space="0" w:color="auto"/>
                      </w:divBdr>
                      <w:divsChild>
                        <w:div w:id="1468206781">
                          <w:marLeft w:val="0"/>
                          <w:marRight w:val="0"/>
                          <w:marTop w:val="0"/>
                          <w:marBottom w:val="0"/>
                          <w:divBdr>
                            <w:top w:val="none" w:sz="0" w:space="0" w:color="auto"/>
                            <w:left w:val="none" w:sz="0" w:space="0" w:color="auto"/>
                            <w:bottom w:val="none" w:sz="0" w:space="0" w:color="auto"/>
                            <w:right w:val="none" w:sz="0" w:space="0" w:color="auto"/>
                          </w:divBdr>
                          <w:divsChild>
                            <w:div w:id="159674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333692">
      <w:bodyDiv w:val="1"/>
      <w:marLeft w:val="0"/>
      <w:marRight w:val="0"/>
      <w:marTop w:val="0"/>
      <w:marBottom w:val="0"/>
      <w:divBdr>
        <w:top w:val="none" w:sz="0" w:space="0" w:color="auto"/>
        <w:left w:val="none" w:sz="0" w:space="0" w:color="auto"/>
        <w:bottom w:val="none" w:sz="0" w:space="0" w:color="auto"/>
        <w:right w:val="none" w:sz="0" w:space="0" w:color="auto"/>
      </w:divBdr>
    </w:div>
    <w:div w:id="1240411425">
      <w:bodyDiv w:val="1"/>
      <w:marLeft w:val="0"/>
      <w:marRight w:val="0"/>
      <w:marTop w:val="0"/>
      <w:marBottom w:val="0"/>
      <w:divBdr>
        <w:top w:val="none" w:sz="0" w:space="0" w:color="auto"/>
        <w:left w:val="none" w:sz="0" w:space="0" w:color="auto"/>
        <w:bottom w:val="none" w:sz="0" w:space="0" w:color="auto"/>
        <w:right w:val="none" w:sz="0" w:space="0" w:color="auto"/>
      </w:divBdr>
      <w:divsChild>
        <w:div w:id="1526596587">
          <w:marLeft w:val="0"/>
          <w:marRight w:val="0"/>
          <w:marTop w:val="0"/>
          <w:marBottom w:val="0"/>
          <w:divBdr>
            <w:top w:val="none" w:sz="0" w:space="0" w:color="auto"/>
            <w:left w:val="none" w:sz="0" w:space="0" w:color="auto"/>
            <w:bottom w:val="none" w:sz="0" w:space="0" w:color="auto"/>
            <w:right w:val="none" w:sz="0" w:space="0" w:color="auto"/>
          </w:divBdr>
          <w:divsChild>
            <w:div w:id="1995838454">
              <w:marLeft w:val="0"/>
              <w:marRight w:val="0"/>
              <w:marTop w:val="0"/>
              <w:marBottom w:val="0"/>
              <w:divBdr>
                <w:top w:val="none" w:sz="0" w:space="0" w:color="auto"/>
                <w:left w:val="none" w:sz="0" w:space="0" w:color="auto"/>
                <w:bottom w:val="none" w:sz="0" w:space="0" w:color="auto"/>
                <w:right w:val="none" w:sz="0" w:space="0" w:color="auto"/>
              </w:divBdr>
              <w:divsChild>
                <w:div w:id="694230144">
                  <w:marLeft w:val="0"/>
                  <w:marRight w:val="0"/>
                  <w:marTop w:val="0"/>
                  <w:marBottom w:val="0"/>
                  <w:divBdr>
                    <w:top w:val="none" w:sz="0" w:space="0" w:color="auto"/>
                    <w:left w:val="none" w:sz="0" w:space="0" w:color="auto"/>
                    <w:bottom w:val="none" w:sz="0" w:space="0" w:color="auto"/>
                    <w:right w:val="none" w:sz="0" w:space="0" w:color="auto"/>
                  </w:divBdr>
                  <w:divsChild>
                    <w:div w:id="120660632">
                      <w:marLeft w:val="0"/>
                      <w:marRight w:val="0"/>
                      <w:marTop w:val="0"/>
                      <w:marBottom w:val="0"/>
                      <w:divBdr>
                        <w:top w:val="none" w:sz="0" w:space="0" w:color="auto"/>
                        <w:left w:val="none" w:sz="0" w:space="0" w:color="auto"/>
                        <w:bottom w:val="none" w:sz="0" w:space="0" w:color="auto"/>
                        <w:right w:val="none" w:sz="0" w:space="0" w:color="auto"/>
                      </w:divBdr>
                      <w:divsChild>
                        <w:div w:id="534271172">
                          <w:marLeft w:val="0"/>
                          <w:marRight w:val="0"/>
                          <w:marTop w:val="0"/>
                          <w:marBottom w:val="0"/>
                          <w:divBdr>
                            <w:top w:val="none" w:sz="0" w:space="0" w:color="auto"/>
                            <w:left w:val="none" w:sz="0" w:space="0" w:color="auto"/>
                            <w:bottom w:val="none" w:sz="0" w:space="0" w:color="auto"/>
                            <w:right w:val="none" w:sz="0" w:space="0" w:color="auto"/>
                          </w:divBdr>
                          <w:divsChild>
                            <w:div w:id="1153912244">
                              <w:marLeft w:val="0"/>
                              <w:marRight w:val="0"/>
                              <w:marTop w:val="0"/>
                              <w:marBottom w:val="0"/>
                              <w:divBdr>
                                <w:top w:val="none" w:sz="0" w:space="0" w:color="auto"/>
                                <w:left w:val="none" w:sz="0" w:space="0" w:color="auto"/>
                                <w:bottom w:val="none" w:sz="0" w:space="0" w:color="auto"/>
                                <w:right w:val="none" w:sz="0" w:space="0" w:color="auto"/>
                              </w:divBdr>
                              <w:divsChild>
                                <w:div w:id="73755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3658623">
      <w:bodyDiv w:val="1"/>
      <w:marLeft w:val="0"/>
      <w:marRight w:val="0"/>
      <w:marTop w:val="0"/>
      <w:marBottom w:val="0"/>
      <w:divBdr>
        <w:top w:val="none" w:sz="0" w:space="0" w:color="auto"/>
        <w:left w:val="none" w:sz="0" w:space="0" w:color="auto"/>
        <w:bottom w:val="none" w:sz="0" w:space="0" w:color="auto"/>
        <w:right w:val="none" w:sz="0" w:space="0" w:color="auto"/>
      </w:divBdr>
      <w:divsChild>
        <w:div w:id="1332562758">
          <w:marLeft w:val="0"/>
          <w:marRight w:val="0"/>
          <w:marTop w:val="0"/>
          <w:marBottom w:val="0"/>
          <w:divBdr>
            <w:top w:val="none" w:sz="0" w:space="0" w:color="auto"/>
            <w:left w:val="none" w:sz="0" w:space="0" w:color="auto"/>
            <w:bottom w:val="none" w:sz="0" w:space="0" w:color="auto"/>
            <w:right w:val="none" w:sz="0" w:space="0" w:color="auto"/>
          </w:divBdr>
          <w:divsChild>
            <w:div w:id="1211573112">
              <w:marLeft w:val="0"/>
              <w:marRight w:val="0"/>
              <w:marTop w:val="0"/>
              <w:marBottom w:val="0"/>
              <w:divBdr>
                <w:top w:val="none" w:sz="0" w:space="0" w:color="auto"/>
                <w:left w:val="none" w:sz="0" w:space="0" w:color="auto"/>
                <w:bottom w:val="none" w:sz="0" w:space="0" w:color="auto"/>
                <w:right w:val="none" w:sz="0" w:space="0" w:color="auto"/>
              </w:divBdr>
              <w:divsChild>
                <w:div w:id="21323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413041">
      <w:bodyDiv w:val="1"/>
      <w:marLeft w:val="0"/>
      <w:marRight w:val="0"/>
      <w:marTop w:val="0"/>
      <w:marBottom w:val="0"/>
      <w:divBdr>
        <w:top w:val="none" w:sz="0" w:space="0" w:color="auto"/>
        <w:left w:val="none" w:sz="0" w:space="0" w:color="auto"/>
        <w:bottom w:val="none" w:sz="0" w:space="0" w:color="auto"/>
        <w:right w:val="none" w:sz="0" w:space="0" w:color="auto"/>
      </w:divBdr>
    </w:div>
    <w:div w:id="1394966359">
      <w:bodyDiv w:val="1"/>
      <w:marLeft w:val="0"/>
      <w:marRight w:val="0"/>
      <w:marTop w:val="0"/>
      <w:marBottom w:val="0"/>
      <w:divBdr>
        <w:top w:val="none" w:sz="0" w:space="0" w:color="auto"/>
        <w:left w:val="none" w:sz="0" w:space="0" w:color="auto"/>
        <w:bottom w:val="none" w:sz="0" w:space="0" w:color="auto"/>
        <w:right w:val="none" w:sz="0" w:space="0" w:color="auto"/>
      </w:divBdr>
      <w:divsChild>
        <w:div w:id="205995021">
          <w:marLeft w:val="0"/>
          <w:marRight w:val="0"/>
          <w:marTop w:val="0"/>
          <w:marBottom w:val="0"/>
          <w:divBdr>
            <w:top w:val="none" w:sz="0" w:space="0" w:color="auto"/>
            <w:left w:val="none" w:sz="0" w:space="0" w:color="auto"/>
            <w:bottom w:val="none" w:sz="0" w:space="0" w:color="auto"/>
            <w:right w:val="none" w:sz="0" w:space="0" w:color="auto"/>
          </w:divBdr>
        </w:div>
        <w:div w:id="1568615576">
          <w:marLeft w:val="0"/>
          <w:marRight w:val="0"/>
          <w:marTop w:val="0"/>
          <w:marBottom w:val="0"/>
          <w:divBdr>
            <w:top w:val="none" w:sz="0" w:space="0" w:color="auto"/>
            <w:left w:val="none" w:sz="0" w:space="0" w:color="auto"/>
            <w:bottom w:val="none" w:sz="0" w:space="0" w:color="auto"/>
            <w:right w:val="none" w:sz="0" w:space="0" w:color="auto"/>
          </w:divBdr>
        </w:div>
        <w:div w:id="1680812671">
          <w:marLeft w:val="0"/>
          <w:marRight w:val="0"/>
          <w:marTop w:val="0"/>
          <w:marBottom w:val="0"/>
          <w:divBdr>
            <w:top w:val="none" w:sz="0" w:space="0" w:color="auto"/>
            <w:left w:val="none" w:sz="0" w:space="0" w:color="auto"/>
            <w:bottom w:val="none" w:sz="0" w:space="0" w:color="auto"/>
            <w:right w:val="none" w:sz="0" w:space="0" w:color="auto"/>
          </w:divBdr>
        </w:div>
      </w:divsChild>
    </w:div>
    <w:div w:id="1551458128">
      <w:bodyDiv w:val="1"/>
      <w:marLeft w:val="0"/>
      <w:marRight w:val="0"/>
      <w:marTop w:val="0"/>
      <w:marBottom w:val="0"/>
      <w:divBdr>
        <w:top w:val="none" w:sz="0" w:space="0" w:color="auto"/>
        <w:left w:val="none" w:sz="0" w:space="0" w:color="auto"/>
        <w:bottom w:val="none" w:sz="0" w:space="0" w:color="auto"/>
        <w:right w:val="none" w:sz="0" w:space="0" w:color="auto"/>
      </w:divBdr>
    </w:div>
    <w:div w:id="1593314815">
      <w:bodyDiv w:val="1"/>
      <w:marLeft w:val="0"/>
      <w:marRight w:val="0"/>
      <w:marTop w:val="0"/>
      <w:marBottom w:val="0"/>
      <w:divBdr>
        <w:top w:val="none" w:sz="0" w:space="0" w:color="auto"/>
        <w:left w:val="none" w:sz="0" w:space="0" w:color="auto"/>
        <w:bottom w:val="none" w:sz="0" w:space="0" w:color="auto"/>
        <w:right w:val="none" w:sz="0" w:space="0" w:color="auto"/>
      </w:divBdr>
    </w:div>
    <w:div w:id="190941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chart" Target="charts/chart10.xml"/><Relationship Id="rId39" Type="http://schemas.openxmlformats.org/officeDocument/2006/relationships/chart" Target="charts/chart16.xml"/><Relationship Id="rId21" Type="http://schemas.openxmlformats.org/officeDocument/2006/relationships/image" Target="media/image8.png"/><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chart" Target="charts/chart18.xml"/><Relationship Id="rId55" Type="http://schemas.openxmlformats.org/officeDocument/2006/relationships/chart" Target="charts/chart23.xm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chart" Target="charts/chart14.xml"/><Relationship Id="rId37" Type="http://schemas.openxmlformats.org/officeDocument/2006/relationships/hyperlink" Target="http://ec.europa.eu/enterprise/sectors/automotive/environment/macs/index_en.htm" TargetMode="External"/><Relationship Id="rId40" Type="http://schemas.openxmlformats.org/officeDocument/2006/relationships/chart" Target="charts/chart17.xml"/><Relationship Id="rId45" Type="http://schemas.openxmlformats.org/officeDocument/2006/relationships/image" Target="media/image19.png"/><Relationship Id="rId53" Type="http://schemas.openxmlformats.org/officeDocument/2006/relationships/chart" Target="charts/chart21.xml"/><Relationship Id="rId58" Type="http://schemas.openxmlformats.org/officeDocument/2006/relationships/image" Target="media/image25.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7.xml"/><Relationship Id="rId28" Type="http://schemas.openxmlformats.org/officeDocument/2006/relationships/image" Target="media/image10.png"/><Relationship Id="rId36" Type="http://schemas.openxmlformats.org/officeDocument/2006/relationships/image" Target="media/image13.png"/><Relationship Id="rId49" Type="http://schemas.openxmlformats.org/officeDocument/2006/relationships/image" Target="media/image23.png"/><Relationship Id="rId57" Type="http://schemas.openxmlformats.org/officeDocument/2006/relationships/image" Target="media/image24.png"/><Relationship Id="rId61"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chart" Target="charts/chart13.xml"/><Relationship Id="rId44" Type="http://schemas.openxmlformats.org/officeDocument/2006/relationships/image" Target="media/image18.png"/><Relationship Id="rId52" Type="http://schemas.openxmlformats.org/officeDocument/2006/relationships/chart" Target="charts/chart20.xml"/><Relationship Id="rId60" Type="http://schemas.openxmlformats.org/officeDocument/2006/relationships/image" Target="media/image27.pn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6.xml"/><Relationship Id="rId27" Type="http://schemas.openxmlformats.org/officeDocument/2006/relationships/image" Target="media/image9.png"/><Relationship Id="rId30" Type="http://schemas.openxmlformats.org/officeDocument/2006/relationships/chart" Target="charts/chart12.xml"/><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chart" Target="charts/chart24.xm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chart" Target="charts/chart19.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oleObject" Target="embeddings/oleObject1.bin"/><Relationship Id="rId25" Type="http://schemas.openxmlformats.org/officeDocument/2006/relationships/chart" Target="charts/chart9.xml"/><Relationship Id="rId33" Type="http://schemas.openxmlformats.org/officeDocument/2006/relationships/chart" Target="charts/chart15.xml"/><Relationship Id="rId38" Type="http://schemas.openxmlformats.org/officeDocument/2006/relationships/image" Target="media/image14.png"/><Relationship Id="rId46" Type="http://schemas.openxmlformats.org/officeDocument/2006/relationships/image" Target="media/image20.png"/><Relationship Id="rId59" Type="http://schemas.openxmlformats.org/officeDocument/2006/relationships/image" Target="media/image26.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15.png"/><Relationship Id="rId54" Type="http://schemas.openxmlformats.org/officeDocument/2006/relationships/chart" Target="charts/chart22.xml"/><Relationship Id="rId62" Type="http://schemas.openxmlformats.org/officeDocument/2006/relationships/hyperlink" Target="http://www.laaif.lt/index.ph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nergypoverty.eu" TargetMode="External"/><Relationship Id="rId13" Type="http://schemas.openxmlformats.org/officeDocument/2006/relationships/hyperlink" Target="http://www.vkekk.lt/en/Pages/national-decisions.aspx" TargetMode="External"/><Relationship Id="rId18" Type="http://schemas.openxmlformats.org/officeDocument/2006/relationships/hyperlink" Target="https://ec.europa.eu/energy/en/topics/renewable-energy/national-action-plans" TargetMode="External"/><Relationship Id="rId26" Type="http://schemas.openxmlformats.org/officeDocument/2006/relationships/hyperlink" Target="https://regitra.lt/lt/paslaugos-ir-veikla/duomenu-teikimas/statistika/transporto-priemones-2?filesyear=2018&amp;filesquery" TargetMode="External"/><Relationship Id="rId3" Type="http://schemas.openxmlformats.org/officeDocument/2006/relationships/hyperlink" Target="http://www.am.lt/VI/en/VI/index.php" TargetMode="External"/><Relationship Id="rId21" Type="http://schemas.openxmlformats.org/officeDocument/2006/relationships/hyperlink" Target="http://maps.klaster.lt/klasterioaprasymas/vejo-energetikos-skatinimo-klasteris-vesk-paslaugos-keiciancios-kliento-materialiniu-gerybiu-savybes/" TargetMode="External"/><Relationship Id="rId7" Type="http://schemas.openxmlformats.org/officeDocument/2006/relationships/hyperlink" Target="https://ec.europa.eu/eurostat/web/microdata/european-union-statistics-on-income-and-living-conditions" TargetMode="External"/><Relationship Id="rId12" Type="http://schemas.openxmlformats.org/officeDocument/2006/relationships/hyperlink" Target="http://www.am.lt/VI/files/0.801697001448351965.pdf" TargetMode="External"/><Relationship Id="rId17" Type="http://schemas.openxmlformats.org/officeDocument/2006/relationships/hyperlink" Target="https://ec.europa.eu/energy/en/topics/renewable-energy/national-action-plans" TargetMode="External"/><Relationship Id="rId25" Type="http://schemas.openxmlformats.org/officeDocument/2006/relationships/hyperlink" Target="https://www.mdpi.com/2071-1050/10/4/904" TargetMode="External"/><Relationship Id="rId33" Type="http://schemas.openxmlformats.org/officeDocument/2006/relationships/hyperlink" Target="http://am.lrv.lt/uploads/am/documents/files/%C5%A0ESD%20apskaitos%20ir%20kt%20ataskaitos/7th%20National%20Communication.pdf" TargetMode="External"/><Relationship Id="rId2" Type="http://schemas.openxmlformats.org/officeDocument/2006/relationships/hyperlink" Target="https://epilietis.lrv.lt/lt/dalyvauk-1/dalyvauk-viesosiose-konsultacijose/dalyvauk-viesosiose-konsultacijose-1?page=1" TargetMode="External"/><Relationship Id="rId16" Type="http://schemas.openxmlformats.org/officeDocument/2006/relationships/hyperlink" Target="http://www.am.lt/VI/files/File/Klimato%20kaita/Prognoziu%20ataskaitos/PaMs%20report%202017.pdf" TargetMode="External"/><Relationship Id="rId20" Type="http://schemas.openxmlformats.org/officeDocument/2006/relationships/hyperlink" Target="https://enmin.lrv.lt/uploads/enmin/documents/files/National_energy_independence_strategy_2018.pdf" TargetMode="External"/><Relationship Id="rId29" Type="http://schemas.openxmlformats.org/officeDocument/2006/relationships/hyperlink" Target="https://ec.europa.eu/eurostat/statistics-explained/index.php/Electricity_price_statistics" TargetMode="External"/><Relationship Id="rId1" Type="http://schemas.openxmlformats.org/officeDocument/2006/relationships/hyperlink" Target="http://www.am.lt/VI/en/VI/index.php" TargetMode="External"/><Relationship Id="rId6" Type="http://schemas.openxmlformats.org/officeDocument/2006/relationships/hyperlink" Target="https://www.kn.lt/en/our-activities/lng-terminals/klaipeda-small-scale-lng-terminal/560" TargetMode="External"/><Relationship Id="rId11" Type="http://schemas.openxmlformats.org/officeDocument/2006/relationships/hyperlink" Target="http://www.krea.lt/images/angle180/klimato-kaita-gaires-savivaldybems.pdf" TargetMode="External"/><Relationship Id="rId24" Type="http://schemas.openxmlformats.org/officeDocument/2006/relationships/hyperlink" Target="http://maps.klaster.lt/klasterioaprasymas/fotoelektros-technologiju-klasteris-elektronikos-pramone/" TargetMode="External"/><Relationship Id="rId32" Type="http://schemas.openxmlformats.org/officeDocument/2006/relationships/hyperlink" Target="http://www.res-legal.eu/search-by-country/lithuania/single/s/res-e/t/promotion/aid/subsidy-leif/lastp/159/" TargetMode="External"/><Relationship Id="rId5" Type="http://schemas.openxmlformats.org/officeDocument/2006/relationships/hyperlink" Target="http://publications.jrc.ec.europa.eu/repository/bitstream/JRC101191/ldna27998enn.pdf" TargetMode="External"/><Relationship Id="rId15" Type="http://schemas.openxmlformats.org/officeDocument/2006/relationships/hyperlink" Target="http://ec.europa.eu/transport/sites/transport/files/media/publications/doc/trends-to-2050-update-2013.pd" TargetMode="External"/><Relationship Id="rId23" Type="http://schemas.openxmlformats.org/officeDocument/2006/relationships/hyperlink" Target="http://maps.klaster.lt/klasterioaprasymas/ismaniojo-zalio-miesto-klasteris-informacines-paslaugos/" TargetMode="External"/><Relationship Id="rId28" Type="http://schemas.openxmlformats.org/officeDocument/2006/relationships/hyperlink" Target="https://osp.stat.gov.lt/en/informaciniai-pranesimai?articleId=4740809" TargetMode="External"/><Relationship Id="rId10" Type="http://schemas.openxmlformats.org/officeDocument/2006/relationships/hyperlink" Target="http://www.am.lt/VI/files/File/Klimato%20kaita/studija%202030.pdf" TargetMode="External"/><Relationship Id="rId19" Type="http://schemas.openxmlformats.org/officeDocument/2006/relationships/hyperlink" Target="https://ec.europa.eu/energy/en/topics/renewable-energy/national-action-plans" TargetMode="External"/><Relationship Id="rId31" Type="http://schemas.openxmlformats.org/officeDocument/2006/relationships/hyperlink" Target="https://www.eea.europa.eu/publications/energy-support/lithuania-country-profile" TargetMode="External"/><Relationship Id="rId4" Type="http://schemas.openxmlformats.org/officeDocument/2006/relationships/hyperlink" Target="http://www.biokuras.lt/en" TargetMode="External"/><Relationship Id="rId9" Type="http://schemas.openxmlformats.org/officeDocument/2006/relationships/hyperlink" Target="https://sumin.lrv.lt/lt/administracine-informacija/nacionaline-susisiekimo-pletros-2014-2022-metu-programa" TargetMode="External"/><Relationship Id="rId14" Type="http://schemas.openxmlformats.org/officeDocument/2006/relationships/hyperlink" Target="http://ec.europa.eu/transport/sites/transport/files/media/publications/doc/trends-to-2050-update-2013.pdf" TargetMode="External"/><Relationship Id="rId22" Type="http://schemas.openxmlformats.org/officeDocument/2006/relationships/hyperlink" Target="http://maps.klaster.lt/klasterioaprasymas/bio-jegainiu-vystymo-klasteris-paslaugos-keiciancios-kliento-materialiniu-gerybiu-savybe/" TargetMode="External"/><Relationship Id="rId27" Type="http://schemas.openxmlformats.org/officeDocument/2006/relationships/hyperlink" Target="http://www.elektromobilis.org/dokumentai/krovimo-stoteli-em-lapis/" TargetMode="External"/><Relationship Id="rId30" Type="http://schemas.openxmlformats.org/officeDocument/2006/relationships/hyperlink" Target="http://www.regula.lt/SiteAssets/naujienu-medziaga/2017/2017-rugpjutis/Annual%20Report%20for%20EC%20on%20Lithuanian%20gas%20and%20electricity%20markets_NCC_2017.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k.rimkunaite\Desktop\2018%2010%2030\Energy%20prices%20for%20Lithuani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amfs.ad.am.lt\user_home$\dovile.vaitkute\Desktop\Klimato%20ir%20energetikos%20planas\Priemon&#279;s\_Dekarbonizacijos%20priemon&#279;s%2025092018.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1" Type="http://schemas.openxmlformats.org/officeDocument/2006/relationships/oleObject" Target="file:///\\localhost\Users\sergejuskonkovas\Library\Mobile%20Documents\com~apple~CloudDocs\S&#780;ED%20Prognoze&#775;s\2017\2017_SESD%20skaiciavimai%20ir%20galutinis%20kuro%20sunaudojimas%20AEI%20ir%20VAE.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dovile.vaitkute\AppData\Local\Microsoft\Windows\INetCache\Content.Outlook\M2NQ34C8\ETS_non%20ETS%20split.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9.xml"/><Relationship Id="rId1" Type="http://schemas.microsoft.com/office/2011/relationships/chartStyle" Target="style9.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k.rimkunaite\Desktop\2018%2010%2030\Energy%20prices%20for%20Lithuania.xlsx" TargetMode="External"/><Relationship Id="rId2" Type="http://schemas.microsoft.com/office/2011/relationships/chartColorStyle" Target="colors10.xml"/><Relationship Id="rId1" Type="http://schemas.microsoft.com/office/2011/relationships/chartStyle" Target="style10.xml"/></Relationships>
</file>

<file path=word/charts/_rels/chart22.xml.rels><?xml version="1.0" encoding="UTF-8" standalone="yes"?>
<Relationships xmlns="http://schemas.openxmlformats.org/package/2006/relationships"><Relationship Id="rId1" Type="http://schemas.openxmlformats.org/officeDocument/2006/relationships/oleObject" Target="file:///\\amfs.ad.am.lt\user_home$\dovile.vaitkute\Desktop\Klimato%20ir%20energetikos%20planas\Priemon&#279;s\&#352;ESD%20i&#353;%20DJMP%20lentel&#279;.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file:///C:\Users\k.rimkunaite\Desktop\2018%2010%2030\Energy%20prices%20for%20Lithuania.xlsx" TargetMode="External"/><Relationship Id="rId2" Type="http://schemas.microsoft.com/office/2011/relationships/chartColorStyle" Target="colors11.xml"/><Relationship Id="rId1" Type="http://schemas.microsoft.com/office/2011/relationships/chartStyle" Target="style11.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k.rimkunaite\Desktop\2018%2010%2030\Energy%20prices%20for%20Lithuania.xlsx" TargetMode="External"/><Relationship Id="rId2" Type="http://schemas.microsoft.com/office/2011/relationships/chartColorStyle" Target="colors12.xml"/><Relationship Id="rId1" Type="http://schemas.microsoft.com/office/2011/relationships/chartStyle" Target="style1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rimkunaite\Desktop\2018%2010%2030\Energy%20prices%20for%20Lithuani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amfs.ad.am.lt\user_home$\dovile.vaitkute\Desktop\Klimato%20ir%20energetikos%20planas\Priemon&#279;s\_Dekarbonizacijos%20priemon&#279;s%2025092018.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RES!$A$31</c:f>
              <c:strCache>
                <c:ptCount val="1"/>
                <c:pt idx="0">
                  <c:v>Share of RES in electricity sector,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7301969086694444E-2"/>
                  <c:y val="-5.17246281714786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EB-41B5-912B-3DE995B3CF1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RES!$B$30:$F$30</c:f>
              <c:numCache>
                <c:formatCode>General</c:formatCode>
                <c:ptCount val="5"/>
                <c:pt idx="0">
                  <c:v>2020</c:v>
                </c:pt>
                <c:pt idx="1">
                  <c:v>2022</c:v>
                </c:pt>
                <c:pt idx="2">
                  <c:v>2025</c:v>
                </c:pt>
                <c:pt idx="3">
                  <c:v>2027</c:v>
                </c:pt>
                <c:pt idx="4">
                  <c:v>2030</c:v>
                </c:pt>
              </c:numCache>
            </c:numRef>
          </c:xVal>
          <c:yVal>
            <c:numRef>
              <c:f>RES!$B$31:$F$31</c:f>
              <c:numCache>
                <c:formatCode>General</c:formatCode>
                <c:ptCount val="5"/>
                <c:pt idx="0">
                  <c:v>26</c:v>
                </c:pt>
                <c:pt idx="1">
                  <c:v>33</c:v>
                </c:pt>
                <c:pt idx="2">
                  <c:v>34</c:v>
                </c:pt>
                <c:pt idx="3">
                  <c:v>39</c:v>
                </c:pt>
                <c:pt idx="4">
                  <c:v>45</c:v>
                </c:pt>
              </c:numCache>
            </c:numRef>
          </c:yVal>
          <c:smooth val="0"/>
          <c:extLst>
            <c:ext xmlns:c16="http://schemas.microsoft.com/office/drawing/2014/chart" uri="{C3380CC4-5D6E-409C-BE32-E72D297353CC}">
              <c16:uniqueId val="{00000001-BDEB-41B5-912B-3DE995B3CF18}"/>
            </c:ext>
          </c:extLst>
        </c:ser>
        <c:ser>
          <c:idx val="1"/>
          <c:order val="1"/>
          <c:tx>
            <c:strRef>
              <c:f>RES!$A$32</c:f>
              <c:strCache>
                <c:ptCount val="1"/>
                <c:pt idx="0">
                  <c:v>Share of RES in transport sector,%</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513922295085764E-2"/>
                  <c:y val="-3.32061096529600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EB-41B5-912B-3DE995B3CF1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RES!$B$30:$F$30</c:f>
              <c:numCache>
                <c:formatCode>General</c:formatCode>
                <c:ptCount val="5"/>
                <c:pt idx="0">
                  <c:v>2020</c:v>
                </c:pt>
                <c:pt idx="1">
                  <c:v>2022</c:v>
                </c:pt>
                <c:pt idx="2">
                  <c:v>2025</c:v>
                </c:pt>
                <c:pt idx="3">
                  <c:v>2027</c:v>
                </c:pt>
                <c:pt idx="4">
                  <c:v>2030</c:v>
                </c:pt>
              </c:numCache>
            </c:numRef>
          </c:xVal>
          <c:yVal>
            <c:numRef>
              <c:f>RES!$B$32:$F$32</c:f>
              <c:numCache>
                <c:formatCode>General</c:formatCode>
                <c:ptCount val="5"/>
                <c:pt idx="0">
                  <c:v>10</c:v>
                </c:pt>
                <c:pt idx="1">
                  <c:v>11</c:v>
                </c:pt>
                <c:pt idx="2">
                  <c:v>12</c:v>
                </c:pt>
                <c:pt idx="3">
                  <c:v>13</c:v>
                </c:pt>
                <c:pt idx="4">
                  <c:v>15</c:v>
                </c:pt>
              </c:numCache>
            </c:numRef>
          </c:yVal>
          <c:smooth val="0"/>
          <c:extLst>
            <c:ext xmlns:c16="http://schemas.microsoft.com/office/drawing/2014/chart" uri="{C3380CC4-5D6E-409C-BE32-E72D297353CC}">
              <c16:uniqueId val="{00000003-BDEB-41B5-912B-3DE995B3CF18}"/>
            </c:ext>
          </c:extLst>
        </c:ser>
        <c:ser>
          <c:idx val="2"/>
          <c:order val="2"/>
          <c:tx>
            <c:strRef>
              <c:f>RES!$A$33</c:f>
              <c:strCache>
                <c:ptCount val="1"/>
                <c:pt idx="0">
                  <c:v>Share of RES in household heating sector,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1.7301969086694454E-2"/>
                  <c:y val="-5.17246281714785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EB-41B5-912B-3DE995B3CF1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RES!$B$30:$F$30</c:f>
              <c:numCache>
                <c:formatCode>General</c:formatCode>
                <c:ptCount val="5"/>
                <c:pt idx="0">
                  <c:v>2020</c:v>
                </c:pt>
                <c:pt idx="1">
                  <c:v>2022</c:v>
                </c:pt>
                <c:pt idx="2">
                  <c:v>2025</c:v>
                </c:pt>
                <c:pt idx="3">
                  <c:v>2027</c:v>
                </c:pt>
                <c:pt idx="4">
                  <c:v>2030</c:v>
                </c:pt>
              </c:numCache>
            </c:numRef>
          </c:xVal>
          <c:yVal>
            <c:numRef>
              <c:f>RES!$B$33:$F$33</c:f>
              <c:numCache>
                <c:formatCode>General</c:formatCode>
                <c:ptCount val="5"/>
                <c:pt idx="0">
                  <c:v>70</c:v>
                </c:pt>
                <c:pt idx="1">
                  <c:v>72</c:v>
                </c:pt>
                <c:pt idx="2">
                  <c:v>75</c:v>
                </c:pt>
                <c:pt idx="3">
                  <c:v>77</c:v>
                </c:pt>
                <c:pt idx="4">
                  <c:v>80</c:v>
                </c:pt>
              </c:numCache>
            </c:numRef>
          </c:yVal>
          <c:smooth val="0"/>
          <c:extLst>
            <c:ext xmlns:c16="http://schemas.microsoft.com/office/drawing/2014/chart" uri="{C3380CC4-5D6E-409C-BE32-E72D297353CC}">
              <c16:uniqueId val="{00000005-BDEB-41B5-912B-3DE995B3CF18}"/>
            </c:ext>
          </c:extLst>
        </c:ser>
        <c:dLbls>
          <c:dLblPos val="t"/>
          <c:showLegendKey val="0"/>
          <c:showVal val="1"/>
          <c:showCatName val="0"/>
          <c:showSerName val="0"/>
          <c:showPercent val="0"/>
          <c:showBubbleSize val="0"/>
        </c:dLbls>
        <c:axId val="154957696"/>
        <c:axId val="154959232"/>
      </c:scatterChart>
      <c:valAx>
        <c:axId val="154957696"/>
        <c:scaling>
          <c:orientation val="minMax"/>
          <c:max val="2030"/>
          <c:min val="202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4959232"/>
        <c:crosses val="autoZero"/>
        <c:crossBetween val="midCat"/>
      </c:valAx>
      <c:valAx>
        <c:axId val="154959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4957696"/>
        <c:crosses val="autoZero"/>
        <c:crossBetween val="midCat"/>
      </c:valAx>
      <c:spPr>
        <a:noFill/>
        <a:ln>
          <a:noFill/>
        </a:ln>
        <a:effectLst/>
      </c:spPr>
    </c:plotArea>
    <c:legend>
      <c:legendPos val="b"/>
      <c:layout>
        <c:manualLayout>
          <c:xMode val="edge"/>
          <c:yMode val="edge"/>
          <c:x val="2.2050309570501261E-2"/>
          <c:y val="0.82209098862642171"/>
          <c:w val="0.96022493781767049"/>
          <c:h val="0.150131233595800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sz="900"/>
            </a:pPr>
            <a:r>
              <a:rPr lang="lt-LT" sz="900"/>
              <a:t>Total effect of GHG</a:t>
            </a:r>
            <a:r>
              <a:rPr lang="lt-LT" sz="900" baseline="0"/>
              <a:t> reduction measures </a:t>
            </a:r>
            <a:r>
              <a:rPr lang="lt-LT" sz="900"/>
              <a:t>in agriculture sector </a:t>
            </a:r>
          </a:p>
          <a:p>
            <a:pPr algn="ctr" rtl="0">
              <a:defRPr sz="900"/>
            </a:pPr>
            <a:r>
              <a:rPr lang="lt-LT" sz="900"/>
              <a:t>2021 - 2030  </a:t>
            </a:r>
            <a:endParaRPr lang="en-US" sz="900"/>
          </a:p>
        </c:rich>
      </c:tx>
      <c:layout>
        <c:manualLayout>
          <c:xMode val="edge"/>
          <c:yMode val="edge"/>
          <c:x val="0.12961416260214437"/>
          <c:y val="4.7257185121186659E-4"/>
        </c:manualLayout>
      </c:layout>
      <c:overlay val="1"/>
    </c:title>
    <c:autoTitleDeleted val="0"/>
    <c:plotArea>
      <c:layout>
        <c:manualLayout>
          <c:layoutTarget val="inner"/>
          <c:xMode val="edge"/>
          <c:yMode val="edge"/>
          <c:x val="0.24131806422229421"/>
          <c:y val="0.14328469572140465"/>
          <c:w val="0.52915808600847969"/>
          <c:h val="0.72964194696983387"/>
        </c:manualLayout>
      </c:layout>
      <c:barChart>
        <c:barDir val="col"/>
        <c:grouping val="stacked"/>
        <c:varyColors val="0"/>
        <c:ser>
          <c:idx val="3"/>
          <c:order val="0"/>
          <c:tx>
            <c:strRef>
              <c:f>'Žemės ūkis'!$A$19</c:f>
              <c:strCache>
                <c:ptCount val="1"/>
                <c:pt idx="0">
                  <c:v>A6</c:v>
                </c:pt>
              </c:strCache>
            </c:strRef>
          </c:tx>
          <c:invertIfNegative val="0"/>
          <c:val>
            <c:numRef>
              <c:f>'Žemės ūkis'!$T$19</c:f>
              <c:numCache>
                <c:formatCode>0</c:formatCode>
                <c:ptCount val="1"/>
                <c:pt idx="0">
                  <c:v>47.248541097891419</c:v>
                </c:pt>
              </c:numCache>
            </c:numRef>
          </c:val>
          <c:extLst>
            <c:ext xmlns:c16="http://schemas.microsoft.com/office/drawing/2014/chart" uri="{C3380CC4-5D6E-409C-BE32-E72D297353CC}">
              <c16:uniqueId val="{00000000-942C-4C3F-B956-F2BCA158E4BC}"/>
            </c:ext>
          </c:extLst>
        </c:ser>
        <c:ser>
          <c:idx val="4"/>
          <c:order val="1"/>
          <c:tx>
            <c:strRef>
              <c:f>'Žemės ūkis'!$A$20</c:f>
              <c:strCache>
                <c:ptCount val="1"/>
                <c:pt idx="0">
                  <c:v>A8</c:v>
                </c:pt>
              </c:strCache>
            </c:strRef>
          </c:tx>
          <c:spPr>
            <a:solidFill>
              <a:schemeClr val="accent1">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'Žemės ūkis'!$T$20</c:f>
              <c:numCache>
                <c:formatCode>0</c:formatCode>
                <c:ptCount val="1"/>
                <c:pt idx="0">
                  <c:v>419.90985041332732</c:v>
                </c:pt>
              </c:numCache>
            </c:numRef>
          </c:val>
          <c:extLst>
            <c:ext xmlns:c16="http://schemas.microsoft.com/office/drawing/2014/chart" uri="{C3380CC4-5D6E-409C-BE32-E72D297353CC}">
              <c16:uniqueId val="{00000001-942C-4C3F-B956-F2BCA158E4BC}"/>
            </c:ext>
          </c:extLst>
        </c:ser>
        <c:ser>
          <c:idx val="5"/>
          <c:order val="2"/>
          <c:tx>
            <c:strRef>
              <c:f>'Žemės ūkis'!$A$21</c:f>
              <c:strCache>
                <c:ptCount val="1"/>
                <c:pt idx="0">
                  <c:v>A9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'Žemės ūkis'!$T$21</c:f>
              <c:numCache>
                <c:formatCode>0</c:formatCode>
                <c:ptCount val="1"/>
                <c:pt idx="0">
                  <c:v>399.17554332298596</c:v>
                </c:pt>
              </c:numCache>
            </c:numRef>
          </c:val>
          <c:extLst>
            <c:ext xmlns:c16="http://schemas.microsoft.com/office/drawing/2014/chart" uri="{C3380CC4-5D6E-409C-BE32-E72D297353CC}">
              <c16:uniqueId val="{00000002-942C-4C3F-B956-F2BCA158E4BC}"/>
            </c:ext>
          </c:extLst>
        </c:ser>
        <c:ser>
          <c:idx val="6"/>
          <c:order val="3"/>
          <c:tx>
            <c:strRef>
              <c:f>'Žemės ūkis'!$A$22</c:f>
              <c:strCache>
                <c:ptCount val="1"/>
                <c:pt idx="0">
                  <c:v>A10</c:v>
                </c:pt>
              </c:strCache>
            </c:strRef>
          </c:tx>
          <c:spPr>
            <a:solidFill>
              <a:schemeClr val="accent2">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'Žemės ūkis'!$T$22</c:f>
              <c:numCache>
                <c:formatCode>0</c:formatCode>
                <c:ptCount val="1"/>
                <c:pt idx="0">
                  <c:v>436.15</c:v>
                </c:pt>
              </c:numCache>
            </c:numRef>
          </c:val>
          <c:extLst>
            <c:ext xmlns:c16="http://schemas.microsoft.com/office/drawing/2014/chart" uri="{C3380CC4-5D6E-409C-BE32-E72D297353CC}">
              <c16:uniqueId val="{00000003-942C-4C3F-B956-F2BCA158E4BC}"/>
            </c:ext>
          </c:extLst>
        </c:ser>
        <c:ser>
          <c:idx val="7"/>
          <c:order val="4"/>
          <c:tx>
            <c:strRef>
              <c:f>'Žemės ūkis'!$A$23</c:f>
              <c:strCache>
                <c:ptCount val="1"/>
                <c:pt idx="0">
                  <c:v>A11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'Žemės ūkis'!$T$23</c:f>
              <c:numCache>
                <c:formatCode>0</c:formatCode>
                <c:ptCount val="1"/>
                <c:pt idx="0">
                  <c:v>316.70849546871045</c:v>
                </c:pt>
              </c:numCache>
            </c:numRef>
          </c:val>
          <c:extLst>
            <c:ext xmlns:c16="http://schemas.microsoft.com/office/drawing/2014/chart" uri="{C3380CC4-5D6E-409C-BE32-E72D297353CC}">
              <c16:uniqueId val="{00000004-942C-4C3F-B956-F2BCA158E4BC}"/>
            </c:ext>
          </c:extLst>
        </c:ser>
        <c:ser>
          <c:idx val="8"/>
          <c:order val="5"/>
          <c:tx>
            <c:strRef>
              <c:f>'Žemės ūkis'!$A$24</c:f>
              <c:strCache>
                <c:ptCount val="1"/>
                <c:pt idx="0">
                  <c:v>A13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'Žemės ūkis'!$T$24</c:f>
              <c:numCache>
                <c:formatCode>0</c:formatCode>
                <c:ptCount val="1"/>
                <c:pt idx="0">
                  <c:v>111.32748024669729</c:v>
                </c:pt>
              </c:numCache>
            </c:numRef>
          </c:val>
          <c:extLst>
            <c:ext xmlns:c16="http://schemas.microsoft.com/office/drawing/2014/chart" uri="{C3380CC4-5D6E-409C-BE32-E72D297353CC}">
              <c16:uniqueId val="{00000005-942C-4C3F-B956-F2BCA158E4BC}"/>
            </c:ext>
          </c:extLst>
        </c:ser>
        <c:dLbls>
          <c:showLegendKey val="0"/>
          <c:showVal val="0"/>
          <c:showCatName val="0"/>
          <c:showSerName val="0"/>
          <c:showPercent val="0"/>
          <c:showBubbleSize val="0"/>
        </c:dLbls>
        <c:gapWidth val="150"/>
        <c:overlap val="100"/>
        <c:axId val="302030208"/>
        <c:axId val="302048384"/>
      </c:barChart>
      <c:catAx>
        <c:axId val="302030208"/>
        <c:scaling>
          <c:orientation val="minMax"/>
        </c:scaling>
        <c:delete val="1"/>
        <c:axPos val="b"/>
        <c:majorTickMark val="out"/>
        <c:minorTickMark val="none"/>
        <c:tickLblPos val="nextTo"/>
        <c:crossAx val="302048384"/>
        <c:crosses val="autoZero"/>
        <c:auto val="1"/>
        <c:lblAlgn val="ctr"/>
        <c:lblOffset val="100"/>
        <c:noMultiLvlLbl val="0"/>
      </c:catAx>
      <c:valAx>
        <c:axId val="302048384"/>
        <c:scaling>
          <c:orientation val="minMax"/>
        </c:scaling>
        <c:delete val="0"/>
        <c:axPos val="l"/>
        <c:majorGridlines/>
        <c:title>
          <c:tx>
            <c:rich>
              <a:bodyPr rot="-5400000" vert="horz"/>
              <a:lstStyle/>
              <a:p>
                <a:pPr>
                  <a:defRPr/>
                </a:pPr>
                <a:r>
                  <a:rPr lang="en-US"/>
                  <a:t> ktCO</a:t>
                </a:r>
                <a:r>
                  <a:rPr lang="en-US" baseline="-25000"/>
                  <a:t>2</a:t>
                </a:r>
                <a:r>
                  <a:rPr lang="en-US"/>
                  <a:t> eq </a:t>
                </a:r>
              </a:p>
            </c:rich>
          </c:tx>
          <c:layout>
            <c:manualLayout>
              <c:xMode val="edge"/>
              <c:yMode val="edge"/>
              <c:x val="1.8472589711711126E-3"/>
              <c:y val="0.38585216748155859"/>
            </c:manualLayout>
          </c:layout>
          <c:overlay val="0"/>
        </c:title>
        <c:numFmt formatCode="0" sourceLinked="0"/>
        <c:majorTickMark val="out"/>
        <c:minorTickMark val="none"/>
        <c:tickLblPos val="nextTo"/>
        <c:crossAx val="302030208"/>
        <c:crosses val="autoZero"/>
        <c:crossBetween val="between"/>
      </c:valAx>
    </c:plotArea>
    <c:legend>
      <c:legendPos val="b"/>
      <c:layout>
        <c:manualLayout>
          <c:xMode val="edge"/>
          <c:yMode val="edge"/>
          <c:x val="5.4412105369419907E-2"/>
          <c:y val="0.90805791024273863"/>
          <c:w val="0.90719075095370161"/>
          <c:h val="4.3974009073327672E-2"/>
        </c:manualLayout>
      </c:layout>
      <c:overlay val="0"/>
      <c:txPr>
        <a:bodyPr/>
        <a:lstStyle/>
        <a:p>
          <a:pPr rtl="0">
            <a:defRPr/>
          </a:pPr>
          <a:endParaRPr lang="lt-LT"/>
        </a:p>
      </c:txPr>
    </c:legend>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445428696412952E-2"/>
          <c:y val="3.8550354816759017E-2"/>
          <c:w val="0.88354881043095423"/>
          <c:h val="0.79045761640906009"/>
        </c:manualLayout>
      </c:layout>
      <c:lineChart>
        <c:grouping val="standard"/>
        <c:varyColors val="0"/>
        <c:ser>
          <c:idx val="0"/>
          <c:order val="0"/>
          <c:tx>
            <c:strRef>
              <c:f>'[Kopija BVP ir SESD indeksas.xls]Sheet1'!$A$2</c:f>
              <c:strCache>
                <c:ptCount val="1"/>
                <c:pt idx="0">
                  <c:v>GDP index</c:v>
                </c:pt>
              </c:strCache>
            </c:strRef>
          </c:tx>
          <c:marker>
            <c:symbol val="none"/>
          </c:marker>
          <c:cat>
            <c:numRef>
              <c:f>'[Kopija BVP ir SESD indeksas.xls]Sheet1'!$B$1:$AB$1</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'[Kopija BVP ir SESD indeksas.xls]Sheet1'!$C$2:$AC$2</c:f>
              <c:numCache>
                <c:formatCode>0.0</c:formatCode>
                <c:ptCount val="27"/>
                <c:pt idx="0" formatCode="General">
                  <c:v>94.3</c:v>
                </c:pt>
                <c:pt idx="1">
                  <c:v>73</c:v>
                </c:pt>
                <c:pt idx="2">
                  <c:v>56.8</c:v>
                </c:pt>
                <c:pt idx="3">
                  <c:v>47</c:v>
                </c:pt>
                <c:pt idx="4">
                  <c:v>50.3</c:v>
                </c:pt>
                <c:pt idx="5">
                  <c:v>55.399999999999991</c:v>
                </c:pt>
                <c:pt idx="6">
                  <c:v>63.699999999999989</c:v>
                </c:pt>
                <c:pt idx="7">
                  <c:v>71.199999999999989</c:v>
                </c:pt>
                <c:pt idx="8">
                  <c:v>70.099999999999994</c:v>
                </c:pt>
                <c:pt idx="9">
                  <c:v>73.899999999999991</c:v>
                </c:pt>
                <c:pt idx="10">
                  <c:v>80.399999999999991</c:v>
                </c:pt>
                <c:pt idx="11">
                  <c:v>87.199999999999989</c:v>
                </c:pt>
                <c:pt idx="12">
                  <c:v>97.699999999999989</c:v>
                </c:pt>
                <c:pt idx="13">
                  <c:v>104.29999999999998</c:v>
                </c:pt>
                <c:pt idx="14">
                  <c:v>111.99999999999999</c:v>
                </c:pt>
                <c:pt idx="15">
                  <c:v>119.39999999999999</c:v>
                </c:pt>
                <c:pt idx="16">
                  <c:v>130.5</c:v>
                </c:pt>
                <c:pt idx="17">
                  <c:v>133.1</c:v>
                </c:pt>
                <c:pt idx="18">
                  <c:v>118.3</c:v>
                </c:pt>
                <c:pt idx="19">
                  <c:v>119.89999999999999</c:v>
                </c:pt>
                <c:pt idx="20">
                  <c:v>125.89999999999999</c:v>
                </c:pt>
                <c:pt idx="21">
                  <c:v>129.69999999999999</c:v>
                </c:pt>
                <c:pt idx="22">
                  <c:v>133.19999999999999</c:v>
                </c:pt>
                <c:pt idx="23" formatCode="General">
                  <c:v>136.69999999999999</c:v>
                </c:pt>
                <c:pt idx="24" formatCode="General">
                  <c:v>138.69999999999999</c:v>
                </c:pt>
                <c:pt idx="25" formatCode="General">
                  <c:v>141</c:v>
                </c:pt>
                <c:pt idx="26" formatCode="General">
                  <c:v>144.9</c:v>
                </c:pt>
              </c:numCache>
            </c:numRef>
          </c:val>
          <c:smooth val="0"/>
          <c:extLst>
            <c:ext xmlns:c16="http://schemas.microsoft.com/office/drawing/2014/chart" uri="{C3380CC4-5D6E-409C-BE32-E72D297353CC}">
              <c16:uniqueId val="{00000000-3BEF-4D3E-B41E-CEDC929DCF59}"/>
            </c:ext>
          </c:extLst>
        </c:ser>
        <c:ser>
          <c:idx val="1"/>
          <c:order val="1"/>
          <c:tx>
            <c:strRef>
              <c:f>'[Kopija BVP ir SESD indeksas.xls]Sheet1'!$A$4</c:f>
              <c:strCache>
                <c:ptCount val="1"/>
                <c:pt idx="0">
                  <c:v>GHG emission index</c:v>
                </c:pt>
              </c:strCache>
            </c:strRef>
          </c:tx>
          <c:marker>
            <c:symbol val="none"/>
          </c:marker>
          <c:cat>
            <c:numRef>
              <c:f>'[Kopija BVP ir SESD indeksas.xls]Sheet1'!$B$1:$AB$1</c:f>
              <c:numCache>
                <c:formatCode>General</c:formatCod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numCache>
            </c:numRef>
          </c:cat>
          <c:val>
            <c:numRef>
              <c:f>'[Kopija BVP ir SESD indeksas.xls]Sheet1'!$B$4:$AB$4</c:f>
              <c:numCache>
                <c:formatCode>General</c:formatCode>
                <c:ptCount val="27"/>
                <c:pt idx="0">
                  <c:v>100</c:v>
                </c:pt>
                <c:pt idx="1">
                  <c:v>104.15959416711311</c:v>
                </c:pt>
                <c:pt idx="2">
                  <c:v>64.160600042107376</c:v>
                </c:pt>
                <c:pt idx="3">
                  <c:v>51.497953500664529</c:v>
                </c:pt>
                <c:pt idx="4">
                  <c:v>48.510218225104445</c:v>
                </c:pt>
                <c:pt idx="5">
                  <c:v>46.376304360071089</c:v>
                </c:pt>
                <c:pt idx="6">
                  <c:v>48.492740276794329</c:v>
                </c:pt>
                <c:pt idx="7">
                  <c:v>47.525851021519934</c:v>
                </c:pt>
                <c:pt idx="8">
                  <c:v>49.478949142057765</c:v>
                </c:pt>
                <c:pt idx="9">
                  <c:v>43.700802872528442</c:v>
                </c:pt>
                <c:pt idx="10">
                  <c:v>40.472383772959951</c:v>
                </c:pt>
                <c:pt idx="11">
                  <c:v>42.027746708248003</c:v>
                </c:pt>
                <c:pt idx="12">
                  <c:v>42.872334068499271</c:v>
                </c:pt>
                <c:pt idx="13">
                  <c:v>43.194479256292439</c:v>
                </c:pt>
                <c:pt idx="14">
                  <c:v>44.931681018598418</c:v>
                </c:pt>
                <c:pt idx="15">
                  <c:v>47.43749352660376</c:v>
                </c:pt>
                <c:pt idx="16">
                  <c:v>48.04909210800767</c:v>
                </c:pt>
                <c:pt idx="17">
                  <c:v>52.518599773703777</c:v>
                </c:pt>
                <c:pt idx="18">
                  <c:v>50.5167264898122</c:v>
                </c:pt>
                <c:pt idx="19">
                  <c:v>41.342865000954852</c:v>
                </c:pt>
                <c:pt idx="20">
                  <c:v>43.046203526675534</c:v>
                </c:pt>
                <c:pt idx="21">
                  <c:v>44.238587534401795</c:v>
                </c:pt>
                <c:pt idx="22">
                  <c:v>44.109927933396726</c:v>
                </c:pt>
                <c:pt idx="23">
                  <c:v>41.459010047050242</c:v>
                </c:pt>
                <c:pt idx="24">
                  <c:v>41.375073250935948</c:v>
                </c:pt>
                <c:pt idx="25">
                  <c:v>41.936950495576959</c:v>
                </c:pt>
                <c:pt idx="26">
                  <c:v>41.745554446302556</c:v>
                </c:pt>
              </c:numCache>
            </c:numRef>
          </c:val>
          <c:smooth val="0"/>
          <c:extLst>
            <c:ext xmlns:c16="http://schemas.microsoft.com/office/drawing/2014/chart" uri="{C3380CC4-5D6E-409C-BE32-E72D297353CC}">
              <c16:uniqueId val="{00000001-3BEF-4D3E-B41E-CEDC929DCF59}"/>
            </c:ext>
          </c:extLst>
        </c:ser>
        <c:dLbls>
          <c:showLegendKey val="0"/>
          <c:showVal val="0"/>
          <c:showCatName val="0"/>
          <c:showSerName val="0"/>
          <c:showPercent val="0"/>
          <c:showBubbleSize val="0"/>
        </c:dLbls>
        <c:smooth val="0"/>
        <c:axId val="301724416"/>
        <c:axId val="301725952"/>
      </c:lineChart>
      <c:catAx>
        <c:axId val="301724416"/>
        <c:scaling>
          <c:orientation val="minMax"/>
        </c:scaling>
        <c:delete val="0"/>
        <c:axPos val="b"/>
        <c:numFmt formatCode="General" sourceLinked="1"/>
        <c:majorTickMark val="in"/>
        <c:minorTickMark val="none"/>
        <c:tickLblPos val="nextTo"/>
        <c:txPr>
          <a:bodyPr rot="-5400000" vert="horz"/>
          <a:lstStyle/>
          <a:p>
            <a:pPr>
              <a:defRPr/>
            </a:pPr>
            <a:endParaRPr lang="lt-LT"/>
          </a:p>
        </c:txPr>
        <c:crossAx val="301725952"/>
        <c:crosses val="autoZero"/>
        <c:auto val="1"/>
        <c:lblAlgn val="ctr"/>
        <c:lblOffset val="100"/>
        <c:noMultiLvlLbl val="0"/>
      </c:catAx>
      <c:valAx>
        <c:axId val="301725952"/>
        <c:scaling>
          <c:orientation val="minMax"/>
        </c:scaling>
        <c:delete val="0"/>
        <c:axPos val="l"/>
        <c:majorGridlines/>
        <c:title>
          <c:tx>
            <c:rich>
              <a:bodyPr/>
              <a:lstStyle/>
              <a:p>
                <a:pPr>
                  <a:defRPr/>
                </a:pPr>
                <a:r>
                  <a:rPr lang="en-US"/>
                  <a:t>Index (1990=100)</a:t>
                </a:r>
              </a:p>
            </c:rich>
          </c:tx>
          <c:layout>
            <c:manualLayout>
              <c:xMode val="edge"/>
              <c:yMode val="edge"/>
              <c:x val="4.6133656369876926E-4"/>
              <c:y val="0.24171127643083254"/>
            </c:manualLayout>
          </c:layout>
          <c:overlay val="0"/>
        </c:title>
        <c:numFmt formatCode="General" sourceLinked="1"/>
        <c:majorTickMark val="out"/>
        <c:minorTickMark val="none"/>
        <c:tickLblPos val="nextTo"/>
        <c:txPr>
          <a:bodyPr rot="0" vert="horz"/>
          <a:lstStyle/>
          <a:p>
            <a:pPr>
              <a:defRPr/>
            </a:pPr>
            <a:endParaRPr lang="lt-LT"/>
          </a:p>
        </c:txPr>
        <c:crossAx val="301724416"/>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lt-L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41428504980298"/>
          <c:y val="3.7104578418092726E-2"/>
          <c:w val="0.81526013336318004"/>
          <c:h val="0.63380620914499697"/>
        </c:manualLayout>
      </c:layout>
      <c:areaChart>
        <c:grouping val="stacked"/>
        <c:varyColors val="0"/>
        <c:ser>
          <c:idx val="0"/>
          <c:order val="0"/>
          <c:tx>
            <c:strRef>
              <c:f>WEM!$B$2</c:f>
              <c:strCache>
                <c:ptCount val="1"/>
                <c:pt idx="0">
                  <c:v>Industry</c:v>
                </c:pt>
              </c:strCache>
            </c:strRef>
          </c:tx>
          <c:cat>
            <c:strRef>
              <c:f>WEM!$C$14:$AV$14</c:f>
              <c:strCache>
                <c:ptCount val="46"/>
                <c:pt idx="0">
                  <c:v>1990</c:v>
                </c:pt>
                <c:pt idx="5">
                  <c:v>1995</c:v>
                </c:pt>
                <c:pt idx="10">
                  <c:v>2000</c:v>
                </c:pt>
                <c:pt idx="15">
                  <c:v>2005</c:v>
                </c:pt>
                <c:pt idx="20">
                  <c:v>2010</c:v>
                </c:pt>
                <c:pt idx="24">
                  <c:v>Base year 2014</c:v>
                </c:pt>
                <c:pt idx="30">
                  <c:v>2020</c:v>
                </c:pt>
                <c:pt idx="35">
                  <c:v>2025</c:v>
                </c:pt>
                <c:pt idx="40">
                  <c:v>2030</c:v>
                </c:pt>
                <c:pt idx="45">
                  <c:v>2035</c:v>
                </c:pt>
              </c:strCache>
            </c:strRef>
          </c:cat>
          <c:val>
            <c:numRef>
              <c:f>WEM!$C$2:$AV$2</c:f>
              <c:numCache>
                <c:formatCode>0</c:formatCode>
                <c:ptCount val="46"/>
                <c:pt idx="0">
                  <c:v>84705</c:v>
                </c:pt>
                <c:pt idx="1">
                  <c:v>86520.56</c:v>
                </c:pt>
                <c:pt idx="2">
                  <c:v>42045.04</c:v>
                </c:pt>
                <c:pt idx="3">
                  <c:v>25340.43</c:v>
                </c:pt>
                <c:pt idx="4">
                  <c:v>26543.98</c:v>
                </c:pt>
                <c:pt idx="5">
                  <c:v>22718.54</c:v>
                </c:pt>
                <c:pt idx="6">
                  <c:v>21269.75</c:v>
                </c:pt>
                <c:pt idx="7">
                  <c:v>21480.67</c:v>
                </c:pt>
                <c:pt idx="8">
                  <c:v>21855.9</c:v>
                </c:pt>
                <c:pt idx="9">
                  <c:v>16811.13</c:v>
                </c:pt>
                <c:pt idx="10">
                  <c:v>16326.164000000001</c:v>
                </c:pt>
                <c:pt idx="11">
                  <c:v>16800.945</c:v>
                </c:pt>
                <c:pt idx="12">
                  <c:v>19094.706750000001</c:v>
                </c:pt>
                <c:pt idx="13">
                  <c:v>19841.501</c:v>
                </c:pt>
                <c:pt idx="14">
                  <c:v>21398.471000000001</c:v>
                </c:pt>
                <c:pt idx="15">
                  <c:v>22603.404030000009</c:v>
                </c:pt>
                <c:pt idx="16">
                  <c:v>24655.724999999999</c:v>
                </c:pt>
                <c:pt idx="17">
                  <c:v>23917.0586</c:v>
                </c:pt>
                <c:pt idx="18">
                  <c:v>21792.810763199999</c:v>
                </c:pt>
                <c:pt idx="19">
                  <c:v>18175.432185599999</c:v>
                </c:pt>
                <c:pt idx="20">
                  <c:v>20116.4241936</c:v>
                </c:pt>
                <c:pt idx="21">
                  <c:v>20368.7728828</c:v>
                </c:pt>
                <c:pt idx="22">
                  <c:v>22144.624520000001</c:v>
                </c:pt>
                <c:pt idx="23">
                  <c:v>21182.799802000001</c:v>
                </c:pt>
                <c:pt idx="24">
                  <c:v>19357</c:v>
                </c:pt>
                <c:pt idx="25">
                  <c:v>19531.213</c:v>
                </c:pt>
                <c:pt idx="26">
                  <c:v>19706.993917</c:v>
                </c:pt>
                <c:pt idx="27">
                  <c:v>19884.356862253</c:v>
                </c:pt>
                <c:pt idx="28">
                  <c:v>20063.31607401327</c:v>
                </c:pt>
                <c:pt idx="29">
                  <c:v>20243.885918679389</c:v>
                </c:pt>
                <c:pt idx="30">
                  <c:v>20426.080891947498</c:v>
                </c:pt>
                <c:pt idx="31">
                  <c:v>20609.91561997501</c:v>
                </c:pt>
                <c:pt idx="32">
                  <c:v>20795.404860554801</c:v>
                </c:pt>
                <c:pt idx="33">
                  <c:v>20982.5635042998</c:v>
                </c:pt>
                <c:pt idx="34">
                  <c:v>21171.40657583849</c:v>
                </c:pt>
                <c:pt idx="35">
                  <c:v>21361.949235021031</c:v>
                </c:pt>
                <c:pt idx="36">
                  <c:v>21554.20677813622</c:v>
                </c:pt>
                <c:pt idx="37">
                  <c:v>21748.194639139441</c:v>
                </c:pt>
                <c:pt idx="38">
                  <c:v>21943.928390891699</c:v>
                </c:pt>
                <c:pt idx="39">
                  <c:v>22141.42374640972</c:v>
                </c:pt>
                <c:pt idx="40">
                  <c:v>22340.696560127399</c:v>
                </c:pt>
                <c:pt idx="41">
                  <c:v>22497.081436048298</c:v>
                </c:pt>
                <c:pt idx="42">
                  <c:v>22654.56100610063</c:v>
                </c:pt>
                <c:pt idx="43">
                  <c:v>22813.142933143321</c:v>
                </c:pt>
                <c:pt idx="44">
                  <c:v>22972.834933675291</c:v>
                </c:pt>
                <c:pt idx="45">
                  <c:v>23133.644778211059</c:v>
                </c:pt>
              </c:numCache>
            </c:numRef>
          </c:val>
          <c:extLst>
            <c:ext xmlns:c16="http://schemas.microsoft.com/office/drawing/2014/chart" uri="{C3380CC4-5D6E-409C-BE32-E72D297353CC}">
              <c16:uniqueId val="{00000000-2909-4579-BA52-61119E3C84EE}"/>
            </c:ext>
          </c:extLst>
        </c:ser>
        <c:ser>
          <c:idx val="1"/>
          <c:order val="1"/>
          <c:tx>
            <c:strRef>
              <c:f>WEM!$B$3</c:f>
              <c:strCache>
                <c:ptCount val="1"/>
                <c:pt idx="0">
                  <c:v>Construction sector</c:v>
                </c:pt>
              </c:strCache>
            </c:strRef>
          </c:tx>
          <c:cat>
            <c:strRef>
              <c:f>WEM!$C$14:$AV$14</c:f>
              <c:strCache>
                <c:ptCount val="46"/>
                <c:pt idx="0">
                  <c:v>1990</c:v>
                </c:pt>
                <c:pt idx="5">
                  <c:v>1995</c:v>
                </c:pt>
                <c:pt idx="10">
                  <c:v>2000</c:v>
                </c:pt>
                <c:pt idx="15">
                  <c:v>2005</c:v>
                </c:pt>
                <c:pt idx="20">
                  <c:v>2010</c:v>
                </c:pt>
                <c:pt idx="24">
                  <c:v>Base year 2014</c:v>
                </c:pt>
                <c:pt idx="30">
                  <c:v>2020</c:v>
                </c:pt>
                <c:pt idx="35">
                  <c:v>2025</c:v>
                </c:pt>
                <c:pt idx="40">
                  <c:v>2030</c:v>
                </c:pt>
                <c:pt idx="45">
                  <c:v>2035</c:v>
                </c:pt>
              </c:strCache>
            </c:strRef>
          </c:cat>
          <c:val>
            <c:numRef>
              <c:f>WEM!$C$3:$AV$3</c:f>
              <c:numCache>
                <c:formatCode>0</c:formatCode>
                <c:ptCount val="46"/>
                <c:pt idx="0">
                  <c:v>2443</c:v>
                </c:pt>
                <c:pt idx="1">
                  <c:v>3241</c:v>
                </c:pt>
                <c:pt idx="2">
                  <c:v>1585</c:v>
                </c:pt>
                <c:pt idx="3">
                  <c:v>702</c:v>
                </c:pt>
                <c:pt idx="4">
                  <c:v>703</c:v>
                </c:pt>
                <c:pt idx="5">
                  <c:v>596</c:v>
                </c:pt>
                <c:pt idx="6">
                  <c:v>476</c:v>
                </c:pt>
                <c:pt idx="7">
                  <c:v>478</c:v>
                </c:pt>
                <c:pt idx="8">
                  <c:v>681</c:v>
                </c:pt>
                <c:pt idx="9">
                  <c:v>552</c:v>
                </c:pt>
                <c:pt idx="10">
                  <c:v>519</c:v>
                </c:pt>
                <c:pt idx="11">
                  <c:v>539</c:v>
                </c:pt>
                <c:pt idx="12">
                  <c:v>752</c:v>
                </c:pt>
                <c:pt idx="13">
                  <c:v>856</c:v>
                </c:pt>
                <c:pt idx="14">
                  <c:v>948</c:v>
                </c:pt>
                <c:pt idx="15">
                  <c:v>928</c:v>
                </c:pt>
                <c:pt idx="16">
                  <c:v>1033</c:v>
                </c:pt>
                <c:pt idx="17">
                  <c:v>1111</c:v>
                </c:pt>
                <c:pt idx="18">
                  <c:v>1140</c:v>
                </c:pt>
                <c:pt idx="19">
                  <c:v>732</c:v>
                </c:pt>
                <c:pt idx="20">
                  <c:v>892</c:v>
                </c:pt>
                <c:pt idx="21">
                  <c:v>785</c:v>
                </c:pt>
                <c:pt idx="22">
                  <c:v>785</c:v>
                </c:pt>
                <c:pt idx="23">
                  <c:v>773</c:v>
                </c:pt>
                <c:pt idx="24">
                  <c:v>714</c:v>
                </c:pt>
                <c:pt idx="25">
                  <c:v>720.42599999999936</c:v>
                </c:pt>
                <c:pt idx="26">
                  <c:v>726.90983399999982</c:v>
                </c:pt>
                <c:pt idx="27">
                  <c:v>733.45202250599641</c:v>
                </c:pt>
                <c:pt idx="28">
                  <c:v>740.05309070855367</c:v>
                </c:pt>
                <c:pt idx="29">
                  <c:v>746.71356852493057</c:v>
                </c:pt>
                <c:pt idx="30">
                  <c:v>753.43399064165476</c:v>
                </c:pt>
                <c:pt idx="31">
                  <c:v>760.21489655743005</c:v>
                </c:pt>
                <c:pt idx="32">
                  <c:v>767.05683062644653</c:v>
                </c:pt>
                <c:pt idx="33">
                  <c:v>773.96034210208438</c:v>
                </c:pt>
                <c:pt idx="34">
                  <c:v>780.92598518100237</c:v>
                </c:pt>
                <c:pt idx="35">
                  <c:v>787.954319047632</c:v>
                </c:pt>
                <c:pt idx="36">
                  <c:v>795.04590791906071</c:v>
                </c:pt>
                <c:pt idx="37">
                  <c:v>802.20132109033204</c:v>
                </c:pt>
                <c:pt idx="38">
                  <c:v>809.4211329801451</c:v>
                </c:pt>
                <c:pt idx="39">
                  <c:v>816.70592317696617</c:v>
                </c:pt>
                <c:pt idx="40">
                  <c:v>824.05627648555571</c:v>
                </c:pt>
                <c:pt idx="41">
                  <c:v>829.82467042095777</c:v>
                </c:pt>
                <c:pt idx="42">
                  <c:v>835.63344311390438</c:v>
                </c:pt>
                <c:pt idx="43">
                  <c:v>841.48287721570159</c:v>
                </c:pt>
                <c:pt idx="44">
                  <c:v>847.37325735621152</c:v>
                </c:pt>
                <c:pt idx="45">
                  <c:v>853.30487015770484</c:v>
                </c:pt>
              </c:numCache>
            </c:numRef>
          </c:val>
          <c:extLst>
            <c:ext xmlns:c16="http://schemas.microsoft.com/office/drawing/2014/chart" uri="{C3380CC4-5D6E-409C-BE32-E72D297353CC}">
              <c16:uniqueId val="{00000001-2909-4579-BA52-61119E3C84EE}"/>
            </c:ext>
          </c:extLst>
        </c:ser>
        <c:ser>
          <c:idx val="2"/>
          <c:order val="2"/>
          <c:tx>
            <c:strRef>
              <c:f>WEM!$B$4</c:f>
              <c:strCache>
                <c:ptCount val="1"/>
                <c:pt idx="0">
                  <c:v>Agriculture Forestry and fisheries</c:v>
                </c:pt>
              </c:strCache>
            </c:strRef>
          </c:tx>
          <c:cat>
            <c:strRef>
              <c:f>WEM!$C$14:$AV$14</c:f>
              <c:strCache>
                <c:ptCount val="46"/>
                <c:pt idx="0">
                  <c:v>1990</c:v>
                </c:pt>
                <c:pt idx="5">
                  <c:v>1995</c:v>
                </c:pt>
                <c:pt idx="10">
                  <c:v>2000</c:v>
                </c:pt>
                <c:pt idx="15">
                  <c:v>2005</c:v>
                </c:pt>
                <c:pt idx="20">
                  <c:v>2010</c:v>
                </c:pt>
                <c:pt idx="24">
                  <c:v>Base year 2014</c:v>
                </c:pt>
                <c:pt idx="30">
                  <c:v>2020</c:v>
                </c:pt>
                <c:pt idx="35">
                  <c:v>2025</c:v>
                </c:pt>
                <c:pt idx="40">
                  <c:v>2030</c:v>
                </c:pt>
                <c:pt idx="45">
                  <c:v>2035</c:v>
                </c:pt>
              </c:strCache>
            </c:strRef>
          </c:cat>
          <c:val>
            <c:numRef>
              <c:f>WEM!$C$4:$AV$4</c:f>
              <c:numCache>
                <c:formatCode>0</c:formatCode>
                <c:ptCount val="46"/>
                <c:pt idx="0">
                  <c:v>6004</c:v>
                </c:pt>
                <c:pt idx="1">
                  <c:v>6357</c:v>
                </c:pt>
                <c:pt idx="2">
                  <c:v>2725</c:v>
                </c:pt>
                <c:pt idx="3">
                  <c:v>1780</c:v>
                </c:pt>
                <c:pt idx="4">
                  <c:v>1824</c:v>
                </c:pt>
                <c:pt idx="5">
                  <c:v>1705</c:v>
                </c:pt>
                <c:pt idx="6">
                  <c:v>1596</c:v>
                </c:pt>
                <c:pt idx="7">
                  <c:v>1741</c:v>
                </c:pt>
                <c:pt idx="8">
                  <c:v>1690</c:v>
                </c:pt>
                <c:pt idx="9">
                  <c:v>1469</c:v>
                </c:pt>
                <c:pt idx="10">
                  <c:v>1448</c:v>
                </c:pt>
                <c:pt idx="11">
                  <c:v>1699</c:v>
                </c:pt>
                <c:pt idx="12">
                  <c:v>1736</c:v>
                </c:pt>
                <c:pt idx="13">
                  <c:v>1851</c:v>
                </c:pt>
                <c:pt idx="14">
                  <c:v>1901</c:v>
                </c:pt>
                <c:pt idx="15">
                  <c:v>1843</c:v>
                </c:pt>
                <c:pt idx="16">
                  <c:v>2282</c:v>
                </c:pt>
                <c:pt idx="17">
                  <c:v>2426</c:v>
                </c:pt>
                <c:pt idx="18">
                  <c:v>2235</c:v>
                </c:pt>
                <c:pt idx="19">
                  <c:v>1927</c:v>
                </c:pt>
                <c:pt idx="20">
                  <c:v>2194</c:v>
                </c:pt>
                <c:pt idx="21">
                  <c:v>2262</c:v>
                </c:pt>
                <c:pt idx="22">
                  <c:v>2134</c:v>
                </c:pt>
                <c:pt idx="23">
                  <c:v>2023</c:v>
                </c:pt>
                <c:pt idx="24">
                  <c:v>2016</c:v>
                </c:pt>
                <c:pt idx="25">
                  <c:v>2016</c:v>
                </c:pt>
                <c:pt idx="26">
                  <c:v>2017</c:v>
                </c:pt>
                <c:pt idx="27">
                  <c:v>2018</c:v>
                </c:pt>
                <c:pt idx="28">
                  <c:v>2019</c:v>
                </c:pt>
                <c:pt idx="29">
                  <c:v>2020</c:v>
                </c:pt>
                <c:pt idx="30">
                  <c:v>2021</c:v>
                </c:pt>
                <c:pt idx="31">
                  <c:v>2022</c:v>
                </c:pt>
                <c:pt idx="32">
                  <c:v>2023</c:v>
                </c:pt>
                <c:pt idx="33">
                  <c:v>2024</c:v>
                </c:pt>
                <c:pt idx="34">
                  <c:v>2025</c:v>
                </c:pt>
                <c:pt idx="35">
                  <c:v>2026</c:v>
                </c:pt>
                <c:pt idx="36">
                  <c:v>2027</c:v>
                </c:pt>
                <c:pt idx="37">
                  <c:v>2028</c:v>
                </c:pt>
                <c:pt idx="38">
                  <c:v>2029</c:v>
                </c:pt>
                <c:pt idx="39">
                  <c:v>2030</c:v>
                </c:pt>
                <c:pt idx="40">
                  <c:v>2031</c:v>
                </c:pt>
                <c:pt idx="41">
                  <c:v>2016</c:v>
                </c:pt>
                <c:pt idx="42">
                  <c:v>2016</c:v>
                </c:pt>
                <c:pt idx="43">
                  <c:v>2016</c:v>
                </c:pt>
                <c:pt idx="44">
                  <c:v>2016</c:v>
                </c:pt>
                <c:pt idx="45">
                  <c:v>2016</c:v>
                </c:pt>
              </c:numCache>
            </c:numRef>
          </c:val>
          <c:extLst>
            <c:ext xmlns:c16="http://schemas.microsoft.com/office/drawing/2014/chart" uri="{C3380CC4-5D6E-409C-BE32-E72D297353CC}">
              <c16:uniqueId val="{00000002-2909-4579-BA52-61119E3C84EE}"/>
            </c:ext>
          </c:extLst>
        </c:ser>
        <c:ser>
          <c:idx val="3"/>
          <c:order val="3"/>
          <c:tx>
            <c:strRef>
              <c:f>WEM!$B$5</c:f>
              <c:strCache>
                <c:ptCount val="1"/>
                <c:pt idx="0">
                  <c:v>Transport</c:v>
                </c:pt>
              </c:strCache>
            </c:strRef>
          </c:tx>
          <c:cat>
            <c:strRef>
              <c:f>WEM!$C$14:$AV$14</c:f>
              <c:strCache>
                <c:ptCount val="46"/>
                <c:pt idx="0">
                  <c:v>1990</c:v>
                </c:pt>
                <c:pt idx="5">
                  <c:v>1995</c:v>
                </c:pt>
                <c:pt idx="10">
                  <c:v>2000</c:v>
                </c:pt>
                <c:pt idx="15">
                  <c:v>2005</c:v>
                </c:pt>
                <c:pt idx="20">
                  <c:v>2010</c:v>
                </c:pt>
                <c:pt idx="24">
                  <c:v>Base year 2014</c:v>
                </c:pt>
                <c:pt idx="30">
                  <c:v>2020</c:v>
                </c:pt>
                <c:pt idx="35">
                  <c:v>2025</c:v>
                </c:pt>
                <c:pt idx="40">
                  <c:v>2030</c:v>
                </c:pt>
                <c:pt idx="45">
                  <c:v>2035</c:v>
                </c:pt>
              </c:strCache>
            </c:strRef>
          </c:cat>
          <c:val>
            <c:numRef>
              <c:f>WEM!$C$5:$AV$5</c:f>
              <c:numCache>
                <c:formatCode>0</c:formatCode>
                <c:ptCount val="46"/>
                <c:pt idx="0">
                  <c:v>101738.43</c:v>
                </c:pt>
                <c:pt idx="1">
                  <c:v>103966.77</c:v>
                </c:pt>
                <c:pt idx="2">
                  <c:v>70054</c:v>
                </c:pt>
                <c:pt idx="3">
                  <c:v>54835.86</c:v>
                </c:pt>
                <c:pt idx="4">
                  <c:v>44536.25</c:v>
                </c:pt>
                <c:pt idx="5">
                  <c:v>52523.22</c:v>
                </c:pt>
                <c:pt idx="6">
                  <c:v>53323</c:v>
                </c:pt>
                <c:pt idx="7">
                  <c:v>57915</c:v>
                </c:pt>
                <c:pt idx="8">
                  <c:v>59678</c:v>
                </c:pt>
                <c:pt idx="9">
                  <c:v>52512</c:v>
                </c:pt>
                <c:pt idx="10">
                  <c:v>46768</c:v>
                </c:pt>
                <c:pt idx="11">
                  <c:v>49396</c:v>
                </c:pt>
                <c:pt idx="12">
                  <c:v>51181</c:v>
                </c:pt>
                <c:pt idx="13">
                  <c:v>51907</c:v>
                </c:pt>
                <c:pt idx="14">
                  <c:v>56694</c:v>
                </c:pt>
                <c:pt idx="15">
                  <c:v>60529</c:v>
                </c:pt>
                <c:pt idx="16">
                  <c:v>64821</c:v>
                </c:pt>
                <c:pt idx="17">
                  <c:v>76507</c:v>
                </c:pt>
                <c:pt idx="18">
                  <c:v>76354</c:v>
                </c:pt>
                <c:pt idx="19">
                  <c:v>63145</c:v>
                </c:pt>
                <c:pt idx="20">
                  <c:v>64570</c:v>
                </c:pt>
                <c:pt idx="21">
                  <c:v>64107</c:v>
                </c:pt>
                <c:pt idx="22">
                  <c:v>65184</c:v>
                </c:pt>
                <c:pt idx="23">
                  <c:v>65076</c:v>
                </c:pt>
                <c:pt idx="24">
                  <c:v>71877</c:v>
                </c:pt>
                <c:pt idx="25">
                  <c:v>72811.400999999998</c:v>
                </c:pt>
                <c:pt idx="26">
                  <c:v>73757.949212999971</c:v>
                </c:pt>
                <c:pt idx="27">
                  <c:v>74716.802552768975</c:v>
                </c:pt>
                <c:pt idx="28">
                  <c:v>75688.120985954985</c:v>
                </c:pt>
                <c:pt idx="29">
                  <c:v>76672.066558772145</c:v>
                </c:pt>
                <c:pt idx="30">
                  <c:v>77668.803424036407</c:v>
                </c:pt>
                <c:pt idx="31">
                  <c:v>78678.497868548875</c:v>
                </c:pt>
                <c:pt idx="32">
                  <c:v>79701.318340839993</c:v>
                </c:pt>
                <c:pt idx="33">
                  <c:v>80737.435479270745</c:v>
                </c:pt>
                <c:pt idx="34">
                  <c:v>81787.022140501431</c:v>
                </c:pt>
                <c:pt idx="35">
                  <c:v>82850.253428327924</c:v>
                </c:pt>
                <c:pt idx="36">
                  <c:v>83927.306722896174</c:v>
                </c:pt>
                <c:pt idx="37">
                  <c:v>85018.361710293815</c:v>
                </c:pt>
                <c:pt idx="38">
                  <c:v>86123.600412527623</c:v>
                </c:pt>
                <c:pt idx="39">
                  <c:v>87243.207217890405</c:v>
                </c:pt>
                <c:pt idx="40">
                  <c:v>88377.368911723039</c:v>
                </c:pt>
                <c:pt idx="41">
                  <c:v>89084.387863016556</c:v>
                </c:pt>
                <c:pt idx="42">
                  <c:v>89797.062965920908</c:v>
                </c:pt>
                <c:pt idx="43">
                  <c:v>90515.439469648394</c:v>
                </c:pt>
                <c:pt idx="44">
                  <c:v>91239.56298540537</c:v>
                </c:pt>
                <c:pt idx="45">
                  <c:v>91969.479489288773</c:v>
                </c:pt>
              </c:numCache>
            </c:numRef>
          </c:val>
          <c:extLst>
            <c:ext xmlns:c16="http://schemas.microsoft.com/office/drawing/2014/chart" uri="{C3380CC4-5D6E-409C-BE32-E72D297353CC}">
              <c16:uniqueId val="{00000003-2909-4579-BA52-61119E3C84EE}"/>
            </c:ext>
          </c:extLst>
        </c:ser>
        <c:ser>
          <c:idx val="4"/>
          <c:order val="4"/>
          <c:tx>
            <c:strRef>
              <c:f>WEM!$B$6</c:f>
              <c:strCache>
                <c:ptCount val="1"/>
                <c:pt idx="0">
                  <c:v>Residential</c:v>
                </c:pt>
              </c:strCache>
            </c:strRef>
          </c:tx>
          <c:cat>
            <c:strRef>
              <c:f>WEM!$C$14:$AV$14</c:f>
              <c:strCache>
                <c:ptCount val="46"/>
                <c:pt idx="0">
                  <c:v>1990</c:v>
                </c:pt>
                <c:pt idx="5">
                  <c:v>1995</c:v>
                </c:pt>
                <c:pt idx="10">
                  <c:v>2000</c:v>
                </c:pt>
                <c:pt idx="15">
                  <c:v>2005</c:v>
                </c:pt>
                <c:pt idx="20">
                  <c:v>2010</c:v>
                </c:pt>
                <c:pt idx="24">
                  <c:v>Base year 2014</c:v>
                </c:pt>
                <c:pt idx="30">
                  <c:v>2020</c:v>
                </c:pt>
                <c:pt idx="35">
                  <c:v>2025</c:v>
                </c:pt>
                <c:pt idx="40">
                  <c:v>2030</c:v>
                </c:pt>
                <c:pt idx="45">
                  <c:v>2035</c:v>
                </c:pt>
              </c:strCache>
            </c:strRef>
          </c:cat>
          <c:val>
            <c:numRef>
              <c:f>WEM!$C$6:$AV$6</c:f>
              <c:numCache>
                <c:formatCode>0</c:formatCode>
                <c:ptCount val="46"/>
                <c:pt idx="0">
                  <c:v>38275</c:v>
                </c:pt>
                <c:pt idx="1">
                  <c:v>44350</c:v>
                </c:pt>
                <c:pt idx="2">
                  <c:v>28861</c:v>
                </c:pt>
                <c:pt idx="3">
                  <c:v>33364</c:v>
                </c:pt>
                <c:pt idx="4">
                  <c:v>29971</c:v>
                </c:pt>
                <c:pt idx="5">
                  <c:v>28794</c:v>
                </c:pt>
                <c:pt idx="6">
                  <c:v>29947</c:v>
                </c:pt>
                <c:pt idx="7">
                  <c:v>29842</c:v>
                </c:pt>
                <c:pt idx="8">
                  <c:v>29160</c:v>
                </c:pt>
                <c:pt idx="9">
                  <c:v>29521</c:v>
                </c:pt>
                <c:pt idx="10">
                  <c:v>30526</c:v>
                </c:pt>
                <c:pt idx="11">
                  <c:v>31184</c:v>
                </c:pt>
                <c:pt idx="12">
                  <c:v>31032</c:v>
                </c:pt>
                <c:pt idx="13">
                  <c:v>31691</c:v>
                </c:pt>
                <c:pt idx="14">
                  <c:v>32005</c:v>
                </c:pt>
                <c:pt idx="15">
                  <c:v>33078</c:v>
                </c:pt>
                <c:pt idx="16">
                  <c:v>34169</c:v>
                </c:pt>
                <c:pt idx="17">
                  <c:v>32978</c:v>
                </c:pt>
                <c:pt idx="18">
                  <c:v>33857</c:v>
                </c:pt>
                <c:pt idx="19">
                  <c:v>34184</c:v>
                </c:pt>
                <c:pt idx="20">
                  <c:v>35306</c:v>
                </c:pt>
                <c:pt idx="21">
                  <c:v>34432</c:v>
                </c:pt>
                <c:pt idx="22">
                  <c:v>34326</c:v>
                </c:pt>
                <c:pt idx="23">
                  <c:v>32638</c:v>
                </c:pt>
                <c:pt idx="24">
                  <c:v>30677</c:v>
                </c:pt>
                <c:pt idx="25">
                  <c:v>30462.260999999999</c:v>
                </c:pt>
                <c:pt idx="26">
                  <c:v>30249.025173000009</c:v>
                </c:pt>
                <c:pt idx="27">
                  <c:v>30037.281996788999</c:v>
                </c:pt>
                <c:pt idx="28">
                  <c:v>29827.021022811481</c:v>
                </c:pt>
                <c:pt idx="29">
                  <c:v>29618.2318756518</c:v>
                </c:pt>
                <c:pt idx="30">
                  <c:v>29410.904252522228</c:v>
                </c:pt>
                <c:pt idx="31">
                  <c:v>29205.02792275458</c:v>
                </c:pt>
                <c:pt idx="32">
                  <c:v>29000.592727295301</c:v>
                </c:pt>
                <c:pt idx="33">
                  <c:v>28797.588578204231</c:v>
                </c:pt>
                <c:pt idx="34">
                  <c:v>28596.0054581568</c:v>
                </c:pt>
                <c:pt idx="35">
                  <c:v>28395.8334199497</c:v>
                </c:pt>
                <c:pt idx="36">
                  <c:v>28197.062586010059</c:v>
                </c:pt>
                <c:pt idx="37">
                  <c:v>27999.683147907981</c:v>
                </c:pt>
                <c:pt idx="38">
                  <c:v>27803.685365872621</c:v>
                </c:pt>
                <c:pt idx="39">
                  <c:v>27609.059568311339</c:v>
                </c:pt>
                <c:pt idx="40">
                  <c:v>27415.796151333339</c:v>
                </c:pt>
                <c:pt idx="41">
                  <c:v>27223.885578273999</c:v>
                </c:pt>
                <c:pt idx="42">
                  <c:v>27033.31837922609</c:v>
                </c:pt>
                <c:pt idx="43">
                  <c:v>26844.0851505715</c:v>
                </c:pt>
                <c:pt idx="44">
                  <c:v>26656.1765545175</c:v>
                </c:pt>
                <c:pt idx="45">
                  <c:v>26469.58331863588</c:v>
                </c:pt>
              </c:numCache>
            </c:numRef>
          </c:val>
          <c:extLst>
            <c:ext xmlns:c16="http://schemas.microsoft.com/office/drawing/2014/chart" uri="{C3380CC4-5D6E-409C-BE32-E72D297353CC}">
              <c16:uniqueId val="{00000004-2909-4579-BA52-61119E3C84EE}"/>
            </c:ext>
          </c:extLst>
        </c:ser>
        <c:ser>
          <c:idx val="5"/>
          <c:order val="5"/>
          <c:tx>
            <c:strRef>
              <c:f>WEM!$B$7</c:f>
              <c:strCache>
                <c:ptCount val="1"/>
                <c:pt idx="0">
                  <c:v>Commercial/Institutional</c:v>
                </c:pt>
              </c:strCache>
            </c:strRef>
          </c:tx>
          <c:cat>
            <c:strRef>
              <c:f>WEM!$C$14:$AV$14</c:f>
              <c:strCache>
                <c:ptCount val="46"/>
                <c:pt idx="0">
                  <c:v>1990</c:v>
                </c:pt>
                <c:pt idx="5">
                  <c:v>1995</c:v>
                </c:pt>
                <c:pt idx="10">
                  <c:v>2000</c:v>
                </c:pt>
                <c:pt idx="15">
                  <c:v>2005</c:v>
                </c:pt>
                <c:pt idx="20">
                  <c:v>2010</c:v>
                </c:pt>
                <c:pt idx="24">
                  <c:v>Base year 2014</c:v>
                </c:pt>
                <c:pt idx="30">
                  <c:v>2020</c:v>
                </c:pt>
                <c:pt idx="35">
                  <c:v>2025</c:v>
                </c:pt>
                <c:pt idx="40">
                  <c:v>2030</c:v>
                </c:pt>
                <c:pt idx="45">
                  <c:v>2035</c:v>
                </c:pt>
              </c:strCache>
            </c:strRef>
          </c:cat>
          <c:val>
            <c:numRef>
              <c:f>WEM!$C$7:$AV$7</c:f>
              <c:numCache>
                <c:formatCode>0</c:formatCode>
                <c:ptCount val="46"/>
                <c:pt idx="0">
                  <c:v>39104</c:v>
                </c:pt>
                <c:pt idx="1">
                  <c:v>43193</c:v>
                </c:pt>
                <c:pt idx="2">
                  <c:v>17782</c:v>
                </c:pt>
                <c:pt idx="3">
                  <c:v>13101</c:v>
                </c:pt>
                <c:pt idx="4">
                  <c:v>14468</c:v>
                </c:pt>
                <c:pt idx="5">
                  <c:v>12462</c:v>
                </c:pt>
                <c:pt idx="6">
                  <c:v>10987</c:v>
                </c:pt>
                <c:pt idx="7">
                  <c:v>8207</c:v>
                </c:pt>
                <c:pt idx="8">
                  <c:v>7268</c:v>
                </c:pt>
                <c:pt idx="9">
                  <c:v>7341</c:v>
                </c:pt>
                <c:pt idx="10">
                  <c:v>5302</c:v>
                </c:pt>
                <c:pt idx="11">
                  <c:v>4800</c:v>
                </c:pt>
                <c:pt idx="12">
                  <c:v>5283</c:v>
                </c:pt>
                <c:pt idx="13">
                  <c:v>5243</c:v>
                </c:pt>
                <c:pt idx="14">
                  <c:v>5453</c:v>
                </c:pt>
                <c:pt idx="15">
                  <c:v>5661</c:v>
                </c:pt>
                <c:pt idx="16">
                  <c:v>6508</c:v>
                </c:pt>
                <c:pt idx="17">
                  <c:v>6593</c:v>
                </c:pt>
                <c:pt idx="18">
                  <c:v>5975</c:v>
                </c:pt>
                <c:pt idx="19">
                  <c:v>6026</c:v>
                </c:pt>
                <c:pt idx="20">
                  <c:v>6300</c:v>
                </c:pt>
                <c:pt idx="21">
                  <c:v>6543</c:v>
                </c:pt>
                <c:pt idx="22">
                  <c:v>5975</c:v>
                </c:pt>
                <c:pt idx="23">
                  <c:v>6374</c:v>
                </c:pt>
                <c:pt idx="24">
                  <c:v>5983</c:v>
                </c:pt>
                <c:pt idx="25">
                  <c:v>6036.8470000000007</c:v>
                </c:pt>
                <c:pt idx="26">
                  <c:v>6091.178622999998</c:v>
                </c:pt>
                <c:pt idx="27">
                  <c:v>6145.999230606998</c:v>
                </c:pt>
                <c:pt idx="28">
                  <c:v>6201.3132236824604</c:v>
                </c:pt>
                <c:pt idx="29">
                  <c:v>6257.125042695603</c:v>
                </c:pt>
                <c:pt idx="30">
                  <c:v>6313.4391680798608</c:v>
                </c:pt>
                <c:pt idx="31">
                  <c:v>6370.2601205925803</c:v>
                </c:pt>
                <c:pt idx="32">
                  <c:v>6427.5924616779103</c:v>
                </c:pt>
                <c:pt idx="33">
                  <c:v>6485.4407938329887</c:v>
                </c:pt>
                <c:pt idx="34">
                  <c:v>6543.8097609775077</c:v>
                </c:pt>
                <c:pt idx="35">
                  <c:v>6602.7040488262955</c:v>
                </c:pt>
                <c:pt idx="36">
                  <c:v>6662.1283852657407</c:v>
                </c:pt>
                <c:pt idx="37">
                  <c:v>6722.0875407331296</c:v>
                </c:pt>
                <c:pt idx="38">
                  <c:v>6782.5863285997302</c:v>
                </c:pt>
                <c:pt idx="39">
                  <c:v>6843.6296055571302</c:v>
                </c:pt>
                <c:pt idx="40">
                  <c:v>6905.2222720071404</c:v>
                </c:pt>
                <c:pt idx="41">
                  <c:v>6953.5588279111907</c:v>
                </c:pt>
                <c:pt idx="42">
                  <c:v>7002.2337397065676</c:v>
                </c:pt>
                <c:pt idx="43">
                  <c:v>7051.2493758845076</c:v>
                </c:pt>
                <c:pt idx="44">
                  <c:v>7100.6081215157101</c:v>
                </c:pt>
                <c:pt idx="45">
                  <c:v>7150.3123783663141</c:v>
                </c:pt>
              </c:numCache>
            </c:numRef>
          </c:val>
          <c:extLst>
            <c:ext xmlns:c16="http://schemas.microsoft.com/office/drawing/2014/chart" uri="{C3380CC4-5D6E-409C-BE32-E72D297353CC}">
              <c16:uniqueId val="{00000005-2909-4579-BA52-61119E3C84EE}"/>
            </c:ext>
          </c:extLst>
        </c:ser>
        <c:ser>
          <c:idx val="6"/>
          <c:order val="6"/>
          <c:tx>
            <c:strRef>
              <c:f>WEM!$B$8</c:f>
              <c:strCache>
                <c:ptCount val="1"/>
                <c:pt idx="0">
                  <c:v>Forestry and fisheries</c:v>
                </c:pt>
              </c:strCache>
            </c:strRef>
          </c:tx>
          <c:cat>
            <c:strRef>
              <c:f>WEM!$C$14:$AV$14</c:f>
              <c:strCache>
                <c:ptCount val="46"/>
                <c:pt idx="0">
                  <c:v>1990</c:v>
                </c:pt>
                <c:pt idx="5">
                  <c:v>1995</c:v>
                </c:pt>
                <c:pt idx="10">
                  <c:v>2000</c:v>
                </c:pt>
                <c:pt idx="15">
                  <c:v>2005</c:v>
                </c:pt>
                <c:pt idx="20">
                  <c:v>2010</c:v>
                </c:pt>
                <c:pt idx="24">
                  <c:v>Base year 2014</c:v>
                </c:pt>
                <c:pt idx="30">
                  <c:v>2020</c:v>
                </c:pt>
                <c:pt idx="35">
                  <c:v>2025</c:v>
                </c:pt>
                <c:pt idx="40">
                  <c:v>2030</c:v>
                </c:pt>
                <c:pt idx="45">
                  <c:v>2035</c:v>
                </c:pt>
              </c:strCache>
            </c:strRef>
          </c:cat>
          <c:val>
            <c:numRef>
              <c:f>WEM!$C$8:$AV$8</c:f>
              <c:numCache>
                <c:formatCode>General</c:formatCode>
                <c:ptCount val="46"/>
              </c:numCache>
            </c:numRef>
          </c:val>
          <c:extLst>
            <c:ext xmlns:c16="http://schemas.microsoft.com/office/drawing/2014/chart" uri="{C3380CC4-5D6E-409C-BE32-E72D297353CC}">
              <c16:uniqueId val="{00000006-2909-4579-BA52-61119E3C84EE}"/>
            </c:ext>
          </c:extLst>
        </c:ser>
        <c:dLbls>
          <c:showLegendKey val="0"/>
          <c:showVal val="0"/>
          <c:showCatName val="0"/>
          <c:showSerName val="0"/>
          <c:showPercent val="0"/>
          <c:showBubbleSize val="0"/>
        </c:dLbls>
        <c:axId val="302297472"/>
        <c:axId val="302299008"/>
      </c:areaChart>
      <c:dateAx>
        <c:axId val="302297472"/>
        <c:scaling>
          <c:orientation val="minMax"/>
        </c:scaling>
        <c:delete val="0"/>
        <c:axPos val="b"/>
        <c:numFmt formatCode="General" sourceLinked="1"/>
        <c:majorTickMark val="out"/>
        <c:minorTickMark val="none"/>
        <c:tickLblPos val="nextTo"/>
        <c:txPr>
          <a:bodyPr rot="-2700000"/>
          <a:lstStyle/>
          <a:p>
            <a:pPr>
              <a:defRPr sz="800"/>
            </a:pPr>
            <a:endParaRPr lang="lt-LT"/>
          </a:p>
        </c:txPr>
        <c:crossAx val="302299008"/>
        <c:crosses val="autoZero"/>
        <c:auto val="0"/>
        <c:lblOffset val="100"/>
        <c:baseTimeUnit val="days"/>
        <c:majorUnit val="1"/>
        <c:majorTimeUnit val="days"/>
        <c:minorUnit val="1"/>
      </c:dateAx>
      <c:valAx>
        <c:axId val="302299008"/>
        <c:scaling>
          <c:orientation val="minMax"/>
          <c:max val="300000"/>
        </c:scaling>
        <c:delete val="0"/>
        <c:axPos val="l"/>
        <c:majorGridlines/>
        <c:title>
          <c:tx>
            <c:rich>
              <a:bodyPr rot="-5400000" vert="horz"/>
              <a:lstStyle/>
              <a:p>
                <a:pPr>
                  <a:defRPr/>
                </a:pPr>
                <a:r>
                  <a:rPr lang="lt-LT"/>
                  <a:t>TJ</a:t>
                </a:r>
              </a:p>
            </c:rich>
          </c:tx>
          <c:layout>
            <c:manualLayout>
              <c:xMode val="edge"/>
              <c:yMode val="edge"/>
              <c:x val="1.8819837722013857E-2"/>
              <c:y val="0.21491457211276174"/>
            </c:manualLayout>
          </c:layout>
          <c:overlay val="0"/>
        </c:title>
        <c:numFmt formatCode="#,##0" sourceLinked="0"/>
        <c:majorTickMark val="out"/>
        <c:minorTickMark val="none"/>
        <c:tickLblPos val="nextTo"/>
        <c:txPr>
          <a:bodyPr/>
          <a:lstStyle/>
          <a:p>
            <a:pPr>
              <a:defRPr sz="800"/>
            </a:pPr>
            <a:endParaRPr lang="lt-LT"/>
          </a:p>
        </c:txPr>
        <c:crossAx val="302297472"/>
        <c:crosses val="autoZero"/>
        <c:crossBetween val="midCat"/>
      </c:valAx>
    </c:plotArea>
    <c:legend>
      <c:legendPos val="b"/>
      <c:layout>
        <c:manualLayout>
          <c:xMode val="edge"/>
          <c:yMode val="edge"/>
          <c:x val="2.0793675951327799E-2"/>
          <c:y val="0.8667963989931865"/>
          <c:w val="0.96256288673606605"/>
          <c:h val="0.13320369288333753"/>
        </c:manualLayout>
      </c:layout>
      <c:overlay val="0"/>
      <c:txPr>
        <a:bodyPr/>
        <a:lstStyle/>
        <a:p>
          <a:pPr>
            <a:defRPr sz="800"/>
          </a:pPr>
          <a:endParaRPr lang="lt-LT"/>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0.12780759732045546"/>
          <c:w val="0.79190476399973819"/>
          <c:h val="0.75645165008152671"/>
        </c:manualLayout>
      </c:layout>
      <c:ofPieChart>
        <c:ofPieType val="pie"/>
        <c:varyColors val="1"/>
        <c:ser>
          <c:idx val="0"/>
          <c:order val="0"/>
          <c:dPt>
            <c:idx val="0"/>
            <c:bubble3D val="0"/>
            <c:extLst>
              <c:ext xmlns:c16="http://schemas.microsoft.com/office/drawing/2014/chart" uri="{C3380CC4-5D6E-409C-BE32-E72D297353CC}">
                <c16:uniqueId val="{00000001-ED91-4DAB-AAC2-EE3054F2F035}"/>
              </c:ext>
            </c:extLst>
          </c:dPt>
          <c:dPt>
            <c:idx val="1"/>
            <c:bubble3D val="0"/>
            <c:extLst>
              <c:ext xmlns:c16="http://schemas.microsoft.com/office/drawing/2014/chart" uri="{C3380CC4-5D6E-409C-BE32-E72D297353CC}">
                <c16:uniqueId val="{00000003-ED91-4DAB-AAC2-EE3054F2F035}"/>
              </c:ext>
            </c:extLst>
          </c:dPt>
          <c:dPt>
            <c:idx val="2"/>
            <c:bubble3D val="0"/>
            <c:extLst>
              <c:ext xmlns:c16="http://schemas.microsoft.com/office/drawing/2014/chart" uri="{C3380CC4-5D6E-409C-BE32-E72D297353CC}">
                <c16:uniqueId val="{00000005-ED91-4DAB-AAC2-EE3054F2F035}"/>
              </c:ext>
            </c:extLst>
          </c:dPt>
          <c:dPt>
            <c:idx val="3"/>
            <c:bubble3D val="0"/>
            <c:extLst>
              <c:ext xmlns:c16="http://schemas.microsoft.com/office/drawing/2014/chart" uri="{C3380CC4-5D6E-409C-BE32-E72D297353CC}">
                <c16:uniqueId val="{00000007-ED91-4DAB-AAC2-EE3054F2F035}"/>
              </c:ext>
            </c:extLst>
          </c:dPt>
          <c:dPt>
            <c:idx val="4"/>
            <c:bubble3D val="0"/>
            <c:extLst>
              <c:ext xmlns:c16="http://schemas.microsoft.com/office/drawing/2014/chart" uri="{C3380CC4-5D6E-409C-BE32-E72D297353CC}">
                <c16:uniqueId val="{00000009-ED91-4DAB-AAC2-EE3054F2F035}"/>
              </c:ext>
            </c:extLst>
          </c:dPt>
          <c:dPt>
            <c:idx val="5"/>
            <c:bubble3D val="0"/>
            <c:extLst>
              <c:ext xmlns:c16="http://schemas.microsoft.com/office/drawing/2014/chart" uri="{C3380CC4-5D6E-409C-BE32-E72D297353CC}">
                <c16:uniqueId val="{0000000B-ED91-4DAB-AAC2-EE3054F2F035}"/>
              </c:ext>
            </c:extLst>
          </c:dPt>
          <c:dPt>
            <c:idx val="6"/>
            <c:bubble3D val="0"/>
            <c:extLst>
              <c:ext xmlns:c16="http://schemas.microsoft.com/office/drawing/2014/chart" uri="{C3380CC4-5D6E-409C-BE32-E72D297353CC}">
                <c16:uniqueId val="{0000000D-ED91-4DAB-AAC2-EE3054F2F035}"/>
              </c:ext>
            </c:extLst>
          </c:dPt>
          <c:dPt>
            <c:idx val="7"/>
            <c:bubble3D val="0"/>
            <c:extLst>
              <c:ext xmlns:c16="http://schemas.microsoft.com/office/drawing/2014/chart" uri="{C3380CC4-5D6E-409C-BE32-E72D297353CC}">
                <c16:uniqueId val="{0000000F-ED91-4DAB-AAC2-EE3054F2F035}"/>
              </c:ext>
            </c:extLst>
          </c:dPt>
          <c:dPt>
            <c:idx val="8"/>
            <c:bubble3D val="0"/>
            <c:extLst>
              <c:ext xmlns:c16="http://schemas.microsoft.com/office/drawing/2014/chart" uri="{C3380CC4-5D6E-409C-BE32-E72D297353CC}">
                <c16:uniqueId val="{00000011-ED91-4DAB-AAC2-EE3054F2F035}"/>
              </c:ext>
            </c:extLst>
          </c:dPt>
          <c:dPt>
            <c:idx val="9"/>
            <c:bubble3D val="0"/>
            <c:extLst>
              <c:ext xmlns:c16="http://schemas.microsoft.com/office/drawing/2014/chart" uri="{C3380CC4-5D6E-409C-BE32-E72D297353CC}">
                <c16:uniqueId val="{00000013-ED91-4DAB-AAC2-EE3054F2F035}"/>
              </c:ext>
            </c:extLst>
          </c:dPt>
          <c:dLbls>
            <c:dLbl>
              <c:idx val="0"/>
              <c:layout>
                <c:manualLayout>
                  <c:x val="9.1748611011054151E-2"/>
                  <c:y val="6.2850574948153617E-2"/>
                </c:manualLayout>
              </c:layout>
              <c:tx>
                <c:rich>
                  <a:bodyPr/>
                  <a:lstStyle/>
                  <a:p>
                    <a:r>
                      <a:rPr lang="en-US"/>
                      <a:t>IPPU
16.27%</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12171161713343917"/>
                      <c:h val="0.12544107453731845"/>
                    </c:manualLayout>
                  </c15:layout>
                </c:ext>
                <c:ext xmlns:c16="http://schemas.microsoft.com/office/drawing/2014/chart" uri="{C3380CC4-5D6E-409C-BE32-E72D297353CC}">
                  <c16:uniqueId val="{00000001-ED91-4DAB-AAC2-EE3054F2F035}"/>
                </c:ext>
              </c:extLst>
            </c:dLbl>
            <c:dLbl>
              <c:idx val="1"/>
              <c:layout>
                <c:manualLayout>
                  <c:x val="1.7994503152826366E-4"/>
                  <c:y val="-0.16353970776765386"/>
                </c:manualLayout>
              </c:layout>
              <c:tx>
                <c:rich>
                  <a:bodyPr/>
                  <a:lstStyle/>
                  <a:p>
                    <a:r>
                      <a:rPr lang="en-US"/>
                      <a:t>Agriculture
22.12%</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D91-4DAB-AAC2-EE3054F2F035}"/>
                </c:ext>
              </c:extLst>
            </c:dLbl>
            <c:dLbl>
              <c:idx val="2"/>
              <c:layout>
                <c:manualLayout>
                  <c:x val="3.4443846241412134E-2"/>
                  <c:y val="-6.1867899878670307E-2"/>
                </c:manualLayout>
              </c:layout>
              <c:tx>
                <c:rich>
                  <a:bodyPr/>
                  <a:lstStyle/>
                  <a:p>
                    <a:r>
                      <a:rPr lang="en-US"/>
                      <a:t>Waste
4.97%</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D91-4DAB-AAC2-EE3054F2F035}"/>
                </c:ext>
              </c:extLst>
            </c:dLbl>
            <c:dLbl>
              <c:idx val="3"/>
              <c:layout>
                <c:manualLayout>
                  <c:x val="-8.3840556205755212E-3"/>
                  <c:y val="-0.2039495650392571"/>
                </c:manualLayout>
              </c:layout>
              <c:tx>
                <c:rich>
                  <a:bodyPr/>
                  <a:lstStyle/>
                  <a:p>
                    <a:r>
                      <a:rPr lang="en-US"/>
                      <a:t>Energy Industries
14.72%</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D91-4DAB-AAC2-EE3054F2F035}"/>
                </c:ext>
              </c:extLst>
            </c:dLbl>
            <c:dLbl>
              <c:idx val="4"/>
              <c:layout>
                <c:manualLayout>
                  <c:x val="4.4403339510060485E-3"/>
                  <c:y val="1.4111448741409272E-3"/>
                </c:manualLayout>
              </c:layout>
              <c:tx>
                <c:rich>
                  <a:bodyPr/>
                  <a:lstStyle/>
                  <a:p>
                    <a:r>
                      <a:rPr lang="en-US"/>
                      <a:t>Transport
27.36%</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D91-4DAB-AAC2-EE3054F2F035}"/>
                </c:ext>
              </c:extLst>
            </c:dLbl>
            <c:dLbl>
              <c:idx val="5"/>
              <c:layout>
                <c:manualLayout>
                  <c:x val="1.7996743948585161E-2"/>
                  <c:y val="-8.5082937037635434E-2"/>
                </c:manualLayout>
              </c:layout>
              <c:tx>
                <c:rich>
                  <a:bodyPr/>
                  <a:lstStyle/>
                  <a:p>
                    <a:r>
                      <a:rPr lang="en-US"/>
                      <a:t>Manufactruing Industries and Construction
5.90%</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D91-4DAB-AAC2-EE3054F2F035}"/>
                </c:ext>
              </c:extLst>
            </c:dLbl>
            <c:dLbl>
              <c:idx val="6"/>
              <c:layout>
                <c:manualLayout>
                  <c:x val="-1.0723658509673316E-3"/>
                  <c:y val="0.10687847938249366"/>
                </c:manualLayout>
              </c:layout>
              <c:tx>
                <c:rich>
                  <a:bodyPr/>
                  <a:lstStyle/>
                  <a:p>
                    <a:r>
                      <a:rPr lang="en-US"/>
                      <a:t>Fugitive Emissions from Fuels
1.53%</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D91-4DAB-AAC2-EE3054F2F035}"/>
                </c:ext>
              </c:extLst>
            </c:dLbl>
            <c:dLbl>
              <c:idx val="7"/>
              <c:layout>
                <c:manualLayout>
                  <c:x val="-5.895050936934268E-2"/>
                  <c:y val="7.8265565873282469E-2"/>
                </c:manualLayout>
              </c:layout>
              <c:tx>
                <c:rich>
                  <a:bodyPr/>
                  <a:lstStyle/>
                  <a:p>
                    <a:r>
                      <a:rPr lang="en-US"/>
                      <a:t>Other</a:t>
                    </a:r>
                    <a:r>
                      <a:rPr lang="en-US" sz="900" b="0" i="0" u="none" strike="noStrike" kern="1200" baseline="0">
                        <a:solidFill>
                          <a:srgbClr val="000000"/>
                        </a:solidFill>
                        <a:latin typeface="+mn-lt"/>
                        <a:ea typeface="+mn-ea"/>
                        <a:cs typeface="+mn-cs"/>
                      </a:rPr>
                      <a:t> </a:t>
                    </a:r>
                    <a:r>
                      <a:rPr lang="en-US"/>
                      <a:t>sectors
7.00%</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D91-4DAB-AAC2-EE3054F2F035}"/>
                </c:ext>
              </c:extLst>
            </c:dLbl>
            <c:dLbl>
              <c:idx val="8"/>
              <c:layout>
                <c:manualLayout>
                  <c:x val="-9.4812436998855609E-2"/>
                  <c:y val="1.9075368580584572E-2"/>
                </c:manualLayout>
              </c:layout>
              <c:tx>
                <c:rich>
                  <a:bodyPr/>
                  <a:lstStyle/>
                  <a:p>
                    <a:r>
                      <a:rPr lang="en-US"/>
                      <a:t>Other
0.13%</a:t>
                    </a:r>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ED91-4DAB-AAC2-EE3054F2F035}"/>
                </c:ext>
              </c:extLst>
            </c:dLbl>
            <c:dLbl>
              <c:idx val="9"/>
              <c:layout>
                <c:manualLayout>
                  <c:x val="9.0775782565968386E-3"/>
                  <c:y val="4.4354839648523402E-2"/>
                </c:manualLayout>
              </c:layout>
              <c:tx>
                <c:rich>
                  <a:bodyPr/>
                  <a:lstStyle/>
                  <a:p>
                    <a:r>
                      <a:rPr lang="en-US"/>
                      <a:t>Energy
56.64%</a:t>
                    </a:r>
                    <a:endParaRPr lang="en-US" baseline="0"/>
                  </a:p>
                </c:rich>
              </c:tx>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ED91-4DAB-AAC2-EE3054F2F035}"/>
                </c:ext>
              </c:extLst>
            </c:dLbl>
            <c:numFmt formatCode="0.00%" sourceLinked="0"/>
            <c:spPr>
              <a:noFill/>
              <a:ln>
                <a:noFill/>
              </a:ln>
              <a:effectLst/>
            </c:spPr>
            <c:txPr>
              <a:bodyPr rot="0" vert="horz"/>
              <a:lstStyle/>
              <a:p>
                <a:pPr>
                  <a:defRPr/>
                </a:pPr>
                <a:endParaRPr lang="lt-LT"/>
              </a:p>
            </c:txPr>
            <c:dLblPos val="ctr"/>
            <c:showLegendKey val="0"/>
            <c:showVal val="0"/>
            <c:showCatName val="1"/>
            <c:showSerName val="0"/>
            <c:showPercent val="1"/>
            <c:showBubbleSize val="0"/>
            <c:showLeaderLines val="1"/>
            <c:extLst>
              <c:ext xmlns:c15="http://schemas.microsoft.com/office/drawing/2012/chart" uri="{CE6537A1-D6FC-4f65-9D91-7224C49458BB}"/>
            </c:extLst>
          </c:dLbls>
          <c:cat>
            <c:strRef>
              <c:f>'NIR Table 1, Figure 1 &amp; 2-1'!$D$40:$D$48</c:f>
              <c:strCache>
                <c:ptCount val="9"/>
                <c:pt idx="0">
                  <c:v>IPPU</c:v>
                </c:pt>
                <c:pt idx="1">
                  <c:v>Agriculture</c:v>
                </c:pt>
                <c:pt idx="2">
                  <c:v>Waste</c:v>
                </c:pt>
                <c:pt idx="3">
                  <c:v>Energy Industries</c:v>
                </c:pt>
                <c:pt idx="4">
                  <c:v>Transport</c:v>
                </c:pt>
                <c:pt idx="5">
                  <c:v>Manufactruing Industries and Construction</c:v>
                </c:pt>
                <c:pt idx="6">
                  <c:v>Fugitive Emissions from Fuels</c:v>
                </c:pt>
                <c:pt idx="7">
                  <c:v>Other  sectors</c:v>
                </c:pt>
                <c:pt idx="8">
                  <c:v>Other</c:v>
                </c:pt>
              </c:strCache>
            </c:strRef>
          </c:cat>
          <c:val>
            <c:numRef>
              <c:f>'NIR Table 1, Figure 1 &amp; 2-1'!$E$40:$E$48</c:f>
              <c:numCache>
                <c:formatCode>#,##0.00</c:formatCode>
                <c:ptCount val="9"/>
                <c:pt idx="0">
                  <c:v>3267.3828236757886</c:v>
                </c:pt>
                <c:pt idx="1">
                  <c:v>4442.618093198731</c:v>
                </c:pt>
                <c:pt idx="2">
                  <c:v>997.6757779532237</c:v>
                </c:pt>
                <c:pt idx="3">
                  <c:v>2955.5831985999998</c:v>
                </c:pt>
                <c:pt idx="4">
                  <c:v>5495.5577047141414</c:v>
                </c:pt>
                <c:pt idx="5">
                  <c:v>1185.0247460490775</c:v>
                </c:pt>
                <c:pt idx="6">
                  <c:v>308.03306131174787</c:v>
                </c:pt>
                <c:pt idx="7">
                  <c:v>1405.84066835</c:v>
                </c:pt>
                <c:pt idx="8">
                  <c:v>25.177278000000001</c:v>
                </c:pt>
              </c:numCache>
            </c:numRef>
          </c:val>
          <c:extLst>
            <c:ext xmlns:c16="http://schemas.microsoft.com/office/drawing/2014/chart" uri="{C3380CC4-5D6E-409C-BE32-E72D297353CC}">
              <c16:uniqueId val="{00000014-ED91-4DAB-AAC2-EE3054F2F035}"/>
            </c:ext>
          </c:extLst>
        </c:ser>
        <c:dLbls>
          <c:showLegendKey val="0"/>
          <c:showVal val="0"/>
          <c:showCatName val="0"/>
          <c:showSerName val="0"/>
          <c:showPercent val="0"/>
          <c:showBubbleSize val="0"/>
          <c:showLeaderLines val="1"/>
        </c:dLbls>
        <c:gapWidth val="150"/>
        <c:splitType val="pos"/>
        <c:splitPos val="6"/>
        <c:secondPieSize val="75"/>
        <c:serLines/>
      </c:ofPieChart>
    </c:plotArea>
    <c:plotVisOnly val="1"/>
    <c:dispBlanksAs val="gap"/>
    <c:showDLblsOverMax val="0"/>
  </c:chart>
  <c:spPr>
    <a:ln>
      <a:noFill/>
    </a:ln>
  </c:spPr>
  <c:txPr>
    <a:bodyPr/>
    <a:lstStyle/>
    <a:p>
      <a:pPr>
        <a:defRPr sz="900"/>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'NIR Table 1, Figure 1 &amp; 2-1'!$I$4</c:f>
              <c:strCache>
                <c:ptCount val="1"/>
                <c:pt idx="0">
                  <c:v>Total (excluding LULUCF)</c:v>
                </c:pt>
              </c:strCache>
            </c:strRef>
          </c:tx>
          <c:invertIfNegative val="0"/>
          <c:cat>
            <c:strRef>
              <c:f>'NIR Table 1, Figure 1 &amp; 2-1'!$B$5:$B$31</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'NIR Table 1, Figure 1 &amp; 2-1'!$I$5:$I$31</c:f>
              <c:numCache>
                <c:formatCode>#.##0\.0</c:formatCode>
                <c:ptCount val="27"/>
                <c:pt idx="0">
                  <c:v>48107.861108146026</c:v>
                </c:pt>
                <c:pt idx="1">
                  <c:v>50108.952892723348</c:v>
                </c:pt>
                <c:pt idx="2">
                  <c:v>30866.292354410103</c:v>
                </c:pt>
                <c:pt idx="3">
                  <c:v>24774.563943637313</c:v>
                </c:pt>
                <c:pt idx="4">
                  <c:v>23337.228406991781</c:v>
                </c:pt>
                <c:pt idx="5">
                  <c:v>22310.648088634072</c:v>
                </c:pt>
                <c:pt idx="6">
                  <c:v>23328.8201398942</c:v>
                </c:pt>
                <c:pt idx="7">
                  <c:v>22863.670399897212</c:v>
                </c:pt>
                <c:pt idx="8">
                  <c:v>23803.264131031356</c:v>
                </c:pt>
                <c:pt idx="9">
                  <c:v>21023.521549060672</c:v>
                </c:pt>
                <c:pt idx="10">
                  <c:v>19470.398172651407</c:v>
                </c:pt>
                <c:pt idx="11">
                  <c:v>20218.650013287363</c:v>
                </c:pt>
                <c:pt idx="12">
                  <c:v>20624.962927494002</c:v>
                </c:pt>
                <c:pt idx="13">
                  <c:v>20779.940087004114</c:v>
                </c:pt>
                <c:pt idx="14">
                  <c:v>21615.670697982539</c:v>
                </c:pt>
                <c:pt idx="15">
                  <c:v>22821.163498964303</c:v>
                </c:pt>
                <c:pt idx="16">
                  <c:v>23115.390495045485</c:v>
                </c:pt>
                <c:pt idx="17">
                  <c:v>25265.575035076505</c:v>
                </c:pt>
                <c:pt idx="18">
                  <c:v>24302.516616100864</c:v>
                </c:pt>
                <c:pt idx="19">
                  <c:v>19889.168072787674</c:v>
                </c:pt>
                <c:pt idx="20">
                  <c:v>20708.607804942923</c:v>
                </c:pt>
                <c:pt idx="21">
                  <c:v>21282.238247255624</c:v>
                </c:pt>
                <c:pt idx="22">
                  <c:v>21220.3428651018</c:v>
                </c:pt>
                <c:pt idx="23">
                  <c:v>19945.042970247239</c:v>
                </c:pt>
                <c:pt idx="24">
                  <c:v>19904.66277295394</c:v>
                </c:pt>
                <c:pt idx="25">
                  <c:v>20174.96989740412</c:v>
                </c:pt>
                <c:pt idx="26">
                  <c:v>20082.893351852708</c:v>
                </c:pt>
              </c:numCache>
            </c:numRef>
          </c:val>
          <c:extLst>
            <c:ext xmlns:c16="http://schemas.microsoft.com/office/drawing/2014/chart" uri="{C3380CC4-5D6E-409C-BE32-E72D297353CC}">
              <c16:uniqueId val="{00000000-3698-452F-BABE-9ED0CFE004D1}"/>
            </c:ext>
          </c:extLst>
        </c:ser>
        <c:ser>
          <c:idx val="0"/>
          <c:order val="1"/>
          <c:tx>
            <c:strRef>
              <c:f>'NIR Table 1, Figure 1 &amp; 2-1'!$H$4</c:f>
              <c:strCache>
                <c:ptCount val="1"/>
                <c:pt idx="0">
                  <c:v>Total (including LULUCF)</c:v>
                </c:pt>
              </c:strCache>
            </c:strRef>
          </c:tx>
          <c:invertIfNegative val="0"/>
          <c:cat>
            <c:strRef>
              <c:f>'NIR Table 1, Figure 1 &amp; 2-1'!$B$5:$B$31</c:f>
              <c:strCache>
                <c:ptCount val="2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strCache>
            </c:strRef>
          </c:cat>
          <c:val>
            <c:numRef>
              <c:f>'NIR Table 1, Figure 1 &amp; 2-1'!$H$5:$H$31</c:f>
              <c:numCache>
                <c:formatCode>#.##0\.0</c:formatCode>
                <c:ptCount val="27"/>
                <c:pt idx="0">
                  <c:v>43046.233864436581</c:v>
                </c:pt>
                <c:pt idx="1">
                  <c:v>45005.821927905374</c:v>
                </c:pt>
                <c:pt idx="2">
                  <c:v>26116.265104969785</c:v>
                </c:pt>
                <c:pt idx="3">
                  <c:v>19044.154644237409</c:v>
                </c:pt>
                <c:pt idx="4">
                  <c:v>18150.410812751739</c:v>
                </c:pt>
                <c:pt idx="5">
                  <c:v>18378.926361819267</c:v>
                </c:pt>
                <c:pt idx="6">
                  <c:v>24607.507266613997</c:v>
                </c:pt>
                <c:pt idx="7">
                  <c:v>23056.566090392222</c:v>
                </c:pt>
                <c:pt idx="8">
                  <c:v>16642.81424933199</c:v>
                </c:pt>
                <c:pt idx="9">
                  <c:v>14732.901824490813</c:v>
                </c:pt>
                <c:pt idx="10">
                  <c:v>10915.240553638941</c:v>
                </c:pt>
                <c:pt idx="11">
                  <c:v>13731.711065648462</c:v>
                </c:pt>
                <c:pt idx="12">
                  <c:v>15142.411213795227</c:v>
                </c:pt>
                <c:pt idx="13">
                  <c:v>15706.962721908631</c:v>
                </c:pt>
                <c:pt idx="14">
                  <c:v>17209.864748599579</c:v>
                </c:pt>
                <c:pt idx="15">
                  <c:v>19094.258871924918</c:v>
                </c:pt>
                <c:pt idx="16">
                  <c:v>21126.130976005348</c:v>
                </c:pt>
                <c:pt idx="17">
                  <c:v>21416.695816616655</c:v>
                </c:pt>
                <c:pt idx="18">
                  <c:v>19857.578055647977</c:v>
                </c:pt>
                <c:pt idx="19">
                  <c:v>14241.940180288533</c:v>
                </c:pt>
                <c:pt idx="20">
                  <c:v>11730.803579895655</c:v>
                </c:pt>
                <c:pt idx="21">
                  <c:v>12477.134236148206</c:v>
                </c:pt>
                <c:pt idx="22">
                  <c:v>12976.748712340601</c:v>
                </c:pt>
                <c:pt idx="23">
                  <c:v>12435.147332663104</c:v>
                </c:pt>
                <c:pt idx="24">
                  <c:v>13636.263057663844</c:v>
                </c:pt>
                <c:pt idx="25">
                  <c:v>14034.162703314001</c:v>
                </c:pt>
                <c:pt idx="26">
                  <c:v>11641.316693808683</c:v>
                </c:pt>
              </c:numCache>
            </c:numRef>
          </c:val>
          <c:extLst>
            <c:ext xmlns:c16="http://schemas.microsoft.com/office/drawing/2014/chart" uri="{C3380CC4-5D6E-409C-BE32-E72D297353CC}">
              <c16:uniqueId val="{00000001-3698-452F-BABE-9ED0CFE004D1}"/>
            </c:ext>
          </c:extLst>
        </c:ser>
        <c:dLbls>
          <c:showLegendKey val="0"/>
          <c:showVal val="0"/>
          <c:showCatName val="0"/>
          <c:showSerName val="0"/>
          <c:showPercent val="0"/>
          <c:showBubbleSize val="0"/>
        </c:dLbls>
        <c:gapWidth val="150"/>
        <c:axId val="302833664"/>
        <c:axId val="302835200"/>
      </c:barChart>
      <c:catAx>
        <c:axId val="302833664"/>
        <c:scaling>
          <c:orientation val="minMax"/>
        </c:scaling>
        <c:delete val="0"/>
        <c:axPos val="b"/>
        <c:numFmt formatCode="General" sourceLinked="1"/>
        <c:majorTickMark val="out"/>
        <c:minorTickMark val="none"/>
        <c:tickLblPos val="nextTo"/>
        <c:txPr>
          <a:bodyPr rot="-2700000"/>
          <a:lstStyle/>
          <a:p>
            <a:pPr>
              <a:defRPr sz="800"/>
            </a:pPr>
            <a:endParaRPr lang="lt-LT"/>
          </a:p>
        </c:txPr>
        <c:crossAx val="302835200"/>
        <c:crosses val="autoZero"/>
        <c:auto val="1"/>
        <c:lblAlgn val="ctr"/>
        <c:lblOffset val="100"/>
        <c:tickLblSkip val="1"/>
        <c:noMultiLvlLbl val="0"/>
      </c:catAx>
      <c:valAx>
        <c:axId val="302835200"/>
        <c:scaling>
          <c:orientation val="minMax"/>
          <c:max val="51000"/>
          <c:min val="0"/>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lt-LT">
                    <a:latin typeface="Times New Roman" panose="02020603050405020304" pitchFamily="18" charset="0"/>
                    <a:cs typeface="Times New Roman" panose="02020603050405020304" pitchFamily="18" charset="0"/>
                  </a:rPr>
                  <a:t>kt CO</a:t>
                </a:r>
                <a:r>
                  <a:rPr lang="lt-LT" baseline="-25000">
                    <a:latin typeface="Times New Roman" panose="02020603050405020304" pitchFamily="18" charset="0"/>
                    <a:cs typeface="Times New Roman" panose="02020603050405020304" pitchFamily="18" charset="0"/>
                  </a:rPr>
                  <a:t>2</a:t>
                </a:r>
                <a:r>
                  <a:rPr lang="lt-LT">
                    <a:latin typeface="Times New Roman" panose="02020603050405020304" pitchFamily="18" charset="0"/>
                    <a:cs typeface="Times New Roman" panose="02020603050405020304" pitchFamily="18" charset="0"/>
                  </a:rPr>
                  <a:t> e</a:t>
                </a:r>
                <a:r>
                  <a:rPr lang="en-US">
                    <a:latin typeface="Times New Roman" panose="02020603050405020304" pitchFamily="18" charset="0"/>
                    <a:cs typeface="Times New Roman" panose="02020603050405020304" pitchFamily="18" charset="0"/>
                  </a:rPr>
                  <a:t>q</a:t>
                </a:r>
                <a:r>
                  <a:rPr lang="lt-LT">
                    <a:latin typeface="Times New Roman" panose="02020603050405020304" pitchFamily="18" charset="0"/>
                    <a:cs typeface="Times New Roman" panose="02020603050405020304" pitchFamily="18" charset="0"/>
                  </a:rPr>
                  <a:t>.</a:t>
                </a:r>
              </a:p>
            </c:rich>
          </c:tx>
          <c:layout>
            <c:manualLayout>
              <c:xMode val="edge"/>
              <c:yMode val="edge"/>
              <c:x val="9.8452894166239646E-3"/>
              <c:y val="0.27117286425138004"/>
            </c:manualLayout>
          </c:layout>
          <c:overlay val="0"/>
        </c:title>
        <c:numFmt formatCode="#,##0" sourceLinked="0"/>
        <c:majorTickMark val="out"/>
        <c:minorTickMark val="none"/>
        <c:tickLblPos val="nextTo"/>
        <c:txPr>
          <a:bodyPr/>
          <a:lstStyle/>
          <a:p>
            <a:pPr>
              <a:defRPr sz="900"/>
            </a:pPr>
            <a:endParaRPr lang="lt-LT"/>
          </a:p>
        </c:txPr>
        <c:crossAx val="302833664"/>
        <c:crosses val="autoZero"/>
        <c:crossBetween val="between"/>
      </c:valAx>
    </c:plotArea>
    <c:legend>
      <c:legendPos val="b"/>
      <c:layout>
        <c:manualLayout>
          <c:xMode val="edge"/>
          <c:yMode val="edge"/>
          <c:x val="0.10593018569308051"/>
          <c:y val="0.89379672875541472"/>
          <c:w val="0.87553039016190393"/>
          <c:h val="8.1850147109488694E-2"/>
        </c:manualLayout>
      </c:layout>
      <c:overlay val="0"/>
      <c:txPr>
        <a:bodyPr/>
        <a:lstStyle/>
        <a:p>
          <a:pPr>
            <a:defRPr>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GHG emission distribution in the EU ETS and</a:t>
            </a:r>
            <a:r>
              <a:rPr lang="lt-LT" sz="1200" baseline="0">
                <a:latin typeface="Times New Roman" panose="02020603050405020304" pitchFamily="18" charset="0"/>
                <a:cs typeface="Times New Roman" panose="02020603050405020304" pitchFamily="18" charset="0"/>
              </a:rPr>
              <a:t> non EU ETS </a:t>
            </a:r>
            <a:endParaRPr lang="lt-LT" sz="1200">
              <a:latin typeface="Times New Roman" panose="02020603050405020304" pitchFamily="18" charset="0"/>
              <a:cs typeface="Times New Roman" panose="02020603050405020304" pitchFamily="18" charset="0"/>
            </a:endParaRPr>
          </a:p>
        </c:rich>
      </c:tx>
      <c:overlay val="1"/>
    </c:title>
    <c:autoTitleDeleted val="0"/>
    <c:plotArea>
      <c:layout>
        <c:manualLayout>
          <c:layoutTarget val="inner"/>
          <c:xMode val="edge"/>
          <c:yMode val="edge"/>
          <c:x val="0.12869077216116961"/>
          <c:y val="0.1467664075622834"/>
          <c:w val="0.81864806845474203"/>
          <c:h val="0.62126236462594642"/>
        </c:manualLayout>
      </c:layout>
      <c:barChart>
        <c:barDir val="col"/>
        <c:grouping val="stacked"/>
        <c:varyColors val="0"/>
        <c:ser>
          <c:idx val="0"/>
          <c:order val="0"/>
          <c:tx>
            <c:strRef>
              <c:f>'C:\Users\dovile.vaitkute\AppData\Local\Microsoft\Windows\INetCache\Content.Outlook\M2NQ34C8\[Copy of SESD kvotos ir emisijos_2018-02-13 v5.xlsx]ETS ir non ETS split'!$A$4</c:f>
              <c:strCache>
                <c:ptCount val="1"/>
                <c:pt idx="0">
                  <c:v>ETS sector</c:v>
                </c:pt>
              </c:strCache>
            </c:strRef>
          </c:tx>
          <c:invertIfNegative val="0"/>
          <c:cat>
            <c:numRef>
              <c:f>'C:\Users\dovile.vaitkute\AppData\Local\Microsoft\Windows\INetCache\Content.Outlook\M2NQ34C8\[Copy of SESD kvotos ir emisijos_2018-02-13 v5.xlsx]ETS ir non ETS split'!$B$3:$M$3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'C:\Users\dovile.vaitkute\AppData\Local\Microsoft\Windows\INetCache\Content.Outlook\M2NQ34C8\[Copy of SESD kvotos ir emisijos_2018-02-13 v5.xlsx]ETS ir non ETS split'!$B$4:$M$4</c:f>
              <c:numCache>
                <c:formatCode>General</c:formatCode>
                <c:ptCount val="12"/>
                <c:pt idx="0">
                  <c:v>6603.8689999999997</c:v>
                </c:pt>
                <c:pt idx="1">
                  <c:v>6516.9110000000001</c:v>
                </c:pt>
                <c:pt idx="2">
                  <c:v>5998.7439999999997</c:v>
                </c:pt>
                <c:pt idx="3">
                  <c:v>6103.72</c:v>
                </c:pt>
                <c:pt idx="4">
                  <c:v>5786.7420000000002</c:v>
                </c:pt>
                <c:pt idx="5">
                  <c:v>5687.1289999999999</c:v>
                </c:pt>
                <c:pt idx="6">
                  <c:v>5606.4250000000002</c:v>
                </c:pt>
                <c:pt idx="7">
                  <c:v>5718.0370000000003</c:v>
                </c:pt>
                <c:pt idx="8">
                  <c:v>7464.1549999999997</c:v>
                </c:pt>
                <c:pt idx="9">
                  <c:v>6864.2340000000004</c:v>
                </c:pt>
                <c:pt idx="10">
                  <c:v>6844.9430000000002</c:v>
                </c:pt>
                <c:pt idx="11">
                  <c:v>6159.5730000000003</c:v>
                </c:pt>
              </c:numCache>
            </c:numRef>
          </c:val>
          <c:extLst>
            <c:ext xmlns:c16="http://schemas.microsoft.com/office/drawing/2014/chart" uri="{C3380CC4-5D6E-409C-BE32-E72D297353CC}">
              <c16:uniqueId val="{00000000-E758-4506-8679-93CB47E414E9}"/>
            </c:ext>
          </c:extLst>
        </c:ser>
        <c:ser>
          <c:idx val="2"/>
          <c:order val="1"/>
          <c:tx>
            <c:strRef>
              <c:f>'C:\Users\dovile.vaitkute\AppData\Local\Microsoft\Windows\INetCache\Content.Outlook\M2NQ34C8\[Copy of SESD kvotos ir emisijos_2018-02-13 v5.xlsx]ETS ir non ETS split'!$A$6</c:f>
              <c:strCache>
                <c:ptCount val="1"/>
                <c:pt idx="0">
                  <c:v>non-ETS sector</c:v>
                </c:pt>
              </c:strCache>
            </c:strRef>
          </c:tx>
          <c:invertIfNegative val="0"/>
          <c:cat>
            <c:numRef>
              <c:f>'C:\Users\dovile.vaitkute\AppData\Local\Microsoft\Windows\INetCache\Content.Outlook\M2NQ34C8\[Copy of SESD kvotos ir emisijos_2018-02-13 v5.xlsx]ETS ir non ETS split'!$B$3:$M$3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'C:\Users\dovile.vaitkute\AppData\Local\Microsoft\Windows\INetCache\Content.Outlook\M2NQ34C8\[Copy of SESD kvotos ir emisijos_2018-02-13 v5.xlsx]ETS ir non ETS split'!$B$6:$M$6</c:f>
              <c:numCache>
                <c:formatCode>General</c:formatCode>
                <c:ptCount val="12"/>
                <c:pt idx="0">
                  <c:v>13896.991382892773</c:v>
                </c:pt>
                <c:pt idx="1">
                  <c:v>14270.395349074317</c:v>
                </c:pt>
                <c:pt idx="2">
                  <c:v>16275.541255860346</c:v>
                </c:pt>
                <c:pt idx="3">
                  <c:v>15404.42481039654</c:v>
                </c:pt>
                <c:pt idx="4">
                  <c:v>13470.844255927674</c:v>
                </c:pt>
                <c:pt idx="5">
                  <c:v>14465.940702582922</c:v>
                </c:pt>
                <c:pt idx="6">
                  <c:v>14825.051917835621</c:v>
                </c:pt>
                <c:pt idx="7">
                  <c:v>14929.065641921799</c:v>
                </c:pt>
                <c:pt idx="8">
                  <c:v>12449</c:v>
                </c:pt>
                <c:pt idx="9">
                  <c:v>12922</c:v>
                </c:pt>
                <c:pt idx="10">
                  <c:v>13251</c:v>
                </c:pt>
                <c:pt idx="11">
                  <c:v>13921.7</c:v>
                </c:pt>
              </c:numCache>
            </c:numRef>
          </c:val>
          <c:extLst>
            <c:ext xmlns:c16="http://schemas.microsoft.com/office/drawing/2014/chart" uri="{C3380CC4-5D6E-409C-BE32-E72D297353CC}">
              <c16:uniqueId val="{00000001-E758-4506-8679-93CB47E414E9}"/>
            </c:ext>
          </c:extLst>
        </c:ser>
        <c:dLbls>
          <c:showLegendKey val="0"/>
          <c:showVal val="0"/>
          <c:showCatName val="0"/>
          <c:showSerName val="0"/>
          <c:showPercent val="0"/>
          <c:showBubbleSize val="0"/>
        </c:dLbls>
        <c:gapWidth val="150"/>
        <c:overlap val="100"/>
        <c:axId val="303137536"/>
        <c:axId val="303139072"/>
      </c:barChart>
      <c:catAx>
        <c:axId val="303137536"/>
        <c:scaling>
          <c:orientation val="minMax"/>
        </c:scaling>
        <c:delete val="0"/>
        <c:axPos val="b"/>
        <c:numFmt formatCode="General" sourceLinked="1"/>
        <c:majorTickMark val="out"/>
        <c:minorTickMark val="none"/>
        <c:tickLblPos val="nextTo"/>
        <c:crossAx val="303139072"/>
        <c:crosses val="autoZero"/>
        <c:auto val="1"/>
        <c:lblAlgn val="ctr"/>
        <c:lblOffset val="100"/>
        <c:noMultiLvlLbl val="0"/>
      </c:catAx>
      <c:valAx>
        <c:axId val="303139072"/>
        <c:scaling>
          <c:orientation val="minMax"/>
        </c:scaling>
        <c:delete val="0"/>
        <c:axPos val="l"/>
        <c:majorGridlines/>
        <c:title>
          <c:tx>
            <c:rich>
              <a:bodyPr rot="-5400000" vert="horz"/>
              <a:lstStyle/>
              <a:p>
                <a:pPr>
                  <a:defRPr/>
                </a:pPr>
                <a:r>
                  <a:rPr lang="lt-LT"/>
                  <a:t>kt CO</a:t>
                </a:r>
                <a:r>
                  <a:rPr lang="lt-LT" baseline="-25000"/>
                  <a:t>2</a:t>
                </a:r>
                <a:r>
                  <a:rPr lang="lt-LT"/>
                  <a:t> eq.</a:t>
                </a:r>
              </a:p>
            </c:rich>
          </c:tx>
          <c:layout>
            <c:manualLayout>
              <c:xMode val="edge"/>
              <c:yMode val="edge"/>
              <c:x val="0"/>
              <c:y val="0.34359158020045699"/>
            </c:manualLayout>
          </c:layout>
          <c:overlay val="0"/>
        </c:title>
        <c:numFmt formatCode="General" sourceLinked="1"/>
        <c:majorTickMark val="out"/>
        <c:minorTickMark val="none"/>
        <c:tickLblPos val="nextTo"/>
        <c:txPr>
          <a:bodyPr/>
          <a:lstStyle/>
          <a:p>
            <a:pPr>
              <a:defRPr sz="900"/>
            </a:pPr>
            <a:endParaRPr lang="lt-LT"/>
          </a:p>
        </c:txPr>
        <c:crossAx val="303137536"/>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WEM!$C$2</c:f>
              <c:strCache>
                <c:ptCount val="1"/>
                <c:pt idx="0">
                  <c:v>Forest land</c:v>
                </c:pt>
              </c:strCache>
            </c:strRef>
          </c:tx>
          <c:invertIfNegative val="0"/>
          <c:cat>
            <c:strRef>
              <c:f>WEM!$B$3:$B$13</c:f>
              <c:strCache>
                <c:ptCount val="11"/>
                <c:pt idx="0">
                  <c:v>1990</c:v>
                </c:pt>
                <c:pt idx="1">
                  <c:v>1995</c:v>
                </c:pt>
                <c:pt idx="2">
                  <c:v>2000</c:v>
                </c:pt>
                <c:pt idx="3">
                  <c:v>2005</c:v>
                </c:pt>
                <c:pt idx="4">
                  <c:v>2010</c:v>
                </c:pt>
                <c:pt idx="5">
                  <c:v>Base year 2014</c:v>
                </c:pt>
                <c:pt idx="6">
                  <c:v>2015</c:v>
                </c:pt>
                <c:pt idx="7">
                  <c:v>2020</c:v>
                </c:pt>
                <c:pt idx="8">
                  <c:v>2025</c:v>
                </c:pt>
                <c:pt idx="9">
                  <c:v>2030</c:v>
                </c:pt>
                <c:pt idx="10">
                  <c:v>2035</c:v>
                </c:pt>
              </c:strCache>
            </c:strRef>
          </c:cat>
          <c:val>
            <c:numRef>
              <c:f>WEM!$C$3:$C$13</c:f>
              <c:numCache>
                <c:formatCode>General</c:formatCode>
                <c:ptCount val="11"/>
                <c:pt idx="0">
                  <c:v>-7743.3671607501401</c:v>
                </c:pt>
                <c:pt idx="1">
                  <c:v>-5430.3567459703036</c:v>
                </c:pt>
                <c:pt idx="2">
                  <c:v>-9494.8527701477815</c:v>
                </c:pt>
                <c:pt idx="3">
                  <c:v>-2989.8687008925549</c:v>
                </c:pt>
                <c:pt idx="4">
                  <c:v>-10916.90273413316</c:v>
                </c:pt>
                <c:pt idx="5">
                  <c:v>-9767.8107499999824</c:v>
                </c:pt>
                <c:pt idx="6">
                  <c:v>-9586.7266744037406</c:v>
                </c:pt>
                <c:pt idx="7">
                  <c:v>-9604.1286893331708</c:v>
                </c:pt>
                <c:pt idx="8">
                  <c:v>-9621.5307042625918</c:v>
                </c:pt>
                <c:pt idx="9">
                  <c:v>-9638.9327191920129</c:v>
                </c:pt>
                <c:pt idx="10">
                  <c:v>-9656.3347341214321</c:v>
                </c:pt>
              </c:numCache>
            </c:numRef>
          </c:val>
          <c:extLst>
            <c:ext xmlns:c16="http://schemas.microsoft.com/office/drawing/2014/chart" uri="{C3380CC4-5D6E-409C-BE32-E72D297353CC}">
              <c16:uniqueId val="{00000000-232D-4096-815C-FC25DC771FD1}"/>
            </c:ext>
          </c:extLst>
        </c:ser>
        <c:ser>
          <c:idx val="1"/>
          <c:order val="1"/>
          <c:tx>
            <c:strRef>
              <c:f>WEM!$D$2</c:f>
              <c:strCache>
                <c:ptCount val="1"/>
                <c:pt idx="0">
                  <c:v>Cropland</c:v>
                </c:pt>
              </c:strCache>
            </c:strRef>
          </c:tx>
          <c:invertIfNegative val="0"/>
          <c:cat>
            <c:strRef>
              <c:f>WEM!$B$3:$B$13</c:f>
              <c:strCache>
                <c:ptCount val="11"/>
                <c:pt idx="0">
                  <c:v>1990</c:v>
                </c:pt>
                <c:pt idx="1">
                  <c:v>1995</c:v>
                </c:pt>
                <c:pt idx="2">
                  <c:v>2000</c:v>
                </c:pt>
                <c:pt idx="3">
                  <c:v>2005</c:v>
                </c:pt>
                <c:pt idx="4">
                  <c:v>2010</c:v>
                </c:pt>
                <c:pt idx="5">
                  <c:v>Base year 2014</c:v>
                </c:pt>
                <c:pt idx="6">
                  <c:v>2015</c:v>
                </c:pt>
                <c:pt idx="7">
                  <c:v>2020</c:v>
                </c:pt>
                <c:pt idx="8">
                  <c:v>2025</c:v>
                </c:pt>
                <c:pt idx="9">
                  <c:v>2030</c:v>
                </c:pt>
                <c:pt idx="10">
                  <c:v>2035</c:v>
                </c:pt>
              </c:strCache>
            </c:strRef>
          </c:cat>
          <c:val>
            <c:numRef>
              <c:f>WEM!$D$3:$D$13</c:f>
              <c:numCache>
                <c:formatCode>General</c:formatCode>
                <c:ptCount val="11"/>
                <c:pt idx="0">
                  <c:v>5691.268450476231</c:v>
                </c:pt>
                <c:pt idx="1">
                  <c:v>4762.7990771428485</c:v>
                </c:pt>
                <c:pt idx="2">
                  <c:v>3908.7934830475801</c:v>
                </c:pt>
                <c:pt idx="3">
                  <c:v>2501.244566095269</c:v>
                </c:pt>
                <c:pt idx="4">
                  <c:v>3710.5497411428491</c:v>
                </c:pt>
                <c:pt idx="5">
                  <c:v>4385.1970131757134</c:v>
                </c:pt>
                <c:pt idx="6">
                  <c:v>4385.1970131757134</c:v>
                </c:pt>
                <c:pt idx="7">
                  <c:v>4385.1970131757134</c:v>
                </c:pt>
                <c:pt idx="8">
                  <c:v>4385.1970131757134</c:v>
                </c:pt>
                <c:pt idx="9">
                  <c:v>4385.1970131757134</c:v>
                </c:pt>
                <c:pt idx="10">
                  <c:v>4385.1970131757134</c:v>
                </c:pt>
              </c:numCache>
            </c:numRef>
          </c:val>
          <c:extLst>
            <c:ext xmlns:c16="http://schemas.microsoft.com/office/drawing/2014/chart" uri="{C3380CC4-5D6E-409C-BE32-E72D297353CC}">
              <c16:uniqueId val="{00000001-232D-4096-815C-FC25DC771FD1}"/>
            </c:ext>
          </c:extLst>
        </c:ser>
        <c:ser>
          <c:idx val="2"/>
          <c:order val="2"/>
          <c:tx>
            <c:strRef>
              <c:f>WEM!$E$2</c:f>
              <c:strCache>
                <c:ptCount val="1"/>
                <c:pt idx="0">
                  <c:v>Grassland</c:v>
                </c:pt>
              </c:strCache>
            </c:strRef>
          </c:tx>
          <c:invertIfNegative val="0"/>
          <c:cat>
            <c:strRef>
              <c:f>WEM!$B$3:$B$13</c:f>
              <c:strCache>
                <c:ptCount val="11"/>
                <c:pt idx="0">
                  <c:v>1990</c:v>
                </c:pt>
                <c:pt idx="1">
                  <c:v>1995</c:v>
                </c:pt>
                <c:pt idx="2">
                  <c:v>2000</c:v>
                </c:pt>
                <c:pt idx="3">
                  <c:v>2005</c:v>
                </c:pt>
                <c:pt idx="4">
                  <c:v>2010</c:v>
                </c:pt>
                <c:pt idx="5">
                  <c:v>Base year 2014</c:v>
                </c:pt>
                <c:pt idx="6">
                  <c:v>2015</c:v>
                </c:pt>
                <c:pt idx="7">
                  <c:v>2020</c:v>
                </c:pt>
                <c:pt idx="8">
                  <c:v>2025</c:v>
                </c:pt>
                <c:pt idx="9">
                  <c:v>2030</c:v>
                </c:pt>
                <c:pt idx="10">
                  <c:v>2035</c:v>
                </c:pt>
              </c:strCache>
            </c:strRef>
          </c:cat>
          <c:val>
            <c:numRef>
              <c:f>WEM!$E$3:$E$13</c:f>
              <c:numCache>
                <c:formatCode>General</c:formatCode>
                <c:ptCount val="11"/>
                <c:pt idx="0">
                  <c:v>-1951.8041476485221</c:v>
                </c:pt>
                <c:pt idx="1">
                  <c:v>-3228.519147648527</c:v>
                </c:pt>
                <c:pt idx="2">
                  <c:v>-4074.228480981868</c:v>
                </c:pt>
                <c:pt idx="3">
                  <c:v>-4886.9940423198404</c:v>
                </c:pt>
                <c:pt idx="4">
                  <c:v>-3752.370684230706</c:v>
                </c:pt>
                <c:pt idx="5">
                  <c:v>-2684.477199999998</c:v>
                </c:pt>
                <c:pt idx="6">
                  <c:v>-2684.477199999998</c:v>
                </c:pt>
                <c:pt idx="7">
                  <c:v>-2684.477199999998</c:v>
                </c:pt>
                <c:pt idx="8">
                  <c:v>-2684.477199999998</c:v>
                </c:pt>
                <c:pt idx="9">
                  <c:v>-2684.477199999998</c:v>
                </c:pt>
                <c:pt idx="10">
                  <c:v>-2684.477199999998</c:v>
                </c:pt>
              </c:numCache>
            </c:numRef>
          </c:val>
          <c:extLst>
            <c:ext xmlns:c16="http://schemas.microsoft.com/office/drawing/2014/chart" uri="{C3380CC4-5D6E-409C-BE32-E72D297353CC}">
              <c16:uniqueId val="{00000002-232D-4096-815C-FC25DC771FD1}"/>
            </c:ext>
          </c:extLst>
        </c:ser>
        <c:ser>
          <c:idx val="3"/>
          <c:order val="3"/>
          <c:tx>
            <c:strRef>
              <c:f>WEM!$F$2</c:f>
              <c:strCache>
                <c:ptCount val="1"/>
                <c:pt idx="0">
                  <c:v>HWP</c:v>
                </c:pt>
              </c:strCache>
            </c:strRef>
          </c:tx>
          <c:invertIfNegative val="0"/>
          <c:cat>
            <c:strRef>
              <c:f>WEM!$B$3:$B$13</c:f>
              <c:strCache>
                <c:ptCount val="11"/>
                <c:pt idx="0">
                  <c:v>1990</c:v>
                </c:pt>
                <c:pt idx="1">
                  <c:v>1995</c:v>
                </c:pt>
                <c:pt idx="2">
                  <c:v>2000</c:v>
                </c:pt>
                <c:pt idx="3">
                  <c:v>2005</c:v>
                </c:pt>
                <c:pt idx="4">
                  <c:v>2010</c:v>
                </c:pt>
                <c:pt idx="5">
                  <c:v>Base year 2014</c:v>
                </c:pt>
                <c:pt idx="6">
                  <c:v>2015</c:v>
                </c:pt>
                <c:pt idx="7">
                  <c:v>2020</c:v>
                </c:pt>
                <c:pt idx="8">
                  <c:v>2025</c:v>
                </c:pt>
                <c:pt idx="9">
                  <c:v>2030</c:v>
                </c:pt>
                <c:pt idx="10">
                  <c:v>2035</c:v>
                </c:pt>
              </c:strCache>
            </c:strRef>
          </c:cat>
          <c:val>
            <c:numRef>
              <c:f>WEM!$F$3:$F$13</c:f>
              <c:numCache>
                <c:formatCode>General</c:formatCode>
                <c:ptCount val="11"/>
                <c:pt idx="0">
                  <c:v>-95.652052750141834</c:v>
                </c:pt>
                <c:pt idx="1">
                  <c:v>604.27329828046197</c:v>
                </c:pt>
                <c:pt idx="2">
                  <c:v>-40.848907464563077</c:v>
                </c:pt>
                <c:pt idx="3">
                  <c:v>-887.00642032083158</c:v>
                </c:pt>
                <c:pt idx="4">
                  <c:v>-872.10729478167036</c:v>
                </c:pt>
                <c:pt idx="5">
                  <c:v>-1399.3461075192761</c:v>
                </c:pt>
                <c:pt idx="6">
                  <c:v>-1399.3461075192761</c:v>
                </c:pt>
                <c:pt idx="7">
                  <c:v>-1399.3461075192761</c:v>
                </c:pt>
                <c:pt idx="8">
                  <c:v>-1399.3461075192761</c:v>
                </c:pt>
                <c:pt idx="9">
                  <c:v>-1399.3461075192761</c:v>
                </c:pt>
                <c:pt idx="10">
                  <c:v>-1399.3461075192761</c:v>
                </c:pt>
              </c:numCache>
            </c:numRef>
          </c:val>
          <c:extLst>
            <c:ext xmlns:c16="http://schemas.microsoft.com/office/drawing/2014/chart" uri="{C3380CC4-5D6E-409C-BE32-E72D297353CC}">
              <c16:uniqueId val="{00000003-232D-4096-815C-FC25DC771FD1}"/>
            </c:ext>
          </c:extLst>
        </c:ser>
        <c:dLbls>
          <c:showLegendKey val="0"/>
          <c:showVal val="0"/>
          <c:showCatName val="0"/>
          <c:showSerName val="0"/>
          <c:showPercent val="0"/>
          <c:showBubbleSize val="0"/>
        </c:dLbls>
        <c:gapWidth val="150"/>
        <c:overlap val="100"/>
        <c:axId val="303167744"/>
        <c:axId val="302977024"/>
      </c:barChart>
      <c:catAx>
        <c:axId val="303167744"/>
        <c:scaling>
          <c:orientation val="minMax"/>
        </c:scaling>
        <c:delete val="0"/>
        <c:axPos val="b"/>
        <c:numFmt formatCode="General" sourceLinked="1"/>
        <c:majorTickMark val="none"/>
        <c:minorTickMark val="none"/>
        <c:tickLblPos val="nextTo"/>
        <c:txPr>
          <a:bodyPr rot="-2700000"/>
          <a:lstStyle/>
          <a:p>
            <a:pPr>
              <a:defRPr sz="800"/>
            </a:pPr>
            <a:endParaRPr lang="lt-LT"/>
          </a:p>
        </c:txPr>
        <c:crossAx val="302977024"/>
        <c:crosses val="autoZero"/>
        <c:auto val="1"/>
        <c:lblAlgn val="ctr"/>
        <c:lblOffset val="100"/>
        <c:noMultiLvlLbl val="0"/>
      </c:catAx>
      <c:valAx>
        <c:axId val="302977024"/>
        <c:scaling>
          <c:orientation val="minMax"/>
        </c:scaling>
        <c:delete val="0"/>
        <c:axPos val="l"/>
        <c:majorGridlines/>
        <c:title>
          <c:tx>
            <c:rich>
              <a:bodyPr rot="-5400000" vert="horz"/>
              <a:lstStyle/>
              <a:p>
                <a:pPr>
                  <a:defRPr/>
                </a:pPr>
                <a:r>
                  <a:rPr lang="en-US"/>
                  <a:t>Removals</a:t>
                </a:r>
                <a:r>
                  <a:rPr lang="lt-LT"/>
                  <a:t>/</a:t>
                </a:r>
                <a:r>
                  <a:rPr lang="en-US"/>
                  <a:t>emissions, </a:t>
                </a:r>
                <a:r>
                  <a:rPr lang="lt-LT"/>
                  <a:t>kt</a:t>
                </a:r>
                <a:r>
                  <a:rPr lang="en-US"/>
                  <a:t> CO</a:t>
                </a:r>
                <a:r>
                  <a:rPr lang="en-US" baseline="-25000"/>
                  <a:t>2</a:t>
                </a:r>
                <a:r>
                  <a:rPr lang="en-US"/>
                  <a:t> eq.</a:t>
                </a:r>
              </a:p>
            </c:rich>
          </c:tx>
          <c:overlay val="0"/>
        </c:title>
        <c:numFmt formatCode="General" sourceLinked="1"/>
        <c:majorTickMark val="none"/>
        <c:minorTickMark val="none"/>
        <c:tickLblPos val="nextTo"/>
        <c:txPr>
          <a:bodyPr rot="-60000000" vert="horz"/>
          <a:lstStyle/>
          <a:p>
            <a:pPr>
              <a:defRPr sz="800"/>
            </a:pPr>
            <a:endParaRPr lang="lt-LT"/>
          </a:p>
        </c:txPr>
        <c:crossAx val="303167744"/>
        <c:crosses val="autoZero"/>
        <c:crossBetween val="between"/>
        <c:majorUnit val="2000"/>
      </c:valAx>
    </c:plotArea>
    <c:legend>
      <c:legendPos val="b"/>
      <c:overlay val="0"/>
      <c:txPr>
        <a:bodyPr rot="0" vert="horz"/>
        <a:lstStyle/>
        <a:p>
          <a:pPr>
            <a:defRPr/>
          </a:pPr>
          <a:endParaRPr lang="lt-LT"/>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WEM!$P$2</c:f>
              <c:strCache>
                <c:ptCount val="1"/>
                <c:pt idx="0">
                  <c:v>Forest land</c:v>
                </c:pt>
              </c:strCache>
            </c:strRef>
          </c:tx>
          <c:invertIfNegative val="0"/>
          <c:cat>
            <c:strRef>
              <c:f>WEM!$B$3:$B$13</c:f>
              <c:strCache>
                <c:ptCount val="11"/>
                <c:pt idx="0">
                  <c:v>1990</c:v>
                </c:pt>
                <c:pt idx="1">
                  <c:v>1995</c:v>
                </c:pt>
                <c:pt idx="2">
                  <c:v>2000</c:v>
                </c:pt>
                <c:pt idx="3">
                  <c:v>2005</c:v>
                </c:pt>
                <c:pt idx="4">
                  <c:v>2010</c:v>
                </c:pt>
                <c:pt idx="5">
                  <c:v>Base year 2014</c:v>
                </c:pt>
                <c:pt idx="6">
                  <c:v>2015</c:v>
                </c:pt>
                <c:pt idx="7">
                  <c:v>2020</c:v>
                </c:pt>
                <c:pt idx="8">
                  <c:v>2025</c:v>
                </c:pt>
                <c:pt idx="9">
                  <c:v>2030</c:v>
                </c:pt>
                <c:pt idx="10">
                  <c:v>2035</c:v>
                </c:pt>
              </c:strCache>
            </c:strRef>
          </c:cat>
          <c:val>
            <c:numRef>
              <c:f>WEM!$P$3:$P$13</c:f>
              <c:numCache>
                <c:formatCode>General</c:formatCode>
                <c:ptCount val="11"/>
                <c:pt idx="0">
                  <c:v>-6419.0767898885906</c:v>
                </c:pt>
                <c:pt idx="1">
                  <c:v>-4090.9274613817929</c:v>
                </c:pt>
                <c:pt idx="2">
                  <c:v>-8142.0808121370164</c:v>
                </c:pt>
                <c:pt idx="3">
                  <c:v>-1618.3653485453999</c:v>
                </c:pt>
                <c:pt idx="4">
                  <c:v>-9525.1280775746527</c:v>
                </c:pt>
                <c:pt idx="5">
                  <c:v>-8356.2780925217685</c:v>
                </c:pt>
                <c:pt idx="6">
                  <c:v>-8175.1940169255377</c:v>
                </c:pt>
                <c:pt idx="7">
                  <c:v>-8192.5960318549569</c:v>
                </c:pt>
                <c:pt idx="8">
                  <c:v>-8209.9980467843707</c:v>
                </c:pt>
                <c:pt idx="9">
                  <c:v>-8227.4000617138008</c:v>
                </c:pt>
                <c:pt idx="10">
                  <c:v>-8244.8020766432073</c:v>
                </c:pt>
              </c:numCache>
            </c:numRef>
          </c:val>
          <c:extLst>
            <c:ext xmlns:c16="http://schemas.microsoft.com/office/drawing/2014/chart" uri="{C3380CC4-5D6E-409C-BE32-E72D297353CC}">
              <c16:uniqueId val="{00000000-BF85-4CDF-87A2-690586EC966B}"/>
            </c:ext>
          </c:extLst>
        </c:ser>
        <c:ser>
          <c:idx val="1"/>
          <c:order val="1"/>
          <c:tx>
            <c:strRef>
              <c:f>WEM!$Q$2</c:f>
              <c:strCache>
                <c:ptCount val="1"/>
                <c:pt idx="0">
                  <c:v>Cropland</c:v>
                </c:pt>
              </c:strCache>
            </c:strRef>
          </c:tx>
          <c:invertIfNegative val="0"/>
          <c:cat>
            <c:strRef>
              <c:f>WEM!$B$3:$B$13</c:f>
              <c:strCache>
                <c:ptCount val="11"/>
                <c:pt idx="0">
                  <c:v>1990</c:v>
                </c:pt>
                <c:pt idx="1">
                  <c:v>1995</c:v>
                </c:pt>
                <c:pt idx="2">
                  <c:v>2000</c:v>
                </c:pt>
                <c:pt idx="3">
                  <c:v>2005</c:v>
                </c:pt>
                <c:pt idx="4">
                  <c:v>2010</c:v>
                </c:pt>
                <c:pt idx="5">
                  <c:v>Base year 2014</c:v>
                </c:pt>
                <c:pt idx="6">
                  <c:v>2015</c:v>
                </c:pt>
                <c:pt idx="7">
                  <c:v>2020</c:v>
                </c:pt>
                <c:pt idx="8">
                  <c:v>2025</c:v>
                </c:pt>
                <c:pt idx="9">
                  <c:v>2030</c:v>
                </c:pt>
                <c:pt idx="10">
                  <c:v>2035</c:v>
                </c:pt>
              </c:strCache>
            </c:strRef>
          </c:cat>
          <c:val>
            <c:numRef>
              <c:f>WEM!$Q$3:$Q$13</c:f>
              <c:numCache>
                <c:formatCode>General</c:formatCode>
                <c:ptCount val="11"/>
                <c:pt idx="0">
                  <c:v>5883.7923957419962</c:v>
                </c:pt>
                <c:pt idx="1">
                  <c:v>4955.3230224086201</c:v>
                </c:pt>
                <c:pt idx="2">
                  <c:v>4085.1839597357562</c:v>
                </c:pt>
                <c:pt idx="3">
                  <c:v>2658.469285088785</c:v>
                </c:pt>
                <c:pt idx="4">
                  <c:v>3886.190069652238</c:v>
                </c:pt>
                <c:pt idx="5">
                  <c:v>4556.1040233307122</c:v>
                </c:pt>
                <c:pt idx="6">
                  <c:v>4556.1040233307122</c:v>
                </c:pt>
                <c:pt idx="7">
                  <c:v>4556.1040233307122</c:v>
                </c:pt>
                <c:pt idx="8">
                  <c:v>4556.1040233307122</c:v>
                </c:pt>
                <c:pt idx="9">
                  <c:v>4556.1040233307122</c:v>
                </c:pt>
                <c:pt idx="10">
                  <c:v>4556.1040233307122</c:v>
                </c:pt>
              </c:numCache>
            </c:numRef>
          </c:val>
          <c:extLst>
            <c:ext xmlns:c16="http://schemas.microsoft.com/office/drawing/2014/chart" uri="{C3380CC4-5D6E-409C-BE32-E72D297353CC}">
              <c16:uniqueId val="{00000001-BF85-4CDF-87A2-690586EC966B}"/>
            </c:ext>
          </c:extLst>
        </c:ser>
        <c:ser>
          <c:idx val="2"/>
          <c:order val="2"/>
          <c:tx>
            <c:strRef>
              <c:f>WEM!$R$2</c:f>
              <c:strCache>
                <c:ptCount val="1"/>
                <c:pt idx="0">
                  <c:v>Grassland</c:v>
                </c:pt>
              </c:strCache>
            </c:strRef>
          </c:tx>
          <c:invertIfNegative val="0"/>
          <c:cat>
            <c:strRef>
              <c:f>WEM!$B$3:$B$13</c:f>
              <c:strCache>
                <c:ptCount val="11"/>
                <c:pt idx="0">
                  <c:v>1990</c:v>
                </c:pt>
                <c:pt idx="1">
                  <c:v>1995</c:v>
                </c:pt>
                <c:pt idx="2">
                  <c:v>2000</c:v>
                </c:pt>
                <c:pt idx="3">
                  <c:v>2005</c:v>
                </c:pt>
                <c:pt idx="4">
                  <c:v>2010</c:v>
                </c:pt>
                <c:pt idx="5">
                  <c:v>Base year 2014</c:v>
                </c:pt>
                <c:pt idx="6">
                  <c:v>2015</c:v>
                </c:pt>
                <c:pt idx="7">
                  <c:v>2020</c:v>
                </c:pt>
                <c:pt idx="8">
                  <c:v>2025</c:v>
                </c:pt>
                <c:pt idx="9">
                  <c:v>2030</c:v>
                </c:pt>
                <c:pt idx="10">
                  <c:v>2035</c:v>
                </c:pt>
              </c:strCache>
            </c:strRef>
          </c:cat>
          <c:val>
            <c:numRef>
              <c:f>WEM!$R$3:$R$13</c:f>
              <c:numCache>
                <c:formatCode>General</c:formatCode>
                <c:ptCount val="11"/>
                <c:pt idx="0">
                  <c:v>667.05440599899839</c:v>
                </c:pt>
                <c:pt idx="1">
                  <c:v>-20.722745475612101</c:v>
                </c:pt>
                <c:pt idx="2">
                  <c:v>-481.37008800676358</c:v>
                </c:pt>
                <c:pt idx="3">
                  <c:v>-945.06896548028237</c:v>
                </c:pt>
                <c:pt idx="4">
                  <c:v>-358.86190984083532</c:v>
                </c:pt>
                <c:pt idx="5">
                  <c:v>384.03187337083551</c:v>
                </c:pt>
                <c:pt idx="6">
                  <c:v>384.03187337083551</c:v>
                </c:pt>
                <c:pt idx="7">
                  <c:v>384.03187337083551</c:v>
                </c:pt>
                <c:pt idx="8">
                  <c:v>384.03187337083551</c:v>
                </c:pt>
                <c:pt idx="9">
                  <c:v>384.03187337083551</c:v>
                </c:pt>
                <c:pt idx="10">
                  <c:v>384.03187337083551</c:v>
                </c:pt>
              </c:numCache>
            </c:numRef>
          </c:val>
          <c:extLst>
            <c:ext xmlns:c16="http://schemas.microsoft.com/office/drawing/2014/chart" uri="{C3380CC4-5D6E-409C-BE32-E72D297353CC}">
              <c16:uniqueId val="{00000002-BF85-4CDF-87A2-690586EC966B}"/>
            </c:ext>
          </c:extLst>
        </c:ser>
        <c:ser>
          <c:idx val="3"/>
          <c:order val="3"/>
          <c:tx>
            <c:strRef>
              <c:f>WEM!$S$2</c:f>
              <c:strCache>
                <c:ptCount val="1"/>
                <c:pt idx="0">
                  <c:v>HWP</c:v>
                </c:pt>
              </c:strCache>
            </c:strRef>
          </c:tx>
          <c:invertIfNegative val="0"/>
          <c:cat>
            <c:strRef>
              <c:f>WEM!$B$3:$B$13</c:f>
              <c:strCache>
                <c:ptCount val="11"/>
                <c:pt idx="0">
                  <c:v>1990</c:v>
                </c:pt>
                <c:pt idx="1">
                  <c:v>1995</c:v>
                </c:pt>
                <c:pt idx="2">
                  <c:v>2000</c:v>
                </c:pt>
                <c:pt idx="3">
                  <c:v>2005</c:v>
                </c:pt>
                <c:pt idx="4">
                  <c:v>2010</c:v>
                </c:pt>
                <c:pt idx="5">
                  <c:v>Base year 2014</c:v>
                </c:pt>
                <c:pt idx="6">
                  <c:v>2015</c:v>
                </c:pt>
                <c:pt idx="7">
                  <c:v>2020</c:v>
                </c:pt>
                <c:pt idx="8">
                  <c:v>2025</c:v>
                </c:pt>
                <c:pt idx="9">
                  <c:v>2030</c:v>
                </c:pt>
                <c:pt idx="10">
                  <c:v>2035</c:v>
                </c:pt>
              </c:strCache>
            </c:strRef>
          </c:cat>
          <c:val>
            <c:numRef>
              <c:f>WEM!$S$3:$S$13</c:f>
              <c:numCache>
                <c:formatCode>General</c:formatCode>
                <c:ptCount val="11"/>
                <c:pt idx="0">
                  <c:v>-95.652052750141834</c:v>
                </c:pt>
                <c:pt idx="1">
                  <c:v>604.27329828046197</c:v>
                </c:pt>
                <c:pt idx="2">
                  <c:v>-40.848907464563077</c:v>
                </c:pt>
                <c:pt idx="3">
                  <c:v>-887.00642032083158</c:v>
                </c:pt>
                <c:pt idx="4">
                  <c:v>-872.10729478167036</c:v>
                </c:pt>
                <c:pt idx="5">
                  <c:v>-1399.3461075192761</c:v>
                </c:pt>
                <c:pt idx="6">
                  <c:v>-1399.3461075192761</c:v>
                </c:pt>
                <c:pt idx="7">
                  <c:v>-1399.3461075192761</c:v>
                </c:pt>
                <c:pt idx="8">
                  <c:v>-1399.3461075192761</c:v>
                </c:pt>
                <c:pt idx="9">
                  <c:v>-1399.3461075192761</c:v>
                </c:pt>
                <c:pt idx="10">
                  <c:v>-1399.3461075192761</c:v>
                </c:pt>
              </c:numCache>
            </c:numRef>
          </c:val>
          <c:extLst>
            <c:ext xmlns:c16="http://schemas.microsoft.com/office/drawing/2014/chart" uri="{C3380CC4-5D6E-409C-BE32-E72D297353CC}">
              <c16:uniqueId val="{00000003-BF85-4CDF-87A2-690586EC966B}"/>
            </c:ext>
          </c:extLst>
        </c:ser>
        <c:dLbls>
          <c:showLegendKey val="0"/>
          <c:showVal val="0"/>
          <c:showCatName val="0"/>
          <c:showSerName val="0"/>
          <c:showPercent val="0"/>
          <c:showBubbleSize val="0"/>
        </c:dLbls>
        <c:gapWidth val="150"/>
        <c:overlap val="100"/>
        <c:axId val="303009792"/>
        <c:axId val="303011328"/>
      </c:barChart>
      <c:catAx>
        <c:axId val="303009792"/>
        <c:scaling>
          <c:orientation val="minMax"/>
        </c:scaling>
        <c:delete val="0"/>
        <c:axPos val="b"/>
        <c:numFmt formatCode="General" sourceLinked="1"/>
        <c:majorTickMark val="none"/>
        <c:minorTickMark val="none"/>
        <c:tickLblPos val="nextTo"/>
        <c:txPr>
          <a:bodyPr rot="-2700000"/>
          <a:lstStyle/>
          <a:p>
            <a:pPr>
              <a:defRPr sz="800" b="1"/>
            </a:pPr>
            <a:endParaRPr lang="lt-LT"/>
          </a:p>
        </c:txPr>
        <c:crossAx val="303011328"/>
        <c:crosses val="autoZero"/>
        <c:auto val="1"/>
        <c:lblAlgn val="ctr"/>
        <c:lblOffset val="100"/>
        <c:noMultiLvlLbl val="0"/>
      </c:catAx>
      <c:valAx>
        <c:axId val="303011328"/>
        <c:scaling>
          <c:orientation val="minMax"/>
        </c:scaling>
        <c:delete val="0"/>
        <c:axPos val="l"/>
        <c:majorGridlines/>
        <c:title>
          <c:tx>
            <c:rich>
              <a:bodyPr rot="-5400000" vert="horz"/>
              <a:lstStyle/>
              <a:p>
                <a:pPr>
                  <a:defRPr/>
                </a:pPr>
                <a:r>
                  <a:rPr lang="en-US"/>
                  <a:t>Removals</a:t>
                </a:r>
                <a:r>
                  <a:rPr lang="lt-LT"/>
                  <a:t>/</a:t>
                </a:r>
                <a:r>
                  <a:rPr lang="en-US"/>
                  <a:t>emissions, kt CO</a:t>
                </a:r>
                <a:r>
                  <a:rPr lang="en-US" baseline="-25000"/>
                  <a:t>2</a:t>
                </a:r>
                <a:r>
                  <a:rPr lang="en-US"/>
                  <a:t> eq.</a:t>
                </a:r>
              </a:p>
            </c:rich>
          </c:tx>
          <c:overlay val="0"/>
        </c:title>
        <c:numFmt formatCode="General" sourceLinked="1"/>
        <c:majorTickMark val="none"/>
        <c:minorTickMark val="none"/>
        <c:tickLblPos val="nextTo"/>
        <c:txPr>
          <a:bodyPr rot="-60000000" vert="horz"/>
          <a:lstStyle/>
          <a:p>
            <a:pPr>
              <a:defRPr/>
            </a:pPr>
            <a:endParaRPr lang="lt-LT"/>
          </a:p>
        </c:txPr>
        <c:crossAx val="303009792"/>
        <c:crosses val="autoZero"/>
        <c:crossBetween val="between"/>
      </c:valAx>
    </c:plotArea>
    <c:legend>
      <c:legendPos val="b"/>
      <c:overlay val="0"/>
      <c:txPr>
        <a:bodyPr rot="0" vert="horz"/>
        <a:lstStyle/>
        <a:p>
          <a:pPr>
            <a:defRPr/>
          </a:pPr>
          <a:endParaRPr lang="lt-LT"/>
        </a:p>
      </c:txPr>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836100798281049E-2"/>
          <c:y val="9.2690120075837365E-2"/>
          <c:w val="0.87010748008830507"/>
          <c:h val="0.71405197480713056"/>
        </c:manualLayout>
      </c:layout>
      <c:scatterChart>
        <c:scatterStyle val="lineMarker"/>
        <c:varyColors val="0"/>
        <c:ser>
          <c:idx val="0"/>
          <c:order val="0"/>
          <c:tx>
            <c:strRef>
              <c:f>Electricity!$A$5</c:f>
              <c:strCache>
                <c:ptCount val="1"/>
                <c:pt idx="0">
                  <c:v>EU 28 countries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Electricity!$B$4:$K$4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Electricity!$B$5:$K$5</c:f>
              <c:numCache>
                <c:formatCode>0.0</c:formatCode>
                <c:ptCount val="10"/>
                <c:pt idx="0">
                  <c:v>158.29999999999998</c:v>
                </c:pt>
                <c:pt idx="1">
                  <c:v>164.1</c:v>
                </c:pt>
                <c:pt idx="2">
                  <c:v>167.8</c:v>
                </c:pt>
                <c:pt idx="3">
                  <c:v>180.29999999999998</c:v>
                </c:pt>
                <c:pt idx="4">
                  <c:v>188.4</c:v>
                </c:pt>
                <c:pt idx="5">
                  <c:v>200</c:v>
                </c:pt>
                <c:pt idx="6">
                  <c:v>204</c:v>
                </c:pt>
                <c:pt idx="7">
                  <c:v>209</c:v>
                </c:pt>
                <c:pt idx="8">
                  <c:v>205.2</c:v>
                </c:pt>
                <c:pt idx="9">
                  <c:v>204.1</c:v>
                </c:pt>
              </c:numCache>
            </c:numRef>
          </c:yVal>
          <c:smooth val="0"/>
          <c:extLst>
            <c:ext xmlns:c16="http://schemas.microsoft.com/office/drawing/2014/chart" uri="{C3380CC4-5D6E-409C-BE32-E72D297353CC}">
              <c16:uniqueId val="{00000000-3A3D-431C-99FB-71F9050F2D8D}"/>
            </c:ext>
          </c:extLst>
        </c:ser>
        <c:ser>
          <c:idx val="1"/>
          <c:order val="1"/>
          <c:tx>
            <c:strRef>
              <c:f>Electricity!$A$6</c:f>
              <c:strCache>
                <c:ptCount val="1"/>
                <c:pt idx="0">
                  <c:v>Lithuania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Electricity!$B$4:$K$4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Electricity!$B$6:$K$6</c:f>
              <c:numCache>
                <c:formatCode>0.0</c:formatCode>
                <c:ptCount val="10"/>
                <c:pt idx="0">
                  <c:v>86</c:v>
                </c:pt>
                <c:pt idx="1">
                  <c:v>95.100000000000009</c:v>
                </c:pt>
                <c:pt idx="2">
                  <c:v>115.6</c:v>
                </c:pt>
                <c:pt idx="3">
                  <c:v>121.39999999999999</c:v>
                </c:pt>
                <c:pt idx="4">
                  <c:v>126</c:v>
                </c:pt>
                <c:pt idx="5">
                  <c:v>137</c:v>
                </c:pt>
                <c:pt idx="6">
                  <c:v>133</c:v>
                </c:pt>
                <c:pt idx="7">
                  <c:v>125.6</c:v>
                </c:pt>
                <c:pt idx="8">
                  <c:v>123.1</c:v>
                </c:pt>
                <c:pt idx="9">
                  <c:v>111.60000000000001</c:v>
                </c:pt>
              </c:numCache>
            </c:numRef>
          </c:yVal>
          <c:smooth val="0"/>
          <c:extLst>
            <c:ext xmlns:c16="http://schemas.microsoft.com/office/drawing/2014/chart" uri="{C3380CC4-5D6E-409C-BE32-E72D297353CC}">
              <c16:uniqueId val="{00000001-3A3D-431C-99FB-71F9050F2D8D}"/>
            </c:ext>
          </c:extLst>
        </c:ser>
        <c:dLbls>
          <c:showLegendKey val="0"/>
          <c:showVal val="0"/>
          <c:showCatName val="0"/>
          <c:showSerName val="0"/>
          <c:showPercent val="0"/>
          <c:showBubbleSize val="0"/>
        </c:dLbls>
        <c:axId val="303320064"/>
        <c:axId val="303342336"/>
      </c:scatterChart>
      <c:valAx>
        <c:axId val="30332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03342336"/>
        <c:crosses val="autoZero"/>
        <c:crossBetween val="midCat"/>
      </c:valAx>
      <c:valAx>
        <c:axId val="303342336"/>
        <c:scaling>
          <c:orientation val="minMax"/>
          <c:max val="220"/>
          <c:min val="8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033200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3045888693965E-2"/>
          <c:y val="9.2690120075837365E-2"/>
          <c:w val="0.87931876391098784"/>
          <c:h val="0.71405197480713056"/>
        </c:manualLayout>
      </c:layout>
      <c:scatterChart>
        <c:scatterStyle val="lineMarker"/>
        <c:varyColors val="0"/>
        <c:ser>
          <c:idx val="0"/>
          <c:order val="0"/>
          <c:tx>
            <c:strRef>
              <c:f>Electricity!$A$27</c:f>
              <c:strCache>
                <c:ptCount val="1"/>
                <c:pt idx="0">
                  <c:v>EU 28 countries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layout>
                <c:manualLayout>
                  <c:x val="-3.0800320944337999E-2"/>
                  <c:y val="3.2975161734495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3B-4629-8340-6F7B1C8D76D8}"/>
                </c:ext>
              </c:extLst>
            </c:dLbl>
            <c:dLbl>
              <c:idx val="6"/>
              <c:layout>
                <c:manualLayout>
                  <c:x val="-4.2314425722691403E-2"/>
                  <c:y val="4.56133902860784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3B-4629-8340-6F7B1C8D76D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Electricity!$B$26:$K$26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Electricity!$B$27:$K$27</c:f>
              <c:numCache>
                <c:formatCode>0.0</c:formatCode>
                <c:ptCount val="10"/>
                <c:pt idx="0">
                  <c:v>87.5</c:v>
                </c:pt>
                <c:pt idx="1">
                  <c:v>95</c:v>
                </c:pt>
                <c:pt idx="2">
                  <c:v>91.1</c:v>
                </c:pt>
                <c:pt idx="3">
                  <c:v>92.600000000000009</c:v>
                </c:pt>
                <c:pt idx="4">
                  <c:v>96</c:v>
                </c:pt>
                <c:pt idx="5">
                  <c:v>94.2</c:v>
                </c:pt>
                <c:pt idx="6">
                  <c:v>92.399999999999991</c:v>
                </c:pt>
                <c:pt idx="7">
                  <c:v>87.7</c:v>
                </c:pt>
                <c:pt idx="8">
                  <c:v>81.900000000000006</c:v>
                </c:pt>
                <c:pt idx="9">
                  <c:v>78.8</c:v>
                </c:pt>
              </c:numCache>
            </c:numRef>
          </c:yVal>
          <c:smooth val="0"/>
          <c:extLst>
            <c:ext xmlns:c16="http://schemas.microsoft.com/office/drawing/2014/chart" uri="{C3380CC4-5D6E-409C-BE32-E72D297353CC}">
              <c16:uniqueId val="{00000002-C13B-4629-8340-6F7B1C8D76D8}"/>
            </c:ext>
          </c:extLst>
        </c:ser>
        <c:ser>
          <c:idx val="1"/>
          <c:order val="1"/>
          <c:tx>
            <c:strRef>
              <c:f>Electricity!$A$28</c:f>
              <c:strCache>
                <c:ptCount val="1"/>
                <c:pt idx="0">
                  <c:v>Lithuania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0800320944337916E-2"/>
                  <c:y val="3.7187904585023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3B-4629-8340-6F7B1C8D76D8}"/>
                </c:ext>
              </c:extLst>
            </c:dLbl>
            <c:dLbl>
              <c:idx val="1"/>
              <c:layout>
                <c:manualLayout>
                  <c:x val="-3.5405962855679311E-2"/>
                  <c:y val="3.71879045850232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3B-4629-8340-6F7B1C8D76D8}"/>
                </c:ext>
              </c:extLst>
            </c:dLbl>
            <c:dLbl>
              <c:idx val="5"/>
              <c:layout>
                <c:manualLayout>
                  <c:x val="-1.9286216165984433E-2"/>
                  <c:y val="-3.44287238739454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3B-4629-8340-6F7B1C8D76D8}"/>
                </c:ext>
              </c:extLst>
            </c:dLbl>
            <c:dLbl>
              <c:idx val="7"/>
              <c:layout>
                <c:manualLayout>
                  <c:x val="-4.9222888589703577E-2"/>
                  <c:y val="2.8762418883967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3B-4629-8340-6F7B1C8D76D8}"/>
                </c:ext>
              </c:extLst>
            </c:dLbl>
            <c:dLbl>
              <c:idx val="8"/>
              <c:layout>
                <c:manualLayout>
                  <c:x val="-4.4617246678362095E-2"/>
                  <c:y val="3.29751617344956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13B-4629-8340-6F7B1C8D76D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Electricity!$B$26:$K$26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Electricity!$B$28:$K$28</c:f>
              <c:numCache>
                <c:formatCode>0.0</c:formatCode>
                <c:ptCount val="10"/>
                <c:pt idx="0">
                  <c:v>82.9</c:v>
                </c:pt>
                <c:pt idx="1">
                  <c:v>92.399999999999991</c:v>
                </c:pt>
                <c:pt idx="2">
                  <c:v>99.1</c:v>
                </c:pt>
                <c:pt idx="3">
                  <c:v>104.5</c:v>
                </c:pt>
                <c:pt idx="4">
                  <c:v>113.5</c:v>
                </c:pt>
                <c:pt idx="5">
                  <c:v>95.600000000000009</c:v>
                </c:pt>
                <c:pt idx="6">
                  <c:v>95.8</c:v>
                </c:pt>
                <c:pt idx="7">
                  <c:v>81.8</c:v>
                </c:pt>
                <c:pt idx="8">
                  <c:v>77.7</c:v>
                </c:pt>
                <c:pt idx="9">
                  <c:v>69.599999999999994</c:v>
                </c:pt>
              </c:numCache>
            </c:numRef>
          </c:yVal>
          <c:smooth val="0"/>
          <c:extLst>
            <c:ext xmlns:c16="http://schemas.microsoft.com/office/drawing/2014/chart" uri="{C3380CC4-5D6E-409C-BE32-E72D297353CC}">
              <c16:uniqueId val="{00000008-C13B-4629-8340-6F7B1C8D76D8}"/>
            </c:ext>
          </c:extLst>
        </c:ser>
        <c:dLbls>
          <c:dLblPos val="t"/>
          <c:showLegendKey val="0"/>
          <c:showVal val="1"/>
          <c:showCatName val="0"/>
          <c:showSerName val="0"/>
          <c:showPercent val="0"/>
          <c:showBubbleSize val="0"/>
        </c:dLbls>
        <c:axId val="303511424"/>
        <c:axId val="303512960"/>
      </c:scatterChart>
      <c:valAx>
        <c:axId val="30351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03512960"/>
        <c:crosses val="autoZero"/>
        <c:crossBetween val="midCat"/>
      </c:valAx>
      <c:valAx>
        <c:axId val="303512960"/>
        <c:scaling>
          <c:orientation val="minMax"/>
          <c:max val="115"/>
          <c:min val="6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035114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RES!$A$50</c:f>
              <c:strCache>
                <c:ptCount val="1"/>
                <c:pt idx="0">
                  <c:v>Share of RES in electricity sector,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RES!$B$49:$F$49</c:f>
              <c:numCache>
                <c:formatCode>General</c:formatCode>
                <c:ptCount val="5"/>
                <c:pt idx="0">
                  <c:v>2020</c:v>
                </c:pt>
                <c:pt idx="1">
                  <c:v>2022</c:v>
                </c:pt>
                <c:pt idx="2">
                  <c:v>2025</c:v>
                </c:pt>
                <c:pt idx="3">
                  <c:v>2027</c:v>
                </c:pt>
                <c:pt idx="4">
                  <c:v>2030</c:v>
                </c:pt>
              </c:numCache>
            </c:numRef>
          </c:xVal>
          <c:yVal>
            <c:numRef>
              <c:f>RES!$B$50:$F$50</c:f>
              <c:numCache>
                <c:formatCode>General</c:formatCode>
                <c:ptCount val="5"/>
                <c:pt idx="0">
                  <c:v>26</c:v>
                </c:pt>
                <c:pt idx="1">
                  <c:v>33</c:v>
                </c:pt>
                <c:pt idx="2">
                  <c:v>34</c:v>
                </c:pt>
                <c:pt idx="3">
                  <c:v>39</c:v>
                </c:pt>
                <c:pt idx="4">
                  <c:v>45</c:v>
                </c:pt>
              </c:numCache>
            </c:numRef>
          </c:yVal>
          <c:smooth val="0"/>
          <c:extLst>
            <c:ext xmlns:c16="http://schemas.microsoft.com/office/drawing/2014/chart" uri="{C3380CC4-5D6E-409C-BE32-E72D297353CC}">
              <c16:uniqueId val="{00000000-8B7E-4388-A6E8-966B35D2B127}"/>
            </c:ext>
          </c:extLst>
        </c:ser>
        <c:ser>
          <c:idx val="1"/>
          <c:order val="1"/>
          <c:tx>
            <c:strRef>
              <c:f>RES!$A$51</c:f>
              <c:strCache>
                <c:ptCount val="1"/>
                <c:pt idx="0">
                  <c:v>Share of RES in transport sector,%</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RES!$B$49:$F$49</c:f>
              <c:numCache>
                <c:formatCode>General</c:formatCode>
                <c:ptCount val="5"/>
                <c:pt idx="0">
                  <c:v>2020</c:v>
                </c:pt>
                <c:pt idx="1">
                  <c:v>2022</c:v>
                </c:pt>
                <c:pt idx="2">
                  <c:v>2025</c:v>
                </c:pt>
                <c:pt idx="3">
                  <c:v>2027</c:v>
                </c:pt>
                <c:pt idx="4">
                  <c:v>2030</c:v>
                </c:pt>
              </c:numCache>
            </c:numRef>
          </c:xVal>
          <c:yVal>
            <c:numRef>
              <c:f>RES!$B$51:$F$51</c:f>
              <c:numCache>
                <c:formatCode>General</c:formatCode>
                <c:ptCount val="5"/>
                <c:pt idx="0">
                  <c:v>7</c:v>
                </c:pt>
                <c:pt idx="1">
                  <c:v>8</c:v>
                </c:pt>
                <c:pt idx="2">
                  <c:v>10</c:v>
                </c:pt>
                <c:pt idx="3">
                  <c:v>12</c:v>
                </c:pt>
                <c:pt idx="4">
                  <c:v>15</c:v>
                </c:pt>
              </c:numCache>
            </c:numRef>
          </c:yVal>
          <c:smooth val="0"/>
          <c:extLst>
            <c:ext xmlns:c16="http://schemas.microsoft.com/office/drawing/2014/chart" uri="{C3380CC4-5D6E-409C-BE32-E72D297353CC}">
              <c16:uniqueId val="{00000001-8B7E-4388-A6E8-966B35D2B127}"/>
            </c:ext>
          </c:extLst>
        </c:ser>
        <c:ser>
          <c:idx val="2"/>
          <c:order val="2"/>
          <c:tx>
            <c:strRef>
              <c:f>RES!$A$52</c:f>
              <c:strCache>
                <c:ptCount val="1"/>
                <c:pt idx="0">
                  <c:v>Share of RES in household heating sector,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RES!$B$49:$F$49</c:f>
              <c:numCache>
                <c:formatCode>General</c:formatCode>
                <c:ptCount val="5"/>
                <c:pt idx="0">
                  <c:v>2020</c:v>
                </c:pt>
                <c:pt idx="1">
                  <c:v>2022</c:v>
                </c:pt>
                <c:pt idx="2">
                  <c:v>2025</c:v>
                </c:pt>
                <c:pt idx="3">
                  <c:v>2027</c:v>
                </c:pt>
                <c:pt idx="4">
                  <c:v>2030</c:v>
                </c:pt>
              </c:numCache>
            </c:numRef>
          </c:xVal>
          <c:yVal>
            <c:numRef>
              <c:f>RES!$B$52:$F$52</c:f>
              <c:numCache>
                <c:formatCode>General</c:formatCode>
                <c:ptCount val="5"/>
                <c:pt idx="0">
                  <c:v>70</c:v>
                </c:pt>
                <c:pt idx="1">
                  <c:v>72</c:v>
                </c:pt>
                <c:pt idx="2">
                  <c:v>75</c:v>
                </c:pt>
                <c:pt idx="3">
                  <c:v>77</c:v>
                </c:pt>
                <c:pt idx="4">
                  <c:v>80</c:v>
                </c:pt>
              </c:numCache>
            </c:numRef>
          </c:yVal>
          <c:smooth val="0"/>
          <c:extLst>
            <c:ext xmlns:c16="http://schemas.microsoft.com/office/drawing/2014/chart" uri="{C3380CC4-5D6E-409C-BE32-E72D297353CC}">
              <c16:uniqueId val="{00000002-8B7E-4388-A6E8-966B35D2B127}"/>
            </c:ext>
          </c:extLst>
        </c:ser>
        <c:ser>
          <c:idx val="3"/>
          <c:order val="3"/>
          <c:tx>
            <c:strRef>
              <c:f>RES!$A$53</c:f>
              <c:strCache>
                <c:ptCount val="1"/>
                <c:pt idx="0">
                  <c:v>Share of RES in district heating sector, %</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dLbls>
            <c:dLbl>
              <c:idx val="1"/>
              <c:layout>
                <c:manualLayout>
                  <c:x val="-2.9508196721311514E-2"/>
                  <c:y val="-4.24836601307189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7E-4388-A6E8-966B35D2B1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RES!$B$49:$F$49</c:f>
              <c:numCache>
                <c:formatCode>General</c:formatCode>
                <c:ptCount val="5"/>
                <c:pt idx="0">
                  <c:v>2020</c:v>
                </c:pt>
                <c:pt idx="1">
                  <c:v>2022</c:v>
                </c:pt>
                <c:pt idx="2">
                  <c:v>2025</c:v>
                </c:pt>
                <c:pt idx="3">
                  <c:v>2027</c:v>
                </c:pt>
                <c:pt idx="4">
                  <c:v>2030</c:v>
                </c:pt>
              </c:numCache>
            </c:numRef>
          </c:xVal>
          <c:yVal>
            <c:numRef>
              <c:f>RES!$B$53:$F$53</c:f>
              <c:numCache>
                <c:formatCode>General</c:formatCode>
                <c:ptCount val="5"/>
                <c:pt idx="0">
                  <c:v>70</c:v>
                </c:pt>
                <c:pt idx="1">
                  <c:v>74</c:v>
                </c:pt>
                <c:pt idx="2">
                  <c:v>79</c:v>
                </c:pt>
                <c:pt idx="3">
                  <c:v>83</c:v>
                </c:pt>
                <c:pt idx="4">
                  <c:v>90</c:v>
                </c:pt>
              </c:numCache>
            </c:numRef>
          </c:yVal>
          <c:smooth val="0"/>
          <c:extLst>
            <c:ext xmlns:c16="http://schemas.microsoft.com/office/drawing/2014/chart" uri="{C3380CC4-5D6E-409C-BE32-E72D297353CC}">
              <c16:uniqueId val="{00000004-8B7E-4388-A6E8-966B35D2B127}"/>
            </c:ext>
          </c:extLst>
        </c:ser>
        <c:dLbls>
          <c:dLblPos val="t"/>
          <c:showLegendKey val="0"/>
          <c:showVal val="1"/>
          <c:showCatName val="0"/>
          <c:showSerName val="0"/>
          <c:showPercent val="0"/>
          <c:showBubbleSize val="0"/>
        </c:dLbls>
        <c:axId val="159790592"/>
        <c:axId val="159792128"/>
      </c:scatterChart>
      <c:valAx>
        <c:axId val="159790592"/>
        <c:scaling>
          <c:orientation val="minMax"/>
          <c:max val="2030"/>
          <c:min val="202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9792128"/>
        <c:crosses val="autoZero"/>
        <c:crossBetween val="midCat"/>
      </c:valAx>
      <c:valAx>
        <c:axId val="15979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597905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Gas!$A$5</c:f>
              <c:strCache>
                <c:ptCount val="1"/>
                <c:pt idx="0">
                  <c:v>EU 28 countries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4.145077720207254E-2"/>
                  <c:y val="-3.7914685654748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5D-4860-942B-6087F1ED2192}"/>
                </c:ext>
              </c:extLst>
            </c:dLbl>
            <c:dLbl>
              <c:idx val="5"/>
              <c:layout>
                <c:manualLayout>
                  <c:x val="-9.2112838226827871E-3"/>
                  <c:y val="-3.3701942804220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5D-4860-942B-6087F1ED2192}"/>
                </c:ext>
              </c:extLst>
            </c:dLbl>
            <c:dLbl>
              <c:idx val="6"/>
              <c:layout>
                <c:manualLayout>
                  <c:x val="-1.6119746689694875E-2"/>
                  <c:y val="-2.9489199953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5D-4860-942B-6087F1ED219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Gas!$B$4:$K$4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Gas!$B$5:$K$5</c:f>
              <c:numCache>
                <c:formatCode>0.00</c:formatCode>
                <c:ptCount val="10"/>
                <c:pt idx="0">
                  <c:v>14.86</c:v>
                </c:pt>
                <c:pt idx="1">
                  <c:v>16.170000000000002</c:v>
                </c:pt>
                <c:pt idx="2">
                  <c:v>14.52</c:v>
                </c:pt>
                <c:pt idx="3">
                  <c:v>15.67</c:v>
                </c:pt>
                <c:pt idx="4">
                  <c:v>17.329999999999998</c:v>
                </c:pt>
                <c:pt idx="5">
                  <c:v>18.13</c:v>
                </c:pt>
                <c:pt idx="6">
                  <c:v>18.47</c:v>
                </c:pt>
                <c:pt idx="7">
                  <c:v>18.399999999999999</c:v>
                </c:pt>
                <c:pt idx="8">
                  <c:v>17.28</c:v>
                </c:pt>
                <c:pt idx="9">
                  <c:v>16.2</c:v>
                </c:pt>
              </c:numCache>
            </c:numRef>
          </c:yVal>
          <c:smooth val="0"/>
          <c:extLst>
            <c:ext xmlns:c16="http://schemas.microsoft.com/office/drawing/2014/chart" uri="{C3380CC4-5D6E-409C-BE32-E72D297353CC}">
              <c16:uniqueId val="{00000003-105D-4860-942B-6087F1ED2192}"/>
            </c:ext>
          </c:extLst>
        </c:ser>
        <c:ser>
          <c:idx val="1"/>
          <c:order val="1"/>
          <c:tx>
            <c:strRef>
              <c:f>Gas!$A$6</c:f>
              <c:strCache>
                <c:ptCount val="1"/>
                <c:pt idx="0">
                  <c:v>Lithuania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7"/>
              <c:layout>
                <c:manualLayout>
                  <c:x val="-6.9084628670120895E-3"/>
                  <c:y val="-1.26382285515827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5D-4860-942B-6087F1ED219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Gas!$B$4:$K$4</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Gas!$B$6:$K$6</c:f>
              <c:numCache>
                <c:formatCode>0.00</c:formatCode>
                <c:ptCount val="10"/>
                <c:pt idx="0">
                  <c:v>9.1470000000000002</c:v>
                </c:pt>
                <c:pt idx="1">
                  <c:v>11.7987</c:v>
                </c:pt>
                <c:pt idx="2">
                  <c:v>10.430899999999999</c:v>
                </c:pt>
                <c:pt idx="3">
                  <c:v>12.074299999999999</c:v>
                </c:pt>
                <c:pt idx="4">
                  <c:v>14.1653</c:v>
                </c:pt>
                <c:pt idx="5">
                  <c:v>16.745799999999999</c:v>
                </c:pt>
                <c:pt idx="6">
                  <c:v>15.5381</c:v>
                </c:pt>
                <c:pt idx="7">
                  <c:v>11.75</c:v>
                </c:pt>
                <c:pt idx="8">
                  <c:v>11.47</c:v>
                </c:pt>
                <c:pt idx="9">
                  <c:v>10.14</c:v>
                </c:pt>
              </c:numCache>
            </c:numRef>
          </c:yVal>
          <c:smooth val="0"/>
          <c:extLst>
            <c:ext xmlns:c16="http://schemas.microsoft.com/office/drawing/2014/chart" uri="{C3380CC4-5D6E-409C-BE32-E72D297353CC}">
              <c16:uniqueId val="{00000005-105D-4860-942B-6087F1ED2192}"/>
            </c:ext>
          </c:extLst>
        </c:ser>
        <c:dLbls>
          <c:showLegendKey val="0"/>
          <c:showVal val="0"/>
          <c:showCatName val="0"/>
          <c:showSerName val="0"/>
          <c:showPercent val="0"/>
          <c:showBubbleSize val="0"/>
        </c:dLbls>
        <c:axId val="303693824"/>
        <c:axId val="303695360"/>
      </c:scatterChart>
      <c:valAx>
        <c:axId val="30369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03695360"/>
        <c:crosses val="autoZero"/>
        <c:crossBetween val="midCat"/>
      </c:valAx>
      <c:valAx>
        <c:axId val="303695360"/>
        <c:scaling>
          <c:orientation val="minMax"/>
          <c:min val="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036938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Gas!$A$27</c:f>
              <c:strCache>
                <c:ptCount val="1"/>
                <c:pt idx="0">
                  <c:v>EU 28 countries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Gas!$B$26:$K$26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Gas!$B$27:$K$27</c:f>
              <c:numCache>
                <c:formatCode>0.00</c:formatCode>
                <c:ptCount val="10"/>
                <c:pt idx="0">
                  <c:v>8.93</c:v>
                </c:pt>
                <c:pt idx="1">
                  <c:v>9.3699999999999992</c:v>
                </c:pt>
                <c:pt idx="2">
                  <c:v>7.9</c:v>
                </c:pt>
                <c:pt idx="3">
                  <c:v>8.5299999999999994</c:v>
                </c:pt>
                <c:pt idx="4">
                  <c:v>9.58</c:v>
                </c:pt>
                <c:pt idx="5">
                  <c:v>10.54</c:v>
                </c:pt>
                <c:pt idx="6">
                  <c:v>9.98</c:v>
                </c:pt>
                <c:pt idx="7">
                  <c:v>9.19</c:v>
                </c:pt>
                <c:pt idx="8">
                  <c:v>7.64</c:v>
                </c:pt>
                <c:pt idx="9">
                  <c:v>7.11</c:v>
                </c:pt>
              </c:numCache>
            </c:numRef>
          </c:yVal>
          <c:smooth val="0"/>
          <c:extLst>
            <c:ext xmlns:c16="http://schemas.microsoft.com/office/drawing/2014/chart" uri="{C3380CC4-5D6E-409C-BE32-E72D297353CC}">
              <c16:uniqueId val="{00000000-3924-447C-A374-1341EAEDF055}"/>
            </c:ext>
          </c:extLst>
        </c:ser>
        <c:ser>
          <c:idx val="1"/>
          <c:order val="1"/>
          <c:tx>
            <c:strRef>
              <c:f>Gas!$A$28</c:f>
              <c:strCache>
                <c:ptCount val="1"/>
                <c:pt idx="0">
                  <c:v>Lithuania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0011604767020724E-2"/>
                  <c:y val="2.8762418883968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24-447C-A374-1341EAEDF055}"/>
                </c:ext>
              </c:extLst>
            </c:dLbl>
            <c:dLbl>
              <c:idx val="1"/>
              <c:layout>
                <c:manualLayout>
                  <c:x val="-4.0011604767020703E-2"/>
                  <c:y val="2.45496760334404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24-447C-A374-1341EAEDF055}"/>
                </c:ext>
              </c:extLst>
            </c:dLbl>
            <c:dLbl>
              <c:idx val="7"/>
              <c:layout>
                <c:manualLayout>
                  <c:x val="-3.5405962855679311E-2"/>
                  <c:y val="2.8762418883968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24-447C-A374-1341EAEDF055}"/>
                </c:ext>
              </c:extLst>
            </c:dLbl>
            <c:dLbl>
              <c:idx val="8"/>
              <c:layout>
                <c:manualLayout>
                  <c:x val="-3.7708783811350004E-2"/>
                  <c:y val="4.14006474355506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24-447C-A374-1341EAEDF055}"/>
                </c:ext>
              </c:extLst>
            </c:dLbl>
            <c:dLbl>
              <c:idx val="9"/>
              <c:layout>
                <c:manualLayout>
                  <c:x val="-4.2314425722691403E-2"/>
                  <c:y val="2.87624188839681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24-447C-A374-1341EAEDF05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Gas!$B$26:$K$26</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xVal>
          <c:yVal>
            <c:numRef>
              <c:f>Gas!$B$28:$K$28</c:f>
              <c:numCache>
                <c:formatCode>0.00</c:formatCode>
                <c:ptCount val="10"/>
                <c:pt idx="0">
                  <c:v>8.7871000000000006</c:v>
                </c:pt>
                <c:pt idx="1">
                  <c:v>8.7301000000000002</c:v>
                </c:pt>
                <c:pt idx="2">
                  <c:v>8.9116</c:v>
                </c:pt>
                <c:pt idx="3">
                  <c:v>9.7399000000000004</c:v>
                </c:pt>
                <c:pt idx="4">
                  <c:v>12.476800000000001</c:v>
                </c:pt>
                <c:pt idx="5">
                  <c:v>12.233499999999999</c:v>
                </c:pt>
                <c:pt idx="6">
                  <c:v>11.4979</c:v>
                </c:pt>
                <c:pt idx="7">
                  <c:v>7.79</c:v>
                </c:pt>
                <c:pt idx="8">
                  <c:v>7.45</c:v>
                </c:pt>
                <c:pt idx="9">
                  <c:v>6.7</c:v>
                </c:pt>
              </c:numCache>
            </c:numRef>
          </c:yVal>
          <c:smooth val="0"/>
          <c:extLst>
            <c:ext xmlns:c16="http://schemas.microsoft.com/office/drawing/2014/chart" uri="{C3380CC4-5D6E-409C-BE32-E72D297353CC}">
              <c16:uniqueId val="{00000006-3924-447C-A374-1341EAEDF055}"/>
            </c:ext>
          </c:extLst>
        </c:ser>
        <c:dLbls>
          <c:dLblPos val="t"/>
          <c:showLegendKey val="0"/>
          <c:showVal val="1"/>
          <c:showCatName val="0"/>
          <c:showSerName val="0"/>
          <c:showPercent val="0"/>
          <c:showBubbleSize val="0"/>
        </c:dLbls>
        <c:axId val="304142208"/>
        <c:axId val="304143744"/>
      </c:scatterChart>
      <c:valAx>
        <c:axId val="30414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04143744"/>
        <c:crosses val="autoZero"/>
        <c:crossBetween val="midCat"/>
      </c:valAx>
      <c:valAx>
        <c:axId val="304143744"/>
        <c:scaling>
          <c:orientation val="minMax"/>
          <c:max val="14"/>
          <c:min val="6"/>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041422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4950025186245659"/>
          <c:y val="2.7777777777777776E-2"/>
        </c:manualLayout>
      </c:layout>
      <c:overlay val="0"/>
      <c:txPr>
        <a:bodyPr/>
        <a:lstStyle/>
        <a:p>
          <a:pPr>
            <a:defRPr sz="1100">
              <a:latin typeface="Times New Roman" panose="02020603050405020304" pitchFamily="18" charset="0"/>
              <a:cs typeface="Times New Roman" panose="02020603050405020304" pitchFamily="18" charset="0"/>
            </a:defRPr>
          </a:pPr>
          <a:endParaRPr lang="lt-LT"/>
        </a:p>
      </c:txPr>
    </c:title>
    <c:autoTitleDeleted val="0"/>
    <c:plotArea>
      <c:layout/>
      <c:barChart>
        <c:barDir val="col"/>
        <c:grouping val="clustered"/>
        <c:varyColors val="0"/>
        <c:ser>
          <c:idx val="0"/>
          <c:order val="0"/>
          <c:tx>
            <c:strRef>
              <c:f>Lapas2!$A$37</c:f>
              <c:strCache>
                <c:ptCount val="1"/>
                <c:pt idx="0">
                  <c:v>Average import price of natural gas </c:v>
                </c:pt>
              </c:strCache>
            </c:strRef>
          </c:tx>
          <c:invertIfNegative val="0"/>
          <c:dLbls>
            <c:dLbl>
              <c:idx val="5"/>
              <c:layout>
                <c:manualLayout>
                  <c:x val="0"/>
                  <c:y val="9.25925925925923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48-416B-A7C8-8B6D2B9435D8}"/>
                </c:ext>
              </c:extLst>
            </c:dLbl>
            <c:dLbl>
              <c:idx val="8"/>
              <c:layout>
                <c:manualLayout>
                  <c:x val="0"/>
                  <c:y val="1.8518518518518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48-416B-A7C8-8B6D2B9435D8}"/>
                </c:ext>
              </c:extLst>
            </c:dLbl>
            <c:numFmt formatCode="#,##0" sourceLinked="0"/>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Lapas2!$B$36:$K$36</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Lapas2!$B$37:$K$37</c:f>
              <c:numCache>
                <c:formatCode>General</c:formatCode>
                <c:ptCount val="10"/>
                <c:pt idx="0">
                  <c:v>14.4</c:v>
                </c:pt>
                <c:pt idx="1">
                  <c:v>29.2</c:v>
                </c:pt>
                <c:pt idx="2">
                  <c:v>20.8</c:v>
                </c:pt>
                <c:pt idx="3">
                  <c:v>24</c:v>
                </c:pt>
                <c:pt idx="4">
                  <c:v>30.1</c:v>
                </c:pt>
                <c:pt idx="5">
                  <c:v>36.5</c:v>
                </c:pt>
                <c:pt idx="6">
                  <c:v>34.6</c:v>
                </c:pt>
                <c:pt idx="7">
                  <c:v>30.5</c:v>
                </c:pt>
                <c:pt idx="8">
                  <c:v>22.3</c:v>
                </c:pt>
                <c:pt idx="9">
                  <c:v>18.2</c:v>
                </c:pt>
              </c:numCache>
            </c:numRef>
          </c:val>
          <c:extLst>
            <c:ext xmlns:c16="http://schemas.microsoft.com/office/drawing/2014/chart" uri="{C3380CC4-5D6E-409C-BE32-E72D297353CC}">
              <c16:uniqueId val="{00000002-7A48-416B-A7C8-8B6D2B9435D8}"/>
            </c:ext>
          </c:extLst>
        </c:ser>
        <c:dLbls>
          <c:dLblPos val="outEnd"/>
          <c:showLegendKey val="0"/>
          <c:showVal val="1"/>
          <c:showCatName val="0"/>
          <c:showSerName val="0"/>
          <c:showPercent val="0"/>
          <c:showBubbleSize val="0"/>
        </c:dLbls>
        <c:gapWidth val="150"/>
        <c:axId val="303967616"/>
        <c:axId val="303970560"/>
      </c:barChart>
      <c:catAx>
        <c:axId val="30396761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303970560"/>
        <c:crosses val="autoZero"/>
        <c:auto val="1"/>
        <c:lblAlgn val="ctr"/>
        <c:lblOffset val="100"/>
        <c:noMultiLvlLbl val="0"/>
      </c:catAx>
      <c:valAx>
        <c:axId val="303970560"/>
        <c:scaling>
          <c:orientation val="minMax"/>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en-US" sz="1000" b="1" i="0" u="none" strike="noStrike" baseline="0">
                    <a:effectLst/>
                    <a:latin typeface="Times New Roman" panose="02020603050405020304" pitchFamily="18" charset="0"/>
                    <a:cs typeface="Times New Roman" panose="02020603050405020304" pitchFamily="18" charset="0"/>
                  </a:rPr>
                  <a:t>EUR/MWh</a:t>
                </a:r>
                <a:endParaRPr lang="en-US">
                  <a:latin typeface="Times New Roman" panose="02020603050405020304" pitchFamily="18" charset="0"/>
                  <a:cs typeface="Times New Roman" panose="02020603050405020304" pitchFamily="18" charset="0"/>
                </a:endParaRPr>
              </a:p>
            </c:rich>
          </c:tx>
          <c:layout>
            <c:manualLayout>
              <c:xMode val="edge"/>
              <c:yMode val="edge"/>
              <c:x val="1.6666666666666666E-2"/>
              <c:y val="0.29750218722659666"/>
            </c:manualLayout>
          </c:layout>
          <c:overlay val="0"/>
        </c:title>
        <c:numFmt formatCode="General" sourceLinked="1"/>
        <c:majorTickMark val="out"/>
        <c:minorTickMark val="none"/>
        <c:tickLblPos val="nextTo"/>
        <c:crossAx val="303967616"/>
        <c:crosses val="autoZero"/>
        <c:crossBetween val="between"/>
      </c:valAx>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Gas!$A$48</c:f>
              <c:strCache>
                <c:ptCount val="1"/>
                <c:pt idx="0">
                  <c:v>Natural gas price</c:v>
                </c:pt>
              </c:strCache>
            </c:strRef>
          </c:tx>
          <c:spPr>
            <a:solidFill>
              <a:schemeClr val="accent1"/>
            </a:solidFill>
            <a:ln>
              <a:noFill/>
            </a:ln>
            <a:effectLst/>
          </c:spPr>
          <c:invertIfNegative val="0"/>
          <c:dLbls>
            <c:dLbl>
              <c:idx val="0"/>
              <c:layout>
                <c:manualLayout>
                  <c:x val="3.347630505282979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CD38-4988-A4DA-B9244C6DDEC1}"/>
                </c:ext>
              </c:extLst>
            </c:dLbl>
            <c:dLbl>
              <c:idx val="1"/>
              <c:layout>
                <c:manualLayout>
                  <c:x val="3.347630505282979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CD38-4988-A4DA-B9244C6DDEC1}"/>
                </c:ext>
              </c:extLst>
            </c:dLbl>
            <c:dLbl>
              <c:idx val="2"/>
              <c:layout>
                <c:manualLayout>
                  <c:x val="3.347630505282979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CD38-4988-A4DA-B9244C6DDEC1}"/>
                </c:ext>
              </c:extLst>
            </c:dLbl>
            <c:dLbl>
              <c:idx val="3"/>
              <c:layout>
                <c:manualLayout>
                  <c:x val="3.556857411863158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CD38-4988-A4DA-B9244C6DDEC1}"/>
                </c:ext>
              </c:extLst>
            </c:dLbl>
            <c:dLbl>
              <c:idx val="4"/>
              <c:layout>
                <c:manualLayout>
                  <c:x val="3.347630505282979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CD38-4988-A4DA-B9244C6DDEC1}"/>
                </c:ext>
              </c:extLst>
            </c:dLbl>
            <c:dLbl>
              <c:idx val="5"/>
              <c:layout>
                <c:manualLayout>
                  <c:x val="3.5568574118631735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D38-4988-A4DA-B9244C6DDEC1}"/>
                </c:ext>
              </c:extLst>
            </c:dLbl>
            <c:dLbl>
              <c:idx val="6"/>
              <c:layout>
                <c:manualLayout>
                  <c:x val="3.347630505282964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D38-4988-A4DA-B9244C6DDEC1}"/>
                </c:ext>
              </c:extLst>
            </c:dLbl>
            <c:dLbl>
              <c:idx val="7"/>
              <c:layout>
                <c:manualLayout>
                  <c:x val="3.766084318443351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D38-4988-A4DA-B9244C6DDEC1}"/>
                </c:ext>
              </c:extLst>
            </c:dLbl>
            <c:dLbl>
              <c:idx val="8"/>
              <c:layout>
                <c:manualLayout>
                  <c:x val="3.3476305052829794E-2"/>
                  <c:y val="4.629629629629629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D38-4988-A4DA-B9244C6DDEC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Gas!$B$47:$J$47</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Gas!$B$48:$J$48</c:f>
              <c:numCache>
                <c:formatCode>#,##0.0</c:formatCode>
                <c:ptCount val="9"/>
                <c:pt idx="0">
                  <c:v>16.3</c:v>
                </c:pt>
                <c:pt idx="1">
                  <c:v>19.100000000000001</c:v>
                </c:pt>
                <c:pt idx="2">
                  <c:v>19.100000000000001</c:v>
                </c:pt>
                <c:pt idx="3">
                  <c:v>19.100000000000001</c:v>
                </c:pt>
                <c:pt idx="4">
                  <c:v>19.100000000000001</c:v>
                </c:pt>
                <c:pt idx="5">
                  <c:v>19.100000000000001</c:v>
                </c:pt>
                <c:pt idx="6">
                  <c:v>19.100000000000001</c:v>
                </c:pt>
                <c:pt idx="7">
                  <c:v>19.100000000000001</c:v>
                </c:pt>
                <c:pt idx="8">
                  <c:v>19.100000000000001</c:v>
                </c:pt>
              </c:numCache>
            </c:numRef>
          </c:val>
          <c:extLst>
            <c:ext xmlns:c16="http://schemas.microsoft.com/office/drawing/2014/chart" uri="{C3380CC4-5D6E-409C-BE32-E72D297353CC}">
              <c16:uniqueId val="{00000000-CD38-4988-A4DA-B9244C6DDEC1}"/>
            </c:ext>
          </c:extLst>
        </c:ser>
        <c:ser>
          <c:idx val="1"/>
          <c:order val="1"/>
          <c:tx>
            <c:strRef>
              <c:f>Gas!$A$49</c:f>
              <c:strCache>
                <c:ptCount val="1"/>
                <c:pt idx="0">
                  <c:v>Distribution service costs</c:v>
                </c:pt>
              </c:strCache>
            </c:strRef>
          </c:tx>
          <c:spPr>
            <a:solidFill>
              <a:schemeClr val="accent2"/>
            </a:solidFill>
            <a:ln>
              <a:noFill/>
            </a:ln>
            <a:effectLst/>
          </c:spPr>
          <c:invertIfNegative val="0"/>
          <c:dLbls>
            <c:dLbl>
              <c:idx val="0"/>
              <c:layout>
                <c:manualLayout>
                  <c:x val="3.3476305052829794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D38-4988-A4DA-B9244C6DDEC1}"/>
                </c:ext>
              </c:extLst>
            </c:dLbl>
            <c:dLbl>
              <c:idx val="1"/>
              <c:layout>
                <c:manualLayout>
                  <c:x val="3.13840359870279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D38-4988-A4DA-B9244C6DDEC1}"/>
                </c:ext>
              </c:extLst>
            </c:dLbl>
            <c:dLbl>
              <c:idx val="2"/>
              <c:layout>
                <c:manualLayout>
                  <c:x val="3.766084318443355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D38-4988-A4DA-B9244C6DDEC1}"/>
                </c:ext>
              </c:extLst>
            </c:dLbl>
            <c:dLbl>
              <c:idx val="3"/>
              <c:layout>
                <c:manualLayout>
                  <c:x val="3.55685741186315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D38-4988-A4DA-B9244C6DDEC1}"/>
                </c:ext>
              </c:extLst>
            </c:dLbl>
            <c:dLbl>
              <c:idx val="4"/>
              <c:layout>
                <c:manualLayout>
                  <c:x val="3.13840359870279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D38-4988-A4DA-B9244C6DDEC1}"/>
                </c:ext>
              </c:extLst>
            </c:dLbl>
            <c:dLbl>
              <c:idx val="5"/>
              <c:layout>
                <c:manualLayout>
                  <c:x val="3.13840359870280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D38-4988-A4DA-B9244C6DDEC1}"/>
                </c:ext>
              </c:extLst>
            </c:dLbl>
            <c:dLbl>
              <c:idx val="6"/>
              <c:layout>
                <c:manualLayout>
                  <c:x val="3.347630505282964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D38-4988-A4DA-B9244C6DDEC1}"/>
                </c:ext>
              </c:extLst>
            </c:dLbl>
            <c:dLbl>
              <c:idx val="7"/>
              <c:layout>
                <c:manualLayout>
                  <c:x val="3.34763050528297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D38-4988-A4DA-B9244C6DDEC1}"/>
                </c:ext>
              </c:extLst>
            </c:dLbl>
            <c:dLbl>
              <c:idx val="8"/>
              <c:layout>
                <c:manualLayout>
                  <c:x val="2.92917669212260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D38-4988-A4DA-B9244C6DDEC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Gas!$B$47:$J$47</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Gas!$B$49:$J$49</c:f>
              <c:numCache>
                <c:formatCode>#,##0.0</c:formatCode>
                <c:ptCount val="9"/>
                <c:pt idx="0">
                  <c:v>7.3</c:v>
                </c:pt>
                <c:pt idx="1">
                  <c:v>5.3</c:v>
                </c:pt>
                <c:pt idx="2">
                  <c:v>5.3</c:v>
                </c:pt>
                <c:pt idx="3">
                  <c:v>5.3</c:v>
                </c:pt>
                <c:pt idx="4">
                  <c:v>6</c:v>
                </c:pt>
                <c:pt idx="5">
                  <c:v>6.5</c:v>
                </c:pt>
                <c:pt idx="6">
                  <c:v>6.7</c:v>
                </c:pt>
                <c:pt idx="7">
                  <c:v>4.8</c:v>
                </c:pt>
                <c:pt idx="8">
                  <c:v>5.6</c:v>
                </c:pt>
              </c:numCache>
            </c:numRef>
          </c:val>
          <c:extLst>
            <c:ext xmlns:c16="http://schemas.microsoft.com/office/drawing/2014/chart" uri="{C3380CC4-5D6E-409C-BE32-E72D297353CC}">
              <c16:uniqueId val="{00000001-CD38-4988-A4DA-B9244C6DDEC1}"/>
            </c:ext>
          </c:extLst>
        </c:ser>
        <c:ser>
          <c:idx val="2"/>
          <c:order val="2"/>
          <c:tx>
            <c:strRef>
              <c:f>Gas!$A$50</c:f>
              <c:strCache>
                <c:ptCount val="1"/>
                <c:pt idx="0">
                  <c:v>LNGT component</c:v>
                </c:pt>
              </c:strCache>
            </c:strRef>
          </c:tx>
          <c:spPr>
            <a:solidFill>
              <a:schemeClr val="accent3"/>
            </a:solidFill>
            <a:ln>
              <a:noFill/>
            </a:ln>
            <a:effectLst/>
          </c:spPr>
          <c:invertIfNegative val="0"/>
          <c:dLbls>
            <c:dLbl>
              <c:idx val="0"/>
              <c:layout>
                <c:manualLayout>
                  <c:x val="2.92917669212260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CD38-4988-A4DA-B9244C6DDEC1}"/>
                </c:ext>
              </c:extLst>
            </c:dLbl>
            <c:dLbl>
              <c:idx val="1"/>
              <c:layout>
                <c:manualLayout>
                  <c:x val="2.92917669212260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CD38-4988-A4DA-B9244C6DDEC1}"/>
                </c:ext>
              </c:extLst>
            </c:dLbl>
            <c:dLbl>
              <c:idx val="2"/>
              <c:layout>
                <c:manualLayout>
                  <c:x val="3.1384035987027929E-2"/>
                  <c:y val="4.62962962962960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CD38-4988-A4DA-B9244C6DDEC1}"/>
                </c:ext>
              </c:extLst>
            </c:dLbl>
            <c:dLbl>
              <c:idx val="3"/>
              <c:layout>
                <c:manualLayout>
                  <c:x val="3.55685741186315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CD38-4988-A4DA-B9244C6DDEC1}"/>
                </c:ext>
              </c:extLst>
            </c:dLbl>
            <c:dLbl>
              <c:idx val="4"/>
              <c:layout>
                <c:manualLayout>
                  <c:x val="3.34763050528297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CD38-4988-A4DA-B9244C6DDEC1}"/>
                </c:ext>
              </c:extLst>
            </c:dLbl>
            <c:dLbl>
              <c:idx val="5"/>
              <c:layout>
                <c:manualLayout>
                  <c:x val="3.5568574118631735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CD38-4988-A4DA-B9244C6DDEC1}"/>
                </c:ext>
              </c:extLst>
            </c:dLbl>
            <c:dLbl>
              <c:idx val="6"/>
              <c:layout>
                <c:manualLayout>
                  <c:x val="3.1384035987027929E-2"/>
                  <c:y val="-2.12188906800333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CD38-4988-A4DA-B9244C6DDEC1}"/>
                </c:ext>
              </c:extLst>
            </c:dLbl>
            <c:dLbl>
              <c:idx val="7"/>
              <c:layout>
                <c:manualLayout>
                  <c:x val="3.5568574118631659E-2"/>
                  <c:y val="-2.12188906800333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CD38-4988-A4DA-B9244C6DDEC1}"/>
                </c:ext>
              </c:extLst>
            </c:dLbl>
            <c:dLbl>
              <c:idx val="8"/>
              <c:layout>
                <c:manualLayout>
                  <c:x val="3.34763050528297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CD38-4988-A4DA-B9244C6DDEC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Gas!$B$47:$J$47</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Gas!$B$50:$J$50</c:f>
              <c:numCache>
                <c:formatCode>#,##0.0</c:formatCode>
                <c:ptCount val="9"/>
                <c:pt idx="0">
                  <c:v>4</c:v>
                </c:pt>
                <c:pt idx="1">
                  <c:v>4.7</c:v>
                </c:pt>
                <c:pt idx="2">
                  <c:v>2.9</c:v>
                </c:pt>
                <c:pt idx="3">
                  <c:v>2.9</c:v>
                </c:pt>
                <c:pt idx="4">
                  <c:v>2.9</c:v>
                </c:pt>
                <c:pt idx="5">
                  <c:v>2.9</c:v>
                </c:pt>
                <c:pt idx="6">
                  <c:v>2.9</c:v>
                </c:pt>
                <c:pt idx="7">
                  <c:v>2.8</c:v>
                </c:pt>
                <c:pt idx="8">
                  <c:v>1.9</c:v>
                </c:pt>
              </c:numCache>
            </c:numRef>
          </c:val>
          <c:extLst>
            <c:ext xmlns:c16="http://schemas.microsoft.com/office/drawing/2014/chart" uri="{C3380CC4-5D6E-409C-BE32-E72D297353CC}">
              <c16:uniqueId val="{00000002-CD38-4988-A4DA-B9244C6DDEC1}"/>
            </c:ext>
          </c:extLst>
        </c:ser>
        <c:ser>
          <c:idx val="3"/>
          <c:order val="3"/>
          <c:tx>
            <c:strRef>
              <c:f>Gas!$A$51</c:f>
              <c:strCache>
                <c:ptCount val="1"/>
                <c:pt idx="0">
                  <c:v>Transmission costs for Lithunian consumers</c:v>
                </c:pt>
              </c:strCache>
            </c:strRef>
          </c:tx>
          <c:spPr>
            <a:solidFill>
              <a:schemeClr val="accent4"/>
            </a:solidFill>
            <a:ln>
              <a:noFill/>
            </a:ln>
            <a:effectLst/>
          </c:spPr>
          <c:invertIfNegative val="0"/>
          <c:dLbls>
            <c:dLbl>
              <c:idx val="0"/>
              <c:layout>
                <c:manualLayout>
                  <c:x val="3.13840359870279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CD38-4988-A4DA-B9244C6DDEC1}"/>
                </c:ext>
              </c:extLst>
            </c:dLbl>
            <c:dLbl>
              <c:idx val="1"/>
              <c:layout>
                <c:manualLayout>
                  <c:x val="3.13840359870279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CD38-4988-A4DA-B9244C6DDEC1}"/>
                </c:ext>
              </c:extLst>
            </c:dLbl>
            <c:dLbl>
              <c:idx val="2"/>
              <c:layout>
                <c:manualLayout>
                  <c:x val="3.34763050528297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CD38-4988-A4DA-B9244C6DDEC1}"/>
                </c:ext>
              </c:extLst>
            </c:dLbl>
            <c:dLbl>
              <c:idx val="3"/>
              <c:layout>
                <c:manualLayout>
                  <c:x val="3.766084318443344E-2"/>
                  <c:y val="-4.62962962962965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CD38-4988-A4DA-B9244C6DDEC1}"/>
                </c:ext>
              </c:extLst>
            </c:dLbl>
            <c:dLbl>
              <c:idx val="4"/>
              <c:layout>
                <c:manualLayout>
                  <c:x val="3.3476305052829794E-2"/>
                  <c:y val="-1.3888888888888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CD38-4988-A4DA-B9244C6DDEC1}"/>
                </c:ext>
              </c:extLst>
            </c:dLbl>
            <c:dLbl>
              <c:idx val="5"/>
              <c:layout>
                <c:manualLayout>
                  <c:x val="3.3476305052829794E-2"/>
                  <c:y val="-1.38888888888889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CD38-4988-A4DA-B9244C6DDEC1}"/>
                </c:ext>
              </c:extLst>
            </c:dLbl>
            <c:dLbl>
              <c:idx val="6"/>
              <c:layout>
                <c:manualLayout>
                  <c:x val="2.9291766921226068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CD38-4988-A4DA-B9244C6DDEC1}"/>
                </c:ext>
              </c:extLst>
            </c:dLbl>
            <c:dLbl>
              <c:idx val="7"/>
              <c:layout>
                <c:manualLayout>
                  <c:x val="3.3476305052829794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CD38-4988-A4DA-B9244C6DDEC1}"/>
                </c:ext>
              </c:extLst>
            </c:dLbl>
            <c:dLbl>
              <c:idx val="8"/>
              <c:layout>
                <c:manualLayout>
                  <c:x val="3.1384035987027929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CD38-4988-A4DA-B9244C6DDEC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Gas!$B$47:$J$47</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Gas!$B$51:$J$51</c:f>
              <c:numCache>
                <c:formatCode>#,##0.0</c:formatCode>
                <c:ptCount val="9"/>
                <c:pt idx="0">
                  <c:v>1.8</c:v>
                </c:pt>
                <c:pt idx="1">
                  <c:v>1.6</c:v>
                </c:pt>
                <c:pt idx="2">
                  <c:v>1.8</c:v>
                </c:pt>
                <c:pt idx="3">
                  <c:v>1.8</c:v>
                </c:pt>
                <c:pt idx="4">
                  <c:v>1.8</c:v>
                </c:pt>
                <c:pt idx="5">
                  <c:v>1.8</c:v>
                </c:pt>
                <c:pt idx="6">
                  <c:v>1.9</c:v>
                </c:pt>
                <c:pt idx="7">
                  <c:v>1.9</c:v>
                </c:pt>
                <c:pt idx="8">
                  <c:v>1.9</c:v>
                </c:pt>
              </c:numCache>
            </c:numRef>
          </c:val>
          <c:extLst>
            <c:ext xmlns:c16="http://schemas.microsoft.com/office/drawing/2014/chart" uri="{C3380CC4-5D6E-409C-BE32-E72D297353CC}">
              <c16:uniqueId val="{00000003-CD38-4988-A4DA-B9244C6DDEC1}"/>
            </c:ext>
          </c:extLst>
        </c:ser>
        <c:dLbls>
          <c:showLegendKey val="0"/>
          <c:showVal val="1"/>
          <c:showCatName val="0"/>
          <c:showSerName val="0"/>
          <c:showPercent val="0"/>
          <c:showBubbleSize val="0"/>
        </c:dLbls>
        <c:gapWidth val="219"/>
        <c:overlap val="100"/>
        <c:axId val="304391296"/>
        <c:axId val="304392448"/>
      </c:barChart>
      <c:lineChart>
        <c:grouping val="standard"/>
        <c:varyColors val="0"/>
        <c:ser>
          <c:idx val="4"/>
          <c:order val="4"/>
          <c:tx>
            <c:strRef>
              <c:f>Gas!$A$52</c:f>
              <c:strCache>
                <c:ptCount val="1"/>
                <c:pt idx="0">
                  <c:v>Total price</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Gas!$B$47:$J$47</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Gas!$B$52:$J$52</c:f>
              <c:numCache>
                <c:formatCode>General</c:formatCode>
                <c:ptCount val="9"/>
                <c:pt idx="0">
                  <c:v>29.400000000000002</c:v>
                </c:pt>
                <c:pt idx="1">
                  <c:v>30.700000000000003</c:v>
                </c:pt>
                <c:pt idx="2">
                  <c:v>29.1</c:v>
                </c:pt>
                <c:pt idx="3">
                  <c:v>29.1</c:v>
                </c:pt>
                <c:pt idx="4">
                  <c:v>29.8</c:v>
                </c:pt>
                <c:pt idx="5">
                  <c:v>30.3</c:v>
                </c:pt>
                <c:pt idx="6">
                  <c:v>30.599999999999998</c:v>
                </c:pt>
                <c:pt idx="7">
                  <c:v>28.6</c:v>
                </c:pt>
                <c:pt idx="8">
                  <c:v>28.5</c:v>
                </c:pt>
              </c:numCache>
            </c:numRef>
          </c:val>
          <c:smooth val="0"/>
          <c:extLst>
            <c:ext xmlns:c16="http://schemas.microsoft.com/office/drawing/2014/chart" uri="{C3380CC4-5D6E-409C-BE32-E72D297353CC}">
              <c16:uniqueId val="{00000004-CD38-4988-A4DA-B9244C6DDEC1}"/>
            </c:ext>
          </c:extLst>
        </c:ser>
        <c:dLbls>
          <c:showLegendKey val="0"/>
          <c:showVal val="1"/>
          <c:showCatName val="0"/>
          <c:showSerName val="0"/>
          <c:showPercent val="0"/>
          <c:showBubbleSize val="0"/>
        </c:dLbls>
        <c:marker val="1"/>
        <c:smooth val="0"/>
        <c:axId val="304391296"/>
        <c:axId val="304392448"/>
      </c:lineChart>
      <c:catAx>
        <c:axId val="30439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04392448"/>
        <c:crosses val="autoZero"/>
        <c:auto val="1"/>
        <c:lblAlgn val="ctr"/>
        <c:lblOffset val="100"/>
        <c:noMultiLvlLbl val="0"/>
      </c:catAx>
      <c:valAx>
        <c:axId val="3043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0439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EVs!$A$4</c:f>
              <c:strCache>
                <c:ptCount val="1"/>
                <c:pt idx="0">
                  <c:v>Electric vehicles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EVs!$B$3:$I$3</c:f>
              <c:strCache>
                <c:ptCount val="8"/>
                <c:pt idx="0">
                  <c:v>31.12.2014</c:v>
                </c:pt>
                <c:pt idx="1">
                  <c:v>31.12.2015</c:v>
                </c:pt>
                <c:pt idx="2">
                  <c:v>14.11.2016</c:v>
                </c:pt>
                <c:pt idx="3">
                  <c:v>01.10.2017</c:v>
                </c:pt>
                <c:pt idx="4">
                  <c:v>01.11.2017</c:v>
                </c:pt>
                <c:pt idx="5">
                  <c:v>01.12.2017</c:v>
                </c:pt>
                <c:pt idx="6">
                  <c:v>01.01.2018</c:v>
                </c:pt>
                <c:pt idx="7">
                  <c:v>2022.12.31f</c:v>
                </c:pt>
              </c:strCache>
            </c:strRef>
          </c:cat>
          <c:val>
            <c:numRef>
              <c:f>EVs!$B$4:$I$4</c:f>
              <c:numCache>
                <c:formatCode>General</c:formatCode>
                <c:ptCount val="8"/>
                <c:pt idx="0">
                  <c:v>63</c:v>
                </c:pt>
                <c:pt idx="1">
                  <c:v>159</c:v>
                </c:pt>
                <c:pt idx="2">
                  <c:v>337</c:v>
                </c:pt>
                <c:pt idx="3">
                  <c:v>574</c:v>
                </c:pt>
                <c:pt idx="4">
                  <c:v>589</c:v>
                </c:pt>
                <c:pt idx="5">
                  <c:v>620</c:v>
                </c:pt>
                <c:pt idx="6">
                  <c:v>631</c:v>
                </c:pt>
                <c:pt idx="7">
                  <c:v>4600</c:v>
                </c:pt>
              </c:numCache>
            </c:numRef>
          </c:val>
          <c:extLst>
            <c:ext xmlns:c16="http://schemas.microsoft.com/office/drawing/2014/chart" uri="{C3380CC4-5D6E-409C-BE32-E72D297353CC}">
              <c16:uniqueId val="{00000000-F7A0-4B0D-A7D9-31842A168ECD}"/>
            </c:ext>
          </c:extLst>
        </c:ser>
        <c:ser>
          <c:idx val="1"/>
          <c:order val="1"/>
          <c:tx>
            <c:strRef>
              <c:f>EVs!$A$5</c:f>
              <c:strCache>
                <c:ptCount val="1"/>
                <c:pt idx="0">
                  <c:v>Hybrids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EVs!$B$3:$I$3</c:f>
              <c:strCache>
                <c:ptCount val="8"/>
                <c:pt idx="0">
                  <c:v>31.12.2014</c:v>
                </c:pt>
                <c:pt idx="1">
                  <c:v>31.12.2015</c:v>
                </c:pt>
                <c:pt idx="2">
                  <c:v>14.11.2016</c:v>
                </c:pt>
                <c:pt idx="3">
                  <c:v>01.10.2017</c:v>
                </c:pt>
                <c:pt idx="4">
                  <c:v>01.11.2017</c:v>
                </c:pt>
                <c:pt idx="5">
                  <c:v>01.12.2017</c:v>
                </c:pt>
                <c:pt idx="6">
                  <c:v>01.01.2018</c:v>
                </c:pt>
                <c:pt idx="7">
                  <c:v>2022.12.31f</c:v>
                </c:pt>
              </c:strCache>
            </c:strRef>
          </c:cat>
          <c:val>
            <c:numRef>
              <c:f>EVs!$B$5:$I$5</c:f>
              <c:numCache>
                <c:formatCode>General</c:formatCode>
                <c:ptCount val="8"/>
                <c:pt idx="0">
                  <c:v>1677</c:v>
                </c:pt>
                <c:pt idx="1">
                  <c:v>2434</c:v>
                </c:pt>
                <c:pt idx="2">
                  <c:v>3560</c:v>
                </c:pt>
                <c:pt idx="3">
                  <c:v>7572</c:v>
                </c:pt>
                <c:pt idx="4">
                  <c:v>7678</c:v>
                </c:pt>
                <c:pt idx="5">
                  <c:v>7926</c:v>
                </c:pt>
                <c:pt idx="6">
                  <c:v>8117</c:v>
                </c:pt>
              </c:numCache>
            </c:numRef>
          </c:val>
          <c:extLst>
            <c:ext xmlns:c16="http://schemas.microsoft.com/office/drawing/2014/chart" uri="{C3380CC4-5D6E-409C-BE32-E72D297353CC}">
              <c16:uniqueId val="{00000001-F7A0-4B0D-A7D9-31842A168ECD}"/>
            </c:ext>
          </c:extLst>
        </c:ser>
        <c:dLbls>
          <c:showLegendKey val="0"/>
          <c:showVal val="1"/>
          <c:showCatName val="0"/>
          <c:showSerName val="0"/>
          <c:showPercent val="0"/>
          <c:showBubbleSize val="0"/>
        </c:dLbls>
        <c:gapWidth val="219"/>
        <c:axId val="305009024"/>
        <c:axId val="305010560"/>
      </c:barChart>
      <c:catAx>
        <c:axId val="30500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05010560"/>
        <c:crosses val="autoZero"/>
        <c:auto val="1"/>
        <c:lblAlgn val="ctr"/>
        <c:lblOffset val="100"/>
        <c:noMultiLvlLbl val="0"/>
      </c:catAx>
      <c:valAx>
        <c:axId val="30501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a:t>
                </a:r>
                <a:r>
                  <a:rPr lang="lt-LT"/>
                  <a:t>lectric vehicles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0500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RES!$A$3</c:f>
              <c:strCache>
                <c:ptCount val="1"/>
                <c:pt idx="0">
                  <c:v>Final energy consumption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RES!$B$2:$D$2</c:f>
              <c:numCache>
                <c:formatCode>General</c:formatCode>
                <c:ptCount val="3"/>
                <c:pt idx="0">
                  <c:v>2020</c:v>
                </c:pt>
                <c:pt idx="1">
                  <c:v>2025</c:v>
                </c:pt>
                <c:pt idx="2">
                  <c:v>2030</c:v>
                </c:pt>
              </c:numCache>
            </c:numRef>
          </c:cat>
          <c:val>
            <c:numRef>
              <c:f>RES!$B$3:$D$3</c:f>
              <c:numCache>
                <c:formatCode>General</c:formatCode>
                <c:ptCount val="3"/>
                <c:pt idx="0">
                  <c:v>964</c:v>
                </c:pt>
                <c:pt idx="1">
                  <c:v>1060</c:v>
                </c:pt>
                <c:pt idx="2">
                  <c:v>1156</c:v>
                </c:pt>
              </c:numCache>
            </c:numRef>
          </c:val>
          <c:extLst>
            <c:ext xmlns:c16="http://schemas.microsoft.com/office/drawing/2014/chart" uri="{C3380CC4-5D6E-409C-BE32-E72D297353CC}">
              <c16:uniqueId val="{00000000-F523-45FE-84CB-0C6F54C3298E}"/>
            </c:ext>
          </c:extLst>
        </c:ser>
        <c:ser>
          <c:idx val="1"/>
          <c:order val="1"/>
          <c:tx>
            <c:strRef>
              <c:f>RES!$A$4</c:f>
              <c:strCache>
                <c:ptCount val="1"/>
                <c:pt idx="0">
                  <c:v>Hydro energy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RES!$B$2:$D$2</c:f>
              <c:numCache>
                <c:formatCode>General</c:formatCode>
                <c:ptCount val="3"/>
                <c:pt idx="0">
                  <c:v>2020</c:v>
                </c:pt>
                <c:pt idx="1">
                  <c:v>2025</c:v>
                </c:pt>
                <c:pt idx="2">
                  <c:v>2030</c:v>
                </c:pt>
              </c:numCache>
            </c:numRef>
          </c:cat>
          <c:val>
            <c:numRef>
              <c:f>RES!$B$4:$D$4</c:f>
              <c:numCache>
                <c:formatCode>General</c:formatCode>
                <c:ptCount val="3"/>
                <c:pt idx="0">
                  <c:v>50</c:v>
                </c:pt>
                <c:pt idx="1">
                  <c:v>50</c:v>
                </c:pt>
                <c:pt idx="2">
                  <c:v>50</c:v>
                </c:pt>
              </c:numCache>
            </c:numRef>
          </c:val>
          <c:extLst>
            <c:ext xmlns:c16="http://schemas.microsoft.com/office/drawing/2014/chart" uri="{C3380CC4-5D6E-409C-BE32-E72D297353CC}">
              <c16:uniqueId val="{00000001-F523-45FE-84CB-0C6F54C3298E}"/>
            </c:ext>
          </c:extLst>
        </c:ser>
        <c:ser>
          <c:idx val="2"/>
          <c:order val="2"/>
          <c:tx>
            <c:strRef>
              <c:f>RES!$A$5</c:f>
              <c:strCache>
                <c:ptCount val="1"/>
                <c:pt idx="0">
                  <c:v>Solar energy</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RES!$B$2:$D$2</c:f>
              <c:numCache>
                <c:formatCode>General</c:formatCode>
                <c:ptCount val="3"/>
                <c:pt idx="0">
                  <c:v>2020</c:v>
                </c:pt>
                <c:pt idx="1">
                  <c:v>2025</c:v>
                </c:pt>
                <c:pt idx="2">
                  <c:v>2030</c:v>
                </c:pt>
              </c:numCache>
            </c:numRef>
          </c:cat>
          <c:val>
            <c:numRef>
              <c:f>RES!$B$5:$D$5</c:f>
              <c:numCache>
                <c:formatCode>General</c:formatCode>
                <c:ptCount val="3"/>
                <c:pt idx="0">
                  <c:v>17</c:v>
                </c:pt>
                <c:pt idx="1">
                  <c:v>76</c:v>
                </c:pt>
                <c:pt idx="2">
                  <c:v>135</c:v>
                </c:pt>
              </c:numCache>
            </c:numRef>
          </c:val>
          <c:extLst>
            <c:ext xmlns:c16="http://schemas.microsoft.com/office/drawing/2014/chart" uri="{C3380CC4-5D6E-409C-BE32-E72D297353CC}">
              <c16:uniqueId val="{00000002-F523-45FE-84CB-0C6F54C3298E}"/>
            </c:ext>
          </c:extLst>
        </c:ser>
        <c:ser>
          <c:idx val="3"/>
          <c:order val="3"/>
          <c:tx>
            <c:strRef>
              <c:f>RES!$A$6</c:f>
              <c:strCache>
                <c:ptCount val="1"/>
                <c:pt idx="0">
                  <c:v>Wind energy</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RES!$B$2:$D$2</c:f>
              <c:numCache>
                <c:formatCode>General</c:formatCode>
                <c:ptCount val="3"/>
                <c:pt idx="0">
                  <c:v>2020</c:v>
                </c:pt>
                <c:pt idx="1">
                  <c:v>2025</c:v>
                </c:pt>
                <c:pt idx="2">
                  <c:v>2030</c:v>
                </c:pt>
              </c:numCache>
            </c:numRef>
          </c:cat>
          <c:val>
            <c:numRef>
              <c:f>RES!$B$6:$D$6</c:f>
              <c:numCache>
                <c:formatCode>General</c:formatCode>
                <c:ptCount val="3"/>
                <c:pt idx="0">
                  <c:v>112</c:v>
                </c:pt>
                <c:pt idx="1">
                  <c:v>211</c:v>
                </c:pt>
                <c:pt idx="2">
                  <c:v>31</c:v>
                </c:pt>
              </c:numCache>
            </c:numRef>
          </c:val>
          <c:extLst>
            <c:ext xmlns:c16="http://schemas.microsoft.com/office/drawing/2014/chart" uri="{C3380CC4-5D6E-409C-BE32-E72D297353CC}">
              <c16:uniqueId val="{00000003-F523-45FE-84CB-0C6F54C3298E}"/>
            </c:ext>
          </c:extLst>
        </c:ser>
        <c:ser>
          <c:idx val="4"/>
          <c:order val="4"/>
          <c:tx>
            <c:strRef>
              <c:f>RES!$A$7</c:f>
              <c:strCache>
                <c:ptCount val="1"/>
                <c:pt idx="0">
                  <c:v>Biogas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RES!$B$2:$D$2</c:f>
              <c:numCache>
                <c:formatCode>General</c:formatCode>
                <c:ptCount val="3"/>
                <c:pt idx="0">
                  <c:v>2020</c:v>
                </c:pt>
                <c:pt idx="1">
                  <c:v>2025</c:v>
                </c:pt>
                <c:pt idx="2">
                  <c:v>2030</c:v>
                </c:pt>
              </c:numCache>
            </c:numRef>
          </c:cat>
          <c:val>
            <c:numRef>
              <c:f>RES!$B$7:$D$7</c:f>
              <c:numCache>
                <c:formatCode>General</c:formatCode>
                <c:ptCount val="3"/>
                <c:pt idx="0">
                  <c:v>13</c:v>
                </c:pt>
                <c:pt idx="1">
                  <c:v>11</c:v>
                </c:pt>
                <c:pt idx="2">
                  <c:v>9</c:v>
                </c:pt>
              </c:numCache>
            </c:numRef>
          </c:val>
          <c:extLst>
            <c:ext xmlns:c16="http://schemas.microsoft.com/office/drawing/2014/chart" uri="{C3380CC4-5D6E-409C-BE32-E72D297353CC}">
              <c16:uniqueId val="{00000004-F523-45FE-84CB-0C6F54C3298E}"/>
            </c:ext>
          </c:extLst>
        </c:ser>
        <c:ser>
          <c:idx val="5"/>
          <c:order val="5"/>
          <c:tx>
            <c:strRef>
              <c:f>RES!$A$8</c:f>
              <c:strCache>
                <c:ptCount val="1"/>
                <c:pt idx="0">
                  <c:v>Biomas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RES!$B$2:$D$2</c:f>
              <c:numCache>
                <c:formatCode>General</c:formatCode>
                <c:ptCount val="3"/>
                <c:pt idx="0">
                  <c:v>2020</c:v>
                </c:pt>
                <c:pt idx="1">
                  <c:v>2025</c:v>
                </c:pt>
                <c:pt idx="2">
                  <c:v>2030</c:v>
                </c:pt>
              </c:numCache>
            </c:numRef>
          </c:cat>
          <c:val>
            <c:numRef>
              <c:f>RES!$B$8:$D$8</c:f>
              <c:numCache>
                <c:formatCode>General</c:formatCode>
                <c:ptCount val="3"/>
                <c:pt idx="0">
                  <c:v>66</c:v>
                </c:pt>
                <c:pt idx="1">
                  <c:v>59</c:v>
                </c:pt>
                <c:pt idx="2">
                  <c:v>51</c:v>
                </c:pt>
              </c:numCache>
            </c:numRef>
          </c:val>
          <c:extLst>
            <c:ext xmlns:c16="http://schemas.microsoft.com/office/drawing/2014/chart" uri="{C3380CC4-5D6E-409C-BE32-E72D297353CC}">
              <c16:uniqueId val="{00000005-F523-45FE-84CB-0C6F54C3298E}"/>
            </c:ext>
          </c:extLst>
        </c:ser>
        <c:dLbls>
          <c:dLblPos val="ctr"/>
          <c:showLegendKey val="0"/>
          <c:showVal val="1"/>
          <c:showCatName val="0"/>
          <c:showSerName val="0"/>
          <c:showPercent val="0"/>
          <c:showBubbleSize val="0"/>
        </c:dLbls>
        <c:gapWidth val="150"/>
        <c:overlap val="100"/>
        <c:axId val="242536448"/>
        <c:axId val="242537984"/>
      </c:barChart>
      <c:catAx>
        <c:axId val="24253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42537984"/>
        <c:crosses val="autoZero"/>
        <c:auto val="1"/>
        <c:lblAlgn val="ctr"/>
        <c:lblOffset val="100"/>
        <c:noMultiLvlLbl val="0"/>
      </c:catAx>
      <c:valAx>
        <c:axId val="242537984"/>
        <c:scaling>
          <c:orientation val="minMax"/>
          <c:min val="9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4253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RES!$A$74</c:f>
              <c:strCache>
                <c:ptCount val="1"/>
                <c:pt idx="0">
                  <c:v>Wind</c:v>
                </c:pt>
              </c:strCache>
            </c:strRef>
          </c:tx>
          <c:spPr>
            <a:solidFill>
              <a:schemeClr val="accent1"/>
            </a:solidFill>
            <a:ln>
              <a:noFill/>
            </a:ln>
            <a:effectLst/>
          </c:spPr>
          <c:dLbls>
            <c:dLbl>
              <c:idx val="0"/>
              <c:layout>
                <c:manualLayout>
                  <c:x val="1.81680501724295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5F-45F7-A790-5108B2C3C3CF}"/>
                </c:ext>
              </c:extLst>
            </c:dLbl>
            <c:dLbl>
              <c:idx val="2"/>
              <c:layout>
                <c:manualLayout>
                  <c:x val="-2.826141137933505E-2"/>
                  <c:y val="-1.02432764719467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5F-45F7-A790-5108B2C3C3CF}"/>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RES!$B$73:$D$73</c:f>
              <c:strCache>
                <c:ptCount val="3"/>
                <c:pt idx="0">
                  <c:v>2020</c:v>
                </c:pt>
                <c:pt idx="1">
                  <c:v>2025</c:v>
                </c:pt>
                <c:pt idx="2">
                  <c:v>2030</c:v>
                </c:pt>
              </c:strCache>
            </c:strRef>
          </c:cat>
          <c:val>
            <c:numRef>
              <c:f>RES!$B$74:$D$74</c:f>
              <c:numCache>
                <c:formatCode>0</c:formatCode>
                <c:ptCount val="3"/>
                <c:pt idx="0">
                  <c:v>770.28</c:v>
                </c:pt>
                <c:pt idx="1">
                  <c:v>976.24</c:v>
                </c:pt>
                <c:pt idx="2">
                  <c:v>1182.2</c:v>
                </c:pt>
              </c:numCache>
            </c:numRef>
          </c:val>
          <c:extLst>
            <c:ext xmlns:c16="http://schemas.microsoft.com/office/drawing/2014/chart" uri="{C3380CC4-5D6E-409C-BE32-E72D297353CC}">
              <c16:uniqueId val="{00000002-6E5F-45F7-A790-5108B2C3C3CF}"/>
            </c:ext>
          </c:extLst>
        </c:ser>
        <c:ser>
          <c:idx val="1"/>
          <c:order val="1"/>
          <c:tx>
            <c:strRef>
              <c:f>RES!$A$75</c:f>
              <c:strCache>
                <c:ptCount val="1"/>
                <c:pt idx="0">
                  <c:v>Solar energy</c:v>
                </c:pt>
              </c:strCache>
            </c:strRef>
          </c:tx>
          <c:spPr>
            <a:solidFill>
              <a:schemeClr val="accent2"/>
            </a:solidFill>
            <a:ln>
              <a:noFill/>
            </a:ln>
            <a:effectLst/>
          </c:spPr>
          <c:dLbls>
            <c:dLbl>
              <c:idx val="0"/>
              <c:layout>
                <c:manualLayout>
                  <c:x val="1.81680501724295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E5F-45F7-A790-5108B2C3C3CF}"/>
                </c:ext>
              </c:extLst>
            </c:dLbl>
            <c:dLbl>
              <c:idx val="2"/>
              <c:layout>
                <c:manualLayout>
                  <c:x val="-3.0280083620715964E-2"/>
                  <c:y val="-6.82885098129782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5F-45F7-A790-5108B2C3C3CF}"/>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RES!$B$73:$D$73</c:f>
              <c:strCache>
                <c:ptCount val="3"/>
                <c:pt idx="0">
                  <c:v>2020</c:v>
                </c:pt>
                <c:pt idx="1">
                  <c:v>2025</c:v>
                </c:pt>
                <c:pt idx="2">
                  <c:v>2030</c:v>
                </c:pt>
              </c:strCache>
            </c:strRef>
          </c:cat>
          <c:val>
            <c:numRef>
              <c:f>RES!$B$75:$D$75</c:f>
              <c:numCache>
                <c:formatCode>0</c:formatCode>
                <c:ptCount val="3"/>
                <c:pt idx="0">
                  <c:v>189.57</c:v>
                </c:pt>
                <c:pt idx="1">
                  <c:v>859.78499999999997</c:v>
                </c:pt>
                <c:pt idx="2">
                  <c:v>1530</c:v>
                </c:pt>
              </c:numCache>
            </c:numRef>
          </c:val>
          <c:extLst>
            <c:ext xmlns:c16="http://schemas.microsoft.com/office/drawing/2014/chart" uri="{C3380CC4-5D6E-409C-BE32-E72D297353CC}">
              <c16:uniqueId val="{00000005-6E5F-45F7-A790-5108B2C3C3CF}"/>
            </c:ext>
          </c:extLst>
        </c:ser>
        <c:ser>
          <c:idx val="2"/>
          <c:order val="2"/>
          <c:tx>
            <c:strRef>
              <c:f>RES!$A$76</c:f>
              <c:strCache>
                <c:ptCount val="1"/>
                <c:pt idx="0">
                  <c:v>Biomass</c:v>
                </c:pt>
              </c:strCache>
            </c:strRef>
          </c:tx>
          <c:spPr>
            <a:solidFill>
              <a:schemeClr val="accent3"/>
            </a:solidFill>
            <a:ln>
              <a:noFill/>
            </a:ln>
            <a:effectLst/>
          </c:spPr>
          <c:dLbls>
            <c:dLbl>
              <c:idx val="0"/>
              <c:layout>
                <c:manualLayout>
                  <c:x val="1.8168050172429579E-2"/>
                  <c:y val="-1.251941550702307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5F-45F7-A790-5108B2C3C3CF}"/>
                </c:ext>
              </c:extLst>
            </c:dLbl>
            <c:dLbl>
              <c:idx val="2"/>
              <c:layout>
                <c:manualLayout>
                  <c:x val="-2.2205394655191706E-2"/>
                  <c:y val="1.3657701962595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5F-45F7-A790-5108B2C3C3CF}"/>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RES!$B$73:$D$73</c:f>
              <c:strCache>
                <c:ptCount val="3"/>
                <c:pt idx="0">
                  <c:v>2020</c:v>
                </c:pt>
                <c:pt idx="1">
                  <c:v>2025</c:v>
                </c:pt>
                <c:pt idx="2">
                  <c:v>2030</c:v>
                </c:pt>
              </c:strCache>
            </c:strRef>
          </c:cat>
          <c:val>
            <c:numRef>
              <c:f>RES!$B$76:$D$76</c:f>
              <c:numCache>
                <c:formatCode>0</c:formatCode>
                <c:ptCount val="3"/>
                <c:pt idx="0">
                  <c:v>151.26</c:v>
                </c:pt>
                <c:pt idx="1">
                  <c:v>144.27499999999998</c:v>
                </c:pt>
                <c:pt idx="2">
                  <c:v>137.29</c:v>
                </c:pt>
              </c:numCache>
            </c:numRef>
          </c:val>
          <c:extLst>
            <c:ext xmlns:c16="http://schemas.microsoft.com/office/drawing/2014/chart" uri="{C3380CC4-5D6E-409C-BE32-E72D297353CC}">
              <c16:uniqueId val="{00000008-6E5F-45F7-A790-5108B2C3C3CF}"/>
            </c:ext>
          </c:extLst>
        </c:ser>
        <c:ser>
          <c:idx val="3"/>
          <c:order val="3"/>
          <c:tx>
            <c:strRef>
              <c:f>RES!$A$77</c:f>
              <c:strCache>
                <c:ptCount val="1"/>
                <c:pt idx="0">
                  <c:v>Hydro energy</c:v>
                </c:pt>
              </c:strCache>
            </c:strRef>
          </c:tx>
          <c:spPr>
            <a:solidFill>
              <a:schemeClr val="accent4"/>
            </a:solidFill>
            <a:ln w="25400">
              <a:noFill/>
            </a:ln>
            <a:effectLst/>
          </c:spPr>
          <c:dLbls>
            <c:dLbl>
              <c:idx val="0"/>
              <c:layout>
                <c:manualLayout>
                  <c:x val="1.833676019255763E-2"/>
                  <c:y val="-3.41433018363492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E5F-45F7-A790-5108B2C3C3CF}"/>
                </c:ext>
              </c:extLst>
            </c:dLbl>
            <c:dLbl>
              <c:idx val="2"/>
              <c:layout>
                <c:manualLayout>
                  <c:x val="-2.0186722413810643E-2"/>
                  <c:y val="-3.12985387675576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E5F-45F7-A790-5108B2C3C3CF}"/>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RES!$B$73:$D$73</c:f>
              <c:strCache>
                <c:ptCount val="3"/>
                <c:pt idx="0">
                  <c:v>2020</c:v>
                </c:pt>
                <c:pt idx="1">
                  <c:v>2025</c:v>
                </c:pt>
                <c:pt idx="2">
                  <c:v>2030</c:v>
                </c:pt>
              </c:strCache>
            </c:strRef>
          </c:cat>
          <c:val>
            <c:numRef>
              <c:f>RES!$B$77:$D$77</c:f>
              <c:numCache>
                <c:formatCode>0</c:formatCode>
                <c:ptCount val="3"/>
                <c:pt idx="0">
                  <c:v>128.19999999999999</c:v>
                </c:pt>
                <c:pt idx="1">
                  <c:v>128.19999999999999</c:v>
                </c:pt>
                <c:pt idx="2">
                  <c:v>128.19999999999999</c:v>
                </c:pt>
              </c:numCache>
            </c:numRef>
          </c:val>
          <c:extLst>
            <c:ext xmlns:c16="http://schemas.microsoft.com/office/drawing/2014/chart" uri="{C3380CC4-5D6E-409C-BE32-E72D297353CC}">
              <c16:uniqueId val="{0000000B-6E5F-45F7-A790-5108B2C3C3CF}"/>
            </c:ext>
          </c:extLst>
        </c:ser>
        <c:ser>
          <c:idx val="4"/>
          <c:order val="4"/>
          <c:tx>
            <c:strRef>
              <c:f>RES!$A$78</c:f>
              <c:strCache>
                <c:ptCount val="1"/>
                <c:pt idx="0">
                  <c:v>Biogas</c:v>
                </c:pt>
              </c:strCache>
            </c:strRef>
          </c:tx>
          <c:spPr>
            <a:solidFill>
              <a:schemeClr val="accent5"/>
            </a:solidFill>
            <a:ln w="25400">
              <a:noFill/>
            </a:ln>
            <a:effectLst/>
          </c:spPr>
          <c:dLbls>
            <c:dLbl>
              <c:idx val="0"/>
              <c:layout>
                <c:manualLayout>
                  <c:x val="2.041166422824597E-2"/>
                  <c:y val="-3.41441308255489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E5F-45F7-A790-5108B2C3C3CF}"/>
                </c:ext>
              </c:extLst>
            </c:dLbl>
            <c:dLbl>
              <c:idx val="1"/>
              <c:layout>
                <c:manualLayout>
                  <c:x val="0"/>
                  <c:y val="-3.0729829415840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E5F-45F7-A790-5108B2C3C3CF}"/>
                </c:ext>
              </c:extLst>
            </c:dLbl>
            <c:dLbl>
              <c:idx val="2"/>
              <c:layout>
                <c:manualLayout>
                  <c:x val="-1.413070568966745E-2"/>
                  <c:y val="-3.0729829415840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E5F-45F7-A790-5108B2C3C3CF}"/>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RES!$B$73:$D$73</c:f>
              <c:strCache>
                <c:ptCount val="3"/>
                <c:pt idx="0">
                  <c:v>2020</c:v>
                </c:pt>
                <c:pt idx="1">
                  <c:v>2025</c:v>
                </c:pt>
                <c:pt idx="2">
                  <c:v>2030</c:v>
                </c:pt>
              </c:strCache>
            </c:strRef>
          </c:cat>
          <c:val>
            <c:numRef>
              <c:f>RES!$B$78:$D$78</c:f>
              <c:numCache>
                <c:formatCode>0</c:formatCode>
                <c:ptCount val="3"/>
                <c:pt idx="0">
                  <c:v>35</c:v>
                </c:pt>
                <c:pt idx="1">
                  <c:v>29.445</c:v>
                </c:pt>
                <c:pt idx="2">
                  <c:v>23.89</c:v>
                </c:pt>
              </c:numCache>
            </c:numRef>
          </c:val>
          <c:extLst>
            <c:ext xmlns:c16="http://schemas.microsoft.com/office/drawing/2014/chart" uri="{C3380CC4-5D6E-409C-BE32-E72D297353CC}">
              <c16:uniqueId val="{0000000F-6E5F-45F7-A790-5108B2C3C3CF}"/>
            </c:ext>
          </c:extLst>
        </c:ser>
        <c:dLbls>
          <c:showLegendKey val="0"/>
          <c:showVal val="1"/>
          <c:showCatName val="0"/>
          <c:showSerName val="0"/>
          <c:showPercent val="0"/>
          <c:showBubbleSize val="0"/>
        </c:dLbls>
        <c:axId val="287716480"/>
        <c:axId val="287718016"/>
      </c:areaChart>
      <c:catAx>
        <c:axId val="287716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87718016"/>
        <c:crosses val="autoZero"/>
        <c:auto val="1"/>
        <c:lblAlgn val="ctr"/>
        <c:lblOffset val="100"/>
        <c:noMultiLvlLbl val="0"/>
      </c:catAx>
      <c:valAx>
        <c:axId val="287718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28771648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Targets!$A$3</c:f>
              <c:strCache>
                <c:ptCount val="1"/>
                <c:pt idx="0">
                  <c:v>RES share in the final energy consumption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Targets!$B$2:$N$2</c:f>
              <c:numCache>
                <c:formatCode>General</c:formatCode>
                <c:ptCount val="13"/>
                <c:pt idx="0">
                  <c:v>2020</c:v>
                </c:pt>
                <c:pt idx="1">
                  <c:v>2021</c:v>
                </c:pt>
                <c:pt idx="2">
                  <c:v>2023</c:v>
                </c:pt>
                <c:pt idx="3">
                  <c:v>2025</c:v>
                </c:pt>
                <c:pt idx="4">
                  <c:v>2027</c:v>
                </c:pt>
                <c:pt idx="5">
                  <c:v>2029</c:v>
                </c:pt>
                <c:pt idx="6">
                  <c:v>2030</c:v>
                </c:pt>
                <c:pt idx="7">
                  <c:v>2031</c:v>
                </c:pt>
                <c:pt idx="8">
                  <c:v>2033</c:v>
                </c:pt>
                <c:pt idx="9">
                  <c:v>2035</c:v>
                </c:pt>
                <c:pt idx="10">
                  <c:v>2037</c:v>
                </c:pt>
                <c:pt idx="11">
                  <c:v>2039</c:v>
                </c:pt>
                <c:pt idx="12">
                  <c:v>2040</c:v>
                </c:pt>
              </c:numCache>
            </c:numRef>
          </c:xVal>
          <c:yVal>
            <c:numRef>
              <c:f>Targets!$B$3:$N$3</c:f>
              <c:numCache>
                <c:formatCode>0%</c:formatCode>
                <c:ptCount val="13"/>
                <c:pt idx="0">
                  <c:v>0.3</c:v>
                </c:pt>
                <c:pt idx="1">
                  <c:v>0.315</c:v>
                </c:pt>
                <c:pt idx="2">
                  <c:v>0.34499999999999997</c:v>
                </c:pt>
                <c:pt idx="3">
                  <c:v>0.375</c:v>
                </c:pt>
                <c:pt idx="4">
                  <c:v>0.40500000000000003</c:v>
                </c:pt>
                <c:pt idx="5">
                  <c:v>0.43500000000000005</c:v>
                </c:pt>
                <c:pt idx="6">
                  <c:v>0.45000000000000007</c:v>
                </c:pt>
                <c:pt idx="7">
                  <c:v>0.46750000000000008</c:v>
                </c:pt>
                <c:pt idx="8">
                  <c:v>0.50250000000000006</c:v>
                </c:pt>
                <c:pt idx="9">
                  <c:v>0.53750000000000009</c:v>
                </c:pt>
                <c:pt idx="10">
                  <c:v>0.57250000000000012</c:v>
                </c:pt>
                <c:pt idx="11">
                  <c:v>0.60750000000000015</c:v>
                </c:pt>
                <c:pt idx="12">
                  <c:v>0.62500000000000011</c:v>
                </c:pt>
              </c:numCache>
            </c:numRef>
          </c:yVal>
          <c:smooth val="0"/>
          <c:extLst>
            <c:ext xmlns:c16="http://schemas.microsoft.com/office/drawing/2014/chart" uri="{C3380CC4-5D6E-409C-BE32-E72D297353CC}">
              <c16:uniqueId val="{00000000-CF90-4BB1-B0C6-129CA8F0A17C}"/>
            </c:ext>
          </c:extLst>
        </c:ser>
        <c:ser>
          <c:idx val="1"/>
          <c:order val="1"/>
          <c:tx>
            <c:strRef>
              <c:f>Targets!$A$4</c:f>
              <c:strCache>
                <c:ptCount val="1"/>
                <c:pt idx="0">
                  <c:v>RES share in the district heat supply sector</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Targets!$B$2:$N$2</c:f>
              <c:numCache>
                <c:formatCode>General</c:formatCode>
                <c:ptCount val="13"/>
                <c:pt idx="0">
                  <c:v>2020</c:v>
                </c:pt>
                <c:pt idx="1">
                  <c:v>2021</c:v>
                </c:pt>
                <c:pt idx="2">
                  <c:v>2023</c:v>
                </c:pt>
                <c:pt idx="3">
                  <c:v>2025</c:v>
                </c:pt>
                <c:pt idx="4">
                  <c:v>2027</c:v>
                </c:pt>
                <c:pt idx="5">
                  <c:v>2029</c:v>
                </c:pt>
                <c:pt idx="6">
                  <c:v>2030</c:v>
                </c:pt>
                <c:pt idx="7">
                  <c:v>2031</c:v>
                </c:pt>
                <c:pt idx="8">
                  <c:v>2033</c:v>
                </c:pt>
                <c:pt idx="9">
                  <c:v>2035</c:v>
                </c:pt>
                <c:pt idx="10">
                  <c:v>2037</c:v>
                </c:pt>
                <c:pt idx="11">
                  <c:v>2039</c:v>
                </c:pt>
                <c:pt idx="12">
                  <c:v>2040</c:v>
                </c:pt>
              </c:numCache>
            </c:numRef>
          </c:xVal>
          <c:yVal>
            <c:numRef>
              <c:f>Targets!$B$4:$N$4</c:f>
              <c:numCache>
                <c:formatCode>0%</c:formatCode>
                <c:ptCount val="13"/>
                <c:pt idx="0">
                  <c:v>0.7</c:v>
                </c:pt>
                <c:pt idx="1">
                  <c:v>0.72</c:v>
                </c:pt>
                <c:pt idx="2">
                  <c:v>0.76</c:v>
                </c:pt>
                <c:pt idx="3">
                  <c:v>0.8</c:v>
                </c:pt>
                <c:pt idx="4">
                  <c:v>0.84000000000000008</c:v>
                </c:pt>
                <c:pt idx="5">
                  <c:v>0.88000000000000012</c:v>
                </c:pt>
                <c:pt idx="6">
                  <c:v>0.90000000000000013</c:v>
                </c:pt>
                <c:pt idx="7">
                  <c:v>0.90500000000000014</c:v>
                </c:pt>
                <c:pt idx="8">
                  <c:v>0.91500000000000015</c:v>
                </c:pt>
                <c:pt idx="9">
                  <c:v>0.92500000000000016</c:v>
                </c:pt>
                <c:pt idx="10">
                  <c:v>0.93500000000000016</c:v>
                </c:pt>
                <c:pt idx="11">
                  <c:v>0.94500000000000017</c:v>
                </c:pt>
                <c:pt idx="12">
                  <c:v>0.95000000000000018</c:v>
                </c:pt>
              </c:numCache>
            </c:numRef>
          </c:yVal>
          <c:smooth val="0"/>
          <c:extLst>
            <c:ext xmlns:c16="http://schemas.microsoft.com/office/drawing/2014/chart" uri="{C3380CC4-5D6E-409C-BE32-E72D297353CC}">
              <c16:uniqueId val="{00000001-CF90-4BB1-B0C6-129CA8F0A17C}"/>
            </c:ext>
          </c:extLst>
        </c:ser>
        <c:ser>
          <c:idx val="2"/>
          <c:order val="2"/>
          <c:tx>
            <c:strRef>
              <c:f>Targets!$A$5</c:f>
              <c:strCache>
                <c:ptCount val="1"/>
                <c:pt idx="0">
                  <c:v>RES share in transport sector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Targets!$B$2:$N$2</c:f>
              <c:numCache>
                <c:formatCode>General</c:formatCode>
                <c:ptCount val="13"/>
                <c:pt idx="0">
                  <c:v>2020</c:v>
                </c:pt>
                <c:pt idx="1">
                  <c:v>2021</c:v>
                </c:pt>
                <c:pt idx="2">
                  <c:v>2023</c:v>
                </c:pt>
                <c:pt idx="3">
                  <c:v>2025</c:v>
                </c:pt>
                <c:pt idx="4">
                  <c:v>2027</c:v>
                </c:pt>
                <c:pt idx="5">
                  <c:v>2029</c:v>
                </c:pt>
                <c:pt idx="6">
                  <c:v>2030</c:v>
                </c:pt>
                <c:pt idx="7">
                  <c:v>2031</c:v>
                </c:pt>
                <c:pt idx="8">
                  <c:v>2033</c:v>
                </c:pt>
                <c:pt idx="9">
                  <c:v>2035</c:v>
                </c:pt>
                <c:pt idx="10">
                  <c:v>2037</c:v>
                </c:pt>
                <c:pt idx="11">
                  <c:v>2039</c:v>
                </c:pt>
                <c:pt idx="12">
                  <c:v>2040</c:v>
                </c:pt>
              </c:numCache>
            </c:numRef>
          </c:xVal>
          <c:yVal>
            <c:numRef>
              <c:f>Targets!$B$5:$N$5</c:f>
              <c:numCache>
                <c:formatCode>0%</c:formatCode>
                <c:ptCount val="13"/>
                <c:pt idx="0">
                  <c:v>0.1</c:v>
                </c:pt>
                <c:pt idx="1">
                  <c:v>0.10500000000000001</c:v>
                </c:pt>
                <c:pt idx="2">
                  <c:v>0.115</c:v>
                </c:pt>
                <c:pt idx="3">
                  <c:v>0.125</c:v>
                </c:pt>
                <c:pt idx="4">
                  <c:v>0.13500000000000001</c:v>
                </c:pt>
                <c:pt idx="5">
                  <c:v>0.14500000000000002</c:v>
                </c:pt>
                <c:pt idx="6">
                  <c:v>0.15000000000000002</c:v>
                </c:pt>
                <c:pt idx="7">
                  <c:v>0.16750000000000004</c:v>
                </c:pt>
                <c:pt idx="8">
                  <c:v>0.20250000000000004</c:v>
                </c:pt>
                <c:pt idx="9">
                  <c:v>0.23750000000000004</c:v>
                </c:pt>
                <c:pt idx="10">
                  <c:v>0.27250000000000008</c:v>
                </c:pt>
                <c:pt idx="11">
                  <c:v>0.30750000000000011</c:v>
                </c:pt>
                <c:pt idx="12">
                  <c:v>0.32500000000000012</c:v>
                </c:pt>
              </c:numCache>
            </c:numRef>
          </c:yVal>
          <c:smooth val="0"/>
          <c:extLst>
            <c:ext xmlns:c16="http://schemas.microsoft.com/office/drawing/2014/chart" uri="{C3380CC4-5D6E-409C-BE32-E72D297353CC}">
              <c16:uniqueId val="{00000002-CF90-4BB1-B0C6-129CA8F0A17C}"/>
            </c:ext>
          </c:extLst>
        </c:ser>
        <c:ser>
          <c:idx val="3"/>
          <c:order val="3"/>
          <c:tx>
            <c:strRef>
              <c:f>Targets!$A$6</c:f>
              <c:strCache>
                <c:ptCount val="1"/>
                <c:pt idx="0">
                  <c:v>RES share in electricity sector</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Targets!$B$2:$N$2</c:f>
              <c:numCache>
                <c:formatCode>General</c:formatCode>
                <c:ptCount val="13"/>
                <c:pt idx="0">
                  <c:v>2020</c:v>
                </c:pt>
                <c:pt idx="1">
                  <c:v>2021</c:v>
                </c:pt>
                <c:pt idx="2">
                  <c:v>2023</c:v>
                </c:pt>
                <c:pt idx="3">
                  <c:v>2025</c:v>
                </c:pt>
                <c:pt idx="4">
                  <c:v>2027</c:v>
                </c:pt>
                <c:pt idx="5">
                  <c:v>2029</c:v>
                </c:pt>
                <c:pt idx="6">
                  <c:v>2030</c:v>
                </c:pt>
                <c:pt idx="7">
                  <c:v>2031</c:v>
                </c:pt>
                <c:pt idx="8">
                  <c:v>2033</c:v>
                </c:pt>
                <c:pt idx="9">
                  <c:v>2035</c:v>
                </c:pt>
                <c:pt idx="10">
                  <c:v>2037</c:v>
                </c:pt>
                <c:pt idx="11">
                  <c:v>2039</c:v>
                </c:pt>
                <c:pt idx="12">
                  <c:v>2040</c:v>
                </c:pt>
              </c:numCache>
            </c:numRef>
          </c:xVal>
          <c:yVal>
            <c:numRef>
              <c:f>Targets!$B$6:$N$6</c:f>
              <c:numCache>
                <c:formatCode>0%</c:formatCode>
                <c:ptCount val="13"/>
                <c:pt idx="0">
                  <c:v>0.3</c:v>
                </c:pt>
                <c:pt idx="1">
                  <c:v>0.315</c:v>
                </c:pt>
                <c:pt idx="2">
                  <c:v>0.34499999999999997</c:v>
                </c:pt>
                <c:pt idx="3">
                  <c:v>0.375</c:v>
                </c:pt>
                <c:pt idx="4">
                  <c:v>0.40500000000000003</c:v>
                </c:pt>
                <c:pt idx="5">
                  <c:v>0.43500000000000005</c:v>
                </c:pt>
                <c:pt idx="6">
                  <c:v>0.45000000000000007</c:v>
                </c:pt>
                <c:pt idx="7">
                  <c:v>0.47750000000000009</c:v>
                </c:pt>
                <c:pt idx="8">
                  <c:v>0.53250000000000008</c:v>
                </c:pt>
                <c:pt idx="9">
                  <c:v>0.58750000000000013</c:v>
                </c:pt>
                <c:pt idx="10">
                  <c:v>0.64250000000000018</c:v>
                </c:pt>
                <c:pt idx="11">
                  <c:v>0.69750000000000023</c:v>
                </c:pt>
                <c:pt idx="12">
                  <c:v>0.7250000000000002</c:v>
                </c:pt>
              </c:numCache>
            </c:numRef>
          </c:yVal>
          <c:smooth val="0"/>
          <c:extLst>
            <c:ext xmlns:c16="http://schemas.microsoft.com/office/drawing/2014/chart" uri="{C3380CC4-5D6E-409C-BE32-E72D297353CC}">
              <c16:uniqueId val="{00000003-CF90-4BB1-B0C6-129CA8F0A17C}"/>
            </c:ext>
          </c:extLst>
        </c:ser>
        <c:ser>
          <c:idx val="4"/>
          <c:order val="4"/>
          <c:tx>
            <c:strRef>
              <c:f>Targets!$A$7</c:f>
              <c:strCache>
                <c:ptCount val="1"/>
                <c:pt idx="0">
                  <c:v>Electricity production in Lithuania</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Targets!$B$2:$N$2</c:f>
              <c:numCache>
                <c:formatCode>General</c:formatCode>
                <c:ptCount val="13"/>
                <c:pt idx="0">
                  <c:v>2020</c:v>
                </c:pt>
                <c:pt idx="1">
                  <c:v>2021</c:v>
                </c:pt>
                <c:pt idx="2">
                  <c:v>2023</c:v>
                </c:pt>
                <c:pt idx="3">
                  <c:v>2025</c:v>
                </c:pt>
                <c:pt idx="4">
                  <c:v>2027</c:v>
                </c:pt>
                <c:pt idx="5">
                  <c:v>2029</c:v>
                </c:pt>
                <c:pt idx="6">
                  <c:v>2030</c:v>
                </c:pt>
                <c:pt idx="7">
                  <c:v>2031</c:v>
                </c:pt>
                <c:pt idx="8">
                  <c:v>2033</c:v>
                </c:pt>
                <c:pt idx="9">
                  <c:v>2035</c:v>
                </c:pt>
                <c:pt idx="10">
                  <c:v>2037</c:v>
                </c:pt>
                <c:pt idx="11">
                  <c:v>2039</c:v>
                </c:pt>
                <c:pt idx="12">
                  <c:v>2040</c:v>
                </c:pt>
              </c:numCache>
            </c:numRef>
          </c:xVal>
          <c:yVal>
            <c:numRef>
              <c:f>Targets!$B$7:$N$7</c:f>
              <c:numCache>
                <c:formatCode>0%</c:formatCode>
                <c:ptCount val="13"/>
                <c:pt idx="0">
                  <c:v>0.35</c:v>
                </c:pt>
                <c:pt idx="1">
                  <c:v>0.38500000000000001</c:v>
                </c:pt>
                <c:pt idx="2">
                  <c:v>0.45500000000000002</c:v>
                </c:pt>
                <c:pt idx="3">
                  <c:v>0.52500000000000002</c:v>
                </c:pt>
                <c:pt idx="4">
                  <c:v>0.59499999999999997</c:v>
                </c:pt>
                <c:pt idx="5">
                  <c:v>0.66500000000000004</c:v>
                </c:pt>
                <c:pt idx="6">
                  <c:v>0.70000000000000007</c:v>
                </c:pt>
                <c:pt idx="7">
                  <c:v>0.71500000000000008</c:v>
                </c:pt>
                <c:pt idx="8">
                  <c:v>0.74500000000000011</c:v>
                </c:pt>
                <c:pt idx="9">
                  <c:v>0.77500000000000013</c:v>
                </c:pt>
                <c:pt idx="10">
                  <c:v>0.80500000000000016</c:v>
                </c:pt>
                <c:pt idx="11">
                  <c:v>0.83500000000000019</c:v>
                </c:pt>
                <c:pt idx="12">
                  <c:v>0.8500000000000002</c:v>
                </c:pt>
              </c:numCache>
            </c:numRef>
          </c:yVal>
          <c:smooth val="0"/>
          <c:extLst>
            <c:ext xmlns:c16="http://schemas.microsoft.com/office/drawing/2014/chart" uri="{C3380CC4-5D6E-409C-BE32-E72D297353CC}">
              <c16:uniqueId val="{00000004-CF90-4BB1-B0C6-129CA8F0A17C}"/>
            </c:ext>
          </c:extLst>
        </c:ser>
        <c:dLbls>
          <c:showLegendKey val="0"/>
          <c:showVal val="0"/>
          <c:showCatName val="0"/>
          <c:showSerName val="0"/>
          <c:showPercent val="0"/>
          <c:showBubbleSize val="0"/>
        </c:dLbls>
        <c:axId val="300175360"/>
        <c:axId val="300177280"/>
      </c:scatterChart>
      <c:valAx>
        <c:axId val="300175360"/>
        <c:scaling>
          <c:orientation val="minMax"/>
          <c:max val="2040"/>
          <c:min val="2020"/>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00177280"/>
        <c:crosses val="autoZero"/>
        <c:crossBetween val="midCat"/>
      </c:valAx>
      <c:valAx>
        <c:axId val="300177280"/>
        <c:scaling>
          <c:orientation val="minMax"/>
          <c:max val="0.95000000000000007"/>
          <c:min val="5.000000000000001E-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001753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Patents!$A$3</c:f>
              <c:strCache>
                <c:ptCount val="1"/>
                <c:pt idx="0">
                  <c:v>Patents applications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Patents!$B$2:$N$2</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Patents!$B$3:$N$3</c:f>
              <c:numCache>
                <c:formatCode>General</c:formatCode>
                <c:ptCount val="13"/>
                <c:pt idx="0">
                  <c:v>9</c:v>
                </c:pt>
                <c:pt idx="1">
                  <c:v>10</c:v>
                </c:pt>
                <c:pt idx="2">
                  <c:v>17</c:v>
                </c:pt>
                <c:pt idx="3">
                  <c:v>27</c:v>
                </c:pt>
                <c:pt idx="4">
                  <c:v>29</c:v>
                </c:pt>
                <c:pt idx="5">
                  <c:v>15</c:v>
                </c:pt>
                <c:pt idx="6">
                  <c:v>32</c:v>
                </c:pt>
                <c:pt idx="7">
                  <c:v>47</c:v>
                </c:pt>
                <c:pt idx="8">
                  <c:v>50</c:v>
                </c:pt>
                <c:pt idx="9">
                  <c:v>67</c:v>
                </c:pt>
                <c:pt idx="10">
                  <c:v>60</c:v>
                </c:pt>
                <c:pt idx="11">
                  <c:v>37</c:v>
                </c:pt>
                <c:pt idx="12">
                  <c:v>36</c:v>
                </c:pt>
              </c:numCache>
            </c:numRef>
          </c:val>
          <c:extLst>
            <c:ext xmlns:c16="http://schemas.microsoft.com/office/drawing/2014/chart" uri="{C3380CC4-5D6E-409C-BE32-E72D297353CC}">
              <c16:uniqueId val="{00000000-D8F6-4B3F-A649-DB68E8804CB7}"/>
            </c:ext>
          </c:extLst>
        </c:ser>
        <c:dLbls>
          <c:dLblPos val="outEnd"/>
          <c:showLegendKey val="0"/>
          <c:showVal val="1"/>
          <c:showCatName val="0"/>
          <c:showSerName val="0"/>
          <c:showPercent val="0"/>
          <c:showBubbleSize val="0"/>
        </c:dLbls>
        <c:gapWidth val="219"/>
        <c:overlap val="-27"/>
        <c:axId val="300819968"/>
        <c:axId val="300827008"/>
      </c:barChart>
      <c:catAx>
        <c:axId val="30081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00827008"/>
        <c:crosses val="autoZero"/>
        <c:auto val="1"/>
        <c:lblAlgn val="ctr"/>
        <c:lblOffset val="100"/>
        <c:noMultiLvlLbl val="0"/>
      </c:catAx>
      <c:valAx>
        <c:axId val="300827008"/>
        <c:scaling>
          <c:orientation val="minMax"/>
          <c:max val="7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Patents</a:t>
                </a:r>
                <a:r>
                  <a:rPr lang="lt-LT" baseline="0"/>
                  <a:t> applications</a:t>
                </a:r>
                <a:endParaRPr lang="lt-LT"/>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00819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49944720840244"/>
          <c:y val="6.1907359923109175E-2"/>
          <c:w val="0.72606237649555538"/>
          <c:h val="0.7660264106746747"/>
        </c:manualLayout>
      </c:layout>
      <c:barChart>
        <c:barDir val="col"/>
        <c:grouping val="clustered"/>
        <c:varyColors val="0"/>
        <c:ser>
          <c:idx val="0"/>
          <c:order val="0"/>
          <c:tx>
            <c:strRef>
              <c:f>Efektas_kvotos_sumin!$B$12</c:f>
              <c:strCache>
                <c:ptCount val="1"/>
                <c:pt idx="0">
                  <c:v>GHG emissions WEM</c:v>
                </c:pt>
              </c:strCache>
            </c:strRef>
          </c:tx>
          <c:invertIfNegative val="0"/>
          <c:cat>
            <c:numRef>
              <c:f>Efektas_kvotos_ž.ū.!$D$10:$M$10</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Efektas_kvotos_sumin!$C$12:$L$12</c:f>
              <c:numCache>
                <c:formatCode>0</c:formatCode>
                <c:ptCount val="10"/>
                <c:pt idx="0">
                  <c:v>5616.6629488225599</c:v>
                </c:pt>
                <c:pt idx="1">
                  <c:v>5687.7851336727399</c:v>
                </c:pt>
                <c:pt idx="2">
                  <c:v>5758.9260731399581</c:v>
                </c:pt>
                <c:pt idx="3">
                  <c:v>5830.0482579901345</c:v>
                </c:pt>
                <c:pt idx="4">
                  <c:v>5902.2724583272366</c:v>
                </c:pt>
                <c:pt idx="5">
                  <c:v>5975.3832783043399</c:v>
                </c:pt>
                <c:pt idx="6">
                  <c:v>6049.5575835945165</c:v>
                </c:pt>
                <c:pt idx="7">
                  <c:v>6123.7525887343145</c:v>
                </c:pt>
                <c:pt idx="8">
                  <c:v>6197.9442138788381</c:v>
                </c:pt>
                <c:pt idx="9">
                  <c:v>6281.329889319014</c:v>
                </c:pt>
              </c:numCache>
            </c:numRef>
          </c:val>
          <c:extLst>
            <c:ext xmlns:c16="http://schemas.microsoft.com/office/drawing/2014/chart" uri="{C3380CC4-5D6E-409C-BE32-E72D297353CC}">
              <c16:uniqueId val="{00000000-4D88-4CA9-AE4A-E7B2927584F6}"/>
            </c:ext>
          </c:extLst>
        </c:ser>
        <c:ser>
          <c:idx val="1"/>
          <c:order val="1"/>
          <c:tx>
            <c:strRef>
              <c:f>Efektas_kvotos_sumin!$B$13</c:f>
              <c:strCache>
                <c:ptCount val="1"/>
                <c:pt idx="0">
                  <c:v>GHG emissions  WAM</c:v>
                </c:pt>
              </c:strCache>
            </c:strRef>
          </c:tx>
          <c:invertIfNegative val="0"/>
          <c:cat>
            <c:numRef>
              <c:f>Efektas_kvotos_ž.ū.!$D$10:$M$10</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Efektas_kvotos_sumin!$C$13:$L$13</c:f>
              <c:numCache>
                <c:formatCode>0</c:formatCode>
                <c:ptCount val="10"/>
                <c:pt idx="0">
                  <c:v>5559.66379011557</c:v>
                </c:pt>
                <c:pt idx="1">
                  <c:v>5577.2218888565494</c:v>
                </c:pt>
                <c:pt idx="2">
                  <c:v>5604.7562208080872</c:v>
                </c:pt>
                <c:pt idx="3">
                  <c:v>5632.3122852986953</c:v>
                </c:pt>
                <c:pt idx="4">
                  <c:v>5660.9946575698959</c:v>
                </c:pt>
                <c:pt idx="5">
                  <c:v>5690.5682248572994</c:v>
                </c:pt>
                <c:pt idx="6">
                  <c:v>5721.2240226834947</c:v>
                </c:pt>
                <c:pt idx="7">
                  <c:v>5793.0381524286004</c:v>
                </c:pt>
                <c:pt idx="8">
                  <c:v>5864.8489021784317</c:v>
                </c:pt>
                <c:pt idx="9">
                  <c:v>5945.8568505051735</c:v>
                </c:pt>
              </c:numCache>
            </c:numRef>
          </c:val>
          <c:extLst>
            <c:ext xmlns:c16="http://schemas.microsoft.com/office/drawing/2014/chart" uri="{C3380CC4-5D6E-409C-BE32-E72D297353CC}">
              <c16:uniqueId val="{00000001-4D88-4CA9-AE4A-E7B2927584F6}"/>
            </c:ext>
          </c:extLst>
        </c:ser>
        <c:dLbls>
          <c:showLegendKey val="0"/>
          <c:showVal val="0"/>
          <c:showCatName val="0"/>
          <c:showSerName val="0"/>
          <c:showPercent val="0"/>
          <c:showBubbleSize val="0"/>
        </c:dLbls>
        <c:gapWidth val="150"/>
        <c:axId val="301385216"/>
        <c:axId val="301386752"/>
      </c:barChart>
      <c:catAx>
        <c:axId val="301385216"/>
        <c:scaling>
          <c:orientation val="minMax"/>
        </c:scaling>
        <c:delete val="0"/>
        <c:axPos val="b"/>
        <c:numFmt formatCode="General" sourceLinked="1"/>
        <c:majorTickMark val="out"/>
        <c:minorTickMark val="none"/>
        <c:tickLblPos val="nextTo"/>
        <c:crossAx val="301386752"/>
        <c:crosses val="autoZero"/>
        <c:auto val="1"/>
        <c:lblAlgn val="ctr"/>
        <c:lblOffset val="100"/>
        <c:noMultiLvlLbl val="0"/>
      </c:catAx>
      <c:valAx>
        <c:axId val="301386752"/>
        <c:scaling>
          <c:orientation val="minMax"/>
        </c:scaling>
        <c:delete val="0"/>
        <c:axPos val="l"/>
        <c:majorGridlines/>
        <c:title>
          <c:tx>
            <c:rich>
              <a:bodyPr rot="-5400000" vert="horz"/>
              <a:lstStyle/>
              <a:p>
                <a:pPr>
                  <a:defRPr/>
                </a:pPr>
                <a:r>
                  <a:rPr lang="lt-LT"/>
                  <a:t>ktCO</a:t>
                </a:r>
                <a:r>
                  <a:rPr lang="lt-LT" baseline="-25000"/>
                  <a:t>2</a:t>
                </a:r>
                <a:r>
                  <a:rPr lang="lt-LT"/>
                  <a:t>eq</a:t>
                </a:r>
                <a:endParaRPr lang="en-US"/>
              </a:p>
            </c:rich>
          </c:tx>
          <c:layout>
            <c:manualLayout>
              <c:xMode val="edge"/>
              <c:yMode val="edge"/>
              <c:x val="5.7374608995793344E-3"/>
              <c:y val="0.26458908290459504"/>
            </c:manualLayout>
          </c:layout>
          <c:overlay val="0"/>
        </c:title>
        <c:numFmt formatCode="0" sourceLinked="0"/>
        <c:majorTickMark val="out"/>
        <c:minorTickMark val="none"/>
        <c:tickLblPos val="nextTo"/>
        <c:crossAx val="301385216"/>
        <c:crosses val="autoZero"/>
        <c:crossBetween val="between"/>
      </c:valAx>
    </c:plotArea>
    <c:legend>
      <c:legendPos val="b"/>
      <c:layout>
        <c:manualLayout>
          <c:xMode val="edge"/>
          <c:yMode val="edge"/>
          <c:x val="4.7882659923032762E-2"/>
          <c:y val="0.92054242978111345"/>
          <c:w val="0.90497252985815901"/>
          <c:h val="7.9457433879009193E-2"/>
        </c:manualLayout>
      </c:layout>
      <c:overlay val="0"/>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Total effect of GHG reduction measures in transport sector in </a:t>
            </a:r>
            <a:r>
              <a:rPr lang="lt-LT" sz="900"/>
              <a:t>2021-2030</a:t>
            </a:r>
            <a:endParaRPr lang="en-US" sz="900"/>
          </a:p>
        </c:rich>
      </c:tx>
      <c:layout>
        <c:manualLayout>
          <c:xMode val="edge"/>
          <c:yMode val="edge"/>
          <c:x val="0.13869132008315793"/>
          <c:y val="1.0572461506025178E-3"/>
        </c:manualLayout>
      </c:layout>
      <c:overlay val="1"/>
    </c:title>
    <c:autoTitleDeleted val="0"/>
    <c:plotArea>
      <c:layout>
        <c:manualLayout>
          <c:layoutTarget val="inner"/>
          <c:xMode val="edge"/>
          <c:yMode val="edge"/>
          <c:x val="0.25119360467112695"/>
          <c:y val="0.14095533342451261"/>
          <c:w val="0.48448515579142265"/>
          <c:h val="0.76932081726053292"/>
        </c:manualLayout>
      </c:layout>
      <c:barChart>
        <c:barDir val="col"/>
        <c:grouping val="stacked"/>
        <c:varyColors val="0"/>
        <c:ser>
          <c:idx val="1"/>
          <c:order val="0"/>
          <c:tx>
            <c:strRef>
              <c:f>Efektas_kvotos_sumin!$A$18</c:f>
              <c:strCache>
                <c:ptCount val="1"/>
                <c:pt idx="0">
                  <c:v>T7</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Efektas_kvotos_sumin!$S$18</c:f>
              <c:numCache>
                <c:formatCode>0</c:formatCode>
                <c:ptCount val="1"/>
                <c:pt idx="0">
                  <c:v>204.41</c:v>
                </c:pt>
              </c:numCache>
            </c:numRef>
          </c:val>
          <c:extLst>
            <c:ext xmlns:c16="http://schemas.microsoft.com/office/drawing/2014/chart" uri="{C3380CC4-5D6E-409C-BE32-E72D297353CC}">
              <c16:uniqueId val="{00000000-F171-4684-97F6-EF3ED8E442E2}"/>
            </c:ext>
          </c:extLst>
        </c:ser>
        <c:ser>
          <c:idx val="5"/>
          <c:order val="1"/>
          <c:tx>
            <c:strRef>
              <c:f>Efektas_kvotos_sumin!$A$19</c:f>
              <c:strCache>
                <c:ptCount val="1"/>
                <c:pt idx="0">
                  <c:v>T8</c:v>
                </c:pt>
              </c:strCache>
            </c:strRef>
          </c:tx>
          <c:invertIfNegative val="0"/>
          <c:val>
            <c:numRef>
              <c:f>Efektas_kvotos_sumin!$S$19</c:f>
              <c:numCache>
                <c:formatCode>0</c:formatCode>
                <c:ptCount val="1"/>
                <c:pt idx="0">
                  <c:v>134.74530495038934</c:v>
                </c:pt>
              </c:numCache>
            </c:numRef>
          </c:val>
          <c:extLst>
            <c:ext xmlns:c16="http://schemas.microsoft.com/office/drawing/2014/chart" uri="{C3380CC4-5D6E-409C-BE32-E72D297353CC}">
              <c16:uniqueId val="{00000001-F171-4684-97F6-EF3ED8E442E2}"/>
            </c:ext>
          </c:extLst>
        </c:ser>
        <c:ser>
          <c:idx val="6"/>
          <c:order val="2"/>
          <c:tx>
            <c:strRef>
              <c:f>Efektas_kvotos_sumin!$A$21</c:f>
              <c:strCache>
                <c:ptCount val="1"/>
                <c:pt idx="0">
                  <c:v>T9</c:v>
                </c:pt>
              </c:strCache>
            </c:strRef>
          </c:tx>
          <c:invertIfNegative val="0"/>
          <c:val>
            <c:numRef>
              <c:f>Efektas_kvotos_sumin!$S$43</c:f>
              <c:numCache>
                <c:formatCode>0.0</c:formatCode>
                <c:ptCount val="1"/>
                <c:pt idx="0">
                  <c:v>2.2761372951310328</c:v>
                </c:pt>
              </c:numCache>
            </c:numRef>
          </c:val>
          <c:extLst>
            <c:ext xmlns:c16="http://schemas.microsoft.com/office/drawing/2014/chart" uri="{C3380CC4-5D6E-409C-BE32-E72D297353CC}">
              <c16:uniqueId val="{00000002-F171-4684-97F6-EF3ED8E442E2}"/>
            </c:ext>
          </c:extLst>
        </c:ser>
        <c:ser>
          <c:idx val="7"/>
          <c:order val="3"/>
          <c:tx>
            <c:strRef>
              <c:f>Efektas_kvotos_sumin!$A$22</c:f>
              <c:strCache>
                <c:ptCount val="1"/>
                <c:pt idx="0">
                  <c:v>T10</c:v>
                </c:pt>
              </c:strCache>
            </c:strRef>
          </c:tx>
          <c:invertIfNegative val="0"/>
          <c:val>
            <c:numRef>
              <c:f>Efektas_kvotos_sumin!$S$22</c:f>
              <c:numCache>
                <c:formatCode>0</c:formatCode>
                <c:ptCount val="1"/>
                <c:pt idx="0">
                  <c:v>18.485263772543856</c:v>
                </c:pt>
              </c:numCache>
            </c:numRef>
          </c:val>
          <c:extLst>
            <c:ext xmlns:c16="http://schemas.microsoft.com/office/drawing/2014/chart" uri="{C3380CC4-5D6E-409C-BE32-E72D297353CC}">
              <c16:uniqueId val="{00000003-F171-4684-97F6-EF3ED8E442E2}"/>
            </c:ext>
          </c:extLst>
        </c:ser>
        <c:ser>
          <c:idx val="12"/>
          <c:order val="4"/>
          <c:tx>
            <c:strRef>
              <c:f>Efektas_kvotos_sumin!$A$25</c:f>
              <c:strCache>
                <c:ptCount val="1"/>
                <c:pt idx="0">
                  <c:v>T11</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Efektas_kvotos_sumin!$S$25</c:f>
              <c:numCache>
                <c:formatCode>0</c:formatCode>
                <c:ptCount val="1"/>
                <c:pt idx="0">
                  <c:v>2011.5668617589206</c:v>
                </c:pt>
              </c:numCache>
            </c:numRef>
          </c:val>
          <c:extLst>
            <c:ext xmlns:c16="http://schemas.microsoft.com/office/drawing/2014/chart" uri="{C3380CC4-5D6E-409C-BE32-E72D297353CC}">
              <c16:uniqueId val="{00000004-F171-4684-97F6-EF3ED8E442E2}"/>
            </c:ext>
          </c:extLst>
        </c:ser>
        <c:dLbls>
          <c:showLegendKey val="0"/>
          <c:showVal val="0"/>
          <c:showCatName val="0"/>
          <c:showSerName val="0"/>
          <c:showPercent val="0"/>
          <c:showBubbleSize val="0"/>
        </c:dLbls>
        <c:gapWidth val="150"/>
        <c:overlap val="100"/>
        <c:axId val="301626112"/>
        <c:axId val="301627648"/>
      </c:barChart>
      <c:catAx>
        <c:axId val="301626112"/>
        <c:scaling>
          <c:orientation val="minMax"/>
        </c:scaling>
        <c:delete val="1"/>
        <c:axPos val="b"/>
        <c:majorTickMark val="out"/>
        <c:minorTickMark val="none"/>
        <c:tickLblPos val="nextTo"/>
        <c:crossAx val="301627648"/>
        <c:crosses val="autoZero"/>
        <c:auto val="1"/>
        <c:lblAlgn val="ctr"/>
        <c:lblOffset val="100"/>
        <c:noMultiLvlLbl val="0"/>
      </c:catAx>
      <c:valAx>
        <c:axId val="301627648"/>
        <c:scaling>
          <c:orientation val="minMax"/>
        </c:scaling>
        <c:delete val="0"/>
        <c:axPos val="l"/>
        <c:majorGridlines/>
        <c:title>
          <c:tx>
            <c:rich>
              <a:bodyPr rot="-5400000" vert="horz"/>
              <a:lstStyle/>
              <a:p>
                <a:pPr>
                  <a:defRPr/>
                </a:pPr>
                <a:r>
                  <a:rPr lang="en-US"/>
                  <a:t> ktCO</a:t>
                </a:r>
                <a:r>
                  <a:rPr lang="en-US" baseline="-25000"/>
                  <a:t>2</a:t>
                </a:r>
                <a:r>
                  <a:rPr lang="en-US"/>
                  <a:t> eq </a:t>
                </a:r>
              </a:p>
            </c:rich>
          </c:tx>
          <c:layout>
            <c:manualLayout>
              <c:xMode val="edge"/>
              <c:yMode val="edge"/>
              <c:x val="5.1931541985416824E-3"/>
              <c:y val="0.39987490059746406"/>
            </c:manualLayout>
          </c:layout>
          <c:overlay val="0"/>
        </c:title>
        <c:numFmt formatCode="General" sourceLinked="0"/>
        <c:majorTickMark val="out"/>
        <c:minorTickMark val="none"/>
        <c:tickLblPos val="nextTo"/>
        <c:crossAx val="301626112"/>
        <c:crosses val="autoZero"/>
        <c:crossBetween val="between"/>
      </c:valAx>
    </c:plotArea>
    <c:legend>
      <c:legendPos val="b"/>
      <c:layout>
        <c:manualLayout>
          <c:xMode val="edge"/>
          <c:yMode val="edge"/>
          <c:x val="0.20131106184542466"/>
          <c:y val="0.92845115116241372"/>
          <c:w val="0.59737787630915062"/>
          <c:h val="7.1548848837586262E-2"/>
        </c:manualLayout>
      </c:layout>
      <c:overlay val="0"/>
      <c:txPr>
        <a:bodyPr/>
        <a:lstStyle/>
        <a:p>
          <a:pPr rtl="0">
            <a:defRPr/>
          </a:pPr>
          <a:endParaRPr lang="lt-LT"/>
        </a:p>
      </c:txPr>
    </c:legend>
    <c:plotVisOnly val="1"/>
    <c:dispBlanksAs val="gap"/>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60044633458251"/>
          <c:y val="9.3710467042683501E-2"/>
          <c:w val="0.78913420136208479"/>
          <c:h val="0.64110220735682366"/>
        </c:manualLayout>
      </c:layout>
      <c:barChart>
        <c:barDir val="col"/>
        <c:grouping val="clustered"/>
        <c:varyColors val="0"/>
        <c:ser>
          <c:idx val="0"/>
          <c:order val="0"/>
          <c:tx>
            <c:strRef>
              <c:f>'Žemės ūkis'!$B$12</c:f>
              <c:strCache>
                <c:ptCount val="1"/>
                <c:pt idx="0">
                  <c:v>GHG emissions WEM</c:v>
                </c:pt>
              </c:strCache>
            </c:strRef>
          </c:tx>
          <c:invertIfNegative val="0"/>
          <c:cat>
            <c:numRef>
              <c:f>'Žemės ūkis'!$D$10:$M$10</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'Žemės ūkis'!$D$12:$M$12</c:f>
              <c:numCache>
                <c:formatCode>0</c:formatCode>
                <c:ptCount val="10"/>
                <c:pt idx="0">
                  <c:v>4995.3541900108057</c:v>
                </c:pt>
                <c:pt idx="1">
                  <c:v>5007.4411430020991</c:v>
                </c:pt>
                <c:pt idx="2">
                  <c:v>5019.5280959933925</c:v>
                </c:pt>
                <c:pt idx="3">
                  <c:v>5031.6150489846877</c:v>
                </c:pt>
                <c:pt idx="4">
                  <c:v>5043.7020019759821</c:v>
                </c:pt>
                <c:pt idx="5">
                  <c:v>5045.4154916608932</c:v>
                </c:pt>
                <c:pt idx="6">
                  <c:v>5057.3220213436498</c:v>
                </c:pt>
                <c:pt idx="7">
                  <c:v>5069.2285510264064</c:v>
                </c:pt>
                <c:pt idx="8">
                  <c:v>5081.135080709164</c:v>
                </c:pt>
                <c:pt idx="9">
                  <c:v>5093.0416103919179</c:v>
                </c:pt>
              </c:numCache>
            </c:numRef>
          </c:val>
          <c:extLst>
            <c:ext xmlns:c16="http://schemas.microsoft.com/office/drawing/2014/chart" uri="{C3380CC4-5D6E-409C-BE32-E72D297353CC}">
              <c16:uniqueId val="{00000000-0062-41B5-B07B-40D27A9AA1D6}"/>
            </c:ext>
          </c:extLst>
        </c:ser>
        <c:ser>
          <c:idx val="1"/>
          <c:order val="1"/>
          <c:tx>
            <c:strRef>
              <c:f>'Žemės ūkis'!$B$13</c:f>
              <c:strCache>
                <c:ptCount val="1"/>
                <c:pt idx="0">
                  <c:v>GHG emissions WAM</c:v>
                </c:pt>
              </c:strCache>
            </c:strRef>
          </c:tx>
          <c:invertIfNegative val="0"/>
          <c:cat>
            <c:numRef>
              <c:f>'Žemės ūkis'!$D$10:$M$10</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'Žemės ūkis'!$D$13:$M$13</c:f>
              <c:numCache>
                <c:formatCode>0</c:formatCode>
                <c:ptCount val="10"/>
                <c:pt idx="0">
                  <c:v>4828.2721921282973</c:v>
                </c:pt>
                <c:pt idx="1">
                  <c:v>4838.7758025670855</c:v>
                </c:pt>
                <c:pt idx="2">
                  <c:v>4842.7532434763316</c:v>
                </c:pt>
                <c:pt idx="3">
                  <c:v>4854.97744704249</c:v>
                </c:pt>
                <c:pt idx="4">
                  <c:v>4866.677142506318</c:v>
                </c:pt>
                <c:pt idx="5">
                  <c:v>4868.0290082125139</c:v>
                </c:pt>
                <c:pt idx="6">
                  <c:v>4879.591039381964</c:v>
                </c:pt>
                <c:pt idx="7">
                  <c:v>4899.6059809750959</c:v>
                </c:pt>
                <c:pt idx="8">
                  <c:v>4911.3991579561325</c:v>
                </c:pt>
                <c:pt idx="9">
                  <c:v>4923.1823103031566</c:v>
                </c:pt>
              </c:numCache>
            </c:numRef>
          </c:val>
          <c:extLst>
            <c:ext xmlns:c16="http://schemas.microsoft.com/office/drawing/2014/chart" uri="{C3380CC4-5D6E-409C-BE32-E72D297353CC}">
              <c16:uniqueId val="{00000001-0062-41B5-B07B-40D27A9AA1D6}"/>
            </c:ext>
          </c:extLst>
        </c:ser>
        <c:ser>
          <c:idx val="4"/>
          <c:order val="2"/>
          <c:tx>
            <c:strRef>
              <c:f>'Žemės ūkis'!$B$14</c:f>
              <c:strCache>
                <c:ptCount val="1"/>
                <c:pt idx="0">
                  <c:v>GHG emissions (including LULUCF)</c:v>
                </c:pt>
              </c:strCache>
            </c:strRef>
          </c:tx>
          <c:invertIfNegative val="0"/>
          <c:val>
            <c:numRef>
              <c:f>'Žemės ūkis'!$D$29:$M$29</c:f>
              <c:numCache>
                <c:formatCode>0</c:formatCode>
                <c:ptCount val="10"/>
                <c:pt idx="0">
                  <c:v>4754.172192128297</c:v>
                </c:pt>
                <c:pt idx="1">
                  <c:v>4764.6758025670852</c:v>
                </c:pt>
                <c:pt idx="2">
                  <c:v>4768.6532434763312</c:v>
                </c:pt>
                <c:pt idx="3">
                  <c:v>4780.8774470424905</c:v>
                </c:pt>
                <c:pt idx="4">
                  <c:v>4792.5771425063185</c:v>
                </c:pt>
                <c:pt idx="5">
                  <c:v>4793.9290082125144</c:v>
                </c:pt>
                <c:pt idx="6">
                  <c:v>4805.4910393819646</c:v>
                </c:pt>
                <c:pt idx="7">
                  <c:v>4825.5059809750956</c:v>
                </c:pt>
                <c:pt idx="8">
                  <c:v>4837.2991579561331</c:v>
                </c:pt>
                <c:pt idx="9">
                  <c:v>4849.0823103031571</c:v>
                </c:pt>
              </c:numCache>
            </c:numRef>
          </c:val>
          <c:extLst>
            <c:ext xmlns:c16="http://schemas.microsoft.com/office/drawing/2014/chart" uri="{C3380CC4-5D6E-409C-BE32-E72D297353CC}">
              <c16:uniqueId val="{00000002-0062-41B5-B07B-40D27A9AA1D6}"/>
            </c:ext>
          </c:extLst>
        </c:ser>
        <c:dLbls>
          <c:showLegendKey val="0"/>
          <c:showVal val="0"/>
          <c:showCatName val="0"/>
          <c:showSerName val="0"/>
          <c:showPercent val="0"/>
          <c:showBubbleSize val="0"/>
        </c:dLbls>
        <c:gapWidth val="150"/>
        <c:axId val="301532672"/>
        <c:axId val="301534208"/>
      </c:barChart>
      <c:catAx>
        <c:axId val="301532672"/>
        <c:scaling>
          <c:orientation val="minMax"/>
        </c:scaling>
        <c:delete val="0"/>
        <c:axPos val="b"/>
        <c:numFmt formatCode="General" sourceLinked="1"/>
        <c:majorTickMark val="out"/>
        <c:minorTickMark val="none"/>
        <c:tickLblPos val="nextTo"/>
        <c:crossAx val="301534208"/>
        <c:crosses val="autoZero"/>
        <c:auto val="1"/>
        <c:lblAlgn val="ctr"/>
        <c:lblOffset val="100"/>
        <c:noMultiLvlLbl val="0"/>
      </c:catAx>
      <c:valAx>
        <c:axId val="301534208"/>
        <c:scaling>
          <c:orientation val="minMax"/>
          <c:min val="0"/>
        </c:scaling>
        <c:delete val="0"/>
        <c:axPos val="l"/>
        <c:majorGridlines/>
        <c:title>
          <c:tx>
            <c:rich>
              <a:bodyPr rot="-5400000" vert="horz"/>
              <a:lstStyle/>
              <a:p>
                <a:pPr>
                  <a:defRPr/>
                </a:pPr>
                <a:r>
                  <a:rPr lang="lt-LT"/>
                  <a:t>ktCO</a:t>
                </a:r>
                <a:r>
                  <a:rPr lang="lt-LT" baseline="-25000"/>
                  <a:t>2</a:t>
                </a:r>
                <a:r>
                  <a:rPr lang="lt-LT"/>
                  <a:t>eq.</a:t>
                </a:r>
                <a:endParaRPr lang="en-US"/>
              </a:p>
            </c:rich>
          </c:tx>
          <c:layout>
            <c:manualLayout>
              <c:xMode val="edge"/>
              <c:yMode val="edge"/>
              <c:x val="1.3552851348126939E-3"/>
              <c:y val="0.30671618175387649"/>
            </c:manualLayout>
          </c:layout>
          <c:overlay val="0"/>
        </c:title>
        <c:numFmt formatCode="0" sourceLinked="0"/>
        <c:majorTickMark val="out"/>
        <c:minorTickMark val="none"/>
        <c:tickLblPos val="nextTo"/>
        <c:crossAx val="301532672"/>
        <c:crosses val="autoZero"/>
        <c:crossBetween val="between"/>
      </c:valAx>
    </c:plotArea>
    <c:legend>
      <c:legendPos val="b"/>
      <c:layout>
        <c:manualLayout>
          <c:xMode val="edge"/>
          <c:yMode val="edge"/>
          <c:x val="3.2085561497326207E-2"/>
          <c:y val="0.82121144431414161"/>
          <c:w val="0.94306483079989334"/>
          <c:h val="0.15041976135961729"/>
        </c:manualLayout>
      </c:layout>
      <c:overlay val="1"/>
      <c:spPr>
        <a:noFill/>
      </c:spPr>
      <c:txPr>
        <a:bodyPr/>
        <a:lstStyle/>
        <a:p>
          <a:pPr>
            <a:defRPr sz="800"/>
          </a:pPr>
          <a:endParaRPr lang="lt-LT"/>
        </a:p>
      </c:tx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Horizontas">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Horizontas">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96CE1-BEFA-422C-BE36-DFB13A4DF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110</Pages>
  <Words>167358</Words>
  <Characters>95395</Characters>
  <Application>Microsoft Office Word</Application>
  <DocSecurity>0</DocSecurity>
  <Lines>794</Lines>
  <Paragraphs>524</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262229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Daumantas Kerezis</dc:creator>
  <cp:keywords/>
  <cp:lastModifiedBy>Kristina Rimkūnaitė</cp:lastModifiedBy>
  <cp:revision>1033</cp:revision>
  <cp:lastPrinted>2018-10-25T07:14:00Z</cp:lastPrinted>
  <dcterms:created xsi:type="dcterms:W3CDTF">2018-10-25T06:21:00Z</dcterms:created>
  <dcterms:modified xsi:type="dcterms:W3CDTF">2018-11-26T07:28:00Z</dcterms:modified>
</cp:coreProperties>
</file>