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EA" w:rsidRPr="00BE5D3A" w:rsidRDefault="006745EA" w:rsidP="005F4840">
      <w:pPr>
        <w:jc w:val="center"/>
        <w:rPr>
          <w:rFonts w:ascii="Times New Roman" w:hAnsi="Times New Roman"/>
          <w:b/>
          <w:color w:val="000000"/>
          <w:sz w:val="24"/>
          <w:szCs w:val="24"/>
          <w:lang w:val="lt-LT"/>
        </w:rPr>
      </w:pPr>
      <w:r w:rsidRPr="00BE5D3A">
        <w:rPr>
          <w:rFonts w:ascii="Times New Roman" w:hAnsi="Times New Roman"/>
          <w:b/>
          <w:color w:val="000000"/>
          <w:sz w:val="24"/>
          <w:szCs w:val="24"/>
          <w:lang w:val="lt-LT"/>
        </w:rPr>
        <w:t>NUMATOMO TEISINIO REGULIAVIMO POVEIKIO VERTINIMO PAŽYMA</w:t>
      </w:r>
    </w:p>
    <w:p w:rsidR="006745EA" w:rsidRPr="00BE5D3A" w:rsidRDefault="006745EA" w:rsidP="006745EA">
      <w:pPr>
        <w:rPr>
          <w:rFonts w:ascii="Times New Roman" w:hAnsi="Times New Roman"/>
          <w:b/>
          <w:color w:val="0000FF"/>
          <w:lang w:val="lt-LT"/>
        </w:rPr>
      </w:pPr>
    </w:p>
    <w:p w:rsidR="006745EA" w:rsidRPr="00BE5D3A" w:rsidRDefault="006745EA" w:rsidP="006745EA">
      <w:pPr>
        <w:rPr>
          <w:rFonts w:ascii="Times New Roman" w:hAnsi="Times New Roman"/>
          <w:b/>
          <w:color w:val="0000FF"/>
          <w:lang w:val="lt-LT"/>
        </w:rPr>
      </w:pPr>
    </w:p>
    <w:tbl>
      <w:tblPr>
        <w:tblW w:w="10008" w:type="dxa"/>
        <w:tblLook w:val="00A0"/>
      </w:tblPr>
      <w:tblGrid>
        <w:gridCol w:w="2235"/>
        <w:gridCol w:w="7773"/>
      </w:tblGrid>
      <w:tr w:rsidR="00A03AC5" w:rsidRPr="00A03AC5" w:rsidTr="006B795B">
        <w:tc>
          <w:tcPr>
            <w:tcW w:w="2235" w:type="dxa"/>
            <w:shd w:val="clear" w:color="auto" w:fill="DBE5F1"/>
          </w:tcPr>
          <w:p w:rsidR="006745EA" w:rsidRPr="00A03AC5" w:rsidRDefault="006745EA" w:rsidP="006B795B">
            <w:pPr>
              <w:rPr>
                <w:rFonts w:ascii="Times New Roman" w:hAnsi="Times New Roman"/>
                <w:shd w:val="clear" w:color="auto" w:fill="DBE5F1"/>
                <w:lang w:val="lt-LT"/>
              </w:rPr>
            </w:pPr>
            <w:r w:rsidRPr="00A03AC5">
              <w:rPr>
                <w:rFonts w:ascii="Times New Roman" w:hAnsi="Times New Roman"/>
                <w:b/>
                <w:shd w:val="clear" w:color="auto" w:fill="DBE5F1"/>
                <w:lang w:val="lt-LT"/>
              </w:rPr>
              <w:t>Projekto pavadinimas</w:t>
            </w:r>
          </w:p>
        </w:tc>
        <w:tc>
          <w:tcPr>
            <w:tcW w:w="7773" w:type="dxa"/>
            <w:shd w:val="clear" w:color="auto" w:fill="DBE5F1"/>
          </w:tcPr>
          <w:p w:rsidR="006745EA" w:rsidRPr="00A03AC5" w:rsidRDefault="006745EA" w:rsidP="00546D67">
            <w:pPr>
              <w:jc w:val="both"/>
              <w:rPr>
                <w:rFonts w:ascii="Times New Roman" w:hAnsi="Times New Roman"/>
                <w:lang w:val="lt-LT"/>
              </w:rPr>
            </w:pPr>
            <w:r w:rsidRPr="00A03AC5">
              <w:rPr>
                <w:rFonts w:ascii="Times New Roman" w:hAnsi="Times New Roman"/>
                <w:lang w:val="lt-LT"/>
              </w:rPr>
              <w:t xml:space="preserve">Lietuvos Respublikos Vyriausybės nutarimo </w:t>
            </w:r>
            <w:r w:rsidR="005F4840" w:rsidRPr="00A03AC5">
              <w:rPr>
                <w:rFonts w:ascii="Times New Roman" w:hAnsi="Times New Roman"/>
                <w:lang w:val="lt-LT"/>
              </w:rPr>
              <w:t>„</w:t>
            </w:r>
            <w:r w:rsidR="00017720" w:rsidRPr="00A03AC5">
              <w:rPr>
                <w:rFonts w:ascii="Times New Roman" w:hAnsi="Times New Roman"/>
                <w:bCs/>
                <w:lang w:val="lt-LT"/>
              </w:rPr>
              <w:t xml:space="preserve">Dėl </w:t>
            </w:r>
            <w:r w:rsidR="00546D67" w:rsidRPr="00A03AC5">
              <w:rPr>
                <w:rFonts w:ascii="Times New Roman" w:hAnsi="Times New Roman"/>
                <w:bCs/>
                <w:lang w:val="lt-LT"/>
              </w:rPr>
              <w:t xml:space="preserve">Nacionalinės </w:t>
            </w:r>
            <w:r w:rsidR="00017720" w:rsidRPr="00A03AC5">
              <w:rPr>
                <w:rFonts w:ascii="Times New Roman" w:hAnsi="Times New Roman"/>
                <w:bCs/>
                <w:lang w:val="lt-LT"/>
              </w:rPr>
              <w:t>antidopingo programos įgyvendinimo  finansavimo valstybės biudžeto lėšomis tvarkos aprašo patvirtinimo</w:t>
            </w:r>
            <w:r w:rsidR="005F4840" w:rsidRPr="00A03AC5">
              <w:rPr>
                <w:rFonts w:ascii="Times New Roman" w:hAnsi="Times New Roman"/>
                <w:lang w:val="lt-LT"/>
              </w:rPr>
              <w:t xml:space="preserve">“ </w:t>
            </w:r>
            <w:r w:rsidRPr="00A03AC5">
              <w:rPr>
                <w:rFonts w:ascii="Times New Roman" w:hAnsi="Times New Roman"/>
                <w:lang w:val="lt-LT"/>
              </w:rPr>
              <w:t>projektas (toliau – Projektas)</w:t>
            </w:r>
          </w:p>
        </w:tc>
      </w:tr>
    </w:tbl>
    <w:p w:rsidR="006745EA" w:rsidRPr="00A03AC5" w:rsidRDefault="006745EA" w:rsidP="006745EA">
      <w:pPr>
        <w:rPr>
          <w:rFonts w:ascii="Times New Roman" w:hAnsi="Times New Roman"/>
          <w:lang w:val="lt-LT"/>
        </w:rPr>
      </w:pPr>
    </w:p>
    <w:tbl>
      <w:tblPr>
        <w:tblW w:w="10008" w:type="dxa"/>
        <w:tblLook w:val="00A0"/>
      </w:tblPr>
      <w:tblGrid>
        <w:gridCol w:w="2235"/>
        <w:gridCol w:w="7773"/>
      </w:tblGrid>
      <w:tr w:rsidR="00A03AC5" w:rsidRPr="00A03AC5" w:rsidTr="006B795B">
        <w:tc>
          <w:tcPr>
            <w:tcW w:w="2235" w:type="dxa"/>
            <w:shd w:val="clear" w:color="auto" w:fill="DBE5F1"/>
          </w:tcPr>
          <w:p w:rsidR="006745EA" w:rsidRPr="00A03AC5" w:rsidRDefault="006745EA" w:rsidP="006B795B">
            <w:pPr>
              <w:rPr>
                <w:rFonts w:ascii="Times New Roman" w:hAnsi="Times New Roman"/>
                <w:lang w:val="lt-LT"/>
              </w:rPr>
            </w:pPr>
            <w:r w:rsidRPr="00A03AC5">
              <w:rPr>
                <w:rFonts w:ascii="Times New Roman" w:hAnsi="Times New Roman"/>
                <w:b/>
                <w:shd w:val="clear" w:color="auto" w:fill="DBE5F1"/>
                <w:lang w:val="lt-LT"/>
              </w:rPr>
              <w:t>Projekto rengėjas</w:t>
            </w:r>
          </w:p>
        </w:tc>
        <w:tc>
          <w:tcPr>
            <w:tcW w:w="7773" w:type="dxa"/>
            <w:shd w:val="clear" w:color="auto" w:fill="DBE5F1"/>
          </w:tcPr>
          <w:p w:rsidR="006745EA" w:rsidRPr="00A03AC5" w:rsidRDefault="006745EA" w:rsidP="006B795B">
            <w:pPr>
              <w:jc w:val="both"/>
              <w:rPr>
                <w:rFonts w:ascii="Times New Roman" w:hAnsi="Times New Roman"/>
                <w:b/>
                <w:lang w:val="lt-LT"/>
              </w:rPr>
            </w:pPr>
            <w:r w:rsidRPr="00A03AC5">
              <w:rPr>
                <w:rFonts w:ascii="Times New Roman" w:hAnsi="Times New Roman"/>
                <w:lang w:val="lt-LT"/>
              </w:rPr>
              <w:t xml:space="preserve">Lietuvos Respublikos švietimo, mokslo ir sporto ministerija </w:t>
            </w:r>
            <w:r w:rsidR="009B00A9">
              <w:rPr>
                <w:rFonts w:ascii="Times New Roman" w:hAnsi="Times New Roman"/>
                <w:lang w:val="lt-LT"/>
              </w:rPr>
              <w:t>(toliau – Ministerija)</w:t>
            </w:r>
          </w:p>
        </w:tc>
      </w:tr>
    </w:tbl>
    <w:p w:rsidR="006745EA" w:rsidRPr="00A03AC5" w:rsidRDefault="006745EA" w:rsidP="006745EA">
      <w:pPr>
        <w:rPr>
          <w:rFonts w:ascii="Times New Roman" w:hAnsi="Times New Roman"/>
          <w:lang w:val="lt-LT"/>
        </w:rPr>
      </w:pPr>
    </w:p>
    <w:tbl>
      <w:tblPr>
        <w:tblW w:w="9996" w:type="dxa"/>
        <w:tblLook w:val="00A0"/>
      </w:tblPr>
      <w:tblGrid>
        <w:gridCol w:w="2234"/>
        <w:gridCol w:w="7762"/>
      </w:tblGrid>
      <w:tr w:rsidR="00A03AC5" w:rsidRPr="00A03AC5" w:rsidTr="00640592">
        <w:trPr>
          <w:trHeight w:val="916"/>
        </w:trPr>
        <w:tc>
          <w:tcPr>
            <w:tcW w:w="2234" w:type="dxa"/>
            <w:shd w:val="clear" w:color="auto" w:fill="DBE5F1"/>
          </w:tcPr>
          <w:p w:rsidR="006745EA" w:rsidRPr="00A03AC5" w:rsidRDefault="006745EA" w:rsidP="006B795B">
            <w:pPr>
              <w:rPr>
                <w:rFonts w:ascii="Times New Roman" w:hAnsi="Times New Roman"/>
                <w:b/>
                <w:lang w:val="lt-LT"/>
              </w:rPr>
            </w:pPr>
            <w:r w:rsidRPr="00A03AC5">
              <w:rPr>
                <w:rFonts w:ascii="Times New Roman" w:hAnsi="Times New Roman"/>
                <w:b/>
                <w:lang w:val="lt-LT"/>
              </w:rPr>
              <w:t>Projekto tikslas</w:t>
            </w:r>
          </w:p>
          <w:p w:rsidR="006745EA" w:rsidRPr="00A03AC5" w:rsidRDefault="006745EA" w:rsidP="006B795B">
            <w:pPr>
              <w:rPr>
                <w:rFonts w:ascii="Times New Roman" w:hAnsi="Times New Roman"/>
                <w:b/>
                <w:lang w:val="lt-LT"/>
              </w:rPr>
            </w:pPr>
          </w:p>
        </w:tc>
        <w:tc>
          <w:tcPr>
            <w:tcW w:w="7762" w:type="dxa"/>
            <w:shd w:val="clear" w:color="auto" w:fill="DBE5F1"/>
          </w:tcPr>
          <w:p w:rsidR="00017720" w:rsidRPr="00A03AC5" w:rsidRDefault="006745EA" w:rsidP="00017720">
            <w:pPr>
              <w:tabs>
                <w:tab w:val="left" w:pos="1134"/>
              </w:tabs>
              <w:suppressAutoHyphens/>
              <w:spacing w:line="360" w:lineRule="auto"/>
              <w:jc w:val="both"/>
              <w:rPr>
                <w:rFonts w:ascii="Times New Roman" w:hAnsi="Times New Roman"/>
                <w:szCs w:val="24"/>
                <w:lang w:val="lt-LT"/>
              </w:rPr>
            </w:pPr>
            <w:r w:rsidRPr="00A03AC5">
              <w:rPr>
                <w:rFonts w:ascii="Times New Roman" w:hAnsi="Times New Roman"/>
                <w:b/>
                <w:lang w:val="lt-LT"/>
              </w:rPr>
              <w:t>Projekto tikslas –</w:t>
            </w:r>
            <w:r w:rsidRPr="00A03AC5">
              <w:rPr>
                <w:rFonts w:ascii="Times New Roman" w:hAnsi="Times New Roman"/>
                <w:lang w:val="lt-LT"/>
              </w:rPr>
              <w:t xml:space="preserve"> siekiama </w:t>
            </w:r>
            <w:r w:rsidR="005F4840" w:rsidRPr="00A03AC5">
              <w:rPr>
                <w:rFonts w:ascii="Times New Roman" w:hAnsi="Times New Roman"/>
                <w:lang w:val="lt-LT"/>
              </w:rPr>
              <w:t xml:space="preserve">nustatyti </w:t>
            </w:r>
            <w:r w:rsidR="00017720" w:rsidRPr="00A03AC5">
              <w:rPr>
                <w:rFonts w:ascii="Times New Roman" w:hAnsi="Times New Roman"/>
                <w:szCs w:val="24"/>
                <w:lang w:val="lt-LT"/>
              </w:rPr>
              <w:t>nacionalinės antidopingo organizacijos, atitinkančios nacionalinės antidopingo organizacijos statusą, kaip jis suprantamas Pasauliniame antidopingo kodekse</w:t>
            </w:r>
            <w:r w:rsidR="009B00A9">
              <w:rPr>
                <w:rFonts w:ascii="Times New Roman" w:hAnsi="Times New Roman"/>
                <w:szCs w:val="24"/>
                <w:lang w:val="lt-LT"/>
              </w:rPr>
              <w:t xml:space="preserve"> (toliau – ir </w:t>
            </w:r>
            <w:r w:rsidR="00115E4C">
              <w:rPr>
                <w:rFonts w:ascii="Times New Roman" w:hAnsi="Times New Roman"/>
                <w:szCs w:val="24"/>
                <w:lang w:val="lt-LT"/>
              </w:rPr>
              <w:t>Organizacija</w:t>
            </w:r>
            <w:r w:rsidR="009B00A9">
              <w:rPr>
                <w:rFonts w:ascii="Times New Roman" w:hAnsi="Times New Roman"/>
                <w:szCs w:val="24"/>
                <w:lang w:val="lt-LT"/>
              </w:rPr>
              <w:t>)</w:t>
            </w:r>
            <w:r w:rsidR="00017720" w:rsidRPr="00A03AC5">
              <w:rPr>
                <w:rFonts w:ascii="Times New Roman" w:hAnsi="Times New Roman"/>
                <w:szCs w:val="24"/>
                <w:lang w:val="lt-LT" w:eastAsia="lt-LT"/>
              </w:rPr>
              <w:t>,</w:t>
            </w:r>
            <w:r w:rsidR="00017720" w:rsidRPr="00A03AC5">
              <w:rPr>
                <w:rFonts w:ascii="Times New Roman" w:hAnsi="Times New Roman"/>
                <w:szCs w:val="24"/>
                <w:lang w:val="lt-LT"/>
              </w:rPr>
              <w:t xml:space="preserve"> parengtai nacionalinei antidopingo programai įgyvendinti valstybės biudžeto lėšų skyrimo, naudojimo ir atsiskaitymo už panaudotas lėšas tvarką, valstybės biudžeto lėšų naudojimo sutarčių sudarymo ir pakeitimo tvarką.</w:t>
            </w:r>
          </w:p>
          <w:p w:rsidR="005F4840" w:rsidRPr="00A03AC5" w:rsidRDefault="005F4840" w:rsidP="00640592">
            <w:pPr>
              <w:suppressAutoHyphens/>
              <w:jc w:val="both"/>
              <w:rPr>
                <w:rFonts w:ascii="Times New Roman" w:hAnsi="Times New Roman"/>
                <w:lang w:val="lt-LT" w:eastAsia="lt-LT"/>
              </w:rPr>
            </w:pPr>
          </w:p>
          <w:p w:rsidR="006745EA" w:rsidRPr="00A03AC5" w:rsidRDefault="006745EA" w:rsidP="005F4840">
            <w:pPr>
              <w:jc w:val="both"/>
              <w:rPr>
                <w:rFonts w:ascii="Times New Roman" w:hAnsi="Times New Roman"/>
                <w:lang w:val="lt-LT"/>
              </w:rPr>
            </w:pPr>
          </w:p>
        </w:tc>
      </w:tr>
    </w:tbl>
    <w:p w:rsidR="006745EA" w:rsidRPr="00A03AC5" w:rsidRDefault="006745EA" w:rsidP="006745EA">
      <w:pPr>
        <w:rPr>
          <w:rFonts w:ascii="Times New Roman" w:hAnsi="Times New Roman"/>
          <w:lang w:val="lt-LT"/>
        </w:rPr>
      </w:pPr>
    </w:p>
    <w:tbl>
      <w:tblPr>
        <w:tblW w:w="10008" w:type="dxa"/>
        <w:tblLook w:val="00A0"/>
      </w:tblPr>
      <w:tblGrid>
        <w:gridCol w:w="2164"/>
        <w:gridCol w:w="7844"/>
      </w:tblGrid>
      <w:tr w:rsidR="00A03AC5" w:rsidRPr="00A03AC5" w:rsidTr="006B795B">
        <w:trPr>
          <w:trHeight w:val="415"/>
        </w:trPr>
        <w:tc>
          <w:tcPr>
            <w:tcW w:w="2164" w:type="dxa"/>
            <w:shd w:val="clear" w:color="auto" w:fill="DBE5F1"/>
          </w:tcPr>
          <w:p w:rsidR="006745EA" w:rsidRPr="00A03AC5" w:rsidRDefault="006745EA" w:rsidP="006B795B">
            <w:pPr>
              <w:rPr>
                <w:rFonts w:ascii="Times New Roman" w:hAnsi="Times New Roman"/>
                <w:lang w:val="lt-LT"/>
              </w:rPr>
            </w:pPr>
          </w:p>
        </w:tc>
        <w:tc>
          <w:tcPr>
            <w:tcW w:w="7844" w:type="dxa"/>
            <w:shd w:val="clear" w:color="auto" w:fill="DBE5F1"/>
          </w:tcPr>
          <w:p w:rsidR="006745EA" w:rsidRPr="00A03AC5" w:rsidRDefault="006745EA" w:rsidP="006B795B">
            <w:pPr>
              <w:jc w:val="center"/>
              <w:rPr>
                <w:rFonts w:ascii="Times New Roman" w:hAnsi="Times New Roman"/>
                <w:b/>
                <w:lang w:val="lt-LT"/>
              </w:rPr>
            </w:pPr>
            <w:r w:rsidRPr="00A03AC5">
              <w:rPr>
                <w:rFonts w:ascii="Times New Roman" w:hAnsi="Times New Roman"/>
                <w:b/>
                <w:lang w:val="lt-LT"/>
              </w:rPr>
              <w:t xml:space="preserve">Siūlomo projekto poveikio įvertinimas </w:t>
            </w:r>
          </w:p>
          <w:p w:rsidR="006745EA" w:rsidRPr="00A03AC5" w:rsidRDefault="006745EA" w:rsidP="006B795B">
            <w:pPr>
              <w:jc w:val="center"/>
              <w:rPr>
                <w:rFonts w:ascii="Times New Roman" w:hAnsi="Times New Roman"/>
                <w:b/>
                <w:lang w:val="lt-LT"/>
              </w:rPr>
            </w:pPr>
            <w:r w:rsidRPr="00A03AC5">
              <w:rPr>
                <w:rFonts w:ascii="Times New Roman" w:hAnsi="Times New Roman"/>
                <w:b/>
                <w:lang w:val="lt-LT"/>
              </w:rPr>
              <w:t>(</w:t>
            </w:r>
            <w:r w:rsidRPr="00A03AC5">
              <w:rPr>
                <w:rFonts w:ascii="Times New Roman" w:hAnsi="Times New Roman"/>
                <w:b/>
                <w:bCs/>
                <w:lang w:val="lt-LT"/>
              </w:rPr>
              <w:t>teigiamos ir (ar) neigiamos pasekmės)</w:t>
            </w:r>
          </w:p>
        </w:tc>
      </w:tr>
    </w:tbl>
    <w:p w:rsidR="006745EA" w:rsidRPr="00A03AC5" w:rsidRDefault="006745EA" w:rsidP="006745EA">
      <w:pPr>
        <w:rPr>
          <w:rFonts w:ascii="Times New Roman" w:hAnsi="Times New Roman"/>
          <w:lang w:val="lt-LT"/>
        </w:rPr>
      </w:pPr>
    </w:p>
    <w:tbl>
      <w:tblPr>
        <w:tblW w:w="10008" w:type="dxa"/>
        <w:tblLook w:val="00A0"/>
      </w:tblPr>
      <w:tblGrid>
        <w:gridCol w:w="2235"/>
        <w:gridCol w:w="7773"/>
      </w:tblGrid>
      <w:tr w:rsidR="00A03AC5" w:rsidRPr="00A03AC5" w:rsidTr="006B795B">
        <w:tc>
          <w:tcPr>
            <w:tcW w:w="2235" w:type="dxa"/>
            <w:shd w:val="clear" w:color="auto" w:fill="DBE5F1"/>
          </w:tcPr>
          <w:p w:rsidR="006745EA" w:rsidRPr="00A03AC5" w:rsidRDefault="006745EA" w:rsidP="006B795B">
            <w:pPr>
              <w:rPr>
                <w:rFonts w:ascii="Times New Roman" w:hAnsi="Times New Roman"/>
                <w:b/>
                <w:lang w:val="lt-LT"/>
              </w:rPr>
            </w:pPr>
            <w:r w:rsidRPr="00A03AC5">
              <w:rPr>
                <w:rFonts w:ascii="Times New Roman" w:hAnsi="Times New Roman"/>
                <w:b/>
                <w:lang w:val="lt-LT"/>
              </w:rPr>
              <w:t xml:space="preserve">Poveikis atitinkamai </w:t>
            </w:r>
          </w:p>
          <w:p w:rsidR="006745EA" w:rsidRPr="00A03AC5" w:rsidRDefault="006745EA" w:rsidP="006B795B">
            <w:pPr>
              <w:rPr>
                <w:rFonts w:ascii="Times New Roman" w:hAnsi="Times New Roman"/>
                <w:b/>
                <w:lang w:val="lt-LT"/>
              </w:rPr>
            </w:pPr>
            <w:r w:rsidRPr="00A03AC5">
              <w:rPr>
                <w:rFonts w:ascii="Times New Roman" w:hAnsi="Times New Roman"/>
                <w:b/>
                <w:lang w:val="lt-LT"/>
              </w:rPr>
              <w:t>sričiai</w:t>
            </w:r>
          </w:p>
        </w:tc>
        <w:tc>
          <w:tcPr>
            <w:tcW w:w="7773" w:type="dxa"/>
          </w:tcPr>
          <w:p w:rsidR="002A2987" w:rsidRPr="00A03AC5" w:rsidRDefault="002A2987" w:rsidP="002A2987">
            <w:pPr>
              <w:pStyle w:val="NormalWeb"/>
              <w:shd w:val="clear" w:color="auto" w:fill="FFFFFF"/>
              <w:spacing w:before="0" w:beforeAutospacing="0" w:after="0" w:afterAutospacing="0"/>
              <w:jc w:val="both"/>
              <w:rPr>
                <w:sz w:val="20"/>
                <w:szCs w:val="20"/>
              </w:rPr>
            </w:pPr>
            <w:r w:rsidRPr="00A03AC5">
              <w:rPr>
                <w:sz w:val="20"/>
                <w:szCs w:val="20"/>
              </w:rPr>
              <w:t>Lietuva 1995 m. lapkričio 7 d. ratifikavo Europos Tarybos Antidopingo konvenciją, o 2004 m. rugsėjo 28 d. − šios konvencijos papildomą protokolą, tokiu būdu deklaruodama savo poziciją už švarų ir sąžiningą sportą.</w:t>
            </w:r>
          </w:p>
          <w:p w:rsidR="005F4840" w:rsidRPr="00A03AC5" w:rsidRDefault="00AF15AF" w:rsidP="00AF15AF">
            <w:pPr>
              <w:pStyle w:val="NormalWeb"/>
              <w:shd w:val="clear" w:color="auto" w:fill="FFFFFF"/>
              <w:spacing w:before="0" w:beforeAutospacing="0" w:after="0" w:afterAutospacing="0"/>
              <w:jc w:val="both"/>
              <w:rPr>
                <w:sz w:val="20"/>
                <w:szCs w:val="20"/>
              </w:rPr>
            </w:pPr>
            <w:r w:rsidRPr="00A03AC5">
              <w:rPr>
                <w:sz w:val="20"/>
                <w:szCs w:val="20"/>
              </w:rPr>
              <w:t>2004 m. liepos 9</w:t>
            </w:r>
            <w:r w:rsidR="002A2987" w:rsidRPr="00A03AC5">
              <w:rPr>
                <w:sz w:val="20"/>
                <w:szCs w:val="20"/>
              </w:rPr>
              <w:t xml:space="preserve"> d. Lietuvos Respublikos Vyriausybė pasirašė Kopenhagos deklaraciją dėl antidopingo sporte, kuria Lietuva įsipareigojo įgyvendinti Pasaulinės antidopingo agentūros kodeksą. Lietuvos Respublikos Seimas 2006 m. gegužės 2 d. ratifikavo Tarptautinę konvenciją prieš dopingo vartojimą sporte.</w:t>
            </w:r>
          </w:p>
          <w:p w:rsidR="002A2987" w:rsidRPr="00A03AC5" w:rsidRDefault="005F4840" w:rsidP="002A2987">
            <w:pPr>
              <w:jc w:val="both"/>
              <w:rPr>
                <w:rFonts w:ascii="Times New Roman" w:hAnsi="Times New Roman"/>
                <w:lang w:val="lt-LT"/>
              </w:rPr>
            </w:pPr>
            <w:r w:rsidRPr="00A03AC5">
              <w:rPr>
                <w:rFonts w:ascii="Times New Roman" w:eastAsia="MS Mincho" w:hAnsi="Times New Roman"/>
                <w:lang w:val="lt-LT" w:eastAsia="ja-JP"/>
              </w:rPr>
              <w:t xml:space="preserve">Finansuojant </w:t>
            </w:r>
            <w:r w:rsidR="00605D61" w:rsidRPr="00A03AC5">
              <w:rPr>
                <w:rFonts w:ascii="Times New Roman" w:hAnsi="Times New Roman"/>
                <w:bCs/>
                <w:lang w:val="lt-LT"/>
              </w:rPr>
              <w:t>n</w:t>
            </w:r>
            <w:r w:rsidR="006C4914" w:rsidRPr="00A03AC5">
              <w:rPr>
                <w:rFonts w:ascii="Times New Roman" w:hAnsi="Times New Roman"/>
                <w:bCs/>
                <w:lang w:val="lt-LT"/>
              </w:rPr>
              <w:t>acionalinės antidopingo programos įgyvendinimą</w:t>
            </w:r>
            <w:r w:rsidRPr="00A03AC5">
              <w:rPr>
                <w:rFonts w:ascii="Times New Roman" w:eastAsia="MS Mincho" w:hAnsi="Times New Roman"/>
                <w:lang w:val="lt-LT" w:eastAsia="ja-JP"/>
              </w:rPr>
              <w:t xml:space="preserve"> skatinama efektyvesnė kova</w:t>
            </w:r>
            <w:r w:rsidR="002403BE" w:rsidRPr="00A03AC5">
              <w:rPr>
                <w:rFonts w:ascii="Times New Roman" w:eastAsia="MS Mincho" w:hAnsi="Times New Roman"/>
                <w:lang w:val="lt-LT" w:eastAsia="ja-JP"/>
              </w:rPr>
              <w:t xml:space="preserve"> su viena iš didžiausių šių dienų</w:t>
            </w:r>
            <w:r w:rsidRPr="00A03AC5">
              <w:rPr>
                <w:rFonts w:ascii="Times New Roman" w:eastAsia="MS Mincho" w:hAnsi="Times New Roman"/>
                <w:lang w:val="lt-LT" w:eastAsia="ja-JP"/>
              </w:rPr>
              <w:t xml:space="preserve"> </w:t>
            </w:r>
            <w:r w:rsidR="002403BE" w:rsidRPr="00A03AC5">
              <w:rPr>
                <w:rFonts w:ascii="Times New Roman" w:eastAsia="MS Mincho" w:hAnsi="Times New Roman"/>
                <w:lang w:val="lt-LT" w:eastAsia="ja-JP"/>
              </w:rPr>
              <w:t xml:space="preserve">sporto grėsmių </w:t>
            </w:r>
            <w:r w:rsidRPr="00A03AC5">
              <w:rPr>
                <w:rFonts w:ascii="Times New Roman" w:eastAsia="MS Mincho" w:hAnsi="Times New Roman"/>
                <w:lang w:val="lt-LT" w:eastAsia="ja-JP"/>
              </w:rPr>
              <w:t>dopingo vartojimu</w:t>
            </w:r>
            <w:r w:rsidR="002403BE" w:rsidRPr="00A03AC5">
              <w:rPr>
                <w:rFonts w:ascii="Times New Roman" w:eastAsia="MS Mincho" w:hAnsi="Times New Roman"/>
                <w:lang w:val="lt-LT" w:eastAsia="ja-JP"/>
              </w:rPr>
              <w:t>. P</w:t>
            </w:r>
            <w:r w:rsidRPr="00A03AC5">
              <w:rPr>
                <w:rFonts w:ascii="Times New Roman" w:eastAsia="MS Mincho" w:hAnsi="Times New Roman"/>
                <w:lang w:val="lt-LT" w:eastAsia="ja-JP"/>
              </w:rPr>
              <w:t xml:space="preserve">adidintas </w:t>
            </w:r>
            <w:r w:rsidR="002403BE" w:rsidRPr="00A03AC5">
              <w:rPr>
                <w:rFonts w:ascii="Times New Roman" w:hAnsi="Times New Roman"/>
                <w:lang w:val="lt-LT"/>
              </w:rPr>
              <w:t>nacionalinės antidopingo organizacijos, atitinkančios nacionalinės antidopingo organizacijos statusą, kaip jis suprantamas Pasauliniame antidopingo kodekse,</w:t>
            </w:r>
            <w:r w:rsidR="00BC504C" w:rsidRPr="00A03AC5">
              <w:rPr>
                <w:rFonts w:ascii="Times New Roman" w:eastAsia="MS Mincho" w:hAnsi="Times New Roman"/>
                <w:lang w:val="lt-LT" w:eastAsia="ja-JP"/>
              </w:rPr>
              <w:t xml:space="preserve"> </w:t>
            </w:r>
            <w:r w:rsidRPr="00A03AC5">
              <w:rPr>
                <w:rFonts w:ascii="Times New Roman" w:eastAsia="MS Mincho" w:hAnsi="Times New Roman"/>
                <w:lang w:val="lt-LT" w:eastAsia="ja-JP"/>
              </w:rPr>
              <w:t>savarankiškumas, skaidrumas, veiklos efektyvumas, skatinamas gero valdymo principų diegimas</w:t>
            </w:r>
            <w:r w:rsidR="002403BE" w:rsidRPr="00A03AC5">
              <w:rPr>
                <w:rFonts w:ascii="Times New Roman" w:eastAsia="MS Mincho" w:hAnsi="Times New Roman"/>
                <w:lang w:val="lt-LT" w:eastAsia="ja-JP"/>
              </w:rPr>
              <w:t>.</w:t>
            </w:r>
            <w:r w:rsidR="002A2987" w:rsidRPr="00A03AC5">
              <w:rPr>
                <w:rFonts w:ascii="Times New Roman" w:eastAsia="MS Mincho" w:hAnsi="Times New Roman"/>
                <w:lang w:val="lt-LT" w:eastAsia="ja-JP"/>
              </w:rPr>
              <w:t xml:space="preserve"> Taip pat nacionalinės antidopingo </w:t>
            </w:r>
            <w:r w:rsidR="00BC504C" w:rsidRPr="00A03AC5">
              <w:rPr>
                <w:rFonts w:ascii="Times New Roman" w:eastAsia="MS Mincho" w:hAnsi="Times New Roman"/>
                <w:lang w:val="lt-LT" w:eastAsia="ja-JP"/>
              </w:rPr>
              <w:t xml:space="preserve">organizacijos </w:t>
            </w:r>
            <w:r w:rsidR="002A2987" w:rsidRPr="00A03AC5">
              <w:rPr>
                <w:rFonts w:ascii="Times New Roman" w:eastAsia="MS Mincho" w:hAnsi="Times New Roman"/>
                <w:lang w:val="lt-LT" w:eastAsia="ja-JP"/>
              </w:rPr>
              <w:t xml:space="preserve">finansavimas užtikrina </w:t>
            </w:r>
            <w:r w:rsidR="002A2987" w:rsidRPr="00A03AC5">
              <w:rPr>
                <w:rFonts w:ascii="Times New Roman" w:hAnsi="Times New Roman"/>
                <w:lang w:val="lt-LT"/>
              </w:rPr>
              <w:t xml:space="preserve">dopingo kontrolės planavimą, koordinavimą, įgyvendinimą, stebėseną ir jos tobulinimo skatinimą; bendradarbiavimą su kitomis atitinkamomis nacionalinėmis organizacijomis, agentūromis ir kitomis antidopingo organizacijomis; </w:t>
            </w:r>
            <w:r w:rsidR="00165D8B" w:rsidRPr="00A03AC5">
              <w:rPr>
                <w:rFonts w:ascii="Times New Roman" w:hAnsi="Times New Roman"/>
                <w:lang w:val="lt-LT"/>
              </w:rPr>
              <w:t xml:space="preserve">valstybių </w:t>
            </w:r>
            <w:r w:rsidR="002A2987" w:rsidRPr="00A03AC5">
              <w:rPr>
                <w:rFonts w:ascii="Times New Roman" w:hAnsi="Times New Roman"/>
                <w:lang w:val="lt-LT"/>
              </w:rPr>
              <w:t>nacionalinių antidopingo organizacijų abipusio testavimo skatinimą;  antidopingo informacijos, švietimo ir prevencijos programų planavimą, įgyvendinimą ir stebėseną; mokslinių tyrimų antidopingo srityje skatinimą; aktyvų visų potencialių antidopingo taisyklių pažeidimų jos jurisdikcijos ribose tyrimą, įskaitant tyrimą, ar su dopingo vartojimu konkrečiu atveju susijęs sportininkų pagalbinis personalas arba kiti asmenys, taip pat tinkamą nuobaudų taikymą; už automatišką tyrimą savo jurisdikcijoje esančio sportininkų pagalbinio personalo atžvilgiu, kai antidopingo taisyklę pažeidžia nepilnametis, taip pat bet kokio sportininkų pagalbinio personalo nario atžvilgiu, jei jis suteikė paramą daugiau nei vienam sportininkui, pažeidusiam antidopingo taisykles; visapusį bendradarbiavimą su</w:t>
            </w:r>
            <w:r w:rsidR="00DE0C16" w:rsidRPr="00A03AC5">
              <w:rPr>
                <w:rFonts w:ascii="Times New Roman" w:hAnsi="Times New Roman"/>
                <w:lang w:val="lt-LT"/>
              </w:rPr>
              <w:t xml:space="preserve"> Pasaulio antidopingo agentūra.</w:t>
            </w:r>
          </w:p>
          <w:p w:rsidR="00AF15AF" w:rsidRPr="00A03AC5" w:rsidRDefault="00AF15AF" w:rsidP="002A2987">
            <w:pPr>
              <w:jc w:val="both"/>
              <w:rPr>
                <w:rFonts w:ascii="Times New Roman" w:eastAsia="MS Mincho" w:hAnsi="Times New Roman"/>
                <w:lang w:val="lt-LT" w:eastAsia="ja-JP"/>
              </w:rPr>
            </w:pPr>
            <w:r w:rsidRPr="00A03AC5">
              <w:rPr>
                <w:rFonts w:ascii="Times New Roman" w:eastAsia="MS Mincho" w:hAnsi="Times New Roman"/>
                <w:lang w:val="lt-LT" w:eastAsia="ja-JP"/>
              </w:rPr>
              <w:t>2019 m.</w:t>
            </w:r>
            <w:r w:rsidRPr="00A03AC5">
              <w:rPr>
                <w:rFonts w:ascii="Times New Roman" w:hAnsi="Times New Roman"/>
                <w:bCs/>
                <w:lang w:val="lt-LT"/>
              </w:rPr>
              <w:t xml:space="preserve"> nacionalinės antidopingo programos įgyvendinimas buvo</w:t>
            </w:r>
            <w:r w:rsidRPr="00A03AC5">
              <w:rPr>
                <w:rFonts w:ascii="Times New Roman" w:eastAsia="MS Mincho" w:hAnsi="Times New Roman"/>
                <w:lang w:val="lt-LT" w:eastAsia="ja-JP"/>
              </w:rPr>
              <w:t xml:space="preserve"> finansuojamos Kūno kultūros ir sporto departamento prie Lietuvos Respublikos Vyriausybės nustatyta tvarka. </w:t>
            </w:r>
          </w:p>
          <w:p w:rsidR="00AF15AF" w:rsidRPr="00A03AC5" w:rsidRDefault="00AF15AF" w:rsidP="002A2987">
            <w:pPr>
              <w:jc w:val="both"/>
              <w:rPr>
                <w:rFonts w:ascii="Times New Roman" w:eastAsia="MS Mincho" w:hAnsi="Times New Roman"/>
                <w:lang w:val="lt-LT" w:eastAsia="ja-JP"/>
              </w:rPr>
            </w:pPr>
            <w:r w:rsidRPr="00A03AC5">
              <w:rPr>
                <w:rFonts w:ascii="Times New Roman" w:eastAsia="MS Mincho" w:hAnsi="Times New Roman"/>
                <w:lang w:val="lt-LT" w:eastAsia="ja-JP"/>
              </w:rPr>
              <w:t>2019 m. šiai programai įgyvendinti buvo skirta 230 000 eurų.</w:t>
            </w:r>
          </w:p>
          <w:p w:rsidR="006745EA" w:rsidRPr="00A03AC5" w:rsidRDefault="006745EA" w:rsidP="006C4914">
            <w:pPr>
              <w:jc w:val="both"/>
              <w:rPr>
                <w:rFonts w:ascii="Times New Roman" w:eastAsia="MS Mincho" w:hAnsi="Times New Roman"/>
                <w:lang w:val="lt-LT" w:eastAsia="ja-JP"/>
              </w:rPr>
            </w:pPr>
          </w:p>
        </w:tc>
      </w:tr>
    </w:tbl>
    <w:p w:rsidR="006745EA" w:rsidRPr="00A03AC5" w:rsidRDefault="006745EA" w:rsidP="006745EA">
      <w:pPr>
        <w:rPr>
          <w:rFonts w:ascii="Times New Roman" w:hAnsi="Times New Roman"/>
          <w:lang w:val="lt-LT"/>
        </w:rPr>
      </w:pPr>
    </w:p>
    <w:tbl>
      <w:tblPr>
        <w:tblW w:w="10008" w:type="dxa"/>
        <w:tblLook w:val="00A0"/>
      </w:tblPr>
      <w:tblGrid>
        <w:gridCol w:w="2235"/>
        <w:gridCol w:w="7773"/>
      </w:tblGrid>
      <w:tr w:rsidR="00A03AC5" w:rsidRPr="00A03AC5" w:rsidTr="006B795B">
        <w:tc>
          <w:tcPr>
            <w:tcW w:w="2235" w:type="dxa"/>
            <w:shd w:val="clear" w:color="auto" w:fill="DBE5F1"/>
          </w:tcPr>
          <w:p w:rsidR="006745EA" w:rsidRPr="00A03AC5" w:rsidRDefault="006745EA" w:rsidP="006B795B">
            <w:pPr>
              <w:rPr>
                <w:rFonts w:ascii="Times New Roman" w:hAnsi="Times New Roman"/>
                <w:b/>
                <w:lang w:val="lt-LT"/>
              </w:rPr>
            </w:pPr>
            <w:r w:rsidRPr="00A03AC5">
              <w:rPr>
                <w:rFonts w:ascii="Times New Roman" w:hAnsi="Times New Roman"/>
                <w:b/>
                <w:lang w:val="lt-LT"/>
              </w:rPr>
              <w:t xml:space="preserve">Poveikis </w:t>
            </w:r>
          </w:p>
          <w:p w:rsidR="006745EA" w:rsidRPr="00A03AC5" w:rsidRDefault="006745EA" w:rsidP="006B795B">
            <w:pPr>
              <w:rPr>
                <w:rFonts w:ascii="Times New Roman" w:hAnsi="Times New Roman"/>
                <w:b/>
                <w:lang w:val="lt-LT"/>
              </w:rPr>
            </w:pPr>
            <w:r w:rsidRPr="00A03AC5">
              <w:rPr>
                <w:rFonts w:ascii="Times New Roman" w:hAnsi="Times New Roman"/>
                <w:b/>
                <w:lang w:val="lt-LT"/>
              </w:rPr>
              <w:t>valstybės finansams</w:t>
            </w:r>
          </w:p>
        </w:tc>
        <w:tc>
          <w:tcPr>
            <w:tcW w:w="7773" w:type="dxa"/>
          </w:tcPr>
          <w:p w:rsidR="006745EA" w:rsidRPr="00A03AC5" w:rsidRDefault="006C4914" w:rsidP="006C4914">
            <w:pPr>
              <w:jc w:val="both"/>
              <w:rPr>
                <w:rFonts w:ascii="Times New Roman" w:hAnsi="Times New Roman"/>
                <w:bCs/>
                <w:lang w:val="lt-LT"/>
              </w:rPr>
            </w:pPr>
            <w:r w:rsidRPr="00A03AC5">
              <w:rPr>
                <w:rFonts w:ascii="Times New Roman" w:eastAsia="MS Mincho" w:hAnsi="Times New Roman"/>
                <w:lang w:val="lt-LT" w:eastAsia="ja-JP"/>
              </w:rPr>
              <w:t xml:space="preserve">2019 m. </w:t>
            </w:r>
            <w:r w:rsidRPr="00A03AC5">
              <w:rPr>
                <w:rFonts w:ascii="Times New Roman" w:hAnsi="Times New Roman"/>
                <w:bCs/>
                <w:lang w:val="lt-LT"/>
              </w:rPr>
              <w:t>nacionalinei antidopingo programai įgyvendinti buvo skirta 230 000 eurų.</w:t>
            </w:r>
          </w:p>
          <w:p w:rsidR="006C4914" w:rsidRPr="00A03AC5" w:rsidRDefault="006C4914" w:rsidP="006C4914">
            <w:pPr>
              <w:jc w:val="both"/>
              <w:rPr>
                <w:rFonts w:ascii="Times New Roman" w:hAnsi="Times New Roman"/>
                <w:lang w:val="lt-LT"/>
              </w:rPr>
            </w:pPr>
            <w:r w:rsidRPr="00A03AC5">
              <w:rPr>
                <w:rFonts w:ascii="Times New Roman" w:hAnsi="Times New Roman"/>
                <w:bCs/>
                <w:lang w:val="lt-LT"/>
              </w:rPr>
              <w:t>2020 m. nacionalinei antidopingo programai įgyvendinti planuojama skirti 230 000 eurų.</w:t>
            </w:r>
          </w:p>
        </w:tc>
      </w:tr>
    </w:tbl>
    <w:p w:rsidR="006745EA" w:rsidRPr="00A03AC5" w:rsidRDefault="006745EA" w:rsidP="006745EA">
      <w:pPr>
        <w:rPr>
          <w:rFonts w:ascii="Times New Roman" w:hAnsi="Times New Roman"/>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0"/>
        <w:gridCol w:w="7798"/>
      </w:tblGrid>
      <w:tr w:rsidR="00A03AC5" w:rsidRPr="00A03AC5" w:rsidTr="006B795B">
        <w:trPr>
          <w:trHeight w:val="1146"/>
        </w:trPr>
        <w:tc>
          <w:tcPr>
            <w:tcW w:w="2210" w:type="dxa"/>
            <w:tcBorders>
              <w:top w:val="nil"/>
              <w:left w:val="nil"/>
              <w:bottom w:val="nil"/>
              <w:right w:val="nil"/>
            </w:tcBorders>
            <w:shd w:val="clear" w:color="auto" w:fill="DBE5F1"/>
          </w:tcPr>
          <w:p w:rsidR="006745EA" w:rsidRPr="00F86DE5" w:rsidRDefault="006745EA" w:rsidP="006B795B">
            <w:pPr>
              <w:shd w:val="clear" w:color="auto" w:fill="DBE5F1"/>
              <w:rPr>
                <w:rFonts w:ascii="Times New Roman" w:hAnsi="Times New Roman"/>
                <w:b/>
                <w:lang w:val="lt-LT"/>
              </w:rPr>
            </w:pPr>
            <w:r w:rsidRPr="00F86DE5">
              <w:rPr>
                <w:rFonts w:ascii="Times New Roman" w:hAnsi="Times New Roman"/>
                <w:b/>
                <w:lang w:val="lt-LT"/>
              </w:rPr>
              <w:t>Poveikis administracinei naštai</w:t>
            </w:r>
          </w:p>
          <w:p w:rsidR="006745EA" w:rsidRPr="00F86DE5" w:rsidRDefault="006745EA" w:rsidP="006B795B">
            <w:pPr>
              <w:rPr>
                <w:rFonts w:ascii="Times New Roman" w:hAnsi="Times New Roman"/>
                <w:lang w:val="lt-LT"/>
              </w:rPr>
            </w:pPr>
          </w:p>
        </w:tc>
        <w:tc>
          <w:tcPr>
            <w:tcW w:w="7798" w:type="dxa"/>
            <w:tcBorders>
              <w:top w:val="nil"/>
              <w:left w:val="nil"/>
              <w:bottom w:val="nil"/>
              <w:right w:val="nil"/>
            </w:tcBorders>
          </w:tcPr>
          <w:p w:rsidR="00115E4C" w:rsidRPr="00641662" w:rsidRDefault="00115E4C" w:rsidP="00641662">
            <w:pPr>
              <w:jc w:val="both"/>
              <w:rPr>
                <w:rFonts w:ascii="Times New Roman" w:hAnsi="Times New Roman"/>
                <w:b/>
                <w:lang w:val="lt-LT"/>
              </w:rPr>
            </w:pPr>
            <w:r w:rsidRPr="00115E4C">
              <w:rPr>
                <w:rFonts w:ascii="Times New Roman" w:hAnsi="Times New Roman"/>
                <w:lang w:val="lt-LT"/>
              </w:rPr>
              <w:t xml:space="preserve">Įgyvendinant </w:t>
            </w:r>
            <w:proofErr w:type="spellStart"/>
            <w:r w:rsidRPr="00115E4C">
              <w:rPr>
                <w:rFonts w:ascii="Times New Roman" w:hAnsi="Times New Roman"/>
                <w:bCs/>
              </w:rPr>
              <w:t>Nacionalinės</w:t>
            </w:r>
            <w:proofErr w:type="spellEnd"/>
            <w:r w:rsidRPr="00115E4C">
              <w:rPr>
                <w:rFonts w:ascii="Times New Roman" w:hAnsi="Times New Roman"/>
                <w:bCs/>
              </w:rPr>
              <w:t xml:space="preserve"> </w:t>
            </w:r>
            <w:proofErr w:type="spellStart"/>
            <w:r w:rsidRPr="00115E4C">
              <w:rPr>
                <w:rFonts w:ascii="Times New Roman" w:hAnsi="Times New Roman"/>
                <w:bCs/>
              </w:rPr>
              <w:t>anti</w:t>
            </w:r>
            <w:r>
              <w:rPr>
                <w:rFonts w:ascii="Times New Roman" w:hAnsi="Times New Roman"/>
                <w:bCs/>
              </w:rPr>
              <w:t>dopingo</w:t>
            </w:r>
            <w:proofErr w:type="spellEnd"/>
            <w:r>
              <w:rPr>
                <w:rFonts w:ascii="Times New Roman" w:hAnsi="Times New Roman"/>
                <w:bCs/>
              </w:rPr>
              <w:t xml:space="preserve"> </w:t>
            </w:r>
            <w:proofErr w:type="spellStart"/>
            <w:r>
              <w:rPr>
                <w:rFonts w:ascii="Times New Roman" w:hAnsi="Times New Roman"/>
                <w:bCs/>
              </w:rPr>
              <w:t>programos</w:t>
            </w:r>
            <w:proofErr w:type="spellEnd"/>
            <w:r>
              <w:rPr>
                <w:rFonts w:ascii="Times New Roman" w:hAnsi="Times New Roman"/>
                <w:bCs/>
              </w:rPr>
              <w:t xml:space="preserve"> </w:t>
            </w:r>
            <w:proofErr w:type="spellStart"/>
            <w:r>
              <w:rPr>
                <w:rFonts w:ascii="Times New Roman" w:hAnsi="Times New Roman"/>
                <w:bCs/>
              </w:rPr>
              <w:t>įgyvendinimo</w:t>
            </w:r>
            <w:proofErr w:type="spellEnd"/>
            <w:r>
              <w:rPr>
                <w:rFonts w:ascii="Times New Roman" w:hAnsi="Times New Roman"/>
                <w:bCs/>
              </w:rPr>
              <w:t xml:space="preserve"> </w:t>
            </w:r>
            <w:proofErr w:type="spellStart"/>
            <w:r w:rsidRPr="00115E4C">
              <w:rPr>
                <w:rFonts w:ascii="Times New Roman" w:hAnsi="Times New Roman"/>
                <w:bCs/>
              </w:rPr>
              <w:t>finansavimo</w:t>
            </w:r>
            <w:proofErr w:type="spellEnd"/>
            <w:r w:rsidRPr="00115E4C">
              <w:rPr>
                <w:rFonts w:ascii="Times New Roman" w:hAnsi="Times New Roman"/>
                <w:bCs/>
              </w:rPr>
              <w:t xml:space="preserve"> </w:t>
            </w:r>
            <w:proofErr w:type="spellStart"/>
            <w:r w:rsidRPr="00115E4C">
              <w:rPr>
                <w:rFonts w:ascii="Times New Roman" w:hAnsi="Times New Roman"/>
                <w:bCs/>
              </w:rPr>
              <w:t>valstybės</w:t>
            </w:r>
            <w:proofErr w:type="spellEnd"/>
            <w:r w:rsidRPr="00115E4C">
              <w:rPr>
                <w:rFonts w:ascii="Times New Roman" w:hAnsi="Times New Roman"/>
                <w:bCs/>
              </w:rPr>
              <w:t xml:space="preserve"> </w:t>
            </w:r>
            <w:proofErr w:type="spellStart"/>
            <w:r w:rsidRPr="00115E4C">
              <w:rPr>
                <w:rFonts w:ascii="Times New Roman" w:hAnsi="Times New Roman"/>
                <w:bCs/>
              </w:rPr>
              <w:t>biudžeto</w:t>
            </w:r>
            <w:proofErr w:type="spellEnd"/>
            <w:r w:rsidRPr="00115E4C">
              <w:rPr>
                <w:rFonts w:ascii="Times New Roman" w:hAnsi="Times New Roman"/>
                <w:bCs/>
              </w:rPr>
              <w:t xml:space="preserve"> </w:t>
            </w:r>
            <w:proofErr w:type="spellStart"/>
            <w:r w:rsidRPr="00115E4C">
              <w:rPr>
                <w:rFonts w:ascii="Times New Roman" w:hAnsi="Times New Roman"/>
                <w:bCs/>
              </w:rPr>
              <w:t>lėšomis</w:t>
            </w:r>
            <w:proofErr w:type="spellEnd"/>
            <w:r w:rsidRPr="00115E4C">
              <w:rPr>
                <w:rFonts w:ascii="Times New Roman" w:hAnsi="Times New Roman"/>
                <w:bCs/>
              </w:rPr>
              <w:t xml:space="preserve"> </w:t>
            </w:r>
            <w:proofErr w:type="spellStart"/>
            <w:r w:rsidRPr="00115E4C">
              <w:rPr>
                <w:rFonts w:ascii="Times New Roman" w:hAnsi="Times New Roman"/>
                <w:bCs/>
              </w:rPr>
              <w:t>tvarkos</w:t>
            </w:r>
            <w:proofErr w:type="spellEnd"/>
            <w:r w:rsidRPr="00115E4C">
              <w:rPr>
                <w:rFonts w:ascii="Times New Roman" w:hAnsi="Times New Roman"/>
                <w:bCs/>
              </w:rPr>
              <w:t xml:space="preserve"> </w:t>
            </w:r>
            <w:proofErr w:type="spellStart"/>
            <w:r w:rsidRPr="00115E4C">
              <w:rPr>
                <w:rFonts w:ascii="Times New Roman" w:hAnsi="Times New Roman"/>
                <w:bCs/>
              </w:rPr>
              <w:t>aprašo</w:t>
            </w:r>
            <w:proofErr w:type="spellEnd"/>
            <w:r w:rsidRPr="00115E4C">
              <w:rPr>
                <w:rFonts w:ascii="Times New Roman" w:hAnsi="Times New Roman"/>
                <w:bCs/>
              </w:rPr>
              <w:t xml:space="preserve"> </w:t>
            </w:r>
            <w:proofErr w:type="spellStart"/>
            <w:r w:rsidRPr="00115E4C">
              <w:rPr>
                <w:rFonts w:ascii="Times New Roman" w:hAnsi="Times New Roman"/>
                <w:bCs/>
              </w:rPr>
              <w:t>projektą</w:t>
            </w:r>
            <w:proofErr w:type="spellEnd"/>
            <w:r w:rsidRPr="00115E4C">
              <w:rPr>
                <w:rFonts w:ascii="Times New Roman" w:hAnsi="Times New Roman"/>
                <w:bCs/>
              </w:rPr>
              <w:t xml:space="preserve"> (</w:t>
            </w:r>
            <w:proofErr w:type="spellStart"/>
            <w:r w:rsidRPr="00115E4C">
              <w:rPr>
                <w:rFonts w:ascii="Times New Roman" w:hAnsi="Times New Roman"/>
                <w:bCs/>
              </w:rPr>
              <w:t>toliau</w:t>
            </w:r>
            <w:proofErr w:type="spellEnd"/>
            <w:r w:rsidRPr="00115E4C">
              <w:rPr>
                <w:rFonts w:ascii="Times New Roman" w:hAnsi="Times New Roman"/>
                <w:bCs/>
              </w:rPr>
              <w:t xml:space="preserve"> – </w:t>
            </w:r>
            <w:proofErr w:type="spellStart"/>
            <w:r w:rsidRPr="00115E4C">
              <w:rPr>
                <w:rFonts w:ascii="Times New Roman" w:hAnsi="Times New Roman"/>
                <w:bCs/>
              </w:rPr>
              <w:t>Aprašo</w:t>
            </w:r>
            <w:proofErr w:type="spellEnd"/>
            <w:r w:rsidRPr="00115E4C">
              <w:rPr>
                <w:rFonts w:ascii="Times New Roman" w:hAnsi="Times New Roman"/>
                <w:bCs/>
              </w:rPr>
              <w:t xml:space="preserve"> </w:t>
            </w:r>
            <w:proofErr w:type="spellStart"/>
            <w:r w:rsidRPr="00115E4C">
              <w:rPr>
                <w:rFonts w:ascii="Times New Roman" w:hAnsi="Times New Roman"/>
                <w:bCs/>
              </w:rPr>
              <w:t>projektas</w:t>
            </w:r>
            <w:proofErr w:type="spellEnd"/>
            <w:r w:rsidRPr="00115E4C">
              <w:rPr>
                <w:rFonts w:ascii="Times New Roman" w:hAnsi="Times New Roman"/>
                <w:bCs/>
              </w:rPr>
              <w:t>)</w:t>
            </w:r>
            <w:r w:rsidR="00382612" w:rsidRPr="00115E4C">
              <w:rPr>
                <w:rFonts w:ascii="Times New Roman" w:hAnsi="Times New Roman"/>
                <w:lang w:val="lt-LT"/>
              </w:rPr>
              <w:t xml:space="preserve"> </w:t>
            </w:r>
            <w:r w:rsidRPr="00115E4C">
              <w:rPr>
                <w:rFonts w:ascii="Times New Roman" w:hAnsi="Times New Roman"/>
                <w:lang w:val="lt-LT"/>
              </w:rPr>
              <w:t>kils</w:t>
            </w:r>
            <w:r w:rsidR="00382612" w:rsidRPr="00115E4C">
              <w:rPr>
                <w:rFonts w:ascii="Times New Roman" w:hAnsi="Times New Roman"/>
                <w:lang w:val="lt-LT"/>
              </w:rPr>
              <w:t xml:space="preserve"> nežymi administracinė našta</w:t>
            </w:r>
            <w:r w:rsidR="00641662">
              <w:rPr>
                <w:rFonts w:ascii="Times New Roman" w:hAnsi="Times New Roman"/>
                <w:lang w:val="lt-LT"/>
              </w:rPr>
              <w:t xml:space="preserve"> Organizacijai.</w:t>
            </w:r>
          </w:p>
          <w:p w:rsidR="00382612" w:rsidRPr="000E6B83" w:rsidRDefault="00115E4C" w:rsidP="00640592">
            <w:pPr>
              <w:jc w:val="both"/>
              <w:rPr>
                <w:rFonts w:ascii="Times New Roman" w:hAnsi="Times New Roman"/>
                <w:lang w:val="lt-LT"/>
              </w:rPr>
            </w:pPr>
            <w:r>
              <w:rPr>
                <w:rFonts w:ascii="Times New Roman" w:hAnsi="Times New Roman"/>
                <w:lang w:val="lt-LT"/>
              </w:rPr>
              <w:t xml:space="preserve"> Aprašo </w:t>
            </w:r>
            <w:r w:rsidR="00382612" w:rsidRPr="000E6B83">
              <w:rPr>
                <w:rFonts w:ascii="Times New Roman" w:hAnsi="Times New Roman"/>
                <w:lang w:val="lt-LT"/>
              </w:rPr>
              <w:t xml:space="preserve">Projektu </w:t>
            </w:r>
            <w:r>
              <w:rPr>
                <w:rFonts w:ascii="Times New Roman" w:hAnsi="Times New Roman"/>
                <w:lang w:val="lt-LT"/>
              </w:rPr>
              <w:t>Organizacijos</w:t>
            </w:r>
            <w:r w:rsidR="00382612" w:rsidRPr="000E6B83">
              <w:rPr>
                <w:rFonts w:ascii="Times New Roman" w:hAnsi="Times New Roman"/>
                <w:lang w:val="lt-LT"/>
              </w:rPr>
              <w:t xml:space="preserve"> reikalaujama pateikti </w:t>
            </w:r>
            <w:r>
              <w:rPr>
                <w:rFonts w:ascii="Times New Roman" w:hAnsi="Times New Roman"/>
                <w:lang w:val="lt-LT"/>
              </w:rPr>
              <w:t>tokią informaciją</w:t>
            </w:r>
            <w:r w:rsidR="00641662">
              <w:rPr>
                <w:rFonts w:ascii="Times New Roman" w:hAnsi="Times New Roman"/>
                <w:lang w:val="lt-LT"/>
              </w:rPr>
              <w:t xml:space="preserve"> / dokumentus</w:t>
            </w:r>
            <w:r w:rsidR="00382612" w:rsidRPr="000E6B83">
              <w:rPr>
                <w:rFonts w:ascii="Times New Roman" w:hAnsi="Times New Roman"/>
                <w:lang w:val="lt-LT"/>
              </w:rPr>
              <w:t>:</w:t>
            </w:r>
          </w:p>
          <w:p w:rsidR="00382612" w:rsidRPr="000E6B83" w:rsidRDefault="00F86DE5" w:rsidP="00382612">
            <w:pPr>
              <w:pStyle w:val="ListParagraph"/>
              <w:numPr>
                <w:ilvl w:val="0"/>
                <w:numId w:val="2"/>
              </w:numPr>
              <w:ind w:left="234" w:hanging="234"/>
              <w:jc w:val="both"/>
              <w:rPr>
                <w:sz w:val="20"/>
              </w:rPr>
            </w:pPr>
            <w:r w:rsidRPr="000E6B83">
              <w:rPr>
                <w:sz w:val="20"/>
              </w:rPr>
              <w:t>p</w:t>
            </w:r>
            <w:r w:rsidR="00382612" w:rsidRPr="000E6B83">
              <w:rPr>
                <w:sz w:val="20"/>
              </w:rPr>
              <w:t xml:space="preserve">agal </w:t>
            </w:r>
            <w:r w:rsidR="00115E4C">
              <w:rPr>
                <w:sz w:val="20"/>
              </w:rPr>
              <w:t>Aprašo projekto</w:t>
            </w:r>
            <w:r w:rsidR="00382612" w:rsidRPr="000E6B83">
              <w:rPr>
                <w:bCs/>
                <w:sz w:val="20"/>
              </w:rPr>
              <w:t xml:space="preserve"> 4.2 papunktį – pateikti </w:t>
            </w:r>
            <w:r w:rsidR="00382612" w:rsidRPr="000E6B83">
              <w:rPr>
                <w:color w:val="000000"/>
                <w:sz w:val="20"/>
                <w:lang w:eastAsia="en-GB"/>
              </w:rPr>
              <w:t xml:space="preserve">dokumento, kuriame įtvirtinta pareiškėjo valdymo organų narių rotacija </w:t>
            </w:r>
            <w:r w:rsidR="00382612" w:rsidRPr="000E6B83">
              <w:rPr>
                <w:color w:val="000000"/>
                <w:sz w:val="20"/>
                <w:lang w:eastAsia="lt-LT"/>
              </w:rPr>
              <w:t>numatant maksimalų galimą iš eilės einančių kadencijų skaičių tam pačiam asmeniui,</w:t>
            </w:r>
            <w:r w:rsidR="00115E4C">
              <w:rPr>
                <w:color w:val="000000"/>
                <w:sz w:val="20"/>
                <w:lang w:eastAsia="en-GB"/>
              </w:rPr>
              <w:t xml:space="preserve"> kopiją (šis </w:t>
            </w:r>
            <w:r w:rsidRPr="000E6B83">
              <w:rPr>
                <w:color w:val="000000"/>
                <w:sz w:val="20"/>
                <w:lang w:eastAsia="en-GB"/>
              </w:rPr>
              <w:t xml:space="preserve">reikalavimas </w:t>
            </w:r>
            <w:r w:rsidR="00115E4C">
              <w:rPr>
                <w:color w:val="000000"/>
                <w:sz w:val="20"/>
                <w:lang w:eastAsia="en-GB"/>
              </w:rPr>
              <w:t>taikomas atsižvelgiant į</w:t>
            </w:r>
            <w:r w:rsidRPr="000E6B83">
              <w:rPr>
                <w:color w:val="000000"/>
                <w:sz w:val="20"/>
                <w:lang w:eastAsia="en-GB"/>
              </w:rPr>
              <w:t xml:space="preserve"> Sporto </w:t>
            </w:r>
            <w:r w:rsidRPr="000E6B83">
              <w:rPr>
                <w:color w:val="000000"/>
                <w:sz w:val="20"/>
                <w:lang w:eastAsia="en-GB"/>
              </w:rPr>
              <w:lastRenderedPageBreak/>
              <w:t>įstatymo 19 str. 1 d. 10 p.</w:t>
            </w:r>
            <w:r w:rsidR="00115E4C">
              <w:rPr>
                <w:color w:val="000000"/>
                <w:sz w:val="20"/>
                <w:lang w:eastAsia="en-GB"/>
              </w:rPr>
              <w:t>)</w:t>
            </w:r>
            <w:r w:rsidRPr="000E6B83">
              <w:rPr>
                <w:color w:val="000000"/>
                <w:sz w:val="20"/>
                <w:lang w:eastAsia="en-GB"/>
              </w:rPr>
              <w:t xml:space="preserve">; </w:t>
            </w:r>
          </w:p>
          <w:p w:rsidR="00F86DE5" w:rsidRPr="000E6B83" w:rsidRDefault="00F86DE5" w:rsidP="00382612">
            <w:pPr>
              <w:pStyle w:val="ListParagraph"/>
              <w:numPr>
                <w:ilvl w:val="0"/>
                <w:numId w:val="2"/>
              </w:numPr>
              <w:ind w:left="234" w:hanging="234"/>
              <w:jc w:val="both"/>
              <w:rPr>
                <w:sz w:val="20"/>
              </w:rPr>
            </w:pPr>
            <w:r w:rsidRPr="000E6B83">
              <w:rPr>
                <w:color w:val="000000"/>
                <w:sz w:val="20"/>
                <w:lang w:eastAsia="en-GB"/>
              </w:rPr>
              <w:t>pagal Aprašo projekto 4.3 papunktį – s</w:t>
            </w:r>
            <w:r w:rsidR="00641662">
              <w:rPr>
                <w:color w:val="000000"/>
                <w:sz w:val="20"/>
                <w:lang w:eastAsia="en-GB"/>
              </w:rPr>
              <w:t>trateginio veiklos plano kopiją</w:t>
            </w:r>
            <w:r w:rsidRPr="000E6B83">
              <w:rPr>
                <w:color w:val="000000"/>
                <w:sz w:val="20"/>
                <w:lang w:eastAsia="en-GB"/>
              </w:rPr>
              <w:t xml:space="preserve"> </w:t>
            </w:r>
            <w:r w:rsidR="00641662">
              <w:rPr>
                <w:color w:val="000000"/>
                <w:sz w:val="20"/>
                <w:lang w:eastAsia="en-GB"/>
              </w:rPr>
              <w:t>(š</w:t>
            </w:r>
            <w:r w:rsidRPr="000E6B83">
              <w:rPr>
                <w:color w:val="000000"/>
                <w:sz w:val="20"/>
                <w:lang w:eastAsia="en-GB"/>
              </w:rPr>
              <w:t xml:space="preserve">is </w:t>
            </w:r>
            <w:r w:rsidR="00641662">
              <w:rPr>
                <w:color w:val="000000"/>
                <w:sz w:val="20"/>
                <w:lang w:eastAsia="en-GB"/>
              </w:rPr>
              <w:t>įpareigojimas taikomas</w:t>
            </w:r>
            <w:r w:rsidRPr="000E6B83">
              <w:rPr>
                <w:color w:val="000000"/>
                <w:sz w:val="20"/>
                <w:lang w:eastAsia="en-GB"/>
              </w:rPr>
              <w:t xml:space="preserve"> </w:t>
            </w:r>
            <w:r w:rsidR="00641662">
              <w:rPr>
                <w:color w:val="000000"/>
                <w:sz w:val="20"/>
                <w:lang w:eastAsia="en-GB"/>
              </w:rPr>
              <w:t>pagal</w:t>
            </w:r>
            <w:r w:rsidRPr="000E6B83">
              <w:rPr>
                <w:color w:val="000000"/>
                <w:sz w:val="20"/>
                <w:lang w:eastAsia="en-GB"/>
              </w:rPr>
              <w:t xml:space="preserve"> Sporto įstatymo 19 str. 1 d. 7 p.</w:t>
            </w:r>
            <w:r w:rsidR="00641662">
              <w:rPr>
                <w:color w:val="000000"/>
                <w:sz w:val="20"/>
                <w:lang w:eastAsia="en-GB"/>
              </w:rPr>
              <w:t>)</w:t>
            </w:r>
            <w:r w:rsidRPr="000E6B83">
              <w:rPr>
                <w:color w:val="000000"/>
                <w:sz w:val="20"/>
                <w:lang w:eastAsia="en-GB"/>
              </w:rPr>
              <w:t>;</w:t>
            </w:r>
          </w:p>
          <w:p w:rsidR="00F86DE5" w:rsidRPr="00641662" w:rsidRDefault="00F86DE5" w:rsidP="00F86DE5">
            <w:pPr>
              <w:pStyle w:val="ListParagraph"/>
              <w:numPr>
                <w:ilvl w:val="0"/>
                <w:numId w:val="2"/>
              </w:numPr>
              <w:ind w:left="232" w:hanging="232"/>
              <w:jc w:val="both"/>
              <w:rPr>
                <w:color w:val="000000"/>
                <w:sz w:val="20"/>
                <w:lang w:eastAsia="en-GB"/>
              </w:rPr>
            </w:pPr>
            <w:r w:rsidRPr="000E6B83">
              <w:rPr>
                <w:color w:val="000000"/>
                <w:sz w:val="20"/>
                <w:lang w:eastAsia="en-GB"/>
              </w:rPr>
              <w:t xml:space="preserve">pagal </w:t>
            </w:r>
            <w:r w:rsidRPr="00641662">
              <w:rPr>
                <w:color w:val="000000"/>
                <w:sz w:val="20"/>
                <w:lang w:eastAsia="en-GB"/>
              </w:rPr>
              <w:t>Aprašo projekto 4.4 papunktį – laisvos formos įsipareigojimą dėl dalies nuosavų ar kitų šaltinių lėšų</w:t>
            </w:r>
            <w:r w:rsidR="00641662" w:rsidRPr="00641662">
              <w:rPr>
                <w:color w:val="000000"/>
                <w:sz w:val="20"/>
                <w:lang w:eastAsia="en-GB"/>
              </w:rPr>
              <w:t xml:space="preserve"> skyrimo Programai įgyvendinti (</w:t>
            </w:r>
            <w:r w:rsidRPr="00641662">
              <w:rPr>
                <w:color w:val="000000"/>
                <w:sz w:val="20"/>
                <w:lang w:eastAsia="en-GB"/>
              </w:rPr>
              <w:t>reikalavimas taikomas pagal Sporto įstatymo 19 str. 1 d. 9 p</w:t>
            </w:r>
            <w:r w:rsidR="00641662" w:rsidRPr="00641662">
              <w:rPr>
                <w:color w:val="000000"/>
                <w:sz w:val="20"/>
                <w:lang w:eastAsia="en-GB"/>
              </w:rPr>
              <w:t>)</w:t>
            </w:r>
            <w:r w:rsidRPr="00641662">
              <w:rPr>
                <w:color w:val="000000"/>
                <w:sz w:val="20"/>
                <w:lang w:eastAsia="en-GB"/>
              </w:rPr>
              <w:t>.</w:t>
            </w:r>
          </w:p>
          <w:p w:rsidR="00641662" w:rsidRPr="00641662" w:rsidRDefault="00641662" w:rsidP="00641662">
            <w:pPr>
              <w:pStyle w:val="ListParagraph"/>
              <w:numPr>
                <w:ilvl w:val="0"/>
                <w:numId w:val="2"/>
              </w:numPr>
              <w:ind w:left="232" w:hanging="232"/>
              <w:jc w:val="both"/>
              <w:rPr>
                <w:color w:val="000000"/>
                <w:sz w:val="20"/>
                <w:lang w:eastAsia="en-GB"/>
              </w:rPr>
            </w:pPr>
            <w:r w:rsidRPr="00641662">
              <w:rPr>
                <w:color w:val="000000"/>
                <w:sz w:val="20"/>
                <w:lang w:eastAsia="en-GB"/>
              </w:rPr>
              <w:t xml:space="preserve">nacionalinę antidopingo programą, parengtą pagal laisvą formą. Pateikti šią programą būtina, kad Ministerija galėtų tinkamai įvertinti ir nustatyti finansavimo poreikį pagal minėtoje programoje aprašytas veiklas. </w:t>
            </w:r>
          </w:p>
          <w:p w:rsidR="00641662" w:rsidRDefault="009B00A9" w:rsidP="009B00A9">
            <w:pPr>
              <w:jc w:val="both"/>
              <w:rPr>
                <w:rFonts w:ascii="Times New Roman" w:hAnsi="Times New Roman"/>
                <w:color w:val="000000"/>
                <w:szCs w:val="24"/>
                <w:lang w:val="lt-LT" w:eastAsia="en-GB"/>
              </w:rPr>
            </w:pPr>
            <w:r w:rsidRPr="000E6B83">
              <w:rPr>
                <w:rFonts w:ascii="Times New Roman" w:hAnsi="Times New Roman"/>
                <w:color w:val="000000"/>
                <w:lang w:val="lt-LT" w:eastAsia="en-GB"/>
              </w:rPr>
              <w:t xml:space="preserve">Atkreiptinas dėmesys ir į tai, kad pagal Aprašo projekto 6 punktą, Ministerija </w:t>
            </w:r>
            <w:r w:rsidRPr="000E6B83">
              <w:rPr>
                <w:rFonts w:ascii="Times New Roman" w:hAnsi="Times New Roman"/>
                <w:color w:val="000000"/>
                <w:szCs w:val="24"/>
                <w:lang w:val="lt-LT" w:eastAsia="en-GB"/>
              </w:rPr>
              <w:t xml:space="preserve">pareiškėjo gali prašyti ir papildomos, nei nurodyta Aprašo projekto 4 punkte, informacijos. Pažymėtina, kad reikalavimas pateikti papildomą informaciją pagal Aprašo projekto 6 punktą, yra būtinas, siekiant įsitikinti pareiškėjo teikiamos programos tinkamumu valstybės biudžeto lėšoms gauti, tuo atveju, jei pareiškėjas </w:t>
            </w:r>
            <w:r w:rsidR="00377E3C" w:rsidRPr="000E6B83">
              <w:rPr>
                <w:rFonts w:ascii="Times New Roman" w:hAnsi="Times New Roman"/>
                <w:color w:val="000000"/>
                <w:szCs w:val="24"/>
                <w:lang w:val="lt-LT" w:eastAsia="en-GB"/>
              </w:rPr>
              <w:t>pateiktų netikslią informaciją, nepakankamai pagrįstų savo teikiama programa prašomą valstybės biudžeto sumą ar kitais atvejais.</w:t>
            </w:r>
          </w:p>
          <w:p w:rsidR="00944E8A" w:rsidRDefault="00944E8A" w:rsidP="009B00A9">
            <w:pPr>
              <w:jc w:val="both"/>
              <w:rPr>
                <w:rFonts w:ascii="Times New Roman" w:hAnsi="Times New Roman"/>
                <w:color w:val="000000"/>
                <w:szCs w:val="24"/>
                <w:lang w:val="lt-LT" w:eastAsia="en-GB"/>
              </w:rPr>
            </w:pPr>
          </w:p>
          <w:p w:rsidR="00944E8A" w:rsidRDefault="00944E8A" w:rsidP="009B00A9">
            <w:pPr>
              <w:jc w:val="both"/>
              <w:rPr>
                <w:rFonts w:ascii="Times New Roman" w:hAnsi="Times New Roman"/>
                <w:color w:val="000000"/>
                <w:szCs w:val="24"/>
                <w:lang w:val="lt-LT" w:eastAsia="en-GB"/>
              </w:rPr>
            </w:pPr>
            <w:r>
              <w:rPr>
                <w:rFonts w:ascii="Times New Roman" w:hAnsi="Times New Roman"/>
                <w:color w:val="000000"/>
                <w:szCs w:val="24"/>
                <w:lang w:val="lt-LT" w:eastAsia="en-GB"/>
              </w:rPr>
              <w:t>Ministerijoje nagrinėti Organizacijos pateiktą informaciją / dokumentus iš Ministerijos valstybės tarnautojų bus sudaroma komisija, kuri išnagrinėjusi pateiktą informaciją, teiks siūlymus dėl finansavimo programai skyrimo / neskyrimo švietimo, mokslo ir sporto ministrui.</w:t>
            </w:r>
            <w:bookmarkStart w:id="0" w:name="_GoBack"/>
            <w:bookmarkEnd w:id="0"/>
            <w:r>
              <w:rPr>
                <w:rFonts w:ascii="Times New Roman" w:hAnsi="Times New Roman"/>
                <w:color w:val="000000"/>
                <w:szCs w:val="24"/>
                <w:lang w:val="lt-LT" w:eastAsia="en-GB"/>
              </w:rPr>
              <w:t xml:space="preserve"> </w:t>
            </w:r>
          </w:p>
          <w:p w:rsidR="00641662" w:rsidRDefault="00641662" w:rsidP="009B00A9">
            <w:pPr>
              <w:jc w:val="both"/>
              <w:rPr>
                <w:rFonts w:ascii="Times New Roman" w:hAnsi="Times New Roman"/>
                <w:b/>
                <w:color w:val="000000"/>
                <w:lang w:val="lt-LT" w:eastAsia="en-GB"/>
              </w:rPr>
            </w:pPr>
          </w:p>
          <w:p w:rsidR="00641662" w:rsidRPr="00641662" w:rsidRDefault="00641662" w:rsidP="009B00A9">
            <w:pPr>
              <w:jc w:val="both"/>
              <w:rPr>
                <w:rFonts w:ascii="Times New Roman" w:hAnsi="Times New Roman"/>
                <w:b/>
                <w:color w:val="000000"/>
                <w:lang w:val="lt-LT" w:eastAsia="en-GB"/>
              </w:rPr>
            </w:pPr>
          </w:p>
          <w:p w:rsidR="006745EA" w:rsidRPr="00F86DE5" w:rsidRDefault="006745EA" w:rsidP="00F86DE5">
            <w:pPr>
              <w:pStyle w:val="ListParagraph"/>
              <w:ind w:left="234"/>
              <w:jc w:val="both"/>
              <w:rPr>
                <w:sz w:val="20"/>
              </w:rPr>
            </w:pPr>
          </w:p>
        </w:tc>
      </w:tr>
      <w:tr w:rsidR="00A03AC5" w:rsidRPr="00A03AC5" w:rsidTr="006B795B">
        <w:trPr>
          <w:trHeight w:val="1146"/>
        </w:trPr>
        <w:tc>
          <w:tcPr>
            <w:tcW w:w="2210" w:type="dxa"/>
            <w:tcBorders>
              <w:top w:val="nil"/>
              <w:left w:val="nil"/>
              <w:bottom w:val="nil"/>
              <w:right w:val="nil"/>
            </w:tcBorders>
            <w:shd w:val="clear" w:color="auto" w:fill="DBE5F1"/>
          </w:tcPr>
          <w:p w:rsidR="00165D8B" w:rsidRPr="00A03AC5" w:rsidRDefault="00165D8B" w:rsidP="006B795B">
            <w:pPr>
              <w:shd w:val="clear" w:color="auto" w:fill="DBE5F1"/>
              <w:rPr>
                <w:rFonts w:ascii="Times New Roman" w:hAnsi="Times New Roman"/>
                <w:b/>
                <w:lang w:val="lt-LT"/>
              </w:rPr>
            </w:pPr>
            <w:r w:rsidRPr="00A03AC5">
              <w:rPr>
                <w:rFonts w:ascii="Times New Roman" w:hAnsi="Times New Roman"/>
                <w:b/>
                <w:lang w:val="lt-LT"/>
              </w:rPr>
              <w:lastRenderedPageBreak/>
              <w:t>Poveikis korupcijos mastams</w:t>
            </w:r>
          </w:p>
          <w:p w:rsidR="00165D8B" w:rsidRPr="00A03AC5" w:rsidRDefault="00165D8B" w:rsidP="006B795B">
            <w:pPr>
              <w:shd w:val="clear" w:color="auto" w:fill="DBE5F1"/>
              <w:rPr>
                <w:rFonts w:ascii="Times New Roman" w:hAnsi="Times New Roman"/>
                <w:b/>
                <w:lang w:val="lt-LT"/>
              </w:rPr>
            </w:pPr>
          </w:p>
          <w:p w:rsidR="00165D8B" w:rsidRPr="00A03AC5" w:rsidRDefault="00165D8B" w:rsidP="006B795B">
            <w:pPr>
              <w:shd w:val="clear" w:color="auto" w:fill="DBE5F1"/>
              <w:rPr>
                <w:rFonts w:ascii="Times New Roman" w:hAnsi="Times New Roman"/>
                <w:b/>
                <w:lang w:val="lt-LT"/>
              </w:rPr>
            </w:pPr>
            <w:r w:rsidRPr="00A03AC5">
              <w:rPr>
                <w:rFonts w:ascii="Times New Roman" w:hAnsi="Times New Roman"/>
                <w:b/>
                <w:lang w:val="lt-LT"/>
              </w:rPr>
              <w:t>Poveikis konkurencijai</w:t>
            </w:r>
          </w:p>
        </w:tc>
        <w:tc>
          <w:tcPr>
            <w:tcW w:w="7798" w:type="dxa"/>
            <w:tcBorders>
              <w:top w:val="nil"/>
              <w:left w:val="nil"/>
              <w:bottom w:val="nil"/>
              <w:right w:val="nil"/>
            </w:tcBorders>
          </w:tcPr>
          <w:p w:rsidR="00165D8B" w:rsidRPr="00A03AC5" w:rsidRDefault="00165D8B" w:rsidP="00640592">
            <w:pPr>
              <w:jc w:val="both"/>
              <w:rPr>
                <w:rFonts w:ascii="Times New Roman" w:hAnsi="Times New Roman"/>
                <w:lang w:val="lt-LT"/>
              </w:rPr>
            </w:pPr>
            <w:r w:rsidRPr="00A03AC5">
              <w:rPr>
                <w:rFonts w:ascii="Times New Roman" w:hAnsi="Times New Roman"/>
                <w:lang w:val="lt-LT"/>
              </w:rPr>
              <w:t>Poveikio korupcijos mastams nenumatoma.</w:t>
            </w:r>
          </w:p>
          <w:p w:rsidR="00165D8B" w:rsidRPr="00A03AC5" w:rsidRDefault="00165D8B" w:rsidP="00165D8B">
            <w:pPr>
              <w:rPr>
                <w:rFonts w:ascii="Times New Roman" w:hAnsi="Times New Roman"/>
                <w:lang w:val="lt-LT"/>
              </w:rPr>
            </w:pPr>
          </w:p>
          <w:p w:rsidR="00165D8B" w:rsidRPr="00A03AC5" w:rsidRDefault="00165D8B" w:rsidP="00165D8B">
            <w:pPr>
              <w:rPr>
                <w:rFonts w:ascii="Times New Roman" w:hAnsi="Times New Roman"/>
                <w:lang w:val="lt-LT"/>
              </w:rPr>
            </w:pPr>
          </w:p>
          <w:p w:rsidR="00165D8B" w:rsidRPr="00A03AC5" w:rsidRDefault="00165D8B" w:rsidP="00165D8B">
            <w:pPr>
              <w:rPr>
                <w:rFonts w:ascii="Times New Roman" w:hAnsi="Times New Roman"/>
                <w:lang w:val="lt-LT"/>
              </w:rPr>
            </w:pPr>
            <w:r w:rsidRPr="00A03AC5">
              <w:rPr>
                <w:rFonts w:ascii="Times New Roman" w:hAnsi="Times New Roman"/>
                <w:lang w:val="lt-LT"/>
              </w:rPr>
              <w:t>Poveikis konkurencijai nenumatomas.</w:t>
            </w:r>
          </w:p>
        </w:tc>
      </w:tr>
    </w:tbl>
    <w:p w:rsidR="006745EA" w:rsidRPr="00A03AC5" w:rsidRDefault="006745EA" w:rsidP="006745EA">
      <w:pPr>
        <w:rPr>
          <w:rFonts w:ascii="Times New Roman" w:hAnsi="Times New Roman"/>
          <w:i/>
          <w:lang w:val="lt-LT"/>
        </w:rPr>
      </w:pPr>
    </w:p>
    <w:tbl>
      <w:tblPr>
        <w:tblW w:w="10008" w:type="dxa"/>
        <w:tblLook w:val="00A0"/>
      </w:tblPr>
      <w:tblGrid>
        <w:gridCol w:w="10008"/>
      </w:tblGrid>
      <w:tr w:rsidR="00A03AC5" w:rsidRPr="00A03AC5" w:rsidTr="006B795B">
        <w:trPr>
          <w:trHeight w:val="396"/>
        </w:trPr>
        <w:tc>
          <w:tcPr>
            <w:tcW w:w="10008" w:type="dxa"/>
            <w:vMerge w:val="restart"/>
            <w:shd w:val="clear" w:color="auto" w:fill="DBE5F1"/>
          </w:tcPr>
          <w:p w:rsidR="006745EA" w:rsidRPr="00A03AC5" w:rsidRDefault="006745EA" w:rsidP="006B795B">
            <w:pPr>
              <w:rPr>
                <w:rFonts w:ascii="Times New Roman" w:hAnsi="Times New Roman"/>
                <w:b/>
                <w:lang w:val="lt-LT"/>
              </w:rPr>
            </w:pPr>
            <w:r w:rsidRPr="00A03AC5">
              <w:rPr>
                <w:rFonts w:ascii="Times New Roman" w:hAnsi="Times New Roman"/>
                <w:b/>
                <w:lang w:val="lt-LT"/>
              </w:rPr>
              <w:t>Kita svarbi informacija</w:t>
            </w:r>
          </w:p>
          <w:p w:rsidR="008E5726" w:rsidRPr="00A03AC5" w:rsidRDefault="006745EA" w:rsidP="008E5726">
            <w:pPr>
              <w:jc w:val="both"/>
              <w:rPr>
                <w:rFonts w:ascii="Times New Roman" w:hAnsi="Times New Roman"/>
                <w:lang w:val="lt-LT"/>
              </w:rPr>
            </w:pPr>
            <w:r w:rsidRPr="00A03AC5">
              <w:rPr>
                <w:rFonts w:ascii="Times New Roman" w:hAnsi="Times New Roman"/>
                <w:lang w:val="lt-LT"/>
              </w:rPr>
              <w:t xml:space="preserve">Projektas skelbiamas Lietuvos Respublikos Seimo </w:t>
            </w:r>
            <w:r w:rsidR="00BE5D3A" w:rsidRPr="00A03AC5">
              <w:rPr>
                <w:rFonts w:ascii="Times New Roman" w:hAnsi="Times New Roman"/>
                <w:lang w:val="lt-LT"/>
              </w:rPr>
              <w:t>T</w:t>
            </w:r>
            <w:r w:rsidRPr="00A03AC5">
              <w:rPr>
                <w:rFonts w:ascii="Times New Roman" w:hAnsi="Times New Roman"/>
                <w:lang w:val="lt-LT"/>
              </w:rPr>
              <w:t xml:space="preserve">eisės aktų informacinėje sistemoje. </w:t>
            </w:r>
          </w:p>
        </w:tc>
      </w:tr>
      <w:tr w:rsidR="00A03AC5" w:rsidRPr="00A03AC5" w:rsidTr="006B795B">
        <w:trPr>
          <w:trHeight w:val="285"/>
        </w:trPr>
        <w:tc>
          <w:tcPr>
            <w:tcW w:w="10008" w:type="dxa"/>
            <w:vMerge/>
            <w:vAlign w:val="center"/>
          </w:tcPr>
          <w:p w:rsidR="006745EA" w:rsidRPr="00A03AC5" w:rsidRDefault="006745EA" w:rsidP="006B795B">
            <w:pPr>
              <w:rPr>
                <w:b/>
                <w:szCs w:val="24"/>
                <w:lang w:val="lt-LT"/>
              </w:rPr>
            </w:pPr>
          </w:p>
        </w:tc>
      </w:tr>
      <w:tr w:rsidR="006745EA" w:rsidRPr="00A03AC5" w:rsidTr="006B795B">
        <w:trPr>
          <w:trHeight w:val="285"/>
        </w:trPr>
        <w:tc>
          <w:tcPr>
            <w:tcW w:w="10008" w:type="dxa"/>
            <w:vMerge/>
            <w:vAlign w:val="center"/>
          </w:tcPr>
          <w:p w:rsidR="006745EA" w:rsidRPr="00A03AC5" w:rsidRDefault="006745EA" w:rsidP="006B795B">
            <w:pPr>
              <w:rPr>
                <w:b/>
                <w:szCs w:val="24"/>
                <w:lang w:val="lt-LT"/>
              </w:rPr>
            </w:pPr>
          </w:p>
        </w:tc>
      </w:tr>
    </w:tbl>
    <w:p w:rsidR="006745EA" w:rsidRPr="00A03AC5" w:rsidRDefault="006745EA" w:rsidP="006745EA">
      <w:pPr>
        <w:pStyle w:val="ListParagraph1"/>
        <w:ind w:left="0"/>
        <w:contextualSpacing/>
        <w:jc w:val="both"/>
        <w:rPr>
          <w:b/>
          <w:szCs w:val="24"/>
        </w:rPr>
      </w:pPr>
    </w:p>
    <w:p w:rsidR="006745EA" w:rsidRPr="00A03AC5" w:rsidRDefault="006745EA" w:rsidP="006745EA">
      <w:pPr>
        <w:pStyle w:val="ListParagraph1"/>
        <w:ind w:left="0"/>
        <w:contextualSpacing/>
        <w:jc w:val="both"/>
        <w:rPr>
          <w:b/>
          <w:szCs w:val="24"/>
        </w:rPr>
      </w:pPr>
      <w:r w:rsidRPr="00A03AC5">
        <w:rPr>
          <w:b/>
          <w:szCs w:val="24"/>
        </w:rPr>
        <w:t>Informacija apie asmenį ir instituciją, atsakingą už poveikio vertinimą</w:t>
      </w:r>
    </w:p>
    <w:p w:rsidR="006745EA" w:rsidRPr="00A03AC5" w:rsidRDefault="006745EA" w:rsidP="006745EA">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6584"/>
      </w:tblGrid>
      <w:tr w:rsidR="00A03AC5" w:rsidRPr="00A03AC5" w:rsidTr="006B795B">
        <w:tc>
          <w:tcPr>
            <w:tcW w:w="1438" w:type="pct"/>
            <w:tcMar>
              <w:top w:w="28" w:type="dxa"/>
              <w:bottom w:w="28" w:type="dxa"/>
            </w:tcMar>
          </w:tcPr>
          <w:p w:rsidR="006745EA" w:rsidRPr="00A03AC5" w:rsidRDefault="006745EA" w:rsidP="006B795B">
            <w:pPr>
              <w:pStyle w:val="ListParagraph1"/>
              <w:ind w:left="0"/>
              <w:rPr>
                <w:sz w:val="20"/>
              </w:rPr>
            </w:pPr>
            <w:r w:rsidRPr="00A03AC5">
              <w:rPr>
                <w:sz w:val="20"/>
              </w:rPr>
              <w:t>Vardas ir pavardė</w:t>
            </w:r>
          </w:p>
        </w:tc>
        <w:tc>
          <w:tcPr>
            <w:tcW w:w="3562" w:type="pct"/>
            <w:tcMar>
              <w:top w:w="28" w:type="dxa"/>
              <w:bottom w:w="28" w:type="dxa"/>
            </w:tcMar>
          </w:tcPr>
          <w:p w:rsidR="006745EA" w:rsidRPr="00A03AC5" w:rsidRDefault="005F4840" w:rsidP="006B795B">
            <w:pPr>
              <w:pStyle w:val="ListParagraph1"/>
              <w:ind w:left="0"/>
              <w:rPr>
                <w:sz w:val="20"/>
              </w:rPr>
            </w:pPr>
            <w:r w:rsidRPr="00A03AC5">
              <w:rPr>
                <w:sz w:val="20"/>
              </w:rPr>
              <w:t>Gintarė Papartė</w:t>
            </w:r>
          </w:p>
        </w:tc>
      </w:tr>
      <w:tr w:rsidR="00A03AC5" w:rsidRPr="00A03AC5" w:rsidTr="006B795B">
        <w:tc>
          <w:tcPr>
            <w:tcW w:w="1438" w:type="pct"/>
            <w:tcMar>
              <w:top w:w="28" w:type="dxa"/>
              <w:bottom w:w="28" w:type="dxa"/>
            </w:tcMar>
          </w:tcPr>
          <w:p w:rsidR="006745EA" w:rsidRPr="00A03AC5" w:rsidRDefault="006745EA" w:rsidP="006B795B">
            <w:pPr>
              <w:pStyle w:val="ListParagraph1"/>
              <w:ind w:left="0"/>
              <w:rPr>
                <w:b/>
                <w:sz w:val="20"/>
              </w:rPr>
            </w:pPr>
            <w:r w:rsidRPr="00A03AC5">
              <w:rPr>
                <w:sz w:val="20"/>
              </w:rPr>
              <w:t>Pareigos</w:t>
            </w:r>
          </w:p>
        </w:tc>
        <w:tc>
          <w:tcPr>
            <w:tcW w:w="3562" w:type="pct"/>
            <w:tcMar>
              <w:top w:w="28" w:type="dxa"/>
              <w:bottom w:w="28" w:type="dxa"/>
            </w:tcMar>
          </w:tcPr>
          <w:p w:rsidR="006745EA" w:rsidRPr="00A03AC5" w:rsidRDefault="005F4840" w:rsidP="006B795B">
            <w:pPr>
              <w:pStyle w:val="ListParagraph1"/>
              <w:ind w:left="0"/>
              <w:rPr>
                <w:sz w:val="20"/>
              </w:rPr>
            </w:pPr>
            <w:r w:rsidRPr="00A03AC5">
              <w:rPr>
                <w:sz w:val="20"/>
              </w:rPr>
              <w:t>Sporto grupės patarėja</w:t>
            </w:r>
          </w:p>
        </w:tc>
      </w:tr>
      <w:tr w:rsidR="00A03AC5" w:rsidRPr="00A03AC5" w:rsidTr="006B795B">
        <w:tc>
          <w:tcPr>
            <w:tcW w:w="1438" w:type="pct"/>
            <w:tcMar>
              <w:top w:w="28" w:type="dxa"/>
              <w:bottom w:w="28" w:type="dxa"/>
            </w:tcMar>
          </w:tcPr>
          <w:p w:rsidR="006745EA" w:rsidRPr="00A03AC5" w:rsidRDefault="006745EA" w:rsidP="006B795B">
            <w:pPr>
              <w:pStyle w:val="ListParagraph1"/>
              <w:ind w:left="0"/>
              <w:rPr>
                <w:b/>
                <w:sz w:val="20"/>
              </w:rPr>
            </w:pPr>
            <w:r w:rsidRPr="00A03AC5">
              <w:rPr>
                <w:sz w:val="20"/>
              </w:rPr>
              <w:t>Institucija (padalinys)</w:t>
            </w:r>
          </w:p>
        </w:tc>
        <w:tc>
          <w:tcPr>
            <w:tcW w:w="3562" w:type="pct"/>
            <w:tcMar>
              <w:top w:w="28" w:type="dxa"/>
              <w:bottom w:w="28" w:type="dxa"/>
            </w:tcMar>
          </w:tcPr>
          <w:p w:rsidR="006745EA" w:rsidRPr="00A03AC5" w:rsidRDefault="005F4840" w:rsidP="006B795B">
            <w:pPr>
              <w:pStyle w:val="ListParagraph1"/>
              <w:ind w:left="0"/>
              <w:rPr>
                <w:sz w:val="20"/>
              </w:rPr>
            </w:pPr>
            <w:r w:rsidRPr="00A03AC5">
              <w:rPr>
                <w:sz w:val="20"/>
              </w:rPr>
              <w:t>Sporto grupė</w:t>
            </w:r>
          </w:p>
        </w:tc>
      </w:tr>
      <w:tr w:rsidR="00A03AC5" w:rsidRPr="00A03AC5" w:rsidTr="006B795B">
        <w:tc>
          <w:tcPr>
            <w:tcW w:w="1438" w:type="pct"/>
            <w:tcMar>
              <w:top w:w="28" w:type="dxa"/>
              <w:bottom w:w="28" w:type="dxa"/>
            </w:tcMar>
          </w:tcPr>
          <w:p w:rsidR="006745EA" w:rsidRPr="00A03AC5" w:rsidRDefault="006745EA" w:rsidP="006B795B">
            <w:pPr>
              <w:pStyle w:val="ListParagraph1"/>
              <w:ind w:left="0"/>
              <w:rPr>
                <w:sz w:val="20"/>
              </w:rPr>
            </w:pPr>
            <w:r w:rsidRPr="00A03AC5">
              <w:rPr>
                <w:sz w:val="20"/>
              </w:rPr>
              <w:t>Telefono numeris ir elektroninio pašto adresas</w:t>
            </w:r>
          </w:p>
        </w:tc>
        <w:tc>
          <w:tcPr>
            <w:tcW w:w="3562" w:type="pct"/>
            <w:tcMar>
              <w:top w:w="28" w:type="dxa"/>
              <w:bottom w:w="28" w:type="dxa"/>
            </w:tcMar>
          </w:tcPr>
          <w:p w:rsidR="006745EA" w:rsidRPr="00A03AC5" w:rsidRDefault="008E5726" w:rsidP="008E5726">
            <w:pPr>
              <w:pStyle w:val="ListParagraph1"/>
              <w:ind w:left="0"/>
              <w:rPr>
                <w:sz w:val="20"/>
              </w:rPr>
            </w:pPr>
            <w:r w:rsidRPr="00A03AC5">
              <w:rPr>
                <w:sz w:val="20"/>
              </w:rPr>
              <w:t>219 1114</w:t>
            </w:r>
            <w:r w:rsidR="006745EA" w:rsidRPr="00A03AC5">
              <w:rPr>
                <w:sz w:val="20"/>
              </w:rPr>
              <w:t xml:space="preserve">, </w:t>
            </w:r>
            <w:r w:rsidR="00BE5D3A" w:rsidRPr="00A03AC5">
              <w:rPr>
                <w:sz w:val="20"/>
              </w:rPr>
              <w:t>G</w:t>
            </w:r>
            <w:r w:rsidRPr="00A03AC5">
              <w:rPr>
                <w:sz w:val="20"/>
              </w:rPr>
              <w:t>intare.</w:t>
            </w:r>
            <w:r w:rsidR="00BE5D3A" w:rsidRPr="00A03AC5">
              <w:rPr>
                <w:sz w:val="20"/>
              </w:rPr>
              <w:t>P</w:t>
            </w:r>
            <w:r w:rsidRPr="00A03AC5">
              <w:rPr>
                <w:sz w:val="20"/>
              </w:rPr>
              <w:t>aparte</w:t>
            </w:r>
            <w:r w:rsidR="006745EA" w:rsidRPr="00A03AC5">
              <w:rPr>
                <w:sz w:val="20"/>
              </w:rPr>
              <w:t>@smm.lt</w:t>
            </w:r>
          </w:p>
        </w:tc>
      </w:tr>
    </w:tbl>
    <w:p w:rsidR="00D532D5" w:rsidRPr="00A03AC5" w:rsidRDefault="006745EA" w:rsidP="00640592">
      <w:pPr>
        <w:pStyle w:val="Header"/>
        <w:tabs>
          <w:tab w:val="left" w:pos="6237"/>
        </w:tabs>
        <w:spacing w:line="360" w:lineRule="atLeast"/>
        <w:jc w:val="center"/>
        <w:rPr>
          <w:lang w:val="lt-LT"/>
        </w:rPr>
      </w:pPr>
      <w:r w:rsidRPr="00A03AC5">
        <w:rPr>
          <w:lang w:val="lt-LT"/>
        </w:rPr>
        <w:t>__________________</w:t>
      </w:r>
    </w:p>
    <w:sectPr w:rsidR="00D532D5" w:rsidRPr="00A03AC5" w:rsidSect="00640592">
      <w:pgSz w:w="11906" w:h="16838"/>
      <w:pgMar w:top="1134" w:right="1440" w:bottom="1134"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09D3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9D3FF" w16cid:durableId="2230834A"/>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0CF"/>
    <w:multiLevelType w:val="hybridMultilevel"/>
    <w:tmpl w:val="1E60CB30"/>
    <w:lvl w:ilvl="0" w:tplc="9AE4B1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529B5512"/>
    <w:multiLevelType w:val="hybridMultilevel"/>
    <w:tmpl w:val="954CF1AA"/>
    <w:lvl w:ilvl="0" w:tplc="A7FC10D2">
      <w:start w:val="2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utis Prišmantas">
    <w15:presenceInfo w15:providerId="AD" w15:userId="S::ramutis.prismantas@lrv.lt::74e5e9ff-4207-4574-a189-244aff6ade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F01B38"/>
    <w:rsid w:val="000170C9"/>
    <w:rsid w:val="00017720"/>
    <w:rsid w:val="000E6B83"/>
    <w:rsid w:val="00102653"/>
    <w:rsid w:val="00115E4C"/>
    <w:rsid w:val="00162865"/>
    <w:rsid w:val="00165D8B"/>
    <w:rsid w:val="0023567D"/>
    <w:rsid w:val="002403BE"/>
    <w:rsid w:val="002A2987"/>
    <w:rsid w:val="00377E3C"/>
    <w:rsid w:val="00382612"/>
    <w:rsid w:val="0039501F"/>
    <w:rsid w:val="00403464"/>
    <w:rsid w:val="0040754B"/>
    <w:rsid w:val="0051386A"/>
    <w:rsid w:val="00523C88"/>
    <w:rsid w:val="00546D67"/>
    <w:rsid w:val="005867BE"/>
    <w:rsid w:val="005F4840"/>
    <w:rsid w:val="00605D61"/>
    <w:rsid w:val="00640592"/>
    <w:rsid w:val="00641662"/>
    <w:rsid w:val="006745EA"/>
    <w:rsid w:val="006A0850"/>
    <w:rsid w:val="006C4914"/>
    <w:rsid w:val="007922D1"/>
    <w:rsid w:val="007D7B33"/>
    <w:rsid w:val="007E18F1"/>
    <w:rsid w:val="008E5726"/>
    <w:rsid w:val="00944E8A"/>
    <w:rsid w:val="009B00A9"/>
    <w:rsid w:val="009B01D4"/>
    <w:rsid w:val="00A03AC5"/>
    <w:rsid w:val="00A422E3"/>
    <w:rsid w:val="00A51249"/>
    <w:rsid w:val="00AF15AF"/>
    <w:rsid w:val="00B1305E"/>
    <w:rsid w:val="00BC504C"/>
    <w:rsid w:val="00BE5D3A"/>
    <w:rsid w:val="00C02FAA"/>
    <w:rsid w:val="00C57434"/>
    <w:rsid w:val="00C744F7"/>
    <w:rsid w:val="00D532D5"/>
    <w:rsid w:val="00DA15CA"/>
    <w:rsid w:val="00DE0C16"/>
    <w:rsid w:val="00E2091F"/>
    <w:rsid w:val="00F01B38"/>
    <w:rsid w:val="00F45698"/>
    <w:rsid w:val="00F86DE5"/>
    <w:rsid w:val="00F9760F"/>
    <w:rsid w:val="00FA0D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EA"/>
    <w:pPr>
      <w:overflowPunct w:val="0"/>
      <w:autoSpaceDE w:val="0"/>
      <w:autoSpaceDN w:val="0"/>
      <w:adjustRightInd w:val="0"/>
      <w:spacing w:after="0" w:line="240" w:lineRule="auto"/>
      <w:textAlignment w:val="baseline"/>
    </w:pPr>
    <w:rPr>
      <w:rFonts w:ascii="HelveticaLT" w:eastAsia="Times New Roman" w:hAnsi="HelveticaL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rsid w:val="006745EA"/>
    <w:pPr>
      <w:tabs>
        <w:tab w:val="center" w:pos="4819"/>
        <w:tab w:val="right" w:pos="9071"/>
      </w:tabs>
    </w:pPr>
  </w:style>
  <w:style w:type="character" w:customStyle="1" w:styleId="HeaderChar">
    <w:name w:val="Header Char"/>
    <w:aliases w:val="Char Char,Diagrama Char"/>
    <w:basedOn w:val="DefaultParagraphFont"/>
    <w:link w:val="Header"/>
    <w:rsid w:val="006745EA"/>
    <w:rPr>
      <w:rFonts w:ascii="HelveticaLT" w:eastAsia="Times New Roman" w:hAnsi="HelveticaLT" w:cs="Times New Roman"/>
      <w:sz w:val="20"/>
      <w:szCs w:val="20"/>
    </w:rPr>
  </w:style>
  <w:style w:type="paragraph" w:customStyle="1" w:styleId="ListParagraph1">
    <w:name w:val="List Paragraph1"/>
    <w:basedOn w:val="Normal"/>
    <w:rsid w:val="006745EA"/>
    <w:pPr>
      <w:overflowPunct/>
      <w:autoSpaceDE/>
      <w:autoSpaceDN/>
      <w:adjustRightInd/>
      <w:ind w:left="1296"/>
      <w:textAlignment w:val="auto"/>
    </w:pPr>
    <w:rPr>
      <w:rFonts w:ascii="Times New Roman" w:hAnsi="Times New Roman"/>
      <w:sz w:val="24"/>
      <w:lang w:val="lt-LT"/>
    </w:rPr>
  </w:style>
  <w:style w:type="character" w:styleId="CommentReference">
    <w:name w:val="annotation reference"/>
    <w:basedOn w:val="DefaultParagraphFont"/>
    <w:semiHidden/>
    <w:unhideWhenUsed/>
    <w:rsid w:val="0051386A"/>
    <w:rPr>
      <w:sz w:val="16"/>
      <w:szCs w:val="16"/>
    </w:rPr>
  </w:style>
  <w:style w:type="paragraph" w:styleId="CommentText">
    <w:name w:val="annotation text"/>
    <w:basedOn w:val="Normal"/>
    <w:link w:val="CommentTextChar"/>
    <w:semiHidden/>
    <w:unhideWhenUsed/>
    <w:rsid w:val="0051386A"/>
  </w:style>
  <w:style w:type="character" w:customStyle="1" w:styleId="CommentTextChar">
    <w:name w:val="Comment Text Char"/>
    <w:basedOn w:val="DefaultParagraphFont"/>
    <w:link w:val="CommentText"/>
    <w:uiPriority w:val="99"/>
    <w:semiHidden/>
    <w:rsid w:val="0051386A"/>
    <w:rPr>
      <w:rFonts w:ascii="HelveticaLT" w:eastAsia="Times New Roman" w:hAnsi="HelveticaLT" w:cs="Times New Roman"/>
      <w:sz w:val="20"/>
      <w:szCs w:val="20"/>
    </w:rPr>
  </w:style>
  <w:style w:type="paragraph" w:styleId="CommentSubject">
    <w:name w:val="annotation subject"/>
    <w:basedOn w:val="CommentText"/>
    <w:next w:val="CommentText"/>
    <w:link w:val="CommentSubjectChar"/>
    <w:uiPriority w:val="99"/>
    <w:semiHidden/>
    <w:unhideWhenUsed/>
    <w:rsid w:val="0051386A"/>
    <w:rPr>
      <w:b/>
      <w:bCs/>
    </w:rPr>
  </w:style>
  <w:style w:type="character" w:customStyle="1" w:styleId="CommentSubjectChar">
    <w:name w:val="Comment Subject Char"/>
    <w:basedOn w:val="CommentTextChar"/>
    <w:link w:val="CommentSubject"/>
    <w:uiPriority w:val="99"/>
    <w:semiHidden/>
    <w:rsid w:val="0051386A"/>
    <w:rPr>
      <w:rFonts w:ascii="HelveticaLT" w:eastAsia="Times New Roman" w:hAnsi="HelveticaLT" w:cs="Times New Roman"/>
      <w:b/>
      <w:bCs/>
      <w:sz w:val="20"/>
      <w:szCs w:val="20"/>
    </w:rPr>
  </w:style>
  <w:style w:type="paragraph" w:styleId="BalloonText">
    <w:name w:val="Balloon Text"/>
    <w:basedOn w:val="Normal"/>
    <w:link w:val="BalloonTextChar"/>
    <w:uiPriority w:val="99"/>
    <w:semiHidden/>
    <w:unhideWhenUsed/>
    <w:rsid w:val="00513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6A"/>
    <w:rPr>
      <w:rFonts w:ascii="Segoe UI" w:eastAsia="Times New Roman" w:hAnsi="Segoe UI" w:cs="Segoe UI"/>
      <w:sz w:val="18"/>
      <w:szCs w:val="18"/>
    </w:rPr>
  </w:style>
  <w:style w:type="paragraph" w:styleId="ListParagraph">
    <w:name w:val="List Paragraph"/>
    <w:basedOn w:val="Normal"/>
    <w:qFormat/>
    <w:rsid w:val="00017720"/>
    <w:pPr>
      <w:overflowPunct/>
      <w:autoSpaceDE/>
      <w:autoSpaceDN/>
      <w:adjustRightInd/>
      <w:ind w:left="720"/>
      <w:contextualSpacing/>
      <w:textAlignment w:val="auto"/>
    </w:pPr>
    <w:rPr>
      <w:rFonts w:ascii="Times New Roman" w:hAnsi="Times New Roman"/>
      <w:sz w:val="24"/>
      <w:lang w:val="lt-LT"/>
    </w:rPr>
  </w:style>
  <w:style w:type="paragraph" w:styleId="NormalWeb">
    <w:name w:val="Normal (Web)"/>
    <w:basedOn w:val="Normal"/>
    <w:uiPriority w:val="99"/>
    <w:unhideWhenUsed/>
    <w:rsid w:val="002A2987"/>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7259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63E8-11E3-4E8C-8B0D-286DAF6184CE}"/>
</file>

<file path=customXml/itemProps2.xml><?xml version="1.0" encoding="utf-8"?>
<ds:datastoreItem xmlns:ds="http://schemas.openxmlformats.org/officeDocument/2006/customXml" ds:itemID="{C475B5C2-DCC4-452D-8D1F-D1A96D853E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D5043-E937-49C5-B515-ECF9B01A6277}">
  <ds:schemaRefs>
    <ds:schemaRef ds:uri="http://schemas.microsoft.com/sharepoint/v3/contenttype/forms"/>
  </ds:schemaRefs>
</ds:datastoreItem>
</file>

<file path=customXml/itemProps4.xml><?xml version="1.0" encoding="utf-8"?>
<ds:datastoreItem xmlns:ds="http://schemas.openxmlformats.org/officeDocument/2006/customXml" ds:itemID="{21E27EA3-7807-4C1F-B359-5A7326F3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2c115728-f2e5-4f69-a9dd-31d0d912a2ba</vt:lpstr>
      <vt:lpstr>0795836e-dd82-4e0c-8035-b098f9723fa3</vt:lpstr>
    </vt:vector>
  </TitlesOfParts>
  <Company>HP</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6d99cf26-3a4a-4599-a64e-4fbd8b03ba2e</dc:title>
  <dc:creator>Šimulevič Tomaš</dc:creator>
  <cp:lastModifiedBy>user</cp:lastModifiedBy>
  <cp:revision>2</cp:revision>
  <dcterms:created xsi:type="dcterms:W3CDTF">2020-04-03T11:06:00Z</dcterms:created>
  <dcterms:modified xsi:type="dcterms:W3CDTF">2020-04-03T11:06:00Z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