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8AC8F" w14:textId="4A5192AE" w:rsidR="003D5827" w:rsidRPr="005E4DAE" w:rsidRDefault="003D5827" w:rsidP="002D3CDA">
      <w:pPr>
        <w:spacing w:after="0" w:line="240" w:lineRule="auto"/>
        <w:jc w:val="center"/>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LIETUVOS RESPUBLIKOS</w:t>
      </w:r>
    </w:p>
    <w:p w14:paraId="7910CDE7" w14:textId="77777777" w:rsidR="003D5827" w:rsidRDefault="003D5827" w:rsidP="002D3CDA">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aps/>
          <w:sz w:val="24"/>
          <w:szCs w:val="24"/>
          <w:lang w:val="lt-LT"/>
        </w:rPr>
      </w:pPr>
      <w:r w:rsidRPr="005E4DAE">
        <w:rPr>
          <w:rFonts w:ascii="Times New Roman" w:hAnsi="Times New Roman" w:cs="Times New Roman"/>
          <w:b/>
          <w:sz w:val="24"/>
          <w:szCs w:val="24"/>
          <w:lang w:val="lt-LT" w:eastAsia="lt-LT"/>
        </w:rPr>
        <w:t>NARKOTINIŲ IR PSICHOTROPINIŲ MEDŽIAGŲ PIRMTAKŲ (</w:t>
      </w:r>
      <w:proofErr w:type="spellStart"/>
      <w:r w:rsidRPr="005E4DAE">
        <w:rPr>
          <w:rFonts w:ascii="Times New Roman" w:hAnsi="Times New Roman" w:cs="Times New Roman"/>
          <w:b/>
          <w:sz w:val="24"/>
          <w:szCs w:val="24"/>
          <w:lang w:val="lt-LT" w:eastAsia="lt-LT"/>
        </w:rPr>
        <w:t>PREKURSORIŲ</w:t>
      </w:r>
      <w:proofErr w:type="spellEnd"/>
      <w:r w:rsidRPr="005E4DAE">
        <w:rPr>
          <w:rFonts w:ascii="Times New Roman" w:hAnsi="Times New Roman" w:cs="Times New Roman"/>
          <w:b/>
          <w:sz w:val="24"/>
          <w:szCs w:val="24"/>
          <w:lang w:val="lt-LT" w:eastAsia="lt-LT"/>
        </w:rPr>
        <w:t xml:space="preserve">) KONTROLĖS ĮSTATYMO </w:t>
      </w:r>
      <w:r w:rsidRPr="005E4DAE">
        <w:rPr>
          <w:rFonts w:ascii="Times New Roman" w:hAnsi="Times New Roman" w:cs="Times New Roman"/>
          <w:b/>
          <w:sz w:val="24"/>
          <w:szCs w:val="24"/>
          <w:lang w:val="lt-LT"/>
        </w:rPr>
        <w:t xml:space="preserve">NR. VIII–1207 </w:t>
      </w:r>
      <w:r w:rsidRPr="005E4DAE">
        <w:rPr>
          <w:rFonts w:ascii="Times New Roman" w:hAnsi="Times New Roman" w:cs="Times New Roman"/>
          <w:b/>
          <w:sz w:val="24"/>
          <w:szCs w:val="24"/>
          <w:lang w:val="lt-LT" w:eastAsia="lt-LT"/>
        </w:rPr>
        <w:t>PAKEITIMO  ĮSTATYMO PROJEKTO</w:t>
      </w:r>
      <w:r w:rsidRPr="005E4DAE">
        <w:rPr>
          <w:rFonts w:ascii="Times New Roman" w:hAnsi="Times New Roman" w:cs="Times New Roman"/>
          <w:b/>
          <w:bCs/>
          <w:caps/>
          <w:sz w:val="24"/>
          <w:szCs w:val="24"/>
          <w:lang w:val="lt-LT"/>
        </w:rPr>
        <w:t xml:space="preserve"> Derinimo pažyma</w:t>
      </w:r>
    </w:p>
    <w:p w14:paraId="14B7FC99" w14:textId="77777777" w:rsidR="003D5827" w:rsidRPr="005E4DAE" w:rsidRDefault="003D5827" w:rsidP="002D3CDA">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lt-LT" w:eastAsia="lt-LT"/>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5504"/>
        <w:gridCol w:w="7088"/>
      </w:tblGrid>
      <w:tr w:rsidR="003D5827" w:rsidRPr="00C63124" w14:paraId="3C0E7358" w14:textId="77777777" w:rsidTr="006326B9">
        <w:tc>
          <w:tcPr>
            <w:tcW w:w="1584" w:type="dxa"/>
          </w:tcPr>
          <w:p w14:paraId="71623FCA" w14:textId="77777777" w:rsidR="003D5827" w:rsidRPr="00C63124" w:rsidRDefault="003D5827" w:rsidP="002D3CDA">
            <w:pPr>
              <w:spacing w:after="0" w:line="240" w:lineRule="auto"/>
              <w:jc w:val="both"/>
              <w:rPr>
                <w:rFonts w:ascii="Times New Roman" w:hAnsi="Times New Roman" w:cs="Times New Roman"/>
                <w:b/>
                <w:bCs/>
                <w:sz w:val="24"/>
                <w:szCs w:val="24"/>
                <w:lang w:val="lt-LT"/>
              </w:rPr>
            </w:pPr>
            <w:r w:rsidRPr="00C63124">
              <w:rPr>
                <w:rFonts w:ascii="Times New Roman" w:hAnsi="Times New Roman" w:cs="Times New Roman"/>
                <w:b/>
                <w:bCs/>
                <w:sz w:val="24"/>
                <w:szCs w:val="24"/>
                <w:lang w:val="lt-LT"/>
              </w:rPr>
              <w:t>Institucijos pavadinimas, rašto data ir numeris</w:t>
            </w:r>
          </w:p>
        </w:tc>
        <w:tc>
          <w:tcPr>
            <w:tcW w:w="5504" w:type="dxa"/>
          </w:tcPr>
          <w:p w14:paraId="613609CA" w14:textId="77777777" w:rsidR="003D5827" w:rsidRPr="00C63124" w:rsidRDefault="003D5827" w:rsidP="002D3CDA">
            <w:pPr>
              <w:spacing w:after="0" w:line="240" w:lineRule="auto"/>
              <w:jc w:val="both"/>
              <w:rPr>
                <w:rFonts w:ascii="Times New Roman" w:hAnsi="Times New Roman" w:cs="Times New Roman"/>
                <w:b/>
                <w:bCs/>
                <w:sz w:val="24"/>
                <w:szCs w:val="24"/>
                <w:lang w:val="lt-LT"/>
              </w:rPr>
            </w:pPr>
            <w:r w:rsidRPr="00C63124">
              <w:rPr>
                <w:rFonts w:ascii="Times New Roman" w:hAnsi="Times New Roman" w:cs="Times New Roman"/>
                <w:b/>
                <w:bCs/>
                <w:sz w:val="24"/>
                <w:szCs w:val="24"/>
                <w:lang w:val="lt-LT"/>
              </w:rPr>
              <w:t>Pastabos ir pasiūlymai</w:t>
            </w:r>
          </w:p>
        </w:tc>
        <w:tc>
          <w:tcPr>
            <w:tcW w:w="7088" w:type="dxa"/>
          </w:tcPr>
          <w:p w14:paraId="71226950" w14:textId="77777777" w:rsidR="003D5827" w:rsidRPr="00C63124" w:rsidRDefault="003D5827" w:rsidP="002D3CDA">
            <w:pPr>
              <w:spacing w:after="0" w:line="240" w:lineRule="auto"/>
              <w:jc w:val="both"/>
              <w:rPr>
                <w:rFonts w:ascii="Times New Roman" w:hAnsi="Times New Roman" w:cs="Times New Roman"/>
                <w:b/>
                <w:bCs/>
                <w:sz w:val="24"/>
                <w:szCs w:val="24"/>
                <w:lang w:val="lt-LT"/>
              </w:rPr>
            </w:pPr>
            <w:r w:rsidRPr="00C63124">
              <w:rPr>
                <w:rFonts w:ascii="Times New Roman" w:hAnsi="Times New Roman" w:cs="Times New Roman"/>
                <w:b/>
                <w:bCs/>
                <w:sz w:val="24"/>
                <w:szCs w:val="24"/>
                <w:shd w:val="clear" w:color="auto" w:fill="FFFFFF"/>
                <w:lang w:val="lt-LT"/>
              </w:rPr>
              <w:t>Argumentai, kodėl neatsižvelgta į institucijų pastabas ir pasiūlymus</w:t>
            </w:r>
          </w:p>
          <w:p w14:paraId="502F2796" w14:textId="77777777" w:rsidR="003D5827" w:rsidRPr="00C63124" w:rsidRDefault="003D5827" w:rsidP="002D3CDA">
            <w:pPr>
              <w:spacing w:after="0" w:line="240" w:lineRule="auto"/>
              <w:jc w:val="both"/>
              <w:rPr>
                <w:rFonts w:ascii="Times New Roman" w:hAnsi="Times New Roman" w:cs="Times New Roman"/>
                <w:b/>
                <w:bCs/>
                <w:sz w:val="24"/>
                <w:szCs w:val="24"/>
                <w:lang w:val="lt-LT"/>
              </w:rPr>
            </w:pPr>
          </w:p>
        </w:tc>
      </w:tr>
      <w:tr w:rsidR="003D1E1D" w:rsidRPr="005860B3" w14:paraId="6C51B609" w14:textId="77777777" w:rsidTr="006326B9">
        <w:tc>
          <w:tcPr>
            <w:tcW w:w="1584" w:type="dxa"/>
            <w:vMerge w:val="restart"/>
          </w:tcPr>
          <w:p w14:paraId="64B0DC71" w14:textId="77777777" w:rsidR="003D1E1D" w:rsidRPr="00C63124" w:rsidRDefault="003D1E1D" w:rsidP="002D3CDA">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 xml:space="preserve">LRV kanceliarijos Teisės grupės 2020-07-08 išvada Nr. </w:t>
            </w:r>
            <w:proofErr w:type="spellStart"/>
            <w:r w:rsidRPr="00C63124">
              <w:rPr>
                <w:rFonts w:ascii="Times New Roman" w:hAnsi="Times New Roman" w:cs="Times New Roman"/>
                <w:sz w:val="24"/>
                <w:szCs w:val="24"/>
                <w:lang w:val="lt-LT"/>
              </w:rPr>
              <w:t>NV</w:t>
            </w:r>
            <w:proofErr w:type="spellEnd"/>
            <w:r w:rsidRPr="00C63124">
              <w:rPr>
                <w:rFonts w:ascii="Times New Roman" w:hAnsi="Times New Roman" w:cs="Times New Roman"/>
                <w:sz w:val="24"/>
                <w:szCs w:val="24"/>
                <w:lang w:val="lt-LT"/>
              </w:rPr>
              <w:t>-1911</w:t>
            </w:r>
          </w:p>
          <w:p w14:paraId="1BB5ECF8" w14:textId="530ECBD5" w:rsidR="003D1E1D" w:rsidRPr="00C63124" w:rsidRDefault="003D1E1D" w:rsidP="002D3CDA">
            <w:pPr>
              <w:spacing w:after="0" w:line="240" w:lineRule="auto"/>
              <w:jc w:val="both"/>
              <w:rPr>
                <w:rFonts w:ascii="Times New Roman" w:hAnsi="Times New Roman" w:cs="Times New Roman"/>
                <w:sz w:val="24"/>
                <w:szCs w:val="24"/>
                <w:lang w:val="lt-LT"/>
              </w:rPr>
            </w:pPr>
          </w:p>
        </w:tc>
        <w:tc>
          <w:tcPr>
            <w:tcW w:w="5504" w:type="dxa"/>
          </w:tcPr>
          <w:p w14:paraId="32B7E921" w14:textId="77777777" w:rsidR="003D1E1D" w:rsidRDefault="003D1E1D" w:rsidP="002B72E2">
            <w:pPr>
              <w:widowControl w:val="0"/>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860B3">
              <w:rPr>
                <w:rFonts w:ascii="Times New Roman" w:hAnsi="Times New Roman" w:cs="Times New Roman"/>
                <w:sz w:val="24"/>
                <w:szCs w:val="24"/>
                <w:lang w:val="lt-LT"/>
              </w:rPr>
              <w:t xml:space="preserve"> Išlieka aktuali Išvados 27 pastaba dėl institucijų, susijusios su į oficialų sąrašą įtrauktomis medžiagomis ir neįtrauktomis medžiagomis, kompetencijos „išgryninimo“. Jei, kaip nurodoma derinimo pažymoje, tam tikros institucijos tirdamos subjektų veiklas vadovaujasi kitais teisės aktais, tuomet šiame Įstatymo projekte šių institucijų ir jų kompetencijos nurodyti nereikia, akcentuojant, kad atitinkamos veiklos kontrolė turėtų būti siejama tik su šio Įstatymo projekto nuostatomis</w:t>
            </w:r>
          </w:p>
          <w:p w14:paraId="2D50B96A" w14:textId="22010D17" w:rsidR="003D1E1D" w:rsidRPr="005860B3" w:rsidRDefault="003D1E1D" w:rsidP="002B72E2">
            <w:pPr>
              <w:widowControl w:val="0"/>
              <w:spacing w:after="0" w:line="240" w:lineRule="auto"/>
              <w:contextualSpacing/>
              <w:jc w:val="both"/>
              <w:rPr>
                <w:rFonts w:ascii="Times New Roman" w:hAnsi="Times New Roman" w:cs="Times New Roman"/>
                <w:sz w:val="24"/>
                <w:szCs w:val="24"/>
                <w:lang w:val="lt-LT"/>
              </w:rPr>
            </w:pPr>
          </w:p>
        </w:tc>
        <w:tc>
          <w:tcPr>
            <w:tcW w:w="7088" w:type="dxa"/>
          </w:tcPr>
          <w:p w14:paraId="26C54C47" w14:textId="77777777" w:rsidR="003D1E1D" w:rsidRDefault="003D1E1D" w:rsidP="002B72E2">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Neatsižvelgta.</w:t>
            </w:r>
          </w:p>
          <w:p w14:paraId="7A879984" w14:textId="0E70395F" w:rsidR="003D1E1D" w:rsidRDefault="003D1E1D" w:rsidP="00F7705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projektas yra skirtas </w:t>
            </w:r>
            <w:r w:rsidRPr="002F24D6">
              <w:rPr>
                <w:rFonts w:ascii="Times New Roman" w:hAnsi="Times New Roman" w:cs="Times New Roman"/>
                <w:b/>
                <w:sz w:val="24"/>
                <w:szCs w:val="24"/>
                <w:lang w:val="lt-LT"/>
              </w:rPr>
              <w:t>teisėtos</w:t>
            </w:r>
            <w:r>
              <w:rPr>
                <w:rFonts w:ascii="Times New Roman" w:hAnsi="Times New Roman" w:cs="Times New Roman"/>
                <w:sz w:val="24"/>
                <w:szCs w:val="24"/>
                <w:lang w:val="lt-LT"/>
              </w:rPr>
              <w:t xml:space="preserve"> apyvartos priežiūrai</w:t>
            </w:r>
            <w:r w:rsidR="000960D8">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0960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kontrolei, kurią pagal kompetenciją vykdo </w:t>
            </w:r>
            <w:r w:rsidRPr="00C63124">
              <w:rPr>
                <w:rFonts w:ascii="Times New Roman" w:hAnsi="Times New Roman" w:cs="Times New Roman"/>
                <w:sz w:val="24"/>
                <w:szCs w:val="24"/>
                <w:lang w:val="lt-LT"/>
              </w:rPr>
              <w:t>N</w:t>
            </w:r>
            <w:r>
              <w:rPr>
                <w:rFonts w:ascii="Times New Roman" w:hAnsi="Times New Roman" w:cs="Times New Roman"/>
                <w:sz w:val="24"/>
                <w:szCs w:val="24"/>
                <w:lang w:val="lt-LT"/>
              </w:rPr>
              <w:t xml:space="preserve">arkotikų, tabako ir alkoholio kontrolės departamentas (vidaus apyvartos priežiūra) ir muitinės įstaigos (išorinės apyvartos kontrolė), todėl  šių institucijų funkcijos ir kompetencija yra „išgrynintos“. </w:t>
            </w:r>
          </w:p>
          <w:p w14:paraId="2B3CF00E" w14:textId="42D70BA5" w:rsidR="003D1E1D" w:rsidRDefault="003D1E1D" w:rsidP="00F7705E">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P</w:t>
            </w:r>
            <w:r>
              <w:rPr>
                <w:rFonts w:ascii="Times New Roman" w:hAnsi="Times New Roman" w:cs="Times New Roman"/>
                <w:sz w:val="24"/>
                <w:szCs w:val="24"/>
                <w:lang w:val="lt-LT"/>
              </w:rPr>
              <w:t>olicijos departamento</w:t>
            </w:r>
            <w:r w:rsidRPr="005E4DAE">
              <w:rPr>
                <w:rFonts w:ascii="Times New Roman" w:hAnsi="Times New Roman" w:cs="Times New Roman"/>
                <w:sz w:val="24"/>
                <w:szCs w:val="24"/>
                <w:lang w:val="lt-LT"/>
              </w:rPr>
              <w:t xml:space="preserve"> ir </w:t>
            </w:r>
            <w:r>
              <w:rPr>
                <w:rFonts w:ascii="Times New Roman" w:hAnsi="Times New Roman" w:cs="Times New Roman"/>
                <w:sz w:val="24"/>
                <w:szCs w:val="24"/>
                <w:lang w:val="lt-LT"/>
              </w:rPr>
              <w:t>Va</w:t>
            </w:r>
            <w:bookmarkStart w:id="0" w:name="_GoBack"/>
            <w:bookmarkEnd w:id="0"/>
            <w:r>
              <w:rPr>
                <w:rFonts w:ascii="Times New Roman" w:hAnsi="Times New Roman" w:cs="Times New Roman"/>
                <w:sz w:val="24"/>
                <w:szCs w:val="24"/>
                <w:lang w:val="lt-LT"/>
              </w:rPr>
              <w:t>lstybinės sienos apsaugos tarnybos</w:t>
            </w:r>
            <w:r w:rsidRPr="005E4DAE">
              <w:rPr>
                <w:rFonts w:ascii="Times New Roman" w:hAnsi="Times New Roman" w:cs="Times New Roman"/>
                <w:sz w:val="24"/>
                <w:szCs w:val="24"/>
                <w:lang w:val="lt-LT"/>
              </w:rPr>
              <w:t xml:space="preserve"> funkcijos nenurodytos, nes jie </w:t>
            </w:r>
            <w:r w:rsidRPr="00D739BC">
              <w:rPr>
                <w:rFonts w:ascii="Times New Roman" w:hAnsi="Times New Roman" w:cs="Times New Roman"/>
                <w:sz w:val="24"/>
                <w:szCs w:val="24"/>
                <w:lang w:val="lt-LT"/>
              </w:rPr>
              <w:t>nevykdo teisėtos apyvartos kontrolės bei importo / eksporto procedūrų, tačiau jie savo darbe vadovaujasi įstatymo nuostatomis (tirdami neteisėtas veikas</w:t>
            </w:r>
            <w:r>
              <w:rPr>
                <w:rFonts w:ascii="Times New Roman" w:hAnsi="Times New Roman" w:cs="Times New Roman"/>
                <w:sz w:val="24"/>
                <w:szCs w:val="24"/>
                <w:lang w:val="lt-LT"/>
              </w:rPr>
              <w:t>, įtartinus sandorius</w:t>
            </w:r>
            <w:r w:rsidRPr="00D739BC">
              <w:rPr>
                <w:rFonts w:ascii="Times New Roman" w:hAnsi="Times New Roman" w:cs="Times New Roman"/>
                <w:sz w:val="24"/>
                <w:szCs w:val="24"/>
                <w:lang w:val="lt-LT"/>
              </w:rPr>
              <w:t>). Derinant Įstatymo projektą buvo atsisakyta konkretinti jų veiklas, kadangi savo darbe sulaik</w:t>
            </w:r>
            <w:r>
              <w:rPr>
                <w:rFonts w:ascii="Times New Roman" w:hAnsi="Times New Roman" w:cs="Times New Roman"/>
                <w:sz w:val="24"/>
                <w:szCs w:val="24"/>
                <w:lang w:val="lt-LT"/>
              </w:rPr>
              <w:t>ydamos</w:t>
            </w:r>
            <w:r w:rsidRPr="00D739BC">
              <w:rPr>
                <w:rFonts w:ascii="Times New Roman" w:hAnsi="Times New Roman" w:cs="Times New Roman"/>
                <w:sz w:val="24"/>
                <w:szCs w:val="24"/>
                <w:lang w:val="lt-LT"/>
              </w:rPr>
              <w:t xml:space="preserve"> </w:t>
            </w:r>
            <w:proofErr w:type="spellStart"/>
            <w:r w:rsidRPr="00D739BC">
              <w:rPr>
                <w:rFonts w:ascii="Times New Roman" w:hAnsi="Times New Roman" w:cs="Times New Roman"/>
                <w:sz w:val="24"/>
                <w:szCs w:val="24"/>
                <w:lang w:val="lt-LT"/>
              </w:rPr>
              <w:t>prekursorius</w:t>
            </w:r>
            <w:proofErr w:type="spellEnd"/>
            <w:r w:rsidRPr="00D739BC">
              <w:rPr>
                <w:rFonts w:ascii="Times New Roman" w:hAnsi="Times New Roman" w:cs="Times New Roman"/>
                <w:sz w:val="24"/>
                <w:szCs w:val="24"/>
                <w:lang w:val="lt-LT"/>
              </w:rPr>
              <w:t xml:space="preserve"> ar tirdam</w:t>
            </w:r>
            <w:r>
              <w:rPr>
                <w:rFonts w:ascii="Times New Roman" w:hAnsi="Times New Roman" w:cs="Times New Roman"/>
                <w:sz w:val="24"/>
                <w:szCs w:val="24"/>
                <w:lang w:val="lt-LT"/>
              </w:rPr>
              <w:t>os</w:t>
            </w:r>
            <w:r w:rsidRPr="00D739BC">
              <w:rPr>
                <w:rFonts w:ascii="Times New Roman" w:hAnsi="Times New Roman" w:cs="Times New Roman"/>
                <w:sz w:val="24"/>
                <w:szCs w:val="24"/>
                <w:lang w:val="lt-LT"/>
              </w:rPr>
              <w:t xml:space="preserve"> subjektų veiklas šios institucijos vadovaujasi kitais teisės aktais.</w:t>
            </w:r>
          </w:p>
          <w:p w14:paraId="4EE6A1D7" w14:textId="256E8336" w:rsidR="003D1E1D" w:rsidRPr="00D739BC" w:rsidRDefault="003D1E1D" w:rsidP="00F7705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Projektas papildytas svarbiomis muitinės įstaigų funkcijomis, kadangi praktinėje veikloje į oficialų sąrašą neįtraukt</w:t>
            </w:r>
            <w:r w:rsidR="000960D8">
              <w:rPr>
                <w:rFonts w:ascii="Times New Roman" w:hAnsi="Times New Roman" w:cs="Times New Roman"/>
                <w:sz w:val="24"/>
                <w:szCs w:val="24"/>
                <w:lang w:val="lt-LT"/>
              </w:rPr>
              <w:t>oms</w:t>
            </w:r>
            <w:r>
              <w:rPr>
                <w:rFonts w:ascii="Times New Roman" w:hAnsi="Times New Roman" w:cs="Times New Roman"/>
                <w:sz w:val="24"/>
                <w:szCs w:val="24"/>
                <w:lang w:val="lt-LT"/>
              </w:rPr>
              <w:t xml:space="preserve"> medžiag</w:t>
            </w:r>
            <w:r w:rsidR="000960D8">
              <w:rPr>
                <w:rFonts w:ascii="Times New Roman" w:hAnsi="Times New Roman" w:cs="Times New Roman"/>
                <w:sz w:val="24"/>
                <w:szCs w:val="24"/>
                <w:lang w:val="lt-LT"/>
              </w:rPr>
              <w:t>oms</w:t>
            </w:r>
            <w:r>
              <w:rPr>
                <w:rFonts w:ascii="Times New Roman" w:hAnsi="Times New Roman" w:cs="Times New Roman"/>
                <w:sz w:val="24"/>
                <w:szCs w:val="24"/>
                <w:lang w:val="lt-LT"/>
              </w:rPr>
              <w:t xml:space="preserve"> sulaiky</w:t>
            </w:r>
            <w:r w:rsidR="000960D8">
              <w:rPr>
                <w:rFonts w:ascii="Times New Roman" w:hAnsi="Times New Roman" w:cs="Times New Roman"/>
                <w:sz w:val="24"/>
                <w:szCs w:val="24"/>
                <w:lang w:val="lt-LT"/>
              </w:rPr>
              <w:t>ti</w:t>
            </w:r>
            <w:r>
              <w:rPr>
                <w:rFonts w:ascii="Times New Roman" w:hAnsi="Times New Roman" w:cs="Times New Roman"/>
                <w:sz w:val="24"/>
                <w:szCs w:val="24"/>
                <w:lang w:val="lt-LT"/>
              </w:rPr>
              <w:t xml:space="preserve"> muitinės pareigūnams trūko aiškių teisinių įrankių sulaikyti nekontroliuojamas į oficialų sąrašą neįtrauktas medžiagas. Dauguma tokių medžiagų yra importuojamos į Lietuvą dideliais kiekiais, o vėliau patenka į visą ES rinką, arba eksportuojamos iš Lietuvos. </w:t>
            </w:r>
          </w:p>
          <w:p w14:paraId="5BD22339" w14:textId="5A58DC79" w:rsidR="003D1E1D" w:rsidRPr="00D739BC" w:rsidRDefault="003D1E1D" w:rsidP="00F7705E">
            <w:pPr>
              <w:spacing w:after="0" w:line="240" w:lineRule="auto"/>
              <w:jc w:val="both"/>
              <w:rPr>
                <w:rFonts w:ascii="Times New Roman" w:hAnsi="Times New Roman" w:cs="Times New Roman"/>
                <w:sz w:val="24"/>
                <w:szCs w:val="24"/>
                <w:lang w:val="lt-LT"/>
              </w:rPr>
            </w:pPr>
            <w:r w:rsidRPr="00D739BC">
              <w:rPr>
                <w:rFonts w:ascii="Times New Roman" w:hAnsi="Times New Roman" w:cs="Times New Roman"/>
                <w:sz w:val="24"/>
                <w:szCs w:val="24"/>
                <w:lang w:val="lt-LT"/>
              </w:rPr>
              <w:t>Į oficialų sąrašą neįtrauktų medžiagų kontrolė tikslingai neišdėstyta atskiru straipsniu, siekiant nesureikšminti bei neatkreipti dėmesio į šias medžiagas. EK nuomone, ši veikla turėtų būti neviešinama aktyviai, o likti išimtinai valstybinių teisėsaugos institucijų žiniai, tačiau įstatymu nenumatant konkrečių priemonių ar veiksmų su šiomis medžiagomis</w:t>
            </w:r>
            <w:r>
              <w:rPr>
                <w:rFonts w:ascii="Times New Roman" w:hAnsi="Times New Roman" w:cs="Times New Roman"/>
                <w:sz w:val="24"/>
                <w:szCs w:val="24"/>
                <w:lang w:val="lt-LT"/>
              </w:rPr>
              <w:t xml:space="preserve"> kaip parodė praktinis įstatymo tai</w:t>
            </w:r>
            <w:r w:rsidR="00053385">
              <w:rPr>
                <w:rFonts w:ascii="Times New Roman" w:hAnsi="Times New Roman" w:cs="Times New Roman"/>
                <w:sz w:val="24"/>
                <w:szCs w:val="24"/>
                <w:lang w:val="lt-LT"/>
              </w:rPr>
              <w:t>k</w:t>
            </w:r>
            <w:r>
              <w:rPr>
                <w:rFonts w:ascii="Times New Roman" w:hAnsi="Times New Roman" w:cs="Times New Roman"/>
                <w:sz w:val="24"/>
                <w:szCs w:val="24"/>
                <w:lang w:val="lt-LT"/>
              </w:rPr>
              <w:t>ymas</w:t>
            </w:r>
            <w:r w:rsidRPr="00D739BC">
              <w:rPr>
                <w:rFonts w:ascii="Times New Roman" w:hAnsi="Times New Roman" w:cs="Times New Roman"/>
                <w:sz w:val="24"/>
                <w:szCs w:val="24"/>
                <w:lang w:val="lt-LT"/>
              </w:rPr>
              <w:t xml:space="preserve">, teisėsaugos institucijos neturi pakankamo teisinio pagrindo sulaikyti nekontroliuojamų medžiagų, </w:t>
            </w:r>
            <w:r w:rsidRPr="00D739BC">
              <w:rPr>
                <w:rFonts w:ascii="Times New Roman" w:hAnsi="Times New Roman" w:cs="Times New Roman"/>
                <w:sz w:val="24"/>
                <w:szCs w:val="24"/>
                <w:lang w:val="lt-LT"/>
              </w:rPr>
              <w:lastRenderedPageBreak/>
              <w:t xml:space="preserve">todėl pasitarus su teisėsaugos institucijomis, buvo priimtas sprendimas </w:t>
            </w:r>
            <w:r>
              <w:rPr>
                <w:rFonts w:ascii="Times New Roman" w:hAnsi="Times New Roman" w:cs="Times New Roman"/>
                <w:sz w:val="24"/>
                <w:szCs w:val="24"/>
                <w:lang w:val="lt-LT"/>
              </w:rPr>
              <w:t xml:space="preserve">būtinus teisėtus </w:t>
            </w:r>
            <w:r w:rsidRPr="00D739BC">
              <w:rPr>
                <w:rFonts w:ascii="Times New Roman" w:hAnsi="Times New Roman" w:cs="Times New Roman"/>
                <w:sz w:val="24"/>
                <w:szCs w:val="24"/>
                <w:lang w:val="lt-LT"/>
              </w:rPr>
              <w:t>veiksmus išvard</w:t>
            </w:r>
            <w:r>
              <w:rPr>
                <w:rFonts w:ascii="Times New Roman" w:hAnsi="Times New Roman" w:cs="Times New Roman"/>
                <w:sz w:val="24"/>
                <w:szCs w:val="24"/>
                <w:lang w:val="lt-LT"/>
              </w:rPr>
              <w:t>y</w:t>
            </w:r>
            <w:r w:rsidRPr="00D739BC">
              <w:rPr>
                <w:rFonts w:ascii="Times New Roman" w:hAnsi="Times New Roman" w:cs="Times New Roman"/>
                <w:sz w:val="24"/>
                <w:szCs w:val="24"/>
                <w:lang w:val="lt-LT"/>
              </w:rPr>
              <w:t>ti šiame įstatyme.</w:t>
            </w:r>
          </w:p>
          <w:p w14:paraId="0CE5F0C0" w14:textId="7C94747A" w:rsidR="003D1E1D" w:rsidRPr="00C63124" w:rsidRDefault="003D1E1D" w:rsidP="002B72E2">
            <w:pPr>
              <w:spacing w:after="0" w:line="240" w:lineRule="auto"/>
              <w:jc w:val="both"/>
              <w:rPr>
                <w:rFonts w:ascii="Times New Roman" w:hAnsi="Times New Roman" w:cs="Times New Roman"/>
                <w:b/>
                <w:bCs/>
                <w:sz w:val="24"/>
                <w:szCs w:val="24"/>
                <w:lang w:val="lt-LT"/>
              </w:rPr>
            </w:pPr>
            <w:r w:rsidRPr="00D739BC">
              <w:rPr>
                <w:rFonts w:ascii="Times New Roman" w:hAnsi="Times New Roman" w:cs="Times New Roman"/>
                <w:sz w:val="24"/>
                <w:szCs w:val="24"/>
                <w:lang w:val="lt-LT"/>
              </w:rPr>
              <w:t>Reglamento (EB) 273/2004 10 str</w:t>
            </w:r>
            <w:r>
              <w:rPr>
                <w:rFonts w:ascii="Times New Roman" w:hAnsi="Times New Roman" w:cs="Times New Roman"/>
                <w:sz w:val="24"/>
                <w:szCs w:val="24"/>
                <w:lang w:val="lt-LT"/>
              </w:rPr>
              <w:t>aipsnyje</w:t>
            </w:r>
            <w:r w:rsidRPr="00D739BC">
              <w:rPr>
                <w:rFonts w:ascii="Times New Roman" w:hAnsi="Times New Roman" w:cs="Times New Roman"/>
                <w:sz w:val="24"/>
                <w:szCs w:val="24"/>
                <w:lang w:val="lt-LT"/>
              </w:rPr>
              <w:t xml:space="preserve"> bei Reglament</w:t>
            </w:r>
            <w:r>
              <w:rPr>
                <w:rFonts w:ascii="Times New Roman" w:hAnsi="Times New Roman" w:cs="Times New Roman"/>
                <w:sz w:val="24"/>
                <w:szCs w:val="24"/>
                <w:lang w:val="lt-LT"/>
              </w:rPr>
              <w:t>o</w:t>
            </w:r>
            <w:r w:rsidRPr="002039B9">
              <w:rPr>
                <w:rFonts w:ascii="Times New Roman" w:hAnsi="Times New Roman" w:cs="Times New Roman"/>
                <w:sz w:val="24"/>
                <w:szCs w:val="24"/>
                <w:lang w:val="lt-LT"/>
              </w:rPr>
              <w:t xml:space="preserve"> (EB) 111/2005</w:t>
            </w:r>
            <w:r>
              <w:rPr>
                <w:rFonts w:ascii="Times New Roman" w:hAnsi="Times New Roman" w:cs="Times New Roman"/>
                <w:b/>
                <w:bCs/>
                <w:sz w:val="24"/>
                <w:szCs w:val="24"/>
                <w:lang w:val="lt-LT"/>
              </w:rPr>
              <w:t xml:space="preserve"> </w:t>
            </w:r>
            <w:r w:rsidRPr="005E4DAE">
              <w:rPr>
                <w:rFonts w:ascii="Times New Roman" w:hAnsi="Times New Roman" w:cs="Times New Roman"/>
                <w:sz w:val="24"/>
                <w:szCs w:val="24"/>
                <w:lang w:val="lt-LT"/>
              </w:rPr>
              <w:t xml:space="preserve">26 straipsnyje yra numatyta pareiga </w:t>
            </w:r>
            <w:r w:rsidR="00053385" w:rsidRPr="00620F86">
              <w:rPr>
                <w:rFonts w:ascii="Times New Roman" w:hAnsi="Times New Roman" w:cs="Times New Roman"/>
                <w:sz w:val="24"/>
                <w:szCs w:val="24"/>
                <w:lang w:val="lt-LT"/>
              </w:rPr>
              <w:t>valstybė</w:t>
            </w:r>
            <w:r w:rsidR="00576C53" w:rsidRPr="00620F86">
              <w:rPr>
                <w:rFonts w:ascii="Times New Roman" w:hAnsi="Times New Roman" w:cs="Times New Roman"/>
                <w:sz w:val="24"/>
                <w:szCs w:val="24"/>
                <w:lang w:val="lt-LT"/>
              </w:rPr>
              <w:t>m</w:t>
            </w:r>
            <w:r w:rsidR="00053385" w:rsidRPr="00620F86">
              <w:rPr>
                <w:rFonts w:ascii="Times New Roman" w:hAnsi="Times New Roman" w:cs="Times New Roman"/>
                <w:sz w:val="24"/>
                <w:szCs w:val="24"/>
                <w:lang w:val="lt-LT"/>
              </w:rPr>
              <w:t>s</w:t>
            </w:r>
            <w:r w:rsidR="00053385">
              <w:rPr>
                <w:rFonts w:ascii="Times New Roman" w:hAnsi="Times New Roman" w:cs="Times New Roman"/>
                <w:sz w:val="24"/>
                <w:szCs w:val="24"/>
                <w:lang w:val="lt-LT"/>
              </w:rPr>
              <w:t xml:space="preserve"> narėms</w:t>
            </w:r>
            <w:r w:rsidRPr="005E4DAE">
              <w:rPr>
                <w:rFonts w:ascii="Times New Roman" w:hAnsi="Times New Roman" w:cs="Times New Roman"/>
                <w:sz w:val="24"/>
                <w:szCs w:val="24"/>
                <w:lang w:val="lt-LT"/>
              </w:rPr>
              <w:t xml:space="preserve"> imtis teisėtų priemonių įtarus, kad į oficialų sąrašą neįtraukta medžiaga ga</w:t>
            </w:r>
            <w:r>
              <w:rPr>
                <w:rFonts w:ascii="Times New Roman" w:hAnsi="Times New Roman" w:cs="Times New Roman"/>
                <w:sz w:val="24"/>
                <w:szCs w:val="24"/>
                <w:lang w:val="lt-LT"/>
              </w:rPr>
              <w:t>l</w:t>
            </w:r>
            <w:r w:rsidRPr="005E4DAE">
              <w:rPr>
                <w:rFonts w:ascii="Times New Roman" w:hAnsi="Times New Roman" w:cs="Times New Roman"/>
                <w:sz w:val="24"/>
                <w:szCs w:val="24"/>
                <w:lang w:val="lt-LT"/>
              </w:rPr>
              <w:t>i būti panaudota neteisėtai narkotikų gamybai.</w:t>
            </w:r>
          </w:p>
        </w:tc>
      </w:tr>
      <w:tr w:rsidR="003D1E1D" w:rsidRPr="005860B3" w14:paraId="307722C9" w14:textId="77777777" w:rsidTr="006326B9">
        <w:tc>
          <w:tcPr>
            <w:tcW w:w="1584" w:type="dxa"/>
            <w:vMerge/>
          </w:tcPr>
          <w:p w14:paraId="19254AE1" w14:textId="606A2F99" w:rsidR="003D1E1D" w:rsidRPr="00C63124" w:rsidRDefault="003D1E1D" w:rsidP="002D3CDA">
            <w:pPr>
              <w:spacing w:after="0" w:line="240" w:lineRule="auto"/>
              <w:jc w:val="both"/>
              <w:rPr>
                <w:rFonts w:ascii="Times New Roman" w:hAnsi="Times New Roman" w:cs="Times New Roman"/>
                <w:sz w:val="24"/>
                <w:szCs w:val="24"/>
                <w:lang w:val="lt-LT"/>
              </w:rPr>
            </w:pPr>
          </w:p>
        </w:tc>
        <w:tc>
          <w:tcPr>
            <w:tcW w:w="5504" w:type="dxa"/>
          </w:tcPr>
          <w:p w14:paraId="7175B529" w14:textId="5E1247D1" w:rsidR="003D1E1D" w:rsidRPr="003F0043" w:rsidRDefault="003D1E1D" w:rsidP="00DD5BD3">
            <w:pPr>
              <w:widowControl w:val="0"/>
              <w:spacing w:after="0" w:line="240" w:lineRule="auto"/>
              <w:ind w:firstLine="1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Pr="003F0043">
              <w:rPr>
                <w:rFonts w:ascii="Times New Roman" w:hAnsi="Times New Roman" w:cs="Times New Roman"/>
                <w:sz w:val="24"/>
                <w:szCs w:val="24"/>
                <w:lang w:val="lt-LT"/>
              </w:rPr>
              <w:t xml:space="preserve">  Išlieka aktualios Išvados 29 ir 30 pastabos – Įstatymo projekto 14 str. 2 d. 2 ir 3 punktai nėra apibrėžti, vartojamos abstrakčios formuluotės, todėl reikėtų šias nuostatas detalizuoti arba jų atsisakyti.</w:t>
            </w:r>
          </w:p>
          <w:p w14:paraId="46B6590D" w14:textId="657E35B6" w:rsidR="003D1E1D" w:rsidRDefault="003D1E1D" w:rsidP="00DD5BD3">
            <w:pPr>
              <w:widowControl w:val="0"/>
              <w:spacing w:after="0" w:line="240" w:lineRule="auto"/>
              <w:contextualSpacing/>
              <w:jc w:val="both"/>
              <w:rPr>
                <w:rFonts w:ascii="Times New Roman" w:hAnsi="Times New Roman" w:cs="Times New Roman"/>
                <w:sz w:val="24"/>
                <w:szCs w:val="24"/>
                <w:lang w:val="lt-LT"/>
              </w:rPr>
            </w:pPr>
          </w:p>
        </w:tc>
        <w:tc>
          <w:tcPr>
            <w:tcW w:w="7088" w:type="dxa"/>
          </w:tcPr>
          <w:p w14:paraId="60C3099F" w14:textId="77777777" w:rsidR="003D1E1D" w:rsidRDefault="003D1E1D" w:rsidP="00DD5BD3">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Atsižvelgta iš dalies.</w:t>
            </w:r>
          </w:p>
          <w:p w14:paraId="5C833438" w14:textId="3554FC58" w:rsidR="003D1E1D" w:rsidRPr="00C63124" w:rsidRDefault="003D1E1D" w:rsidP="00DD5BD3">
            <w:pPr>
              <w:spacing w:after="0" w:line="240" w:lineRule="auto"/>
              <w:jc w:val="both"/>
              <w:rPr>
                <w:rFonts w:ascii="Times New Roman" w:hAnsi="Times New Roman" w:cs="Times New Roman"/>
                <w:b/>
                <w:bCs/>
                <w:sz w:val="24"/>
                <w:szCs w:val="24"/>
                <w:lang w:val="lt-LT"/>
              </w:rPr>
            </w:pPr>
            <w:r w:rsidRPr="002D3CDA">
              <w:rPr>
                <w:rFonts w:ascii="Times New Roman" w:hAnsi="Times New Roman" w:cs="Times New Roman"/>
                <w:sz w:val="24"/>
                <w:szCs w:val="24"/>
                <w:lang w:val="lt-LT"/>
              </w:rPr>
              <w:t>Privalomi nurodymai duodami tiek planinių</w:t>
            </w:r>
            <w:r>
              <w:rPr>
                <w:rFonts w:ascii="Times New Roman" w:hAnsi="Times New Roman" w:cs="Times New Roman"/>
                <w:sz w:val="24"/>
                <w:szCs w:val="24"/>
                <w:lang w:val="lt-LT"/>
              </w:rPr>
              <w:t>,</w:t>
            </w:r>
            <w:r w:rsidRPr="002D3CDA">
              <w:rPr>
                <w:rFonts w:ascii="Times New Roman" w:hAnsi="Times New Roman" w:cs="Times New Roman"/>
                <w:sz w:val="24"/>
                <w:szCs w:val="24"/>
                <w:lang w:val="lt-LT"/>
              </w:rPr>
              <w:t xml:space="preserve"> tiek neplaninių patikrinim</w:t>
            </w:r>
            <w:r>
              <w:rPr>
                <w:rFonts w:ascii="Times New Roman" w:hAnsi="Times New Roman" w:cs="Times New Roman"/>
                <w:sz w:val="24"/>
                <w:szCs w:val="24"/>
                <w:lang w:val="lt-LT"/>
              </w:rPr>
              <w:t>ų</w:t>
            </w:r>
            <w:r w:rsidRPr="002D3CDA">
              <w:rPr>
                <w:rFonts w:ascii="Times New Roman" w:hAnsi="Times New Roman" w:cs="Times New Roman"/>
                <w:sz w:val="24"/>
                <w:szCs w:val="24"/>
                <w:lang w:val="lt-LT"/>
              </w:rPr>
              <w:t xml:space="preserve"> metu, siekiant surinkti daugiau įrodymų dėl galimai įtartino sandorio įvykdymo. Dėl šios nuostatos </w:t>
            </w:r>
            <w:r>
              <w:rPr>
                <w:rFonts w:ascii="Times New Roman" w:hAnsi="Times New Roman" w:cs="Times New Roman"/>
                <w:sz w:val="24"/>
                <w:szCs w:val="24"/>
                <w:lang w:val="lt-LT"/>
              </w:rPr>
              <w:t xml:space="preserve">Įstatyme </w:t>
            </w:r>
            <w:r w:rsidRPr="002D3CDA">
              <w:rPr>
                <w:rFonts w:ascii="Times New Roman" w:hAnsi="Times New Roman" w:cs="Times New Roman"/>
                <w:sz w:val="24"/>
                <w:szCs w:val="24"/>
                <w:lang w:val="lt-LT"/>
              </w:rPr>
              <w:t xml:space="preserve">nebuvimo, </w:t>
            </w:r>
            <w:r w:rsidRPr="00365932">
              <w:rPr>
                <w:rFonts w:ascii="Times New Roman" w:hAnsi="Times New Roman" w:cs="Times New Roman"/>
                <w:sz w:val="24"/>
                <w:szCs w:val="24"/>
                <w:lang w:val="lt-LT"/>
              </w:rPr>
              <w:t>kildavo pakankamai daug sunkumų atliekant patikrinimus</w:t>
            </w:r>
            <w:r w:rsidRPr="002D3CDA">
              <w:rPr>
                <w:rFonts w:ascii="Times New Roman" w:hAnsi="Times New Roman" w:cs="Times New Roman"/>
                <w:sz w:val="24"/>
                <w:szCs w:val="24"/>
                <w:lang w:val="lt-LT"/>
              </w:rPr>
              <w:t xml:space="preserve">. Dažnai </w:t>
            </w:r>
            <w:r>
              <w:rPr>
                <w:rFonts w:ascii="Times New Roman" w:hAnsi="Times New Roman" w:cs="Times New Roman"/>
                <w:sz w:val="24"/>
                <w:szCs w:val="24"/>
                <w:lang w:val="lt-LT"/>
              </w:rPr>
              <w:t>nurodoma</w:t>
            </w:r>
            <w:r w:rsidRPr="002D3CDA">
              <w:rPr>
                <w:rFonts w:ascii="Times New Roman" w:hAnsi="Times New Roman" w:cs="Times New Roman"/>
                <w:sz w:val="24"/>
                <w:szCs w:val="24"/>
                <w:lang w:val="lt-LT"/>
              </w:rPr>
              <w:t xml:space="preserve"> pateikti visų finansinių dokumentų kopijas, vykdant tarptautinių institucijų profesinės pagalbos prašymus tiriant tarptautines galimai nusikalstamas veikas. Visų atvejų įvard</w:t>
            </w:r>
            <w:r>
              <w:rPr>
                <w:rFonts w:ascii="Times New Roman" w:hAnsi="Times New Roman" w:cs="Times New Roman"/>
                <w:sz w:val="24"/>
                <w:szCs w:val="24"/>
                <w:lang w:val="lt-LT"/>
              </w:rPr>
              <w:t>y</w:t>
            </w:r>
            <w:r w:rsidRPr="002D3CDA">
              <w:rPr>
                <w:rFonts w:ascii="Times New Roman" w:hAnsi="Times New Roman" w:cs="Times New Roman"/>
                <w:sz w:val="24"/>
                <w:szCs w:val="24"/>
                <w:lang w:val="lt-LT"/>
              </w:rPr>
              <w:t>ti ir nuspėti neįmanoma (nes kiekvienas atvejis gali būti kitoks),</w:t>
            </w:r>
            <w:r w:rsidRPr="004D7AE6">
              <w:rPr>
                <w:rFonts w:ascii="Times New Roman" w:hAnsi="Times New Roman" w:cs="Times New Roman"/>
                <w:sz w:val="24"/>
                <w:szCs w:val="24"/>
                <w:lang w:val="lt-LT"/>
              </w:rPr>
              <w:t xml:space="preserve"> todėl Įstatymo projekte paliktas bendrinis terminas</w:t>
            </w:r>
            <w:r>
              <w:rPr>
                <w:rFonts w:ascii="Times New Roman" w:hAnsi="Times New Roman" w:cs="Times New Roman"/>
                <w:sz w:val="24"/>
                <w:szCs w:val="24"/>
                <w:lang w:val="lt-LT"/>
              </w:rPr>
              <w:t xml:space="preserve"> – </w:t>
            </w:r>
            <w:r w:rsidRPr="004D7AE6">
              <w:rPr>
                <w:rFonts w:ascii="Times New Roman" w:hAnsi="Times New Roman" w:cs="Times New Roman"/>
                <w:sz w:val="24"/>
                <w:szCs w:val="24"/>
                <w:lang w:val="lt-LT"/>
              </w:rPr>
              <w:t>privalomi nurodymai</w:t>
            </w:r>
            <w:r>
              <w:rPr>
                <w:rFonts w:ascii="Times New Roman" w:hAnsi="Times New Roman" w:cs="Times New Roman"/>
                <w:sz w:val="24"/>
                <w:szCs w:val="24"/>
                <w:lang w:val="lt-LT"/>
              </w:rPr>
              <w:t>.</w:t>
            </w:r>
          </w:p>
        </w:tc>
      </w:tr>
      <w:tr w:rsidR="003D1E1D" w:rsidRPr="005860B3" w14:paraId="5DC3AE5C" w14:textId="77777777" w:rsidTr="006326B9">
        <w:tc>
          <w:tcPr>
            <w:tcW w:w="1584" w:type="dxa"/>
            <w:vMerge/>
          </w:tcPr>
          <w:p w14:paraId="08193727" w14:textId="201A99BE" w:rsidR="003D1E1D" w:rsidRPr="00C63124" w:rsidRDefault="003D1E1D" w:rsidP="002D3CDA">
            <w:pPr>
              <w:spacing w:after="0" w:line="240" w:lineRule="auto"/>
              <w:jc w:val="both"/>
              <w:rPr>
                <w:rFonts w:ascii="Times New Roman" w:hAnsi="Times New Roman" w:cs="Times New Roman"/>
                <w:sz w:val="24"/>
                <w:szCs w:val="24"/>
                <w:lang w:val="lt-LT"/>
              </w:rPr>
            </w:pPr>
          </w:p>
        </w:tc>
        <w:tc>
          <w:tcPr>
            <w:tcW w:w="5504" w:type="dxa"/>
          </w:tcPr>
          <w:p w14:paraId="4A0A3A3F" w14:textId="17FD628A" w:rsidR="003D1E1D" w:rsidRPr="00C63124" w:rsidRDefault="003D1E1D" w:rsidP="002B72E2">
            <w:pPr>
              <w:widowControl w:val="0"/>
              <w:spacing w:after="0" w:line="240" w:lineRule="auto"/>
              <w:contextualSpacing/>
              <w:jc w:val="both"/>
              <w:rPr>
                <w:rFonts w:ascii="Times New Roman" w:hAnsi="Times New Roman" w:cs="Times New Roman"/>
                <w:iCs/>
                <w:sz w:val="24"/>
                <w:szCs w:val="24"/>
                <w:lang w:val="lt-LT"/>
              </w:rPr>
            </w:pPr>
            <w:r>
              <w:rPr>
                <w:rFonts w:ascii="Times New Roman" w:hAnsi="Times New Roman" w:cs="Times New Roman"/>
                <w:sz w:val="24"/>
                <w:szCs w:val="24"/>
                <w:lang w:val="lt-LT"/>
              </w:rPr>
              <w:t>1.6</w:t>
            </w:r>
            <w:r w:rsidRPr="00C63124">
              <w:rPr>
                <w:rFonts w:ascii="Times New Roman" w:hAnsi="Times New Roman" w:cs="Times New Roman"/>
                <w:sz w:val="24"/>
                <w:szCs w:val="24"/>
                <w:lang w:val="lt-LT"/>
              </w:rPr>
              <w:t>.</w:t>
            </w:r>
            <w:r w:rsidRPr="00C63124">
              <w:rPr>
                <w:rFonts w:ascii="Times New Roman" w:hAnsi="Times New Roman" w:cs="Times New Roman"/>
                <w:i/>
                <w:sz w:val="24"/>
                <w:szCs w:val="24"/>
                <w:lang w:val="lt-LT"/>
              </w:rPr>
              <w:t xml:space="preserve"> </w:t>
            </w:r>
            <w:r w:rsidRPr="00C63124">
              <w:rPr>
                <w:rFonts w:ascii="Times New Roman" w:hAnsi="Times New Roman" w:cs="Times New Roman"/>
                <w:iCs/>
                <w:sz w:val="24"/>
                <w:szCs w:val="24"/>
                <w:lang w:val="lt-LT"/>
              </w:rPr>
              <w:t>Išlieka aktuali Išvados 37 pastaba. Derinimo pažymoje pateikti argumentai, jog Įstatymo projekto 15 str. 3 dalies nuostata būtina, nes reikalingas įstatyminis įpareigojimas Vyriausybei tvirtinti Narkotinių ir psichotropinių medžiagų vartojimo, jo padarinių, narkotinių ir psichotropinių medžiagų ir jų pirmtakų (</w:t>
            </w:r>
            <w:proofErr w:type="spellStart"/>
            <w:r w:rsidRPr="00C63124">
              <w:rPr>
                <w:rFonts w:ascii="Times New Roman" w:hAnsi="Times New Roman" w:cs="Times New Roman"/>
                <w:iCs/>
                <w:sz w:val="24"/>
                <w:szCs w:val="24"/>
                <w:lang w:val="lt-LT"/>
              </w:rPr>
              <w:t>prekursorių</w:t>
            </w:r>
            <w:proofErr w:type="spellEnd"/>
            <w:r w:rsidRPr="00C63124">
              <w:rPr>
                <w:rFonts w:ascii="Times New Roman" w:hAnsi="Times New Roman" w:cs="Times New Roman"/>
                <w:iCs/>
                <w:sz w:val="24"/>
                <w:szCs w:val="24"/>
                <w:lang w:val="lt-LT"/>
              </w:rPr>
              <w:t>), į oficialų sąrašą neįtrauktų medžiagų bei naujų psichoaktyviųjų medžiagų apyvartos stebėsenos tvarkos aprašą, nėra pagrįsta, todėl visgi siūlytume jos atsisakyti.</w:t>
            </w:r>
          </w:p>
          <w:p w14:paraId="4A6580F3" w14:textId="05694F5A" w:rsidR="003D1E1D" w:rsidRPr="00C63124" w:rsidRDefault="003D1E1D" w:rsidP="002D3CDA">
            <w:pPr>
              <w:spacing w:after="0" w:line="240" w:lineRule="auto"/>
              <w:jc w:val="both"/>
              <w:rPr>
                <w:rFonts w:ascii="Times New Roman" w:hAnsi="Times New Roman" w:cs="Times New Roman"/>
                <w:sz w:val="24"/>
                <w:szCs w:val="24"/>
                <w:lang w:val="lt-LT"/>
              </w:rPr>
            </w:pPr>
          </w:p>
        </w:tc>
        <w:tc>
          <w:tcPr>
            <w:tcW w:w="7088" w:type="dxa"/>
          </w:tcPr>
          <w:p w14:paraId="5F5DE22A" w14:textId="77777777" w:rsidR="003D1E1D" w:rsidRPr="00C63124" w:rsidRDefault="003D1E1D" w:rsidP="002B72E2">
            <w:pPr>
              <w:spacing w:after="0" w:line="240" w:lineRule="auto"/>
              <w:jc w:val="both"/>
              <w:rPr>
                <w:rFonts w:ascii="Times New Roman" w:hAnsi="Times New Roman" w:cs="Times New Roman"/>
                <w:b/>
                <w:bCs/>
                <w:sz w:val="24"/>
                <w:szCs w:val="24"/>
                <w:lang w:val="lt-LT"/>
              </w:rPr>
            </w:pPr>
            <w:r w:rsidRPr="00C63124">
              <w:rPr>
                <w:rFonts w:ascii="Times New Roman" w:hAnsi="Times New Roman" w:cs="Times New Roman"/>
                <w:b/>
                <w:bCs/>
                <w:sz w:val="24"/>
                <w:szCs w:val="24"/>
                <w:lang w:val="lt-LT"/>
              </w:rPr>
              <w:t>Neatsižvelgta.</w:t>
            </w:r>
          </w:p>
          <w:p w14:paraId="62B8329D" w14:textId="617E6210" w:rsidR="003D1E1D" w:rsidRPr="00C63124" w:rsidRDefault="003D1E1D" w:rsidP="002B72E2">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 xml:space="preserve">Tai yra </w:t>
            </w:r>
            <w:r>
              <w:rPr>
                <w:rFonts w:ascii="Times New Roman" w:hAnsi="Times New Roman" w:cs="Times New Roman"/>
                <w:sz w:val="24"/>
                <w:szCs w:val="24"/>
                <w:lang w:val="lt-LT"/>
              </w:rPr>
              <w:t xml:space="preserve">iš Reglamento </w:t>
            </w:r>
            <w:r w:rsidRPr="00C63124">
              <w:rPr>
                <w:rFonts w:ascii="Times New Roman" w:hAnsi="Times New Roman" w:cs="Times New Roman"/>
                <w:sz w:val="24"/>
                <w:szCs w:val="24"/>
                <w:lang w:val="lt-LT"/>
              </w:rPr>
              <w:t>(EB) Nr. 273/2004 10 straipsnio 2 dalies a punkt</w:t>
            </w:r>
            <w:r>
              <w:rPr>
                <w:rFonts w:ascii="Times New Roman" w:hAnsi="Times New Roman" w:cs="Times New Roman"/>
                <w:sz w:val="24"/>
                <w:szCs w:val="24"/>
                <w:lang w:val="lt-LT"/>
              </w:rPr>
              <w:t>o kilusi</w:t>
            </w:r>
            <w:r w:rsidRPr="00C63124">
              <w:rPr>
                <w:rFonts w:ascii="Times New Roman" w:hAnsi="Times New Roman" w:cs="Times New Roman"/>
                <w:sz w:val="24"/>
                <w:szCs w:val="24"/>
                <w:lang w:val="lt-LT"/>
              </w:rPr>
              <w:t xml:space="preserve"> nuostata: </w:t>
            </w:r>
          </w:p>
          <w:p w14:paraId="4F7AAC71" w14:textId="77777777" w:rsidR="003D1E1D" w:rsidRPr="00C63124" w:rsidRDefault="003D1E1D" w:rsidP="002B72E2">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 xml:space="preserve">„2. Kiekviena valstybė narė gali imtis priemonių, kurios būtinos, kad jos kompetentingos institucijos galėtų kontroliuoti ir stebėti įtartinus sandorius, susijusius su į oficialų sąrašą neįtrauktomis medžiagomis, ir visų pirma: </w:t>
            </w:r>
          </w:p>
          <w:p w14:paraId="30364B1C" w14:textId="77777777" w:rsidR="003D1E1D" w:rsidRPr="00C63124" w:rsidRDefault="003D1E1D" w:rsidP="002B72E2">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 xml:space="preserve">a) gauti informaciją apie visus į oficialų sąrašą neįtrauktų medžiagų užsakymus arba veiksmus, susijusius su į oficialų sąrašą neįtrauktomis medžiagomis;“. </w:t>
            </w:r>
          </w:p>
          <w:p w14:paraId="56B0F569" w14:textId="073388A9" w:rsidR="003D1E1D" w:rsidRPr="006326B9" w:rsidRDefault="003D1E1D" w:rsidP="002D3CDA">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N</w:t>
            </w:r>
            <w:r>
              <w:rPr>
                <w:rFonts w:ascii="Times New Roman" w:hAnsi="Times New Roman" w:cs="Times New Roman"/>
                <w:sz w:val="24"/>
                <w:szCs w:val="24"/>
                <w:lang w:val="lt-LT"/>
              </w:rPr>
              <w:t>arkotikų, tabako ir alkoholio kontrolės departamentas</w:t>
            </w:r>
            <w:r w:rsidRPr="00C63124">
              <w:rPr>
                <w:rFonts w:ascii="Times New Roman" w:hAnsi="Times New Roman" w:cs="Times New Roman"/>
                <w:sz w:val="24"/>
                <w:szCs w:val="24"/>
                <w:lang w:val="lt-LT"/>
              </w:rPr>
              <w:t xml:space="preserve"> yra kompetentinga institucija, kontroliuojanti ir stebinti sandorius, susijusius su į oficialų sąrašą neįtrauktomis medžiagomis, todėl būtinas įstatyminis įpareigojimas rinkti tokius duomenis. </w:t>
            </w:r>
          </w:p>
        </w:tc>
      </w:tr>
      <w:tr w:rsidR="003D1E1D" w:rsidRPr="005860B3" w14:paraId="3BB3D3D4" w14:textId="77777777" w:rsidTr="006326B9">
        <w:tc>
          <w:tcPr>
            <w:tcW w:w="1584" w:type="dxa"/>
            <w:vMerge/>
          </w:tcPr>
          <w:p w14:paraId="3704EADF" w14:textId="77777777" w:rsidR="003D1E1D" w:rsidRPr="00C63124" w:rsidRDefault="003D1E1D" w:rsidP="002D3CDA">
            <w:pPr>
              <w:spacing w:after="0" w:line="240" w:lineRule="auto"/>
              <w:jc w:val="both"/>
              <w:rPr>
                <w:rFonts w:ascii="Times New Roman" w:hAnsi="Times New Roman" w:cs="Times New Roman"/>
                <w:sz w:val="24"/>
                <w:szCs w:val="24"/>
                <w:lang w:val="lt-LT"/>
              </w:rPr>
            </w:pPr>
          </w:p>
        </w:tc>
        <w:tc>
          <w:tcPr>
            <w:tcW w:w="5504" w:type="dxa"/>
          </w:tcPr>
          <w:p w14:paraId="4FAD0DE6" w14:textId="66457403" w:rsidR="003D1E1D" w:rsidRPr="00C63124" w:rsidRDefault="003D1E1D" w:rsidP="00FF1C62">
            <w:pPr>
              <w:widowControl w:val="0"/>
              <w:spacing w:after="0" w:line="240" w:lineRule="auto"/>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2.4</w:t>
            </w:r>
            <w:r w:rsidRPr="00C63124">
              <w:rPr>
                <w:rFonts w:ascii="Times New Roman" w:hAnsi="Times New Roman" w:cs="Times New Roman"/>
                <w:sz w:val="24"/>
                <w:szCs w:val="24"/>
                <w:lang w:val="lt-LT" w:eastAsia="lt-LT"/>
              </w:rPr>
              <w:t xml:space="preserve">. Atkreipiame dėmesį, kad tiek operacijų vykdytojas, tiek ūkio subjektas, tiek naudotojas, kaip jie apibrėžiami reglamentuose, nurodytuose Įstatymo projekto 2 str. 5 dalyje, yra </w:t>
            </w:r>
            <w:r w:rsidRPr="00C63124">
              <w:rPr>
                <w:rFonts w:ascii="Times New Roman" w:hAnsi="Times New Roman" w:cs="Times New Roman"/>
                <w:i/>
                <w:iCs/>
                <w:sz w:val="24"/>
                <w:szCs w:val="24"/>
                <w:u w:val="single"/>
                <w:lang w:val="lt-LT" w:eastAsia="lt-LT"/>
              </w:rPr>
              <w:t>asmenys</w:t>
            </w:r>
            <w:r w:rsidR="00576C53">
              <w:rPr>
                <w:rFonts w:ascii="Times New Roman" w:hAnsi="Times New Roman" w:cs="Times New Roman"/>
                <w:i/>
                <w:iCs/>
                <w:sz w:val="24"/>
                <w:szCs w:val="24"/>
                <w:u w:val="single"/>
                <w:lang w:val="lt-LT" w:eastAsia="lt-LT"/>
              </w:rPr>
              <w:t>,</w:t>
            </w:r>
            <w:r w:rsidRPr="00C63124">
              <w:rPr>
                <w:rFonts w:ascii="Times New Roman" w:hAnsi="Times New Roman" w:cs="Times New Roman"/>
                <w:i/>
                <w:iCs/>
                <w:sz w:val="24"/>
                <w:szCs w:val="24"/>
                <w:u w:val="single"/>
                <w:lang w:val="lt-LT" w:eastAsia="lt-LT"/>
              </w:rPr>
              <w:t xml:space="preserve"> jau dalyvaujantys </w:t>
            </w:r>
            <w:r w:rsidRPr="00C63124">
              <w:rPr>
                <w:rFonts w:ascii="Times New Roman" w:hAnsi="Times New Roman" w:cs="Times New Roman"/>
                <w:i/>
                <w:iCs/>
                <w:sz w:val="24"/>
                <w:szCs w:val="24"/>
                <w:u w:val="single"/>
                <w:lang w:val="lt-LT" w:eastAsia="lt-LT"/>
              </w:rPr>
              <w:lastRenderedPageBreak/>
              <w:t>tam tikroje veikloje</w:t>
            </w:r>
            <w:r w:rsidRPr="00C63124">
              <w:rPr>
                <w:rFonts w:ascii="Times New Roman" w:hAnsi="Times New Roman" w:cs="Times New Roman"/>
                <w:sz w:val="24"/>
                <w:szCs w:val="24"/>
                <w:lang w:val="lt-LT" w:eastAsia="lt-LT"/>
              </w:rPr>
              <w:t>, t.</w:t>
            </w:r>
            <w:r>
              <w:rPr>
                <w:rFonts w:ascii="Times New Roman" w:hAnsi="Times New Roman" w:cs="Times New Roman"/>
                <w:sz w:val="24"/>
                <w:szCs w:val="24"/>
                <w:lang w:val="lt-LT" w:eastAsia="lt-LT"/>
              </w:rPr>
              <w:t xml:space="preserve"> </w:t>
            </w:r>
            <w:r w:rsidRPr="00C63124">
              <w:rPr>
                <w:rFonts w:ascii="Times New Roman" w:hAnsi="Times New Roman" w:cs="Times New Roman"/>
                <w:sz w:val="24"/>
                <w:szCs w:val="24"/>
                <w:lang w:val="lt-LT" w:eastAsia="lt-LT"/>
              </w:rPr>
              <w:t>y. turintys atitinkamus dokumentus (leidimus, pažymėjimus ar pan.). Šiuo konkrečiu atveju, svarstytina, ar tinkamas formuluotės „subjektas, siekiantis gauti ar turintis licenciją ar specialiąją licenciją“ vartojimas, kartu vertinant ir ES reglamentuose įtvirtintas sąvokas; t.</w:t>
            </w:r>
            <w:r>
              <w:rPr>
                <w:rFonts w:ascii="Times New Roman" w:hAnsi="Times New Roman" w:cs="Times New Roman"/>
                <w:sz w:val="24"/>
                <w:szCs w:val="24"/>
                <w:lang w:val="lt-LT" w:eastAsia="lt-LT"/>
              </w:rPr>
              <w:t xml:space="preserve"> </w:t>
            </w:r>
            <w:r w:rsidRPr="00C63124">
              <w:rPr>
                <w:rFonts w:ascii="Times New Roman" w:hAnsi="Times New Roman" w:cs="Times New Roman"/>
                <w:sz w:val="24"/>
                <w:szCs w:val="24"/>
                <w:lang w:val="lt-LT" w:eastAsia="lt-LT"/>
              </w:rPr>
              <w:t>y ar subjektų (asmenų ar pan.) grupės, kurie tik siekia gauti atitinkamus dokumentus nereikėtų apibrėžti kita sąvoka. Siūlytume tai įvertinti ir atitinkamai tikslinti su šiuo reguliavimu susijusias Įstatymo projekto nuostatas. Tikslinant pagal šią pastabą turėtų būti įvertina ir Įstatymo projekto 16 str. 2 dalis.</w:t>
            </w:r>
          </w:p>
          <w:p w14:paraId="52B3329F" w14:textId="44547FA5" w:rsidR="003D1E1D" w:rsidRPr="00C63124" w:rsidRDefault="003D1E1D" w:rsidP="00FF1C62">
            <w:pPr>
              <w:spacing w:after="0" w:line="240" w:lineRule="auto"/>
              <w:jc w:val="both"/>
              <w:rPr>
                <w:rFonts w:ascii="Times New Roman" w:hAnsi="Times New Roman" w:cs="Times New Roman"/>
                <w:iCs/>
                <w:sz w:val="24"/>
                <w:szCs w:val="24"/>
                <w:lang w:val="lt-LT" w:eastAsia="lt-LT"/>
              </w:rPr>
            </w:pPr>
            <w:r w:rsidRPr="00C63124">
              <w:rPr>
                <w:rFonts w:ascii="Times New Roman" w:hAnsi="Times New Roman" w:cs="Times New Roman"/>
                <w:iCs/>
                <w:sz w:val="24"/>
                <w:szCs w:val="24"/>
                <w:lang w:val="lt-LT" w:eastAsia="lt-LT"/>
              </w:rPr>
              <w:t>Be kita ko, kartu siūlytume įvertinti, ar korektiška Įstatymo projekto 15 str. 5 dalyje vartoti formuluotę „subjektas“ apibrėžiant tiek subjektus, vykdančius veiklą, susijusią su narkotinių ir psichotropinių medžiagų pirmtakais (</w:t>
            </w:r>
            <w:proofErr w:type="spellStart"/>
            <w:r w:rsidRPr="00C63124">
              <w:rPr>
                <w:rFonts w:ascii="Times New Roman" w:hAnsi="Times New Roman" w:cs="Times New Roman"/>
                <w:iCs/>
                <w:sz w:val="24"/>
                <w:szCs w:val="24"/>
                <w:lang w:val="lt-LT" w:eastAsia="lt-LT"/>
              </w:rPr>
              <w:t>prekursoriais</w:t>
            </w:r>
            <w:proofErr w:type="spellEnd"/>
            <w:r w:rsidRPr="00C63124">
              <w:rPr>
                <w:rFonts w:ascii="Times New Roman" w:hAnsi="Times New Roman" w:cs="Times New Roman"/>
                <w:iCs/>
                <w:sz w:val="24"/>
                <w:szCs w:val="24"/>
                <w:lang w:val="lt-LT" w:eastAsia="lt-LT"/>
              </w:rPr>
              <w:t>), tiek į oficialų sąrašą neįtrauktomis medžiagomis</w:t>
            </w:r>
            <w:r>
              <w:rPr>
                <w:rFonts w:ascii="Times New Roman" w:hAnsi="Times New Roman" w:cs="Times New Roman"/>
                <w:iCs/>
                <w:sz w:val="24"/>
                <w:szCs w:val="24"/>
                <w:lang w:val="lt-LT" w:eastAsia="lt-LT"/>
              </w:rPr>
              <w:t>.</w:t>
            </w:r>
          </w:p>
        </w:tc>
        <w:tc>
          <w:tcPr>
            <w:tcW w:w="7088" w:type="dxa"/>
          </w:tcPr>
          <w:p w14:paraId="570FBC78" w14:textId="77777777" w:rsidR="003D1E1D" w:rsidRPr="00C63124" w:rsidRDefault="003D1E1D" w:rsidP="00FF1C62">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b/>
                <w:bCs/>
                <w:sz w:val="24"/>
                <w:szCs w:val="24"/>
                <w:lang w:val="lt-LT"/>
              </w:rPr>
              <w:lastRenderedPageBreak/>
              <w:t>Neatsižvelgta.</w:t>
            </w:r>
          </w:p>
          <w:p w14:paraId="11BE3930" w14:textId="65D601CD" w:rsidR="003D1E1D" w:rsidRPr="00C63124" w:rsidRDefault="003D1E1D" w:rsidP="00FF1C62">
            <w:pPr>
              <w:spacing w:after="0" w:line="240" w:lineRule="auto"/>
              <w:jc w:val="both"/>
              <w:rPr>
                <w:rFonts w:ascii="Times New Roman" w:hAnsi="Times New Roman" w:cs="Times New Roman"/>
                <w:sz w:val="24"/>
                <w:szCs w:val="24"/>
                <w:lang w:val="lt-LT"/>
              </w:rPr>
            </w:pPr>
            <w:r w:rsidRPr="00C63124">
              <w:rPr>
                <w:rFonts w:ascii="Times New Roman" w:hAnsi="Times New Roman" w:cs="Times New Roman"/>
                <w:sz w:val="24"/>
                <w:szCs w:val="24"/>
                <w:lang w:val="lt-LT"/>
              </w:rPr>
              <w:t xml:space="preserve">Formuluotė „subjektas“ apima tiek </w:t>
            </w:r>
            <w:r w:rsidRPr="00C63124">
              <w:rPr>
                <w:rFonts w:ascii="Times New Roman" w:hAnsi="Times New Roman" w:cs="Times New Roman"/>
                <w:sz w:val="24"/>
                <w:szCs w:val="24"/>
                <w:lang w:val="lt-LT" w:eastAsia="lt-LT"/>
              </w:rPr>
              <w:t>subjektus, vykdančius veiklą, susijusią su narkotinių ir psichotropinių medžiagų pirmtakais (</w:t>
            </w:r>
            <w:proofErr w:type="spellStart"/>
            <w:r w:rsidRPr="00C63124">
              <w:rPr>
                <w:rFonts w:ascii="Times New Roman" w:hAnsi="Times New Roman" w:cs="Times New Roman"/>
                <w:sz w:val="24"/>
                <w:szCs w:val="24"/>
                <w:lang w:val="lt-LT" w:eastAsia="lt-LT"/>
              </w:rPr>
              <w:t>prekursoriais</w:t>
            </w:r>
            <w:proofErr w:type="spellEnd"/>
            <w:r w:rsidRPr="00C63124">
              <w:rPr>
                <w:rFonts w:ascii="Times New Roman" w:hAnsi="Times New Roman" w:cs="Times New Roman"/>
                <w:sz w:val="24"/>
                <w:szCs w:val="24"/>
                <w:lang w:val="lt-LT" w:eastAsia="lt-LT"/>
              </w:rPr>
              <w:t>), tiek į oficialų sąrašą neįtrauktomis medžiagomis</w:t>
            </w:r>
            <w:r>
              <w:rPr>
                <w:rFonts w:ascii="Times New Roman" w:hAnsi="Times New Roman" w:cs="Times New Roman"/>
                <w:sz w:val="24"/>
                <w:szCs w:val="24"/>
                <w:lang w:val="lt-LT" w:eastAsia="lt-LT"/>
              </w:rPr>
              <w:t xml:space="preserve">, t. y. </w:t>
            </w:r>
            <w:r>
              <w:rPr>
                <w:rFonts w:ascii="Times New Roman" w:hAnsi="Times New Roman" w:cs="Times New Roman"/>
                <w:sz w:val="24"/>
                <w:szCs w:val="24"/>
                <w:lang w:val="lt-LT" w:eastAsia="lt-LT"/>
              </w:rPr>
              <w:lastRenderedPageBreak/>
              <w:t>asmenis, neturinčius licencijų ar pažymėjimų.</w:t>
            </w:r>
            <w:r w:rsidRPr="00C63124">
              <w:rPr>
                <w:rFonts w:ascii="Times New Roman" w:hAnsi="Times New Roman" w:cs="Times New Roman"/>
                <w:sz w:val="24"/>
                <w:szCs w:val="24"/>
                <w:lang w:val="lt-LT" w:eastAsia="lt-LT"/>
              </w:rPr>
              <w:t xml:space="preserve"> Įstatyme yra aiškiai apibrėžta „subjekto“ sąvoka – „</w:t>
            </w:r>
            <w:r>
              <w:rPr>
                <w:rFonts w:ascii="Times New Roman" w:hAnsi="Times New Roman" w:cs="Times New Roman"/>
                <w:sz w:val="24"/>
                <w:szCs w:val="24"/>
                <w:lang w:val="lt-LT" w:eastAsia="lt-LT"/>
              </w:rPr>
              <w:t xml:space="preserve">&lt;...&gt; </w:t>
            </w:r>
            <w:r w:rsidRPr="00C63124">
              <w:rPr>
                <w:rFonts w:ascii="Times New Roman" w:hAnsi="Times New Roman" w:cs="Times New Roman"/>
                <w:sz w:val="24"/>
                <w:szCs w:val="24"/>
                <w:lang w:val="lt-LT" w:eastAsia="lt-LT"/>
              </w:rPr>
              <w:t>operacijų vykdytojas, kaip nurodyta Reglamento (EB) Nr. 111/2005 2 straipsnio f punkte, arba ūkio subjektas, kaip nurodyta Reglamento (EB) Nr. 273/2004 2 straipsnio d punkte, arba naudotojas, kaip nurodyta Reglamento (EB) Nr. 273/2004 2 straipsnio h punkte.</w:t>
            </w:r>
            <w:r w:rsidR="00B32F03">
              <w:rPr>
                <w:rFonts w:ascii="Times New Roman" w:hAnsi="Times New Roman" w:cs="Times New Roman"/>
                <w:sz w:val="24"/>
                <w:szCs w:val="24"/>
                <w:lang w:val="lt-LT" w:eastAsia="lt-LT"/>
              </w:rPr>
              <w:t>“</w:t>
            </w:r>
          </w:p>
          <w:p w14:paraId="78FF7C4A" w14:textId="66A3B4BB" w:rsidR="003D1E1D" w:rsidRPr="003508F4" w:rsidRDefault="003D1E1D" w:rsidP="00FF1C62">
            <w:pPr>
              <w:spacing w:after="0" w:line="240" w:lineRule="auto"/>
              <w:jc w:val="both"/>
              <w:rPr>
                <w:rFonts w:ascii="Times New Roman" w:hAnsi="Times New Roman" w:cs="Times New Roman"/>
                <w:sz w:val="24"/>
                <w:szCs w:val="24"/>
                <w:lang w:val="lt-LT"/>
              </w:rPr>
            </w:pPr>
          </w:p>
          <w:p w14:paraId="6AF9E53C"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08F63383"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1D21E12F"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25C4CD85"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368FAF7A"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0D4FBBA7"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66CF64D4"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0CE7DD11"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69783B39"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6EFD57F1" w14:textId="77777777" w:rsidR="003D1E1D" w:rsidRPr="003508F4" w:rsidRDefault="003D1E1D" w:rsidP="00FF1C62">
            <w:pPr>
              <w:spacing w:after="0" w:line="240" w:lineRule="auto"/>
              <w:jc w:val="both"/>
              <w:rPr>
                <w:rFonts w:ascii="Times New Roman" w:hAnsi="Times New Roman" w:cs="Times New Roman"/>
                <w:sz w:val="24"/>
                <w:szCs w:val="24"/>
                <w:lang w:val="lt-LT"/>
              </w:rPr>
            </w:pPr>
          </w:p>
          <w:p w14:paraId="00CFB733" w14:textId="77777777" w:rsidR="003D1E1D" w:rsidRPr="003508F4" w:rsidRDefault="003D1E1D" w:rsidP="00FF1C62">
            <w:pPr>
              <w:spacing w:after="0" w:line="240" w:lineRule="auto"/>
              <w:jc w:val="both"/>
              <w:rPr>
                <w:rFonts w:ascii="Times New Roman" w:hAnsi="Times New Roman" w:cs="Times New Roman"/>
                <w:b/>
                <w:sz w:val="24"/>
                <w:szCs w:val="24"/>
                <w:lang w:val="lt-LT"/>
              </w:rPr>
            </w:pPr>
          </w:p>
        </w:tc>
      </w:tr>
    </w:tbl>
    <w:p w14:paraId="4B430E8C" w14:textId="77777777" w:rsidR="003D5827" w:rsidRPr="00C63124" w:rsidRDefault="003D5827" w:rsidP="002D3CDA">
      <w:pPr>
        <w:spacing w:after="0" w:line="240" w:lineRule="auto"/>
        <w:jc w:val="both"/>
        <w:rPr>
          <w:rFonts w:ascii="Times New Roman" w:hAnsi="Times New Roman" w:cs="Times New Roman"/>
          <w:sz w:val="24"/>
          <w:szCs w:val="24"/>
          <w:lang w:val="lt-LT"/>
        </w:rPr>
      </w:pPr>
    </w:p>
    <w:sectPr w:rsidR="003D5827" w:rsidRPr="00C63124" w:rsidSect="006326B9">
      <w:headerReference w:type="default" r:id="rId8"/>
      <w:pgSz w:w="15840" w:h="12240" w:orient="landscape"/>
      <w:pgMar w:top="851" w:right="1276" w:bottom="156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393B9" w14:textId="77777777" w:rsidR="000C59F3" w:rsidRDefault="000C59F3" w:rsidP="0063677D">
      <w:pPr>
        <w:spacing w:after="0" w:line="240" w:lineRule="auto"/>
      </w:pPr>
      <w:r>
        <w:separator/>
      </w:r>
    </w:p>
  </w:endnote>
  <w:endnote w:type="continuationSeparator" w:id="0">
    <w:p w14:paraId="4A490884" w14:textId="77777777" w:rsidR="000C59F3" w:rsidRDefault="000C59F3" w:rsidP="0063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935D6" w14:textId="77777777" w:rsidR="000C59F3" w:rsidRDefault="000C59F3" w:rsidP="0063677D">
      <w:pPr>
        <w:spacing w:after="0" w:line="240" w:lineRule="auto"/>
      </w:pPr>
      <w:r>
        <w:separator/>
      </w:r>
    </w:p>
  </w:footnote>
  <w:footnote w:type="continuationSeparator" w:id="0">
    <w:p w14:paraId="73DD92A0" w14:textId="77777777" w:rsidR="000C59F3" w:rsidRDefault="000C59F3" w:rsidP="0063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5332" w14:textId="77777777" w:rsidR="003D5827" w:rsidRPr="00AF03BE" w:rsidRDefault="003D5827">
    <w:pPr>
      <w:pStyle w:val="Antrats"/>
      <w:jc w:val="center"/>
      <w:rPr>
        <w:sz w:val="24"/>
        <w:szCs w:val="24"/>
      </w:rPr>
    </w:pPr>
    <w:r w:rsidRPr="00AF03BE">
      <w:rPr>
        <w:sz w:val="24"/>
        <w:szCs w:val="24"/>
      </w:rPr>
      <w:fldChar w:fldCharType="begin"/>
    </w:r>
    <w:r w:rsidRPr="00AF03BE">
      <w:rPr>
        <w:sz w:val="24"/>
        <w:szCs w:val="24"/>
      </w:rPr>
      <w:instrText>PAGE   \* MERGEFORMAT</w:instrText>
    </w:r>
    <w:r w:rsidRPr="00AF03BE">
      <w:rPr>
        <w:sz w:val="24"/>
        <w:szCs w:val="24"/>
      </w:rPr>
      <w:fldChar w:fldCharType="separate"/>
    </w:r>
    <w:r w:rsidR="00824AB8">
      <w:rPr>
        <w:noProof/>
        <w:sz w:val="24"/>
        <w:szCs w:val="24"/>
      </w:rPr>
      <w:t>3</w:t>
    </w:r>
    <w:r w:rsidRPr="00AF03BE">
      <w:rPr>
        <w:sz w:val="24"/>
        <w:szCs w:val="24"/>
      </w:rPr>
      <w:fldChar w:fldCharType="end"/>
    </w:r>
  </w:p>
  <w:p w14:paraId="7CDE8A17" w14:textId="77777777" w:rsidR="003D5827" w:rsidRDefault="003D58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93F0F"/>
    <w:multiLevelType w:val="hybridMultilevel"/>
    <w:tmpl w:val="48647EB4"/>
    <w:lvl w:ilvl="0" w:tplc="3248731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0A2781"/>
    <w:multiLevelType w:val="hybridMultilevel"/>
    <w:tmpl w:val="56A0B392"/>
    <w:lvl w:ilvl="0" w:tplc="87343D4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3C3338F3"/>
    <w:multiLevelType w:val="hybridMultilevel"/>
    <w:tmpl w:val="B24CA6E8"/>
    <w:lvl w:ilvl="0" w:tplc="82CC5E1E">
      <w:start w:val="1"/>
      <w:numFmt w:val="decimal"/>
      <w:lvlText w:val="%1."/>
      <w:lvlJc w:val="left"/>
      <w:pPr>
        <w:ind w:left="1210" w:hanging="360"/>
      </w:pPr>
      <w:rPr>
        <w:rFonts w:cs="Times New Roman"/>
      </w:rPr>
    </w:lvl>
    <w:lvl w:ilvl="1" w:tplc="04270019">
      <w:start w:val="1"/>
      <w:numFmt w:val="lowerLetter"/>
      <w:lvlText w:val="%2."/>
      <w:lvlJc w:val="left"/>
      <w:pPr>
        <w:ind w:left="1930" w:hanging="360"/>
      </w:pPr>
      <w:rPr>
        <w:rFonts w:cs="Times New Roman"/>
      </w:rPr>
    </w:lvl>
    <w:lvl w:ilvl="2" w:tplc="0427001B">
      <w:start w:val="1"/>
      <w:numFmt w:val="lowerRoman"/>
      <w:lvlText w:val="%3."/>
      <w:lvlJc w:val="right"/>
      <w:pPr>
        <w:ind w:left="2650" w:hanging="180"/>
      </w:pPr>
      <w:rPr>
        <w:rFonts w:cs="Times New Roman"/>
      </w:rPr>
    </w:lvl>
    <w:lvl w:ilvl="3" w:tplc="0427000F">
      <w:start w:val="1"/>
      <w:numFmt w:val="decimal"/>
      <w:lvlText w:val="%4."/>
      <w:lvlJc w:val="left"/>
      <w:pPr>
        <w:ind w:left="900" w:hanging="360"/>
      </w:pPr>
      <w:rPr>
        <w:rFonts w:cs="Times New Roman"/>
      </w:rPr>
    </w:lvl>
    <w:lvl w:ilvl="4" w:tplc="04270019">
      <w:start w:val="1"/>
      <w:numFmt w:val="lowerLetter"/>
      <w:lvlText w:val="%5."/>
      <w:lvlJc w:val="left"/>
      <w:pPr>
        <w:ind w:left="4090" w:hanging="360"/>
      </w:pPr>
      <w:rPr>
        <w:rFonts w:cs="Times New Roman"/>
      </w:rPr>
    </w:lvl>
    <w:lvl w:ilvl="5" w:tplc="0427001B">
      <w:start w:val="1"/>
      <w:numFmt w:val="lowerRoman"/>
      <w:lvlText w:val="%6."/>
      <w:lvlJc w:val="right"/>
      <w:pPr>
        <w:ind w:left="4810" w:hanging="180"/>
      </w:pPr>
      <w:rPr>
        <w:rFonts w:cs="Times New Roman"/>
      </w:rPr>
    </w:lvl>
    <w:lvl w:ilvl="6" w:tplc="0427000F">
      <w:start w:val="1"/>
      <w:numFmt w:val="decimal"/>
      <w:lvlText w:val="%7."/>
      <w:lvlJc w:val="left"/>
      <w:pPr>
        <w:ind w:left="5530" w:hanging="360"/>
      </w:pPr>
      <w:rPr>
        <w:rFonts w:cs="Times New Roman"/>
      </w:rPr>
    </w:lvl>
    <w:lvl w:ilvl="7" w:tplc="04270019">
      <w:start w:val="1"/>
      <w:numFmt w:val="lowerLetter"/>
      <w:lvlText w:val="%8."/>
      <w:lvlJc w:val="left"/>
      <w:pPr>
        <w:ind w:left="6250" w:hanging="360"/>
      </w:pPr>
      <w:rPr>
        <w:rFonts w:cs="Times New Roman"/>
      </w:rPr>
    </w:lvl>
    <w:lvl w:ilvl="8" w:tplc="0427001B">
      <w:start w:val="1"/>
      <w:numFmt w:val="lowerRoman"/>
      <w:lvlText w:val="%9."/>
      <w:lvlJc w:val="right"/>
      <w:pPr>
        <w:ind w:left="6970" w:hanging="180"/>
      </w:pPr>
      <w:rPr>
        <w:rFonts w:cs="Times New Roman"/>
      </w:rPr>
    </w:lvl>
  </w:abstractNum>
  <w:abstractNum w:abstractNumId="3" w15:restartNumberingAfterBreak="0">
    <w:nsid w:val="5B225DE0"/>
    <w:multiLevelType w:val="hybridMultilevel"/>
    <w:tmpl w:val="ECA06624"/>
    <w:lvl w:ilvl="0" w:tplc="E9C4971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5DB93DD1"/>
    <w:multiLevelType w:val="hybridMultilevel"/>
    <w:tmpl w:val="0912395A"/>
    <w:lvl w:ilvl="0" w:tplc="CF6E5B8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79591618"/>
    <w:multiLevelType w:val="hybridMultilevel"/>
    <w:tmpl w:val="93968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8050FE"/>
    <w:multiLevelType w:val="multilevel"/>
    <w:tmpl w:val="B75CE86A"/>
    <w:lvl w:ilvl="0">
      <w:start w:val="2"/>
      <w:numFmt w:val="decimal"/>
      <w:lvlText w:val="%1."/>
      <w:lvlJc w:val="left"/>
      <w:pPr>
        <w:ind w:left="1637" w:hanging="360"/>
      </w:pPr>
      <w:rPr>
        <w:rFonts w:cs="Times New Roman"/>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3E"/>
    <w:rsid w:val="000047A4"/>
    <w:rsid w:val="00005FE1"/>
    <w:rsid w:val="000075D8"/>
    <w:rsid w:val="00015E3B"/>
    <w:rsid w:val="0001740E"/>
    <w:rsid w:val="00020C2A"/>
    <w:rsid w:val="000247A1"/>
    <w:rsid w:val="00051EAB"/>
    <w:rsid w:val="00053385"/>
    <w:rsid w:val="00055067"/>
    <w:rsid w:val="000650A5"/>
    <w:rsid w:val="00077556"/>
    <w:rsid w:val="0009296B"/>
    <w:rsid w:val="00092B49"/>
    <w:rsid w:val="00094CCE"/>
    <w:rsid w:val="000960D8"/>
    <w:rsid w:val="000A5759"/>
    <w:rsid w:val="000B30FD"/>
    <w:rsid w:val="000B7A89"/>
    <w:rsid w:val="000C0D33"/>
    <w:rsid w:val="000C59F3"/>
    <w:rsid w:val="000D3B29"/>
    <w:rsid w:val="000D40C7"/>
    <w:rsid w:val="000D5B50"/>
    <w:rsid w:val="000F00BC"/>
    <w:rsid w:val="000F3C98"/>
    <w:rsid w:val="000F7D9A"/>
    <w:rsid w:val="0010582F"/>
    <w:rsid w:val="00112446"/>
    <w:rsid w:val="00114C74"/>
    <w:rsid w:val="00114E04"/>
    <w:rsid w:val="00115603"/>
    <w:rsid w:val="0012667C"/>
    <w:rsid w:val="001318F6"/>
    <w:rsid w:val="001414BC"/>
    <w:rsid w:val="001472D9"/>
    <w:rsid w:val="00153772"/>
    <w:rsid w:val="001557D7"/>
    <w:rsid w:val="00173B2B"/>
    <w:rsid w:val="001A093B"/>
    <w:rsid w:val="001B4B1B"/>
    <w:rsid w:val="001B5D3C"/>
    <w:rsid w:val="001D1AA8"/>
    <w:rsid w:val="001E40F6"/>
    <w:rsid w:val="0020231E"/>
    <w:rsid w:val="002039B9"/>
    <w:rsid w:val="002337FE"/>
    <w:rsid w:val="00243B7B"/>
    <w:rsid w:val="00261CF9"/>
    <w:rsid w:val="00265E2B"/>
    <w:rsid w:val="00266F2B"/>
    <w:rsid w:val="002730DC"/>
    <w:rsid w:val="002775FF"/>
    <w:rsid w:val="00277F9A"/>
    <w:rsid w:val="00283B18"/>
    <w:rsid w:val="00285F79"/>
    <w:rsid w:val="00287823"/>
    <w:rsid w:val="00296BF4"/>
    <w:rsid w:val="002A4BCB"/>
    <w:rsid w:val="002A5386"/>
    <w:rsid w:val="002B72E2"/>
    <w:rsid w:val="002C3899"/>
    <w:rsid w:val="002D3CDA"/>
    <w:rsid w:val="002E145D"/>
    <w:rsid w:val="002F24D6"/>
    <w:rsid w:val="002F6280"/>
    <w:rsid w:val="002F6711"/>
    <w:rsid w:val="0030257D"/>
    <w:rsid w:val="003129D2"/>
    <w:rsid w:val="00312B34"/>
    <w:rsid w:val="00317E50"/>
    <w:rsid w:val="00327D55"/>
    <w:rsid w:val="00327E6A"/>
    <w:rsid w:val="00332EE9"/>
    <w:rsid w:val="0033784C"/>
    <w:rsid w:val="003408EF"/>
    <w:rsid w:val="003508F4"/>
    <w:rsid w:val="0035109A"/>
    <w:rsid w:val="00352A50"/>
    <w:rsid w:val="00353C6C"/>
    <w:rsid w:val="00365932"/>
    <w:rsid w:val="00366281"/>
    <w:rsid w:val="00367302"/>
    <w:rsid w:val="00374334"/>
    <w:rsid w:val="00381FDE"/>
    <w:rsid w:val="00384964"/>
    <w:rsid w:val="003977E8"/>
    <w:rsid w:val="003B1A93"/>
    <w:rsid w:val="003B21E8"/>
    <w:rsid w:val="003B531E"/>
    <w:rsid w:val="003D1E1D"/>
    <w:rsid w:val="003D5827"/>
    <w:rsid w:val="003F0043"/>
    <w:rsid w:val="003F2E25"/>
    <w:rsid w:val="003F3F09"/>
    <w:rsid w:val="004012A0"/>
    <w:rsid w:val="00434DE5"/>
    <w:rsid w:val="00442435"/>
    <w:rsid w:val="004431B7"/>
    <w:rsid w:val="0044558E"/>
    <w:rsid w:val="00446058"/>
    <w:rsid w:val="0045554C"/>
    <w:rsid w:val="00467066"/>
    <w:rsid w:val="00471722"/>
    <w:rsid w:val="00473B2C"/>
    <w:rsid w:val="00477025"/>
    <w:rsid w:val="004A20A7"/>
    <w:rsid w:val="004A3B4A"/>
    <w:rsid w:val="004A3B69"/>
    <w:rsid w:val="004B65A4"/>
    <w:rsid w:val="004C08CA"/>
    <w:rsid w:val="004C310F"/>
    <w:rsid w:val="004D3CF8"/>
    <w:rsid w:val="004D73A9"/>
    <w:rsid w:val="004D7AE6"/>
    <w:rsid w:val="004F6968"/>
    <w:rsid w:val="00516BE8"/>
    <w:rsid w:val="00523840"/>
    <w:rsid w:val="00540A4E"/>
    <w:rsid w:val="00575112"/>
    <w:rsid w:val="00576C53"/>
    <w:rsid w:val="0058157B"/>
    <w:rsid w:val="00583ABC"/>
    <w:rsid w:val="005860B3"/>
    <w:rsid w:val="00591AF5"/>
    <w:rsid w:val="0059413E"/>
    <w:rsid w:val="00597E32"/>
    <w:rsid w:val="005A1B22"/>
    <w:rsid w:val="005A3A02"/>
    <w:rsid w:val="005B776B"/>
    <w:rsid w:val="005C0595"/>
    <w:rsid w:val="005C73EA"/>
    <w:rsid w:val="005D770E"/>
    <w:rsid w:val="005E12EE"/>
    <w:rsid w:val="005E34A5"/>
    <w:rsid w:val="005E4DAE"/>
    <w:rsid w:val="00607535"/>
    <w:rsid w:val="00607AD5"/>
    <w:rsid w:val="00614F55"/>
    <w:rsid w:val="00620F86"/>
    <w:rsid w:val="00627646"/>
    <w:rsid w:val="006326B9"/>
    <w:rsid w:val="0063677D"/>
    <w:rsid w:val="00643AA2"/>
    <w:rsid w:val="00643D58"/>
    <w:rsid w:val="00650E1C"/>
    <w:rsid w:val="00651AAF"/>
    <w:rsid w:val="006541F9"/>
    <w:rsid w:val="00654BDC"/>
    <w:rsid w:val="00654CC2"/>
    <w:rsid w:val="00655A27"/>
    <w:rsid w:val="006625FA"/>
    <w:rsid w:val="00671CB3"/>
    <w:rsid w:val="006756A5"/>
    <w:rsid w:val="006909CF"/>
    <w:rsid w:val="00694E52"/>
    <w:rsid w:val="006A1B69"/>
    <w:rsid w:val="006A3DAD"/>
    <w:rsid w:val="006B0998"/>
    <w:rsid w:val="006B2D17"/>
    <w:rsid w:val="006B371F"/>
    <w:rsid w:val="006C1C45"/>
    <w:rsid w:val="006D1373"/>
    <w:rsid w:val="006F3F81"/>
    <w:rsid w:val="006F4C3B"/>
    <w:rsid w:val="0070760E"/>
    <w:rsid w:val="0072652F"/>
    <w:rsid w:val="007301D9"/>
    <w:rsid w:val="00734156"/>
    <w:rsid w:val="0073737C"/>
    <w:rsid w:val="007412FE"/>
    <w:rsid w:val="007439FF"/>
    <w:rsid w:val="007732F6"/>
    <w:rsid w:val="0077395E"/>
    <w:rsid w:val="00775E06"/>
    <w:rsid w:val="0078246F"/>
    <w:rsid w:val="00782F14"/>
    <w:rsid w:val="00790CDF"/>
    <w:rsid w:val="00791739"/>
    <w:rsid w:val="00797F18"/>
    <w:rsid w:val="007A0F6A"/>
    <w:rsid w:val="007A272D"/>
    <w:rsid w:val="007A32DF"/>
    <w:rsid w:val="007A5F5A"/>
    <w:rsid w:val="007B0628"/>
    <w:rsid w:val="007B1255"/>
    <w:rsid w:val="007B350A"/>
    <w:rsid w:val="007B7F73"/>
    <w:rsid w:val="007C59A9"/>
    <w:rsid w:val="007E2D79"/>
    <w:rsid w:val="007F256C"/>
    <w:rsid w:val="007F7968"/>
    <w:rsid w:val="008044AB"/>
    <w:rsid w:val="00810C55"/>
    <w:rsid w:val="008127CB"/>
    <w:rsid w:val="00824AB8"/>
    <w:rsid w:val="00827492"/>
    <w:rsid w:val="00837D18"/>
    <w:rsid w:val="00840986"/>
    <w:rsid w:val="00840DB9"/>
    <w:rsid w:val="00845C04"/>
    <w:rsid w:val="00852D18"/>
    <w:rsid w:val="008601C9"/>
    <w:rsid w:val="008628ED"/>
    <w:rsid w:val="0088130F"/>
    <w:rsid w:val="00893C78"/>
    <w:rsid w:val="008A0755"/>
    <w:rsid w:val="008A1930"/>
    <w:rsid w:val="008A75C4"/>
    <w:rsid w:val="008D052E"/>
    <w:rsid w:val="008E4A83"/>
    <w:rsid w:val="008E7CD0"/>
    <w:rsid w:val="008F6E2E"/>
    <w:rsid w:val="0090263B"/>
    <w:rsid w:val="00907382"/>
    <w:rsid w:val="00925C79"/>
    <w:rsid w:val="00931879"/>
    <w:rsid w:val="00932470"/>
    <w:rsid w:val="0094125D"/>
    <w:rsid w:val="00947560"/>
    <w:rsid w:val="00953308"/>
    <w:rsid w:val="0096121C"/>
    <w:rsid w:val="00964B00"/>
    <w:rsid w:val="00973E92"/>
    <w:rsid w:val="009906D2"/>
    <w:rsid w:val="00992085"/>
    <w:rsid w:val="009A1251"/>
    <w:rsid w:val="009A4796"/>
    <w:rsid w:val="009A76AC"/>
    <w:rsid w:val="009B0E95"/>
    <w:rsid w:val="009B53DB"/>
    <w:rsid w:val="009C597A"/>
    <w:rsid w:val="00A00834"/>
    <w:rsid w:val="00A00C8A"/>
    <w:rsid w:val="00A02A5B"/>
    <w:rsid w:val="00A25746"/>
    <w:rsid w:val="00A33081"/>
    <w:rsid w:val="00A4230B"/>
    <w:rsid w:val="00A50837"/>
    <w:rsid w:val="00A60395"/>
    <w:rsid w:val="00A71741"/>
    <w:rsid w:val="00A73392"/>
    <w:rsid w:val="00A91285"/>
    <w:rsid w:val="00A93227"/>
    <w:rsid w:val="00AA4156"/>
    <w:rsid w:val="00AB2C42"/>
    <w:rsid w:val="00AD2DC4"/>
    <w:rsid w:val="00AD3A5B"/>
    <w:rsid w:val="00AE5F09"/>
    <w:rsid w:val="00AF03BE"/>
    <w:rsid w:val="00B05C49"/>
    <w:rsid w:val="00B0741C"/>
    <w:rsid w:val="00B14B33"/>
    <w:rsid w:val="00B154EC"/>
    <w:rsid w:val="00B2257E"/>
    <w:rsid w:val="00B327DE"/>
    <w:rsid w:val="00B32F03"/>
    <w:rsid w:val="00B34B4B"/>
    <w:rsid w:val="00B42F46"/>
    <w:rsid w:val="00B46B99"/>
    <w:rsid w:val="00B526CA"/>
    <w:rsid w:val="00B62081"/>
    <w:rsid w:val="00B87E33"/>
    <w:rsid w:val="00B97245"/>
    <w:rsid w:val="00BA0277"/>
    <w:rsid w:val="00BC645B"/>
    <w:rsid w:val="00BD0D74"/>
    <w:rsid w:val="00BD7B76"/>
    <w:rsid w:val="00BE15E1"/>
    <w:rsid w:val="00BF51F4"/>
    <w:rsid w:val="00C00736"/>
    <w:rsid w:val="00C0119F"/>
    <w:rsid w:val="00C10F0E"/>
    <w:rsid w:val="00C1310B"/>
    <w:rsid w:val="00C21026"/>
    <w:rsid w:val="00C21B3B"/>
    <w:rsid w:val="00C22367"/>
    <w:rsid w:val="00C32F83"/>
    <w:rsid w:val="00C375FC"/>
    <w:rsid w:val="00C4021C"/>
    <w:rsid w:val="00C5098D"/>
    <w:rsid w:val="00C523AB"/>
    <w:rsid w:val="00C63124"/>
    <w:rsid w:val="00C6359E"/>
    <w:rsid w:val="00C8210E"/>
    <w:rsid w:val="00C851B7"/>
    <w:rsid w:val="00C954A8"/>
    <w:rsid w:val="00C9646D"/>
    <w:rsid w:val="00C97B3A"/>
    <w:rsid w:val="00CA22A1"/>
    <w:rsid w:val="00CC5B51"/>
    <w:rsid w:val="00CD3F65"/>
    <w:rsid w:val="00CD7EB6"/>
    <w:rsid w:val="00CE3074"/>
    <w:rsid w:val="00CE4E67"/>
    <w:rsid w:val="00CE5787"/>
    <w:rsid w:val="00D05F78"/>
    <w:rsid w:val="00D114E4"/>
    <w:rsid w:val="00D22305"/>
    <w:rsid w:val="00D273BB"/>
    <w:rsid w:val="00D31E4C"/>
    <w:rsid w:val="00D32328"/>
    <w:rsid w:val="00D351C5"/>
    <w:rsid w:val="00D43EBE"/>
    <w:rsid w:val="00D44B1F"/>
    <w:rsid w:val="00D5771F"/>
    <w:rsid w:val="00D61430"/>
    <w:rsid w:val="00D648D4"/>
    <w:rsid w:val="00D65128"/>
    <w:rsid w:val="00D739BC"/>
    <w:rsid w:val="00D74754"/>
    <w:rsid w:val="00D76948"/>
    <w:rsid w:val="00D94DC4"/>
    <w:rsid w:val="00D97BB0"/>
    <w:rsid w:val="00DA0F5B"/>
    <w:rsid w:val="00DB768D"/>
    <w:rsid w:val="00DD2BEF"/>
    <w:rsid w:val="00DD5BD3"/>
    <w:rsid w:val="00DD7F41"/>
    <w:rsid w:val="00E0251F"/>
    <w:rsid w:val="00E04ACA"/>
    <w:rsid w:val="00E066B4"/>
    <w:rsid w:val="00E075C9"/>
    <w:rsid w:val="00E21728"/>
    <w:rsid w:val="00E33D50"/>
    <w:rsid w:val="00E36DA7"/>
    <w:rsid w:val="00E54579"/>
    <w:rsid w:val="00E557A8"/>
    <w:rsid w:val="00E572C2"/>
    <w:rsid w:val="00E6407D"/>
    <w:rsid w:val="00E70CF6"/>
    <w:rsid w:val="00E8751A"/>
    <w:rsid w:val="00E91657"/>
    <w:rsid w:val="00EA6DBA"/>
    <w:rsid w:val="00EB3656"/>
    <w:rsid w:val="00EC2248"/>
    <w:rsid w:val="00EC4F09"/>
    <w:rsid w:val="00ED2554"/>
    <w:rsid w:val="00ED5C1E"/>
    <w:rsid w:val="00EE68F0"/>
    <w:rsid w:val="00EF623B"/>
    <w:rsid w:val="00F13B32"/>
    <w:rsid w:val="00F1431C"/>
    <w:rsid w:val="00F151D5"/>
    <w:rsid w:val="00F260ED"/>
    <w:rsid w:val="00F265EA"/>
    <w:rsid w:val="00F3309B"/>
    <w:rsid w:val="00F47D32"/>
    <w:rsid w:val="00F542AA"/>
    <w:rsid w:val="00F667CF"/>
    <w:rsid w:val="00F758D3"/>
    <w:rsid w:val="00F7705E"/>
    <w:rsid w:val="00F94E50"/>
    <w:rsid w:val="00F9588F"/>
    <w:rsid w:val="00F97A7A"/>
    <w:rsid w:val="00FA0F0B"/>
    <w:rsid w:val="00FA53F1"/>
    <w:rsid w:val="00FD61EC"/>
    <w:rsid w:val="00FE377C"/>
    <w:rsid w:val="00FF1C62"/>
    <w:rsid w:val="00FF4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36FF2"/>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E06"/>
    <w:pPr>
      <w:spacing w:after="200" w:line="276" w:lineRule="auto"/>
    </w:pPr>
    <w:rPr>
      <w:rFonts w:cs="Calibri"/>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9413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16B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516BE8"/>
    <w:rPr>
      <w:rFonts w:ascii="Segoe UI" w:hAnsi="Segoe UI" w:cs="Segoe UI"/>
      <w:sz w:val="18"/>
      <w:szCs w:val="18"/>
    </w:rPr>
  </w:style>
  <w:style w:type="character" w:styleId="Grietas">
    <w:name w:val="Strong"/>
    <w:basedOn w:val="Numatytasispastraiposriftas"/>
    <w:uiPriority w:val="99"/>
    <w:qFormat/>
    <w:rsid w:val="00782F14"/>
    <w:rPr>
      <w:rFonts w:cs="Times New Roman"/>
      <w:b/>
      <w:bCs/>
    </w:rPr>
  </w:style>
  <w:style w:type="paragraph" w:styleId="Sraopastraipa">
    <w:name w:val="List Paragraph"/>
    <w:basedOn w:val="prastasis"/>
    <w:link w:val="SraopastraipaDiagrama"/>
    <w:uiPriority w:val="99"/>
    <w:qFormat/>
    <w:rsid w:val="00112446"/>
    <w:pPr>
      <w:ind w:left="720"/>
    </w:pPr>
  </w:style>
  <w:style w:type="paragraph" w:styleId="Antrats">
    <w:name w:val="header"/>
    <w:basedOn w:val="prastasis"/>
    <w:link w:val="AntratsDiagrama"/>
    <w:uiPriority w:val="99"/>
    <w:rsid w:val="006909CF"/>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AntratsDiagrama">
    <w:name w:val="Antraštės Diagrama"/>
    <w:basedOn w:val="Numatytasispastraiposriftas"/>
    <w:link w:val="Antrats"/>
    <w:uiPriority w:val="99"/>
    <w:locked/>
    <w:rsid w:val="006909CF"/>
    <w:rPr>
      <w:rFonts w:ascii="Times New Roman" w:hAnsi="Times New Roman" w:cs="Times New Roman"/>
      <w:sz w:val="20"/>
      <w:szCs w:val="20"/>
      <w:lang w:val="lt-LT"/>
    </w:rPr>
  </w:style>
  <w:style w:type="character" w:customStyle="1" w:styleId="SraopastraipaDiagrama">
    <w:name w:val="Sąrašo pastraipa Diagrama"/>
    <w:basedOn w:val="Numatytasispastraiposriftas"/>
    <w:link w:val="Sraopastraipa"/>
    <w:uiPriority w:val="99"/>
    <w:locked/>
    <w:rsid w:val="00020C2A"/>
    <w:rPr>
      <w:rFonts w:cs="Calibri"/>
    </w:rPr>
  </w:style>
  <w:style w:type="character" w:customStyle="1" w:styleId="apple-converted-space">
    <w:name w:val="apple-converted-space"/>
    <w:basedOn w:val="Numatytasispastraiposriftas"/>
    <w:uiPriority w:val="99"/>
    <w:rsid w:val="00020C2A"/>
    <w:rPr>
      <w:rFonts w:cs="Times New Roman"/>
    </w:rPr>
  </w:style>
  <w:style w:type="paragraph" w:customStyle="1" w:styleId="CM1">
    <w:name w:val="CM1"/>
    <w:basedOn w:val="prastasis"/>
    <w:next w:val="prastasis"/>
    <w:uiPriority w:val="99"/>
    <w:rsid w:val="00020C2A"/>
    <w:pPr>
      <w:autoSpaceDE w:val="0"/>
      <w:autoSpaceDN w:val="0"/>
      <w:adjustRightInd w:val="0"/>
      <w:spacing w:after="0" w:line="240" w:lineRule="auto"/>
    </w:pPr>
    <w:rPr>
      <w:rFonts w:ascii="EUAlbertina" w:eastAsia="Times New Roman" w:hAnsi="EUAlbertina" w:cs="Times New Roman"/>
      <w:sz w:val="24"/>
      <w:szCs w:val="24"/>
      <w:lang w:val="lt-LT" w:eastAsia="lt-LT"/>
    </w:rPr>
  </w:style>
  <w:style w:type="character" w:styleId="Komentaronuoroda">
    <w:name w:val="annotation reference"/>
    <w:basedOn w:val="Numatytasispastraiposriftas"/>
    <w:uiPriority w:val="99"/>
    <w:semiHidden/>
    <w:rsid w:val="00AB2C42"/>
    <w:rPr>
      <w:rFonts w:cs="Times New Roman"/>
      <w:sz w:val="16"/>
      <w:szCs w:val="16"/>
    </w:rPr>
  </w:style>
  <w:style w:type="paragraph" w:styleId="Komentarotekstas">
    <w:name w:val="annotation text"/>
    <w:basedOn w:val="prastasis"/>
    <w:link w:val="KomentarotekstasDiagrama"/>
    <w:uiPriority w:val="99"/>
    <w:rsid w:val="00AB2C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AB2C42"/>
    <w:rPr>
      <w:rFonts w:cs="Calibri"/>
      <w:sz w:val="20"/>
      <w:szCs w:val="20"/>
    </w:rPr>
  </w:style>
  <w:style w:type="paragraph" w:styleId="Komentarotema">
    <w:name w:val="annotation subject"/>
    <w:basedOn w:val="Komentarotekstas"/>
    <w:next w:val="Komentarotekstas"/>
    <w:link w:val="KomentarotemaDiagrama"/>
    <w:uiPriority w:val="99"/>
    <w:semiHidden/>
    <w:rsid w:val="00AB2C42"/>
    <w:rPr>
      <w:b/>
      <w:bCs/>
    </w:rPr>
  </w:style>
  <w:style w:type="character" w:customStyle="1" w:styleId="KomentarotemaDiagrama">
    <w:name w:val="Komentaro tema Diagrama"/>
    <w:basedOn w:val="KomentarotekstasDiagrama"/>
    <w:link w:val="Komentarotema"/>
    <w:uiPriority w:val="99"/>
    <w:semiHidden/>
    <w:locked/>
    <w:rsid w:val="00AB2C42"/>
    <w:rPr>
      <w:rFonts w:cs="Calibri"/>
      <w:b/>
      <w:bCs/>
      <w:sz w:val="20"/>
      <w:szCs w:val="20"/>
    </w:rPr>
  </w:style>
  <w:style w:type="paragraph" w:styleId="Pagrindinistekstas">
    <w:name w:val="Body Text"/>
    <w:basedOn w:val="prastasis"/>
    <w:link w:val="PagrindinistekstasDiagrama"/>
    <w:uiPriority w:val="99"/>
    <w:rsid w:val="001318F6"/>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locked/>
    <w:rsid w:val="001318F6"/>
    <w:rPr>
      <w:rFonts w:ascii="Times New Roman" w:hAnsi="Times New Roman" w:cs="Times New Roman"/>
      <w:sz w:val="24"/>
      <w:szCs w:val="24"/>
      <w:lang w:val="lt-LT"/>
    </w:rPr>
  </w:style>
  <w:style w:type="paragraph" w:styleId="Puslapioinaostekstas">
    <w:name w:val="footnote text"/>
    <w:basedOn w:val="prastasis"/>
    <w:link w:val="PuslapioinaostekstasDiagrama"/>
    <w:uiPriority w:val="99"/>
    <w:semiHidden/>
    <w:rsid w:val="0063677D"/>
    <w:pPr>
      <w:suppressAutoHyphens/>
      <w:autoSpaceDN w:val="0"/>
      <w:spacing w:after="0" w:line="240" w:lineRule="auto"/>
    </w:pPr>
    <w:rPr>
      <w:rFonts w:ascii="Times New Roman" w:eastAsia="Times New Roman" w:hAnsi="Times New Roman" w:cs="Times New Roman"/>
      <w:sz w:val="20"/>
      <w:szCs w:val="20"/>
      <w:lang w:val="lt-LT" w:eastAsia="ar-SA"/>
    </w:rPr>
  </w:style>
  <w:style w:type="character" w:customStyle="1" w:styleId="PuslapioinaostekstasDiagrama">
    <w:name w:val="Puslapio išnašos tekstas Diagrama"/>
    <w:basedOn w:val="Numatytasispastraiposriftas"/>
    <w:link w:val="Puslapioinaostekstas"/>
    <w:uiPriority w:val="99"/>
    <w:semiHidden/>
    <w:locked/>
    <w:rsid w:val="0063677D"/>
    <w:rPr>
      <w:rFonts w:ascii="Times New Roman" w:hAnsi="Times New Roman" w:cs="Times New Roman"/>
      <w:sz w:val="20"/>
      <w:szCs w:val="20"/>
      <w:lang w:val="lt-LT" w:eastAsia="ar-SA" w:bidi="ar-SA"/>
    </w:rPr>
  </w:style>
  <w:style w:type="character" w:styleId="Puslapioinaosnuoroda">
    <w:name w:val="footnote reference"/>
    <w:basedOn w:val="Numatytasispastraiposriftas"/>
    <w:uiPriority w:val="99"/>
    <w:semiHidden/>
    <w:rsid w:val="0063677D"/>
    <w:rPr>
      <w:rFonts w:cs="Times New Roman"/>
      <w:position w:val="0"/>
      <w:vertAlign w:val="superscript"/>
    </w:rPr>
  </w:style>
  <w:style w:type="paragraph" w:customStyle="1" w:styleId="Preformatted">
    <w:name w:val="Preformatted"/>
    <w:basedOn w:val="prastasis"/>
    <w:uiPriority w:val="99"/>
    <w:rsid w:val="00434DE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lt-LT"/>
    </w:rPr>
  </w:style>
  <w:style w:type="paragraph" w:styleId="Porat">
    <w:name w:val="footer"/>
    <w:basedOn w:val="prastasis"/>
    <w:link w:val="PoratDiagrama"/>
    <w:uiPriority w:val="99"/>
    <w:rsid w:val="00845C0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845C0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227405">
      <w:marLeft w:val="0"/>
      <w:marRight w:val="0"/>
      <w:marTop w:val="0"/>
      <w:marBottom w:val="0"/>
      <w:divBdr>
        <w:top w:val="none" w:sz="0" w:space="0" w:color="auto"/>
        <w:left w:val="none" w:sz="0" w:space="0" w:color="auto"/>
        <w:bottom w:val="none" w:sz="0" w:space="0" w:color="auto"/>
        <w:right w:val="none" w:sz="0" w:space="0" w:color="auto"/>
      </w:divBdr>
    </w:div>
    <w:div w:id="927227406">
      <w:marLeft w:val="0"/>
      <w:marRight w:val="0"/>
      <w:marTop w:val="0"/>
      <w:marBottom w:val="0"/>
      <w:divBdr>
        <w:top w:val="none" w:sz="0" w:space="0" w:color="auto"/>
        <w:left w:val="none" w:sz="0" w:space="0" w:color="auto"/>
        <w:bottom w:val="none" w:sz="0" w:space="0" w:color="auto"/>
        <w:right w:val="none" w:sz="0" w:space="0" w:color="auto"/>
      </w:divBdr>
    </w:div>
    <w:div w:id="16191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02CE-44CB-4240-B462-0E1DCC9E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4249</Words>
  <Characters>2423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2006 M</vt:lpstr>
      <vt:lpstr>LIETUVOS RESPUBLIKOS VYRIAUSYBĖS NUTARIMO „DĖL LIETUVOS RESPUBLIKOS VYRIAUSYBĖS 2006 M</vt:lpstr>
    </vt:vector>
  </TitlesOfParts>
  <Company>HP</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subject/>
  <dc:creator>Owner</dc:creator>
  <cp:keywords/>
  <dc:description/>
  <cp:lastModifiedBy>Jelena Talačkienė</cp:lastModifiedBy>
  <cp:revision>2</cp:revision>
  <cp:lastPrinted>2019-12-09T10:48:00Z</cp:lastPrinted>
  <dcterms:created xsi:type="dcterms:W3CDTF">2020-08-12T08:09:00Z</dcterms:created>
  <dcterms:modified xsi:type="dcterms:W3CDTF">2020-08-12T08:09:00Z</dcterms:modified>
</cp:coreProperties>
</file>