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3D88F" w14:textId="77777777" w:rsidR="00DC2687" w:rsidRPr="00DC2687" w:rsidRDefault="00DC2687" w:rsidP="00DC2687">
      <w:pPr>
        <w:spacing w:after="0" w:line="240" w:lineRule="auto"/>
        <w:jc w:val="center"/>
        <w:rPr>
          <w:rFonts w:ascii="Times New Roman" w:eastAsia="Times New Roman" w:hAnsi="Times New Roman" w:cs="Times New Roman"/>
          <w:b/>
          <w:color w:val="000000"/>
          <w:sz w:val="24"/>
          <w:szCs w:val="24"/>
          <w:lang w:val="lt-LT"/>
        </w:rPr>
      </w:pPr>
      <w:r w:rsidRPr="00DC2687">
        <w:rPr>
          <w:rFonts w:ascii="Times New Roman" w:eastAsia="Times New Roman" w:hAnsi="Times New Roman" w:cs="Times New Roman"/>
          <w:b/>
          <w:color w:val="000000"/>
          <w:sz w:val="24"/>
          <w:szCs w:val="24"/>
          <w:lang w:val="lt-LT"/>
        </w:rPr>
        <w:t>Derinimo pažyma</w:t>
      </w:r>
    </w:p>
    <w:p w14:paraId="2903D890" w14:textId="77777777" w:rsidR="00DC2687" w:rsidRPr="00DC2687" w:rsidRDefault="00DC2687" w:rsidP="00DC2687">
      <w:pPr>
        <w:spacing w:after="0" w:line="240" w:lineRule="auto"/>
        <w:ind w:firstLine="709"/>
        <w:jc w:val="both"/>
        <w:rPr>
          <w:rFonts w:ascii="Times New Roman" w:eastAsia="Times New Roman" w:hAnsi="Times New Roman" w:cs="Times New Roman"/>
          <w:color w:val="000000"/>
          <w:sz w:val="24"/>
          <w:szCs w:val="24"/>
          <w:lang w:val="lt-LT"/>
        </w:rPr>
      </w:pPr>
    </w:p>
    <w:p w14:paraId="2903D891" w14:textId="77777777" w:rsidR="00DC2687" w:rsidRPr="00DC2687" w:rsidRDefault="00DC2687" w:rsidP="00DC2687">
      <w:pPr>
        <w:spacing w:after="120" w:line="240" w:lineRule="auto"/>
        <w:ind w:right="-887" w:firstLine="709"/>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Lietuvos Respublikos Vyriausybės nutarimo „Dėl Lietuvos Respublikos metropoliteno įgyvendinimo įstatymo projekto Nr. XIIP-2375(3)“ projektas (toliau – nutarimo projektas) buvo derintas su Lietuvos Respublikos aplinkos ministerija, Lietuvos Respublikos finansų ministerija, Lietuvos Respublikos ūkio ministerija, Lietuvos Respublikos teisingumo ministerija, Lietuvos Respublikos vidaus reikalų ministerija, Lietuvos Respublikos žemės ūkio ministerija, Lietuvos transporto saugos administracija ir Lietuvos savivaldybių asociacija. </w:t>
      </w:r>
    </w:p>
    <w:p w14:paraId="2903D892" w14:textId="77777777" w:rsidR="00DC2687" w:rsidRPr="00DC2687" w:rsidRDefault="00DC2687" w:rsidP="00DC2687">
      <w:pPr>
        <w:spacing w:after="0" w:line="240" w:lineRule="auto"/>
        <w:ind w:right="-887" w:firstLine="709"/>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color w:val="000000"/>
          <w:sz w:val="24"/>
          <w:szCs w:val="24"/>
          <w:lang w:val="lt-LT"/>
        </w:rPr>
        <w:t>Derinimo metu pateikta pastabų ir pasiūlymų, į kuriuos neatsižvelgta arba atsižvelgta iš dalies.</w:t>
      </w:r>
    </w:p>
    <w:p w14:paraId="2903D893" w14:textId="77777777" w:rsidR="00DC2687" w:rsidRPr="00DC2687" w:rsidRDefault="00DC2687" w:rsidP="00DC2687">
      <w:pPr>
        <w:spacing w:after="0" w:line="240" w:lineRule="auto"/>
        <w:jc w:val="both"/>
        <w:rPr>
          <w:rFonts w:ascii="Times New Roman" w:eastAsia="Times New Roman" w:hAnsi="Times New Roman" w:cs="Times New Roman"/>
          <w:b/>
          <w:color w:val="000000"/>
          <w:sz w:val="24"/>
          <w:szCs w:val="24"/>
          <w:lang w:val="lt-LT"/>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6237"/>
        <w:gridCol w:w="6833"/>
      </w:tblGrid>
      <w:tr w:rsidR="00DC2687" w:rsidRPr="00DC2687" w14:paraId="2903D898" w14:textId="77777777" w:rsidTr="00DA394E">
        <w:trPr>
          <w:trHeight w:val="807"/>
        </w:trPr>
        <w:tc>
          <w:tcPr>
            <w:tcW w:w="1531" w:type="dxa"/>
          </w:tcPr>
          <w:p w14:paraId="2903D894"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Institucijos pavadinimas,</w:t>
            </w:r>
          </w:p>
          <w:p w14:paraId="2903D895"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rašto data ir numeris</w:t>
            </w:r>
          </w:p>
        </w:tc>
        <w:tc>
          <w:tcPr>
            <w:tcW w:w="6237" w:type="dxa"/>
          </w:tcPr>
          <w:p w14:paraId="2903D896"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Pastabos ir pasiūlymai</w:t>
            </w:r>
          </w:p>
        </w:tc>
        <w:tc>
          <w:tcPr>
            <w:tcW w:w="6833" w:type="dxa"/>
          </w:tcPr>
          <w:p w14:paraId="2903D897"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Argumentai, kodėl neatsižvelgta arba tik iš dalies atsižvelgta į pastabas ir pasiūlymus</w:t>
            </w:r>
          </w:p>
        </w:tc>
      </w:tr>
      <w:tr w:rsidR="00DC2687" w:rsidRPr="00DC2687" w14:paraId="2903D89D" w14:textId="77777777" w:rsidTr="00DA394E">
        <w:trPr>
          <w:trHeight w:val="3189"/>
        </w:trPr>
        <w:tc>
          <w:tcPr>
            <w:tcW w:w="1531" w:type="dxa"/>
          </w:tcPr>
          <w:p w14:paraId="2903D899"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aplinkos ministerijos 2018 m. balandžio 17 d. raštas Nr. (14-3)-D8-2171</w:t>
            </w:r>
          </w:p>
        </w:tc>
        <w:tc>
          <w:tcPr>
            <w:tcW w:w="6237" w:type="dxa"/>
          </w:tcPr>
          <w:p w14:paraId="2903D89A"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 xml:space="preserve">1.  Pagal Lietuvos Respublikos statybos įstatymo 2 str. 96 p. „Statybos sklypas – nustatytų ribų </w:t>
            </w:r>
            <w:r w:rsidRPr="00DC2687">
              <w:rPr>
                <w:rFonts w:ascii="Times New Roman" w:hAnsi="Times New Roman" w:cs="Times New Roman"/>
                <w:i/>
                <w:iCs/>
                <w:sz w:val="24"/>
                <w:szCs w:val="24"/>
                <w:lang w:val="lt-LT"/>
              </w:rPr>
              <w:t>žemės sklypas (teritorijos dalis)</w:t>
            </w:r>
            <w:r w:rsidRPr="00DC2687">
              <w:rPr>
                <w:rFonts w:ascii="Times New Roman" w:hAnsi="Times New Roman" w:cs="Times New Roman"/>
                <w:sz w:val="24"/>
                <w:szCs w:val="24"/>
                <w:lang w:val="lt-LT"/>
              </w:rPr>
              <w:t>, kuriame atliekami statybos darbai.“ Atsižvelgiant į tai, siūlytina Nutarimo projekto 5 p. tikslinti ir nurodyti, kad Lietuvos Respublikos metropoliteno įgyvendinimo įstatymo projekto (toliau – įstatymo projektas) 6 str. 3 d. metropoliteno sistemos statybai suteikiamas „žemės sklypas (teritorijos dalis)“. Siūlytina atsisakyti žemės gelmių ertmių naudojimo reglamentavimo, nes metropoliteno statybos atveju, bus vykdomi statybos darbai, o ne naudojamos žemės gelmių ertmės kaip numatyta Lietuvos Respublikos žemės gelmių įstatyme.</w:t>
            </w:r>
          </w:p>
        </w:tc>
        <w:tc>
          <w:tcPr>
            <w:tcW w:w="6833" w:type="dxa"/>
          </w:tcPr>
          <w:p w14:paraId="2903D89B"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9C" w14:textId="77777777" w:rsidR="00DC2687" w:rsidRPr="00DC2687" w:rsidRDefault="00DC2687" w:rsidP="00DC268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Dėl to </w:t>
            </w:r>
            <w:proofErr w:type="spellStart"/>
            <w:r w:rsidRPr="00DC2687">
              <w:rPr>
                <w:rFonts w:ascii="Times New Roman" w:eastAsia="Times New Roman" w:hAnsi="Times New Roman" w:cs="Times New Roman"/>
                <w:sz w:val="24"/>
                <w:szCs w:val="24"/>
                <w:lang w:val="lt-LT"/>
              </w:rPr>
              <w:t>pačio</w:t>
            </w:r>
            <w:proofErr w:type="spellEnd"/>
            <w:r w:rsidRPr="00DC2687">
              <w:rPr>
                <w:rFonts w:ascii="Times New Roman" w:eastAsia="Times New Roman" w:hAnsi="Times New Roman" w:cs="Times New Roman"/>
                <w:sz w:val="24"/>
                <w:szCs w:val="24"/>
                <w:lang w:val="lt-LT"/>
              </w:rPr>
              <w:t xml:space="preserve"> punkto gauta Teisingumo ministerijos pastaba, pagal kurią pakoreguotas Nutarimo 5 punktas ir išdėstytas taip: „Įstatymo projekto 6 straipsnio 3 dalyje kalbama apie metropoliteno sistemai įrengti suteiktos žemės ir teritorijos perdavimą nuosavybės teise valstybei ar savivaldybei. Pastebėtina, kad žemės gelmės yra išimtinė valstybės nuosavybė, todėl nuosavybės teisė į jas keistis negali. Analogiškai valstybės arba savivaldybių žemė, vadovaujantis Koncesijų įstatymo 16 straipsniu, gali būti perduota koncesininkui patikėjimo teise, panaudos pagrindais ar nuomos teisėmis, bet ne nuosavybėn. Įvertinant tai, metropoliteno sistemai įrengti suteiktos žemės ir teritorijų nurodymas įstatymo projekto 6 straipsnio 3 dalyje laikytinas pertekliniu ir neteisingu.“</w:t>
            </w:r>
          </w:p>
        </w:tc>
      </w:tr>
      <w:tr w:rsidR="00DC2687" w:rsidRPr="00A130CD" w14:paraId="2903D8A7" w14:textId="77777777" w:rsidTr="00DA394E">
        <w:trPr>
          <w:trHeight w:val="409"/>
        </w:trPr>
        <w:tc>
          <w:tcPr>
            <w:tcW w:w="1531" w:type="dxa"/>
            <w:vMerge w:val="restart"/>
          </w:tcPr>
          <w:p w14:paraId="2903D8A3" w14:textId="0ACECF99" w:rsidR="00DC2687" w:rsidRPr="00DC2687" w:rsidRDefault="00A130CD"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teisingumo ministerijos 2018 m. balandžio 19 d. raštas Nr. (1.6)2T-249</w:t>
            </w:r>
          </w:p>
        </w:tc>
        <w:tc>
          <w:tcPr>
            <w:tcW w:w="6237" w:type="dxa"/>
          </w:tcPr>
          <w:p w14:paraId="2903D8A4"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eastAsia="Times New Roman" w:hAnsi="Times New Roman" w:cs="Times New Roman"/>
                <w:sz w:val="24"/>
                <w:szCs w:val="24"/>
                <w:lang w:val="lt-LT"/>
              </w:rPr>
              <w:t>4. Įvertinant Valstybės ir savivaldybių turto valdymo, naudojimo ir disponavimo juo įstatymo 2 str. 3 d. nuostatas, nutarimo projekto 6 p. atsis</w:t>
            </w:r>
            <w:bookmarkStart w:id="0" w:name="_GoBack"/>
            <w:bookmarkEnd w:id="0"/>
            <w:r w:rsidRPr="00DC2687">
              <w:rPr>
                <w:rFonts w:ascii="Times New Roman" w:eastAsia="Times New Roman" w:hAnsi="Times New Roman" w:cs="Times New Roman"/>
                <w:sz w:val="24"/>
                <w:szCs w:val="24"/>
                <w:lang w:val="lt-LT"/>
              </w:rPr>
              <w:t>akytina.</w:t>
            </w:r>
          </w:p>
        </w:tc>
        <w:tc>
          <w:tcPr>
            <w:tcW w:w="6833" w:type="dxa"/>
          </w:tcPr>
          <w:p w14:paraId="2903D8A5"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A6" w14:textId="7894CF74" w:rsidR="00DC2687" w:rsidRPr="00DC2687" w:rsidRDefault="00DC2687" w:rsidP="003459B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Įstatymo projekto 5 straipsnyje kaip galimas metropoliteno įgyvendinimo būdas įvardijamos </w:t>
            </w:r>
            <w:r w:rsidRPr="00DC2687">
              <w:rPr>
                <w:rFonts w:ascii="Times New Roman" w:eastAsia="Times New Roman" w:hAnsi="Times New Roman" w:cs="Times New Roman"/>
                <w:i/>
                <w:sz w:val="24"/>
                <w:szCs w:val="24"/>
                <w:lang w:val="lt-LT"/>
              </w:rPr>
              <w:t>investicijos valdžios ir privataus subjektų partnerystės pagrindu</w:t>
            </w:r>
            <w:r w:rsidRPr="00DC2687">
              <w:rPr>
                <w:rFonts w:ascii="Times New Roman" w:eastAsia="Times New Roman" w:hAnsi="Times New Roman" w:cs="Times New Roman"/>
                <w:sz w:val="24"/>
                <w:szCs w:val="24"/>
                <w:lang w:val="lt-LT"/>
              </w:rPr>
              <w:t>, o įstatymo projekto 7 straipsnyje kalbama apie projekto</w:t>
            </w:r>
            <w:r w:rsidRPr="00DC2687">
              <w:rPr>
                <w:rFonts w:ascii="Times New Roman" w:eastAsia="Times New Roman" w:hAnsi="Times New Roman" w:cs="Times New Roman"/>
                <w:i/>
                <w:sz w:val="24"/>
                <w:szCs w:val="24"/>
                <w:lang w:val="lt-LT"/>
              </w:rPr>
              <w:t xml:space="preserve"> </w:t>
            </w:r>
            <w:r w:rsidRPr="00DC2687">
              <w:rPr>
                <w:rFonts w:ascii="Times New Roman" w:eastAsia="Times New Roman" w:hAnsi="Times New Roman" w:cs="Times New Roman"/>
                <w:sz w:val="24"/>
                <w:szCs w:val="24"/>
                <w:lang w:val="lt-LT"/>
              </w:rPr>
              <w:t xml:space="preserve">įgyvendinimą </w:t>
            </w:r>
            <w:r w:rsidRPr="00DC2687">
              <w:rPr>
                <w:rFonts w:ascii="Times New Roman" w:eastAsia="Times New Roman" w:hAnsi="Times New Roman" w:cs="Times New Roman"/>
                <w:i/>
                <w:sz w:val="24"/>
                <w:szCs w:val="24"/>
                <w:lang w:val="lt-LT"/>
              </w:rPr>
              <w:t>institucinės viešojo ir privataus sektorių partnerystės būdu</w:t>
            </w:r>
            <w:r w:rsidRPr="00DC2687">
              <w:rPr>
                <w:rFonts w:ascii="Times New Roman" w:eastAsia="Times New Roman" w:hAnsi="Times New Roman" w:cs="Times New Roman"/>
                <w:sz w:val="24"/>
                <w:szCs w:val="24"/>
                <w:lang w:val="lt-LT"/>
              </w:rPr>
              <w:t xml:space="preserve">. Nutarimo </w:t>
            </w:r>
            <w:r w:rsidR="003459B7">
              <w:rPr>
                <w:rFonts w:ascii="Times New Roman" w:eastAsia="Times New Roman" w:hAnsi="Times New Roman" w:cs="Times New Roman"/>
                <w:sz w:val="24"/>
                <w:szCs w:val="24"/>
                <w:lang w:val="lt-LT"/>
              </w:rPr>
              <w:t>projekto 10.9 papunktyje</w:t>
            </w:r>
            <w:r w:rsidRPr="00DC2687">
              <w:rPr>
                <w:rFonts w:ascii="Times New Roman" w:eastAsia="Times New Roman" w:hAnsi="Times New Roman" w:cs="Times New Roman"/>
                <w:sz w:val="24"/>
                <w:szCs w:val="24"/>
                <w:lang w:val="lt-LT"/>
              </w:rPr>
              <w:t xml:space="preserve"> siūloma suvienodinti šiuose straipsniuose vartojamas sąvokas, todėl šio punkto atsisakyti netikslinga.</w:t>
            </w:r>
          </w:p>
        </w:tc>
      </w:tr>
      <w:tr w:rsidR="00DC2687" w:rsidRPr="00A130CD" w14:paraId="2903D8AC" w14:textId="77777777" w:rsidTr="00DA394E">
        <w:trPr>
          <w:trHeight w:val="409"/>
        </w:trPr>
        <w:tc>
          <w:tcPr>
            <w:tcW w:w="1531" w:type="dxa"/>
            <w:vMerge/>
          </w:tcPr>
          <w:p w14:paraId="2903D8A8"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p>
        </w:tc>
        <w:tc>
          <w:tcPr>
            <w:tcW w:w="6237" w:type="dxa"/>
          </w:tcPr>
          <w:p w14:paraId="2903D8A9" w14:textId="77777777" w:rsidR="00DC2687" w:rsidRPr="00DC2687" w:rsidRDefault="00DC2687" w:rsidP="00DC2687">
            <w:pPr>
              <w:spacing w:before="100" w:beforeAutospacing="1" w:after="100" w:afterAutospacing="1" w:line="276"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eastAsia="lt-LT"/>
              </w:rPr>
              <w:t>11. Siūlome įvertinti Vyriausybės 2016 m. spalio 12 d. nutarimo Nr. 1008 4 ir 5 p. teiktų pastabų aktualumą įstatymo projektui Nr. XIIP-2375(3).</w:t>
            </w:r>
          </w:p>
        </w:tc>
        <w:tc>
          <w:tcPr>
            <w:tcW w:w="6833" w:type="dxa"/>
          </w:tcPr>
          <w:p w14:paraId="2903D8AA"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AB" w14:textId="52E7AAA0" w:rsidR="00DC2687" w:rsidRPr="003459B7" w:rsidRDefault="00DC2687" w:rsidP="003459B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Įstatymo projektas jau yra pakoreguotas atsižvelgiant į </w:t>
            </w:r>
            <w:r w:rsidRPr="00DC2687">
              <w:rPr>
                <w:rFonts w:ascii="Times New Roman" w:eastAsia="Times New Roman" w:hAnsi="Times New Roman" w:cs="Times New Roman"/>
                <w:sz w:val="24"/>
                <w:szCs w:val="24"/>
                <w:lang w:val="lt-LT" w:eastAsia="lt-LT"/>
              </w:rPr>
              <w:t xml:space="preserve">Vyriausybės 2016 m. spalio 12 d. nutarimo Nr. 1008 4 ir 5 punktuose teiktas </w:t>
            </w:r>
            <w:r w:rsidRPr="003459B7">
              <w:rPr>
                <w:rFonts w:ascii="Times New Roman" w:eastAsia="Times New Roman" w:hAnsi="Times New Roman" w:cs="Times New Roman"/>
                <w:sz w:val="24"/>
                <w:szCs w:val="24"/>
                <w:lang w:val="lt-LT" w:eastAsia="lt-LT"/>
              </w:rPr>
              <w:t>pastabas.</w:t>
            </w:r>
            <w:r w:rsidR="003459B7" w:rsidRPr="003459B7">
              <w:rPr>
                <w:rFonts w:ascii="Times New Roman" w:eastAsia="Times New Roman" w:hAnsi="Times New Roman" w:cs="Times New Roman"/>
                <w:sz w:val="24"/>
                <w:szCs w:val="24"/>
                <w:lang w:val="lt-LT" w:eastAsia="lt-LT"/>
              </w:rPr>
              <w:t xml:space="preserve"> Papildomai nutarimo projekto 10.2</w:t>
            </w:r>
            <w:r w:rsidRPr="003459B7">
              <w:rPr>
                <w:rFonts w:ascii="Times New Roman" w:eastAsia="Times New Roman" w:hAnsi="Times New Roman" w:cs="Times New Roman"/>
                <w:sz w:val="24"/>
                <w:szCs w:val="24"/>
                <w:lang w:val="lt-LT" w:eastAsia="lt-LT"/>
              </w:rPr>
              <w:t xml:space="preserve"> p</w:t>
            </w:r>
            <w:r w:rsidR="003459B7" w:rsidRPr="003459B7">
              <w:rPr>
                <w:rFonts w:ascii="Times New Roman" w:eastAsia="Times New Roman" w:hAnsi="Times New Roman" w:cs="Times New Roman"/>
                <w:sz w:val="24"/>
                <w:szCs w:val="24"/>
                <w:lang w:val="lt-LT" w:eastAsia="lt-LT"/>
              </w:rPr>
              <w:t>apunktyje</w:t>
            </w:r>
            <w:r w:rsidRPr="003459B7">
              <w:rPr>
                <w:rFonts w:ascii="Times New Roman" w:eastAsia="Times New Roman" w:hAnsi="Times New Roman" w:cs="Times New Roman"/>
                <w:sz w:val="24"/>
                <w:szCs w:val="24"/>
                <w:lang w:val="lt-LT" w:eastAsia="lt-LT"/>
              </w:rPr>
              <w:t xml:space="preserve"> siūloma </w:t>
            </w:r>
            <w:r w:rsidR="003459B7" w:rsidRPr="003459B7">
              <w:rPr>
                <w:rFonts w:ascii="Times New Roman" w:hAnsi="Times New Roman" w:cs="Times New Roman"/>
                <w:color w:val="000000"/>
                <w:sz w:val="24"/>
                <w:szCs w:val="24"/>
                <w:lang w:val="lt-LT" w:eastAsia="lt-LT"/>
              </w:rPr>
              <w:t xml:space="preserve">patikslinti įstatymo projekto 4 straipsnio 2 dalį ir nurodyti, kad šioje dalyje nurodyti sprendimai priimami Lietuvos Respublikos žemės paėmimo visuomenės poreikiams įgyvendinant ypatingos </w:t>
            </w:r>
            <w:r w:rsidR="003459B7" w:rsidRPr="003459B7">
              <w:rPr>
                <w:rFonts w:ascii="Times New Roman" w:hAnsi="Times New Roman" w:cs="Times New Roman"/>
                <w:color w:val="000000"/>
                <w:sz w:val="24"/>
                <w:szCs w:val="24"/>
                <w:lang w:val="lt-LT" w:eastAsia="lt-LT"/>
              </w:rPr>
              <w:lastRenderedPageBreak/>
              <w:t>valstybinės svarbos projektus įstatymo nustatyta tvarka.</w:t>
            </w:r>
          </w:p>
        </w:tc>
      </w:tr>
      <w:tr w:rsidR="00DC2687" w:rsidRPr="00A130CD" w14:paraId="2903D8B1" w14:textId="77777777" w:rsidTr="00DA394E">
        <w:trPr>
          <w:trHeight w:val="409"/>
        </w:trPr>
        <w:tc>
          <w:tcPr>
            <w:tcW w:w="1531" w:type="dxa"/>
            <w:tcBorders>
              <w:top w:val="nil"/>
            </w:tcBorders>
          </w:tcPr>
          <w:p w14:paraId="2903D8AD"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lastRenderedPageBreak/>
              <w:t>Lietuvos Respublikos ūkio ministerijos 2018 m. balandžio 19 d. raštas Nr. (23.3-71)-3-1585</w:t>
            </w:r>
          </w:p>
        </w:tc>
        <w:tc>
          <w:tcPr>
            <w:tcW w:w="6237" w:type="dxa"/>
          </w:tcPr>
          <w:p w14:paraId="2903D8AE"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1. Pažymime, kad Lietuvos Respublikos metropoliteno įgyvendinimo įstatymo projektui Nr. XIIP-2375(3) (toliau – įstatymo projektas) esminės pastabos dėl jo nuostatų buvo aptartos Lietuvos Respublikos Seimo Ekonomikos komitete 2016 m. gruodžio 15 d. posėdyje ir buvo pareikšta komiteto nuomonė (išvada Nr. 108-P-41(8)), kuriai pritariame ir siūlome įvertinti nutarimo projekte, nes dalis komiteto pasiūlymų nutarimo projekte nepaminėta.</w:t>
            </w:r>
          </w:p>
        </w:tc>
        <w:tc>
          <w:tcPr>
            <w:tcW w:w="6833" w:type="dxa"/>
          </w:tcPr>
          <w:p w14:paraId="2903D8AF"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Atsižvelgta iš dalies.</w:t>
            </w:r>
          </w:p>
          <w:p w14:paraId="2903D8B0"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sz w:val="24"/>
                <w:szCs w:val="24"/>
                <w:lang w:val="lt-LT"/>
              </w:rPr>
              <w:t>Lietuvos Respublikos Seimo Ekonomikos komiteto 2016 m. gruodžio 15 d. posėdyje buvo vertintos Lietuvos Respublikos Seimo kanceliarijos Teisės departamento pateiktos pastabos ir buvo pareikšta komiteto nuomonė (išvada Nr. 108-P-41(8)), kuria pritariama šioms pastaboms. Kitų pasiūlymų komitetas nepateikė. Lietuvos Respublikos Seimo kanceliarijos Teisės departamento išvadoje pateiktos pastabos įvertintos rengiant Vyriausybės išvados projektą ir išvados projektas joms neprieštarauja.</w:t>
            </w:r>
          </w:p>
        </w:tc>
      </w:tr>
      <w:tr w:rsidR="00DC2687" w:rsidRPr="00A130CD" w14:paraId="2903D8BC" w14:textId="77777777" w:rsidTr="00DA394E">
        <w:trPr>
          <w:trHeight w:val="409"/>
        </w:trPr>
        <w:tc>
          <w:tcPr>
            <w:tcW w:w="1531" w:type="dxa"/>
          </w:tcPr>
          <w:p w14:paraId="2903D8B2"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finansų ministerijos 2018 m. balandžio 23 d. raštas Nr. ((27.18E-02)-5K-1806761)-6K-1802290</w:t>
            </w:r>
            <w:r w:rsidRPr="00DC2687">
              <w:rPr>
                <w:rFonts w:ascii="Times New Roman" w:eastAsia="Times New Roman" w:hAnsi="Times New Roman" w:cs="Times New Roman"/>
                <w:color w:val="000000" w:themeColor="text1"/>
                <w:sz w:val="24"/>
                <w:szCs w:val="24"/>
                <w:lang w:val="lt-LT" w:eastAsia="lt-LT"/>
              </w:rPr>
              <w:tab/>
            </w:r>
          </w:p>
        </w:tc>
        <w:tc>
          <w:tcPr>
            <w:tcW w:w="6237" w:type="dxa"/>
          </w:tcPr>
          <w:p w14:paraId="2903D8B3"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1.  Lietuvos Respublikos metropoliteno įgyvendinimo įstatymo projekto Nr. XIIP-2375(3) (toliau – Įstatymo projektas) 5 ir 7 straipsniuose yra nustatyti Metropoliteno projekto įgyvendinimo būdai, tarp kurių – valdžios ir privataus sektorių partnerystė ir koncesijos. Metropolitenas pagal Įstatymo projekto 1 straipsnio 1 dalį ir 2 straipsnio 1 dalį apibrėžiamas kaip speciali viešojo transporto sistema, miestų gyventojams aptarnauti. Iš to darytina išvada, kad metropolitenui turėtų būti taikomas Transporto veiklos pagrindų įstatymo ir Kelių transporto kodekso nuostatos, nustatančios imperatyvų Reglamento (EB) Nr.1370/2007 taikymą viešųjų keleivinio transporto paslaugų teikimui. Minėtame Reglamente, be kita ko, nustatyta, jog valdžios institucijoms priėmus sprendimus patikėti trečiajai šaliai viešųjų transporto paslaugų teikimą, viešųjų transporto paslaugų operatorius gali būti atrinktas tik koncesijas reglamentuojančių teisės aktų nustatyta tvarka. Atsižvelgus į tai, siūlome atsisakyti įstatymo projekto 5 straipsnio 2 punkto, kuri sudaro galimybę taikyti ir kitus viešojo ir privataus sektorių partnerystės būdus.</w:t>
            </w:r>
          </w:p>
        </w:tc>
        <w:tc>
          <w:tcPr>
            <w:tcW w:w="6833" w:type="dxa"/>
          </w:tcPr>
          <w:p w14:paraId="2903D8B4"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B5"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Reglamento (EB) Nr. 1370/2007 privalomumas teikiant viešąsias keleivių vežimo paslaugas nustatytas įstatymo projekto 10 straipsnyje.</w:t>
            </w:r>
          </w:p>
          <w:p w14:paraId="2903D8B6"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Reglamentas (EB) Nr. 1370/2007 numato ir viešojo ir privataus sektorių partnerystės atvejį (5 straipsnio 2 dalis):</w:t>
            </w:r>
          </w:p>
          <w:p w14:paraId="2903D8B7" w14:textId="77777777" w:rsidR="00DC2687" w:rsidRPr="00DC2687" w:rsidRDefault="00DC2687" w:rsidP="00DC268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„2.  Išskyrus jei tai būtų draudžiama pagal nacionalinę teisę, vietos kompetentinga institucija – ar tai būtų integruotas keleivinio transporto viešąsias paslaugas teikianti atskira institucija, ar institucijų grupė – gali nuspręsti keleivinio transporto viešąsias paslaugas teikti pati arba tiesiogiai sudaryti viešųjų paslaugų sutartis su teisiškai atskiru subjektu, kurį vietos kompetentinga institucija, o institucijų grupės atveju – bent viena vietos kompetentinga institucija, kontroliuoja panašiai, kaip ji kontroliuoja savo padalinius.</w:t>
            </w:r>
          </w:p>
          <w:p w14:paraId="2903D8B8"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&lt;...&gt;</w:t>
            </w:r>
          </w:p>
          <w:p w14:paraId="2903D8B9"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 xml:space="preserve">a) siekiant nustatyti, ar vietos kompetentinga institucija vykdo tokią kontrolę, atsižvelgiama į tokius rodiklius: atstovavimo administraciniuose, valdymo ar priežiūros organuose mastą, su šiuo atstovavimu susijusias atitinkamas įstatų nuostatas, nuosavybę, faktinę įtaką ir kontrolę priimant strateginius sprendimus ir atskirus valdymo sprendimus. </w:t>
            </w:r>
            <w:r w:rsidRPr="00DC2687">
              <w:rPr>
                <w:rFonts w:ascii="Times New Roman" w:hAnsi="Times New Roman" w:cs="Times New Roman"/>
                <w:color w:val="000000"/>
                <w:sz w:val="24"/>
                <w:szCs w:val="24"/>
                <w:u w:val="single"/>
                <w:lang w:val="lt-LT"/>
              </w:rPr>
              <w:t>Pagal Bendrijos teisę 100 % nuosavybės priklausymas kompetentingai valdžios institucijai, ypač viešojo ir privataus sektorių partnerystės atveju, nėra privalomas</w:t>
            </w:r>
            <w:r w:rsidRPr="00DC2687">
              <w:rPr>
                <w:rFonts w:ascii="Times New Roman" w:hAnsi="Times New Roman" w:cs="Times New Roman"/>
                <w:color w:val="000000"/>
                <w:sz w:val="24"/>
                <w:szCs w:val="24"/>
                <w:lang w:val="lt-LT"/>
              </w:rPr>
              <w:t xml:space="preserve"> šioje dalyje apibrėžtos kontrolės nustatymo reikalavimas, jei viešasis sektorius dominuoja ir jei tokią kontrolę galima nustatyti kitų kriterijų pagrindu;“.</w:t>
            </w:r>
          </w:p>
          <w:p w14:paraId="2903D8BA"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p>
          <w:p w14:paraId="2903D8BB" w14:textId="77777777" w:rsidR="00DC2687" w:rsidRPr="00DC2687" w:rsidRDefault="00DC2687" w:rsidP="00DC2687">
            <w:pPr>
              <w:spacing w:after="0" w:line="240" w:lineRule="auto"/>
              <w:jc w:val="both"/>
              <w:rPr>
                <w:rFonts w:ascii="Times New Roman" w:eastAsia="Times New Roman" w:hAnsi="Times New Roman" w:cs="Times New Roman"/>
                <w:sz w:val="24"/>
                <w:szCs w:val="24"/>
                <w:lang w:val="lt-LT"/>
              </w:rPr>
            </w:pPr>
            <w:r w:rsidRPr="00DC2687">
              <w:rPr>
                <w:rFonts w:ascii="Times New Roman" w:hAnsi="Times New Roman" w:cs="Times New Roman"/>
                <w:sz w:val="24"/>
                <w:szCs w:val="24"/>
                <w:lang w:val="lt-LT"/>
              </w:rPr>
              <w:t xml:space="preserve">Tokia galimybė įtvirtinta ir nacionalinėje teisėje – Lietuvos Respublikos investicijų įstatymo 15(2) straipsnio 3 dalyje: „Pagal </w:t>
            </w:r>
            <w:r w:rsidRPr="00DC2687">
              <w:rPr>
                <w:rFonts w:ascii="Times New Roman" w:hAnsi="Times New Roman" w:cs="Times New Roman"/>
                <w:sz w:val="24"/>
                <w:szCs w:val="24"/>
                <w:lang w:val="lt-LT"/>
              </w:rPr>
              <w:lastRenderedPageBreak/>
              <w:t xml:space="preserve">valdžios ir privataus subjektų partnerystės sutartį privačiam subjektui gali būti suteikta teisė vykdyti veiklą, susijusią su infrastruktūros, taip pat naujo arba jam perduoto valdyti ir naudoti valstybės ar savivaldybės turto projektavimu, statyba, rekonstravimu, remontu, atnaujinimu, valdymu, naudojimu ir priežiūra </w:t>
            </w:r>
            <w:r w:rsidRPr="00DC2687">
              <w:rPr>
                <w:rFonts w:ascii="Times New Roman" w:hAnsi="Times New Roman" w:cs="Times New Roman"/>
                <w:bCs/>
                <w:sz w:val="24"/>
                <w:szCs w:val="24"/>
                <w:u w:val="single"/>
                <w:lang w:val="lt-LT"/>
              </w:rPr>
              <w:t>bei viešųjų paslaugų teikimu šiose srityse: transporto</w:t>
            </w:r>
            <w:r w:rsidRPr="00DC2687">
              <w:rPr>
                <w:rFonts w:ascii="Times New Roman" w:hAnsi="Times New Roman" w:cs="Times New Roman"/>
                <w:sz w:val="24"/>
                <w:szCs w:val="24"/>
                <w:lang w:val="lt-LT"/>
              </w:rPr>
              <w:t>, švietimo, sveikatos ir socialinės apsaugos, kultūros, turizmo, viešosios tvarkos ir visuomenės apsaugos ir kitose įstatymų nustatytose valdžios subjekto veiklą ir funkcijas apimančiose srityse.“</w:t>
            </w:r>
          </w:p>
        </w:tc>
      </w:tr>
    </w:tbl>
    <w:p w14:paraId="2903D8BD" w14:textId="77777777" w:rsidR="00DC2687" w:rsidRPr="00DC2687" w:rsidRDefault="00DC2687" w:rsidP="00DC2687">
      <w:pPr>
        <w:spacing w:after="0" w:line="240" w:lineRule="auto"/>
        <w:jc w:val="center"/>
        <w:rPr>
          <w:rFonts w:ascii="Times New Roman" w:eastAsia="Times New Roman" w:hAnsi="Times New Roman" w:cs="Times New Roman"/>
          <w:sz w:val="24"/>
          <w:szCs w:val="24"/>
          <w:lang w:val="lt-LT"/>
        </w:rPr>
      </w:pPr>
    </w:p>
    <w:p w14:paraId="2903D8BE" w14:textId="77777777" w:rsidR="00DC2687" w:rsidRPr="00DC2687" w:rsidRDefault="00DC2687" w:rsidP="00DC2687">
      <w:pPr>
        <w:spacing w:after="0" w:line="240" w:lineRule="auto"/>
        <w:jc w:val="center"/>
        <w:rPr>
          <w:rFonts w:ascii="Times New Roman" w:eastAsia="Times New Roman" w:hAnsi="Times New Roman" w:cs="Times New Roman"/>
          <w:sz w:val="24"/>
          <w:szCs w:val="24"/>
          <w:lang w:val="lt-LT"/>
        </w:rPr>
      </w:pPr>
    </w:p>
    <w:p w14:paraId="2903D8BF" w14:textId="77777777" w:rsidR="00DC2687" w:rsidRPr="00DC2687" w:rsidRDefault="00DC2687" w:rsidP="00DC2687">
      <w:pPr>
        <w:spacing w:after="0" w:line="240" w:lineRule="auto"/>
        <w:jc w:val="center"/>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___________________</w:t>
      </w:r>
    </w:p>
    <w:p w14:paraId="2903D8C0" w14:textId="77777777" w:rsidR="00B4266C" w:rsidRDefault="00B4266C"/>
    <w:sectPr w:rsidR="00B4266C" w:rsidSect="00DC2687">
      <w:pgSz w:w="15840" w:h="12240" w:orient="landscape"/>
      <w:pgMar w:top="426" w:right="1701" w:bottom="56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603FA8" w16cid:durableId="1EB9589B"/>
  <w16cid:commentId w16cid:paraId="169A890B" w16cid:durableId="1EB958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87"/>
    <w:rsid w:val="003459B7"/>
    <w:rsid w:val="00400E2E"/>
    <w:rsid w:val="00A130CD"/>
    <w:rsid w:val="00A8351D"/>
    <w:rsid w:val="00B4266C"/>
    <w:rsid w:val="00DC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835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351D"/>
    <w:rPr>
      <w:rFonts w:ascii="Segoe UI" w:hAnsi="Segoe UI" w:cs="Segoe UI"/>
      <w:sz w:val="18"/>
      <w:szCs w:val="18"/>
    </w:rPr>
  </w:style>
  <w:style w:type="character" w:styleId="Komentaronuoroda">
    <w:name w:val="annotation reference"/>
    <w:basedOn w:val="Numatytasispastraiposriftas"/>
    <w:uiPriority w:val="99"/>
    <w:semiHidden/>
    <w:unhideWhenUsed/>
    <w:rsid w:val="00A8351D"/>
    <w:rPr>
      <w:sz w:val="16"/>
      <w:szCs w:val="16"/>
    </w:rPr>
  </w:style>
  <w:style w:type="paragraph" w:styleId="Komentarotekstas">
    <w:name w:val="annotation text"/>
    <w:basedOn w:val="prastasis"/>
    <w:link w:val="KomentarotekstasDiagrama"/>
    <w:uiPriority w:val="99"/>
    <w:semiHidden/>
    <w:unhideWhenUsed/>
    <w:rsid w:val="00A835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351D"/>
    <w:rPr>
      <w:sz w:val="20"/>
      <w:szCs w:val="20"/>
    </w:rPr>
  </w:style>
  <w:style w:type="paragraph" w:styleId="Komentarotema">
    <w:name w:val="annotation subject"/>
    <w:basedOn w:val="Komentarotekstas"/>
    <w:next w:val="Komentarotekstas"/>
    <w:link w:val="KomentarotemaDiagrama"/>
    <w:uiPriority w:val="99"/>
    <w:semiHidden/>
    <w:unhideWhenUsed/>
    <w:rsid w:val="00A8351D"/>
    <w:rPr>
      <w:b/>
      <w:bCs/>
    </w:rPr>
  </w:style>
  <w:style w:type="character" w:customStyle="1" w:styleId="KomentarotemaDiagrama">
    <w:name w:val="Komentaro tema Diagrama"/>
    <w:basedOn w:val="KomentarotekstasDiagrama"/>
    <w:link w:val="Komentarotema"/>
    <w:uiPriority w:val="99"/>
    <w:semiHidden/>
    <w:rsid w:val="00A835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835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351D"/>
    <w:rPr>
      <w:rFonts w:ascii="Segoe UI" w:hAnsi="Segoe UI" w:cs="Segoe UI"/>
      <w:sz w:val="18"/>
      <w:szCs w:val="18"/>
    </w:rPr>
  </w:style>
  <w:style w:type="character" w:styleId="Komentaronuoroda">
    <w:name w:val="annotation reference"/>
    <w:basedOn w:val="Numatytasispastraiposriftas"/>
    <w:uiPriority w:val="99"/>
    <w:semiHidden/>
    <w:unhideWhenUsed/>
    <w:rsid w:val="00A8351D"/>
    <w:rPr>
      <w:sz w:val="16"/>
      <w:szCs w:val="16"/>
    </w:rPr>
  </w:style>
  <w:style w:type="paragraph" w:styleId="Komentarotekstas">
    <w:name w:val="annotation text"/>
    <w:basedOn w:val="prastasis"/>
    <w:link w:val="KomentarotekstasDiagrama"/>
    <w:uiPriority w:val="99"/>
    <w:semiHidden/>
    <w:unhideWhenUsed/>
    <w:rsid w:val="00A835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351D"/>
    <w:rPr>
      <w:sz w:val="20"/>
      <w:szCs w:val="20"/>
    </w:rPr>
  </w:style>
  <w:style w:type="paragraph" w:styleId="Komentarotema">
    <w:name w:val="annotation subject"/>
    <w:basedOn w:val="Komentarotekstas"/>
    <w:next w:val="Komentarotekstas"/>
    <w:link w:val="KomentarotemaDiagrama"/>
    <w:uiPriority w:val="99"/>
    <w:semiHidden/>
    <w:unhideWhenUsed/>
    <w:rsid w:val="00A8351D"/>
    <w:rPr>
      <w:b/>
      <w:bCs/>
    </w:rPr>
  </w:style>
  <w:style w:type="character" w:customStyle="1" w:styleId="KomentarotemaDiagrama">
    <w:name w:val="Komentaro tema Diagrama"/>
    <w:basedOn w:val="KomentarotekstasDiagrama"/>
    <w:link w:val="Komentarotema"/>
    <w:uiPriority w:val="99"/>
    <w:semiHidden/>
    <w:rsid w:val="00A83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BE31CCCC</Template>
  <TotalTime>1</TotalTime>
  <Pages>3</Pages>
  <Words>5171</Words>
  <Characters>2948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2018-06-19T14:00:00Z</dcterms:created>
  <dc:creator>Jurgita Norkienė</dc:creator>
  <cp:lastModifiedBy>Vidmantas Tamulis</cp:lastModifiedBy>
  <dcterms:modified xsi:type="dcterms:W3CDTF">2018-06-19T14:00:00Z</dcterms:modified>
  <cp:revision>2</cp:revision>
</cp:coreProperties>
</file>