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74" w:rsidRDefault="00206E74">
      <w:pPr>
        <w:spacing w:after="0" w:line="240" w:lineRule="auto"/>
        <w:ind w:left="360"/>
        <w:jc w:val="right"/>
        <w:rPr>
          <w:rFonts w:ascii="Times New Roman" w:eastAsia="Times New Roman" w:hAnsi="Times New Roman"/>
          <w:b/>
          <w:sz w:val="24"/>
          <w:szCs w:val="20"/>
        </w:rPr>
      </w:pPr>
      <w:bookmarkStart w:id="0" w:name="_GoBack"/>
      <w:bookmarkEnd w:id="0"/>
    </w:p>
    <w:p w:rsidR="00206E74" w:rsidRDefault="00CB766F">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PROJEKTŲ, ĮTRAUKTŲ Į ADMINISTRACINĖS NAŠTOS POKYČIO SKAIČIAVIMĄ, SĄRAŠAS (2018 M. II PUSMETIS)</w:t>
      </w:r>
    </w:p>
    <w:p w:rsidR="00206E74" w:rsidRDefault="00206E74">
      <w:pPr>
        <w:spacing w:after="0" w:line="240" w:lineRule="auto"/>
        <w:ind w:left="360"/>
        <w:jc w:val="both"/>
        <w:rPr>
          <w:rFonts w:ascii="Times New Roman" w:eastAsia="Times New Roman" w:hAnsi="Times New Roman"/>
          <w:sz w:val="24"/>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84"/>
      </w:tblGrid>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946" w:type="dxa"/>
          </w:tcPr>
          <w:p w:rsidR="00206E74" w:rsidRDefault="00CB766F">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1984" w:type="dxa"/>
          </w:tcPr>
          <w:p w:rsidR="00206E74" w:rsidRDefault="00CB766F">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206E74">
        <w:tc>
          <w:tcPr>
            <w:tcW w:w="8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1.</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Aplinkos ministerija</w:t>
            </w:r>
          </w:p>
        </w:tc>
        <w:tc>
          <w:tcPr>
            <w:tcW w:w="1984" w:type="dxa"/>
          </w:tcPr>
          <w:p w:rsidR="00206E74" w:rsidRDefault="00206E74">
            <w:pPr>
              <w:tabs>
                <w:tab w:val="left" w:pos="1137"/>
              </w:tabs>
              <w:spacing w:after="0" w:line="240" w:lineRule="auto"/>
              <w:jc w:val="center"/>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auto"/>
          </w:tcPr>
          <w:p w:rsidR="00206E74" w:rsidRDefault="00206E74">
            <w:pPr>
              <w:spacing w:after="0" w:line="240" w:lineRule="auto"/>
              <w:jc w:val="both"/>
              <w:rPr>
                <w:rFonts w:ascii="Times New Roman" w:hAnsi="Times New Roman"/>
                <w:bCs/>
                <w:sz w:val="24"/>
                <w:szCs w:val="24"/>
              </w:rPr>
            </w:pPr>
          </w:p>
        </w:tc>
        <w:tc>
          <w:tcPr>
            <w:tcW w:w="6946" w:type="dxa"/>
            <w:shd w:val="clear" w:color="auto" w:fill="auto"/>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shd w:val="clear" w:color="auto" w:fill="auto"/>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1996 m. rugsėjo 18 d. nutarimo Nr. 1079 „Dėl Visuomenės informavimo, konsultavimo ir dalyvavimo priimant sprendimus dėl teritorijų planavimo nuostatų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+1.113,00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1.2.</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geriamojo vandens tiekimo ir nuotekų tvarkymo įstatymo Nr. X-764 3, 9, 26, 33 straipsnių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+553,13 EUR</w:t>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Vyriausybės nutarimo "Dėl Lietuvos Respublikos Vyriausybės 2002 m. rugpjūčio 10 d. nutarimo Nr. 1229 "Dėl Privalomųjų atskaitymų į Lietuvos Respublikos valstybės biudžetą iš pajamų už parduotą žaliavinę medieną ir nenukirstą mišką apskaičiavimo ir mokėjimo tvarkos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-7.015,60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1.4.</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Vyriausybės 2013 m. liepos 24 d. nutarimo Nr. 711 „Dėl Vietinės rinkliavos ar kitos įmokos už komunalinių atliekų surinkimą iš atliekų turėtojų ir atliekų tvarkymą dydžio nustatymo taisyklių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+470,00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1.5.</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aplinkos ministro 2003 m. gruodžio 19 d. įsakymo Nr. 684 „Dėl Pavojingų atliekų tvarkymo licencijavimo taisyklių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-69,19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1.6.</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aplinkos ministro 2013 m. gegužės 20 d. įsakymo  Nr. D1-359 „Dėl Gaminių ir (ar) pakuočių atliekų sutvarkymą įrodančių dokumentų išrašymo tvarkos aprašo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+117,50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Audito, apskaitos, turto vertinimo  ir nemokumo tarnyba prie Finansų ministerijos</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shd w:val="clear" w:color="auto" w:fill="auto"/>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Audito, apskaitos, turto vertinimo ir nemokumo valdymo tarnybos prie Lietuvos Respublikos finansų ministerijos direktoriaus 2018 m. rugsėjo 6 d. įsakymas Nr. V4-248 „Dėl Bankroto administratorių ir restruktūrizavimo administratorių profesinės civilinės atsakomybės privalomojo draudimo kontrolės aprašo patvirtinimo“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+1.315,30 EUR</w:t>
            </w:r>
          </w:p>
        </w:tc>
      </w:tr>
      <w:tr w:rsidR="00206E74">
        <w:tc>
          <w:tcPr>
            <w:tcW w:w="846" w:type="dxa"/>
            <w:shd w:val="clear" w:color="auto" w:fill="FFFFFF" w:themeFill="background1"/>
          </w:tcPr>
          <w:p w:rsidR="00206E74" w:rsidRDefault="00CB766F">
            <w:pPr>
              <w:spacing w:after="0" w:line="240" w:lineRule="auto"/>
              <w:jc w:val="both"/>
              <w:rPr>
                <w:rFonts w:ascii="Times New Roman" w:hAnsi="Times New Roman"/>
                <w:bCs/>
                <w:sz w:val="24"/>
                <w:szCs w:val="24"/>
                <w:lang w:val="lt-LT"/>
              </w:rPr>
            </w:pPr>
            <w:r>
              <w:rPr>
                <w:rFonts w:ascii="Times New Roman" w:hAnsi="Times New Roman"/>
                <w:sz w:val="24"/>
                <w:szCs w:val="24"/>
                <w:lang w:val="lt-LT"/>
              </w:rPr>
              <w:t>3.</w:t>
            </w:r>
          </w:p>
        </w:tc>
        <w:tc>
          <w:tcPr>
            <w:tcW w:w="6946" w:type="dxa"/>
            <w:shd w:val="clear" w:color="auto" w:fill="FFFFFF" w:themeFill="background1"/>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Ekonomikos ir inovacijų ministerija (buvusi Ūkio ministerija)</w:t>
            </w:r>
          </w:p>
        </w:tc>
        <w:tc>
          <w:tcPr>
            <w:tcW w:w="1984" w:type="dxa"/>
            <w:shd w:val="clear" w:color="auto" w:fill="FFFFFF" w:themeFill="background1"/>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CB766F">
            <w:pPr>
              <w:spacing w:after="0" w:line="240" w:lineRule="auto"/>
              <w:jc w:val="both"/>
              <w:rPr>
                <w:rFonts w:ascii="Times New Roman" w:hAnsi="Times New Roman"/>
                <w:bCs/>
                <w:sz w:val="24"/>
                <w:szCs w:val="24"/>
                <w:lang w:val="lt-LT"/>
              </w:rPr>
            </w:pPr>
            <w:r>
              <w:rPr>
                <w:rFonts w:ascii="Times New Roman" w:hAnsi="Times New Roman"/>
                <w:sz w:val="24"/>
                <w:szCs w:val="24"/>
                <w:lang w:val="lt-LT"/>
              </w:rPr>
              <w:t>3.1</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Lietuvos Respublikos produktų saugos įstatymo Nr. VIII-1206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+1.958,92 EUR</w:t>
            </w:r>
          </w:p>
        </w:tc>
      </w:tr>
      <w:tr w:rsidR="00206E74">
        <w:tc>
          <w:tcPr>
            <w:tcW w:w="846" w:type="dxa"/>
            <w:shd w:val="clear" w:color="auto" w:fill="FFFFFF" w:themeFill="background1"/>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CB766F">
            <w:pPr>
              <w:spacing w:after="0" w:line="240" w:lineRule="auto"/>
              <w:jc w:val="both"/>
              <w:rPr>
                <w:rFonts w:ascii="Times New Roman" w:hAnsi="Times New Roman"/>
                <w:bCs/>
                <w:sz w:val="24"/>
                <w:szCs w:val="24"/>
                <w:lang w:val="lt-LT"/>
              </w:rPr>
            </w:pPr>
            <w:r>
              <w:rPr>
                <w:rFonts w:ascii="Times New Roman" w:hAnsi="Times New Roman"/>
                <w:sz w:val="24"/>
                <w:szCs w:val="24"/>
                <w:lang w:val="lt-LT"/>
              </w:rPr>
              <w:lastRenderedPageBreak/>
              <w:t>3.2.</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eastAsia="Times New Roman" w:hAnsi="Times New Roman"/>
                <w:sz w:val="24"/>
                <w:szCs w:val="24"/>
                <w:lang w:val="lt-LT" w:eastAsia="lt-LT"/>
              </w:rPr>
              <w:t>Lietuvos Respublikos viešųjų pirkimų, atliekamų gynybos ir saugumo srityje, įstatymo Nr. XI-1491 pakeitimo įstatymas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-301,86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sz w:val="24"/>
                <w:szCs w:val="24"/>
                <w:lang w:val="lt-LT"/>
              </w:rPr>
              <w:t>Energetikos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4.1.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energetikos įstatymo Nr. IX-884 2, 8, 16, 23 straipsnių pakeitimo ir papildymo 16(1) straipsniu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+672,98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4.2.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elektros energetikos įstatymo Nr. VIII-1881 15, 56, 68 straipsnių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+69,19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4.3.</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gamtinių dujų įstatymo Nr. VIII-1973 9, 20, 44 straipsnių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-11,53 EUR</w:t>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4.4.</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Vyriausybės nutarimo „Dėl Lietuvos Respublikos Vyriausybės 2012 m. sausio 25 d. nutarimo Nr. 83 „Dėl Branduolinės (atominės) elektrinės statybos vietos (aikštelės) vertinimo ataskaitos peržiūros tvarkos aprašo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+16,23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4.5.</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Vyriausybės nutarimo „Dėl Lietuvos Respublikos Vyriausybės 2012 m. sausio 25 d. nutarimo Nr. 83 „Dėl Branduolinės (atominės) elektrinės statybos vietos (aikštelės) vertinimo ataskaitos peržiūros tvarkos aprašo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+16,23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4.6.</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Atsinaujinančių išteklių energetikos įstatymo Nr.  XI-1375 1, 2, 3, 5, 11, 13, 14, 17, 20, 20</w:t>
            </w:r>
            <w:r>
              <w:rPr>
                <w:rFonts w:ascii="Times New Roman" w:hAnsi="Times New Roman"/>
                <w:bCs/>
                <w:iCs/>
                <w:sz w:val="24"/>
                <w:szCs w:val="24"/>
                <w:vertAlign w:val="superscript"/>
                <w:lang w:val="lt-LT"/>
              </w:rPr>
              <w:t>1</w:t>
            </w:r>
            <w:r>
              <w:rPr>
                <w:rFonts w:ascii="Times New Roman" w:hAnsi="Times New Roman"/>
                <w:bCs/>
                <w:iCs/>
                <w:sz w:val="24"/>
                <w:szCs w:val="24"/>
                <w:lang w:val="lt-LT"/>
              </w:rPr>
              <w:t>, 21, 42 straipsnių pakeitimo, įstatymo papildymo ir 63</w:t>
            </w:r>
            <w:r>
              <w:rPr>
                <w:rFonts w:ascii="Times New Roman" w:hAnsi="Times New Roman"/>
                <w:bCs/>
                <w:iCs/>
                <w:sz w:val="24"/>
                <w:szCs w:val="24"/>
                <w:vertAlign w:val="superscript"/>
                <w:lang w:val="lt-LT"/>
              </w:rPr>
              <w:t>1</w:t>
            </w:r>
            <w:r>
              <w:rPr>
                <w:rFonts w:ascii="Times New Roman" w:hAnsi="Times New Roman"/>
                <w:bCs/>
                <w:iCs/>
                <w:sz w:val="24"/>
                <w:szCs w:val="24"/>
                <w:lang w:val="lt-LT"/>
              </w:rPr>
              <w:t xml:space="preserve"> straipsniu ir įstatymo 15 straipsnio pripažinimo netekusiu galios įstatymo projektas</w:t>
            </w:r>
            <w:r>
              <w:rPr>
                <w:rFonts w:ascii="Times New Roman" w:hAnsi="Times New Roman"/>
                <w:bCs/>
                <w:iCs/>
                <w:sz w:val="24"/>
                <w:szCs w:val="24"/>
                <w:lang w:val="lt-LT"/>
              </w:rPr>
              <w:tab/>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rPr>
              <w:t>+536,79 EUR</w:t>
            </w:r>
            <w:r>
              <w:rPr>
                <w:rStyle w:val="FootnoteReference"/>
                <w:rFonts w:ascii="Times New Roman" w:hAnsi="Times New Roman"/>
                <w:sz w:val="24"/>
                <w:szCs w:val="24"/>
              </w:rPr>
              <w:footnoteReference w:id="1"/>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4.7.</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Lietuvos Respublikos elektros energetikos įstatymo Nr. VIII-1881 2, 16, 22, 67, 74 straipsnių pakeitimo ir įstatymo papildymo 21</w:t>
            </w:r>
            <w:r>
              <w:rPr>
                <w:rFonts w:ascii="Times New Roman" w:hAnsi="Times New Roman"/>
                <w:bCs/>
                <w:iCs/>
                <w:sz w:val="24"/>
                <w:szCs w:val="24"/>
                <w:vertAlign w:val="superscript"/>
                <w:lang w:val="lt-LT"/>
              </w:rPr>
              <w:t>1</w:t>
            </w:r>
            <w:r>
              <w:rPr>
                <w:rFonts w:ascii="Times New Roman" w:hAnsi="Times New Roman"/>
                <w:bCs/>
                <w:iCs/>
                <w:sz w:val="24"/>
                <w:szCs w:val="24"/>
                <w:lang w:val="lt-LT"/>
              </w:rPr>
              <w:t xml:space="preserve"> straipsniu įstatymo projektas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rPr>
              <w:t>+771,64 EUR</w:t>
            </w:r>
            <w:r>
              <w:rPr>
                <w:rStyle w:val="FootnoteReference"/>
                <w:rFonts w:ascii="Times New Roman" w:hAnsi="Times New Roman"/>
                <w:sz w:val="24"/>
                <w:szCs w:val="24"/>
              </w:rPr>
              <w:footnoteReference w:id="2"/>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4.8.</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sz w:val="24"/>
                <w:szCs w:val="24"/>
                <w:lang w:val="lt-LT"/>
              </w:rPr>
              <w:t>Lietuvos Respublikos energetikos ministro 2012 m. liepos 4 d. įsakymo Nr. 1-127 "Dėl elektros energijos gamintojų ir vartotojų elektros įrenginių prijungimo prie elektros tinklų tvarkos aprašo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-400.310,21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4.9.</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sz w:val="24"/>
                <w:szCs w:val="24"/>
                <w:lang w:val="lt-LT"/>
              </w:rPr>
              <w:t>Lietuvos Respublikos energetikos ministro įsakymo „Dėl Lietuvos Respublikos energetikos ministro 2012 m. gruodžio 11 d. įsakymo Nr. 1-261 „Dėl Naujų perdavimo ar skirstymo sistemų nedujofikuotoje teritorijoje įrengimo, naujų vartotojų gamtinių dujų sistemų prijungimo prie perdavimo ar skirstymo sistemų ir vartotojų gamtinių dujų sistemų įrengimo tvarkos aprašo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-77.500,50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Finansų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FFFFFF" w:themeFill="background1"/>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lastRenderedPageBreak/>
              <w:t>5.1.</w:t>
            </w:r>
          </w:p>
        </w:tc>
        <w:tc>
          <w:tcPr>
            <w:tcW w:w="6946"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finansinių ataskaitų audito įstatymo Nr. VIII-1227 2, 15, 23, 36, 38, 53, 54, 55, 56, 58, 62, 68, 69, 73 straipsnių pakeitimo, vienuoliktojo ir dvyliktojo skirsnių pavadinimų pakeitimo ir įstatymo papildymo 52(1) ir 52(2) straipsniais įstatymo projektas</w:t>
            </w:r>
          </w:p>
        </w:tc>
        <w:tc>
          <w:tcPr>
            <w:tcW w:w="1984"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+27,67 EUR</w:t>
            </w:r>
          </w:p>
        </w:tc>
      </w:tr>
      <w:tr w:rsidR="00206E74">
        <w:tc>
          <w:tcPr>
            <w:tcW w:w="846" w:type="dxa"/>
            <w:shd w:val="clear" w:color="auto" w:fill="FFFFFF" w:themeFill="background1"/>
          </w:tcPr>
          <w:p w:rsidR="00206E74" w:rsidRDefault="00206E74">
            <w:pPr>
              <w:spacing w:after="0" w:line="240" w:lineRule="auto"/>
              <w:jc w:val="both"/>
              <w:rPr>
                <w:rFonts w:ascii="Times New Roman" w:hAnsi="Times New Roman"/>
                <w:sz w:val="24"/>
                <w:szCs w:val="24"/>
              </w:rPr>
            </w:pPr>
          </w:p>
        </w:tc>
        <w:tc>
          <w:tcPr>
            <w:tcW w:w="6946"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shd w:val="clear" w:color="auto" w:fill="FFFFFF" w:themeFill="background1"/>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auto"/>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t>5.2.</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pridėtinės vertės mokesčio įstatymo Nr. IX-751 2, 13, 15, 24, 60, 62, 64, 78(1), 115(1) straipsnių, 2 priedo pakeitimo ir įstatymo papildymo 9(1) ir 26(1) straipsniais įstatymo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-83,39 EUR</w:t>
            </w:r>
          </w:p>
        </w:tc>
      </w:tr>
      <w:tr w:rsidR="00206E74">
        <w:tc>
          <w:tcPr>
            <w:tcW w:w="846" w:type="dxa"/>
            <w:shd w:val="clear" w:color="auto" w:fill="FFFFFF" w:themeFill="background1"/>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t>5.3.</w:t>
            </w:r>
          </w:p>
        </w:tc>
        <w:tc>
          <w:tcPr>
            <w:tcW w:w="6946"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akcizų įstatymo Nr. IX-569 1, 2, 3, 30 ir 31 straipsnių pakeitimo ir įstatymo papildymo septintuoju skirsniu projektas</w:t>
            </w:r>
          </w:p>
        </w:tc>
        <w:tc>
          <w:tcPr>
            <w:tcW w:w="1984"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+960,17 EUR</w:t>
            </w:r>
            <w:r>
              <w:rPr>
                <w:rStyle w:val="FootnoteReference"/>
                <w:rFonts w:ascii="Times New Roman" w:hAnsi="Times New Roman"/>
                <w:sz w:val="24"/>
                <w:szCs w:val="24"/>
                <w:lang w:val="lt-LT"/>
              </w:rPr>
              <w:footnoteReference w:id="3"/>
            </w:r>
          </w:p>
        </w:tc>
      </w:tr>
      <w:tr w:rsidR="00206E74" w:rsidTr="004E547C">
        <w:tc>
          <w:tcPr>
            <w:tcW w:w="846" w:type="dxa"/>
            <w:shd w:val="clear" w:color="auto" w:fill="D6E3BC" w:themeFill="accent3" w:themeFillTint="66"/>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t>5.4.</w:t>
            </w:r>
          </w:p>
        </w:tc>
        <w:tc>
          <w:tcPr>
            <w:tcW w:w="6946" w:type="dxa"/>
            <w:shd w:val="clear" w:color="auto" w:fill="D6E3BC" w:themeFill="accent3" w:themeFillTint="66"/>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2002 m. rugpjūčio 13 d. nutarimo Nr. 1283 „Dėl Kasos aparatų diegimo ir naudojimo tvarkos aprašo patvirtinimo“ pakeitimo projektas</w:t>
            </w:r>
          </w:p>
        </w:tc>
        <w:tc>
          <w:tcPr>
            <w:tcW w:w="1984" w:type="dxa"/>
            <w:shd w:val="clear" w:color="auto" w:fill="D6E3BC" w:themeFill="accent3" w:themeFillTint="66"/>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rPr>
              <w:t>-70.172.433,00</w:t>
            </w:r>
            <w:r>
              <w:rPr>
                <w:rFonts w:ascii="Times New Roman" w:hAnsi="Times New Roman"/>
                <w:b/>
                <w:sz w:val="24"/>
              </w:rPr>
              <w:t xml:space="preserve"> </w:t>
            </w:r>
            <w:r>
              <w:rPr>
                <w:rFonts w:ascii="Times New Roman" w:hAnsi="Times New Roman"/>
                <w:sz w:val="24"/>
                <w:szCs w:val="24"/>
                <w:lang w:val="lt-LT"/>
              </w:rPr>
              <w:t>EUR</w:t>
            </w:r>
            <w:r>
              <w:rPr>
                <w:rStyle w:val="FootnoteReference"/>
                <w:rFonts w:ascii="Times New Roman" w:hAnsi="Times New Roman"/>
                <w:sz w:val="24"/>
                <w:szCs w:val="24"/>
                <w:lang w:val="lt-LT"/>
              </w:rPr>
              <w:footnoteReference w:id="4"/>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Krašto apsaugos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6.1.</w:t>
            </w:r>
          </w:p>
        </w:tc>
        <w:tc>
          <w:tcPr>
            <w:tcW w:w="6946" w:type="dxa"/>
          </w:tcPr>
          <w:p w:rsidR="00206E74" w:rsidRDefault="00CB766F">
            <w:pPr>
              <w:spacing w:after="0" w:line="240" w:lineRule="auto"/>
              <w:jc w:val="both"/>
              <w:rPr>
                <w:rFonts w:ascii="Times New Roman" w:hAnsi="Times New Roman"/>
                <w:b/>
                <w:sz w:val="24"/>
                <w:szCs w:val="24"/>
                <w:lang w:val="lt-LT"/>
              </w:rPr>
            </w:pPr>
            <w:r w:rsidRPr="0007126E">
              <w:rPr>
                <w:rFonts w:ascii="Times New Roman" w:eastAsia="Times New Roman" w:hAnsi="Times New Roman"/>
                <w:sz w:val="24"/>
                <w:szCs w:val="24"/>
                <w:lang w:eastAsia="lt-LT"/>
              </w:rPr>
              <w:t xml:space="preserve">Lietuvos Respublikos Vyriausybės 2014 m. vasario 12 d. nutarimo Nr. 141 </w:t>
            </w:r>
            <w:r w:rsidRPr="0007126E">
              <w:rPr>
                <w:rFonts w:ascii="Times New Roman" w:eastAsia="SimSun" w:hAnsi="Times New Roman"/>
                <w:sz w:val="24"/>
                <w:szCs w:val="24"/>
              </w:rPr>
              <w:t>„Dėl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w:t>
            </w:r>
            <w:r>
              <w:rPr>
                <w:rFonts w:ascii="Times New Roman" w:eastAsia="SimSun" w:hAnsi="Times New Roman"/>
                <w:sz w:val="24"/>
                <w:szCs w:val="24"/>
                <w:lang w:val="lt-LT"/>
              </w:rPr>
              <w:t xml:space="preserve"> pakeitimo projektas ir </w:t>
            </w:r>
            <w:r w:rsidRPr="0007126E">
              <w:rPr>
                <w:rFonts w:ascii="Times New Roman" w:eastAsia="Times New Roman" w:hAnsi="Times New Roman"/>
                <w:sz w:val="24"/>
                <w:szCs w:val="24"/>
                <w:lang w:eastAsia="lt-LT"/>
              </w:rPr>
              <w:t xml:space="preserve">Lietuvos Respublikos Vyriausybės 2005 m. rugpjūčio 5 d. nutarimo Nr. 833 </w:t>
            </w:r>
            <w:r w:rsidRPr="0007126E">
              <w:rPr>
                <w:rFonts w:ascii="Times New Roman" w:eastAsia="SimSun" w:hAnsi="Times New Roman"/>
                <w:sz w:val="24"/>
                <w:szCs w:val="24"/>
              </w:rPr>
              <w:t>Dėl Radioaktyviųjų medžiagų rekvizicijos ir (ar) laikinojo paėmimo, saugojimo, grąžinimo ir atlyginimo už jų rekviziciją ir (ar) laikinąjį paėmimą tvarkos aprašo patvirtinimo</w:t>
            </w:r>
            <w:r>
              <w:rPr>
                <w:rFonts w:ascii="Times New Roman" w:eastAsia="SimSun" w:hAnsi="Times New Roman"/>
                <w:sz w:val="24"/>
                <w:szCs w:val="24"/>
                <w:lang w:val="lt-LT"/>
              </w:rPr>
              <w:t>”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-8.901,00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Kultūros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Cs/>
                <w:sz w:val="24"/>
                <w:szCs w:val="24"/>
                <w:lang w:val="lt-LT"/>
              </w:rPr>
              <w:t>Lietuvos Respublikos visuomenės informavimo įstatymo Nr. I-1418 17, 19, 22, 24, 49, 50 ir 52 straipsnių pakeitimo įstatymas</w:t>
            </w:r>
          </w:p>
        </w:tc>
        <w:tc>
          <w:tcPr>
            <w:tcW w:w="1984" w:type="dxa"/>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lang w:val="lt-LT"/>
              </w:rPr>
              <w:t>-</w:t>
            </w:r>
            <w:r>
              <w:rPr>
                <w:rFonts w:ascii="Times New Roman" w:hAnsi="Times New Roman"/>
                <w:sz w:val="24"/>
                <w:szCs w:val="24"/>
              </w:rPr>
              <w:t>1.997,78 EUR</w:t>
            </w:r>
            <w:r>
              <w:rPr>
                <w:rStyle w:val="FootnoteReference"/>
                <w:rFonts w:ascii="Times New Roman" w:hAnsi="Times New Roman"/>
                <w:sz w:val="24"/>
                <w:szCs w:val="24"/>
              </w:rPr>
              <w:footnoteReference w:id="5"/>
            </w: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bankas</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2018 m. gruodžio 20 d. nutarimas Nr. 03-259 ,,Dėl elektroninių pinigų įstaigų priežiūrai skirtų finansinių ir veiklos ataskaitų sudarymo, šių ataskaitų ir kitos informacijos teikimo Lietuvos bankui tvarkos aprašo ir priežiūrai skirtų ataskaitų formų patvirtinimo“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+10.470,38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2018 m. gruodžio 20 d. nutarimas Nr. 03-261 ,,Dėl elektroninių pinigų įstaigų ir mokėjimo įstaigų pinigų plovimo ir (arba) teroristų finansavimo priežiūrai skirtų ataskaitų sudarymo ir jų teikimo Lietuvos bankui tvarkos aprašo ir ataskaitų formų patvirtinimo“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+28.643,63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8.3.</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2018 m. spalio 30 d. nutarimas Nr. 03-206 ,,Dėl kredito unijų likvidumo rodiklio apskaičiavimo taisyklių patvirtinimo“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+7.195,50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8.4.</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2018 m. kovo 29 d. nutarimu Nr. 03-52 „Dėl kredito unijų administratorių teikiamos informacijos“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-4.317,30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8.5.</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2018 m. gegužės 24 d. nutarimas Nr. 03-80 „Dėl Lietuvos banko valdybos 2012 m. liepos 12 d. nutarimo Nr. 03-154 „Dėl valdymo įmonių, kolektyvinio investavimo subjektų ir pensijų fondų informacijos rengimo ir teikimo taisyklių patvirtinimo“ pakeitimo“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-13.619,06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Lietuvos statistikos departamentas</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tabs>
                <w:tab w:val="left" w:pos="667"/>
              </w:tabs>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tabs>
                <w:tab w:val="left" w:pos="275"/>
              </w:tabs>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tabs>
                <w:tab w:val="left" w:pos="275"/>
              </w:tabs>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.1.</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Žemės ūkio augalų plotų ir derliaus žemės ūkio bendrovėse ir įmonėse statistinės ataskaitos ŽŪ-29 (metinės) ir Žemės ūkio augalų pasėlių, derliaus ir derlingumo statistinio tyrimo ūkininkų ir šeimos ūkių anketos ŽŪŪ-29 (metinės) ir Žemės ūkio augalų pasėlių, derliaus ir derlingumo statistinio tyrimo ūkininkų ir šeimos ūkių anketos ŽŪŪ-29 (metinės) statistinių formuliarų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-341,33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.2.</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Darbo užmokesčio struktūros statistinės ataskaitos DUS-01 (kas 4 metai)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-3.624,50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.3.</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Investicijų statistinės ataskaitos KS-02 (ketvirtinės)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-15.994,86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lastRenderedPageBreak/>
              <w:t>9</w:t>
            </w:r>
            <w:r>
              <w:rPr>
                <w:rFonts w:ascii="Times New Roman" w:hAnsi="Times New Roman"/>
                <w:bCs/>
                <w:sz w:val="24"/>
                <w:szCs w:val="24"/>
              </w:rPr>
              <w:t>.4.</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Būsto nuomos kainų statistinės ataskaitos KA-12 (ketvirtinės)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-35,98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.5.</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Įmonės inovacinės veiklos statistinės ataskaitos INV-01 (kas 2 metai)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+1.208,84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.6.</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Kuro ir energijos sunaudojimo pramonėje statistinės ataskaitos ENP-01 (vienkartinės)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+461,25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.7.</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Kuro ir energijos balanso statistinės ataskaitos EN-01 (metinės), Naftos ir naftos produktų balanso statistinės ataskaitos EN-06 (metinės), Kuro ir energijos sunaudojimo statistinės ataskaitos EN-10 (metinės) statistinių formuliarų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-2.144,49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.8.</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Informacinių technologijų naudojimo įmonėse statistinės ataskaitos ITP-01 (metinės)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-644,37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.9.</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Elektros energijos paskirstymo statistinės ataskaitos EN-17 (mėnesinės) statistinio formuliaro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+110,70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9</w:t>
            </w:r>
            <w:r>
              <w:rPr>
                <w:rFonts w:ascii="Times New Roman" w:hAnsi="Times New Roman"/>
                <w:bCs/>
                <w:sz w:val="24"/>
                <w:szCs w:val="24"/>
              </w:rPr>
              <w:t>.10.</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statistikos departamento generalinio direktoriaus įsakymo „Dėl Įmonės veiklos statistinės ataskaitos F-01 (metinės) ir Įmonės veiklos statistinės ataskaitos F-01 (metinės detalios) statistinių formuliarų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-4.732,42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sz w:val="24"/>
                <w:szCs w:val="24"/>
                <w:lang w:val="lt-LT"/>
              </w:rPr>
              <w:t>10.</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
                <w:sz w:val="24"/>
                <w:szCs w:val="24"/>
                <w:lang w:val="lt-LT"/>
              </w:rPr>
              <w:t>Lietuvos transporto saugos administracija</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Cs/>
                <w:iCs/>
                <w:sz w:val="24"/>
                <w:szCs w:val="24"/>
                <w:lang w:val="lt-LT"/>
              </w:rPr>
              <w:t>-</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10</w:t>
            </w:r>
            <w:r>
              <w:rPr>
                <w:rFonts w:ascii="Times New Roman" w:hAnsi="Times New Roman"/>
                <w:bCs/>
                <w:sz w:val="24"/>
                <w:szCs w:val="24"/>
              </w:rPr>
              <w:t>.1.</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Lietuvos transporto saugos administracijos direktoriaus įsakymo „Dėl Europos transporto ministrų konferencijos daugiašalės kvotos leidimų vykdyti tarptautinį krovinių vežimą kelių transporto priemonėmis paskirstymo, išdavimo ir naudojimo tvarkos aprašo patvirtinimo“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-3.515,63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10</w:t>
            </w:r>
            <w:r>
              <w:rPr>
                <w:rFonts w:ascii="Times New Roman" w:hAnsi="Times New Roman"/>
                <w:bCs/>
                <w:sz w:val="24"/>
                <w:szCs w:val="24"/>
              </w:rPr>
              <w:t>.2.</w:t>
            </w: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kelių transporto inspekcijos prie Susisiekimo ministerijos viršininko 2012 m. spalio 31 d. įsakymo Nr. 2B-411 „Dėl Vežėjų prašymų tarpininkauti gaunant daugkartines vizas pateikimo tvarkos aprašo patvirtinimo“ pakeitimo projektas</w:t>
            </w:r>
          </w:p>
        </w:tc>
        <w:tc>
          <w:tcPr>
            <w:tcW w:w="1984"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sz w:val="24"/>
                <w:szCs w:val="24"/>
                <w:lang w:val="lt-LT"/>
              </w:rPr>
              <w:t>-590,07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1</w:t>
            </w:r>
            <w:r>
              <w:rPr>
                <w:rFonts w:ascii="Times New Roman" w:hAnsi="Times New Roman"/>
                <w:bCs/>
                <w:sz w:val="24"/>
                <w:szCs w:val="24"/>
              </w:rPr>
              <w:t>.</w:t>
            </w:r>
          </w:p>
        </w:tc>
        <w:tc>
          <w:tcPr>
            <w:tcW w:w="6946" w:type="dxa"/>
          </w:tcPr>
          <w:p w:rsidR="00206E74" w:rsidRDefault="00CB766F">
            <w:pPr>
              <w:tabs>
                <w:tab w:val="left" w:pos="275"/>
              </w:tabs>
              <w:spacing w:after="0" w:line="240" w:lineRule="auto"/>
              <w:jc w:val="both"/>
              <w:rPr>
                <w:rFonts w:ascii="Times New Roman" w:hAnsi="Times New Roman"/>
                <w:b/>
                <w:sz w:val="24"/>
                <w:szCs w:val="24"/>
                <w:lang w:val="lt-LT"/>
              </w:rPr>
            </w:pPr>
            <w:r>
              <w:rPr>
                <w:rFonts w:ascii="Times New Roman" w:hAnsi="Times New Roman"/>
                <w:b/>
                <w:sz w:val="24"/>
                <w:szCs w:val="24"/>
                <w:lang w:val="lt-LT"/>
              </w:rPr>
              <w:t>Lošimų priežiūros tarnyba prie Finansų ministerijos</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tabs>
                <w:tab w:val="left" w:pos="275"/>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tabs>
                <w:tab w:val="left" w:pos="275"/>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206E74">
            <w:pPr>
              <w:spacing w:after="0" w:line="240" w:lineRule="auto"/>
              <w:jc w:val="both"/>
              <w:rPr>
                <w:rFonts w:ascii="Times New Roman" w:hAnsi="Times New Roman"/>
                <w:b/>
                <w:sz w:val="24"/>
                <w:szCs w:val="24"/>
                <w:lang w:val="lt-LT"/>
              </w:rPr>
            </w:pP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11.1.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Lošimų priežiūros tarnybos prie Lietuvos Respublikos finansų ministerijos direktoriaus įsakymo „Dėl Lošimų priežiūros tarnybos prie Lietuvos Respublikos finansų ministerijos direktoriaus 2013 m. gruodžio 31 d. įsakymo Nr. DI-528 „Dėl Dokumentų, kurių reikia licencijoms ir leidimams gauti, lošimų organizavimo reglamentams </w:t>
            </w:r>
            <w:r>
              <w:rPr>
                <w:rFonts w:ascii="Times New Roman" w:hAnsi="Times New Roman"/>
                <w:sz w:val="24"/>
                <w:szCs w:val="24"/>
                <w:lang w:val="lt-LT"/>
              </w:rPr>
              <w:lastRenderedPageBreak/>
              <w:t>tvirtinti ir didžiųjų loterijų taisyklėms suderinti, pateikimo rekomendacijų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-1.787,40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12.</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Ryšių reguliavimo tarnyba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12.1</w:t>
            </w:r>
          </w:p>
        </w:tc>
        <w:tc>
          <w:tcPr>
            <w:tcW w:w="6946" w:type="dxa"/>
          </w:tcPr>
          <w:p w:rsidR="00206E74" w:rsidRDefault="00CB766F">
            <w:pPr>
              <w:spacing w:after="0" w:line="240" w:lineRule="auto"/>
              <w:jc w:val="both"/>
              <w:rPr>
                <w:rFonts w:ascii="Times New Roman" w:hAnsi="Times New Roman"/>
                <w:b/>
                <w:sz w:val="24"/>
                <w:szCs w:val="24"/>
                <w:lang w:val="lt-LT"/>
              </w:rPr>
            </w:pPr>
            <w:r w:rsidRPr="0007126E">
              <w:rPr>
                <w:rFonts w:ascii="Times New Roman" w:hAnsi="Times New Roman"/>
                <w:bCs/>
                <w:sz w:val="24"/>
                <w:szCs w:val="24"/>
                <w:lang w:val="lt-LT"/>
              </w:rPr>
              <w:t>Ryšių reguliavimo tarnybos teikiamų paslaugų perkėlimas į elektroninę erdvę</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-825,79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w:t>
            </w:r>
          </w:p>
        </w:tc>
        <w:tc>
          <w:tcPr>
            <w:tcW w:w="6946" w:type="dxa"/>
          </w:tcPr>
          <w:p w:rsidR="00206E74" w:rsidRDefault="00CB766F">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Socialinės apsaugos ir darbo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3</w:t>
            </w:r>
            <w:r>
              <w:rPr>
                <w:rFonts w:ascii="Times New Roman" w:hAnsi="Times New Roman"/>
                <w:bCs/>
                <w:sz w:val="24"/>
                <w:szCs w:val="24"/>
              </w:rPr>
              <w:t>.1.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2001 m. birželio 29 d. nutarimo Nr. 817 „Dėl teisės aktų, būtinų Lietuvos Respublikos potencialiai pavojingų įrenginių priežiūros įstatymui įgyvendinti,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-397,95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3</w:t>
            </w:r>
            <w:r>
              <w:rPr>
                <w:rFonts w:ascii="Times New Roman" w:hAnsi="Times New Roman"/>
                <w:bCs/>
                <w:sz w:val="24"/>
                <w:szCs w:val="24"/>
              </w:rPr>
              <w:t>.2.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valstybinio socialinio draudimo įstatymo Nr. I-1336 2, 4, 7, 8, 10, 23, 25 ir 32 straipsnių pakeitimo įstatymas Nr. XIII-1336</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+1.462.982,37 EUR</w:t>
            </w:r>
            <w:r>
              <w:rPr>
                <w:rStyle w:val="FootnoteReference"/>
                <w:rFonts w:ascii="Times New Roman" w:hAnsi="Times New Roman"/>
                <w:sz w:val="24"/>
                <w:szCs w:val="24"/>
                <w:lang w:val="lt-LT"/>
              </w:rPr>
              <w:footnoteReference w:id="6"/>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Susisiekimo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14.1.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saugios laivybos įstatymo Nr. VII-1897 201, 37, 39, 40 straipsnių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-1.501,88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14.2.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geležinkelių transporto kodekso 3, 4</w:t>
            </w:r>
            <w:r>
              <w:rPr>
                <w:rFonts w:ascii="Times New Roman" w:hAnsi="Times New Roman"/>
                <w:sz w:val="24"/>
                <w:szCs w:val="24"/>
                <w:vertAlign w:val="superscript"/>
                <w:lang w:val="lt-LT"/>
              </w:rPr>
              <w:t>1</w:t>
            </w:r>
            <w:r>
              <w:rPr>
                <w:rFonts w:ascii="Times New Roman" w:hAnsi="Times New Roman"/>
                <w:sz w:val="24"/>
                <w:szCs w:val="24"/>
                <w:lang w:val="lt-LT"/>
              </w:rPr>
              <w:t>, 5, 7, 7</w:t>
            </w:r>
            <w:r>
              <w:rPr>
                <w:rFonts w:ascii="Times New Roman" w:hAnsi="Times New Roman"/>
                <w:sz w:val="24"/>
                <w:szCs w:val="24"/>
                <w:vertAlign w:val="superscript"/>
                <w:lang w:val="lt-LT"/>
              </w:rPr>
              <w:t>1</w:t>
            </w:r>
            <w:r>
              <w:rPr>
                <w:rFonts w:ascii="Times New Roman" w:hAnsi="Times New Roman"/>
                <w:sz w:val="24"/>
                <w:szCs w:val="24"/>
                <w:lang w:val="lt-LT"/>
              </w:rPr>
              <w:t>, 9, 10, 14, 23, 23</w:t>
            </w:r>
            <w:r>
              <w:rPr>
                <w:rFonts w:ascii="Times New Roman" w:hAnsi="Times New Roman"/>
                <w:sz w:val="24"/>
                <w:szCs w:val="24"/>
                <w:vertAlign w:val="superscript"/>
                <w:lang w:val="lt-LT"/>
              </w:rPr>
              <w:t>1</w:t>
            </w:r>
            <w:r>
              <w:rPr>
                <w:rFonts w:ascii="Times New Roman" w:hAnsi="Times New Roman"/>
                <w:sz w:val="24"/>
                <w:szCs w:val="24"/>
                <w:lang w:val="lt-LT"/>
              </w:rPr>
              <w:t>, 24, 25, 26, 28, 29, 30</w:t>
            </w:r>
            <w:r>
              <w:rPr>
                <w:rFonts w:ascii="Times New Roman" w:hAnsi="Times New Roman"/>
                <w:sz w:val="24"/>
                <w:szCs w:val="24"/>
                <w:vertAlign w:val="superscript"/>
                <w:lang w:val="lt-LT"/>
              </w:rPr>
              <w:t>2</w:t>
            </w:r>
            <w:r>
              <w:rPr>
                <w:rFonts w:ascii="Times New Roman" w:hAnsi="Times New Roman"/>
                <w:sz w:val="24"/>
                <w:szCs w:val="24"/>
                <w:lang w:val="lt-LT"/>
              </w:rPr>
              <w:t>, 30</w:t>
            </w:r>
            <w:r>
              <w:rPr>
                <w:rFonts w:ascii="Times New Roman" w:hAnsi="Times New Roman"/>
                <w:sz w:val="24"/>
                <w:szCs w:val="24"/>
                <w:vertAlign w:val="superscript"/>
                <w:lang w:val="lt-LT"/>
              </w:rPr>
              <w:t>3</w:t>
            </w:r>
            <w:r>
              <w:rPr>
                <w:rFonts w:ascii="Times New Roman" w:hAnsi="Times New Roman"/>
                <w:sz w:val="24"/>
                <w:szCs w:val="24"/>
                <w:lang w:val="lt-LT"/>
              </w:rPr>
              <w:t>, 30</w:t>
            </w:r>
            <w:r>
              <w:rPr>
                <w:rFonts w:ascii="Times New Roman" w:hAnsi="Times New Roman"/>
                <w:sz w:val="24"/>
                <w:szCs w:val="24"/>
                <w:vertAlign w:val="superscript"/>
                <w:lang w:val="lt-LT"/>
              </w:rPr>
              <w:t>4</w:t>
            </w:r>
            <w:r>
              <w:rPr>
                <w:rFonts w:ascii="Times New Roman" w:hAnsi="Times New Roman"/>
                <w:sz w:val="24"/>
                <w:szCs w:val="24"/>
                <w:lang w:val="lt-LT"/>
              </w:rPr>
              <w:t>, 33 straipsnių ir priedo pakeitimo, Kodekso papildymo 24</w:t>
            </w:r>
            <w:r>
              <w:rPr>
                <w:rFonts w:ascii="Times New Roman" w:hAnsi="Times New Roman"/>
                <w:sz w:val="24"/>
                <w:szCs w:val="24"/>
                <w:vertAlign w:val="superscript"/>
                <w:lang w:val="lt-LT"/>
              </w:rPr>
              <w:t>1</w:t>
            </w:r>
            <w:r>
              <w:rPr>
                <w:rFonts w:ascii="Times New Roman" w:hAnsi="Times New Roman"/>
                <w:sz w:val="24"/>
                <w:szCs w:val="24"/>
                <w:lang w:val="lt-LT"/>
              </w:rPr>
              <w:t>, 24</w:t>
            </w:r>
            <w:r>
              <w:rPr>
                <w:rFonts w:ascii="Times New Roman" w:hAnsi="Times New Roman"/>
                <w:sz w:val="24"/>
                <w:szCs w:val="24"/>
                <w:vertAlign w:val="superscript"/>
                <w:lang w:val="lt-LT"/>
              </w:rPr>
              <w:t>2</w:t>
            </w:r>
            <w:r>
              <w:rPr>
                <w:rFonts w:ascii="Times New Roman" w:hAnsi="Times New Roman"/>
                <w:sz w:val="24"/>
                <w:szCs w:val="24"/>
                <w:lang w:val="lt-LT"/>
              </w:rPr>
              <w:t>, 24</w:t>
            </w:r>
            <w:r>
              <w:rPr>
                <w:rFonts w:ascii="Times New Roman" w:hAnsi="Times New Roman"/>
                <w:sz w:val="24"/>
                <w:szCs w:val="24"/>
                <w:vertAlign w:val="superscript"/>
                <w:lang w:val="lt-LT"/>
              </w:rPr>
              <w:t>3</w:t>
            </w:r>
            <w:r>
              <w:rPr>
                <w:rFonts w:ascii="Times New Roman" w:hAnsi="Times New Roman"/>
                <w:sz w:val="24"/>
                <w:szCs w:val="24"/>
                <w:lang w:val="lt-LT"/>
              </w:rPr>
              <w:t>, 24</w:t>
            </w:r>
            <w:r>
              <w:rPr>
                <w:rFonts w:ascii="Times New Roman" w:hAnsi="Times New Roman"/>
                <w:sz w:val="24"/>
                <w:szCs w:val="24"/>
                <w:vertAlign w:val="superscript"/>
                <w:lang w:val="lt-LT"/>
              </w:rPr>
              <w:t>4</w:t>
            </w:r>
            <w:r>
              <w:rPr>
                <w:rFonts w:ascii="Times New Roman" w:hAnsi="Times New Roman"/>
                <w:sz w:val="24"/>
                <w:szCs w:val="24"/>
                <w:lang w:val="lt-LT"/>
              </w:rPr>
              <w:t>, 25</w:t>
            </w:r>
            <w:r>
              <w:rPr>
                <w:rFonts w:ascii="Times New Roman" w:hAnsi="Times New Roman"/>
                <w:sz w:val="24"/>
                <w:szCs w:val="24"/>
                <w:vertAlign w:val="superscript"/>
                <w:lang w:val="lt-LT"/>
              </w:rPr>
              <w:t>1</w:t>
            </w:r>
            <w:r>
              <w:rPr>
                <w:rFonts w:ascii="Times New Roman" w:hAnsi="Times New Roman"/>
                <w:sz w:val="24"/>
                <w:szCs w:val="24"/>
                <w:lang w:val="lt-LT"/>
              </w:rPr>
              <w:t>, 25</w:t>
            </w:r>
            <w:r>
              <w:rPr>
                <w:rFonts w:ascii="Times New Roman" w:hAnsi="Times New Roman"/>
                <w:sz w:val="24"/>
                <w:szCs w:val="24"/>
                <w:vertAlign w:val="superscript"/>
                <w:lang w:val="lt-LT"/>
              </w:rPr>
              <w:t>2</w:t>
            </w:r>
            <w:r>
              <w:rPr>
                <w:rFonts w:ascii="Times New Roman" w:hAnsi="Times New Roman"/>
                <w:sz w:val="24"/>
                <w:szCs w:val="24"/>
                <w:lang w:val="lt-LT"/>
              </w:rPr>
              <w:t>, 29</w:t>
            </w:r>
            <w:r>
              <w:rPr>
                <w:rFonts w:ascii="Times New Roman" w:hAnsi="Times New Roman"/>
                <w:sz w:val="24"/>
                <w:szCs w:val="24"/>
                <w:vertAlign w:val="superscript"/>
                <w:lang w:val="lt-LT"/>
              </w:rPr>
              <w:t>1</w:t>
            </w:r>
            <w:r>
              <w:rPr>
                <w:rFonts w:ascii="Times New Roman" w:hAnsi="Times New Roman"/>
                <w:sz w:val="24"/>
                <w:szCs w:val="24"/>
                <w:lang w:val="lt-LT"/>
              </w:rPr>
              <w:t>, 29</w:t>
            </w:r>
            <w:r>
              <w:rPr>
                <w:rFonts w:ascii="Times New Roman" w:hAnsi="Times New Roman"/>
                <w:sz w:val="24"/>
                <w:szCs w:val="24"/>
                <w:vertAlign w:val="superscript"/>
                <w:lang w:val="lt-LT"/>
              </w:rPr>
              <w:t>2</w:t>
            </w:r>
            <w:r>
              <w:rPr>
                <w:rFonts w:ascii="Times New Roman" w:hAnsi="Times New Roman"/>
                <w:sz w:val="24"/>
                <w:szCs w:val="24"/>
                <w:lang w:val="lt-LT"/>
              </w:rPr>
              <w:t>, 29</w:t>
            </w:r>
            <w:r>
              <w:rPr>
                <w:rFonts w:ascii="Times New Roman" w:hAnsi="Times New Roman"/>
                <w:sz w:val="24"/>
                <w:szCs w:val="24"/>
                <w:vertAlign w:val="superscript"/>
                <w:lang w:val="lt-LT"/>
              </w:rPr>
              <w:t>3</w:t>
            </w:r>
            <w:r>
              <w:rPr>
                <w:rFonts w:ascii="Times New Roman" w:hAnsi="Times New Roman"/>
                <w:sz w:val="24"/>
                <w:szCs w:val="24"/>
                <w:lang w:val="lt-LT"/>
              </w:rPr>
              <w:t>, 29</w:t>
            </w:r>
            <w:r>
              <w:rPr>
                <w:rFonts w:ascii="Times New Roman" w:hAnsi="Times New Roman"/>
                <w:sz w:val="24"/>
                <w:szCs w:val="24"/>
                <w:vertAlign w:val="superscript"/>
                <w:lang w:val="lt-LT"/>
              </w:rPr>
              <w:t>4</w:t>
            </w:r>
            <w:r>
              <w:rPr>
                <w:rFonts w:ascii="Times New Roman" w:hAnsi="Times New Roman"/>
                <w:sz w:val="24"/>
                <w:szCs w:val="24"/>
                <w:lang w:val="lt-LT"/>
              </w:rPr>
              <w:t>, 29</w:t>
            </w:r>
            <w:r>
              <w:rPr>
                <w:rFonts w:ascii="Times New Roman" w:hAnsi="Times New Roman"/>
                <w:sz w:val="24"/>
                <w:szCs w:val="24"/>
                <w:vertAlign w:val="superscript"/>
                <w:lang w:val="lt-LT"/>
              </w:rPr>
              <w:t>5</w:t>
            </w:r>
            <w:r>
              <w:rPr>
                <w:rFonts w:ascii="Times New Roman" w:hAnsi="Times New Roman"/>
                <w:sz w:val="24"/>
                <w:szCs w:val="24"/>
                <w:lang w:val="lt-LT"/>
              </w:rPr>
              <w:t>, 29</w:t>
            </w:r>
            <w:r>
              <w:rPr>
                <w:rFonts w:ascii="Times New Roman" w:hAnsi="Times New Roman"/>
                <w:sz w:val="24"/>
                <w:szCs w:val="24"/>
                <w:vertAlign w:val="superscript"/>
                <w:lang w:val="lt-LT"/>
              </w:rPr>
              <w:t>6</w:t>
            </w:r>
            <w:r>
              <w:rPr>
                <w:rFonts w:ascii="Times New Roman" w:hAnsi="Times New Roman"/>
                <w:sz w:val="24"/>
                <w:szCs w:val="24"/>
                <w:lang w:val="lt-LT"/>
              </w:rPr>
              <w:t>, 29</w:t>
            </w:r>
            <w:r>
              <w:rPr>
                <w:rFonts w:ascii="Times New Roman" w:hAnsi="Times New Roman"/>
                <w:sz w:val="24"/>
                <w:szCs w:val="24"/>
                <w:vertAlign w:val="superscript"/>
                <w:lang w:val="lt-LT"/>
              </w:rPr>
              <w:t>7</w:t>
            </w:r>
            <w:r>
              <w:rPr>
                <w:rFonts w:ascii="Times New Roman" w:hAnsi="Times New Roman"/>
                <w:sz w:val="24"/>
                <w:szCs w:val="24"/>
                <w:lang w:val="lt-LT"/>
              </w:rPr>
              <w:t xml:space="preserve"> ir 29</w:t>
            </w:r>
            <w:r>
              <w:rPr>
                <w:rFonts w:ascii="Times New Roman" w:hAnsi="Times New Roman"/>
                <w:sz w:val="24"/>
                <w:szCs w:val="24"/>
                <w:vertAlign w:val="superscript"/>
                <w:lang w:val="lt-LT"/>
              </w:rPr>
              <w:t xml:space="preserve">8 </w:t>
            </w:r>
            <w:r>
              <w:rPr>
                <w:rFonts w:ascii="Times New Roman" w:hAnsi="Times New Roman"/>
                <w:sz w:val="24"/>
                <w:szCs w:val="24"/>
                <w:lang w:val="lt-LT"/>
              </w:rPr>
              <w:t>straipsniais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+1.111,56 EUR</w:t>
            </w:r>
            <w:r>
              <w:rPr>
                <w:rStyle w:val="FootnoteReference"/>
                <w:rFonts w:ascii="Times New Roman" w:hAnsi="Times New Roman"/>
                <w:sz w:val="24"/>
                <w:szCs w:val="24"/>
                <w:lang w:val="lt-LT"/>
              </w:rPr>
              <w:footnoteReference w:id="7"/>
            </w:r>
          </w:p>
        </w:tc>
      </w:tr>
      <w:tr w:rsidR="00206E74">
        <w:tc>
          <w:tcPr>
            <w:tcW w:w="8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15.</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Sveikatos apsaugos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lastRenderedPageBreak/>
              <w:t>1</w:t>
            </w:r>
            <w:r>
              <w:rPr>
                <w:rFonts w:ascii="Times New Roman" w:hAnsi="Times New Roman"/>
                <w:bCs/>
                <w:sz w:val="24"/>
                <w:szCs w:val="24"/>
                <w:lang w:val="lt-LT"/>
              </w:rPr>
              <w:t>5</w:t>
            </w:r>
            <w:r>
              <w:rPr>
                <w:rFonts w:ascii="Times New Roman" w:hAnsi="Times New Roman"/>
                <w:bCs/>
                <w:sz w:val="24"/>
                <w:szCs w:val="24"/>
              </w:rPr>
              <w:t>.1.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farmacijos įstatymo Nr. X-709 2, 8, 19, 33, 35, 59(1), 68(1) straipsnių pakeitimo ir įstatymo papildymo aštuntuoju(1) skirsniu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+9.720,34 EUR</w:t>
            </w:r>
            <w:r>
              <w:rPr>
                <w:rStyle w:val="FootnoteReference"/>
                <w:rFonts w:ascii="Times New Roman" w:hAnsi="Times New Roman"/>
                <w:sz w:val="24"/>
                <w:szCs w:val="24"/>
                <w:lang w:val="lt-LT"/>
              </w:rPr>
              <w:footnoteReference w:id="8"/>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.2.</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Vyriausybės nutarimo „Dėl Lietuvos Respublikos Vyriausybės 1999 m. gegužės 25 d. nutarimo Nr. 651 „Dėl Valstybės jonizuojančiosios spinduliuotės šaltinių ir darbuotojų apšvitos registro įsteigimo bei jo nuostatų  patvirtinimo“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+6,71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.3.</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Lietuvos Respublikos sveikatos apsaugos ministro 2001 m. gruodžio 21 d. įsakymo Nr. 663 „Dėl Lietuvos higienos normos HN 73:2001 „Pagrindinės radiacinės saugos normos“ patvirtinimo“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+30.668,91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.4.</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farmacijos įstatymo Nr. X-709 2, 8, 15, 17, 27, 33, 35, 36, 39, 48, 57 straipsnių ir priedo pakeitimo ir įstatymo papildymo 65(1) straipsniu įstatymo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+57.961,08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.5.</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Veiklų su jonizuojančiosios spinduliuotės šaltiniais, išskyrus branduolinės energetikos srities veiklą su jonizuojančiosios spinduliuotės šaltiniais, įskaitant vartojimo gaminių gamybą, importą ir numatomą naudojimą, pagrįstumo vertinimo tvarkos aprašo patvirtinimo“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+53,68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.6.</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Lietuvos Respublikos sveikatos apsaugos ministro 2013 m. liepos 15 d. įsakymo Nr. V-698 "Dėl Leidimų laikinai tiekti Lietuvos Respublikos rinkai registruotus vaistinius preparatus pakuotėmis užsienio kalba ir su pakuotės lapeliais, parengtais užsienio kalba, išdavimo tvarkos aprašo patvirtinimo"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+1.486,66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.7.</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Lietuvos Respublikos sveikatos apsaugos ministro 2016 m. balandžio 25 d. įsakymo Nr. V-511 "Dėl pažymėjimų, suteikiančių teisę atlikti medicinos priemonių (prietaisų) techninės būklės tikrinimą, išdavimo bei informacijos apie vykdomą medicinos priemonių (prietaisų) techninės būklės tikrinimo veiklą ir duomenų pasikeitimą teikimo  tvarkos aprašo patvirtinimo"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-6,46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.8.</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2007 m. kovo 2 d. įsakymo Nr. V-156 "Dėl Asmens sveikatos priežiūros įstaigų licencijavimo"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-11.737,31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.9.</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Lietuvos Respublikos sveikatos apsaugos ministro 2006 m. gruodžio 28 d. įsakymo Nr. V-1128 „Dėl Vaistinių preparatų reklamos taisyklių patvirtinimo“ pakeitimo“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+9.086,91 EUR</w:t>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.10.</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Lietuvos Respublikos Vyriausybės nutarimo "Dėl Leidimų verstis veikla su į narkotinių ir psichotropinių medžiagų IV sąrašą įrašytomis </w:t>
            </w:r>
            <w:r>
              <w:rPr>
                <w:rFonts w:ascii="Times New Roman" w:hAnsi="Times New Roman"/>
                <w:sz w:val="24"/>
                <w:szCs w:val="24"/>
                <w:lang w:val="lt-LT"/>
              </w:rPr>
              <w:lastRenderedPageBreak/>
              <w:t>medžiagomis išdavimo, pranešimų apie importą, eksportą pateikimo taisyklių patvirtinimo"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rPr>
              <w:lastRenderedPageBreak/>
              <w:t>+140,58 EUR</w:t>
            </w:r>
            <w:r>
              <w:rPr>
                <w:rStyle w:val="FootnoteReference"/>
                <w:rFonts w:ascii="Times New Roman" w:hAnsi="Times New Roman"/>
                <w:sz w:val="24"/>
                <w:szCs w:val="24"/>
              </w:rPr>
              <w:footnoteReference w:id="9"/>
            </w:r>
          </w:p>
        </w:tc>
      </w:tr>
      <w:tr w:rsidR="00206E74">
        <w:tc>
          <w:tcPr>
            <w:tcW w:w="846" w:type="dxa"/>
            <w:shd w:val="clear" w:color="auto" w:fill="auto"/>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5</w:t>
            </w:r>
            <w:r>
              <w:rPr>
                <w:rFonts w:ascii="Times New Roman" w:hAnsi="Times New Roman"/>
                <w:bCs/>
                <w:sz w:val="24"/>
                <w:szCs w:val="24"/>
              </w:rPr>
              <w:t>.11.</w:t>
            </w:r>
          </w:p>
        </w:tc>
        <w:tc>
          <w:tcPr>
            <w:tcW w:w="6946"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sveikatos apsaugos ministro įsakymo „Dėl Lietuvos Respublikos sveikatos apsaugos ministro 2011 m. spalio 7 d. įsakymo Nr. V-892 „Dėl Radionuklidų nebekontroliuojamųjų radioaktyvumo lygių medžiagoms, susidarančioms veiklos su jonizuojančiosios spinduliuotės šaltiniais metu, išskyrus tokią veiklą branduolinės energetikos srityje, nustatymo ir taikymo tvarkos aprašo patvirtinimo“ pakeitimo“ projektas</w:t>
            </w:r>
          </w:p>
        </w:tc>
        <w:tc>
          <w:tcPr>
            <w:tcW w:w="1984" w:type="dxa"/>
            <w:shd w:val="clear" w:color="auto" w:fill="auto"/>
          </w:tcPr>
          <w:p w:rsidR="00206E74" w:rsidRDefault="00CB766F">
            <w:pPr>
              <w:spacing w:after="0" w:line="240" w:lineRule="auto"/>
              <w:jc w:val="both"/>
              <w:rPr>
                <w:rFonts w:ascii="Times New Roman" w:hAnsi="Times New Roman"/>
                <w:color w:val="1F497D"/>
                <w:sz w:val="24"/>
                <w:szCs w:val="24"/>
              </w:rPr>
            </w:pPr>
            <w:r>
              <w:rPr>
                <w:rFonts w:ascii="Times New Roman" w:hAnsi="Times New Roman"/>
                <w:sz w:val="24"/>
                <w:szCs w:val="24"/>
              </w:rPr>
              <w:t>+41,94 EUR</w:t>
            </w:r>
          </w:p>
        </w:tc>
      </w:tr>
      <w:tr w:rsidR="00206E74">
        <w:trPr>
          <w:trHeight w:val="253"/>
        </w:trPr>
        <w:tc>
          <w:tcPr>
            <w:tcW w:w="846" w:type="dxa"/>
          </w:tcPr>
          <w:p w:rsidR="00206E74" w:rsidRDefault="00CB766F">
            <w:pPr>
              <w:spacing w:after="0" w:line="240" w:lineRule="auto"/>
              <w:ind w:right="24"/>
              <w:jc w:val="both"/>
              <w:rPr>
                <w:rFonts w:ascii="Times New Roman" w:hAnsi="Times New Roman"/>
                <w:sz w:val="24"/>
                <w:szCs w:val="24"/>
                <w:lang w:val="lt-LT"/>
              </w:rPr>
            </w:pPr>
            <w:r>
              <w:rPr>
                <w:rFonts w:ascii="Times New Roman" w:hAnsi="Times New Roman"/>
                <w:sz w:val="24"/>
                <w:szCs w:val="24"/>
                <w:lang w:val="lt-LT"/>
              </w:rPr>
              <w:t>16.</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Teisingumo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ind w:right="24"/>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ind w:right="24"/>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ind w:right="24"/>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shd w:val="clear" w:color="auto" w:fill="auto"/>
          </w:tcPr>
          <w:p w:rsidR="00206E74" w:rsidRDefault="00CB766F">
            <w:pPr>
              <w:spacing w:after="0" w:line="240" w:lineRule="auto"/>
              <w:ind w:right="24"/>
              <w:jc w:val="both"/>
              <w:rPr>
                <w:rFonts w:ascii="Times New Roman" w:hAnsi="Times New Roman"/>
                <w:sz w:val="24"/>
                <w:szCs w:val="24"/>
                <w:lang w:val="lt-LT"/>
              </w:rPr>
            </w:pPr>
            <w:r>
              <w:rPr>
                <w:rFonts w:ascii="Times New Roman" w:hAnsi="Times New Roman"/>
                <w:sz w:val="24"/>
                <w:szCs w:val="24"/>
                <w:lang w:val="lt-LT"/>
              </w:rPr>
              <w:t>16.1.</w:t>
            </w:r>
          </w:p>
        </w:tc>
        <w:tc>
          <w:tcPr>
            <w:tcW w:w="6946" w:type="dxa"/>
            <w:shd w:val="clear" w:color="auto" w:fill="auto"/>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Lietuvos Respublikos prekių ženklų įstatymo Nr. VIII-1981 pakeitimo įstatymo projektas</w:t>
            </w:r>
          </w:p>
        </w:tc>
        <w:tc>
          <w:tcPr>
            <w:tcW w:w="1984" w:type="dxa"/>
            <w:shd w:val="clear" w:color="auto" w:fill="auto"/>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-1.950,10 EUR</w:t>
            </w:r>
          </w:p>
        </w:tc>
      </w:tr>
      <w:tr w:rsidR="00206E74">
        <w:trPr>
          <w:trHeight w:val="253"/>
        </w:trPr>
        <w:tc>
          <w:tcPr>
            <w:tcW w:w="846" w:type="dxa"/>
          </w:tcPr>
          <w:p w:rsidR="00206E74" w:rsidRDefault="00206E74">
            <w:pPr>
              <w:spacing w:after="0" w:line="240" w:lineRule="auto"/>
              <w:ind w:right="24"/>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shd w:val="clear" w:color="auto" w:fill="FFFFFF" w:themeFill="background1"/>
          </w:tcPr>
          <w:p w:rsidR="00206E74" w:rsidRDefault="00206E74">
            <w:pPr>
              <w:spacing w:after="0" w:line="240" w:lineRule="auto"/>
              <w:ind w:right="24"/>
              <w:jc w:val="both"/>
              <w:rPr>
                <w:rFonts w:ascii="Times New Roman" w:hAnsi="Times New Roman"/>
                <w:sz w:val="24"/>
                <w:szCs w:val="24"/>
                <w:lang w:val="lt-LT"/>
              </w:rPr>
            </w:pPr>
          </w:p>
        </w:tc>
        <w:tc>
          <w:tcPr>
            <w:tcW w:w="6946" w:type="dxa"/>
            <w:shd w:val="clear" w:color="auto" w:fill="FFFFFF" w:themeFill="background1"/>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shd w:val="clear" w:color="auto" w:fill="FFFFFF" w:themeFill="background1"/>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CB766F">
            <w:pPr>
              <w:spacing w:after="0" w:line="240" w:lineRule="auto"/>
              <w:ind w:right="24"/>
              <w:jc w:val="both"/>
              <w:rPr>
                <w:rFonts w:ascii="Times New Roman" w:hAnsi="Times New Roman"/>
                <w:sz w:val="24"/>
                <w:szCs w:val="24"/>
                <w:lang w:val="lt-LT"/>
              </w:rPr>
            </w:pPr>
            <w:r>
              <w:rPr>
                <w:rFonts w:ascii="Times New Roman" w:hAnsi="Times New Roman"/>
                <w:sz w:val="24"/>
                <w:szCs w:val="24"/>
                <w:lang w:val="lt-LT"/>
              </w:rPr>
              <w:t>17.</w:t>
            </w:r>
          </w:p>
        </w:tc>
        <w:tc>
          <w:tcPr>
            <w:tcW w:w="6946" w:type="dxa"/>
          </w:tcPr>
          <w:p w:rsidR="00206E74" w:rsidRDefault="00CB766F">
            <w:pPr>
              <w:spacing w:after="0" w:line="240" w:lineRule="auto"/>
              <w:jc w:val="both"/>
              <w:rPr>
                <w:rFonts w:ascii="Times New Roman" w:hAnsi="Times New Roman"/>
                <w:b/>
                <w:color w:val="00B050"/>
                <w:sz w:val="24"/>
                <w:szCs w:val="24"/>
                <w:lang w:val="lt-LT"/>
              </w:rPr>
            </w:pPr>
            <w:r>
              <w:rPr>
                <w:rFonts w:ascii="Times New Roman" w:hAnsi="Times New Roman"/>
                <w:b/>
                <w:sz w:val="24"/>
                <w:szCs w:val="24"/>
                <w:lang w:val="lt-LT"/>
              </w:rPr>
              <w:t xml:space="preserve">Valstybinė atominės energetikos saugos inspekcija </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jc w:val="both"/>
              <w:rPr>
                <w:rFonts w:ascii="Times New Roman" w:hAnsi="Times New Roman"/>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2010 m. vasario 5 d. įsakymo Nr. 22.3-16 "Branduolinės saugos reikalavimų BSR-2.1.2-2010 "Bendrieji atominių elektrinių su RBMK-1500 tipo reaktoriais saugos užtikrinimo reikalavimai"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-50,33 EUR</w:t>
            </w:r>
            <w:r>
              <w:rPr>
                <w:rStyle w:val="FootnoteReference"/>
                <w:rFonts w:ascii="Times New Roman" w:hAnsi="Times New Roman"/>
                <w:sz w:val="24"/>
                <w:szCs w:val="24"/>
                <w:lang w:val="lt-LT"/>
              </w:rPr>
              <w:footnoteReference w:id="10"/>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1999 m. rugsėjo 28 d. įsakymo Nr. 21 „Dėl Branduolinės energetikos objektų saugai svarbių sistemų ir elementų senėjimo valdymo reikalavimai“ patvirtinimo“ pripažinimo netekusiu galios“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-33,55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17.3.</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Branduolinės saugos reikalavimų BSR-1.8.4-2018 „Branduolinės energetikos objekto saugai svarbių konstrukcijų, sistemų ir komponentų senėjimo valdymas“ patvirtinimo“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+41,94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17.4.</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Branduolinės saugos reikalavimų BSR-1.8.5-2018 "Branduolinės energetikos objekto pripažinimas tinkamu eksploatuoti" patvirtinimo"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-50,33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17.5.</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2011 m. lapkričio 25 d. įsakymo Nr. 22.3-117 „Dėl Branduolinės saugos reikalavimų BSR-2.1.4-2011 „Branduolinės elektrinės saugos analizės ataskaitos rengimas ir naudojimas“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-8,39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17.6.</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2000 m. gegužės 2 d. įsakymo Nr. 13 „Dėl Saugos pagrindimo ir eksploatacinės kontrolės reikalavimų patvirtinimo“ pripažinimo netekusio galios“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-33,60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17.7.</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2003 m. gruodžio 30 d. įsakymo Nr. 22.3-71 „Dėl Avarinio aušinimo ir šilumos nuvedimo nuo branduolinio reaktoriaus galutiniam sugėrikliui sistemų projektavimo, įrengimo ir eksploatavimo reikalavimų patvirtinimo“ pripažinimo netekusio galios“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-16,80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17.8.</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Valstybinės atominės energetikos saugos inspekcijos viršininko 2014 m. gegužės 30 d. įsakymo Nr.22.3-85 „Dėl Branduolinės saugos reikalavimų BSR-1.2.1-2014 „Branduolinių medžiagų apskaitos ir kontrolės bei informavimo apie mokslinius tyrimus ir taikomąją veiklą tvarkos aprašas“ patvirtinimo ir kai kurių Valstybinės atominės energetikos saugos inspekcijos viršininko įsakymų pripažinimo netekusiais galios“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-46,97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17.9.</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atominės energetikos saugos inspekcijos viršininko įsakymo „Dėl Branduolinės saugos reikalavimų BSR-1.9.6-2018 „Branduolinės energetikos srities veiklos su jonizuojančiosios spinduliuotės šaltiniais radiacinės saugos eksperto pripažinimas ir šios veiklos vykdytojų konsultavimosi su radiacinės saugos ekspertu pareigos“ patvirtinimo“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+6,72 EUR</w:t>
            </w:r>
          </w:p>
        </w:tc>
      </w:tr>
      <w:tr w:rsidR="00206E74">
        <w:trPr>
          <w:trHeight w:val="253"/>
        </w:trPr>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18.</w:t>
            </w:r>
          </w:p>
        </w:tc>
        <w:tc>
          <w:tcPr>
            <w:tcW w:w="6946" w:type="dxa"/>
          </w:tcPr>
          <w:p w:rsidR="00206E74" w:rsidRDefault="00CB766F" w:rsidP="00733095">
            <w:pPr>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maisto ir veterinarijos tarnyba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rPr>
          <w:trHeight w:val="90"/>
        </w:trPr>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sz w:val="24"/>
                <w:szCs w:val="24"/>
                <w:lang w:val="lt-LT"/>
              </w:rPr>
            </w:pPr>
          </w:p>
        </w:tc>
        <w:tc>
          <w:tcPr>
            <w:tcW w:w="6946"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lt-LT"/>
              </w:rPr>
              <w:t>8</w:t>
            </w:r>
            <w:r>
              <w:rPr>
                <w:rFonts w:ascii="Times New Roman" w:hAnsi="Times New Roman"/>
                <w:sz w:val="24"/>
                <w:szCs w:val="24"/>
              </w:rPr>
              <w:t>.1.</w:t>
            </w:r>
          </w:p>
        </w:tc>
        <w:tc>
          <w:tcPr>
            <w:tcW w:w="6946"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įsakymo „Dėl Valstybinės maisto ir veterinarijos tarnybos direktoriaus 2013 m. liepos 30 d. įsakymo Nr. B1-508 „Dėl Veterinarijos reikalavimų gyvūnų augintinių veisėjams patvirtinimo“ pakeitimo“ projektas</w:t>
            </w:r>
          </w:p>
        </w:tc>
        <w:tc>
          <w:tcPr>
            <w:tcW w:w="1984"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-5.857,14 EUR</w:t>
            </w:r>
          </w:p>
        </w:tc>
      </w:tr>
      <w:tr w:rsidR="00206E74" w:rsidTr="00733095">
        <w:trPr>
          <w:trHeight w:val="1020"/>
        </w:trPr>
        <w:tc>
          <w:tcPr>
            <w:tcW w:w="846" w:type="dxa"/>
          </w:tcPr>
          <w:p w:rsidR="00206E74" w:rsidRDefault="00CB766F">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lt-LT"/>
              </w:rPr>
              <w:t>8</w:t>
            </w:r>
            <w:r>
              <w:rPr>
                <w:rFonts w:ascii="Times New Roman" w:hAnsi="Times New Roman"/>
                <w:sz w:val="24"/>
                <w:szCs w:val="24"/>
              </w:rPr>
              <w:t>.2.</w:t>
            </w:r>
          </w:p>
          <w:p w:rsidR="006E378C" w:rsidRDefault="006E378C">
            <w:pPr>
              <w:spacing w:after="0" w:line="240" w:lineRule="auto"/>
              <w:jc w:val="both"/>
              <w:rPr>
                <w:rFonts w:ascii="Times New Roman" w:hAnsi="Times New Roman"/>
                <w:sz w:val="24"/>
                <w:szCs w:val="24"/>
              </w:rPr>
            </w:pPr>
          </w:p>
          <w:p w:rsidR="006E378C" w:rsidRDefault="006E378C">
            <w:pPr>
              <w:spacing w:after="0" w:line="240" w:lineRule="auto"/>
              <w:jc w:val="both"/>
              <w:rPr>
                <w:rFonts w:ascii="Times New Roman" w:hAnsi="Times New Roman"/>
                <w:sz w:val="24"/>
                <w:szCs w:val="24"/>
              </w:rPr>
            </w:pPr>
          </w:p>
          <w:p w:rsidR="006E378C" w:rsidRDefault="006E378C">
            <w:pPr>
              <w:spacing w:after="0" w:line="240" w:lineRule="auto"/>
              <w:jc w:val="both"/>
              <w:rPr>
                <w:rFonts w:ascii="Times New Roman" w:hAnsi="Times New Roman"/>
                <w:sz w:val="24"/>
                <w:szCs w:val="24"/>
              </w:rPr>
            </w:pPr>
          </w:p>
        </w:tc>
        <w:tc>
          <w:tcPr>
            <w:tcW w:w="6946"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maisto ir veterinarijos tarnybos direktoriaus 2012 m. birželio 4 d. įsakymo Nr. B1-457 "Dėl Reikalavimų veterinarijos paslaugų teikėjams patvirtinimo" pakeitimo" projektas</w:t>
            </w:r>
          </w:p>
          <w:p w:rsidR="006E378C" w:rsidRDefault="006E378C">
            <w:pPr>
              <w:tabs>
                <w:tab w:val="left" w:pos="0"/>
              </w:tabs>
              <w:spacing w:after="0" w:line="240" w:lineRule="auto"/>
              <w:jc w:val="both"/>
              <w:rPr>
                <w:rFonts w:ascii="Times New Roman" w:hAnsi="Times New Roman"/>
                <w:sz w:val="24"/>
                <w:szCs w:val="24"/>
                <w:lang w:val="lt-LT"/>
              </w:rPr>
            </w:pPr>
          </w:p>
        </w:tc>
        <w:tc>
          <w:tcPr>
            <w:tcW w:w="1984" w:type="dxa"/>
          </w:tcPr>
          <w:p w:rsidR="00206E74" w:rsidRDefault="00CB766F">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-35.279,69 EUR</w:t>
            </w:r>
          </w:p>
          <w:p w:rsidR="006E378C" w:rsidRDefault="006E378C">
            <w:pPr>
              <w:tabs>
                <w:tab w:val="left" w:pos="0"/>
              </w:tabs>
              <w:spacing w:after="0" w:line="240" w:lineRule="auto"/>
              <w:jc w:val="both"/>
              <w:rPr>
                <w:rFonts w:ascii="Times New Roman" w:hAnsi="Times New Roman"/>
                <w:sz w:val="24"/>
                <w:szCs w:val="24"/>
                <w:lang w:val="lt-LT"/>
              </w:rPr>
            </w:pPr>
          </w:p>
          <w:p w:rsidR="006E378C" w:rsidRDefault="006E378C">
            <w:pPr>
              <w:tabs>
                <w:tab w:val="left" w:pos="0"/>
              </w:tabs>
              <w:spacing w:after="0" w:line="240" w:lineRule="auto"/>
              <w:jc w:val="both"/>
              <w:rPr>
                <w:rFonts w:ascii="Times New Roman" w:hAnsi="Times New Roman"/>
                <w:sz w:val="24"/>
                <w:szCs w:val="24"/>
                <w:lang w:val="lt-LT"/>
              </w:rPr>
            </w:pPr>
          </w:p>
          <w:p w:rsidR="006E378C" w:rsidRDefault="006E378C">
            <w:pPr>
              <w:tabs>
                <w:tab w:val="left" w:pos="0"/>
              </w:tabs>
              <w:spacing w:after="0" w:line="240" w:lineRule="auto"/>
              <w:jc w:val="both"/>
              <w:rPr>
                <w:rFonts w:ascii="Times New Roman" w:hAnsi="Times New Roman"/>
                <w:sz w:val="24"/>
                <w:szCs w:val="24"/>
                <w:lang w:val="lt-LT"/>
              </w:rPr>
            </w:pPr>
          </w:p>
        </w:tc>
      </w:tr>
      <w:tr w:rsidR="00733095" w:rsidTr="004E547C">
        <w:trPr>
          <w:trHeight w:val="900"/>
        </w:trPr>
        <w:tc>
          <w:tcPr>
            <w:tcW w:w="846" w:type="dxa"/>
            <w:shd w:val="clear" w:color="auto" w:fill="D6E3BC" w:themeFill="accent3" w:themeFillTint="66"/>
          </w:tcPr>
          <w:p w:rsidR="00733095" w:rsidRDefault="00733095" w:rsidP="00733095">
            <w:pPr>
              <w:spacing w:after="0" w:line="240" w:lineRule="auto"/>
              <w:jc w:val="both"/>
              <w:rPr>
                <w:rFonts w:ascii="Times New Roman" w:hAnsi="Times New Roman"/>
                <w:sz w:val="24"/>
                <w:szCs w:val="24"/>
              </w:rPr>
            </w:pPr>
            <w:r>
              <w:rPr>
                <w:rFonts w:ascii="Times New Roman" w:hAnsi="Times New Roman"/>
                <w:sz w:val="24"/>
                <w:szCs w:val="24"/>
              </w:rPr>
              <w:lastRenderedPageBreak/>
              <w:t>18.3.</w:t>
            </w:r>
          </w:p>
        </w:tc>
        <w:tc>
          <w:tcPr>
            <w:tcW w:w="6946" w:type="dxa"/>
            <w:shd w:val="clear" w:color="auto" w:fill="D6E3BC" w:themeFill="accent3" w:themeFillTint="66"/>
          </w:tcPr>
          <w:p w:rsidR="00733095" w:rsidRDefault="00733095" w:rsidP="00733095">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Geros higienos praktikos taisyklės viešojo maitinimo įmonėms (2018 metų redakcija)</w:t>
            </w:r>
            <w:r>
              <w:rPr>
                <w:rStyle w:val="FootnoteReference"/>
                <w:rFonts w:ascii="Times New Roman" w:hAnsi="Times New Roman"/>
                <w:sz w:val="24"/>
                <w:szCs w:val="24"/>
                <w:lang w:val="lt-LT"/>
              </w:rPr>
              <w:footnoteReference w:id="11"/>
            </w:r>
          </w:p>
        </w:tc>
        <w:tc>
          <w:tcPr>
            <w:tcW w:w="1984" w:type="dxa"/>
            <w:shd w:val="clear" w:color="auto" w:fill="D6E3BC" w:themeFill="accent3" w:themeFillTint="66"/>
          </w:tcPr>
          <w:p w:rsidR="00733095" w:rsidRDefault="00742AFB" w:rsidP="00733095">
            <w:pPr>
              <w:tabs>
                <w:tab w:val="left" w:pos="0"/>
              </w:tabs>
              <w:spacing w:after="0" w:line="240" w:lineRule="auto"/>
              <w:jc w:val="both"/>
              <w:rPr>
                <w:rFonts w:ascii="Times New Roman" w:hAnsi="Times New Roman"/>
                <w:sz w:val="24"/>
                <w:szCs w:val="24"/>
                <w:lang w:val="lt-LT"/>
              </w:rPr>
            </w:pPr>
            <w:r>
              <w:rPr>
                <w:rFonts w:ascii="Times New Roman" w:hAnsi="Times New Roman"/>
                <w:sz w:val="24"/>
                <w:szCs w:val="24"/>
                <w:lang w:val="lt-LT"/>
              </w:rPr>
              <w:t>-31</w:t>
            </w:r>
            <w:r w:rsidR="00733095">
              <w:rPr>
                <w:rFonts w:ascii="Times New Roman" w:hAnsi="Times New Roman"/>
                <w:sz w:val="24"/>
                <w:szCs w:val="24"/>
                <w:lang w:val="lt-LT"/>
              </w:rPr>
              <w:t>.840.925,71 EUR</w:t>
            </w:r>
          </w:p>
        </w:tc>
      </w:tr>
      <w:tr w:rsidR="00206E74">
        <w:tc>
          <w:tcPr>
            <w:tcW w:w="8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19.</w:t>
            </w:r>
          </w:p>
        </w:tc>
        <w:tc>
          <w:tcPr>
            <w:tcW w:w="6946" w:type="dxa"/>
          </w:tcPr>
          <w:p w:rsidR="00206E74" w:rsidRDefault="00CB766F">
            <w:pPr>
              <w:tabs>
                <w:tab w:val="left" w:pos="0"/>
              </w:tabs>
              <w:spacing w:after="0" w:line="240" w:lineRule="auto"/>
              <w:jc w:val="both"/>
              <w:rPr>
                <w:rFonts w:ascii="Times New Roman" w:hAnsi="Times New Roman"/>
                <w:b/>
                <w:sz w:val="24"/>
                <w:szCs w:val="24"/>
                <w:lang w:val="lt-LT"/>
              </w:rPr>
            </w:pPr>
            <w:r>
              <w:rPr>
                <w:rFonts w:ascii="Times New Roman" w:hAnsi="Times New Roman"/>
                <w:b/>
                <w:sz w:val="24"/>
                <w:szCs w:val="24"/>
                <w:lang w:val="lt-LT"/>
              </w:rPr>
              <w:t>Valstybinė mokesčių inspekcija prie Finansų ministerijos</w:t>
            </w:r>
          </w:p>
        </w:tc>
        <w:tc>
          <w:tcPr>
            <w:tcW w:w="1984" w:type="dxa"/>
          </w:tcPr>
          <w:p w:rsidR="00206E74" w:rsidRDefault="00206E74">
            <w:pPr>
              <w:tabs>
                <w:tab w:val="left" w:pos="0"/>
              </w:tabs>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9</w:t>
            </w:r>
            <w:r>
              <w:rPr>
                <w:rFonts w:ascii="Times New Roman" w:hAnsi="Times New Roman"/>
                <w:bCs/>
                <w:sz w:val="24"/>
                <w:szCs w:val="24"/>
              </w:rPr>
              <w:t>.1.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įsakymo „Dėl Valstybinės mokesčių inspekcijos prie Lietuvos Respublikos finansų ministerijos viršininko 2004 m. liepos 9 d. įsakymo Nr. VA-135 „Dėl Mokesčių deklaracijų pateikimo, jų pateikimo termino pratęsimo ir mokesčių mokėtojų laikino atleidimo nuo mokesčių deklaracijų ir (arba) kitų teisės aktuose nurodytų dokumentų pateikimo“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-19.699,99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9</w:t>
            </w:r>
            <w:r>
              <w:rPr>
                <w:rFonts w:ascii="Times New Roman" w:hAnsi="Times New Roman"/>
                <w:bCs/>
                <w:sz w:val="24"/>
                <w:szCs w:val="24"/>
              </w:rPr>
              <w:t>.2.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įsakymo „Dėl Valstybinės mokesčių inspekcijos prie Lietuvos Respublikos finansų ministerijos viršininko 2009 m. vasario 20 d. įsakymo Nr. VA-17 „Dėl Pranešimo apie investicinį projektą PLN210 formos bei jos užpildymo ir teikimo taisyklių patvirtinimo“ pripažinimo netekusiu galios“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-2.776,73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lt-LT"/>
              </w:rPr>
              <w:t>9</w:t>
            </w:r>
            <w:r>
              <w:rPr>
                <w:rFonts w:ascii="Times New Roman" w:hAnsi="Times New Roman"/>
                <w:bCs/>
                <w:sz w:val="24"/>
                <w:szCs w:val="24"/>
              </w:rPr>
              <w:t>.3.</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Valstybinės mokesčių inspekcijos prie Lietuvos Respublikos finansų ministerijos viršininko „Dėl Valstybinės mokesčių inspekcijos prie Lietuvos Respublikos finansų ministerijos viršininko 2004 m. kovo 1 d. įsakymo Nr. VA-29 „Dėl pridėtinės vertės mokesčio deklaracijos ir kitų su šiuo mokesčiu susijusių formų bei jų užpildymo taisyklių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-76.624,70 EUR</w:t>
            </w: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20</w:t>
            </w:r>
            <w:r>
              <w:rPr>
                <w:rFonts w:ascii="Times New Roman" w:hAnsi="Times New Roman"/>
                <w:bCs/>
                <w:sz w:val="24"/>
                <w:szCs w:val="24"/>
              </w:rPr>
              <w:t>.</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sz w:val="24"/>
                <w:szCs w:val="24"/>
                <w:lang w:val="lt-LT"/>
              </w:rPr>
              <w:t>Valstybinė socialinio draudimo fondo valdyba prie Socialinės apsaugos ir darbo ministerijos</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20</w:t>
            </w:r>
            <w:r>
              <w:rPr>
                <w:rFonts w:ascii="Times New Roman" w:hAnsi="Times New Roman"/>
                <w:bCs/>
                <w:sz w:val="24"/>
                <w:szCs w:val="24"/>
              </w:rPr>
              <w:t>.1.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Valstybinio socialinio draudimo fondo valdybos prie Socialinės apsaugos ir darbo ministerijos direktoriaus 2018 m. gruodžio 7 d. įsakymas Nr. V-624 „Dėl Valstybinio socialinio draudimo fondo valdybos prie Socialinės apsaugos ir darbo ministerijos direktoriaus 2010 m. birželio 4 d. įsakymo Nr. V-243 „Dėl Duomenų apie apdraustuosius ir draudėjus pateikimo ir tikslinimo taisyklių, socialinio draudimo pranešimų/prašymo formų ir jų elektroninių duomenų struktūros aprašų patvirtinimo“ pakeitimo“</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-370.983,48 EUR</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Vidaus reikalų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2015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21.1.</w:t>
            </w: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Kūno kultūros ir sporto įstatymo Nr. I-1151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+668,90 EUR</w:t>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valstybės tarnybos įstatymo Nr. VIII-1316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-3.872,10 EUR</w:t>
            </w:r>
            <w:r>
              <w:rPr>
                <w:rStyle w:val="FootnoteReference"/>
                <w:rFonts w:ascii="Times New Roman" w:hAnsi="Times New Roman"/>
                <w:sz w:val="24"/>
                <w:szCs w:val="24"/>
                <w:lang w:val="lt-LT"/>
              </w:rPr>
              <w:footnoteReference w:id="12"/>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lang w:val="lt-LT"/>
              </w:rPr>
              <w:t>21</w:t>
            </w:r>
            <w:r>
              <w:rPr>
                <w:rFonts w:ascii="Times New Roman" w:hAnsi="Times New Roman"/>
                <w:bCs/>
                <w:sz w:val="24"/>
                <w:szCs w:val="24"/>
              </w:rPr>
              <w:t>.3.</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pinigų plovimo ir teroristų finansavimo prevencijos įstatymo Nr. VIII-275 2, 15 ir 25 straipsnių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-69,18 EUR</w:t>
            </w:r>
            <w:r>
              <w:rPr>
                <w:rFonts w:ascii="Times New Roman" w:hAnsi="Times New Roman"/>
                <w:sz w:val="24"/>
                <w:szCs w:val="24"/>
                <w:vertAlign w:val="superscript"/>
                <w:lang w:val="lt-LT"/>
              </w:rPr>
              <w:t>12</w:t>
            </w:r>
          </w:p>
        </w:tc>
      </w:tr>
      <w:tr w:rsidR="00206E74">
        <w:tc>
          <w:tcPr>
            <w:tcW w:w="846" w:type="dxa"/>
          </w:tcPr>
          <w:p w:rsidR="00206E74" w:rsidRDefault="00CB766F">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22.</w:t>
            </w: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sz w:val="24"/>
                <w:szCs w:val="24"/>
                <w:lang w:val="lt-LT"/>
              </w:rPr>
              <w:t>Žemės ūkio ministerija</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bCs/>
                <w:i/>
                <w:iCs/>
                <w:sz w:val="24"/>
                <w:szCs w:val="24"/>
                <w:lang w:val="lt-LT"/>
              </w:rPr>
            </w:pPr>
            <w:r>
              <w:rPr>
                <w:rFonts w:ascii="Times New Roman" w:hAnsi="Times New Roman"/>
                <w:b/>
                <w:bCs/>
                <w:i/>
                <w:iCs/>
                <w:sz w:val="24"/>
                <w:szCs w:val="24"/>
                <w:lang w:val="lt-LT"/>
              </w:rPr>
              <w:t>2016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Cs/>
                <w:iCs/>
                <w:sz w:val="24"/>
                <w:szCs w:val="24"/>
                <w:lang w:val="lt-LT"/>
              </w:rPr>
            </w:pPr>
            <w:r>
              <w:rPr>
                <w:rFonts w:ascii="Times New Roman" w:hAnsi="Times New Roman"/>
                <w:bCs/>
                <w:iCs/>
                <w:sz w:val="24"/>
                <w:szCs w:val="24"/>
                <w:lang w:val="lt-LT"/>
              </w:rPr>
              <w:t>-</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2017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lang w:val="lt-LT"/>
              </w:rPr>
              <w:t>2</w:t>
            </w:r>
            <w:r>
              <w:rPr>
                <w:rFonts w:ascii="Times New Roman" w:hAnsi="Times New Roman"/>
                <w:bCs/>
                <w:sz w:val="24"/>
                <w:szCs w:val="24"/>
              </w:rPr>
              <w:t>.1.</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gyvulių veislininkystės įstatymo Nr. I-384 pakeitimo įstatymo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-2.029,50 EUR</w:t>
            </w:r>
            <w:r>
              <w:rPr>
                <w:rStyle w:val="FootnoteReference"/>
                <w:rFonts w:ascii="Times New Roman" w:hAnsi="Times New Roman"/>
                <w:sz w:val="24"/>
                <w:szCs w:val="24"/>
                <w:lang w:val="lt-LT"/>
              </w:rPr>
              <w:footnoteReference w:id="13"/>
            </w:r>
          </w:p>
        </w:tc>
      </w:tr>
      <w:tr w:rsidR="00206E74">
        <w:tc>
          <w:tcPr>
            <w:tcW w:w="846" w:type="dxa"/>
          </w:tcPr>
          <w:p w:rsidR="00206E74" w:rsidRDefault="00206E74">
            <w:pPr>
              <w:spacing w:after="0" w:line="240" w:lineRule="auto"/>
              <w:jc w:val="both"/>
              <w:rPr>
                <w:rFonts w:ascii="Times New Roman" w:hAnsi="Times New Roman"/>
                <w:bCs/>
                <w:sz w:val="24"/>
                <w:szCs w:val="24"/>
                <w:lang w:val="lt-LT"/>
              </w:rPr>
            </w:pPr>
          </w:p>
        </w:tc>
        <w:tc>
          <w:tcPr>
            <w:tcW w:w="6946" w:type="dxa"/>
          </w:tcPr>
          <w:p w:rsidR="00206E74" w:rsidRDefault="00CB766F">
            <w:pPr>
              <w:spacing w:after="0" w:line="240" w:lineRule="auto"/>
              <w:jc w:val="both"/>
              <w:rPr>
                <w:rFonts w:ascii="Times New Roman" w:hAnsi="Times New Roman"/>
                <w:b/>
                <w:sz w:val="24"/>
                <w:szCs w:val="24"/>
                <w:lang w:val="lt-LT"/>
              </w:rPr>
            </w:pPr>
            <w:r>
              <w:rPr>
                <w:rFonts w:ascii="Times New Roman" w:hAnsi="Times New Roman"/>
                <w:b/>
                <w:bCs/>
                <w:i/>
                <w:iCs/>
                <w:sz w:val="24"/>
                <w:szCs w:val="24"/>
                <w:lang w:val="lt-LT"/>
              </w:rPr>
              <w:t>2018 m. pateikti derinti teisės aktų projektai, kurie priimti 2018 m.</w:t>
            </w:r>
          </w:p>
        </w:tc>
        <w:tc>
          <w:tcPr>
            <w:tcW w:w="1984" w:type="dxa"/>
          </w:tcPr>
          <w:p w:rsidR="00206E74" w:rsidRDefault="00206E74">
            <w:pPr>
              <w:spacing w:after="0" w:line="240" w:lineRule="auto"/>
              <w:jc w:val="both"/>
              <w:rPr>
                <w:rFonts w:ascii="Times New Roman" w:hAnsi="Times New Roman"/>
                <w:sz w:val="24"/>
                <w:szCs w:val="24"/>
                <w:lang w:val="lt-LT"/>
              </w:rPr>
            </w:pPr>
          </w:p>
        </w:tc>
      </w:tr>
      <w:tr w:rsidR="00206E74">
        <w:tc>
          <w:tcPr>
            <w:tcW w:w="846" w:type="dxa"/>
          </w:tcPr>
          <w:p w:rsidR="00206E74" w:rsidRDefault="00CB766F">
            <w:pPr>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lang w:val="lt-LT"/>
              </w:rPr>
              <w:t>2</w:t>
            </w:r>
            <w:r>
              <w:rPr>
                <w:rFonts w:ascii="Times New Roman" w:hAnsi="Times New Roman"/>
                <w:bCs/>
                <w:sz w:val="24"/>
                <w:szCs w:val="24"/>
              </w:rPr>
              <w:t>.2.</w:t>
            </w:r>
          </w:p>
        </w:tc>
        <w:tc>
          <w:tcPr>
            <w:tcW w:w="6946"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Lietuvos Respublikos žemės ūkio ministro 2009 m. gegužės 15 d. įsakymo Nr. 3D-355 „Dėl Prekybos žemės ūkio ir maisto produktais turgavietėse darbo taisyklių patvirtinimo“ pakeitimo projektas</w:t>
            </w:r>
          </w:p>
        </w:tc>
        <w:tc>
          <w:tcPr>
            <w:tcW w:w="1984" w:type="dxa"/>
          </w:tcPr>
          <w:p w:rsidR="00206E74" w:rsidRDefault="00CB766F">
            <w:pPr>
              <w:spacing w:after="0" w:line="240" w:lineRule="auto"/>
              <w:jc w:val="both"/>
              <w:rPr>
                <w:rFonts w:ascii="Times New Roman" w:hAnsi="Times New Roman"/>
                <w:sz w:val="24"/>
                <w:szCs w:val="24"/>
                <w:lang w:val="lt-LT"/>
              </w:rPr>
            </w:pPr>
            <w:r>
              <w:rPr>
                <w:rFonts w:ascii="Times New Roman" w:hAnsi="Times New Roman"/>
                <w:sz w:val="24"/>
                <w:szCs w:val="24"/>
                <w:lang w:val="lt-LT"/>
              </w:rPr>
              <w:t>-85.165,00 EUR</w:t>
            </w:r>
          </w:p>
        </w:tc>
      </w:tr>
    </w:tbl>
    <w:p w:rsidR="00206E74" w:rsidRDefault="00206E74">
      <w:pPr>
        <w:pStyle w:val="Footer"/>
        <w:jc w:val="both"/>
        <w:rPr>
          <w:rFonts w:ascii="Times New Roman" w:eastAsia="Times New Roman" w:hAnsi="Times New Roman"/>
          <w:sz w:val="24"/>
          <w:szCs w:val="20"/>
          <w:lang w:val="lt-LT"/>
        </w:rPr>
      </w:pPr>
    </w:p>
    <w:sectPr w:rsidR="00206E74">
      <w:headerReference w:type="default" r:id="rId8"/>
      <w:footerReference w:type="even" r:id="rId9"/>
      <w:footerReference w:type="default" r:id="rId10"/>
      <w:headerReference w:type="first" r:id="rId11"/>
      <w:pgSz w:w="11906" w:h="16838"/>
      <w:pgMar w:top="1134" w:right="567" w:bottom="1021"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9F8" w:rsidRDefault="004659F8">
      <w:pPr>
        <w:spacing w:after="0" w:line="240" w:lineRule="auto"/>
      </w:pPr>
      <w:r>
        <w:separator/>
      </w:r>
    </w:p>
  </w:endnote>
  <w:endnote w:type="continuationSeparator" w:id="0">
    <w:p w:rsidR="004659F8" w:rsidRDefault="0046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7F" w:rsidRDefault="005D3B7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5D3B7F" w:rsidRDefault="005D3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7F" w:rsidRDefault="005D3B7F">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9F8" w:rsidRDefault="004659F8">
      <w:pPr>
        <w:spacing w:after="0" w:line="240" w:lineRule="auto"/>
      </w:pPr>
      <w:r>
        <w:separator/>
      </w:r>
    </w:p>
  </w:footnote>
  <w:footnote w:type="continuationSeparator" w:id="0">
    <w:p w:rsidR="004659F8" w:rsidRDefault="004659F8">
      <w:pPr>
        <w:spacing w:after="0" w:line="240" w:lineRule="auto"/>
      </w:pPr>
      <w:r>
        <w:continuationSeparator/>
      </w:r>
    </w:p>
  </w:footnote>
  <w:footnote w:id="1">
    <w:p w:rsidR="005D3B7F" w:rsidRDefault="005D3B7F">
      <w:pPr>
        <w:pStyle w:val="FootnoteText"/>
        <w:jc w:val="both"/>
        <w:rPr>
          <w:rFonts w:ascii="Times New Roman" w:hAnsi="Times New Roman"/>
          <w:sz w:val="18"/>
          <w:szCs w:val="18"/>
          <w:lang w:val="lt-LT"/>
        </w:rPr>
      </w:pPr>
      <w:r>
        <w:rPr>
          <w:rStyle w:val="FootnoteReference"/>
          <w:rFonts w:ascii="Times New Roman" w:hAnsi="Times New Roman"/>
          <w:sz w:val="18"/>
          <w:szCs w:val="18"/>
          <w:lang w:val="lt-LT"/>
        </w:rPr>
        <w:footnoteRef/>
      </w:r>
      <w:r>
        <w:rPr>
          <w:rFonts w:ascii="Times New Roman" w:hAnsi="Times New Roman"/>
          <w:sz w:val="18"/>
          <w:szCs w:val="18"/>
          <w:lang w:val="lt-LT"/>
        </w:rPr>
        <w:t xml:space="preserve"> </w:t>
      </w:r>
      <w:r>
        <w:rPr>
          <w:rFonts w:ascii="Times New Roman" w:hAnsi="Times New Roman"/>
          <w:iCs/>
          <w:sz w:val="18"/>
          <w:szCs w:val="18"/>
          <w:lang w:val="lt-LT"/>
        </w:rPr>
        <w:t>Pažymėtina, kad naujojo atsinaujinančių energijos išteklių paramos modelio sukeliama administracinė našta padidėjo dėl didelio subjektų kiekio ir kelių naujų informacinių įpareigojimų įvedimo. Atsirado poreikis, kad elektros energijos iš atsinaujinančių energijos išteklių gamintojai pateiktų papildomus rašytinius patvirtinimus Valstybinei energetikos inspekcijai prie Energetikos ministerijos ir elektros tinklų operatoriams taip pat buvo numatytos papildomos funkcijos viešuosius interesus atitinkančių paslaugų lėšų administratoriui, kurių dėka gamintojai bus atitinkamai informuojami apie energijos gamybos nuokrypius.</w:t>
      </w:r>
    </w:p>
  </w:footnote>
  <w:footnote w:id="2">
    <w:p w:rsidR="005D3B7F" w:rsidRDefault="005D3B7F">
      <w:pPr>
        <w:pStyle w:val="FootnoteText"/>
        <w:jc w:val="both"/>
      </w:pPr>
      <w:r>
        <w:rPr>
          <w:rStyle w:val="FootnoteReference"/>
          <w:rFonts w:ascii="Times New Roman" w:hAnsi="Times New Roman"/>
          <w:sz w:val="18"/>
          <w:szCs w:val="18"/>
          <w:lang w:val="lt-LT"/>
        </w:rPr>
        <w:footnoteRef/>
      </w:r>
      <w:r>
        <w:rPr>
          <w:rFonts w:ascii="Times New Roman" w:hAnsi="Times New Roman"/>
          <w:sz w:val="18"/>
          <w:szCs w:val="18"/>
          <w:lang w:val="lt-LT"/>
        </w:rPr>
        <w:t xml:space="preserve"> </w:t>
      </w:r>
      <w:r>
        <w:rPr>
          <w:rFonts w:ascii="Times New Roman" w:hAnsi="Times New Roman"/>
          <w:iCs/>
          <w:sz w:val="18"/>
          <w:szCs w:val="18"/>
          <w:lang w:val="lt-LT"/>
        </w:rPr>
        <w:t>Tam tikros nuostatos, reglamentuojančios leidimų išdavimą elektros energetikos sektoriuje buvo perkeltos iš Atsinaujinančių energijos išteklių įstatymo į Elektros energetikos įstatymą, todėl atitinkamai administracinė našta padidėjo pastarajame.</w:t>
      </w:r>
    </w:p>
  </w:footnote>
  <w:footnote w:id="3">
    <w:p w:rsidR="005D3B7F" w:rsidRDefault="005D3B7F">
      <w:pPr>
        <w:pStyle w:val="FootnoteText"/>
        <w:jc w:val="both"/>
        <w:rPr>
          <w:lang w:val="lt-LT"/>
        </w:rPr>
      </w:pPr>
      <w:r>
        <w:rPr>
          <w:rStyle w:val="FootnoteReference"/>
        </w:rPr>
        <w:footnoteRef/>
      </w:r>
      <w:r>
        <w:t xml:space="preserve"> </w:t>
      </w:r>
      <w:r>
        <w:rPr>
          <w:rFonts w:ascii="Times New Roman" w:hAnsi="Times New Roman"/>
          <w:sz w:val="18"/>
          <w:szCs w:val="18"/>
          <w:lang w:val="lt-LT"/>
        </w:rPr>
        <w:t xml:space="preserve">Finansų ministerijos kompetencijos teisės aktas buvo priimtas 2018 m. birželio 28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prašė pateikti informaciją apie 2018 m. I pusmetį priimtus Finansų ministerijos kompetencijos srities teisės aktus, įtakojančius administracinę naštą ūkio subjektams. Atsižvelgiant į tai, teisės akto sukeliamos administracinės naštos pokyčio suma įtraukiama į 2018 m. II pusmetį.</w:t>
      </w:r>
    </w:p>
  </w:footnote>
  <w:footnote w:id="4">
    <w:p w:rsidR="005D3B7F" w:rsidRDefault="005D3B7F">
      <w:pPr>
        <w:pStyle w:val="FootnoteText"/>
        <w:jc w:val="both"/>
        <w:rPr>
          <w:rFonts w:ascii="Times New Roman" w:hAnsi="Times New Roman"/>
          <w:b/>
          <w:color w:val="FF0000"/>
          <w:sz w:val="18"/>
          <w:szCs w:val="18"/>
        </w:rPr>
      </w:pPr>
      <w:r>
        <w:rPr>
          <w:rStyle w:val="FootnoteReference"/>
        </w:rPr>
        <w:footnoteRef/>
      </w:r>
      <w:r>
        <w:t xml:space="preserve"> </w:t>
      </w:r>
      <w:r>
        <w:rPr>
          <w:rFonts w:ascii="Times New Roman" w:hAnsi="Times New Roman"/>
          <w:sz w:val="18"/>
          <w:szCs w:val="18"/>
          <w:lang w:val="lt-LT"/>
        </w:rPr>
        <w:t>Finansų ministerija įvertino, kad</w:t>
      </w:r>
      <w:r>
        <w:rPr>
          <w:lang w:val="lt-LT"/>
        </w:rPr>
        <w:t xml:space="preserve"> </w:t>
      </w:r>
      <w:r>
        <w:rPr>
          <w:rFonts w:ascii="Times New Roman" w:hAnsi="Times New Roman"/>
          <w:sz w:val="18"/>
          <w:szCs w:val="18"/>
          <w:lang w:val="lt-LT"/>
        </w:rPr>
        <w:t>priėmus Lietuvos Respublikos</w:t>
      </w:r>
      <w:r>
        <w:rPr>
          <w:lang w:val="lt-LT"/>
        </w:rPr>
        <w:t xml:space="preserve"> </w:t>
      </w:r>
      <w:r>
        <w:rPr>
          <w:rFonts w:ascii="Times New Roman" w:hAnsi="Times New Roman"/>
          <w:sz w:val="18"/>
          <w:szCs w:val="18"/>
          <w:lang w:val="lt-LT"/>
        </w:rPr>
        <w:t>Vyriausybės 2002 m. rugpjūčio 13 d. nutarimo Nr. 1283 ,,Dėl Kasos aparatų diegimo ir naudojimo tvarkos aprašo patvirtinimo“ pakeitimą (2018 m. spalio 24 d. nutarimo Nr. 1056 redakcija) administracinė našta sumažės 70.172.433,00 eurų, tačiau pažymėtina, kad buvo įvertinta, kad ūkio subjektai patirs net 68.197.943,00 prisitaikymo išlaidų.</w:t>
      </w:r>
      <w:r>
        <w:rPr>
          <w:rFonts w:ascii="Times New Roman" w:hAnsi="Times New Roman"/>
          <w:b/>
          <w:sz w:val="18"/>
          <w:szCs w:val="18"/>
        </w:rPr>
        <w:t xml:space="preserve"> </w:t>
      </w:r>
      <w:r>
        <w:rPr>
          <w:rFonts w:ascii="Times New Roman" w:hAnsi="Times New Roman"/>
          <w:b/>
          <w:sz w:val="18"/>
          <w:szCs w:val="18"/>
          <w:lang w:val="lt-LT"/>
        </w:rPr>
        <w:t xml:space="preserve">Taip pat paminėtina, kad ūkio subjektams bus taikomi keli pereinamieji laikotarpiai, per kuriuos jie galės prisitaikyti prie naujų reikalavimų. Tačiau nepaisant to, Ekonomikos ir inovacijų ministerija baiminasi, kad šiuo nutarimo pakeitimu administracinė našta verslui gali būti sumažinta tik teoriškai ir jeigu Valstybinės mokesčių inspekcijos prie Lietuvos Respublikos finansų ministerijos (toliau – VMI) nebus tinkamai pasirengta sėkmingam naujų kasos aparatų pritaikymui arba senų kasos aparatų techninių reikalavimų pakeitimui į naujus, tuomet gali strigti kasos aparatų veikla, nebus laiku ir greitai perduodami reikiami duomenys iš kasos aparatų į VMI sistemas ir pan. Visa tai atsilieptų ūkio subjektų veiklai ir todėl toks teisės akto pakeitimas jiems būtų ne palengvinimas, o netgi pabloginimas. Atsižvelgiant į tai, Ekonomikos ir inovacijų ministerija siūlė Finansų ministerijai po vienų metų nuo teisės akto įsigaliojimo pakartotinai įvertinti (atliekant teisinio reguliavimo </w:t>
      </w:r>
      <w:r>
        <w:rPr>
          <w:rFonts w:ascii="Times New Roman" w:hAnsi="Times New Roman"/>
          <w:b/>
          <w:i/>
          <w:sz w:val="18"/>
          <w:szCs w:val="18"/>
          <w:lang w:val="lt-LT"/>
        </w:rPr>
        <w:t>ex post</w:t>
      </w:r>
      <w:r>
        <w:rPr>
          <w:rFonts w:ascii="Times New Roman" w:hAnsi="Times New Roman"/>
          <w:b/>
          <w:sz w:val="18"/>
          <w:szCs w:val="18"/>
          <w:lang w:val="lt-LT"/>
        </w:rPr>
        <w:t xml:space="preserve"> vertinimą), ar administracinės naštos ūkio subjektams apskaičiavimo ataskaitoje deklaruojami tinkamai įvertinti duomenys, ar ūkio subjektai patyrė tokio masto administracinės naštos sumažėjimą, ar ūkio subjektai nepatyrė dar daugiau prisitaikymo išlaidų, negu nutarimo projekto rengėjai buvo įvertinę.</w:t>
      </w:r>
    </w:p>
  </w:footnote>
  <w:footnote w:id="5">
    <w:p w:rsidR="005D3B7F" w:rsidRDefault="005D3B7F">
      <w:pPr>
        <w:pStyle w:val="FootnoteText"/>
        <w:jc w:val="both"/>
        <w:rPr>
          <w:lang w:val="lt-LT"/>
        </w:rPr>
      </w:pPr>
      <w:r>
        <w:rPr>
          <w:rStyle w:val="FootnoteReference"/>
        </w:rPr>
        <w:footnoteRef/>
      </w:r>
      <w:r>
        <w:t xml:space="preserve"> </w:t>
      </w:r>
      <w:r>
        <w:rPr>
          <w:rFonts w:ascii="Times New Roman" w:hAnsi="Times New Roman"/>
          <w:sz w:val="18"/>
          <w:szCs w:val="18"/>
          <w:lang w:val="lt-LT"/>
        </w:rPr>
        <w:t xml:space="preserve">Kultūros ministerijos kompetencijos teisės aktas buvo priimtas 2018 m. sausio 12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prašė pateikti informaciją apie 2018 m. I pusmetį priimtus Kultūros ministerijos kompetencijos srities teisės aktus, įtakojančius administracinę naštą ūkio subjektams. Atsižvelgiant į tai, teisės akto sukeliamos administracinės naštos pokyčio suma įtraukiama į 2018 m. II pusmetį.</w:t>
      </w:r>
    </w:p>
    <w:p w:rsidR="005D3B7F" w:rsidRDefault="005D3B7F">
      <w:pPr>
        <w:pStyle w:val="FootnoteText"/>
        <w:rPr>
          <w:lang w:val="lt-LT"/>
        </w:rPr>
      </w:pPr>
    </w:p>
  </w:footnote>
  <w:footnote w:id="6">
    <w:p w:rsidR="005D3B7F" w:rsidRDefault="005D3B7F">
      <w:pPr>
        <w:pStyle w:val="FootnoteText"/>
        <w:jc w:val="both"/>
        <w:rPr>
          <w:lang w:val="lt-LT"/>
        </w:rPr>
      </w:pPr>
      <w:r>
        <w:rPr>
          <w:rStyle w:val="FootnoteReference"/>
        </w:rPr>
        <w:footnoteRef/>
      </w:r>
      <w:r>
        <w:t xml:space="preserve"> </w:t>
      </w:r>
      <w:r>
        <w:rPr>
          <w:rFonts w:ascii="Times New Roman" w:hAnsi="Times New Roman"/>
          <w:sz w:val="18"/>
          <w:szCs w:val="18"/>
          <w:lang w:val="lt-LT"/>
        </w:rPr>
        <w:t xml:space="preserve">Socialinės apsaugos ir darbo ministerijos kompetencijos teisės aktas buvo priimtas 2018 m. birželio 28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 xml:space="preserve">prašė pateikti informaciją apie 2018 m. I pusmetį priimtus Socialinės apsaugos ir darbo ministerijos kompetencijos srities teisės aktus, įtakojančius administracinę naštą ūkio subjektams. Atsižvelgiant į tai, teisės akto sukeliamos administracinės naštos pokyčio suma įtraukiama į 2018 m. II pusmetį. Taip pat paminėtina, kad Įstatymo projektas parengtas įgyvendinant Vyriausybės programos įgyvendinimo plano, patvirtinto Vyriausybės </w:t>
      </w:r>
      <w:r>
        <w:rPr>
          <w:rFonts w:ascii="Times New Roman" w:hAnsi="Times New Roman"/>
          <w:sz w:val="18"/>
          <w:szCs w:val="18"/>
        </w:rPr>
        <w:t>2017 m. kovo 13 d. nutarimu Nr. 167, 4.3.2. darbo priemon</w:t>
      </w:r>
      <w:r>
        <w:rPr>
          <w:rFonts w:ascii="Times New Roman" w:hAnsi="Times New Roman"/>
          <w:sz w:val="18"/>
          <w:szCs w:val="18"/>
          <w:lang w:val="lt-LT"/>
        </w:rPr>
        <w:t xml:space="preserve">ę ir įgyvendinant reformą </w:t>
      </w:r>
      <w:r>
        <w:rPr>
          <w:rFonts w:ascii="Times New Roman" w:hAnsi="Times New Roman"/>
          <w:sz w:val="18"/>
          <w:szCs w:val="18"/>
        </w:rPr>
        <w:t xml:space="preserve">6 </w:t>
      </w:r>
      <w:r>
        <w:rPr>
          <w:rFonts w:ascii="Times New Roman" w:hAnsi="Times New Roman"/>
          <w:sz w:val="18"/>
          <w:szCs w:val="18"/>
          <w:lang w:val="lt-LT"/>
        </w:rPr>
        <w:t>srityse: švietimo, sveikatos apsaugos, mokesčių, inovacijų, šešėlinės ekonomikos mažinimo, pensijų. Paminėtina, kad dėl poreikio pakeisti darbo sutartis apskaičiuotas vienkartinis administracinės naštos padidėjimas, kuris, pasak Socialinės apsaugos ministerijos, buvo būtinas siekiant reformos tikslų. Su šia reforma tikimasi pakeisti Lietuvos socialinę ir ekonominę būklę ir spręsti demografijos problemas.</w:t>
      </w:r>
    </w:p>
  </w:footnote>
  <w:footnote w:id="7">
    <w:p w:rsidR="005D3B7F" w:rsidRDefault="005D3B7F">
      <w:pPr>
        <w:pStyle w:val="FootnoteText"/>
        <w:jc w:val="both"/>
      </w:pPr>
      <w:r>
        <w:rPr>
          <w:rStyle w:val="FootnoteReference"/>
        </w:rPr>
        <w:footnoteRef/>
      </w:r>
      <w:r>
        <w:t xml:space="preserve"> </w:t>
      </w:r>
      <w:r>
        <w:rPr>
          <w:rFonts w:ascii="Times New Roman" w:hAnsi="Times New Roman"/>
          <w:sz w:val="18"/>
          <w:szCs w:val="18"/>
          <w:lang w:val="lt-LT"/>
        </w:rPr>
        <w:t>Šio</w:t>
      </w:r>
      <w:r>
        <w:rPr>
          <w:rFonts w:ascii="Times New Roman" w:hAnsi="Times New Roman"/>
          <w:b/>
          <w:sz w:val="18"/>
          <w:szCs w:val="18"/>
          <w:lang w:val="lt-LT"/>
        </w:rPr>
        <w:t xml:space="preserve"> </w:t>
      </w:r>
      <w:r>
        <w:rPr>
          <w:rFonts w:ascii="Times New Roman" w:hAnsi="Times New Roman"/>
          <w:sz w:val="18"/>
          <w:szCs w:val="18"/>
          <w:lang w:val="lt-LT"/>
        </w:rPr>
        <w:t>teisės akto nuostatos, kuriomis nustatomi nauji informaciniai įpareigojimai, nustatytos įgyvendinant Europos Sąjungos teisės aktų reikalavimus (</w:t>
      </w:r>
      <w:r>
        <w:rPr>
          <w:rFonts w:ascii="Times New Roman" w:hAnsi="Times New Roman"/>
          <w:bCs/>
          <w:sz w:val="18"/>
          <w:szCs w:val="18"/>
          <w:lang w:val="lt-LT"/>
        </w:rPr>
        <w:t xml:space="preserve">2012-11-21 Europos Parlamento ir Tarybos direktyva 2012/34/ES, kuria sukuriama bendra Europos geležinkelių erdvė su pakeitimais, padarytais </w:t>
      </w:r>
      <w:r>
        <w:rPr>
          <w:rFonts w:ascii="Times New Roman" w:hAnsi="Times New Roman"/>
          <w:sz w:val="18"/>
          <w:szCs w:val="18"/>
          <w:lang w:val="lt-LT"/>
        </w:rPr>
        <w:t>2016-12-14 Europos Parlamento ir Tarybos direktyva (ES) 2016/2370, kuria iš dalies keičiama Direktyva 2012/34/ES, kiek tai susiję su keleivių vežimo geležinkeliais valstybės viduje paslaugų rinkos atvėrimu ir geležinkelių infrastruktūros valdymu) ir įsigalioja nuo 2019 m. gruodžio 8 d.</w:t>
      </w:r>
    </w:p>
  </w:footnote>
  <w:footnote w:id="8">
    <w:p w:rsidR="005D3B7F" w:rsidRDefault="005D3B7F">
      <w:pPr>
        <w:spacing w:line="240" w:lineRule="auto"/>
        <w:jc w:val="both"/>
        <w:rPr>
          <w:rFonts w:ascii="Times New Roman" w:eastAsia="Times New Roman" w:hAnsi="Times New Roman"/>
          <w:sz w:val="24"/>
          <w:szCs w:val="20"/>
          <w:lang w:val="lt-LT"/>
        </w:rPr>
      </w:pPr>
      <w:r>
        <w:rPr>
          <w:rStyle w:val="FootnoteReference"/>
        </w:rPr>
        <w:footnoteRef/>
      </w:r>
      <w:r>
        <w:t xml:space="preserve"> </w:t>
      </w:r>
      <w:r>
        <w:rPr>
          <w:rFonts w:ascii="Times New Roman" w:hAnsi="Times New Roman"/>
          <w:sz w:val="18"/>
          <w:szCs w:val="18"/>
          <w:lang w:val="lt-LT"/>
        </w:rPr>
        <w:t xml:space="preserve">Sveikatos apsaugos ministerijos kompetencijos teisės aktas buvo priimtas 2018 m. birželio 30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prašė pateikti informaciją apie 2018 m. I pusmetį priimtus Sveikatos apsaugos ministerijos kompetencijos srities teisės aktus, įtakojančius administracinę naštą ūkio subjektams. Atsižvelgiant į tai, teisės akto sukeliamos administracinės naštos pokyčio suma įtraukiama į 2018 m. II pusmetį.</w:t>
      </w:r>
    </w:p>
    <w:p w:rsidR="005D3B7F" w:rsidRDefault="005D3B7F">
      <w:pPr>
        <w:pStyle w:val="FootnoteText"/>
        <w:rPr>
          <w:lang w:val="lt-LT"/>
        </w:rPr>
      </w:pPr>
    </w:p>
  </w:footnote>
  <w:footnote w:id="9">
    <w:p w:rsidR="005D3B7F" w:rsidRDefault="005D3B7F">
      <w:pPr>
        <w:spacing w:after="0" w:line="240" w:lineRule="auto"/>
        <w:jc w:val="both"/>
        <w:rPr>
          <w:rFonts w:ascii="Times New Roman" w:eastAsia="Times New Roman" w:hAnsi="Times New Roman"/>
          <w:sz w:val="24"/>
          <w:szCs w:val="24"/>
          <w:lang w:val="lt-LT"/>
        </w:rPr>
      </w:pPr>
      <w:r>
        <w:rPr>
          <w:rStyle w:val="FootnoteReference"/>
        </w:rPr>
        <w:footnoteRef/>
      </w:r>
      <w:r>
        <w:t xml:space="preserve"> </w:t>
      </w:r>
      <w:r>
        <w:rPr>
          <w:rFonts w:ascii="Times New Roman" w:hAnsi="Times New Roman"/>
          <w:sz w:val="18"/>
          <w:szCs w:val="18"/>
          <w:lang w:val="lt-LT" w:eastAsia="lt-LT"/>
        </w:rPr>
        <w:t>Nutarimu įgyvendintos Narkotinių ir psichotropinių medžiagų kontrolės įstatymo nuostatos, kuriose nustatytos rinkos ribojimo priemonės į IV sąrašą įrašytoms narkotinėms ir psichotropinėms medžiagoms,</w:t>
      </w:r>
      <w:r>
        <w:rPr>
          <w:rFonts w:ascii="Times New Roman" w:hAnsi="Times New Roman"/>
          <w:sz w:val="18"/>
          <w:szCs w:val="18"/>
          <w:lang w:val="lt-LT"/>
        </w:rPr>
        <w:t xml:space="preserve"> kurios gali </w:t>
      </w:r>
      <w:r>
        <w:rPr>
          <w:rFonts w:ascii="Times New Roman" w:hAnsi="Times New Roman"/>
          <w:sz w:val="18"/>
          <w:szCs w:val="18"/>
          <w:lang w:val="lt-LT" w:eastAsia="lt-LT"/>
        </w:rPr>
        <w:t xml:space="preserve">būti vartojamos chemijos pramonės tikslams, tačiau yra labai pavojingos sveikatai, kai jomis piktnaudžiaujama svaiginimosi tikslais. </w:t>
      </w:r>
      <w:r>
        <w:rPr>
          <w:rFonts w:ascii="Times New Roman" w:hAnsi="Times New Roman"/>
          <w:sz w:val="18"/>
          <w:szCs w:val="18"/>
          <w:lang w:val="lt-LT"/>
        </w:rPr>
        <w:t>Kadangi atskiros šalys nacionaliniais teisės aktais yra nusistačiusios įvairias ribojamąsias priemones, nesant nustatytų kontrolės priemonių, Lietuva tapo tranzitine šalimi, kurioje ir iš kurios be jokių apribojimų vyksta prekyba šiomis kenksmingomis medžiagomis. Atsižvelgiant į tai, kad į IV sąrašą įrašytos narkotinės ir psichotropinės medžiagos, kai jos vartojamos svaiginimosi tikslais gali sukelti riziką ir sunkias pasekmes žmonių sveikatai, rinkos ribojimo priemonių taikymas mažins neteisėtą apyvartą, ribos jų siuntimą paštu ir sudarys sąlygas prižiūrėti jų naudojimą teisėtoms ir pagrįstoms reikmėms. Atsižvelgiant į tai, kad kalbama apie labai pavojingą narkotinę psichotropinę medžiagą ir su jos vartojimu svaiginimosi tikslais susijusią riziką ir pasekmes žmonėms, Narkotikų, tabako ir alkoholio  kontrolės departamento nuomone šiuo atveju administracinės naštos pokytis neturėtų būti vertinamas kaip padidėjusi našta ūkio subjektams.</w:t>
      </w:r>
      <w:r>
        <w:rPr>
          <w:szCs w:val="24"/>
        </w:rPr>
        <w:t xml:space="preserve"> </w:t>
      </w:r>
    </w:p>
    <w:p w:rsidR="005D3B7F" w:rsidRDefault="005D3B7F">
      <w:pPr>
        <w:pStyle w:val="FootnoteText"/>
        <w:rPr>
          <w:lang w:val="lt-LT"/>
        </w:rPr>
      </w:pPr>
    </w:p>
  </w:footnote>
  <w:footnote w:id="10">
    <w:p w:rsidR="005D3B7F" w:rsidRDefault="005D3B7F">
      <w:pPr>
        <w:pStyle w:val="FootnoteText"/>
        <w:jc w:val="both"/>
        <w:rPr>
          <w:lang w:val="lt-LT"/>
        </w:rPr>
      </w:pPr>
      <w:r>
        <w:rPr>
          <w:rStyle w:val="FootnoteReference"/>
        </w:rPr>
        <w:footnoteRef/>
      </w:r>
      <w:r>
        <w:t xml:space="preserve"> </w:t>
      </w:r>
      <w:r>
        <w:rPr>
          <w:rFonts w:ascii="Times New Roman" w:hAnsi="Times New Roman"/>
          <w:sz w:val="18"/>
          <w:szCs w:val="18"/>
          <w:lang w:val="lt-LT"/>
        </w:rPr>
        <w:t xml:space="preserve">Valstybinės atominės energetikos saugos inspekcijos kompetencijos teisės aktas buvo priimtas 2018 m. kovo 21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prašė pateikti informaciją apie 2018 m. I pusmetį priimtus Valstybinės atominės energetikos saugos inspekcijos kompetencijos srities teisės aktus, įtakojančius administracinę naštą ūkio subjektams. Atsižvelgiant į tai, teisės akto sukeliamos administracinės naštos pokyčio suma įtraukiama į 2018 m. II pusmetį.</w:t>
      </w:r>
    </w:p>
  </w:footnote>
  <w:footnote w:id="11">
    <w:p w:rsidR="00733095" w:rsidRPr="00733095" w:rsidRDefault="00733095">
      <w:pPr>
        <w:pStyle w:val="FootnoteText"/>
        <w:rPr>
          <w:lang w:val="lt-LT"/>
        </w:rPr>
      </w:pPr>
      <w:r>
        <w:rPr>
          <w:rStyle w:val="FootnoteReference"/>
        </w:rPr>
        <w:footnoteRef/>
      </w:r>
      <w:r>
        <w:t xml:space="preserve"> </w:t>
      </w:r>
      <w:r>
        <w:rPr>
          <w:lang w:val="lt-LT"/>
        </w:rPr>
        <w:t xml:space="preserve">Geros higienos praktikos taisyklės viešojo maitinimo įmonėms nėra tvirtinamos teisės aktu, tačiau jos yra privalomos plačiam ūkio subjektų ratui. Poreikis pakeisti Geros higienos praktikos taisykles viešojo maitinimo įmonėms buvo </w:t>
      </w:r>
      <w:r w:rsidR="001908AC">
        <w:rPr>
          <w:lang w:val="lt-LT"/>
        </w:rPr>
        <w:t xml:space="preserve">labai aktualus, dėl to ši priemonė buvo įtrauktą į Administracinės naštos mažinimo 2016 – 2017 m. priemonių planą. Atlikus taisyklių pakeitimą, viešojo maitinimo įmonėms nebelieka pareigos kiekvieną dieną pildyti popierinius savikontrolės žurnalus, privalomas lieka žurnalų pildymas neatitikimų atvejais. </w:t>
      </w:r>
    </w:p>
  </w:footnote>
  <w:footnote w:id="12">
    <w:p w:rsidR="005D3B7F" w:rsidRDefault="005D3B7F">
      <w:pPr>
        <w:spacing w:after="0" w:line="240" w:lineRule="auto"/>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lang w:val="lt-LT"/>
        </w:rPr>
        <w:t xml:space="preserve">Vidaus reikalų ministerijos kompetencijos teisės aktai buvo priimti 2018 m. birželio 29 d. ir birželio 30 d., tačiau Ekonomikos ir inovacijų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 xml:space="preserve">prašė pateikti informaciją apie 2018 m. I pusmetį priimtus Vidaus reikalų ministerijos kompetencijos srities teisės aktus, įtakojančius administracinę naštą ūkio subjektams. Atsižvelgiant į tai, teisės aktų sukeliamos administracinės naštos pokyčio sumos įtraukiamos į 2018 m. II pusmetį. </w:t>
      </w:r>
    </w:p>
    <w:p w:rsidR="005D3B7F" w:rsidRDefault="005D3B7F">
      <w:pPr>
        <w:pStyle w:val="FootnoteText"/>
        <w:rPr>
          <w:lang w:val="lt-LT"/>
        </w:rPr>
      </w:pPr>
    </w:p>
  </w:footnote>
  <w:footnote w:id="13">
    <w:p w:rsidR="005D3B7F" w:rsidRDefault="005D3B7F">
      <w:pPr>
        <w:pStyle w:val="FootnoteText"/>
        <w:jc w:val="both"/>
        <w:rPr>
          <w:lang w:val="lt-LT"/>
        </w:rPr>
      </w:pPr>
      <w:r>
        <w:rPr>
          <w:rStyle w:val="FootnoteReference"/>
        </w:rPr>
        <w:footnoteRef/>
      </w:r>
      <w:r>
        <w:t xml:space="preserve"> </w:t>
      </w:r>
      <w:r>
        <w:rPr>
          <w:rFonts w:ascii="Times New Roman" w:hAnsi="Times New Roman"/>
          <w:sz w:val="18"/>
          <w:szCs w:val="18"/>
          <w:lang w:val="lt-LT"/>
        </w:rPr>
        <w:t xml:space="preserve">Žemės ūkio ministerijos kompetencijos teisės aktas buvo priimtas 2018 m. birželio 30 d., tačiau Ūkio ministerija nebuvo apie tai informuota, kai 2018 m. birželio 29 d. raštu </w:t>
      </w:r>
      <w:r>
        <w:rPr>
          <w:rFonts w:ascii="Times New Roman" w:hAnsi="Times New Roman"/>
          <w:sz w:val="18"/>
          <w:szCs w:val="18"/>
        </w:rPr>
        <w:t xml:space="preserve">Nr. (15.2-37)-3-2735 </w:t>
      </w:r>
      <w:r>
        <w:rPr>
          <w:rFonts w:ascii="Times New Roman" w:hAnsi="Times New Roman"/>
          <w:sz w:val="18"/>
          <w:szCs w:val="18"/>
          <w:lang w:val="lt-LT"/>
        </w:rPr>
        <w:t>prašė pateikti informaciją apie 2018 m. I pusmetį priimtus Žemės ūkio ministerijos kompetencijos srities teisės aktus, įtakojančius administracinę naštą ūkio subjektams. Atsižvelgiant į tai, teisės akto sukeliamos administracinės naštos pokyčio suma įtraukiama į 2018 m. II pusmetį.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7F" w:rsidRDefault="005D3B7F">
    <w:pPr>
      <w:pStyle w:val="Header"/>
      <w:jc w:val="center"/>
    </w:pPr>
    <w:r>
      <w:fldChar w:fldCharType="begin"/>
    </w:r>
    <w:r>
      <w:rPr>
        <w:rStyle w:val="PageNumber"/>
      </w:rPr>
      <w:instrText xml:space="preserve"> PAGE </w:instrText>
    </w:r>
    <w:r>
      <w:fldChar w:fldCharType="separate"/>
    </w:r>
    <w:r w:rsidR="002705F5">
      <w:rPr>
        <w:rStyle w:val="PageNumbe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7F" w:rsidRDefault="005D3B7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D3"/>
    <w:rsid w:val="00004ADB"/>
    <w:rsid w:val="000054A4"/>
    <w:rsid w:val="00006B66"/>
    <w:rsid w:val="0001003B"/>
    <w:rsid w:val="0001182D"/>
    <w:rsid w:val="000152A0"/>
    <w:rsid w:val="00021C98"/>
    <w:rsid w:val="00024D09"/>
    <w:rsid w:val="00026A78"/>
    <w:rsid w:val="00027D63"/>
    <w:rsid w:val="000304FE"/>
    <w:rsid w:val="000309CE"/>
    <w:rsid w:val="00031E9B"/>
    <w:rsid w:val="00036434"/>
    <w:rsid w:val="000377FE"/>
    <w:rsid w:val="000420CC"/>
    <w:rsid w:val="00045AF6"/>
    <w:rsid w:val="0005175A"/>
    <w:rsid w:val="00054B7B"/>
    <w:rsid w:val="00054BDF"/>
    <w:rsid w:val="00062E10"/>
    <w:rsid w:val="000671A8"/>
    <w:rsid w:val="00067E0F"/>
    <w:rsid w:val="0007126E"/>
    <w:rsid w:val="000719F0"/>
    <w:rsid w:val="00072B4E"/>
    <w:rsid w:val="00074DDB"/>
    <w:rsid w:val="00083425"/>
    <w:rsid w:val="000865C6"/>
    <w:rsid w:val="00092AA9"/>
    <w:rsid w:val="0009768F"/>
    <w:rsid w:val="000A62A3"/>
    <w:rsid w:val="000B116C"/>
    <w:rsid w:val="000B3499"/>
    <w:rsid w:val="000B7C9A"/>
    <w:rsid w:val="000B7D10"/>
    <w:rsid w:val="000C58E9"/>
    <w:rsid w:val="000C77AF"/>
    <w:rsid w:val="000D5113"/>
    <w:rsid w:val="000D67E1"/>
    <w:rsid w:val="000E1250"/>
    <w:rsid w:val="000E7DDB"/>
    <w:rsid w:val="000F4FC2"/>
    <w:rsid w:val="001215C1"/>
    <w:rsid w:val="001221CF"/>
    <w:rsid w:val="001273FF"/>
    <w:rsid w:val="00132DC7"/>
    <w:rsid w:val="00137014"/>
    <w:rsid w:val="0013715E"/>
    <w:rsid w:val="00140209"/>
    <w:rsid w:val="001456A2"/>
    <w:rsid w:val="001631A2"/>
    <w:rsid w:val="001663C0"/>
    <w:rsid w:val="001672B6"/>
    <w:rsid w:val="0017434D"/>
    <w:rsid w:val="00176671"/>
    <w:rsid w:val="00184462"/>
    <w:rsid w:val="0018449F"/>
    <w:rsid w:val="001865B4"/>
    <w:rsid w:val="001908AC"/>
    <w:rsid w:val="001971B8"/>
    <w:rsid w:val="001A66BF"/>
    <w:rsid w:val="001A6FDC"/>
    <w:rsid w:val="001B16E8"/>
    <w:rsid w:val="001B4339"/>
    <w:rsid w:val="001B7C0F"/>
    <w:rsid w:val="001C5A64"/>
    <w:rsid w:val="001C6425"/>
    <w:rsid w:val="001C733D"/>
    <w:rsid w:val="001D0FE1"/>
    <w:rsid w:val="001D2595"/>
    <w:rsid w:val="001E2C7C"/>
    <w:rsid w:val="001E2E7C"/>
    <w:rsid w:val="001E2FEF"/>
    <w:rsid w:val="001E495A"/>
    <w:rsid w:val="001E4B4C"/>
    <w:rsid w:val="001E7731"/>
    <w:rsid w:val="001F2270"/>
    <w:rsid w:val="002000D0"/>
    <w:rsid w:val="00201A7D"/>
    <w:rsid w:val="00201F0F"/>
    <w:rsid w:val="00202E50"/>
    <w:rsid w:val="0020550B"/>
    <w:rsid w:val="00205C60"/>
    <w:rsid w:val="00206E74"/>
    <w:rsid w:val="00212C3A"/>
    <w:rsid w:val="00214DC3"/>
    <w:rsid w:val="00214FEB"/>
    <w:rsid w:val="002158E3"/>
    <w:rsid w:val="00217BA7"/>
    <w:rsid w:val="0022339F"/>
    <w:rsid w:val="00224707"/>
    <w:rsid w:val="002248A9"/>
    <w:rsid w:val="0022769E"/>
    <w:rsid w:val="002319FF"/>
    <w:rsid w:val="00234814"/>
    <w:rsid w:val="00236A70"/>
    <w:rsid w:val="0024313A"/>
    <w:rsid w:val="0024338E"/>
    <w:rsid w:val="00245B23"/>
    <w:rsid w:val="00247552"/>
    <w:rsid w:val="002503CC"/>
    <w:rsid w:val="002516EE"/>
    <w:rsid w:val="0025173A"/>
    <w:rsid w:val="00251D53"/>
    <w:rsid w:val="0025505F"/>
    <w:rsid w:val="00255A76"/>
    <w:rsid w:val="002605EF"/>
    <w:rsid w:val="002666AA"/>
    <w:rsid w:val="002705F5"/>
    <w:rsid w:val="00274116"/>
    <w:rsid w:val="00274B75"/>
    <w:rsid w:val="002807F5"/>
    <w:rsid w:val="0028090E"/>
    <w:rsid w:val="002819FF"/>
    <w:rsid w:val="0028214B"/>
    <w:rsid w:val="00282F41"/>
    <w:rsid w:val="002949D3"/>
    <w:rsid w:val="002950FC"/>
    <w:rsid w:val="002A2A5B"/>
    <w:rsid w:val="002A35D1"/>
    <w:rsid w:val="002A3B1A"/>
    <w:rsid w:val="002A3EB7"/>
    <w:rsid w:val="002A4E8C"/>
    <w:rsid w:val="002A5E34"/>
    <w:rsid w:val="002B239B"/>
    <w:rsid w:val="002C1751"/>
    <w:rsid w:val="002C6BB7"/>
    <w:rsid w:val="002D2B54"/>
    <w:rsid w:val="002D3FF9"/>
    <w:rsid w:val="002E55E2"/>
    <w:rsid w:val="002E7AF5"/>
    <w:rsid w:val="002F0499"/>
    <w:rsid w:val="002F1F6D"/>
    <w:rsid w:val="002F2E54"/>
    <w:rsid w:val="002F3AA8"/>
    <w:rsid w:val="003018D4"/>
    <w:rsid w:val="00301B51"/>
    <w:rsid w:val="00311446"/>
    <w:rsid w:val="00313DB9"/>
    <w:rsid w:val="00320C25"/>
    <w:rsid w:val="00322222"/>
    <w:rsid w:val="00323CFB"/>
    <w:rsid w:val="00325D92"/>
    <w:rsid w:val="003317B1"/>
    <w:rsid w:val="0033221D"/>
    <w:rsid w:val="00333E0F"/>
    <w:rsid w:val="00335DD8"/>
    <w:rsid w:val="00337E9D"/>
    <w:rsid w:val="003520CB"/>
    <w:rsid w:val="00357EE1"/>
    <w:rsid w:val="00360B26"/>
    <w:rsid w:val="003666C2"/>
    <w:rsid w:val="0037288D"/>
    <w:rsid w:val="0037613B"/>
    <w:rsid w:val="003765A6"/>
    <w:rsid w:val="00377036"/>
    <w:rsid w:val="00377C75"/>
    <w:rsid w:val="00381E99"/>
    <w:rsid w:val="00385916"/>
    <w:rsid w:val="0039203B"/>
    <w:rsid w:val="00392401"/>
    <w:rsid w:val="00397CEB"/>
    <w:rsid w:val="003A0F64"/>
    <w:rsid w:val="003A344F"/>
    <w:rsid w:val="003A68A3"/>
    <w:rsid w:val="003B74C8"/>
    <w:rsid w:val="003C0562"/>
    <w:rsid w:val="003C6CDD"/>
    <w:rsid w:val="003C6E5A"/>
    <w:rsid w:val="003D1D00"/>
    <w:rsid w:val="003D63DB"/>
    <w:rsid w:val="003D6C29"/>
    <w:rsid w:val="003F247B"/>
    <w:rsid w:val="003F5194"/>
    <w:rsid w:val="003F6206"/>
    <w:rsid w:val="0040190B"/>
    <w:rsid w:val="00402945"/>
    <w:rsid w:val="004029E9"/>
    <w:rsid w:val="004053A5"/>
    <w:rsid w:val="00413F79"/>
    <w:rsid w:val="004144E1"/>
    <w:rsid w:val="00416761"/>
    <w:rsid w:val="00425099"/>
    <w:rsid w:val="00425442"/>
    <w:rsid w:val="00427100"/>
    <w:rsid w:val="00435718"/>
    <w:rsid w:val="00437451"/>
    <w:rsid w:val="00444660"/>
    <w:rsid w:val="00445F39"/>
    <w:rsid w:val="00452EAE"/>
    <w:rsid w:val="004538EE"/>
    <w:rsid w:val="00454FF8"/>
    <w:rsid w:val="004630EB"/>
    <w:rsid w:val="004659F8"/>
    <w:rsid w:val="00467579"/>
    <w:rsid w:val="00472390"/>
    <w:rsid w:val="004742CC"/>
    <w:rsid w:val="00475B4B"/>
    <w:rsid w:val="00483255"/>
    <w:rsid w:val="00492940"/>
    <w:rsid w:val="0049392C"/>
    <w:rsid w:val="004967E2"/>
    <w:rsid w:val="00496CC4"/>
    <w:rsid w:val="004A15C1"/>
    <w:rsid w:val="004A58E1"/>
    <w:rsid w:val="004B0D48"/>
    <w:rsid w:val="004B1AE2"/>
    <w:rsid w:val="004B4210"/>
    <w:rsid w:val="004B5ED3"/>
    <w:rsid w:val="004B70C8"/>
    <w:rsid w:val="004C0CF7"/>
    <w:rsid w:val="004C38A7"/>
    <w:rsid w:val="004C66FB"/>
    <w:rsid w:val="004C792F"/>
    <w:rsid w:val="004D4C6B"/>
    <w:rsid w:val="004D52DE"/>
    <w:rsid w:val="004D681C"/>
    <w:rsid w:val="004D6B6A"/>
    <w:rsid w:val="004D7279"/>
    <w:rsid w:val="004D7306"/>
    <w:rsid w:val="004D7B01"/>
    <w:rsid w:val="004E003F"/>
    <w:rsid w:val="004E094D"/>
    <w:rsid w:val="004E547C"/>
    <w:rsid w:val="004F3B63"/>
    <w:rsid w:val="004F4528"/>
    <w:rsid w:val="004F58E0"/>
    <w:rsid w:val="004F653F"/>
    <w:rsid w:val="004F7C56"/>
    <w:rsid w:val="00500137"/>
    <w:rsid w:val="0050106D"/>
    <w:rsid w:val="00501090"/>
    <w:rsid w:val="0050198D"/>
    <w:rsid w:val="005047C9"/>
    <w:rsid w:val="00504B8B"/>
    <w:rsid w:val="00505A8A"/>
    <w:rsid w:val="00510F3B"/>
    <w:rsid w:val="00514776"/>
    <w:rsid w:val="00516F19"/>
    <w:rsid w:val="005237A3"/>
    <w:rsid w:val="00525891"/>
    <w:rsid w:val="0053105F"/>
    <w:rsid w:val="00533426"/>
    <w:rsid w:val="0053646F"/>
    <w:rsid w:val="0054265B"/>
    <w:rsid w:val="0054293A"/>
    <w:rsid w:val="00542A3D"/>
    <w:rsid w:val="00542CE8"/>
    <w:rsid w:val="005454EE"/>
    <w:rsid w:val="00545BC7"/>
    <w:rsid w:val="00557247"/>
    <w:rsid w:val="00557FAE"/>
    <w:rsid w:val="00561BEF"/>
    <w:rsid w:val="00566C83"/>
    <w:rsid w:val="005723CA"/>
    <w:rsid w:val="005741D4"/>
    <w:rsid w:val="005834F4"/>
    <w:rsid w:val="00584BC3"/>
    <w:rsid w:val="005860C3"/>
    <w:rsid w:val="00592875"/>
    <w:rsid w:val="005948C9"/>
    <w:rsid w:val="00595F54"/>
    <w:rsid w:val="005A008A"/>
    <w:rsid w:val="005A0A05"/>
    <w:rsid w:val="005A41A2"/>
    <w:rsid w:val="005A67F3"/>
    <w:rsid w:val="005A6A88"/>
    <w:rsid w:val="005B4E53"/>
    <w:rsid w:val="005C32A8"/>
    <w:rsid w:val="005D25FB"/>
    <w:rsid w:val="005D3B7F"/>
    <w:rsid w:val="005D46C2"/>
    <w:rsid w:val="005D75F6"/>
    <w:rsid w:val="005E0389"/>
    <w:rsid w:val="005E0482"/>
    <w:rsid w:val="005E2423"/>
    <w:rsid w:val="005E2F60"/>
    <w:rsid w:val="005E416A"/>
    <w:rsid w:val="005E5B01"/>
    <w:rsid w:val="005E7680"/>
    <w:rsid w:val="005E7D2F"/>
    <w:rsid w:val="005F1BD4"/>
    <w:rsid w:val="005F4B73"/>
    <w:rsid w:val="00600EE5"/>
    <w:rsid w:val="00601332"/>
    <w:rsid w:val="00613264"/>
    <w:rsid w:val="006164C7"/>
    <w:rsid w:val="006167D9"/>
    <w:rsid w:val="00617C50"/>
    <w:rsid w:val="00622310"/>
    <w:rsid w:val="00624C4B"/>
    <w:rsid w:val="0062591F"/>
    <w:rsid w:val="00630435"/>
    <w:rsid w:val="00630D97"/>
    <w:rsid w:val="00631BF1"/>
    <w:rsid w:val="006352C1"/>
    <w:rsid w:val="00646EF4"/>
    <w:rsid w:val="00647E45"/>
    <w:rsid w:val="00650570"/>
    <w:rsid w:val="0065149E"/>
    <w:rsid w:val="00654C61"/>
    <w:rsid w:val="00654F83"/>
    <w:rsid w:val="00661AB3"/>
    <w:rsid w:val="006624B0"/>
    <w:rsid w:val="00662D18"/>
    <w:rsid w:val="00665082"/>
    <w:rsid w:val="00672F08"/>
    <w:rsid w:val="006763E3"/>
    <w:rsid w:val="00680BC1"/>
    <w:rsid w:val="00682EAB"/>
    <w:rsid w:val="006874BA"/>
    <w:rsid w:val="006966C3"/>
    <w:rsid w:val="006A1115"/>
    <w:rsid w:val="006C3EE5"/>
    <w:rsid w:val="006D4917"/>
    <w:rsid w:val="006D4A24"/>
    <w:rsid w:val="006D5412"/>
    <w:rsid w:val="006E378C"/>
    <w:rsid w:val="006E4F6E"/>
    <w:rsid w:val="006E539A"/>
    <w:rsid w:val="006F46A0"/>
    <w:rsid w:val="006F48A5"/>
    <w:rsid w:val="006F7EC0"/>
    <w:rsid w:val="0070213C"/>
    <w:rsid w:val="0070289E"/>
    <w:rsid w:val="0070389F"/>
    <w:rsid w:val="007056E4"/>
    <w:rsid w:val="00711DA4"/>
    <w:rsid w:val="00716260"/>
    <w:rsid w:val="00716535"/>
    <w:rsid w:val="0072614D"/>
    <w:rsid w:val="00730AD3"/>
    <w:rsid w:val="00730C75"/>
    <w:rsid w:val="00733095"/>
    <w:rsid w:val="00733FAA"/>
    <w:rsid w:val="00734D63"/>
    <w:rsid w:val="00741923"/>
    <w:rsid w:val="00742806"/>
    <w:rsid w:val="00742AFB"/>
    <w:rsid w:val="007430EA"/>
    <w:rsid w:val="00743887"/>
    <w:rsid w:val="00745786"/>
    <w:rsid w:val="00746E32"/>
    <w:rsid w:val="007472C4"/>
    <w:rsid w:val="00753D35"/>
    <w:rsid w:val="007656A4"/>
    <w:rsid w:val="007739C3"/>
    <w:rsid w:val="00773A73"/>
    <w:rsid w:val="00774282"/>
    <w:rsid w:val="007744EC"/>
    <w:rsid w:val="007755E9"/>
    <w:rsid w:val="00777011"/>
    <w:rsid w:val="00790FE5"/>
    <w:rsid w:val="00797BE1"/>
    <w:rsid w:val="00797E41"/>
    <w:rsid w:val="007A0DDA"/>
    <w:rsid w:val="007A0E6D"/>
    <w:rsid w:val="007A3274"/>
    <w:rsid w:val="007A403E"/>
    <w:rsid w:val="007A63FC"/>
    <w:rsid w:val="007B2948"/>
    <w:rsid w:val="007B2D22"/>
    <w:rsid w:val="007C1180"/>
    <w:rsid w:val="007D0D13"/>
    <w:rsid w:val="007D1AB9"/>
    <w:rsid w:val="007D4096"/>
    <w:rsid w:val="007D4946"/>
    <w:rsid w:val="007D6C64"/>
    <w:rsid w:val="007E0CE5"/>
    <w:rsid w:val="007E1357"/>
    <w:rsid w:val="007E5344"/>
    <w:rsid w:val="007F0994"/>
    <w:rsid w:val="007F15D4"/>
    <w:rsid w:val="007F19F5"/>
    <w:rsid w:val="007F2D59"/>
    <w:rsid w:val="007F40F7"/>
    <w:rsid w:val="007F4320"/>
    <w:rsid w:val="007F47E3"/>
    <w:rsid w:val="007F4D68"/>
    <w:rsid w:val="0080285F"/>
    <w:rsid w:val="00805838"/>
    <w:rsid w:val="00805E50"/>
    <w:rsid w:val="008060D3"/>
    <w:rsid w:val="0081206F"/>
    <w:rsid w:val="00812C78"/>
    <w:rsid w:val="008145E3"/>
    <w:rsid w:val="00822FB2"/>
    <w:rsid w:val="008304EC"/>
    <w:rsid w:val="00831A40"/>
    <w:rsid w:val="00833662"/>
    <w:rsid w:val="00833AAE"/>
    <w:rsid w:val="00835B09"/>
    <w:rsid w:val="00837CA5"/>
    <w:rsid w:val="00843A09"/>
    <w:rsid w:val="008447B4"/>
    <w:rsid w:val="00850055"/>
    <w:rsid w:val="00850E32"/>
    <w:rsid w:val="00851235"/>
    <w:rsid w:val="008568A4"/>
    <w:rsid w:val="0086055F"/>
    <w:rsid w:val="00862D91"/>
    <w:rsid w:val="00864230"/>
    <w:rsid w:val="008859B0"/>
    <w:rsid w:val="00891777"/>
    <w:rsid w:val="0089328F"/>
    <w:rsid w:val="00893663"/>
    <w:rsid w:val="0089470E"/>
    <w:rsid w:val="00894F98"/>
    <w:rsid w:val="008A1368"/>
    <w:rsid w:val="008A7060"/>
    <w:rsid w:val="008B0575"/>
    <w:rsid w:val="008B0BB1"/>
    <w:rsid w:val="008B1307"/>
    <w:rsid w:val="008C2A32"/>
    <w:rsid w:val="008C332D"/>
    <w:rsid w:val="008C3DA5"/>
    <w:rsid w:val="008C42ED"/>
    <w:rsid w:val="008D3C1E"/>
    <w:rsid w:val="008D6941"/>
    <w:rsid w:val="008E394B"/>
    <w:rsid w:val="008E6A0E"/>
    <w:rsid w:val="008E6AD3"/>
    <w:rsid w:val="008F2F71"/>
    <w:rsid w:val="008F32CF"/>
    <w:rsid w:val="008F5EF0"/>
    <w:rsid w:val="008F7C13"/>
    <w:rsid w:val="0090150C"/>
    <w:rsid w:val="0091404C"/>
    <w:rsid w:val="009209AC"/>
    <w:rsid w:val="00923216"/>
    <w:rsid w:val="00924055"/>
    <w:rsid w:val="009243B6"/>
    <w:rsid w:val="009245BF"/>
    <w:rsid w:val="00936C19"/>
    <w:rsid w:val="0094205C"/>
    <w:rsid w:val="009449A1"/>
    <w:rsid w:val="00952CC0"/>
    <w:rsid w:val="0095528B"/>
    <w:rsid w:val="0095569D"/>
    <w:rsid w:val="009571D1"/>
    <w:rsid w:val="0095754A"/>
    <w:rsid w:val="0096058C"/>
    <w:rsid w:val="00963622"/>
    <w:rsid w:val="009667CC"/>
    <w:rsid w:val="00966AD9"/>
    <w:rsid w:val="009672E5"/>
    <w:rsid w:val="009705D5"/>
    <w:rsid w:val="0097548F"/>
    <w:rsid w:val="00975605"/>
    <w:rsid w:val="009758B1"/>
    <w:rsid w:val="00977965"/>
    <w:rsid w:val="00986DAC"/>
    <w:rsid w:val="00986F98"/>
    <w:rsid w:val="00990607"/>
    <w:rsid w:val="00991560"/>
    <w:rsid w:val="00994162"/>
    <w:rsid w:val="009B5CAE"/>
    <w:rsid w:val="009C12BE"/>
    <w:rsid w:val="009C5B1D"/>
    <w:rsid w:val="009C78F9"/>
    <w:rsid w:val="009D0796"/>
    <w:rsid w:val="009D61D8"/>
    <w:rsid w:val="009E0058"/>
    <w:rsid w:val="009E3859"/>
    <w:rsid w:val="009E4132"/>
    <w:rsid w:val="009E70FA"/>
    <w:rsid w:val="009F0F20"/>
    <w:rsid w:val="009F11E4"/>
    <w:rsid w:val="009F1C79"/>
    <w:rsid w:val="009F1DDA"/>
    <w:rsid w:val="009F7105"/>
    <w:rsid w:val="009F79D3"/>
    <w:rsid w:val="009F7A37"/>
    <w:rsid w:val="00A0491C"/>
    <w:rsid w:val="00A05858"/>
    <w:rsid w:val="00A06EC3"/>
    <w:rsid w:val="00A22E67"/>
    <w:rsid w:val="00A23F45"/>
    <w:rsid w:val="00A2597F"/>
    <w:rsid w:val="00A2631C"/>
    <w:rsid w:val="00A26EFD"/>
    <w:rsid w:val="00A2726C"/>
    <w:rsid w:val="00A27ECD"/>
    <w:rsid w:val="00A3181B"/>
    <w:rsid w:val="00A348F3"/>
    <w:rsid w:val="00A46B07"/>
    <w:rsid w:val="00A47220"/>
    <w:rsid w:val="00A47C4F"/>
    <w:rsid w:val="00A53033"/>
    <w:rsid w:val="00A556AC"/>
    <w:rsid w:val="00A56563"/>
    <w:rsid w:val="00A61BFD"/>
    <w:rsid w:val="00A64B39"/>
    <w:rsid w:val="00A70A06"/>
    <w:rsid w:val="00A7168A"/>
    <w:rsid w:val="00A72636"/>
    <w:rsid w:val="00A73213"/>
    <w:rsid w:val="00A73CD8"/>
    <w:rsid w:val="00A75EF9"/>
    <w:rsid w:val="00A8168C"/>
    <w:rsid w:val="00A81DDE"/>
    <w:rsid w:val="00A82907"/>
    <w:rsid w:val="00A84553"/>
    <w:rsid w:val="00A900F0"/>
    <w:rsid w:val="00A90AB3"/>
    <w:rsid w:val="00A93DFE"/>
    <w:rsid w:val="00A94E96"/>
    <w:rsid w:val="00A9643D"/>
    <w:rsid w:val="00A96782"/>
    <w:rsid w:val="00AA23DA"/>
    <w:rsid w:val="00AA27AD"/>
    <w:rsid w:val="00AA2DFB"/>
    <w:rsid w:val="00AA36FF"/>
    <w:rsid w:val="00AA464A"/>
    <w:rsid w:val="00AA6C5F"/>
    <w:rsid w:val="00AA6F83"/>
    <w:rsid w:val="00AB42CB"/>
    <w:rsid w:val="00AB4711"/>
    <w:rsid w:val="00AC5212"/>
    <w:rsid w:val="00AC5B02"/>
    <w:rsid w:val="00AD341D"/>
    <w:rsid w:val="00AD7B20"/>
    <w:rsid w:val="00AE6C54"/>
    <w:rsid w:val="00AF009C"/>
    <w:rsid w:val="00AF5501"/>
    <w:rsid w:val="00AF6526"/>
    <w:rsid w:val="00AF74BD"/>
    <w:rsid w:val="00B00258"/>
    <w:rsid w:val="00B02899"/>
    <w:rsid w:val="00B03A30"/>
    <w:rsid w:val="00B10E96"/>
    <w:rsid w:val="00B138EE"/>
    <w:rsid w:val="00B16E19"/>
    <w:rsid w:val="00B209E5"/>
    <w:rsid w:val="00B25495"/>
    <w:rsid w:val="00B260FD"/>
    <w:rsid w:val="00B2646F"/>
    <w:rsid w:val="00B2756E"/>
    <w:rsid w:val="00B337B2"/>
    <w:rsid w:val="00B37EBB"/>
    <w:rsid w:val="00B46143"/>
    <w:rsid w:val="00B50488"/>
    <w:rsid w:val="00B509C0"/>
    <w:rsid w:val="00B50A5D"/>
    <w:rsid w:val="00B57642"/>
    <w:rsid w:val="00B61DA8"/>
    <w:rsid w:val="00B63691"/>
    <w:rsid w:val="00B64731"/>
    <w:rsid w:val="00B7169A"/>
    <w:rsid w:val="00B760F9"/>
    <w:rsid w:val="00B76AD7"/>
    <w:rsid w:val="00B80B2C"/>
    <w:rsid w:val="00B8476E"/>
    <w:rsid w:val="00B849D5"/>
    <w:rsid w:val="00B86D5D"/>
    <w:rsid w:val="00B956DE"/>
    <w:rsid w:val="00B96330"/>
    <w:rsid w:val="00BA0D70"/>
    <w:rsid w:val="00BA1CE1"/>
    <w:rsid w:val="00BA262E"/>
    <w:rsid w:val="00BA343A"/>
    <w:rsid w:val="00BA51A6"/>
    <w:rsid w:val="00BA70D9"/>
    <w:rsid w:val="00BB122B"/>
    <w:rsid w:val="00BB20EF"/>
    <w:rsid w:val="00BB54A3"/>
    <w:rsid w:val="00BC1592"/>
    <w:rsid w:val="00BC75BA"/>
    <w:rsid w:val="00BE301B"/>
    <w:rsid w:val="00BE4B2F"/>
    <w:rsid w:val="00BE6AA7"/>
    <w:rsid w:val="00BE7E7A"/>
    <w:rsid w:val="00BF37C5"/>
    <w:rsid w:val="00BF38D5"/>
    <w:rsid w:val="00C00A78"/>
    <w:rsid w:val="00C01326"/>
    <w:rsid w:val="00C035A0"/>
    <w:rsid w:val="00C04575"/>
    <w:rsid w:val="00C04A01"/>
    <w:rsid w:val="00C11EA9"/>
    <w:rsid w:val="00C12121"/>
    <w:rsid w:val="00C15FE7"/>
    <w:rsid w:val="00C16EAA"/>
    <w:rsid w:val="00C2295A"/>
    <w:rsid w:val="00C237B8"/>
    <w:rsid w:val="00C23A08"/>
    <w:rsid w:val="00C2586A"/>
    <w:rsid w:val="00C25B98"/>
    <w:rsid w:val="00C279F4"/>
    <w:rsid w:val="00C307C2"/>
    <w:rsid w:val="00C33AE0"/>
    <w:rsid w:val="00C35791"/>
    <w:rsid w:val="00C370D2"/>
    <w:rsid w:val="00C41C3C"/>
    <w:rsid w:val="00C437FA"/>
    <w:rsid w:val="00C5200E"/>
    <w:rsid w:val="00C53D62"/>
    <w:rsid w:val="00C54EA1"/>
    <w:rsid w:val="00C64403"/>
    <w:rsid w:val="00C660D1"/>
    <w:rsid w:val="00C72C55"/>
    <w:rsid w:val="00C75244"/>
    <w:rsid w:val="00C767E2"/>
    <w:rsid w:val="00C76B93"/>
    <w:rsid w:val="00C84EB5"/>
    <w:rsid w:val="00C9109B"/>
    <w:rsid w:val="00C9333B"/>
    <w:rsid w:val="00C935FA"/>
    <w:rsid w:val="00C96EB0"/>
    <w:rsid w:val="00CA07F0"/>
    <w:rsid w:val="00CA2071"/>
    <w:rsid w:val="00CA232A"/>
    <w:rsid w:val="00CB085D"/>
    <w:rsid w:val="00CB766F"/>
    <w:rsid w:val="00CC519D"/>
    <w:rsid w:val="00CD455B"/>
    <w:rsid w:val="00CD6D05"/>
    <w:rsid w:val="00CE0497"/>
    <w:rsid w:val="00CE1D90"/>
    <w:rsid w:val="00CE536F"/>
    <w:rsid w:val="00CE556E"/>
    <w:rsid w:val="00CF2746"/>
    <w:rsid w:val="00CF2A23"/>
    <w:rsid w:val="00CF5572"/>
    <w:rsid w:val="00D02492"/>
    <w:rsid w:val="00D05B77"/>
    <w:rsid w:val="00D06911"/>
    <w:rsid w:val="00D122AE"/>
    <w:rsid w:val="00D14E94"/>
    <w:rsid w:val="00D15267"/>
    <w:rsid w:val="00D171A7"/>
    <w:rsid w:val="00D208BF"/>
    <w:rsid w:val="00D32618"/>
    <w:rsid w:val="00D4043C"/>
    <w:rsid w:val="00D4088A"/>
    <w:rsid w:val="00D42FE1"/>
    <w:rsid w:val="00D4417B"/>
    <w:rsid w:val="00D476E1"/>
    <w:rsid w:val="00D518EE"/>
    <w:rsid w:val="00D53DA4"/>
    <w:rsid w:val="00D53E9F"/>
    <w:rsid w:val="00D5627E"/>
    <w:rsid w:val="00D65126"/>
    <w:rsid w:val="00D65B90"/>
    <w:rsid w:val="00D70D07"/>
    <w:rsid w:val="00D76EBD"/>
    <w:rsid w:val="00D77D0A"/>
    <w:rsid w:val="00D80EA2"/>
    <w:rsid w:val="00D8260A"/>
    <w:rsid w:val="00D83C2F"/>
    <w:rsid w:val="00D86C3D"/>
    <w:rsid w:val="00D927D1"/>
    <w:rsid w:val="00D93D30"/>
    <w:rsid w:val="00D94C9D"/>
    <w:rsid w:val="00D966E6"/>
    <w:rsid w:val="00DA0526"/>
    <w:rsid w:val="00DA30A1"/>
    <w:rsid w:val="00DA3322"/>
    <w:rsid w:val="00DA3564"/>
    <w:rsid w:val="00DA3AD3"/>
    <w:rsid w:val="00DA6E84"/>
    <w:rsid w:val="00DB0415"/>
    <w:rsid w:val="00DB3B3E"/>
    <w:rsid w:val="00DB46D3"/>
    <w:rsid w:val="00DB5894"/>
    <w:rsid w:val="00DB7496"/>
    <w:rsid w:val="00DC2044"/>
    <w:rsid w:val="00DC33DB"/>
    <w:rsid w:val="00DD4BB6"/>
    <w:rsid w:val="00DD54DE"/>
    <w:rsid w:val="00DD5FA4"/>
    <w:rsid w:val="00DE3DC6"/>
    <w:rsid w:val="00DE4A9F"/>
    <w:rsid w:val="00DE518C"/>
    <w:rsid w:val="00DF1154"/>
    <w:rsid w:val="00DF5FD5"/>
    <w:rsid w:val="00E013DC"/>
    <w:rsid w:val="00E0723A"/>
    <w:rsid w:val="00E07B80"/>
    <w:rsid w:val="00E07DCF"/>
    <w:rsid w:val="00E07EF0"/>
    <w:rsid w:val="00E11A95"/>
    <w:rsid w:val="00E12D81"/>
    <w:rsid w:val="00E14504"/>
    <w:rsid w:val="00E1577B"/>
    <w:rsid w:val="00E16AA8"/>
    <w:rsid w:val="00E412A8"/>
    <w:rsid w:val="00E43D7E"/>
    <w:rsid w:val="00E45290"/>
    <w:rsid w:val="00E46576"/>
    <w:rsid w:val="00E50620"/>
    <w:rsid w:val="00E557C2"/>
    <w:rsid w:val="00E558E5"/>
    <w:rsid w:val="00E57991"/>
    <w:rsid w:val="00E610B0"/>
    <w:rsid w:val="00E62066"/>
    <w:rsid w:val="00E6307F"/>
    <w:rsid w:val="00E64150"/>
    <w:rsid w:val="00E73CD5"/>
    <w:rsid w:val="00E81968"/>
    <w:rsid w:val="00E84383"/>
    <w:rsid w:val="00E85DDD"/>
    <w:rsid w:val="00E94EFC"/>
    <w:rsid w:val="00E961D7"/>
    <w:rsid w:val="00EA4C65"/>
    <w:rsid w:val="00EA6E9B"/>
    <w:rsid w:val="00EB189F"/>
    <w:rsid w:val="00EB4E53"/>
    <w:rsid w:val="00EB57BF"/>
    <w:rsid w:val="00EB5FF2"/>
    <w:rsid w:val="00EB6A45"/>
    <w:rsid w:val="00EC2D9D"/>
    <w:rsid w:val="00EC3683"/>
    <w:rsid w:val="00EC6D5D"/>
    <w:rsid w:val="00ED050E"/>
    <w:rsid w:val="00EE01BB"/>
    <w:rsid w:val="00EE153E"/>
    <w:rsid w:val="00EE2304"/>
    <w:rsid w:val="00EF5AD1"/>
    <w:rsid w:val="00EF5B73"/>
    <w:rsid w:val="00EF791A"/>
    <w:rsid w:val="00F021B3"/>
    <w:rsid w:val="00F04D40"/>
    <w:rsid w:val="00F0703B"/>
    <w:rsid w:val="00F0740E"/>
    <w:rsid w:val="00F10735"/>
    <w:rsid w:val="00F1246D"/>
    <w:rsid w:val="00F13AB5"/>
    <w:rsid w:val="00F15A4E"/>
    <w:rsid w:val="00F16979"/>
    <w:rsid w:val="00F16F13"/>
    <w:rsid w:val="00F17334"/>
    <w:rsid w:val="00F17DF3"/>
    <w:rsid w:val="00F211B8"/>
    <w:rsid w:val="00F22DB8"/>
    <w:rsid w:val="00F260BE"/>
    <w:rsid w:val="00F2663F"/>
    <w:rsid w:val="00F27BED"/>
    <w:rsid w:val="00F308C7"/>
    <w:rsid w:val="00F31C1A"/>
    <w:rsid w:val="00F36AF1"/>
    <w:rsid w:val="00F43781"/>
    <w:rsid w:val="00F4426D"/>
    <w:rsid w:val="00F450D5"/>
    <w:rsid w:val="00F46CF0"/>
    <w:rsid w:val="00F50F41"/>
    <w:rsid w:val="00F608DA"/>
    <w:rsid w:val="00F617AD"/>
    <w:rsid w:val="00F6437D"/>
    <w:rsid w:val="00F7104D"/>
    <w:rsid w:val="00F71AB4"/>
    <w:rsid w:val="00F7343B"/>
    <w:rsid w:val="00F82D4B"/>
    <w:rsid w:val="00F841EA"/>
    <w:rsid w:val="00F8617A"/>
    <w:rsid w:val="00F90C76"/>
    <w:rsid w:val="00F91090"/>
    <w:rsid w:val="00F96C5F"/>
    <w:rsid w:val="00FA02DC"/>
    <w:rsid w:val="00FA3323"/>
    <w:rsid w:val="00FA62EC"/>
    <w:rsid w:val="00FB3D88"/>
    <w:rsid w:val="00FB5753"/>
    <w:rsid w:val="00FB6D40"/>
    <w:rsid w:val="00FB7F8B"/>
    <w:rsid w:val="00FC0E34"/>
    <w:rsid w:val="00FD1822"/>
    <w:rsid w:val="00FD355D"/>
    <w:rsid w:val="00FD6A0F"/>
    <w:rsid w:val="00FD70CC"/>
    <w:rsid w:val="00FE0DFE"/>
    <w:rsid w:val="00FE4888"/>
    <w:rsid w:val="00FE61AF"/>
    <w:rsid w:val="00FF08F8"/>
    <w:rsid w:val="00FF0D5D"/>
    <w:rsid w:val="066E2574"/>
    <w:rsid w:val="099E554C"/>
    <w:rsid w:val="0D6E5C96"/>
    <w:rsid w:val="0DE81AD5"/>
    <w:rsid w:val="24E114A9"/>
    <w:rsid w:val="3128157E"/>
    <w:rsid w:val="3E64367A"/>
    <w:rsid w:val="3E7064DA"/>
    <w:rsid w:val="3FA07C02"/>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FDE5"/>
  <w15:docId w15:val="{E7844542-A332-423D-BAA6-00BDF924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FootnoteText">
    <w:name w:val="footnote text"/>
    <w:basedOn w:val="Normal"/>
    <w:link w:val="FootnoteTextChar"/>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986"/>
        <w:tab w:val="right" w:pos="9972"/>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semiHidden/>
    <w:unhideWhenUsed/>
    <w:qFormat/>
    <w:rPr>
      <w:vertAlign w:val="superscript"/>
    </w:rPr>
  </w:style>
  <w:style w:type="character" w:styleId="PageNumber">
    <w:name w:val="page number"/>
    <w:basedOn w:val="DefaultParagraphFont"/>
    <w:semiHidden/>
    <w:qFormat/>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character" w:customStyle="1" w:styleId="FootnoteTextChar">
    <w:name w:val="Footnote Text Char"/>
    <w:basedOn w:val="DefaultParagraphFont"/>
    <w:link w:val="FootnoteText"/>
    <w:semiHidden/>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A3D42-CD84-4F8B-9ABA-DE6FDC4F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17572</Words>
  <Characters>10017</Characters>
  <Application>Microsoft Office Word</Application>
  <DocSecurity>4</DocSecurity>
  <Lines>83</Lines>
  <Paragraphs>55</Paragraphs>
  <ScaleCrop>false</ScaleCrop>
  <HeadingPairs>
    <vt:vector size="2" baseType="variant">
      <vt:variant>
        <vt:lpstr>Title</vt:lpstr>
      </vt:variant>
      <vt:variant>
        <vt:i4>1</vt:i4>
      </vt:variant>
    </vt:vector>
  </HeadingPairs>
  <TitlesOfParts>
    <vt:vector size="1" baseType="lpstr">
      <vt:lpstr>TEISĖS AKTŲ PROJEKTŲ, ĮTRAUKTŲ Į ADMINISTRACINĖS NAŠTOS POKYČIO SKAIČIAVIMĄ, SĄRAŠAS</vt:lpstr>
    </vt:vector>
  </TitlesOfParts>
  <Company>u m</Company>
  <LinksUpToDate>false</LinksUpToDate>
  <CharactersWithSpaces>27534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AKTŲ PROJEKTŲ, ĮTRAUKTŲ Į ADMINISTRACINĖS NAŠTOS POKYČIO SKAIČIAVIMĄ, SĄRAŠAS</dc:title>
  <dc:creator>Damzeniene Vyginta</dc:creator>
  <cp:lastModifiedBy>Asta Petkevičienė</cp:lastModifiedBy>
  <cp:revision>2</cp:revision>
  <cp:lastPrinted>2019-01-30T08:17:00Z</cp:lastPrinted>
  <dcterms:created xsi:type="dcterms:W3CDTF">2019-02-28T06:56:00Z</dcterms:created>
  <dcterms:modified xsi:type="dcterms:W3CDTF">2019-02-28T06:56:00Z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