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3B71" w:rsidRPr="00F45E7A" w:rsidRDefault="00F45E7A">
      <w:pPr>
        <w:rPr>
          <w:rFonts w:ascii="Times New Roman" w:hAnsi="Times New Roman" w:cs="Times New Roman"/>
          <w:b/>
          <w:color w:val="244061"/>
          <w:sz w:val="26"/>
          <w:szCs w:val="26"/>
        </w:rPr>
      </w:pPr>
      <w:bookmarkStart w:id="0" w:name="_gjdgxs" w:colFirst="0" w:colLast="0"/>
      <w:bookmarkEnd w:id="0"/>
      <w:r w:rsidRPr="00F45E7A">
        <w:rPr>
          <w:rFonts w:ascii="Times New Roman" w:hAnsi="Times New Roman" w:cs="Times New Roman"/>
          <w:b/>
          <w:color w:val="244061"/>
          <w:sz w:val="26"/>
          <w:szCs w:val="26"/>
          <w:highlight w:val="white"/>
        </w:rPr>
        <w:t xml:space="preserve">Dėl Lietuvos Respublikos Vyriausybės nutarimo </w:t>
      </w:r>
      <w:r w:rsidRPr="00F45E7A">
        <w:rPr>
          <w:rFonts w:ascii="Times New Roman" w:hAnsi="Times New Roman" w:cs="Times New Roman"/>
          <w:b/>
          <w:color w:val="244061"/>
          <w:sz w:val="26"/>
          <w:szCs w:val="26"/>
        </w:rPr>
        <w:t>„</w:t>
      </w:r>
      <w:r w:rsidRPr="00F45E7A">
        <w:rPr>
          <w:rFonts w:ascii="Times New Roman" w:hAnsi="Times New Roman" w:cs="Times New Roman"/>
          <w:b/>
          <w:color w:val="244061"/>
          <w:sz w:val="26"/>
          <w:szCs w:val="26"/>
          <w:highlight w:val="white"/>
        </w:rPr>
        <w:t>Dėl Lietuvos Respublikos Vyriausybės 2018 m. kovo 28 d. nutarimo Nr. 313 „Dėl Lietuvos Respublikos Vyriausybės 2007 m. birželio 6 d. nutarimo Nr. 567 „Dėl savivaldybių turtinių ir neturtinių teisių įgyvendinimo akcinėse bendrovėse ir uždarosiose akcinėse b</w:t>
      </w:r>
      <w:r w:rsidRPr="00F45E7A">
        <w:rPr>
          <w:rFonts w:ascii="Times New Roman" w:hAnsi="Times New Roman" w:cs="Times New Roman"/>
          <w:b/>
          <w:color w:val="244061"/>
          <w:sz w:val="26"/>
          <w:szCs w:val="26"/>
          <w:highlight w:val="white"/>
        </w:rPr>
        <w:t>endrovėse“ pakeitimo“ pakeitimo</w:t>
      </w:r>
      <w:r w:rsidRPr="00F45E7A">
        <w:rPr>
          <w:rFonts w:ascii="Times New Roman" w:hAnsi="Times New Roman" w:cs="Times New Roman"/>
          <w:b/>
          <w:color w:val="244061"/>
          <w:sz w:val="26"/>
          <w:szCs w:val="26"/>
          <w:highlight w:val="white"/>
        </w:rPr>
        <w:t xml:space="preserve">“ projekto </w:t>
      </w:r>
      <w:r w:rsidRPr="00F45E7A">
        <w:rPr>
          <w:rFonts w:ascii="Times New Roman" w:hAnsi="Times New Roman" w:cs="Times New Roman"/>
          <w:b/>
          <w:color w:val="244061"/>
          <w:sz w:val="26"/>
          <w:szCs w:val="26"/>
        </w:rPr>
        <w:t>(Reg. Nr</w:t>
      </w:r>
      <w:r w:rsidRPr="00F45E7A">
        <w:rPr>
          <w:rFonts w:ascii="Times New Roman" w:hAnsi="Times New Roman" w:cs="Times New Roman"/>
          <w:b/>
          <w:color w:val="244061"/>
          <w:sz w:val="26"/>
          <w:szCs w:val="26"/>
        </w:rPr>
        <w:t xml:space="preserve">. </w:t>
      </w:r>
      <w:r w:rsidRPr="00F45E7A">
        <w:rPr>
          <w:rFonts w:ascii="Times New Roman" w:hAnsi="Times New Roman" w:cs="Times New Roman"/>
          <w:b/>
          <w:color w:val="244061"/>
          <w:sz w:val="26"/>
          <w:szCs w:val="26"/>
          <w:highlight w:val="white"/>
        </w:rPr>
        <w:t>18-14302(3)</w:t>
      </w:r>
      <w:r w:rsidRPr="00F45E7A">
        <w:rPr>
          <w:rFonts w:ascii="Times New Roman" w:hAnsi="Times New Roman" w:cs="Times New Roman"/>
          <w:b/>
          <w:color w:val="244061"/>
          <w:sz w:val="26"/>
          <w:szCs w:val="26"/>
        </w:rPr>
        <w:t>)</w:t>
      </w:r>
      <w:r w:rsidRPr="00F45E7A">
        <w:rPr>
          <w:rFonts w:ascii="Times New Roman" w:hAnsi="Times New Roman" w:cs="Times New Roman"/>
          <w:b/>
          <w:color w:val="244061"/>
          <w:sz w:val="26"/>
          <w:szCs w:val="26"/>
          <w:highlight w:val="white"/>
          <w:vertAlign w:val="superscript"/>
        </w:rPr>
        <w:footnoteReference w:id="1"/>
      </w:r>
      <w:r w:rsidRPr="00F45E7A">
        <w:rPr>
          <w:rFonts w:ascii="Times New Roman" w:hAnsi="Times New Roman" w:cs="Times New Roman"/>
          <w:b/>
          <w:color w:val="244061"/>
          <w:sz w:val="26"/>
          <w:szCs w:val="26"/>
          <w:highlight w:val="white"/>
        </w:rPr>
        <w:t>.</w:t>
      </w:r>
    </w:p>
    <w:p w:rsidR="00373B71" w:rsidRPr="00F45E7A" w:rsidRDefault="00373B71">
      <w:pPr>
        <w:pBdr>
          <w:top w:val="nil"/>
          <w:left w:val="nil"/>
          <w:bottom w:val="nil"/>
          <w:right w:val="nil"/>
          <w:between w:val="nil"/>
        </w:pBdr>
        <w:rPr>
          <w:rFonts w:ascii="Times New Roman" w:hAnsi="Times New Roman" w:cs="Times New Roman"/>
          <w:color w:val="000000"/>
        </w:rPr>
      </w:pPr>
    </w:p>
    <w:p w:rsidR="00373B71" w:rsidRPr="00F45E7A" w:rsidRDefault="00F45E7A">
      <w:pPr>
        <w:pBdr>
          <w:top w:val="nil"/>
          <w:left w:val="nil"/>
          <w:bottom w:val="nil"/>
          <w:right w:val="nil"/>
          <w:between w:val="nil"/>
        </w:pBdr>
        <w:rPr>
          <w:rFonts w:ascii="Times New Roman" w:hAnsi="Times New Roman" w:cs="Times New Roman"/>
        </w:rPr>
      </w:pPr>
      <w:r w:rsidRPr="00F45E7A">
        <w:rPr>
          <w:rFonts w:ascii="Times New Roman" w:hAnsi="Times New Roman" w:cs="Times New Roman"/>
          <w:color w:val="000000"/>
        </w:rPr>
        <w:t>Lietuvos laisvosios rinkos institutas (toliau – L</w:t>
      </w:r>
      <w:r w:rsidRPr="00F45E7A">
        <w:rPr>
          <w:rFonts w:ascii="Times New Roman" w:hAnsi="Times New Roman" w:cs="Times New Roman"/>
        </w:rPr>
        <w:t>LRI)</w:t>
      </w:r>
      <w:r w:rsidRPr="00F45E7A">
        <w:rPr>
          <w:rFonts w:ascii="Times New Roman" w:hAnsi="Times New Roman" w:cs="Times New Roman"/>
          <w:color w:val="000000"/>
        </w:rPr>
        <w:t xml:space="preserve"> išnagrinėjo Savivaldybių turtinių ir neturtinių teisių įgyvendinimo savivaldybių valdomose įmonėse tvarkos aprašo (toliau – Aprašas) p</w:t>
      </w:r>
      <w:r w:rsidRPr="00F45E7A">
        <w:rPr>
          <w:rFonts w:ascii="Times New Roman" w:hAnsi="Times New Roman" w:cs="Times New Roman"/>
          <w:color w:val="000000"/>
        </w:rPr>
        <w:t>rojektą</w:t>
      </w:r>
      <w:r w:rsidRPr="00F45E7A">
        <w:rPr>
          <w:rFonts w:ascii="Times New Roman" w:hAnsi="Times New Roman" w:cs="Times New Roman"/>
          <w:color w:val="232528"/>
        </w:rPr>
        <w:t xml:space="preserve"> (toliau </w:t>
      </w:r>
      <w:r w:rsidRPr="00F45E7A">
        <w:rPr>
          <w:rFonts w:ascii="Times New Roman" w:hAnsi="Times New Roman" w:cs="Times New Roman"/>
        </w:rPr>
        <w:t>– Projektas), pritaria Projektui, tačiau teikia pasiūlymus dėl Aprašo 2.5. punkto papildymo.</w:t>
      </w:r>
    </w:p>
    <w:p w:rsidR="00373B71" w:rsidRPr="00F45E7A" w:rsidRDefault="00373B71">
      <w:pPr>
        <w:pBdr>
          <w:top w:val="nil"/>
          <w:left w:val="nil"/>
          <w:bottom w:val="nil"/>
          <w:right w:val="nil"/>
          <w:between w:val="nil"/>
        </w:pBdr>
        <w:rPr>
          <w:rFonts w:ascii="Times New Roman" w:hAnsi="Times New Roman" w:cs="Times New Roman"/>
        </w:rPr>
      </w:pPr>
    </w:p>
    <w:p w:rsidR="00373B71" w:rsidRPr="00F45E7A" w:rsidRDefault="00F45E7A">
      <w:pPr>
        <w:pBdr>
          <w:top w:val="nil"/>
          <w:left w:val="nil"/>
          <w:bottom w:val="nil"/>
          <w:right w:val="nil"/>
          <w:between w:val="nil"/>
        </w:pBdr>
        <w:rPr>
          <w:rFonts w:ascii="Times New Roman" w:hAnsi="Times New Roman" w:cs="Times New Roman"/>
        </w:rPr>
      </w:pPr>
      <w:r w:rsidRPr="00F45E7A">
        <w:rPr>
          <w:rFonts w:ascii="Times New Roman" w:hAnsi="Times New Roman" w:cs="Times New Roman"/>
        </w:rPr>
        <w:t xml:space="preserve">Aprašo 2.5. punkte, be kita ko, nustatoma, kad VšĮ „Stebėsenos ir prognozių agentūra“ rengiamose savivaldybės valdomų įmonių (toliau </w:t>
      </w:r>
      <w:r w:rsidRPr="00F45E7A">
        <w:rPr>
          <w:rFonts w:ascii="Times New Roman" w:hAnsi="Times New Roman" w:cs="Times New Roman"/>
        </w:rPr>
        <w:t xml:space="preserve">– </w:t>
      </w:r>
      <w:r w:rsidRPr="00F45E7A">
        <w:rPr>
          <w:rFonts w:ascii="Times New Roman" w:hAnsi="Times New Roman" w:cs="Times New Roman"/>
        </w:rPr>
        <w:t>SVĮ) veiklą</w:t>
      </w:r>
      <w:r w:rsidRPr="00F45E7A">
        <w:rPr>
          <w:rFonts w:ascii="Times New Roman" w:hAnsi="Times New Roman" w:cs="Times New Roman"/>
        </w:rPr>
        <w:t xml:space="preserve"> apibendrinančiose metinėse ataskaitose bus pateikiama ši informacija: </w:t>
      </w:r>
    </w:p>
    <w:p w:rsidR="00373B71" w:rsidRPr="00F45E7A" w:rsidRDefault="00F45E7A">
      <w:pPr>
        <w:numPr>
          <w:ilvl w:val="0"/>
          <w:numId w:val="1"/>
        </w:numPr>
        <w:pBdr>
          <w:top w:val="nil"/>
          <w:left w:val="nil"/>
          <w:bottom w:val="nil"/>
          <w:right w:val="nil"/>
          <w:between w:val="nil"/>
        </w:pBdr>
        <w:tabs>
          <w:tab w:val="left" w:pos="142"/>
          <w:tab w:val="left" w:pos="284"/>
        </w:tabs>
        <w:ind w:left="0" w:firstLine="0"/>
        <w:rPr>
          <w:rFonts w:ascii="Times New Roman" w:hAnsi="Times New Roman" w:cs="Times New Roman"/>
          <w:color w:val="000000"/>
        </w:rPr>
      </w:pPr>
      <w:r w:rsidRPr="00F45E7A">
        <w:rPr>
          <w:rFonts w:ascii="Times New Roman" w:hAnsi="Times New Roman" w:cs="Times New Roman"/>
          <w:color w:val="000000"/>
        </w:rPr>
        <w:t xml:space="preserve">SVĮ skaičiaus ir teisinės formos pokyčiai; </w:t>
      </w:r>
    </w:p>
    <w:p w:rsidR="00373B71" w:rsidRPr="00F45E7A" w:rsidRDefault="00F45E7A">
      <w:pPr>
        <w:numPr>
          <w:ilvl w:val="0"/>
          <w:numId w:val="1"/>
        </w:numPr>
        <w:pBdr>
          <w:top w:val="nil"/>
          <w:left w:val="nil"/>
          <w:bottom w:val="nil"/>
          <w:right w:val="nil"/>
          <w:between w:val="nil"/>
        </w:pBdr>
        <w:tabs>
          <w:tab w:val="left" w:pos="142"/>
          <w:tab w:val="left" w:pos="284"/>
        </w:tabs>
        <w:ind w:left="0" w:firstLine="0"/>
        <w:rPr>
          <w:rFonts w:ascii="Times New Roman" w:hAnsi="Times New Roman" w:cs="Times New Roman"/>
          <w:color w:val="000000"/>
        </w:rPr>
      </w:pPr>
      <w:r w:rsidRPr="00F45E7A">
        <w:rPr>
          <w:rFonts w:ascii="Times New Roman" w:hAnsi="Times New Roman" w:cs="Times New Roman"/>
        </w:rPr>
        <w:t xml:space="preserve">SVĮ </w:t>
      </w:r>
      <w:r w:rsidRPr="00F45E7A">
        <w:rPr>
          <w:rFonts w:ascii="Times New Roman" w:hAnsi="Times New Roman" w:cs="Times New Roman"/>
          <w:color w:val="000000"/>
        </w:rPr>
        <w:t xml:space="preserve"> vertė; </w:t>
      </w:r>
    </w:p>
    <w:p w:rsidR="00373B71" w:rsidRPr="00F45E7A" w:rsidRDefault="00F45E7A">
      <w:pPr>
        <w:numPr>
          <w:ilvl w:val="0"/>
          <w:numId w:val="1"/>
        </w:numPr>
        <w:pBdr>
          <w:top w:val="nil"/>
          <w:left w:val="nil"/>
          <w:bottom w:val="nil"/>
          <w:right w:val="nil"/>
          <w:between w:val="nil"/>
        </w:pBdr>
        <w:tabs>
          <w:tab w:val="left" w:pos="142"/>
          <w:tab w:val="left" w:pos="284"/>
        </w:tabs>
        <w:ind w:left="0" w:firstLine="0"/>
        <w:rPr>
          <w:rFonts w:ascii="Times New Roman" w:hAnsi="Times New Roman" w:cs="Times New Roman"/>
          <w:color w:val="000000"/>
        </w:rPr>
      </w:pPr>
      <w:r w:rsidRPr="00F45E7A">
        <w:rPr>
          <w:rFonts w:ascii="Times New Roman" w:hAnsi="Times New Roman" w:cs="Times New Roman"/>
          <w:color w:val="000000"/>
        </w:rPr>
        <w:t xml:space="preserve">finansinių ir nefinansinių veiklos rezultatų apžvalga; </w:t>
      </w:r>
    </w:p>
    <w:p w:rsidR="00373B71" w:rsidRPr="00F45E7A" w:rsidRDefault="00F45E7A">
      <w:pPr>
        <w:numPr>
          <w:ilvl w:val="0"/>
          <w:numId w:val="1"/>
        </w:numPr>
        <w:pBdr>
          <w:top w:val="nil"/>
          <w:left w:val="nil"/>
          <w:bottom w:val="nil"/>
          <w:right w:val="nil"/>
          <w:between w:val="nil"/>
        </w:pBdr>
        <w:tabs>
          <w:tab w:val="left" w:pos="142"/>
          <w:tab w:val="left" w:pos="284"/>
        </w:tabs>
        <w:ind w:left="0" w:firstLine="0"/>
        <w:rPr>
          <w:rFonts w:ascii="Times New Roman" w:hAnsi="Times New Roman" w:cs="Times New Roman"/>
          <w:color w:val="000000"/>
        </w:rPr>
      </w:pPr>
      <w:r w:rsidRPr="00F45E7A">
        <w:rPr>
          <w:rFonts w:ascii="Times New Roman" w:hAnsi="Times New Roman" w:cs="Times New Roman"/>
        </w:rPr>
        <w:t xml:space="preserve">SVĮ </w:t>
      </w:r>
      <w:r w:rsidRPr="00F45E7A">
        <w:rPr>
          <w:rFonts w:ascii="Times New Roman" w:hAnsi="Times New Roman" w:cs="Times New Roman"/>
          <w:color w:val="000000"/>
        </w:rPr>
        <w:t>sąrašas pagal ataskaitinio laikotarpio paskutinės dienos duomenis;</w:t>
      </w:r>
    </w:p>
    <w:p w:rsidR="00373B71" w:rsidRPr="00F45E7A" w:rsidRDefault="00F45E7A">
      <w:pPr>
        <w:numPr>
          <w:ilvl w:val="0"/>
          <w:numId w:val="1"/>
        </w:numPr>
        <w:pBdr>
          <w:top w:val="nil"/>
          <w:left w:val="nil"/>
          <w:bottom w:val="nil"/>
          <w:right w:val="nil"/>
          <w:between w:val="nil"/>
        </w:pBdr>
        <w:tabs>
          <w:tab w:val="left" w:pos="142"/>
          <w:tab w:val="left" w:pos="284"/>
        </w:tabs>
        <w:ind w:left="0" w:firstLine="0"/>
        <w:rPr>
          <w:rFonts w:ascii="Times New Roman" w:hAnsi="Times New Roman" w:cs="Times New Roman"/>
          <w:color w:val="000000"/>
        </w:rPr>
      </w:pPr>
      <w:r w:rsidRPr="00F45E7A">
        <w:rPr>
          <w:rFonts w:ascii="Times New Roman" w:hAnsi="Times New Roman" w:cs="Times New Roman"/>
          <w:color w:val="000000"/>
        </w:rPr>
        <w:t>informacija apie duomenims apibendrinti naudotus metodus.</w:t>
      </w:r>
    </w:p>
    <w:p w:rsidR="00373B71" w:rsidRPr="00F45E7A" w:rsidRDefault="00373B71">
      <w:pPr>
        <w:pBdr>
          <w:top w:val="nil"/>
          <w:left w:val="nil"/>
          <w:bottom w:val="nil"/>
          <w:right w:val="nil"/>
          <w:between w:val="nil"/>
        </w:pBdr>
        <w:rPr>
          <w:rFonts w:ascii="Times New Roman" w:hAnsi="Times New Roman" w:cs="Times New Roman"/>
        </w:rPr>
      </w:pPr>
    </w:p>
    <w:p w:rsidR="00373B71" w:rsidRPr="00F45E7A" w:rsidRDefault="00F45E7A">
      <w:pPr>
        <w:pBdr>
          <w:top w:val="nil"/>
          <w:left w:val="nil"/>
          <w:bottom w:val="nil"/>
          <w:right w:val="nil"/>
          <w:between w:val="nil"/>
        </w:pBdr>
        <w:spacing w:after="200"/>
        <w:rPr>
          <w:rFonts w:ascii="Times New Roman" w:hAnsi="Times New Roman" w:cs="Times New Roman"/>
        </w:rPr>
      </w:pPr>
      <w:r w:rsidRPr="00F45E7A">
        <w:rPr>
          <w:rFonts w:ascii="Times New Roman" w:hAnsi="Times New Roman" w:cs="Times New Roman"/>
        </w:rPr>
        <w:t xml:space="preserve">Laikantis skaidrumo, sąžiningos konkurencijos principų, o taip pat siekiant Ekonominio bendradarbiavimo ir plėtros organizacijos (toliau </w:t>
      </w:r>
      <w:r w:rsidRPr="00F45E7A">
        <w:rPr>
          <w:rFonts w:ascii="Times New Roman" w:hAnsi="Times New Roman" w:cs="Times New Roman"/>
        </w:rPr>
        <w:t xml:space="preserve">– EBPO) </w:t>
      </w:r>
      <w:r w:rsidRPr="00F45E7A">
        <w:rPr>
          <w:rFonts w:ascii="Times New Roman" w:hAnsi="Times New Roman" w:cs="Times New Roman"/>
        </w:rPr>
        <w:t xml:space="preserve">rekomendacijų, siūlome SVĮ apibendrinančiose metinėse ataskaitose skelbtiną informaciją papildyti </w:t>
      </w:r>
      <w:r w:rsidRPr="00F45E7A">
        <w:rPr>
          <w:rFonts w:ascii="Times New Roman" w:hAnsi="Times New Roman" w:cs="Times New Roman"/>
        </w:rPr>
        <w:t xml:space="preserve">toliau nurodyta </w:t>
      </w:r>
      <w:r w:rsidRPr="00F45E7A">
        <w:rPr>
          <w:rFonts w:ascii="Times New Roman" w:hAnsi="Times New Roman" w:cs="Times New Roman"/>
        </w:rPr>
        <w:t>informacija:</w:t>
      </w:r>
    </w:p>
    <w:p w:rsidR="00373B71" w:rsidRPr="00F45E7A" w:rsidRDefault="00F45E7A">
      <w:pPr>
        <w:numPr>
          <w:ilvl w:val="0"/>
          <w:numId w:val="2"/>
        </w:numPr>
        <w:pBdr>
          <w:top w:val="nil"/>
          <w:left w:val="nil"/>
          <w:bottom w:val="nil"/>
          <w:right w:val="nil"/>
          <w:between w:val="nil"/>
        </w:pBdr>
        <w:tabs>
          <w:tab w:val="left" w:pos="284"/>
        </w:tabs>
        <w:ind w:left="0" w:firstLine="0"/>
        <w:rPr>
          <w:rFonts w:ascii="Times New Roman" w:hAnsi="Times New Roman" w:cs="Times New Roman"/>
          <w:b/>
          <w:color w:val="244061"/>
          <w:sz w:val="26"/>
          <w:szCs w:val="26"/>
        </w:rPr>
      </w:pPr>
      <w:r w:rsidRPr="00F45E7A">
        <w:rPr>
          <w:rFonts w:ascii="Times New Roman" w:hAnsi="Times New Roman" w:cs="Times New Roman"/>
          <w:b/>
          <w:color w:val="244061"/>
          <w:sz w:val="24"/>
          <w:szCs w:val="24"/>
        </w:rPr>
        <w:t xml:space="preserve">Kiekvienos </w:t>
      </w:r>
      <w:r w:rsidRPr="00F45E7A">
        <w:rPr>
          <w:rFonts w:ascii="Times New Roman" w:hAnsi="Times New Roman" w:cs="Times New Roman"/>
          <w:b/>
          <w:color w:val="244061"/>
          <w:sz w:val="24"/>
          <w:szCs w:val="24"/>
        </w:rPr>
        <w:t xml:space="preserve">SVĮ darbuotojų skaičius ir jo pokyčiai. </w:t>
      </w:r>
      <w:r w:rsidRPr="00F45E7A">
        <w:rPr>
          <w:rFonts w:ascii="Times New Roman" w:hAnsi="Times New Roman" w:cs="Times New Roman"/>
          <w:color w:val="000000"/>
        </w:rPr>
        <w:t xml:space="preserve">Kiek tai susiję su Valstybės valdomomis įmonėmis (toliau </w:t>
      </w:r>
      <w:r w:rsidRPr="00F45E7A">
        <w:rPr>
          <w:rFonts w:ascii="Times New Roman" w:hAnsi="Times New Roman" w:cs="Times New Roman"/>
        </w:rPr>
        <w:t xml:space="preserve">– </w:t>
      </w:r>
      <w:r w:rsidRPr="00F45E7A">
        <w:rPr>
          <w:rFonts w:ascii="Times New Roman" w:hAnsi="Times New Roman" w:cs="Times New Roman"/>
          <w:color w:val="000000"/>
        </w:rPr>
        <w:t xml:space="preserve">VVĮ), pagrindiniai </w:t>
      </w:r>
      <w:r w:rsidRPr="00F45E7A">
        <w:rPr>
          <w:rFonts w:ascii="Times New Roman" w:hAnsi="Times New Roman" w:cs="Times New Roman"/>
          <w:color w:val="000000"/>
        </w:rPr>
        <w:t xml:space="preserve">VVĮ stebėsenos rodikliai EBPO šalyse yra: VVĮ skaičius, vertė ir darbuotojų skaičius. Stebima šių rodiklių dinamika pagal tai, kokiuose sektoriuose veikia konkrečios VVĮ: finansų, energetikos, susisiekimo, žemės ūkio ir kt. Kadangi SVĮ ir VVĮ yra panašios </w:t>
      </w:r>
      <w:r w:rsidRPr="00F45E7A">
        <w:rPr>
          <w:rFonts w:ascii="Times New Roman" w:hAnsi="Times New Roman" w:cs="Times New Roman"/>
          <w:color w:val="000000"/>
        </w:rPr>
        <w:t>tuo, kad jų veiklos pagrindą sudaro viešosiomis lėšomis grįstas turtas ir kapitalas, manytina, kad SVĮ veiklos stebėsenai ir kontrolei turėtų būti naudojami tie patys rodikliai kaip ir VVĮ. Galbūt, tikslinga būtų nustatyti kitokius veikimo sektoriaus ar sr</w:t>
      </w:r>
      <w:r w:rsidRPr="00F45E7A">
        <w:rPr>
          <w:rFonts w:ascii="Times New Roman" w:hAnsi="Times New Roman" w:cs="Times New Roman"/>
          <w:color w:val="000000"/>
        </w:rPr>
        <w:t>ities pjūvius, atsižvelgiant į kiek kitokias SVĮ būdingas veiklas (žr. šio rašto 2 p.).</w:t>
      </w:r>
    </w:p>
    <w:p w:rsidR="00373B71" w:rsidRPr="00F45E7A" w:rsidRDefault="00373B71">
      <w:pPr>
        <w:pBdr>
          <w:top w:val="nil"/>
          <w:left w:val="nil"/>
          <w:bottom w:val="nil"/>
          <w:right w:val="nil"/>
          <w:between w:val="nil"/>
        </w:pBdr>
        <w:tabs>
          <w:tab w:val="left" w:pos="284"/>
        </w:tabs>
        <w:rPr>
          <w:rFonts w:ascii="Times New Roman" w:hAnsi="Times New Roman" w:cs="Times New Roman"/>
          <w:color w:val="000000"/>
        </w:rPr>
      </w:pPr>
    </w:p>
    <w:p w:rsidR="00373B71" w:rsidRPr="00F45E7A" w:rsidRDefault="00F45E7A">
      <w:pPr>
        <w:pBdr>
          <w:top w:val="nil"/>
          <w:left w:val="nil"/>
          <w:bottom w:val="nil"/>
          <w:right w:val="nil"/>
          <w:between w:val="nil"/>
        </w:pBdr>
        <w:tabs>
          <w:tab w:val="left" w:pos="284"/>
        </w:tabs>
        <w:rPr>
          <w:rFonts w:ascii="Times New Roman" w:hAnsi="Times New Roman" w:cs="Times New Roman"/>
          <w:color w:val="000000"/>
        </w:rPr>
      </w:pPr>
      <w:r w:rsidRPr="00F45E7A">
        <w:rPr>
          <w:rFonts w:ascii="Times New Roman" w:hAnsi="Times New Roman" w:cs="Times New Roman"/>
          <w:color w:val="000000"/>
        </w:rPr>
        <w:t xml:space="preserve">SVĮ dirbančių darbuotojų skaičiaus stebėsena būtų reikšminga ir siekiant efektyvesnio SVĮ valdymo. </w:t>
      </w:r>
      <w:r w:rsidRPr="00F45E7A">
        <w:rPr>
          <w:rFonts w:ascii="Times New Roman" w:hAnsi="Times New Roman" w:cs="Times New Roman"/>
          <w:i/>
          <w:color w:val="000000"/>
        </w:rPr>
        <w:t xml:space="preserve">Transparency International </w:t>
      </w:r>
      <w:r w:rsidRPr="00F45E7A">
        <w:rPr>
          <w:rFonts w:ascii="Times New Roman" w:hAnsi="Times New Roman" w:cs="Times New Roman"/>
          <w:color w:val="000000"/>
        </w:rPr>
        <w:t>Lietuvos skyriaus atliktas tyrimas parodė</w:t>
      </w:r>
      <w:r w:rsidRPr="00F45E7A">
        <w:rPr>
          <w:rFonts w:ascii="Times New Roman" w:hAnsi="Times New Roman" w:cs="Times New Roman"/>
          <w:color w:val="000000"/>
        </w:rPr>
        <w:t>, kad 40 procentų visų įmonių (tiek VVĮ, tiek SVĮ) vadovų yra susiję su politinėmis partijomis</w:t>
      </w:r>
      <w:r w:rsidRPr="00F45E7A">
        <w:rPr>
          <w:rFonts w:ascii="Times New Roman" w:hAnsi="Times New Roman" w:cs="Times New Roman"/>
        </w:rPr>
        <w:t>, o SVĮ vadovų kaita dažnai būna susijusi politiniais ciklais.</w:t>
      </w:r>
      <w:r w:rsidRPr="00F45E7A">
        <w:rPr>
          <w:rFonts w:ascii="Times New Roman" w:hAnsi="Times New Roman" w:cs="Times New Roman"/>
          <w:color w:val="000000"/>
        </w:rPr>
        <w:t xml:space="preserve"> </w:t>
      </w:r>
      <w:r w:rsidRPr="00F45E7A">
        <w:rPr>
          <w:rFonts w:ascii="Times New Roman" w:hAnsi="Times New Roman" w:cs="Times New Roman"/>
        </w:rPr>
        <w:t xml:space="preserve">Lietuvos Respublikos </w:t>
      </w:r>
      <w:r w:rsidRPr="00F45E7A">
        <w:rPr>
          <w:rFonts w:ascii="Times New Roman" w:hAnsi="Times New Roman" w:cs="Times New Roman"/>
          <w:color w:val="000000"/>
        </w:rPr>
        <w:t xml:space="preserve">Prezidentė inicijuodama </w:t>
      </w:r>
      <w:r w:rsidRPr="00F45E7A">
        <w:rPr>
          <w:rFonts w:ascii="Times New Roman" w:hAnsi="Times New Roman" w:cs="Times New Roman"/>
        </w:rPr>
        <w:t>V</w:t>
      </w:r>
      <w:r w:rsidRPr="00F45E7A">
        <w:rPr>
          <w:rFonts w:ascii="Times New Roman" w:hAnsi="Times New Roman" w:cs="Times New Roman"/>
          <w:color w:val="000000"/>
        </w:rPr>
        <w:t>ietos savivaldos įstatymo pakeitimus taip pat kalbėjo</w:t>
      </w:r>
      <w:r w:rsidRPr="00F45E7A">
        <w:rPr>
          <w:rFonts w:ascii="Times New Roman" w:hAnsi="Times New Roman" w:cs="Times New Roman"/>
          <w:color w:val="000000"/>
        </w:rPr>
        <w:t xml:space="preserve"> apie SVĮ valdymui būdingą korupciją ir nepotizmą. Pernelyg didelis darbuotojų skaičius, palygin</w:t>
      </w:r>
      <w:r w:rsidRPr="00F45E7A">
        <w:rPr>
          <w:rFonts w:ascii="Times New Roman" w:hAnsi="Times New Roman" w:cs="Times New Roman"/>
        </w:rPr>
        <w:t>us</w:t>
      </w:r>
      <w:r w:rsidRPr="00F45E7A">
        <w:rPr>
          <w:rFonts w:ascii="Times New Roman" w:hAnsi="Times New Roman" w:cs="Times New Roman"/>
          <w:color w:val="000000"/>
        </w:rPr>
        <w:t xml:space="preserve"> su kitose savivaldybėse atitinkamą veiklą vykdančiomis SVĮ, gali signalizuoti</w:t>
      </w:r>
      <w:r w:rsidRPr="00F45E7A">
        <w:rPr>
          <w:rFonts w:ascii="Times New Roman" w:hAnsi="Times New Roman" w:cs="Times New Roman"/>
        </w:rPr>
        <w:t xml:space="preserve"> </w:t>
      </w:r>
      <w:r w:rsidRPr="00F45E7A">
        <w:rPr>
          <w:rFonts w:ascii="Times New Roman" w:hAnsi="Times New Roman" w:cs="Times New Roman"/>
          <w:color w:val="000000"/>
        </w:rPr>
        <w:t>tai, kad sprendimai šioje SVĮ priimami</w:t>
      </w:r>
      <w:r w:rsidRPr="00F45E7A">
        <w:rPr>
          <w:rFonts w:ascii="Times New Roman" w:hAnsi="Times New Roman" w:cs="Times New Roman"/>
        </w:rPr>
        <w:t xml:space="preserve"> prioritetu laikant kitus nei SVĮ </w:t>
      </w:r>
      <w:r w:rsidRPr="00F45E7A">
        <w:rPr>
          <w:rFonts w:ascii="Times New Roman" w:hAnsi="Times New Roman" w:cs="Times New Roman"/>
          <w:color w:val="000000"/>
        </w:rPr>
        <w:t>veiklos</w:t>
      </w:r>
      <w:r w:rsidRPr="00F45E7A">
        <w:rPr>
          <w:rFonts w:ascii="Times New Roman" w:hAnsi="Times New Roman" w:cs="Times New Roman"/>
          <w:color w:val="000000"/>
        </w:rPr>
        <w:t xml:space="preserve"> efektyvumo</w:t>
      </w:r>
      <w:r w:rsidRPr="00F45E7A">
        <w:rPr>
          <w:rFonts w:ascii="Times New Roman" w:hAnsi="Times New Roman" w:cs="Times New Roman"/>
        </w:rPr>
        <w:t>, didesnės kapitalo grąžos ar bendrųjų savivaldybės gyventojų interesų patenkinimo tikslus</w:t>
      </w:r>
      <w:r w:rsidRPr="00F45E7A">
        <w:rPr>
          <w:rFonts w:ascii="Times New Roman" w:hAnsi="Times New Roman" w:cs="Times New Roman"/>
          <w:color w:val="000000"/>
        </w:rPr>
        <w:t>.</w:t>
      </w:r>
    </w:p>
    <w:p w:rsidR="00373B71" w:rsidRPr="00F45E7A" w:rsidRDefault="00373B71">
      <w:pPr>
        <w:pBdr>
          <w:top w:val="nil"/>
          <w:left w:val="nil"/>
          <w:bottom w:val="nil"/>
          <w:right w:val="nil"/>
          <w:between w:val="nil"/>
        </w:pBdr>
        <w:tabs>
          <w:tab w:val="left" w:pos="284"/>
        </w:tabs>
        <w:ind w:hanging="720"/>
        <w:rPr>
          <w:rFonts w:ascii="Times New Roman" w:hAnsi="Times New Roman" w:cs="Times New Roman"/>
          <w:color w:val="000000"/>
          <w:sz w:val="24"/>
          <w:szCs w:val="24"/>
        </w:rPr>
      </w:pPr>
    </w:p>
    <w:p w:rsidR="00373B71" w:rsidRPr="00F45E7A" w:rsidRDefault="00F45E7A">
      <w:pPr>
        <w:numPr>
          <w:ilvl w:val="0"/>
          <w:numId w:val="2"/>
        </w:numPr>
        <w:pBdr>
          <w:top w:val="nil"/>
          <w:left w:val="nil"/>
          <w:bottom w:val="nil"/>
          <w:right w:val="nil"/>
          <w:between w:val="nil"/>
        </w:pBdr>
        <w:tabs>
          <w:tab w:val="left" w:pos="284"/>
        </w:tabs>
        <w:ind w:left="0" w:firstLine="0"/>
        <w:rPr>
          <w:rFonts w:ascii="Times New Roman" w:hAnsi="Times New Roman" w:cs="Times New Roman"/>
          <w:b/>
          <w:color w:val="244061"/>
          <w:sz w:val="26"/>
          <w:szCs w:val="26"/>
        </w:rPr>
      </w:pPr>
      <w:r w:rsidRPr="00F45E7A">
        <w:rPr>
          <w:rFonts w:ascii="Times New Roman" w:hAnsi="Times New Roman" w:cs="Times New Roman"/>
          <w:b/>
          <w:color w:val="244061"/>
          <w:sz w:val="24"/>
          <w:szCs w:val="24"/>
        </w:rPr>
        <w:t xml:space="preserve">Kiekvienos </w:t>
      </w:r>
      <w:r w:rsidRPr="00F45E7A">
        <w:rPr>
          <w:rFonts w:ascii="Times New Roman" w:hAnsi="Times New Roman" w:cs="Times New Roman"/>
          <w:b/>
          <w:color w:val="244061"/>
          <w:sz w:val="24"/>
          <w:szCs w:val="24"/>
        </w:rPr>
        <w:t>SVĮ visų vykdomų veiklų sąrašas ir jo pokyči</w:t>
      </w:r>
      <w:r w:rsidRPr="00F45E7A">
        <w:rPr>
          <w:rFonts w:ascii="Times New Roman" w:hAnsi="Times New Roman" w:cs="Times New Roman"/>
          <w:b/>
          <w:color w:val="244061"/>
          <w:sz w:val="24"/>
          <w:szCs w:val="24"/>
        </w:rPr>
        <w:t>ai</w:t>
      </w:r>
      <w:r w:rsidRPr="00F45E7A">
        <w:rPr>
          <w:rFonts w:ascii="Times New Roman" w:hAnsi="Times New Roman" w:cs="Times New Roman"/>
          <w:b/>
          <w:color w:val="244061"/>
          <w:sz w:val="24"/>
          <w:szCs w:val="24"/>
        </w:rPr>
        <w:t>.</w:t>
      </w:r>
      <w:r w:rsidRPr="00F45E7A">
        <w:rPr>
          <w:rFonts w:ascii="Times New Roman" w:hAnsi="Times New Roman" w:cs="Times New Roman"/>
          <w:color w:val="244061"/>
          <w:sz w:val="24"/>
          <w:szCs w:val="24"/>
        </w:rPr>
        <w:t xml:space="preserve"> </w:t>
      </w:r>
      <w:r w:rsidRPr="00F45E7A">
        <w:rPr>
          <w:rFonts w:ascii="Times New Roman" w:hAnsi="Times New Roman" w:cs="Times New Roman"/>
          <w:sz w:val="24"/>
          <w:szCs w:val="24"/>
        </w:rPr>
        <w:t>V</w:t>
      </w:r>
      <w:r w:rsidRPr="00F45E7A">
        <w:rPr>
          <w:rFonts w:ascii="Times New Roman" w:hAnsi="Times New Roman" w:cs="Times New Roman"/>
          <w:color w:val="000000"/>
          <w:sz w:val="24"/>
          <w:szCs w:val="24"/>
        </w:rPr>
        <w:t>ietos</w:t>
      </w:r>
      <w:r w:rsidRPr="00F45E7A">
        <w:rPr>
          <w:rFonts w:ascii="Times New Roman" w:hAnsi="Times New Roman" w:cs="Times New Roman"/>
          <w:color w:val="000000"/>
        </w:rPr>
        <w:t xml:space="preserve"> savivaldos įstatymo 9</w:t>
      </w:r>
      <w:r w:rsidRPr="00F45E7A">
        <w:rPr>
          <w:rFonts w:ascii="Times New Roman" w:hAnsi="Times New Roman" w:cs="Times New Roman"/>
          <w:color w:val="000000"/>
          <w:vertAlign w:val="superscript"/>
        </w:rPr>
        <w:t>1</w:t>
      </w:r>
      <w:r w:rsidRPr="00F45E7A">
        <w:rPr>
          <w:rFonts w:ascii="Times New Roman" w:hAnsi="Times New Roman" w:cs="Times New Roman"/>
          <w:color w:val="000000"/>
        </w:rPr>
        <w:t xml:space="preserve"> str.</w:t>
      </w:r>
      <w:r w:rsidRPr="00F45E7A">
        <w:rPr>
          <w:rFonts w:ascii="Times New Roman" w:hAnsi="Times New Roman" w:cs="Times New Roman"/>
          <w:color w:val="000000"/>
          <w:vertAlign w:val="superscript"/>
        </w:rPr>
        <w:footnoteReference w:id="2"/>
      </w:r>
      <w:r w:rsidRPr="00F45E7A">
        <w:rPr>
          <w:rFonts w:ascii="Times New Roman" w:hAnsi="Times New Roman" w:cs="Times New Roman"/>
          <w:color w:val="000000"/>
        </w:rPr>
        <w:t xml:space="preserve"> nurodytos sąlygos ir procedūra, kada Savivaldybė gali priimti sprendimą dėl naujos ūkinės veiklos vykdymo. Tai reiškia, kad SVĮ neturi teisės vykdyti bet kokią veiklą. LLRI 2018 m. pradžioje atliktas tyrimas „Ką veikia savivaldybių valdomos įmonės?“</w:t>
      </w:r>
      <w:r w:rsidRPr="00F45E7A">
        <w:rPr>
          <w:rFonts w:ascii="Times New Roman" w:hAnsi="Times New Roman" w:cs="Times New Roman"/>
          <w:color w:val="000000"/>
          <w:vertAlign w:val="superscript"/>
        </w:rPr>
        <w:footnoteReference w:id="3"/>
      </w:r>
      <w:r w:rsidRPr="00F45E7A">
        <w:rPr>
          <w:rFonts w:ascii="Times New Roman" w:hAnsi="Times New Roman" w:cs="Times New Roman"/>
          <w:color w:val="000000"/>
        </w:rPr>
        <w:t xml:space="preserve"> paro</w:t>
      </w:r>
      <w:r w:rsidRPr="00F45E7A">
        <w:rPr>
          <w:rFonts w:ascii="Times New Roman" w:hAnsi="Times New Roman" w:cs="Times New Roman"/>
          <w:color w:val="000000"/>
        </w:rPr>
        <w:t xml:space="preserve">dė, kad SVĮ vykdomų veiklų spektras yra labai platus (59 veiklos tipai) ir dažnai peržengia pagrįstas </w:t>
      </w:r>
      <w:r w:rsidRPr="00F45E7A">
        <w:rPr>
          <w:rFonts w:ascii="Times New Roman" w:hAnsi="Times New Roman" w:cs="Times New Roman"/>
        </w:rPr>
        <w:lastRenderedPageBreak/>
        <w:t xml:space="preserve">ūkinės </w:t>
      </w:r>
      <w:r w:rsidRPr="00F45E7A">
        <w:rPr>
          <w:rFonts w:ascii="Times New Roman" w:hAnsi="Times New Roman" w:cs="Times New Roman"/>
          <w:color w:val="000000"/>
        </w:rPr>
        <w:t>veikl</w:t>
      </w:r>
      <w:r w:rsidRPr="00F45E7A">
        <w:rPr>
          <w:rFonts w:ascii="Times New Roman" w:hAnsi="Times New Roman" w:cs="Times New Roman"/>
        </w:rPr>
        <w:t>os</w:t>
      </w:r>
      <w:r w:rsidRPr="00F45E7A">
        <w:rPr>
          <w:rFonts w:ascii="Times New Roman" w:hAnsi="Times New Roman" w:cs="Times New Roman"/>
          <w:color w:val="000000"/>
        </w:rPr>
        <w:t xml:space="preserve"> vykdymo ribas. </w:t>
      </w:r>
      <w:r w:rsidRPr="00F45E7A">
        <w:rPr>
          <w:rFonts w:ascii="Times New Roman" w:hAnsi="Times New Roman" w:cs="Times New Roman"/>
        </w:rPr>
        <w:t>Priimant sprendimą dėl SVĮ steigimo yra svarstoma dėl vienos pagrindinės veiklos vykdymo, tačiau pradėjus veiklą dažna SVĮ i</w:t>
      </w:r>
      <w:r w:rsidRPr="00F45E7A">
        <w:rPr>
          <w:rFonts w:ascii="Times New Roman" w:hAnsi="Times New Roman" w:cs="Times New Roman"/>
        </w:rPr>
        <w:t>eško būdų, kaip atpiginti pagrindinės veiklos veikimą imdama vykdyti kitas veiklas. Pavyzdžiui, bene visos keleivių vežimo SVĮ teikia autobusų nuomos paslaugas, kai kurios teikia siuntų vežimo ar reklamos ant autobusų paslaugas. Populiariausia visose saviv</w:t>
      </w:r>
      <w:r w:rsidRPr="00F45E7A">
        <w:rPr>
          <w:rFonts w:ascii="Times New Roman" w:hAnsi="Times New Roman" w:cs="Times New Roman"/>
        </w:rPr>
        <w:t>aldybėse vykdoma SVĮ veikla yra ne šilumos ar vandens tiekimas, ne atliekų tvarkymas ir net ne teritorijų ar gatvių priežiūra, o autotransporto ir technikos nuoma. Didžiausia tikimybė, kad būtent šios, su pagrindine veikla susijusios SVĮ vykdomos veiklos n</w:t>
      </w:r>
      <w:r w:rsidRPr="00F45E7A">
        <w:rPr>
          <w:rFonts w:ascii="Times New Roman" w:hAnsi="Times New Roman" w:cs="Times New Roman"/>
        </w:rPr>
        <w:t xml:space="preserve">ėra pagrįstos. Ir tuo yra daroma didžiausia žala sąžiningai konkurencijai. </w:t>
      </w:r>
      <w:r w:rsidRPr="00F45E7A">
        <w:rPr>
          <w:rFonts w:ascii="Times New Roman" w:hAnsi="Times New Roman" w:cs="Times New Roman"/>
          <w:color w:val="000000"/>
        </w:rPr>
        <w:t xml:space="preserve"> Atsižvelgiant į tai</w:t>
      </w:r>
      <w:r w:rsidRPr="00F45E7A">
        <w:rPr>
          <w:rFonts w:ascii="Times New Roman" w:hAnsi="Times New Roman" w:cs="Times New Roman"/>
        </w:rPr>
        <w:t xml:space="preserve">, </w:t>
      </w:r>
      <w:r w:rsidRPr="00F45E7A">
        <w:rPr>
          <w:rFonts w:ascii="Times New Roman" w:hAnsi="Times New Roman" w:cs="Times New Roman"/>
          <w:color w:val="000000"/>
        </w:rPr>
        <w:t>periodinė SVĮ vykdomų veiklų stebėsena yra aktuali ir leistų savivaldybėms lygintis tarpusavyje ir</w:t>
      </w:r>
      <w:r w:rsidRPr="00F45E7A">
        <w:rPr>
          <w:rFonts w:ascii="Times New Roman" w:hAnsi="Times New Roman" w:cs="Times New Roman"/>
        </w:rPr>
        <w:t xml:space="preserve"> įgalinti gerosios praktikos laikymąsi</w:t>
      </w:r>
      <w:r w:rsidRPr="00F45E7A">
        <w:rPr>
          <w:rFonts w:ascii="Times New Roman" w:hAnsi="Times New Roman" w:cs="Times New Roman"/>
          <w:color w:val="000000"/>
        </w:rPr>
        <w:t>.</w:t>
      </w:r>
    </w:p>
    <w:p w:rsidR="00373B71" w:rsidRPr="00F45E7A" w:rsidRDefault="00373B71">
      <w:pPr>
        <w:pBdr>
          <w:top w:val="nil"/>
          <w:left w:val="nil"/>
          <w:bottom w:val="nil"/>
          <w:right w:val="nil"/>
          <w:between w:val="nil"/>
        </w:pBdr>
        <w:tabs>
          <w:tab w:val="left" w:pos="284"/>
        </w:tabs>
        <w:ind w:hanging="720"/>
        <w:rPr>
          <w:rFonts w:ascii="Times New Roman" w:hAnsi="Times New Roman" w:cs="Times New Roman"/>
          <w:color w:val="000000"/>
          <w:sz w:val="24"/>
          <w:szCs w:val="24"/>
        </w:rPr>
      </w:pPr>
    </w:p>
    <w:p w:rsidR="00373B71" w:rsidRPr="00F45E7A" w:rsidRDefault="00F45E7A">
      <w:pPr>
        <w:numPr>
          <w:ilvl w:val="0"/>
          <w:numId w:val="2"/>
        </w:numPr>
        <w:pBdr>
          <w:top w:val="nil"/>
          <w:left w:val="nil"/>
          <w:bottom w:val="nil"/>
          <w:right w:val="nil"/>
          <w:between w:val="nil"/>
        </w:pBdr>
        <w:tabs>
          <w:tab w:val="left" w:pos="284"/>
          <w:tab w:val="left" w:pos="426"/>
        </w:tabs>
        <w:spacing w:after="240"/>
        <w:ind w:left="0" w:firstLine="0"/>
        <w:rPr>
          <w:rFonts w:ascii="Times New Roman" w:hAnsi="Times New Roman" w:cs="Times New Roman"/>
          <w:b/>
          <w:color w:val="244061"/>
          <w:sz w:val="26"/>
          <w:szCs w:val="26"/>
        </w:rPr>
      </w:pPr>
      <w:r w:rsidRPr="00F45E7A">
        <w:rPr>
          <w:rFonts w:ascii="Times New Roman" w:hAnsi="Times New Roman" w:cs="Times New Roman"/>
          <w:b/>
          <w:color w:val="244061"/>
          <w:sz w:val="24"/>
          <w:szCs w:val="24"/>
        </w:rPr>
        <w:t>Veiklų, kurias vykdo</w:t>
      </w:r>
      <w:r w:rsidRPr="00F45E7A">
        <w:rPr>
          <w:rFonts w:ascii="Times New Roman" w:hAnsi="Times New Roman" w:cs="Times New Roman"/>
          <w:b/>
          <w:color w:val="244061"/>
          <w:sz w:val="24"/>
          <w:szCs w:val="24"/>
        </w:rPr>
        <w:t xml:space="preserve"> kiekviena SVĮ, pagrįstumo vertinimo rezultatus.</w:t>
      </w:r>
      <w:r w:rsidRPr="00F45E7A">
        <w:rPr>
          <w:rFonts w:ascii="Times New Roman" w:hAnsi="Times New Roman" w:cs="Times New Roman"/>
          <w:color w:val="000000"/>
          <w:sz w:val="24"/>
        </w:rPr>
        <w:t xml:space="preserve"> </w:t>
      </w:r>
      <w:r w:rsidRPr="00F45E7A">
        <w:rPr>
          <w:rFonts w:ascii="Times New Roman" w:hAnsi="Times New Roman" w:cs="Times New Roman"/>
          <w:color w:val="000000"/>
        </w:rPr>
        <w:t xml:space="preserve">SVĮ vykdant nepagrįstas ūkines veiklas, gali būti pažeidžiamas sąžiningos konkurencijos principas. Problemą, kad SVĮ </w:t>
      </w:r>
      <w:r w:rsidRPr="00F45E7A">
        <w:rPr>
          <w:rFonts w:ascii="Times New Roman" w:hAnsi="Times New Roman" w:cs="Times New Roman"/>
        </w:rPr>
        <w:t xml:space="preserve">veiklų pagrįstumas nėra vertinamas, kelia </w:t>
      </w:r>
      <w:r w:rsidRPr="00F45E7A">
        <w:rPr>
          <w:rFonts w:ascii="Times New Roman" w:hAnsi="Times New Roman" w:cs="Times New Roman"/>
          <w:color w:val="000000"/>
        </w:rPr>
        <w:t>Valstybės kontrolė</w:t>
      </w:r>
      <w:r w:rsidRPr="00F45E7A">
        <w:rPr>
          <w:rFonts w:ascii="Times New Roman" w:hAnsi="Times New Roman" w:cs="Times New Roman"/>
          <w:color w:val="000000"/>
          <w:vertAlign w:val="superscript"/>
        </w:rPr>
        <w:footnoteReference w:id="4"/>
      </w:r>
      <w:r w:rsidRPr="00F45E7A">
        <w:rPr>
          <w:rFonts w:ascii="Times New Roman" w:hAnsi="Times New Roman" w:cs="Times New Roman"/>
          <w:color w:val="000000"/>
        </w:rPr>
        <w:t xml:space="preserve">: „Savivaldybės periodiškai nesvarsto poreikio turėti kontroliuojamų įmonių. Apie 10 proc. </w:t>
      </w:r>
      <w:r w:rsidRPr="00F45E7A">
        <w:rPr>
          <w:rFonts w:ascii="Times New Roman" w:hAnsi="Times New Roman" w:cs="Times New Roman"/>
        </w:rPr>
        <w:t>SVĮ</w:t>
      </w:r>
      <w:r w:rsidRPr="00F45E7A">
        <w:rPr>
          <w:rFonts w:ascii="Times New Roman" w:hAnsi="Times New Roman" w:cs="Times New Roman"/>
          <w:color w:val="000000"/>
        </w:rPr>
        <w:t xml:space="preserve"> vykdo ūkinę veiklą, kuri nėra susijusi su savivaldybių funkcijomis“ bei pateikė rekomendaciją: </w:t>
      </w:r>
      <w:r w:rsidRPr="00F45E7A">
        <w:rPr>
          <w:rFonts w:ascii="Times New Roman" w:hAnsi="Times New Roman" w:cs="Times New Roman"/>
          <w:i/>
          <w:color w:val="000000"/>
        </w:rPr>
        <w:t>„</w:t>
      </w:r>
      <w:r w:rsidRPr="00F45E7A">
        <w:rPr>
          <w:rFonts w:ascii="Times New Roman" w:hAnsi="Times New Roman" w:cs="Times New Roman"/>
          <w:i/>
          <w:color w:val="000000"/>
          <w:u w:val="single"/>
        </w:rPr>
        <w:t>nustatyti pareigą kompetentingai institucijai periodiškai vertint</w:t>
      </w:r>
      <w:r w:rsidRPr="00F45E7A">
        <w:rPr>
          <w:rFonts w:ascii="Times New Roman" w:hAnsi="Times New Roman" w:cs="Times New Roman"/>
          <w:i/>
          <w:color w:val="000000"/>
          <w:u w:val="single"/>
        </w:rPr>
        <w:t>i SVĮ reikalingumą bei nustatyti vertinimo kriterijus</w:t>
      </w:r>
      <w:r w:rsidRPr="00F45E7A">
        <w:rPr>
          <w:rFonts w:ascii="Times New Roman" w:hAnsi="Times New Roman" w:cs="Times New Roman"/>
          <w:i/>
          <w:color w:val="000000"/>
        </w:rPr>
        <w:t>“</w:t>
      </w:r>
      <w:r w:rsidRPr="00F45E7A">
        <w:rPr>
          <w:rFonts w:ascii="Times New Roman" w:hAnsi="Times New Roman" w:cs="Times New Roman"/>
          <w:color w:val="000000"/>
        </w:rPr>
        <w:t>.</w:t>
      </w:r>
    </w:p>
    <w:p w:rsidR="00373B71" w:rsidRPr="00F45E7A" w:rsidRDefault="00F45E7A">
      <w:pPr>
        <w:pBdr>
          <w:top w:val="nil"/>
          <w:left w:val="nil"/>
          <w:bottom w:val="nil"/>
          <w:right w:val="nil"/>
          <w:between w:val="nil"/>
        </w:pBdr>
        <w:tabs>
          <w:tab w:val="left" w:pos="284"/>
        </w:tabs>
        <w:spacing w:after="240"/>
        <w:rPr>
          <w:rFonts w:ascii="Times New Roman" w:hAnsi="Times New Roman" w:cs="Times New Roman"/>
          <w:color w:val="000000"/>
        </w:rPr>
      </w:pPr>
      <w:r w:rsidRPr="00F45E7A">
        <w:rPr>
          <w:rFonts w:ascii="Times New Roman" w:hAnsi="Times New Roman" w:cs="Times New Roman"/>
        </w:rPr>
        <w:t>Pažymėtina, kad 2018 m. pradžioje Ekonomikos ir inovacijų ministerija</w:t>
      </w:r>
      <w:r w:rsidRPr="00F45E7A">
        <w:rPr>
          <w:rFonts w:ascii="Times New Roman" w:hAnsi="Times New Roman" w:cs="Times New Roman"/>
        </w:rPr>
        <w:t xml:space="preserve"> (buvusi Ūkio ministerija), siekdama įgyvendinti minėtą Valstybės kontrolės rekomendaciją, siūlė Vietos savivaldos įstatymą papildyti atitinkama nuostata</w:t>
      </w:r>
      <w:r w:rsidRPr="00F45E7A">
        <w:rPr>
          <w:rFonts w:ascii="Times New Roman" w:hAnsi="Times New Roman" w:cs="Times New Roman"/>
          <w:vertAlign w:val="superscript"/>
        </w:rPr>
        <w:footnoteReference w:id="5"/>
      </w:r>
      <w:r w:rsidRPr="00F45E7A">
        <w:rPr>
          <w:rFonts w:ascii="Times New Roman" w:hAnsi="Times New Roman" w:cs="Times New Roman"/>
        </w:rPr>
        <w:t>. Įgyvendinant ją, savivaldybių tarybos būtų privalėjusios periodiškai (ne rečiau kaip kas 4 metus) sv</w:t>
      </w:r>
      <w:r w:rsidRPr="00F45E7A">
        <w:rPr>
          <w:rFonts w:ascii="Times New Roman" w:hAnsi="Times New Roman" w:cs="Times New Roman"/>
        </w:rPr>
        <w:t>arstyti, ar SVĮ ūkinė veikla atitinka 3 būtinąsias sąlygas ir priimti sprendimą dėl šių sąlygų neatitinkančios ūkinės veiklos atsisakymo ir ją vykdančių savivaldybės valdomų įmonių veiklos tęstinumo. Tačiau šiai nuostatai nepritarė įstatymų leidėjai, minėt</w:t>
      </w:r>
      <w:r w:rsidRPr="00F45E7A">
        <w:rPr>
          <w:rFonts w:ascii="Times New Roman" w:hAnsi="Times New Roman" w:cs="Times New Roman"/>
        </w:rPr>
        <w:t>a Valstybės kontrolės rekomendacija liko neįgyvendinta, o savivaldybės išlaikė teisę nevertinti jų valdomų įmonių vykdomų veiklų pagrįstumo.</w:t>
      </w:r>
      <w:r w:rsidRPr="00F45E7A">
        <w:rPr>
          <w:rFonts w:ascii="Times New Roman" w:hAnsi="Times New Roman" w:cs="Times New Roman"/>
          <w:color w:val="000000"/>
        </w:rPr>
        <w:t xml:space="preserve"> </w:t>
      </w:r>
    </w:p>
    <w:p w:rsidR="00373B71" w:rsidRPr="00F45E7A" w:rsidRDefault="00F45E7A">
      <w:pPr>
        <w:pBdr>
          <w:top w:val="nil"/>
          <w:left w:val="nil"/>
          <w:bottom w:val="nil"/>
          <w:right w:val="nil"/>
          <w:between w:val="nil"/>
        </w:pBdr>
        <w:tabs>
          <w:tab w:val="left" w:pos="284"/>
        </w:tabs>
        <w:spacing w:after="240"/>
        <w:rPr>
          <w:rFonts w:ascii="Times New Roman" w:hAnsi="Times New Roman" w:cs="Times New Roman"/>
        </w:rPr>
      </w:pPr>
      <w:r w:rsidRPr="00F45E7A">
        <w:rPr>
          <w:rFonts w:ascii="Times New Roman" w:hAnsi="Times New Roman" w:cs="Times New Roman"/>
        </w:rPr>
        <w:t>Atsižvelgiant į šiame punkte pateiktą informaciją, siekiant Valstybės kontrolės rekomendacijos įgyvendinimo, siūlo</w:t>
      </w:r>
      <w:r w:rsidRPr="00F45E7A">
        <w:rPr>
          <w:rFonts w:ascii="Times New Roman" w:hAnsi="Times New Roman" w:cs="Times New Roman"/>
        </w:rPr>
        <w:t xml:space="preserve">me pakartotinai inicijuoti </w:t>
      </w:r>
      <w:r w:rsidRPr="00F45E7A">
        <w:rPr>
          <w:rFonts w:ascii="Times New Roman" w:hAnsi="Times New Roman" w:cs="Times New Roman"/>
        </w:rPr>
        <w:t>V</w:t>
      </w:r>
      <w:r w:rsidRPr="00F45E7A">
        <w:rPr>
          <w:rFonts w:ascii="Times New Roman" w:hAnsi="Times New Roman" w:cs="Times New Roman"/>
        </w:rPr>
        <w:t>ietos savivaldos įstatymo pakeitimą, bei papildyti VšĮ „Stebėsenos ir prognozių agentūra“ funkcijas SVĮ vykdomų veiklų pagrįstumo nustatymo, stebėjimo ir atitinkamų rekomendacijų savivaldybių taryboms te</w:t>
      </w:r>
      <w:bookmarkStart w:id="1" w:name="_GoBack"/>
      <w:bookmarkEnd w:id="1"/>
      <w:r w:rsidRPr="00F45E7A">
        <w:rPr>
          <w:rFonts w:ascii="Times New Roman" w:hAnsi="Times New Roman" w:cs="Times New Roman"/>
        </w:rPr>
        <w:t>ikimo funkcija.</w:t>
      </w:r>
    </w:p>
    <w:p w:rsidR="00373B71" w:rsidRPr="00F45E7A" w:rsidRDefault="00F45E7A">
      <w:pPr>
        <w:pBdr>
          <w:top w:val="nil"/>
          <w:left w:val="nil"/>
          <w:bottom w:val="nil"/>
          <w:right w:val="nil"/>
          <w:between w:val="nil"/>
        </w:pBdr>
        <w:rPr>
          <w:rFonts w:ascii="Times New Roman" w:hAnsi="Times New Roman" w:cs="Times New Roman"/>
          <w:color w:val="244061"/>
          <w:sz w:val="24"/>
          <w:szCs w:val="24"/>
        </w:rPr>
      </w:pPr>
      <w:r w:rsidRPr="00F45E7A">
        <w:rPr>
          <w:rFonts w:ascii="Times New Roman" w:hAnsi="Times New Roman" w:cs="Times New Roman"/>
          <w:b/>
          <w:color w:val="244061"/>
          <w:sz w:val="24"/>
          <w:szCs w:val="24"/>
        </w:rPr>
        <w:t>Siūlome</w:t>
      </w:r>
      <w:r w:rsidRPr="00F45E7A">
        <w:rPr>
          <w:rFonts w:ascii="Times New Roman" w:hAnsi="Times New Roman" w:cs="Times New Roman"/>
          <w:color w:val="244061"/>
          <w:sz w:val="24"/>
          <w:szCs w:val="24"/>
        </w:rPr>
        <w:t>:</w:t>
      </w:r>
    </w:p>
    <w:p w:rsidR="00373B71" w:rsidRPr="00F45E7A" w:rsidRDefault="00F45E7A">
      <w:pPr>
        <w:pBdr>
          <w:top w:val="nil"/>
          <w:left w:val="nil"/>
          <w:bottom w:val="nil"/>
          <w:right w:val="nil"/>
          <w:between w:val="nil"/>
        </w:pBdr>
        <w:rPr>
          <w:rFonts w:ascii="Times New Roman" w:hAnsi="Times New Roman" w:cs="Times New Roman"/>
          <w:color w:val="000000"/>
        </w:rPr>
      </w:pPr>
      <w:r w:rsidRPr="00F45E7A">
        <w:rPr>
          <w:rFonts w:ascii="Times New Roman" w:hAnsi="Times New Roman" w:cs="Times New Roman"/>
          <w:b/>
          <w:color w:val="244061"/>
          <w:sz w:val="24"/>
          <w:szCs w:val="24"/>
        </w:rPr>
        <w:t>1.</w:t>
      </w:r>
      <w:r w:rsidRPr="00F45E7A">
        <w:rPr>
          <w:rFonts w:ascii="Times New Roman" w:hAnsi="Times New Roman" w:cs="Times New Roman"/>
          <w:color w:val="244061"/>
        </w:rPr>
        <w:t xml:space="preserve"> </w:t>
      </w:r>
      <w:r w:rsidRPr="00F45E7A">
        <w:rPr>
          <w:rFonts w:ascii="Times New Roman" w:hAnsi="Times New Roman" w:cs="Times New Roman"/>
          <w:color w:val="000000"/>
        </w:rPr>
        <w:t>VšĮ „Stebėsenos ir prognozių agentūra“ rengiamose SVĮ veiklą apibendrinančiose metinėse ataskaitose</w:t>
      </w:r>
      <w:r w:rsidRPr="00F45E7A">
        <w:rPr>
          <w:rFonts w:ascii="Times New Roman" w:hAnsi="Times New Roman" w:cs="Times New Roman"/>
        </w:rPr>
        <w:t xml:space="preserve"> be Apraše </w:t>
      </w:r>
      <w:r w:rsidRPr="00F45E7A">
        <w:rPr>
          <w:rFonts w:ascii="Times New Roman" w:hAnsi="Times New Roman" w:cs="Times New Roman"/>
          <w:color w:val="000000"/>
        </w:rPr>
        <w:t>numatytos informacijos</w:t>
      </w:r>
      <w:r w:rsidRPr="00F45E7A">
        <w:rPr>
          <w:rFonts w:ascii="Times New Roman" w:hAnsi="Times New Roman" w:cs="Times New Roman"/>
        </w:rPr>
        <w:t xml:space="preserve"> </w:t>
      </w:r>
      <w:r w:rsidRPr="00F45E7A">
        <w:rPr>
          <w:rFonts w:ascii="Times New Roman" w:hAnsi="Times New Roman" w:cs="Times New Roman"/>
          <w:color w:val="000000"/>
        </w:rPr>
        <w:t>skelbti ir šią informaciją:</w:t>
      </w:r>
    </w:p>
    <w:p w:rsidR="00373B71" w:rsidRPr="00F45E7A" w:rsidRDefault="00F45E7A">
      <w:pPr>
        <w:pBdr>
          <w:top w:val="nil"/>
          <w:left w:val="nil"/>
          <w:bottom w:val="nil"/>
          <w:right w:val="nil"/>
          <w:between w:val="nil"/>
        </w:pBdr>
        <w:tabs>
          <w:tab w:val="left" w:pos="142"/>
        </w:tabs>
        <w:ind w:left="283"/>
        <w:rPr>
          <w:rFonts w:ascii="Times New Roman" w:hAnsi="Times New Roman" w:cs="Times New Roman"/>
          <w:color w:val="000000"/>
        </w:rPr>
      </w:pPr>
      <w:r w:rsidRPr="00F45E7A">
        <w:rPr>
          <w:rFonts w:ascii="Times New Roman" w:hAnsi="Times New Roman" w:cs="Times New Roman"/>
        </w:rPr>
        <w:t xml:space="preserve">1.1. Kiekvienos </w:t>
      </w:r>
      <w:r w:rsidRPr="00F45E7A">
        <w:rPr>
          <w:rFonts w:ascii="Times New Roman" w:hAnsi="Times New Roman" w:cs="Times New Roman"/>
          <w:color w:val="000000"/>
        </w:rPr>
        <w:t>SVĮ darbuotojų skaičius ir jo pokyčiai</w:t>
      </w:r>
      <w:r w:rsidRPr="00F45E7A">
        <w:rPr>
          <w:rFonts w:ascii="Times New Roman" w:hAnsi="Times New Roman" w:cs="Times New Roman"/>
        </w:rPr>
        <w:t>.</w:t>
      </w:r>
    </w:p>
    <w:p w:rsidR="00373B71" w:rsidRPr="00F45E7A" w:rsidRDefault="00F45E7A">
      <w:pPr>
        <w:pBdr>
          <w:top w:val="nil"/>
          <w:left w:val="nil"/>
          <w:bottom w:val="nil"/>
          <w:right w:val="nil"/>
          <w:between w:val="nil"/>
        </w:pBdr>
        <w:tabs>
          <w:tab w:val="left" w:pos="142"/>
        </w:tabs>
        <w:ind w:left="283"/>
        <w:rPr>
          <w:rFonts w:ascii="Times New Roman" w:hAnsi="Times New Roman" w:cs="Times New Roman"/>
          <w:color w:val="000000"/>
        </w:rPr>
      </w:pPr>
      <w:r w:rsidRPr="00F45E7A">
        <w:rPr>
          <w:rFonts w:ascii="Times New Roman" w:hAnsi="Times New Roman" w:cs="Times New Roman"/>
        </w:rPr>
        <w:t xml:space="preserve">1.2. Kiekvienos </w:t>
      </w:r>
      <w:r w:rsidRPr="00F45E7A">
        <w:rPr>
          <w:rFonts w:ascii="Times New Roman" w:hAnsi="Times New Roman" w:cs="Times New Roman"/>
          <w:color w:val="000000"/>
        </w:rPr>
        <w:t xml:space="preserve">SVĮ </w:t>
      </w:r>
      <w:r w:rsidRPr="00F45E7A">
        <w:rPr>
          <w:rFonts w:ascii="Times New Roman" w:hAnsi="Times New Roman" w:cs="Times New Roman"/>
        </w:rPr>
        <w:t xml:space="preserve">visų </w:t>
      </w:r>
      <w:r w:rsidRPr="00F45E7A">
        <w:rPr>
          <w:rFonts w:ascii="Times New Roman" w:hAnsi="Times New Roman" w:cs="Times New Roman"/>
          <w:color w:val="000000"/>
        </w:rPr>
        <w:t>vykdomų vei</w:t>
      </w:r>
      <w:r w:rsidRPr="00F45E7A">
        <w:rPr>
          <w:rFonts w:ascii="Times New Roman" w:hAnsi="Times New Roman" w:cs="Times New Roman"/>
          <w:color w:val="000000"/>
        </w:rPr>
        <w:t>klų sąrašas ir jo pokyčiai</w:t>
      </w:r>
      <w:r w:rsidRPr="00F45E7A">
        <w:rPr>
          <w:rFonts w:ascii="Times New Roman" w:hAnsi="Times New Roman" w:cs="Times New Roman"/>
        </w:rPr>
        <w:t>.</w:t>
      </w:r>
    </w:p>
    <w:p w:rsidR="00373B71" w:rsidRPr="00F45E7A" w:rsidRDefault="00F45E7A">
      <w:pPr>
        <w:pBdr>
          <w:top w:val="nil"/>
          <w:left w:val="nil"/>
          <w:bottom w:val="nil"/>
          <w:right w:val="nil"/>
          <w:between w:val="nil"/>
        </w:pBdr>
        <w:tabs>
          <w:tab w:val="left" w:pos="142"/>
        </w:tabs>
        <w:ind w:left="283"/>
        <w:rPr>
          <w:rFonts w:ascii="Times New Roman" w:hAnsi="Times New Roman" w:cs="Times New Roman"/>
          <w:color w:val="000000"/>
        </w:rPr>
      </w:pPr>
      <w:bookmarkStart w:id="2" w:name="_30j0zll" w:colFirst="0" w:colLast="0"/>
      <w:bookmarkEnd w:id="2"/>
      <w:r w:rsidRPr="00F45E7A">
        <w:rPr>
          <w:rFonts w:ascii="Times New Roman" w:hAnsi="Times New Roman" w:cs="Times New Roman"/>
        </w:rPr>
        <w:t xml:space="preserve">1.3. </w:t>
      </w:r>
      <w:r w:rsidRPr="00F45E7A">
        <w:rPr>
          <w:rFonts w:ascii="Times New Roman" w:hAnsi="Times New Roman" w:cs="Times New Roman"/>
          <w:color w:val="000000"/>
        </w:rPr>
        <w:t>Veiklų, kurias vykdo kiekviena SVĮ</w:t>
      </w:r>
      <w:r w:rsidRPr="00F45E7A">
        <w:rPr>
          <w:rFonts w:ascii="Times New Roman" w:hAnsi="Times New Roman" w:cs="Times New Roman"/>
        </w:rPr>
        <w:t xml:space="preserve">, </w:t>
      </w:r>
      <w:r w:rsidRPr="00F45E7A">
        <w:rPr>
          <w:rFonts w:ascii="Times New Roman" w:hAnsi="Times New Roman" w:cs="Times New Roman"/>
          <w:color w:val="000000"/>
        </w:rPr>
        <w:t>pagrįstumo vertinimo rezultatus.</w:t>
      </w:r>
    </w:p>
    <w:p w:rsidR="00373B71" w:rsidRPr="00F45E7A" w:rsidRDefault="00373B71">
      <w:pPr>
        <w:pBdr>
          <w:top w:val="nil"/>
          <w:left w:val="nil"/>
          <w:bottom w:val="nil"/>
          <w:right w:val="nil"/>
          <w:between w:val="nil"/>
        </w:pBdr>
        <w:tabs>
          <w:tab w:val="left" w:pos="142"/>
        </w:tabs>
        <w:rPr>
          <w:rFonts w:ascii="Times New Roman" w:hAnsi="Times New Roman" w:cs="Times New Roman"/>
          <w:color w:val="000000"/>
        </w:rPr>
      </w:pPr>
    </w:p>
    <w:p w:rsidR="00373B71" w:rsidRPr="00F45E7A" w:rsidRDefault="00F45E7A">
      <w:pPr>
        <w:pBdr>
          <w:top w:val="nil"/>
          <w:left w:val="nil"/>
          <w:bottom w:val="nil"/>
          <w:right w:val="nil"/>
          <w:between w:val="nil"/>
        </w:pBdr>
        <w:tabs>
          <w:tab w:val="left" w:pos="142"/>
        </w:tabs>
        <w:rPr>
          <w:rFonts w:ascii="Times New Roman" w:hAnsi="Times New Roman" w:cs="Times New Roman"/>
          <w:color w:val="000000"/>
        </w:rPr>
      </w:pPr>
      <w:r w:rsidRPr="00F45E7A">
        <w:rPr>
          <w:rFonts w:ascii="Times New Roman" w:hAnsi="Times New Roman" w:cs="Times New Roman"/>
          <w:b/>
          <w:color w:val="244061"/>
          <w:sz w:val="24"/>
          <w:szCs w:val="24"/>
        </w:rPr>
        <w:t>2.</w:t>
      </w:r>
      <w:r w:rsidRPr="00F45E7A">
        <w:rPr>
          <w:rFonts w:ascii="Times New Roman" w:hAnsi="Times New Roman" w:cs="Times New Roman"/>
          <w:color w:val="244061"/>
        </w:rPr>
        <w:t xml:space="preserve"> S</w:t>
      </w:r>
      <w:r w:rsidRPr="00F45E7A">
        <w:rPr>
          <w:rFonts w:ascii="Times New Roman" w:hAnsi="Times New Roman" w:cs="Times New Roman"/>
          <w:color w:val="000000"/>
        </w:rPr>
        <w:t xml:space="preserve">iekiant tinkamo Valstybės kontrolės rekomendacijos įgyvendinimo, siūlome pakartotinai inicijuoti </w:t>
      </w:r>
      <w:r w:rsidRPr="00F45E7A">
        <w:rPr>
          <w:rFonts w:ascii="Times New Roman" w:hAnsi="Times New Roman" w:cs="Times New Roman"/>
        </w:rPr>
        <w:t>V</w:t>
      </w:r>
      <w:r w:rsidRPr="00F45E7A">
        <w:rPr>
          <w:rFonts w:ascii="Times New Roman" w:hAnsi="Times New Roman" w:cs="Times New Roman"/>
          <w:color w:val="000000"/>
        </w:rPr>
        <w:t xml:space="preserve">ietos savivaldos įstatymo pakeitimą, kuriuo savivaldybių tarybos privalėtų periodiškai svarstyti, ar SVĮ ūkinė veikla atitinka </w:t>
      </w:r>
      <w:r w:rsidRPr="00F45E7A">
        <w:rPr>
          <w:rFonts w:ascii="Times New Roman" w:hAnsi="Times New Roman" w:cs="Times New Roman"/>
        </w:rPr>
        <w:t>Vi</w:t>
      </w:r>
      <w:r w:rsidRPr="00F45E7A">
        <w:rPr>
          <w:rFonts w:ascii="Times New Roman" w:hAnsi="Times New Roman" w:cs="Times New Roman"/>
          <w:color w:val="000000"/>
        </w:rPr>
        <w:t>etos savivaldos įstatyme nurodytas ūkinės veiklos vykdymo sąlygas ir priimti sprendimą dėl šių sąlygų neatitinkančios ūkinės ve</w:t>
      </w:r>
      <w:r w:rsidRPr="00F45E7A">
        <w:rPr>
          <w:rFonts w:ascii="Times New Roman" w:hAnsi="Times New Roman" w:cs="Times New Roman"/>
          <w:color w:val="000000"/>
        </w:rPr>
        <w:t xml:space="preserve">iklos atsisakymo ir ją vykdančių </w:t>
      </w:r>
      <w:r w:rsidRPr="00F45E7A">
        <w:rPr>
          <w:rFonts w:ascii="Times New Roman" w:hAnsi="Times New Roman" w:cs="Times New Roman"/>
        </w:rPr>
        <w:t>SVĮ</w:t>
      </w:r>
      <w:r w:rsidRPr="00F45E7A">
        <w:rPr>
          <w:rFonts w:ascii="Times New Roman" w:hAnsi="Times New Roman" w:cs="Times New Roman"/>
          <w:color w:val="000000"/>
        </w:rPr>
        <w:t xml:space="preserve"> veiklos tęstinumo.</w:t>
      </w:r>
    </w:p>
    <w:sectPr w:rsidR="00373B71" w:rsidRPr="00F45E7A">
      <w:headerReference w:type="default" r:id="rId7"/>
      <w:footerReference w:type="default" r:id="rId8"/>
      <w:pgSz w:w="11906" w:h="16838"/>
      <w:pgMar w:top="1843" w:right="578" w:bottom="992" w:left="992" w:header="35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45E7A">
      <w:pPr>
        <w:spacing w:line="240" w:lineRule="auto"/>
      </w:pPr>
      <w:r>
        <w:separator/>
      </w:r>
    </w:p>
  </w:endnote>
  <w:endnote w:type="continuationSeparator" w:id="0">
    <w:p w:rsidR="00000000" w:rsidRDefault="00F45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B71" w:rsidRDefault="00F45E7A">
    <w:pPr>
      <w:tabs>
        <w:tab w:val="center" w:pos="4819"/>
        <w:tab w:val="right" w:pos="9638"/>
      </w:tabs>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45E7A">
      <w:pPr>
        <w:spacing w:line="240" w:lineRule="auto"/>
      </w:pPr>
      <w:r>
        <w:separator/>
      </w:r>
    </w:p>
  </w:footnote>
  <w:footnote w:type="continuationSeparator" w:id="0">
    <w:p w:rsidR="00000000" w:rsidRDefault="00F45E7A">
      <w:pPr>
        <w:spacing w:line="240" w:lineRule="auto"/>
      </w:pPr>
      <w:r>
        <w:continuationSeparator/>
      </w:r>
    </w:p>
  </w:footnote>
  <w:footnote w:id="1">
    <w:p w:rsidR="00373B71" w:rsidRDefault="00F45E7A">
      <w:pPr>
        <w:spacing w:line="240" w:lineRule="auto"/>
        <w:jc w:val="left"/>
        <w:rPr>
          <w:color w:val="7F7F7F"/>
          <w:sz w:val="18"/>
          <w:szCs w:val="18"/>
        </w:rPr>
      </w:pPr>
      <w:r>
        <w:rPr>
          <w:vertAlign w:val="superscript"/>
        </w:rPr>
        <w:footnoteRef/>
      </w:r>
      <w:r>
        <w:rPr>
          <w:color w:val="7F7F7F"/>
          <w:sz w:val="18"/>
          <w:szCs w:val="18"/>
        </w:rPr>
        <w:t> </w:t>
      </w:r>
      <w:r>
        <w:rPr>
          <w:color w:val="7F7F7F"/>
          <w:sz w:val="18"/>
          <w:szCs w:val="18"/>
        </w:rPr>
        <w:t>Šaltinis https://e-seimas.lrs.lt/portal/legalAct/lt/TAP/196b9b50196311e9bd28d9a28a9e9ad9</w:t>
      </w:r>
    </w:p>
  </w:footnote>
  <w:footnote w:id="2">
    <w:p w:rsidR="00373B71" w:rsidRDefault="00F45E7A">
      <w:pPr>
        <w:pBdr>
          <w:top w:val="nil"/>
          <w:left w:val="nil"/>
          <w:bottom w:val="nil"/>
          <w:right w:val="nil"/>
          <w:between w:val="nil"/>
        </w:pBdr>
        <w:spacing w:line="240" w:lineRule="auto"/>
        <w:jc w:val="left"/>
        <w:rPr>
          <w:color w:val="7F7F7F"/>
          <w:sz w:val="18"/>
          <w:szCs w:val="18"/>
        </w:rPr>
      </w:pPr>
      <w:r>
        <w:rPr>
          <w:vertAlign w:val="superscript"/>
        </w:rPr>
        <w:footnoteRef/>
      </w:r>
      <w:r>
        <w:rPr>
          <w:color w:val="7F7F7F"/>
          <w:sz w:val="18"/>
          <w:szCs w:val="18"/>
        </w:rPr>
        <w:t xml:space="preserve"> LR vietos savivaldos</w:t>
      </w:r>
      <w:r>
        <w:rPr>
          <w:color w:val="7F7F7F"/>
          <w:sz w:val="18"/>
          <w:szCs w:val="18"/>
        </w:rPr>
        <w:t xml:space="preserve"> įstatymas</w:t>
      </w:r>
    </w:p>
    <w:p w:rsidR="00373B71" w:rsidRDefault="00F45E7A">
      <w:pPr>
        <w:pBdr>
          <w:top w:val="nil"/>
          <w:left w:val="nil"/>
          <w:bottom w:val="nil"/>
          <w:right w:val="nil"/>
          <w:between w:val="nil"/>
        </w:pBdr>
        <w:spacing w:line="240" w:lineRule="auto"/>
        <w:jc w:val="left"/>
        <w:rPr>
          <w:color w:val="7F7F7F"/>
          <w:sz w:val="18"/>
          <w:szCs w:val="18"/>
        </w:rPr>
      </w:pPr>
      <w:r>
        <w:rPr>
          <w:color w:val="7F7F7F"/>
          <w:sz w:val="18"/>
          <w:szCs w:val="18"/>
        </w:rPr>
        <w:t>Šaltinis. https://www.e-tar.lt/portal/lt/legalAct/TAR.D0CD0966D67F/VSFscHQmfx</w:t>
      </w:r>
    </w:p>
  </w:footnote>
  <w:footnote w:id="3">
    <w:p w:rsidR="00373B71" w:rsidRDefault="00F45E7A">
      <w:pPr>
        <w:pBdr>
          <w:top w:val="nil"/>
          <w:left w:val="nil"/>
          <w:bottom w:val="nil"/>
          <w:right w:val="nil"/>
          <w:between w:val="nil"/>
        </w:pBdr>
        <w:spacing w:line="240" w:lineRule="auto"/>
        <w:jc w:val="left"/>
        <w:rPr>
          <w:color w:val="7F7F7F"/>
          <w:sz w:val="18"/>
          <w:szCs w:val="18"/>
        </w:rPr>
      </w:pPr>
      <w:r>
        <w:rPr>
          <w:vertAlign w:val="superscript"/>
        </w:rPr>
        <w:footnoteRef/>
      </w:r>
      <w:r>
        <w:rPr>
          <w:color w:val="7F7F7F"/>
          <w:sz w:val="18"/>
          <w:szCs w:val="18"/>
        </w:rPr>
        <w:t xml:space="preserve"> LLRI, Faktai ir analizė: Ką veikia savivaldybių valdomos įmonės</w:t>
      </w:r>
    </w:p>
    <w:p w:rsidR="00373B71" w:rsidRDefault="00F45E7A">
      <w:pPr>
        <w:pBdr>
          <w:top w:val="nil"/>
          <w:left w:val="nil"/>
          <w:bottom w:val="nil"/>
          <w:right w:val="nil"/>
          <w:between w:val="nil"/>
        </w:pBdr>
        <w:spacing w:line="240" w:lineRule="auto"/>
        <w:jc w:val="left"/>
        <w:rPr>
          <w:color w:val="7F7F7F"/>
          <w:sz w:val="18"/>
          <w:szCs w:val="18"/>
        </w:rPr>
      </w:pPr>
      <w:r>
        <w:rPr>
          <w:color w:val="7F7F7F"/>
          <w:sz w:val="18"/>
          <w:szCs w:val="18"/>
        </w:rPr>
        <w:t>Šaltinis. https://www.llri.lt/naujienos/ekonomine-politika/faktai-ir-analize-ka-veikia-savivaldybiu-valdomos-imones/lrinka</w:t>
      </w:r>
    </w:p>
  </w:footnote>
  <w:footnote w:id="4">
    <w:p w:rsidR="00373B71" w:rsidRDefault="00F45E7A">
      <w:pPr>
        <w:pBdr>
          <w:top w:val="nil"/>
          <w:left w:val="nil"/>
          <w:bottom w:val="nil"/>
          <w:right w:val="nil"/>
          <w:between w:val="nil"/>
        </w:pBdr>
        <w:spacing w:line="240" w:lineRule="auto"/>
        <w:rPr>
          <w:color w:val="7F7F7F"/>
          <w:sz w:val="18"/>
          <w:szCs w:val="18"/>
        </w:rPr>
      </w:pPr>
      <w:r>
        <w:rPr>
          <w:vertAlign w:val="superscript"/>
        </w:rPr>
        <w:footnoteRef/>
      </w:r>
      <w:r>
        <w:rPr>
          <w:color w:val="7F7F7F"/>
          <w:sz w:val="18"/>
          <w:szCs w:val="18"/>
        </w:rPr>
        <w:t xml:space="preserve"> Valstybės kontrolės 2017 m. balandžio 25 d. valstybinio audito ataskaita Nr. VA-2017-P-30-1-9 „Ar savivaldybių kontroliuojamų įmoni</w:t>
      </w:r>
      <w:r>
        <w:rPr>
          <w:color w:val="7F7F7F"/>
          <w:sz w:val="18"/>
          <w:szCs w:val="18"/>
        </w:rPr>
        <w:t>ų valdysena užtikrina efektyvią ir skaidrią įmonių veiklą“</w:t>
      </w:r>
    </w:p>
    <w:p w:rsidR="00373B71" w:rsidRDefault="00F45E7A">
      <w:pPr>
        <w:pBdr>
          <w:top w:val="nil"/>
          <w:left w:val="nil"/>
          <w:bottom w:val="nil"/>
          <w:right w:val="nil"/>
          <w:between w:val="nil"/>
        </w:pBdr>
        <w:spacing w:line="240" w:lineRule="auto"/>
        <w:jc w:val="left"/>
        <w:rPr>
          <w:color w:val="7F7F7F"/>
          <w:sz w:val="18"/>
          <w:szCs w:val="18"/>
        </w:rPr>
      </w:pPr>
      <w:r>
        <w:rPr>
          <w:color w:val="7F7F7F"/>
          <w:sz w:val="18"/>
          <w:szCs w:val="18"/>
        </w:rPr>
        <w:t>Šaltinis. https://www.vkontrole.lt/failas.aspx?id=3703</w:t>
      </w:r>
    </w:p>
  </w:footnote>
  <w:footnote w:id="5">
    <w:p w:rsidR="00373B71" w:rsidRDefault="00F45E7A">
      <w:pPr>
        <w:spacing w:line="240" w:lineRule="auto"/>
        <w:rPr>
          <w:color w:val="666666"/>
          <w:sz w:val="18"/>
          <w:szCs w:val="18"/>
        </w:rPr>
      </w:pPr>
      <w:r>
        <w:rPr>
          <w:vertAlign w:val="superscript"/>
        </w:rPr>
        <w:footnoteRef/>
      </w:r>
      <w:r>
        <w:rPr>
          <w:color w:val="666666"/>
          <w:sz w:val="18"/>
          <w:szCs w:val="18"/>
        </w:rPr>
        <w:t xml:space="preserve"> </w:t>
      </w:r>
      <w:r>
        <w:rPr>
          <w:color w:val="666666"/>
          <w:sz w:val="18"/>
          <w:szCs w:val="18"/>
          <w:highlight w:val="white"/>
        </w:rPr>
        <w:t xml:space="preserve">LR </w:t>
      </w:r>
      <w:r>
        <w:rPr>
          <w:color w:val="666666"/>
          <w:sz w:val="18"/>
          <w:szCs w:val="18"/>
        </w:rPr>
        <w:t>vietos savivaldos įstatymo Nr. I-533 3, 4, 6, 7, 14, 16, 19, 20, 24, 27, 28, 29, 30 ir 51 straipsnių pakeitimo įstatymo projektas (reg. N</w:t>
      </w:r>
      <w:r>
        <w:rPr>
          <w:color w:val="666666"/>
          <w:sz w:val="18"/>
          <w:szCs w:val="18"/>
        </w:rPr>
        <w:t xml:space="preserve">r. </w:t>
      </w:r>
      <w:r>
        <w:rPr>
          <w:color w:val="666666"/>
          <w:sz w:val="18"/>
          <w:szCs w:val="18"/>
          <w:highlight w:val="white"/>
        </w:rPr>
        <w:t>XIIIP-1713(2))</w:t>
      </w:r>
    </w:p>
    <w:p w:rsidR="00373B71" w:rsidRDefault="00F45E7A">
      <w:pPr>
        <w:spacing w:line="240" w:lineRule="auto"/>
        <w:rPr>
          <w:color w:val="666666"/>
          <w:sz w:val="18"/>
          <w:szCs w:val="18"/>
        </w:rPr>
      </w:pPr>
      <w:r>
        <w:rPr>
          <w:color w:val="666666"/>
          <w:sz w:val="18"/>
          <w:szCs w:val="18"/>
        </w:rPr>
        <w:t>Šaltinis. https://e-seimas.lrs.lt/portal/legalAct/lt/TAP/e7bc6e60430a11e8be5787c04e42c58a?positionInSearchResults=4&amp;searchModelUUID=e51ae33a-e048-41fa-be72-6166b700d428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B71" w:rsidRDefault="00F45E7A">
    <w:pPr>
      <w:tabs>
        <w:tab w:val="center" w:pos="4819"/>
        <w:tab w:val="right" w:pos="9638"/>
      </w:tabs>
      <w:spacing w:before="567"/>
      <w:rPr>
        <w:rFonts w:ascii="Arial" w:eastAsia="Arial" w:hAnsi="Arial" w:cs="Arial"/>
        <w:i/>
        <w:sz w:val="20"/>
        <w:szCs w:val="20"/>
        <w:u w:val="single"/>
      </w:rPr>
    </w:pPr>
    <w:r>
      <w:rPr>
        <w:noProof/>
        <w:u w:val="single"/>
        <w:lang w:val="en-US"/>
      </w:rPr>
      <w:drawing>
        <wp:inline distT="0" distB="0" distL="0" distR="0">
          <wp:extent cx="792480" cy="4038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2480" cy="403860"/>
                  </a:xfrm>
                  <a:prstGeom prst="rect">
                    <a:avLst/>
                  </a:prstGeom>
                  <a:ln/>
                </pic:spPr>
              </pic:pic>
            </a:graphicData>
          </a:graphic>
        </wp:inline>
      </w:drawing>
    </w:r>
    <w:r>
      <w:rPr>
        <w:rFonts w:ascii="Arial" w:eastAsia="Arial" w:hAnsi="Arial" w:cs="Arial"/>
        <w:i/>
        <w:sz w:val="20"/>
        <w:szCs w:val="20"/>
        <w:u w:val="single"/>
      </w:rPr>
      <w:t xml:space="preserve">                                                                                    Lietuvos laisvosios rinkos institutas  | 2019-01-21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F3C8A"/>
    <w:multiLevelType w:val="multilevel"/>
    <w:tmpl w:val="9AD66A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4133B5F"/>
    <w:multiLevelType w:val="multilevel"/>
    <w:tmpl w:val="EDBCCC5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71"/>
    <w:rsid w:val="00373B71"/>
    <w:rsid w:val="00F4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572C6-B3C4-4053-AF85-1A715EA4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120"/>
      <w:outlineLvl w:val="0"/>
    </w:pPr>
    <w:rPr>
      <w:b/>
      <w:sz w:val="28"/>
      <w:szCs w:val="28"/>
    </w:rPr>
  </w:style>
  <w:style w:type="paragraph" w:styleId="Heading2">
    <w:name w:val="heading 2"/>
    <w:basedOn w:val="Normal"/>
    <w:next w:val="Normal"/>
    <w:pPr>
      <w:keepNext/>
      <w:shd w:val="clear" w:color="auto" w:fill="FFFFFF"/>
      <w:spacing w:after="240"/>
      <w:outlineLvl w:val="1"/>
    </w:pPr>
    <w:rPr>
      <w:b/>
      <w:color w:val="44546A"/>
      <w:sz w:val="24"/>
      <w:szCs w:val="24"/>
    </w:rPr>
  </w:style>
  <w:style w:type="paragraph" w:styleId="Heading3">
    <w:name w:val="heading 3"/>
    <w:basedOn w:val="Normal"/>
    <w:next w:val="Normal"/>
    <w:pPr>
      <w:keepNext/>
      <w:keepLines/>
      <w:jc w:val="right"/>
      <w:outlineLvl w:val="2"/>
    </w:p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yes"?>
<Relationships xmlns="http://schemas.openxmlformats.org/package/2006/relationships">
   <Relationship Id="rId1" Target="media/image1.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5695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2019-01-22T08:45:00Z</dcterms:created>
  <dc:creator>LLRI</dc:creator>
  <cp:lastModifiedBy>-</cp:lastModifiedBy>
  <dcterms:modified xsi:type="dcterms:W3CDTF">2019-01-22T08:45:00Z</dcterms:modified>
  <cp:revision>2</cp:revision>
</cp:coreProperties>
</file>