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BB447" w14:textId="77777777" w:rsidR="007C09B8" w:rsidRPr="00065D2D" w:rsidRDefault="007C09B8" w:rsidP="007C09B8">
      <w:pPr>
        <w:jc w:val="center"/>
        <w:rPr>
          <w:b/>
          <w:caps/>
          <w:color w:val="000000"/>
          <w:lang w:val="lt-LT"/>
        </w:rPr>
      </w:pPr>
      <w:r w:rsidRPr="00065D2D">
        <w:rPr>
          <w:b/>
          <w:caps/>
          <w:color w:val="000000"/>
          <w:lang w:val="lt-LT"/>
        </w:rPr>
        <w:t xml:space="preserve">Derinimo pažyma </w:t>
      </w:r>
    </w:p>
    <w:p w14:paraId="254FDAF7" w14:textId="77777777" w:rsidR="007C09B8" w:rsidRPr="001736E6" w:rsidRDefault="007C09B8" w:rsidP="007C09B8">
      <w:pPr>
        <w:pStyle w:val="BodyText"/>
        <w:jc w:val="center"/>
        <w:rPr>
          <w:b/>
          <w:bCs/>
          <w:caps/>
          <w:color w:val="000000"/>
        </w:rPr>
      </w:pPr>
      <w:r w:rsidRPr="00065D2D">
        <w:rPr>
          <w:b/>
          <w:bCs/>
          <w:caps/>
          <w:color w:val="000000"/>
        </w:rPr>
        <w:t xml:space="preserve">DĖL </w:t>
      </w:r>
      <w:r w:rsidRPr="00066ECF">
        <w:rPr>
          <w:b/>
          <w:bCs/>
          <w:caps/>
          <w:color w:val="000000"/>
          <w:lang w:val="lt-LT"/>
        </w:rPr>
        <w:t xml:space="preserve">Lietuvos Respublikos alternatyviųjų degalų įstatymo, Lietuvos Respublikos atsinaujinančių išteklių energetikos įstatymo Nr. XI-1375 2, </w:t>
      </w:r>
      <w:r>
        <w:rPr>
          <w:b/>
          <w:bCs/>
          <w:caps/>
          <w:color w:val="000000"/>
          <w:lang w:val="lt-LT"/>
        </w:rPr>
        <w:t xml:space="preserve">4, </w:t>
      </w:r>
      <w:r w:rsidRPr="00066ECF">
        <w:rPr>
          <w:b/>
          <w:bCs/>
          <w:caps/>
          <w:color w:val="000000"/>
          <w:lang w:val="lt-LT"/>
        </w:rPr>
        <w:t>5, 6,</w:t>
      </w:r>
      <w:r>
        <w:rPr>
          <w:b/>
          <w:bCs/>
          <w:caps/>
          <w:color w:val="000000"/>
          <w:lang w:val="lt-LT"/>
        </w:rPr>
        <w:t xml:space="preserve"> 7,</w:t>
      </w:r>
      <w:r w:rsidRPr="00066ECF">
        <w:rPr>
          <w:b/>
          <w:bCs/>
          <w:caps/>
          <w:color w:val="000000"/>
          <w:lang w:val="lt-LT"/>
        </w:rPr>
        <w:t xml:space="preserve"> 8,</w:t>
      </w:r>
      <w:r>
        <w:rPr>
          <w:b/>
          <w:bCs/>
          <w:caps/>
          <w:color w:val="000000"/>
          <w:lang w:val="lt-LT"/>
        </w:rPr>
        <w:t xml:space="preserve"> 9,</w:t>
      </w:r>
      <w:r w:rsidRPr="00066ECF">
        <w:rPr>
          <w:b/>
          <w:bCs/>
          <w:caps/>
          <w:color w:val="000000"/>
          <w:lang w:val="lt-LT"/>
        </w:rPr>
        <w:t xml:space="preserve"> 11, 12, 32, 36, 37, 39</w:t>
      </w:r>
      <w:r>
        <w:rPr>
          <w:b/>
          <w:bCs/>
          <w:caps/>
          <w:color w:val="000000"/>
          <w:lang w:val="lt-LT"/>
        </w:rPr>
        <w:t xml:space="preserve"> ir</w:t>
      </w:r>
      <w:r w:rsidRPr="00066ECF">
        <w:rPr>
          <w:b/>
          <w:bCs/>
          <w:caps/>
          <w:color w:val="000000"/>
          <w:lang w:val="lt-LT"/>
        </w:rPr>
        <w:t xml:space="preserve"> 51 straipsnių pakeitimo </w:t>
      </w:r>
      <w:r w:rsidRPr="007C09B8">
        <w:rPr>
          <w:b/>
          <w:bCs/>
          <w:caps/>
          <w:color w:val="000000"/>
          <w:lang w:val="lt-LT"/>
        </w:rPr>
        <w:t xml:space="preserve">IR LIETUVOS RESPUBLIKOS GAMTINIŲ DUJŲ įstatymo NR. VIII-1973 1 straipsnio pakeitimo įstatymų </w:t>
      </w:r>
      <w:r w:rsidRPr="007C09B8">
        <w:rPr>
          <w:b/>
          <w:bCs/>
          <w:caps/>
          <w:color w:val="000000"/>
          <w:lang w:val="en-US"/>
        </w:rPr>
        <w:t>PROJEKTŲ</w:t>
      </w:r>
    </w:p>
    <w:p w14:paraId="0390010A" w14:textId="77777777" w:rsidR="007C09B8" w:rsidRPr="00065D2D" w:rsidRDefault="007C09B8" w:rsidP="007C09B8">
      <w:pPr>
        <w:pStyle w:val="BodyText"/>
        <w:spacing w:after="0"/>
        <w:jc w:val="center"/>
        <w:rPr>
          <w:b/>
          <w:color w:val="000000"/>
          <w:lang w:val="lt-LT"/>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1835"/>
        <w:gridCol w:w="6772"/>
        <w:gridCol w:w="5570"/>
      </w:tblGrid>
      <w:tr w:rsidR="007C09B8" w:rsidRPr="00802D28" w14:paraId="3AAB8F8A" w14:textId="77777777" w:rsidTr="00953123">
        <w:trPr>
          <w:trHeight w:val="1301"/>
        </w:trPr>
        <w:tc>
          <w:tcPr>
            <w:tcW w:w="736" w:type="dxa"/>
          </w:tcPr>
          <w:p w14:paraId="46847ECD" w14:textId="77777777" w:rsidR="007C09B8" w:rsidRPr="005802B1" w:rsidRDefault="007C09B8" w:rsidP="00953123">
            <w:pPr>
              <w:tabs>
                <w:tab w:val="left" w:pos="522"/>
              </w:tabs>
              <w:jc w:val="center"/>
              <w:rPr>
                <w:b/>
                <w:color w:val="000000"/>
                <w:sz w:val="20"/>
                <w:szCs w:val="20"/>
                <w:lang w:val="lt-LT"/>
              </w:rPr>
            </w:pPr>
            <w:r w:rsidRPr="005802B1">
              <w:rPr>
                <w:b/>
                <w:color w:val="000000"/>
                <w:sz w:val="20"/>
                <w:szCs w:val="20"/>
                <w:lang w:val="lt-LT"/>
              </w:rPr>
              <w:t>Eil. Nr.</w:t>
            </w:r>
          </w:p>
        </w:tc>
        <w:tc>
          <w:tcPr>
            <w:tcW w:w="1835" w:type="dxa"/>
            <w:shd w:val="clear" w:color="auto" w:fill="auto"/>
          </w:tcPr>
          <w:p w14:paraId="640151B7" w14:textId="77777777" w:rsidR="007C09B8" w:rsidRPr="005802B1" w:rsidRDefault="007C09B8" w:rsidP="00953123">
            <w:pPr>
              <w:jc w:val="center"/>
              <w:rPr>
                <w:b/>
                <w:color w:val="000000"/>
                <w:sz w:val="20"/>
                <w:szCs w:val="20"/>
                <w:lang w:val="lt-LT"/>
              </w:rPr>
            </w:pPr>
            <w:r w:rsidRPr="005802B1">
              <w:rPr>
                <w:b/>
                <w:color w:val="000000"/>
                <w:sz w:val="20"/>
                <w:szCs w:val="20"/>
                <w:lang w:val="lt-LT"/>
              </w:rPr>
              <w:t>Suinteresuotos institucijos pavadinimas, rašto data ir numeris</w:t>
            </w:r>
          </w:p>
        </w:tc>
        <w:tc>
          <w:tcPr>
            <w:tcW w:w="6772" w:type="dxa"/>
            <w:shd w:val="clear" w:color="auto" w:fill="auto"/>
          </w:tcPr>
          <w:p w14:paraId="21A8D21E" w14:textId="77777777" w:rsidR="007C09B8" w:rsidRPr="00234B0E" w:rsidRDefault="007C09B8" w:rsidP="00953123">
            <w:pPr>
              <w:jc w:val="center"/>
              <w:rPr>
                <w:b/>
                <w:color w:val="000000"/>
                <w:sz w:val="20"/>
                <w:szCs w:val="18"/>
                <w:lang w:val="lt-LT"/>
              </w:rPr>
            </w:pPr>
            <w:r w:rsidRPr="005802B1">
              <w:rPr>
                <w:b/>
                <w:caps/>
                <w:color w:val="000000"/>
                <w:sz w:val="20"/>
                <w:szCs w:val="20"/>
                <w:lang w:val="lt-LT"/>
              </w:rPr>
              <w:t>p</w:t>
            </w:r>
            <w:r w:rsidRPr="005802B1">
              <w:rPr>
                <w:b/>
                <w:color w:val="000000"/>
                <w:sz w:val="20"/>
                <w:szCs w:val="20"/>
                <w:lang w:val="lt-LT"/>
              </w:rPr>
              <w:t>astabos ir pasiūlymai</w:t>
            </w:r>
          </w:p>
        </w:tc>
        <w:tc>
          <w:tcPr>
            <w:tcW w:w="5570" w:type="dxa"/>
            <w:shd w:val="clear" w:color="auto" w:fill="auto"/>
          </w:tcPr>
          <w:p w14:paraId="64918D4E" w14:textId="77777777" w:rsidR="007C09B8" w:rsidRPr="005802B1" w:rsidRDefault="007C09B8" w:rsidP="00953123">
            <w:pPr>
              <w:ind w:right="72"/>
              <w:jc w:val="center"/>
              <w:rPr>
                <w:b/>
                <w:color w:val="000000"/>
                <w:sz w:val="20"/>
                <w:szCs w:val="20"/>
                <w:lang w:val="lt-LT"/>
              </w:rPr>
            </w:pPr>
            <w:r w:rsidRPr="005802B1">
              <w:rPr>
                <w:b/>
                <w:caps/>
                <w:color w:val="000000"/>
                <w:sz w:val="20"/>
                <w:szCs w:val="20"/>
                <w:lang w:val="lt-LT"/>
              </w:rPr>
              <w:t>A</w:t>
            </w:r>
            <w:r w:rsidRPr="005802B1">
              <w:rPr>
                <w:b/>
                <w:color w:val="000000"/>
                <w:sz w:val="20"/>
                <w:szCs w:val="20"/>
                <w:lang w:val="lt-LT"/>
              </w:rPr>
              <w:t>rgumentai, kodėl neatsižvelgta arba atsižvelgta iš dalies į suinteresuotos institucijos pastabas ir pasiūlymus</w:t>
            </w:r>
          </w:p>
          <w:p w14:paraId="3EE6E352" w14:textId="77777777" w:rsidR="007C09B8" w:rsidRPr="005802B1" w:rsidRDefault="007C09B8" w:rsidP="00953123">
            <w:pPr>
              <w:jc w:val="center"/>
              <w:rPr>
                <w:b/>
                <w:color w:val="000000"/>
                <w:sz w:val="20"/>
                <w:szCs w:val="20"/>
                <w:lang w:val="lt-LT"/>
              </w:rPr>
            </w:pPr>
          </w:p>
        </w:tc>
      </w:tr>
      <w:tr w:rsidR="007C09B8" w:rsidRPr="00802D28" w14:paraId="5EC24B44" w14:textId="77777777" w:rsidTr="00953123">
        <w:trPr>
          <w:trHeight w:val="3141"/>
        </w:trPr>
        <w:tc>
          <w:tcPr>
            <w:tcW w:w="736" w:type="dxa"/>
            <w:shd w:val="clear" w:color="auto" w:fill="auto"/>
          </w:tcPr>
          <w:p w14:paraId="62AE774C" w14:textId="77777777" w:rsidR="007C09B8" w:rsidRPr="005802B1" w:rsidRDefault="007C09B8" w:rsidP="0095312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5A239A77" w14:textId="77777777" w:rsidR="007C09B8" w:rsidRPr="005802B1" w:rsidRDefault="007C09B8" w:rsidP="00953123">
            <w:pPr>
              <w:pStyle w:val="Adresas"/>
              <w:jc w:val="center"/>
              <w:rPr>
                <w:rStyle w:val="Emphasis"/>
                <w:i w:val="0"/>
                <w:iCs w:val="0"/>
                <w:sz w:val="20"/>
                <w:szCs w:val="20"/>
              </w:rPr>
            </w:pPr>
            <w:r>
              <w:rPr>
                <w:rStyle w:val="Emphasis"/>
                <w:i w:val="0"/>
                <w:iCs w:val="0"/>
                <w:sz w:val="20"/>
                <w:szCs w:val="20"/>
              </w:rPr>
              <w:t>Biodegalų asociacija</w:t>
            </w:r>
          </w:p>
        </w:tc>
        <w:tc>
          <w:tcPr>
            <w:tcW w:w="6772" w:type="dxa"/>
            <w:shd w:val="clear" w:color="auto" w:fill="auto"/>
          </w:tcPr>
          <w:p w14:paraId="22E9AABD" w14:textId="77777777" w:rsidR="007C09B8" w:rsidRPr="007C09B8" w:rsidRDefault="007C09B8" w:rsidP="007C09B8">
            <w:pPr>
              <w:jc w:val="both"/>
              <w:rPr>
                <w:bCs/>
                <w:sz w:val="20"/>
                <w:szCs w:val="20"/>
                <w:lang w:val="lt-LT"/>
              </w:rPr>
            </w:pPr>
            <w:r w:rsidRPr="007C09B8">
              <w:rPr>
                <w:bCs/>
                <w:sz w:val="20"/>
                <w:szCs w:val="20"/>
                <w:lang w:val="lt-LT"/>
              </w:rPr>
              <w:t>Biodegalų asociacija jau rašė ir teikė duomenis apie dabartines didžiules problemas, su kuriomis susiduria biodegalų gamintojai, konkuruodami su taip vadinamais pažangiaisiais biodegalais.  Rinkoje yra kelių rūšių II- kartos pažangių biodegalų. Absoliučiai didžiausią dalį tokių „pažangių“ biodegalų sudaro biodegalai, gaminami iš „žaliavų – atliekų“, pvz.: “palmių aliejaus gamybos atlieka" (PFAD), "nekokybiškų, brokuotų, sergančių grūdų", "cukraus gamybos atliekų“, atvežamų iš Ukrainos, Baltarusijos, Singapūro, Malaizijos ir pan. Tokie produktai, iš tiesų, negali būti laikomi jokiais pažangiais biodegalais. Nežiūrint to, tokie „pažangūs“ biodegalai rinkoje jau yra siūlomi. Jų kaina 10-20 % yra didesnė, nei I-</w:t>
            </w:r>
            <w:proofErr w:type="spellStart"/>
            <w:r w:rsidRPr="007C09B8">
              <w:rPr>
                <w:bCs/>
                <w:sz w:val="20"/>
                <w:szCs w:val="20"/>
                <w:lang w:val="lt-LT"/>
              </w:rPr>
              <w:t>os</w:t>
            </w:r>
            <w:proofErr w:type="spellEnd"/>
            <w:r w:rsidRPr="007C09B8">
              <w:rPr>
                <w:bCs/>
                <w:sz w:val="20"/>
                <w:szCs w:val="20"/>
                <w:lang w:val="lt-LT"/>
              </w:rPr>
              <w:t xml:space="preserve"> kartos biodegalų.  Tačiau, jei jų įmaišymas leis dvigubai sumažinti įmaišomų I-</w:t>
            </w:r>
            <w:proofErr w:type="spellStart"/>
            <w:r w:rsidRPr="007C09B8">
              <w:rPr>
                <w:bCs/>
                <w:sz w:val="20"/>
                <w:szCs w:val="20"/>
                <w:lang w:val="lt-LT"/>
              </w:rPr>
              <w:t>os</w:t>
            </w:r>
            <w:proofErr w:type="spellEnd"/>
            <w:r w:rsidRPr="007C09B8">
              <w:rPr>
                <w:bCs/>
                <w:sz w:val="20"/>
                <w:szCs w:val="20"/>
                <w:lang w:val="lt-LT"/>
              </w:rPr>
              <w:t xml:space="preserve"> kartos biodegalų dalį, konkuruoti su tokiais dvigubais daugikliais remiamais biodegalais bus neįmanoma. Tai labai neigiamai atsilieps visai Lietuvoje sukurtai biodegalų gamybai ir atitinkamai Lietuvos žemdirbiams, auginantiems rapsus ir javus , naudojamus biodegalų gamybai. Pažymėtina, kad numatomi proteguoti produktai nėra tvarūs (pavyzdžiui, UAB „Neste Lietuva“ parduodamas HVO produktas gaminamas iš palmių – dėl palmių auginimo trečiosiose šalyse kertami miškai, naikinama didelės biologinės įvairovės žemė, o tai reiškia, kad į aplinką išskiriami didžiuliai kiekiai CO2, šiltnamio efektą sukeliančių dujų). Apie Ukrainoje siūlomus „pažangius“ biodegalus iš „sergančių“ grūdų, jau nekalbama, nes visiems akivaizdu, kokie ten „pažangūs“ biodegalai. Tačiau tokios schemos yra naudojamos ir gana plačiai. Taigi tokia prekyba, ne tik yra nesąžininga, labai abejotino teisėtumo, bet ir generuoja pajamas ne Lietuvos, o užsienio subjektams. </w:t>
            </w:r>
          </w:p>
          <w:p w14:paraId="7947D086" w14:textId="77777777" w:rsidR="007C09B8" w:rsidRPr="007C09B8" w:rsidRDefault="007C09B8" w:rsidP="007C09B8">
            <w:pPr>
              <w:jc w:val="both"/>
              <w:rPr>
                <w:bCs/>
                <w:sz w:val="20"/>
                <w:szCs w:val="20"/>
                <w:lang w:val="lt-LT"/>
              </w:rPr>
            </w:pPr>
            <w:r w:rsidRPr="007C09B8">
              <w:rPr>
                <w:bCs/>
                <w:sz w:val="20"/>
                <w:szCs w:val="20"/>
                <w:lang w:val="lt-LT"/>
              </w:rPr>
              <w:t>Pažymėtina, kad asociacijos siūlymai teisinėmis priemonėmis spręsti nors vieną ar kelias su tuo susijusias problemas nagrinėjami metų metus ir, deja, kol kas faktiškai jokių rezultatų nėra. Atsižvelgdami į tai, manytume, kad tokio protegavimo turėtų būti atsisakyta ir jis jokiu būdu neturėtų būti naudojamas, mažinant biodegalų, pagamintų iš rapsų ir javų , vartojimo apimtis.</w:t>
            </w:r>
          </w:p>
          <w:p w14:paraId="5317A9E7" w14:textId="77777777" w:rsidR="007C09B8" w:rsidRPr="007C09B8" w:rsidRDefault="007C09B8" w:rsidP="007C09B8">
            <w:pPr>
              <w:jc w:val="both"/>
              <w:rPr>
                <w:bCs/>
                <w:sz w:val="20"/>
                <w:szCs w:val="20"/>
                <w:lang w:val="lt-LT"/>
              </w:rPr>
            </w:pPr>
            <w:r w:rsidRPr="007C09B8">
              <w:rPr>
                <w:bCs/>
                <w:sz w:val="20"/>
                <w:szCs w:val="20"/>
                <w:lang w:val="lt-LT"/>
              </w:rPr>
              <w:t xml:space="preserve">Lietuvoje turime grūdų perteklių. Tai reiškia, kad numatytų tikslų galime siekti savo jėgomis. Be to, tokiu būdu turime galimybę užtikrinti didesnes pajamas vietiniams ūkio subjektams: Lietuvos žemdirbiams, Lietuvos biodegalų gamintojams, o taip pat ir Lietuvos biudžetui.  </w:t>
            </w:r>
          </w:p>
          <w:p w14:paraId="4DDDDB42" w14:textId="77777777" w:rsidR="007C09B8" w:rsidRPr="000551C0" w:rsidRDefault="007C09B8" w:rsidP="007C09B8">
            <w:pPr>
              <w:jc w:val="both"/>
              <w:rPr>
                <w:bCs/>
                <w:sz w:val="20"/>
                <w:szCs w:val="20"/>
                <w:lang w:val="lt-LT"/>
              </w:rPr>
            </w:pPr>
            <w:r w:rsidRPr="007C09B8">
              <w:rPr>
                <w:bCs/>
                <w:sz w:val="20"/>
                <w:szCs w:val="20"/>
                <w:lang w:val="lt-LT"/>
              </w:rPr>
              <w:lastRenderedPageBreak/>
              <w:t>• Lietuvoje turime veikiančius biodegalų gamintojus, užtikrinamos darbo vietos, kuriama papildoma pridėtinė vertė, užtikrinamos nemažos eksporto apimtys, gaminami biodegalai stiprina energetinį nepriklausomumą. • Lietuvoje užauginta žemės ūkio produkcija, naudojama biodegalų gamybai, yra tvari. Tai reiškia, kad auginant žaliavą biodegalų gamybai, nėra naikinama didelės biologinės įvairovės žemė, žaliava nėra auginama didelių anglies atsargų dirvožemyje (taigi į aplinką išmetamas leidžiamas CO2 ir kitų teršalų kiekis) etc. O tai vienas esminių ES Atsinaujinančių išteklių direktyvos reikalavimų – nustatytus tikslus pasiekti tvariais atsinaujinančiais energijos ištekliais.  • Šiuo metu, taip vadinamos I-</w:t>
            </w:r>
            <w:proofErr w:type="spellStart"/>
            <w:r w:rsidRPr="007C09B8">
              <w:rPr>
                <w:bCs/>
                <w:sz w:val="20"/>
                <w:szCs w:val="20"/>
                <w:lang w:val="lt-LT"/>
              </w:rPr>
              <w:t>os</w:t>
            </w:r>
            <w:proofErr w:type="spellEnd"/>
            <w:r w:rsidRPr="007C09B8">
              <w:rPr>
                <w:bCs/>
                <w:sz w:val="20"/>
                <w:szCs w:val="20"/>
                <w:lang w:val="lt-LT"/>
              </w:rPr>
              <w:t xml:space="preserve"> kartos biodegalų dalies didinimas, kaip priemonė tikslams pasiekti, yra pigiausias galimas būdas.  • Biodegalų, pagamintų iš Lietuvoje užaugintos žemės ūkio produkcijos, kokybė yra aukščiausio lygio. Ilgą laiką kokybiški biodegalai buvo maišomi su arktiniu dyzelinu (I-</w:t>
            </w:r>
            <w:proofErr w:type="spellStart"/>
            <w:r w:rsidRPr="007C09B8">
              <w:rPr>
                <w:bCs/>
                <w:sz w:val="20"/>
                <w:szCs w:val="20"/>
                <w:lang w:val="lt-LT"/>
              </w:rPr>
              <w:t>os</w:t>
            </w:r>
            <w:proofErr w:type="spellEnd"/>
            <w:r w:rsidRPr="007C09B8">
              <w:rPr>
                <w:bCs/>
                <w:sz w:val="20"/>
                <w:szCs w:val="20"/>
                <w:lang w:val="lt-LT"/>
              </w:rPr>
              <w:t xml:space="preserve"> klasės) ir naudojami žiemos laikotarpiu nesukeliant jokių </w:t>
            </w:r>
            <w:proofErr w:type="spellStart"/>
            <w:r w:rsidRPr="007C09B8">
              <w:rPr>
                <w:bCs/>
                <w:sz w:val="20"/>
                <w:szCs w:val="20"/>
                <w:lang w:val="lt-LT"/>
              </w:rPr>
              <w:t>poblemų</w:t>
            </w:r>
            <w:proofErr w:type="spellEnd"/>
            <w:r w:rsidRPr="007C09B8">
              <w:rPr>
                <w:bCs/>
                <w:sz w:val="20"/>
                <w:szCs w:val="20"/>
                <w:lang w:val="lt-LT"/>
              </w:rPr>
              <w:t>.     Taigi, I-</w:t>
            </w:r>
            <w:proofErr w:type="spellStart"/>
            <w:r w:rsidRPr="007C09B8">
              <w:rPr>
                <w:bCs/>
                <w:sz w:val="20"/>
                <w:szCs w:val="20"/>
                <w:lang w:val="lt-LT"/>
              </w:rPr>
              <w:t>os</w:t>
            </w:r>
            <w:proofErr w:type="spellEnd"/>
            <w:r w:rsidRPr="007C09B8">
              <w:rPr>
                <w:bCs/>
                <w:sz w:val="20"/>
                <w:szCs w:val="20"/>
                <w:lang w:val="lt-LT"/>
              </w:rPr>
              <w:t xml:space="preserve"> kartos biodegalų maksimalus panaudojimas yra pigiausias, efektyviausias ir Lietuvai naudingiausias būdas, siekiant išsikeltų ambicingų tikslų šioje srityje. Tačiau nerimą kelia ketinimai suteikti išskirtines sąlygas ir prioritetus taip vadinamiems II –</w:t>
            </w:r>
            <w:proofErr w:type="spellStart"/>
            <w:r w:rsidRPr="007C09B8">
              <w:rPr>
                <w:bCs/>
                <w:sz w:val="20"/>
                <w:szCs w:val="20"/>
                <w:lang w:val="lt-LT"/>
              </w:rPr>
              <w:t>os</w:t>
            </w:r>
            <w:proofErr w:type="spellEnd"/>
            <w:r w:rsidRPr="007C09B8">
              <w:rPr>
                <w:bCs/>
                <w:sz w:val="20"/>
                <w:szCs w:val="20"/>
                <w:lang w:val="lt-LT"/>
              </w:rPr>
              <w:t xml:space="preserve"> kartos pažangiems degalams, numatant jų verčių skaičiavimo daugiklius ir leidžiant jų sąskaita sumažinti I-</w:t>
            </w:r>
            <w:proofErr w:type="spellStart"/>
            <w:r w:rsidRPr="007C09B8">
              <w:rPr>
                <w:bCs/>
                <w:sz w:val="20"/>
                <w:szCs w:val="20"/>
                <w:lang w:val="lt-LT"/>
              </w:rPr>
              <w:t>os</w:t>
            </w:r>
            <w:proofErr w:type="spellEnd"/>
            <w:r w:rsidRPr="007C09B8">
              <w:rPr>
                <w:bCs/>
                <w:sz w:val="20"/>
                <w:szCs w:val="20"/>
                <w:lang w:val="lt-LT"/>
              </w:rPr>
              <w:t xml:space="preserve"> kartos biodegalų dalį mineraliniuose degaluose. Norime pažymėti, kad Lietuvos biodegalų gamintojai tikrai nėra prieš tokius II kartos pažangius biodegalus. Lietuvos biodegalų gamintojai  jau šiuo metu patys gamina tikrus pažangiuosius biodegalus, taip pat planuoja investicijas į didesnės apimties pažangių biodegalų gamybą. Tačiau akivaizdu, kad palikus dabar siūlomą tvarką, jie patirs nuostolių ir bus priversti atsisakyti planų dėl pažangių biodegalų gamybos, o su laiku dėl minėtos nesąžiningos konkurencijos bus ir visai išstumti iš biodegalų rinkos.  Todėl tokie nelogiški sprendimai kelia didelių abejonių dėl jų pagrįstumo. Galiausiai gausime rezultatą, kai Lietuva rems nesąžiningus (ar nelabai sąžiningus) užsienio gamintojų gaminamus netvarius biodegalus ir generuos jiems pajamas, ir tai darys šalies ūkininkų, biodegalų gamintojų ir kitus susijusių ūkio subjektų sąskaita.</w:t>
            </w:r>
          </w:p>
        </w:tc>
        <w:tc>
          <w:tcPr>
            <w:tcW w:w="5570" w:type="dxa"/>
            <w:shd w:val="clear" w:color="auto" w:fill="auto"/>
          </w:tcPr>
          <w:p w14:paraId="533152BC" w14:textId="77777777" w:rsidR="007C09B8" w:rsidRDefault="007C09B8" w:rsidP="00953123">
            <w:pPr>
              <w:jc w:val="both"/>
              <w:rPr>
                <w:rStyle w:val="Emphasis"/>
                <w:b/>
                <w:bCs/>
                <w:i w:val="0"/>
                <w:sz w:val="20"/>
                <w:szCs w:val="20"/>
                <w:lang w:val="lt-LT"/>
              </w:rPr>
            </w:pPr>
            <w:r>
              <w:rPr>
                <w:rStyle w:val="Emphasis"/>
                <w:b/>
                <w:bCs/>
                <w:i w:val="0"/>
                <w:sz w:val="20"/>
                <w:szCs w:val="20"/>
                <w:lang w:val="lt-LT"/>
              </w:rPr>
              <w:lastRenderedPageBreak/>
              <w:t>Neatsižvelgta</w:t>
            </w:r>
          </w:p>
          <w:p w14:paraId="263FD562" w14:textId="77777777" w:rsidR="00A32862" w:rsidRDefault="007C09B8" w:rsidP="00953123">
            <w:pPr>
              <w:jc w:val="both"/>
              <w:rPr>
                <w:iCs/>
                <w:sz w:val="20"/>
                <w:szCs w:val="20"/>
                <w:lang w:val="lt-LT"/>
              </w:rPr>
            </w:pPr>
            <w:r w:rsidRPr="00A32862">
              <w:rPr>
                <w:rStyle w:val="Emphasis"/>
                <w:i w:val="0"/>
                <w:sz w:val="20"/>
                <w:szCs w:val="20"/>
                <w:lang w:val="lt-LT"/>
              </w:rPr>
              <w:t xml:space="preserve">Biodegalų energinės vertės dvigubinimas pagal </w:t>
            </w:r>
            <w:r w:rsidRPr="00A32862">
              <w:rPr>
                <w:iCs/>
                <w:sz w:val="20"/>
                <w:szCs w:val="20"/>
                <w:lang w:val="lt-LT"/>
              </w:rPr>
              <w:t xml:space="preserve">2018 m. gruodžio 11 d. Europos Parlamento ir Tarybos direktyvą 2018/2001 dėl skatinimo naudoti atsinaujinančiųjų išteklių energiją (toliau – Direktyva 2018/2001) yra laikomas kaip viena iš </w:t>
            </w:r>
            <w:r w:rsidR="00A32862">
              <w:rPr>
                <w:iCs/>
                <w:sz w:val="20"/>
                <w:szCs w:val="20"/>
                <w:lang w:val="lt-LT"/>
              </w:rPr>
              <w:t>II kartos</w:t>
            </w:r>
            <w:r w:rsidRPr="00A32862">
              <w:rPr>
                <w:iCs/>
                <w:sz w:val="20"/>
                <w:szCs w:val="20"/>
                <w:lang w:val="lt-LT"/>
              </w:rPr>
              <w:t xml:space="preserve"> biodegalų skatinimo priemonių, kadangi yra taikomas tik biodegalams pagamintiems iš žaliavų įtvirtintų Direktyvos 2018/2001 IX priede. Minėtame priede įtvirtinamos konkrečios žaliavos ir jų grupės,</w:t>
            </w:r>
            <w:r w:rsidR="00A32862">
              <w:rPr>
                <w:iCs/>
                <w:sz w:val="20"/>
                <w:szCs w:val="20"/>
                <w:lang w:val="lt-LT"/>
              </w:rPr>
              <w:t xml:space="preserve"> kurios tam tikrais atvejais rinkos dalyviams kelia neaiškumų dėl skirtingo žaliavų traktavimo </w:t>
            </w:r>
            <w:r w:rsidR="005502B1">
              <w:rPr>
                <w:iCs/>
                <w:sz w:val="20"/>
                <w:szCs w:val="20"/>
                <w:lang w:val="lt-LT"/>
              </w:rPr>
              <w:t xml:space="preserve">kiekvienos </w:t>
            </w:r>
            <w:r w:rsidR="00A32862">
              <w:rPr>
                <w:iCs/>
                <w:sz w:val="20"/>
                <w:szCs w:val="20"/>
                <w:lang w:val="lt-LT"/>
              </w:rPr>
              <w:t>atskiros grupės atveju</w:t>
            </w:r>
            <w:r w:rsidR="005502B1">
              <w:rPr>
                <w:iCs/>
                <w:sz w:val="20"/>
                <w:szCs w:val="20"/>
                <w:lang w:val="lt-LT"/>
              </w:rPr>
              <w:t xml:space="preserve"> (neaišku kurios žaliavos gali patekti, o kurios negali patekti). </w:t>
            </w:r>
          </w:p>
          <w:p w14:paraId="79E9D755" w14:textId="77777777" w:rsidR="00D80CC6" w:rsidRDefault="00D80CC6" w:rsidP="00953123">
            <w:pPr>
              <w:jc w:val="both"/>
              <w:rPr>
                <w:sz w:val="20"/>
                <w:szCs w:val="20"/>
                <w:lang w:val="lt-LT"/>
              </w:rPr>
            </w:pPr>
            <w:r w:rsidRPr="00A32862">
              <w:rPr>
                <w:sz w:val="20"/>
                <w:szCs w:val="20"/>
                <w:lang w:val="lt-LT"/>
              </w:rPr>
              <w:t xml:space="preserve">Pažymėtina, kad visos biodegalų gamybai naudojamos žaliavos pereina patvirtintą ir Europos Sąjungoje pripažįstamą žaliavų sertifikavimo procedūrą, papildomas žaliavų vertinimas dalyje valstybių narių netgi nėra naudojamas ir yra pasikliaujama išskirtinai tik išduotais nepriklausomų vertintojų sertifikatais. </w:t>
            </w:r>
          </w:p>
          <w:p w14:paraId="1AF6C3B4" w14:textId="77777777" w:rsidR="005502B1" w:rsidRPr="00A32862" w:rsidRDefault="005502B1" w:rsidP="00953123">
            <w:pPr>
              <w:jc w:val="both"/>
              <w:rPr>
                <w:sz w:val="20"/>
                <w:szCs w:val="20"/>
                <w:lang w:val="lt-LT"/>
              </w:rPr>
            </w:pPr>
            <w:r>
              <w:rPr>
                <w:sz w:val="20"/>
                <w:szCs w:val="20"/>
                <w:lang w:val="lt-LT"/>
              </w:rPr>
              <w:t>Energetikos ministerijos nuomone daugiklių taikymas šiame ADĮ projekto etape yra reikalingas siekiant palaipsniui pereiti prie II kartos biodegalų naudojimo Lietuvoje, tačiau su sąlygą, kad šiems biodegalams gaminti naudojamos žaliavos bus patikrintos ir įvertintos, t</w:t>
            </w:r>
            <w:r w:rsidRPr="00A32862">
              <w:rPr>
                <w:sz w:val="20"/>
                <w:szCs w:val="20"/>
                <w:lang w:val="lt-LT"/>
              </w:rPr>
              <w:t xml:space="preserve">aip pat </w:t>
            </w:r>
            <w:r>
              <w:rPr>
                <w:sz w:val="20"/>
                <w:szCs w:val="20"/>
                <w:lang w:val="lt-LT"/>
              </w:rPr>
              <w:t xml:space="preserve">suteikiant galimybę degalų tiekėjams įgyvendinti jiems nustatytus įpareigojimus viršijant </w:t>
            </w:r>
            <w:r w:rsidRPr="00A32862">
              <w:rPr>
                <w:sz w:val="20"/>
                <w:szCs w:val="20"/>
                <w:lang w:val="lt-LT"/>
              </w:rPr>
              <w:t xml:space="preserve">degalų kokybės standartus, kuriais yra apribotas </w:t>
            </w:r>
            <w:r>
              <w:rPr>
                <w:sz w:val="20"/>
                <w:szCs w:val="20"/>
                <w:lang w:val="lt-LT"/>
              </w:rPr>
              <w:t xml:space="preserve">pagrinde </w:t>
            </w:r>
            <w:r w:rsidRPr="00A32862">
              <w:rPr>
                <w:sz w:val="20"/>
                <w:szCs w:val="20"/>
                <w:lang w:val="lt-LT"/>
              </w:rPr>
              <w:t>I kartos biodegalų naudojimas</w:t>
            </w:r>
            <w:r>
              <w:rPr>
                <w:sz w:val="20"/>
                <w:szCs w:val="20"/>
                <w:lang w:val="lt-LT"/>
              </w:rPr>
              <w:t xml:space="preserve">. </w:t>
            </w:r>
          </w:p>
          <w:p w14:paraId="07BE928E" w14:textId="77777777" w:rsidR="00D80CC6" w:rsidRPr="00A32862" w:rsidRDefault="00D80CC6" w:rsidP="00953123">
            <w:pPr>
              <w:jc w:val="both"/>
              <w:rPr>
                <w:sz w:val="20"/>
                <w:szCs w:val="20"/>
                <w:lang w:val="lt-LT"/>
              </w:rPr>
            </w:pPr>
            <w:r w:rsidRPr="00A32862">
              <w:rPr>
                <w:sz w:val="20"/>
                <w:szCs w:val="20"/>
                <w:lang w:val="lt-LT"/>
              </w:rPr>
              <w:t>Kadangi ankstesnio derinimo proceso metu Biodegalų asociacija nekartą išreiškė pastabas ir abejones dėl tokių, Europos Komisijos patvirtintų ir plačiai kitų valstybių narių naudojamų schemų, patikimumo, Energetikos ministerija reaguodama į pastabas ir atsižvelgdama į kitose šalyse pasitvirtinusią praktiką su tikslu įtraukė papildomą žaliavų vertinimo procesą siekiant identifikuoti konkrečias žaliavas, o ne abstrakčias jų grupes kaip yra tam tikrais Direktyvos 2018/2001 IX priedo atvejais.</w:t>
            </w:r>
          </w:p>
          <w:p w14:paraId="350913F9" w14:textId="77777777" w:rsidR="00D80CC6" w:rsidRPr="00A32862" w:rsidRDefault="00D80CC6" w:rsidP="00953123">
            <w:pPr>
              <w:jc w:val="both"/>
              <w:rPr>
                <w:sz w:val="20"/>
                <w:szCs w:val="20"/>
                <w:lang w:val="lt-LT"/>
              </w:rPr>
            </w:pPr>
            <w:r w:rsidRPr="00A32862">
              <w:rPr>
                <w:sz w:val="20"/>
                <w:szCs w:val="20"/>
                <w:lang w:val="lt-LT"/>
              </w:rPr>
              <w:lastRenderedPageBreak/>
              <w:t>Žaliavų vertinimo metodika papildomai identifikuotų tuos vertinimo kriterijus kuriais kliaujantis būtų galima minimalizuoti rizikas susijusias su netvariomis žaliavomis, taip pat atskirai būtų pažymimos ir tos žaliavos, kurioms būtų taikomas dvigubas daugiklis</w:t>
            </w:r>
            <w:r w:rsidR="00A32862">
              <w:rPr>
                <w:sz w:val="20"/>
                <w:szCs w:val="20"/>
                <w:lang w:val="lt-LT"/>
              </w:rPr>
              <w:t>, o žaliavų vertinimo procedūr</w:t>
            </w:r>
            <w:r w:rsidR="005502B1">
              <w:rPr>
                <w:sz w:val="20"/>
                <w:szCs w:val="20"/>
                <w:lang w:val="lt-LT"/>
              </w:rPr>
              <w:t>ą</w:t>
            </w:r>
            <w:r w:rsidR="00A32862">
              <w:rPr>
                <w:sz w:val="20"/>
                <w:szCs w:val="20"/>
                <w:lang w:val="lt-LT"/>
              </w:rPr>
              <w:t xml:space="preserve"> atliktų dar viena papildoma institucija – Lietuvos energetikos agentūra. </w:t>
            </w:r>
          </w:p>
          <w:p w14:paraId="38500EC0" w14:textId="77777777" w:rsidR="00D80CC6" w:rsidRDefault="00D80CC6" w:rsidP="00D80CC6">
            <w:pPr>
              <w:jc w:val="both"/>
              <w:rPr>
                <w:sz w:val="20"/>
                <w:szCs w:val="20"/>
                <w:lang w:val="lt-LT"/>
              </w:rPr>
            </w:pPr>
            <w:r w:rsidRPr="00A32862">
              <w:rPr>
                <w:sz w:val="20"/>
                <w:szCs w:val="20"/>
                <w:lang w:val="lt-LT"/>
              </w:rPr>
              <w:t>Pažymėtina ir tai, kad atsižvelgiant į Biodegalų asociacijos pastabas dėl rizikos, kad biodegalų, pagamintų iš Lietuvoje užaugintos maistinės kilmės žaliavų (I kartos), dalis gali sumažėti dėl tariamai suklastotų ir netvarių žaliavų tiekimo, Energetikos ministerija atitinkamai įtvirtino papildomą minimalios biodegalų dalies kiekviename litre reikalavimą taip užtikrinant tolimesnį I kartos biodegalų naudojimą Lietuvoje</w:t>
            </w:r>
            <w:r w:rsidR="005502B1">
              <w:rPr>
                <w:sz w:val="20"/>
                <w:szCs w:val="20"/>
                <w:lang w:val="lt-LT"/>
              </w:rPr>
              <w:t xml:space="preserve">. </w:t>
            </w:r>
          </w:p>
          <w:p w14:paraId="7252A6AD" w14:textId="77777777" w:rsidR="00A32862" w:rsidRPr="00A32862" w:rsidRDefault="005502B1" w:rsidP="00D80CC6">
            <w:pPr>
              <w:jc w:val="both"/>
              <w:rPr>
                <w:sz w:val="20"/>
                <w:szCs w:val="20"/>
                <w:lang w:val="lt-LT"/>
              </w:rPr>
            </w:pPr>
            <w:r>
              <w:rPr>
                <w:sz w:val="20"/>
                <w:szCs w:val="20"/>
                <w:lang w:val="lt-LT"/>
              </w:rPr>
              <w:t>Primename</w:t>
            </w:r>
            <w:r w:rsidR="00A32862" w:rsidRPr="00A32862">
              <w:rPr>
                <w:sz w:val="20"/>
                <w:szCs w:val="20"/>
                <w:lang w:val="lt-LT"/>
              </w:rPr>
              <w:t>, kad I kartos biodegalų naudojimas Europos Sąjungos politikoje yra ribojamas iki 7 proc., siekiant jį maksimaliai sumažinti, pakeičiant I kartos biodegalus pažangiaisiais arba kitais II kartos biodegalais.</w:t>
            </w:r>
            <w:r>
              <w:rPr>
                <w:sz w:val="20"/>
                <w:szCs w:val="20"/>
                <w:lang w:val="lt-LT"/>
              </w:rPr>
              <w:t xml:space="preserve"> Svarbu paminėti, kad Energetikos ministerija siekdama tikslų įtvirtintų Nacionalinėje energetinės nepriklausomybės strategijoje ir vertindama Lietuvos biodegalų gamintojų interesus ir siekdama išlaikyti maksimalią I kartos biodegalų dalį bendrame galutiniame energijos suvartojime  </w:t>
            </w:r>
            <w:r w:rsidRPr="00A32862">
              <w:rPr>
                <w:sz w:val="20"/>
                <w:szCs w:val="20"/>
                <w:lang w:val="lt-LT"/>
              </w:rPr>
              <w:t xml:space="preserve"> </w:t>
            </w:r>
            <w:r>
              <w:rPr>
                <w:sz w:val="20"/>
                <w:szCs w:val="20"/>
                <w:lang w:val="lt-LT"/>
              </w:rPr>
              <w:t>nusprendė I kartos biodegalų sąskaita nesusimažinti Direktyvoje 2018/2001 įtvirtinto 14 proc. tikslo</w:t>
            </w:r>
            <w:r w:rsidR="00C4556F">
              <w:rPr>
                <w:sz w:val="20"/>
                <w:szCs w:val="20"/>
                <w:lang w:val="lt-LT"/>
              </w:rPr>
              <w:t xml:space="preserve">. Toks mechanizmas yra taikytinas kiekvienos valstybės narės atveju jeigu ji nusprendžia sumažinti ribojamų, I kartos biodegalų, kiekį iki minimalaus lygio. </w:t>
            </w:r>
            <w:r>
              <w:rPr>
                <w:sz w:val="20"/>
                <w:szCs w:val="20"/>
                <w:lang w:val="lt-LT"/>
              </w:rPr>
              <w:t xml:space="preserve"> </w:t>
            </w:r>
          </w:p>
          <w:p w14:paraId="67D12D43" w14:textId="77777777" w:rsidR="00A32862" w:rsidRPr="00A32862" w:rsidRDefault="00A32862" w:rsidP="005502B1">
            <w:pPr>
              <w:jc w:val="both"/>
              <w:rPr>
                <w:rStyle w:val="Emphasis"/>
                <w:i w:val="0"/>
                <w:sz w:val="20"/>
                <w:szCs w:val="20"/>
                <w:lang w:val="lt-LT"/>
              </w:rPr>
            </w:pPr>
          </w:p>
        </w:tc>
      </w:tr>
      <w:tr w:rsidR="003B69AE" w:rsidRPr="00802D28" w14:paraId="4E8B970F" w14:textId="77777777" w:rsidTr="00953123">
        <w:trPr>
          <w:trHeight w:val="3141"/>
        </w:trPr>
        <w:tc>
          <w:tcPr>
            <w:tcW w:w="736" w:type="dxa"/>
            <w:shd w:val="clear" w:color="auto" w:fill="auto"/>
          </w:tcPr>
          <w:p w14:paraId="31A43E96" w14:textId="77777777" w:rsidR="003B69AE" w:rsidRPr="005802B1" w:rsidRDefault="003B69AE" w:rsidP="0095312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0501DA43" w14:textId="115F3F9D" w:rsidR="003B69AE" w:rsidRDefault="002B2953" w:rsidP="00953123">
            <w:pPr>
              <w:pStyle w:val="Adresas"/>
              <w:jc w:val="center"/>
              <w:rPr>
                <w:rStyle w:val="Emphasis"/>
                <w:i w:val="0"/>
                <w:iCs w:val="0"/>
                <w:sz w:val="20"/>
                <w:szCs w:val="20"/>
              </w:rPr>
            </w:pPr>
            <w:r>
              <w:rPr>
                <w:rStyle w:val="Emphasis"/>
                <w:i w:val="0"/>
                <w:iCs w:val="0"/>
                <w:sz w:val="20"/>
                <w:szCs w:val="20"/>
              </w:rPr>
              <w:t xml:space="preserve">Lietuvos </w:t>
            </w:r>
            <w:r w:rsidR="003B69AE">
              <w:rPr>
                <w:rStyle w:val="Emphasis"/>
                <w:i w:val="0"/>
                <w:iCs w:val="0"/>
                <w:sz w:val="20"/>
                <w:szCs w:val="20"/>
              </w:rPr>
              <w:t>SGD platforma</w:t>
            </w:r>
          </w:p>
        </w:tc>
        <w:tc>
          <w:tcPr>
            <w:tcW w:w="6772" w:type="dxa"/>
            <w:shd w:val="clear" w:color="auto" w:fill="auto"/>
          </w:tcPr>
          <w:p w14:paraId="331EE0AE" w14:textId="369A82BD" w:rsidR="003B69AE" w:rsidRPr="007C09B8" w:rsidRDefault="00C74FE3" w:rsidP="007C09B8">
            <w:pPr>
              <w:jc w:val="both"/>
              <w:rPr>
                <w:bCs/>
                <w:sz w:val="20"/>
                <w:szCs w:val="20"/>
                <w:lang w:val="lt-LT"/>
              </w:rPr>
            </w:pPr>
            <w:r w:rsidRPr="00C74FE3">
              <w:rPr>
                <w:bCs/>
                <w:sz w:val="20"/>
                <w:szCs w:val="20"/>
                <w:lang w:val="lt-LT"/>
              </w:rPr>
              <w:t xml:space="preserve">Įstatymo projekto 26 str. 4 dalies 2 punkte nurodomas suskystintų gamtinių dujų pildymo punktų skaičius iki 2025 m. – ne mažiau 2 vnt., iki 2030 m. -  ne mažiau 3 vnt. Vertinant Įstatymo projekte numatytus siekius iki 2025 m. ir 2030 m., tikslinga dar kartą pabrėžti, kad planuojamas SGD pildymo punktų skaičius ilgalaikėje perspektyvoje Lietuvoje yra nepakankamas. Lietuvos SGD platformos nuomone, būtina SGD pildymo punktų skaičių Lietuvoje padidinti bent iki 7 vnt. </w:t>
            </w:r>
          </w:p>
        </w:tc>
        <w:tc>
          <w:tcPr>
            <w:tcW w:w="5570" w:type="dxa"/>
            <w:shd w:val="clear" w:color="auto" w:fill="auto"/>
          </w:tcPr>
          <w:p w14:paraId="35352AA7" w14:textId="77777777" w:rsidR="00FF3345" w:rsidRDefault="00FF3345" w:rsidP="00FF3345">
            <w:pPr>
              <w:jc w:val="both"/>
              <w:rPr>
                <w:rStyle w:val="Emphasis"/>
                <w:b/>
                <w:bCs/>
                <w:i w:val="0"/>
                <w:sz w:val="20"/>
                <w:szCs w:val="20"/>
                <w:lang w:val="lt-LT"/>
              </w:rPr>
            </w:pPr>
            <w:r>
              <w:rPr>
                <w:rStyle w:val="Emphasis"/>
                <w:b/>
                <w:bCs/>
                <w:i w:val="0"/>
                <w:sz w:val="20"/>
                <w:szCs w:val="20"/>
                <w:lang w:val="lt-LT"/>
              </w:rPr>
              <w:t>Neatsižvelgta</w:t>
            </w:r>
          </w:p>
          <w:p w14:paraId="429E50B9" w14:textId="1A23492F" w:rsidR="003B69AE" w:rsidRPr="001B4750" w:rsidRDefault="00B6221E" w:rsidP="00953123">
            <w:pPr>
              <w:jc w:val="both"/>
              <w:rPr>
                <w:rStyle w:val="Emphasis"/>
                <w:i w:val="0"/>
                <w:sz w:val="20"/>
                <w:szCs w:val="20"/>
                <w:lang w:val="lt-LT"/>
              </w:rPr>
            </w:pPr>
            <w:r w:rsidRPr="001B4750">
              <w:rPr>
                <w:rStyle w:val="Emphasis"/>
                <w:i w:val="0"/>
                <w:sz w:val="20"/>
                <w:szCs w:val="20"/>
                <w:lang w:val="lt-LT"/>
              </w:rPr>
              <w:t xml:space="preserve">Rengiant </w:t>
            </w:r>
            <w:r w:rsidR="001B4750" w:rsidRPr="001B4750">
              <w:rPr>
                <w:rStyle w:val="Emphasis"/>
                <w:i w:val="0"/>
                <w:sz w:val="20"/>
                <w:szCs w:val="20"/>
                <w:lang w:val="lt-LT"/>
              </w:rPr>
              <w:t xml:space="preserve">ADĮ projektą </w:t>
            </w:r>
            <w:r w:rsidR="001B4750">
              <w:rPr>
                <w:rStyle w:val="Emphasis"/>
                <w:i w:val="0"/>
                <w:sz w:val="20"/>
                <w:szCs w:val="20"/>
                <w:lang w:val="lt-LT"/>
              </w:rPr>
              <w:t xml:space="preserve">vadovaujamasi Nacionalinėje energetinės </w:t>
            </w:r>
            <w:r w:rsidR="0025617E">
              <w:rPr>
                <w:rStyle w:val="Emphasis"/>
                <w:i w:val="0"/>
                <w:sz w:val="20"/>
                <w:szCs w:val="20"/>
                <w:lang w:val="lt-LT"/>
              </w:rPr>
              <w:t>nepriklausomybės</w:t>
            </w:r>
            <w:r w:rsidR="001B4750">
              <w:rPr>
                <w:rStyle w:val="Emphasis"/>
                <w:i w:val="0"/>
                <w:sz w:val="20"/>
                <w:szCs w:val="20"/>
                <w:lang w:val="lt-LT"/>
              </w:rPr>
              <w:t xml:space="preserve"> strategijoje įtvirtintais tikslai ir strategijos įgyvendinimo plane </w:t>
            </w:r>
            <w:r w:rsidR="0025617E">
              <w:rPr>
                <w:rStyle w:val="Emphasis"/>
                <w:i w:val="0"/>
                <w:sz w:val="20"/>
                <w:szCs w:val="20"/>
                <w:lang w:val="lt-LT"/>
              </w:rPr>
              <w:t xml:space="preserve">numatytais uždaviniais. Pirminis siekis iki 2025 m. yra įtvirtinti bazinę </w:t>
            </w:r>
            <w:proofErr w:type="spellStart"/>
            <w:r w:rsidR="0025617E">
              <w:rPr>
                <w:rStyle w:val="Emphasis"/>
                <w:i w:val="0"/>
                <w:sz w:val="20"/>
                <w:szCs w:val="20"/>
                <w:lang w:val="lt-LT"/>
              </w:rPr>
              <w:t>SkGD</w:t>
            </w:r>
            <w:proofErr w:type="spellEnd"/>
            <w:r w:rsidR="0025617E">
              <w:rPr>
                <w:rStyle w:val="Emphasis"/>
                <w:i w:val="0"/>
                <w:sz w:val="20"/>
                <w:szCs w:val="20"/>
                <w:lang w:val="lt-LT"/>
              </w:rPr>
              <w:t xml:space="preserve"> ir SGD infrastruktūrą</w:t>
            </w:r>
            <w:r w:rsidR="00E83E5E">
              <w:rPr>
                <w:rStyle w:val="Emphasis"/>
                <w:i w:val="0"/>
                <w:sz w:val="20"/>
                <w:szCs w:val="20"/>
                <w:lang w:val="lt-LT"/>
              </w:rPr>
              <w:t>, už kurios sukūrimą atsakomybę dalintųsi valstybė ir rinkos dalyviai. Tolimesnė infrastruktūros plėtra matoma rinkos dalyvi</w:t>
            </w:r>
            <w:r w:rsidR="00B4583C">
              <w:rPr>
                <w:rStyle w:val="Emphasis"/>
                <w:i w:val="0"/>
                <w:sz w:val="20"/>
                <w:szCs w:val="20"/>
                <w:lang w:val="lt-LT"/>
              </w:rPr>
              <w:t>ų</w:t>
            </w:r>
            <w:r w:rsidR="00E83E5E">
              <w:rPr>
                <w:rStyle w:val="Emphasis"/>
                <w:i w:val="0"/>
                <w:sz w:val="20"/>
                <w:szCs w:val="20"/>
                <w:lang w:val="lt-LT"/>
              </w:rPr>
              <w:t xml:space="preserve"> iniciatyva</w:t>
            </w:r>
            <w:r w:rsidR="00B4583C">
              <w:rPr>
                <w:rStyle w:val="Emphasis"/>
                <w:i w:val="0"/>
                <w:sz w:val="20"/>
                <w:szCs w:val="20"/>
                <w:lang w:val="lt-LT"/>
              </w:rPr>
              <w:t xml:space="preserve">. </w:t>
            </w:r>
          </w:p>
        </w:tc>
      </w:tr>
      <w:tr w:rsidR="00D46C61" w:rsidRPr="00802D28" w14:paraId="3C67A502" w14:textId="77777777" w:rsidTr="00953123">
        <w:trPr>
          <w:trHeight w:val="3141"/>
        </w:trPr>
        <w:tc>
          <w:tcPr>
            <w:tcW w:w="736" w:type="dxa"/>
            <w:shd w:val="clear" w:color="auto" w:fill="auto"/>
          </w:tcPr>
          <w:p w14:paraId="2752A595" w14:textId="77777777" w:rsidR="00D46C61" w:rsidRPr="005802B1" w:rsidRDefault="00D46C61" w:rsidP="0095312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28A71887" w14:textId="3E8169BD" w:rsidR="00D46C61" w:rsidRDefault="00D46C61" w:rsidP="00953123">
            <w:pPr>
              <w:pStyle w:val="Adresas"/>
              <w:jc w:val="center"/>
              <w:rPr>
                <w:rStyle w:val="Emphasis"/>
                <w:i w:val="0"/>
                <w:iCs w:val="0"/>
                <w:sz w:val="20"/>
                <w:szCs w:val="20"/>
              </w:rPr>
            </w:pPr>
            <w:r>
              <w:rPr>
                <w:rStyle w:val="Emphasis"/>
                <w:i w:val="0"/>
                <w:iCs w:val="0"/>
                <w:sz w:val="20"/>
                <w:szCs w:val="20"/>
              </w:rPr>
              <w:t>Lietuvos SGD platforma</w:t>
            </w:r>
          </w:p>
        </w:tc>
        <w:tc>
          <w:tcPr>
            <w:tcW w:w="6772" w:type="dxa"/>
            <w:shd w:val="clear" w:color="auto" w:fill="auto"/>
          </w:tcPr>
          <w:p w14:paraId="331D9325" w14:textId="77777777" w:rsidR="00A476CE" w:rsidRPr="00A476CE" w:rsidRDefault="00A476CE" w:rsidP="00A476CE">
            <w:pPr>
              <w:jc w:val="both"/>
              <w:rPr>
                <w:bCs/>
                <w:sz w:val="20"/>
                <w:szCs w:val="20"/>
                <w:lang w:val="lt-LT"/>
              </w:rPr>
            </w:pPr>
            <w:r w:rsidRPr="00A476CE">
              <w:rPr>
                <w:bCs/>
                <w:sz w:val="20"/>
                <w:szCs w:val="20"/>
                <w:lang w:val="lt-LT"/>
              </w:rPr>
              <w:t xml:space="preserve">Įstatymo projekto 26 str. 1 dalyje nurodoma, kad gamtinėmis dujomis varomo transporto įsigijimas </w:t>
            </w:r>
            <w:r w:rsidRPr="00A476CE">
              <w:rPr>
                <w:bCs/>
                <w:i/>
                <w:iCs/>
                <w:sz w:val="20"/>
                <w:szCs w:val="20"/>
                <w:lang w:val="lt-LT"/>
              </w:rPr>
              <w:t>skatinamas</w:t>
            </w:r>
            <w:r w:rsidRPr="00A476CE">
              <w:rPr>
                <w:bCs/>
                <w:sz w:val="20"/>
                <w:szCs w:val="20"/>
                <w:lang w:val="lt-LT"/>
              </w:rPr>
              <w:t xml:space="preserve">, jeigu su gamtinėmis dujomis sunaudojama biodujų ir (ar) nebiologinės kilmės dujinių degalų iš AEI dalis yra ne mažesnė kaip 10 proc. 2 dalyje nustatoma, kad skatinimas pagal 1 dalyje numatytą reikalavimą vyksta iki kol biodujų ir (ar) nebiologinės kilmės dujinių degalų iš AEI dalis pasiekia 5,2 proc. Kai tuo tarpu Įstatymo projekto 29 str. 1 dalyje referuojama į darnaus judumo fondą bei siekį pagal jį iki 2030 m. </w:t>
            </w:r>
            <w:r w:rsidRPr="00A476CE">
              <w:rPr>
                <w:bCs/>
                <w:i/>
                <w:iCs/>
                <w:sz w:val="20"/>
                <w:szCs w:val="20"/>
                <w:lang w:val="lt-LT"/>
              </w:rPr>
              <w:t>finansuoti</w:t>
            </w:r>
            <w:r w:rsidRPr="00A476CE">
              <w:rPr>
                <w:bCs/>
                <w:sz w:val="20"/>
                <w:szCs w:val="20"/>
                <w:lang w:val="lt-LT"/>
              </w:rPr>
              <w:t xml:space="preserve"> alternatyviaisiais degalais varomų transporto priemonių įsigijimą ir naudojimą, joms reikalingos infrastruktūros įsigijimą, įrengimą, modernizavimą ir (ar) plėtrą. Apibendrinant, iš pateiktos informacijos nėra aišku: 1) ar sąvokos „skatinti“ (26 str. 1 d.) ir „finansuoti“ (29 str. 1 d.) reiškia tą patį, </w:t>
            </w:r>
            <w:proofErr w:type="spellStart"/>
            <w:r w:rsidRPr="00A476CE">
              <w:rPr>
                <w:bCs/>
                <w:sz w:val="20"/>
                <w:szCs w:val="20"/>
                <w:lang w:val="lt-LT"/>
              </w:rPr>
              <w:t>t.y</w:t>
            </w:r>
            <w:proofErr w:type="spellEnd"/>
            <w:r w:rsidRPr="00A476CE">
              <w:rPr>
                <w:bCs/>
                <w:sz w:val="20"/>
                <w:szCs w:val="20"/>
                <w:lang w:val="lt-LT"/>
              </w:rPr>
              <w:t xml:space="preserve">. paramą (jei taip, prašome suvienodinti) ir 2) ar  pagal 29 str. 1 dalį SGD varomas transporto priemones (įskaitant ir šiai kuro rūšiai reikalingą pildymo degalų punktų infrastruktūrą) bus galima finansuoti iki 2030 m. (nepaisant situacijos dėl 26 str. 2 dalyje nurodytų apribojimo - 5,2 proc.) ir finansavimui nebus taikomi reikalavimai dėl AEI dalies dujiniuose degaluose.   </w:t>
            </w:r>
          </w:p>
          <w:p w14:paraId="2D64ACE4" w14:textId="77777777" w:rsidR="00D46C61" w:rsidRPr="007C09B8" w:rsidRDefault="00D46C61" w:rsidP="007C09B8">
            <w:pPr>
              <w:jc w:val="both"/>
              <w:rPr>
                <w:bCs/>
                <w:sz w:val="20"/>
                <w:szCs w:val="20"/>
                <w:lang w:val="lt-LT"/>
              </w:rPr>
            </w:pPr>
          </w:p>
        </w:tc>
        <w:tc>
          <w:tcPr>
            <w:tcW w:w="5570" w:type="dxa"/>
            <w:shd w:val="clear" w:color="auto" w:fill="auto"/>
          </w:tcPr>
          <w:p w14:paraId="2BAEC130" w14:textId="77777777" w:rsidR="002E00C4" w:rsidRDefault="002E00C4" w:rsidP="002E00C4">
            <w:pPr>
              <w:jc w:val="both"/>
              <w:rPr>
                <w:rStyle w:val="Emphasis"/>
                <w:b/>
                <w:bCs/>
                <w:i w:val="0"/>
                <w:sz w:val="20"/>
                <w:szCs w:val="20"/>
                <w:lang w:val="lt-LT"/>
              </w:rPr>
            </w:pPr>
            <w:r>
              <w:rPr>
                <w:rStyle w:val="Emphasis"/>
                <w:b/>
                <w:bCs/>
                <w:i w:val="0"/>
                <w:sz w:val="20"/>
                <w:szCs w:val="20"/>
                <w:lang w:val="lt-LT"/>
              </w:rPr>
              <w:t>Neatsižvelgta</w:t>
            </w:r>
          </w:p>
          <w:p w14:paraId="03F0C3D7" w14:textId="77777777" w:rsidR="00D46C61" w:rsidRDefault="002E00C4" w:rsidP="00953123">
            <w:pPr>
              <w:jc w:val="both"/>
              <w:rPr>
                <w:rStyle w:val="Emphasis"/>
                <w:i w:val="0"/>
                <w:sz w:val="20"/>
                <w:szCs w:val="20"/>
                <w:lang w:val="lt-LT"/>
              </w:rPr>
            </w:pPr>
            <w:r>
              <w:rPr>
                <w:rStyle w:val="Emphasis"/>
                <w:i w:val="0"/>
                <w:sz w:val="20"/>
                <w:szCs w:val="20"/>
                <w:lang w:val="lt-LT"/>
              </w:rPr>
              <w:t xml:space="preserve">Skatinama gali būti ir kitomis nei finansinės priemonėmis, tuo tarpu kalbant apie finansavimą omenyje turima konkrečiai tikslinės srities rėmimą finansinėmis priemonėmis. </w:t>
            </w:r>
            <w:r w:rsidR="00FD7463">
              <w:rPr>
                <w:rStyle w:val="Emphasis"/>
                <w:i w:val="0"/>
                <w:sz w:val="20"/>
                <w:szCs w:val="20"/>
                <w:lang w:val="lt-LT"/>
              </w:rPr>
              <w:t>Darnaus judumo fondo lėšomis būtų finansuoj</w:t>
            </w:r>
            <w:bookmarkStart w:id="0" w:name="_GoBack"/>
            <w:bookmarkEnd w:id="0"/>
            <w:r w:rsidR="00FD7463">
              <w:rPr>
                <w:rStyle w:val="Emphasis"/>
                <w:i w:val="0"/>
                <w:sz w:val="20"/>
                <w:szCs w:val="20"/>
                <w:lang w:val="lt-LT"/>
              </w:rPr>
              <w:t xml:space="preserve">ama alternatyviųjų degalų infrastruktūra. </w:t>
            </w:r>
          </w:p>
          <w:p w14:paraId="0A496300" w14:textId="45237C1A" w:rsidR="00DE3D97" w:rsidRPr="002E00C4" w:rsidRDefault="00DE3D97" w:rsidP="00953123">
            <w:pPr>
              <w:jc w:val="both"/>
              <w:rPr>
                <w:rStyle w:val="Emphasis"/>
                <w:i w:val="0"/>
                <w:sz w:val="20"/>
                <w:szCs w:val="20"/>
                <w:lang w:val="lt-LT"/>
              </w:rPr>
            </w:pPr>
            <w:r>
              <w:rPr>
                <w:rStyle w:val="Emphasis"/>
                <w:i w:val="0"/>
                <w:sz w:val="20"/>
                <w:szCs w:val="20"/>
                <w:lang w:val="lt-LT"/>
              </w:rPr>
              <w:t xml:space="preserve">Finansavimo priemonės pagal Darnaus judumo fondą dar nėra suformuotos, kaip ir </w:t>
            </w:r>
            <w:r w:rsidR="00020A38">
              <w:rPr>
                <w:rStyle w:val="Emphasis"/>
                <w:i w:val="0"/>
                <w:sz w:val="20"/>
                <w:szCs w:val="20"/>
                <w:lang w:val="lt-LT"/>
              </w:rPr>
              <w:t xml:space="preserve">paties Darnaus judumo fondo nuostatai. Reikalavimai dėl privalomų AEI dalies </w:t>
            </w:r>
            <w:r w:rsidR="007B62DE">
              <w:rPr>
                <w:rStyle w:val="Emphasis"/>
                <w:i w:val="0"/>
                <w:sz w:val="20"/>
                <w:szCs w:val="20"/>
                <w:lang w:val="lt-LT"/>
              </w:rPr>
              <w:t>turėtų būti taikomi</w:t>
            </w:r>
            <w:r w:rsidR="0076591A">
              <w:rPr>
                <w:rStyle w:val="Emphasis"/>
                <w:i w:val="0"/>
                <w:sz w:val="20"/>
                <w:szCs w:val="20"/>
                <w:lang w:val="lt-LT"/>
              </w:rPr>
              <w:t xml:space="preserve"> visoms tikslinėms paramos priemonėms</w:t>
            </w:r>
            <w:r w:rsidR="00DA45F4">
              <w:rPr>
                <w:rStyle w:val="Emphasis"/>
                <w:i w:val="0"/>
                <w:sz w:val="20"/>
                <w:szCs w:val="20"/>
                <w:lang w:val="lt-LT"/>
              </w:rPr>
              <w:t xml:space="preserve">, kuriomis būtų finansuojama alternatyviųjų degalų infrastruktūra. </w:t>
            </w:r>
          </w:p>
        </w:tc>
      </w:tr>
    </w:tbl>
    <w:p w14:paraId="5ECE4711" w14:textId="77777777" w:rsidR="007C09B8" w:rsidRDefault="007C09B8"/>
    <w:sectPr w:rsidR="007C09B8" w:rsidSect="007C09B8">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91C73"/>
    <w:multiLevelType w:val="hybridMultilevel"/>
    <w:tmpl w:val="E752CD82"/>
    <w:lvl w:ilvl="0" w:tplc="BAB2BAA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 w15:restartNumberingAfterBreak="0">
    <w:nsid w:val="483556CD"/>
    <w:multiLevelType w:val="hybridMultilevel"/>
    <w:tmpl w:val="68527720"/>
    <w:lvl w:ilvl="0" w:tplc="608AF92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B8"/>
    <w:rsid w:val="00020A38"/>
    <w:rsid w:val="000322A9"/>
    <w:rsid w:val="001B4750"/>
    <w:rsid w:val="0025617E"/>
    <w:rsid w:val="002B2953"/>
    <w:rsid w:val="002E00C4"/>
    <w:rsid w:val="003B69AE"/>
    <w:rsid w:val="005502B1"/>
    <w:rsid w:val="006F5F4D"/>
    <w:rsid w:val="0076591A"/>
    <w:rsid w:val="007B62DE"/>
    <w:rsid w:val="007C09B8"/>
    <w:rsid w:val="00A32862"/>
    <w:rsid w:val="00A476CE"/>
    <w:rsid w:val="00B4583C"/>
    <w:rsid w:val="00B6221E"/>
    <w:rsid w:val="00C4556F"/>
    <w:rsid w:val="00C74FE3"/>
    <w:rsid w:val="00D46C61"/>
    <w:rsid w:val="00D80CC6"/>
    <w:rsid w:val="00DA45F4"/>
    <w:rsid w:val="00DE3D97"/>
    <w:rsid w:val="00E83E5E"/>
    <w:rsid w:val="00FD7463"/>
    <w:rsid w:val="00FF3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310B"/>
  <w15:chartTrackingRefBased/>
  <w15:docId w15:val="{A6B32CAC-7115-45DA-8CD3-E30CC5DD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09B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9B8"/>
    <w:rPr>
      <w:rFonts w:ascii="Segoe UI" w:hAnsi="Segoe UI" w:cs="Segoe UI"/>
      <w:sz w:val="18"/>
      <w:szCs w:val="18"/>
    </w:rPr>
  </w:style>
  <w:style w:type="paragraph" w:styleId="BodyText">
    <w:name w:val="Body Text"/>
    <w:basedOn w:val="Normal"/>
    <w:link w:val="BodyTextChar"/>
    <w:rsid w:val="007C09B8"/>
    <w:pPr>
      <w:widowControl w:val="0"/>
      <w:suppressAutoHyphens/>
      <w:spacing w:after="120"/>
    </w:pPr>
    <w:rPr>
      <w:rFonts w:eastAsia="Lucida Sans Unicode"/>
      <w:lang w:val="x-none"/>
    </w:rPr>
  </w:style>
  <w:style w:type="character" w:customStyle="1" w:styleId="BodyTextChar">
    <w:name w:val="Body Text Char"/>
    <w:basedOn w:val="DefaultParagraphFont"/>
    <w:link w:val="BodyText"/>
    <w:rsid w:val="007C09B8"/>
    <w:rPr>
      <w:rFonts w:ascii="Times New Roman" w:eastAsia="Lucida Sans Unicode" w:hAnsi="Times New Roman" w:cs="Times New Roman"/>
      <w:sz w:val="24"/>
      <w:szCs w:val="24"/>
      <w:lang w:val="x-none"/>
    </w:rPr>
  </w:style>
  <w:style w:type="character" w:styleId="Emphasis">
    <w:name w:val="Emphasis"/>
    <w:qFormat/>
    <w:rsid w:val="007C09B8"/>
    <w:rPr>
      <w:i/>
      <w:iCs/>
    </w:rPr>
  </w:style>
  <w:style w:type="paragraph" w:customStyle="1" w:styleId="Adresas">
    <w:name w:val="Adresas"/>
    <w:basedOn w:val="Normal"/>
    <w:qFormat/>
    <w:rsid w:val="007C09B8"/>
    <w:pPr>
      <w:suppressAutoHyphens/>
      <w:ind w:right="318"/>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062254">
      <w:bodyDiv w:val="1"/>
      <w:marLeft w:val="0"/>
      <w:marRight w:val="0"/>
      <w:marTop w:val="0"/>
      <w:marBottom w:val="0"/>
      <w:divBdr>
        <w:top w:val="none" w:sz="0" w:space="0" w:color="auto"/>
        <w:left w:val="none" w:sz="0" w:space="0" w:color="auto"/>
        <w:bottom w:val="none" w:sz="0" w:space="0" w:color="auto"/>
        <w:right w:val="none" w:sz="0" w:space="0" w:color="auto"/>
      </w:divBdr>
    </w:div>
    <w:div w:id="89424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BB4F688AA4942429C1386747EFB9F6C" ma:contentTypeVersion="12" ma:contentTypeDescription="Kurkite naują dokumentą." ma:contentTypeScope="" ma:versionID="75836b9e2da12a313bcaaeef056f88e7">
  <xsd:schema xmlns:xsd="http://www.w3.org/2001/XMLSchema" xmlns:xs="http://www.w3.org/2001/XMLSchema" xmlns:p="http://schemas.microsoft.com/office/2006/metadata/properties" xmlns:ns3="6bed59ab-fd25-4258-9ef3-e7c35d497fe6" xmlns:ns4="7cd50a59-902e-48b5-b18a-1558df50cbb1" targetNamespace="http://schemas.microsoft.com/office/2006/metadata/properties" ma:root="true" ma:fieldsID="21243dfbabb40b2d90b7b837677cd264" ns3:_="" ns4:_="">
    <xsd:import namespace="6bed59ab-fd25-4258-9ef3-e7c35d497fe6"/>
    <xsd:import namespace="7cd50a59-902e-48b5-b18a-1558df50cb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d59ab-fd25-4258-9ef3-e7c35d497f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50a59-902e-48b5-b18a-1558df50cbb1"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8086A-1FA6-4C5F-9558-E1AC2909C086}">
  <ds:schemaRefs>
    <ds:schemaRef ds:uri="http://schemas.microsoft.com/sharepoint/v3/contenttype/forms"/>
  </ds:schemaRefs>
</ds:datastoreItem>
</file>

<file path=customXml/itemProps2.xml><?xml version="1.0" encoding="utf-8"?>
<ds:datastoreItem xmlns:ds="http://schemas.openxmlformats.org/officeDocument/2006/customXml" ds:itemID="{83D9414C-981E-4C49-826E-B8746B10A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d59ab-fd25-4258-9ef3-e7c35d497fe6"/>
    <ds:schemaRef ds:uri="7cd50a59-902e-48b5-b18a-1558df50c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FD1B0-ABD6-49AF-AFA2-91FCBDB2F6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7282</Words>
  <Characters>4151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Salapėta</dc:creator>
  <cp:keywords/>
  <dc:description/>
  <cp:lastModifiedBy>Aurimas Salapėta</cp:lastModifiedBy>
  <cp:revision>21</cp:revision>
  <dcterms:created xsi:type="dcterms:W3CDTF">2020-08-24T15:19:00Z</dcterms:created>
  <dcterms:modified xsi:type="dcterms:W3CDTF">2020-08-25T12:36:00Z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0x0101004BB4F688AA4942429C1386747EFB9F6C</vt:lpwstr>
  </property>
</Properties>
</file>