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bd569aa80a7442196b0d81ae89607e6"/>
        <w:lock w:val="sdtLocked"/>
        <w:richText/>
      </w:sdtPr>
      <w:sdtContent>
        <w:p w14:paraId="651D28C0" w14:textId="77777777">
          <w:pPr>
            <w:tabs>
              <w:tab w:val="center" w:pos="4819"/>
              <w:tab w:val="right" w:pos="9638"/>
            </w:tabs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 w14:paraId="2AB12FFC" w14:textId="77777777">
          <w:pPr>
            <w:keepLines/>
            <w:widowControl w:val="0"/>
            <w:suppressAutoHyphens/>
            <w:jc w:val="center"/>
            <w:textAlignment w:val="baseline"/>
            <w:rPr>
              <w:b/>
              <w:caps/>
              <w:color w:val="000000"/>
              <w:szCs w:val="24"/>
              <w:lang w:eastAsia="lt-LT"/>
            </w:rPr>
          </w:pPr>
        </w:p>
        <w:p w14:paraId="6A8A8F0A" w14:textId="77777777">
          <w:pPr>
            <w:keepLines/>
            <w:widowControl w:val="0"/>
            <w:suppressAutoHyphens/>
            <w:jc w:val="center"/>
            <w:textAlignment w:val="baseline"/>
            <w:rPr>
              <w:b/>
              <w:caps/>
              <w:color w:val="000000"/>
              <w:szCs w:val="24"/>
              <w:lang w:eastAsia="lt-LT"/>
            </w:rPr>
          </w:pPr>
          <w:r>
            <w:rPr>
              <w:b/>
              <w:caps/>
              <w:color w:val="000000"/>
              <w:szCs w:val="24"/>
              <w:lang w:eastAsia="lt-LT"/>
            </w:rPr>
            <w:t>Lietuvos Respublikos Vyriausybė</w:t>
          </w:r>
        </w:p>
        <w:p w14:paraId="609E712F" w14:textId="77777777">
          <w:pPr>
            <w:widowControl w:val="0"/>
            <w:suppressAutoHyphens/>
            <w:ind w:firstLine="567"/>
            <w:jc w:val="center"/>
            <w:textAlignment w:val="baseline"/>
            <w:rPr>
              <w:b/>
              <w:bCs/>
              <w:caps/>
              <w:color w:val="000000"/>
              <w:szCs w:val="24"/>
              <w:lang w:eastAsia="lt-LT"/>
            </w:rPr>
          </w:pPr>
        </w:p>
        <w:p w14:paraId="39691043" w14:textId="77777777">
          <w:pPr>
            <w:widowControl w:val="0"/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NUTARIMAS</w:t>
          </w:r>
        </w:p>
        <w:p w14:paraId="0EA19B4E" w14:textId="5D747180">
          <w:pPr>
            <w:tabs>
              <w:tab w:val="left" w:pos="1080"/>
            </w:tabs>
            <w:ind w:left="720"/>
            <w:jc w:val="center"/>
            <w:rPr>
              <w:b/>
              <w:caps/>
              <w:color w:val="000000"/>
              <w:szCs w:val="24"/>
            </w:rPr>
          </w:pPr>
          <w:r>
            <w:rPr>
              <w:b/>
              <w:bCs/>
              <w:caps/>
              <w:color w:val="000000"/>
              <w:szCs w:val="24"/>
            </w:rPr>
            <w:t xml:space="preserve">DĖL </w:t>
          </w:r>
          <w:r>
            <w:rPr>
              <w:b/>
              <w:caps/>
              <w:szCs w:val="24"/>
            </w:rPr>
            <w:t xml:space="preserve">kai kurių Lietuvos Respublikos Vyriausybės nutarimų pripažinimo netekusiais galios </w:t>
          </w:r>
        </w:p>
        <w:p w14:paraId="68CFC551" w14:textId="77777777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</w:p>
        <w:p w14:paraId="05D1A74B" w14:textId="77777777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20     m. </w:t>
            <w:tab/>
            <w:t xml:space="preserve">                       d. Nr.  </w:t>
          </w:r>
        </w:p>
        <w:p w14:paraId="570BAD2E" w14:textId="77777777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Vilnius</w:t>
          </w:r>
        </w:p>
        <w:p w14:paraId="75FF9BBE" w14:textId="77777777">
          <w:pPr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</w:p>
        <w:sdt>
          <w:sdtPr>
            <w:alias w:val="preambule"/>
            <w:tag w:val="part_9765ef2d2ad34d8bb53dcb8c43975208"/>
            <w:lock w:val="sdtLocked"/>
            <w:richText/>
          </w:sdtPr>
          <w:sdtContent>
            <w:p w14:paraId="3C786033" w14:textId="15D7465F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zCs w:val="24"/>
                </w:rPr>
                <w:t xml:space="preserve">n u t a r i 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f32ab0354bb54c4f8448796e3da8269b"/>
            <w:lock w:val="sdtLocked"/>
            <w:richText/>
          </w:sdtPr>
          <w:sdtContent>
            <w:p w14:paraId="6A06C6A6" w14:textId="000A09EA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Pripažinti netekusiais galios:</w:t>
              </w:r>
            </w:p>
          </w:sdtContent>
        </w:sdt>
        <w:sdt>
          <w:sdtPr>
            <w:alias w:val="1 p."/>
            <w:tag w:val="part_32077ed4c4284b089c590445a94fc2da"/>
            <w:lock w:val="sdtLocked"/>
            <w:richText/>
          </w:sdtPr>
          <w:sdtContent>
            <w:p w14:paraId="21D56687" w14:textId="56D5EE41">
              <w:pPr>
                <w:tabs>
                  <w:tab w:val="left" w:pos="1080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2077ed4c4284b089c590445a94fc2d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</w:r>
              <w:r>
                <w:rPr>
                  <w:szCs w:val="24"/>
                </w:rPr>
                <w:t xml:space="preserve">Lietuvos Respublikos Vyriausybės 2007 m. balandžio 18 d. nutarimą Nr. 403 „Dėl Šventosios valstybinio jūrų uosto plėtros tarybos sudarymo ir jos nuostatų patvirtinimo“ </w:t>
              </w:r>
              <w:r>
                <w:rPr>
                  <w:szCs w:val="24"/>
                  <w:lang w:eastAsia="lt-LT"/>
                </w:rPr>
                <w:t>su visais pakeitimais ir papildymais</w:t>
              </w:r>
              <w:r>
                <w:rPr>
                  <w:szCs w:val="24"/>
                </w:rPr>
                <w:t>;</w:t>
              </w:r>
            </w:p>
          </w:sdtContent>
        </w:sdt>
        <w:sdt>
          <w:sdtPr>
            <w:alias w:val="2 p."/>
            <w:tag w:val="part_cdcc836176ff415b9974b5f6452b0dd5"/>
            <w:lock w:val="sdtLocked"/>
            <w:richText/>
          </w:sdtPr>
          <w:sdtContent>
            <w:p w14:paraId="74E605A4" w14:textId="1EB5ADC3">
              <w:pPr>
                <w:tabs>
                  <w:tab w:val="left" w:pos="1080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dcc836176ff415b9974b5f6452b0dd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Lietuvos Respublikos Vyriausybės 2007 m. birželio 13 d. nutarimą Nr. 631 „Dėl Šventosios valstybinio jūrų uosto rinkliavų rūšių, jų maksimalių dydžių ir taikymo principų patvirtinimo“ su visais pakeitimais ir papildymais.</w:t>
              </w:r>
            </w:p>
            <w:p w14:paraId="107FA474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  <w:szCs w:val="24"/>
                  <w:lang w:eastAsia="lt-LT"/>
                </w:rPr>
              </w:pPr>
            </w:p>
            <w:p w14:paraId="0BD4B442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6fda61bbda124d809303e53e89c8f90f"/>
            <w:lock w:val="sdtLocked"/>
            <w:richText/>
          </w:sdtPr>
          <w:sdtContent>
            <w:p w14:paraId="7A1411B4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</w:rPr>
              </w:pPr>
              <w:r>
                <w:rPr>
                  <w:color w:val="000000"/>
                  <w:szCs w:val="24"/>
                  <w:lang w:eastAsia="lt-LT"/>
                </w:rPr>
                <w:t>Ministras Pirmininkas</w:t>
              </w:r>
              <w:r>
                <w:rPr>
                  <w:caps/>
                  <w:color w:val="000000"/>
                  <w:szCs w:val="24"/>
                  <w:lang w:eastAsia="lt-LT"/>
                </w:rPr>
                <w:tab/>
              </w:r>
            </w:p>
            <w:p w14:paraId="6EF81C66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aps/>
                  <w:color w:val="000000"/>
                  <w:szCs w:val="24"/>
                  <w:lang w:eastAsia="lt-LT"/>
                </w:rPr>
              </w:pPr>
            </w:p>
            <w:p w14:paraId="3F66788E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aps/>
                  <w:color w:val="000000"/>
                  <w:szCs w:val="24"/>
                  <w:lang w:eastAsia="lt-LT"/>
                </w:rPr>
              </w:pPr>
            </w:p>
            <w:p w14:paraId="592BB108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</w:rPr>
              </w:pPr>
              <w:r>
                <w:rPr>
                  <w:color w:val="000000"/>
                  <w:szCs w:val="24"/>
                  <w:lang w:eastAsia="lt-LT"/>
                </w:rPr>
                <w:t>Susisiekimo ministras</w:t>
              </w:r>
            </w:p>
            <w:p w14:paraId="7C336AC0" w14:textId="1D14DDAC"/>
            <w:p w14:paraId="4488D6BE" w14:textId="50A306E5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194C7129" w14:textId="249DEFF0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5A0A8CF3" w14:textId="61CE1A0C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3ACA1B0C" w14:textId="767C6948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1DDFEBC4" w14:textId="32647461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687A63B8" w14:textId="3A5087F3">
              <w:pPr>
                <w:spacing w:after="160" w:line="259" w:lineRule="auto"/>
                <w:rPr>
                  <w:sz w:val="22"/>
                  <w:szCs w:val="22"/>
                </w:rPr>
              </w:pPr>
            </w:p>
            <w:p w14:paraId="3E7C43A7" w14:textId="77777777">
              <w:pPr>
                <w:spacing w:after="160" w:line="259" w:lineRule="auto"/>
                <w:rPr>
                  <w:sz w:val="22"/>
                  <w:szCs w:val="22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1772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6cca9815720443fbac22cd2c1f5a236" PartId="7bd569aa80a7442196b0d81ae89607e6">
    <Part Type="preambule" DocPartId="223dd2dc6bd44866828f2f17d0b856d3" PartId="9765ef2d2ad34d8bb53dcb8c43975208"/>
    <Part Type="pastraipa" DocPartId="c6d152ef8a164cb7827ad0cac6da54f2" PartId="f32ab0354bb54c4f8448796e3da8269b"/>
    <Part Type="punktas" Nr="1" Abbr="1 p." DocPartId="5d9bbea314004f89a39d73bae648da6d" PartId="32077ed4c4284b089c590445a94fc2da"/>
    <Part Type="punktas" Nr="2" Abbr="2 p." DocPartId="7cc72ae6941f4c1495b9c7f370d9f993" PartId="cdcc836176ff415b9974b5f6452b0dd5"/>
    <Part Type="signatura" DocPartId="fd361c43a55a46e49322752fedba95d7" PartId="6fda61bbda124d809303e53e89c8f90f"/>
  </Part>
</Parts>
</file>

<file path=customXml/itemProps1.xml><?xml version="1.0" encoding="utf-8"?>
<ds:datastoreItem xmlns:ds="http://schemas.openxmlformats.org/officeDocument/2006/customXml" ds:itemID="{4A76BB47-A611-4684-A045-6F8EB100C72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661</Characters>
  <Application>Microsoft Office Word</Application>
  <DocSecurity>4</DocSecurity>
  <Lines>34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2019-05-06T13:55:00Z</dcterms:created>
  <dc:creator>Vaida Ubartaitė</dc:creator>
  <cp:lastModifiedBy>Asseco</cp:lastModifiedBy>
  <dcterms:modified xsi:type="dcterms:W3CDTF">2019-05-06T13:55:00Z</dcterms:modified>
  <cp:revision>2</cp:revision>
</cp:coreProperties>
</file>