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00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261"/>
        <w:gridCol w:w="1985"/>
        <w:gridCol w:w="1397"/>
        <w:gridCol w:w="425"/>
      </w:tblGrid>
      <w:tr w:rsidR="00D46316" w:rsidRPr="00D46316" w:rsidTr="00386A7D">
        <w:tc>
          <w:tcPr>
            <w:tcW w:w="3011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3261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C22352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985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397" w:type="dxa"/>
          </w:tcPr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425" w:type="dxa"/>
          </w:tcPr>
          <w:p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:rsidTr="001E15F2">
        <w:tc>
          <w:tcPr>
            <w:tcW w:w="4920" w:type="dxa"/>
            <w:vMerge w:val="restart"/>
          </w:tcPr>
          <w:p w:rsidR="001E15F2" w:rsidRDefault="007147E7">
            <w:pPr>
              <w:jc w:val="both"/>
              <w:rPr>
                <w:rFonts w:ascii="Times New Roman" w:hAnsi="Times New Roman"/>
                <w:lang w:val="lt-LT"/>
              </w:rPr>
            </w:pPr>
            <w:r w:rsidRPr="007147E7">
              <w:rPr>
                <w:rFonts w:ascii="Times New Roman" w:hAnsi="Times New Roman"/>
                <w:lang w:val="lt-LT"/>
              </w:rPr>
              <w:t>Lietuvos Respublikos aplinkos ministerijai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7147E7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</w:t>
            </w:r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7147E7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2019-09-26</w:t>
            </w: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7147E7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(12)-D8-312</w:t>
            </w:r>
            <w:r w:rsidR="00AD505F">
              <w:rPr>
                <w:rFonts w:ascii="Times New Roman" w:hAnsi="Times New Roman"/>
                <w:lang w:val="lt-LT"/>
              </w:rPr>
              <w:t>4</w:t>
            </w:r>
          </w:p>
        </w:tc>
      </w:tr>
      <w:tr w:rsidR="001E15F2" w:rsidTr="001E15F2">
        <w:trPr>
          <w:trHeight w:val="11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b/>
          <w:lang w:val="lt-LT"/>
        </w:rPr>
      </w:pPr>
      <w:r w:rsidRPr="007147E7">
        <w:rPr>
          <w:rFonts w:ascii="Times New Roman" w:hAnsi="Times New Roman"/>
          <w:b/>
          <w:lang w:val="lt-LT"/>
        </w:rPr>
        <w:t>DĖL LIETUVOS RESPUBLIKOS VYRIAUSYBĖS 20</w:t>
      </w:r>
      <w:r w:rsidR="00AD505F">
        <w:rPr>
          <w:rFonts w:ascii="Times New Roman" w:hAnsi="Times New Roman"/>
          <w:b/>
          <w:lang w:val="lt-LT"/>
        </w:rPr>
        <w:t>17</w:t>
      </w:r>
      <w:r w:rsidRPr="007147E7">
        <w:rPr>
          <w:rFonts w:ascii="Times New Roman" w:hAnsi="Times New Roman"/>
          <w:b/>
          <w:lang w:val="lt-LT"/>
        </w:rPr>
        <w:t xml:space="preserve"> M. </w:t>
      </w:r>
      <w:r w:rsidR="00AD505F">
        <w:rPr>
          <w:rFonts w:ascii="Times New Roman" w:hAnsi="Times New Roman"/>
          <w:b/>
          <w:lang w:val="lt-LT"/>
        </w:rPr>
        <w:t>LIEPOS</w:t>
      </w:r>
      <w:r w:rsidRPr="007147E7">
        <w:rPr>
          <w:rFonts w:ascii="Times New Roman" w:hAnsi="Times New Roman"/>
          <w:b/>
          <w:lang w:val="lt-LT"/>
        </w:rPr>
        <w:t xml:space="preserve"> </w:t>
      </w:r>
      <w:r w:rsidR="00AD505F">
        <w:rPr>
          <w:rFonts w:ascii="Times New Roman" w:hAnsi="Times New Roman"/>
          <w:b/>
          <w:lang w:val="lt-LT"/>
        </w:rPr>
        <w:t>1</w:t>
      </w:r>
      <w:r w:rsidRPr="007147E7">
        <w:rPr>
          <w:rFonts w:ascii="Times New Roman" w:hAnsi="Times New Roman"/>
          <w:b/>
          <w:lang w:val="lt-LT"/>
        </w:rPr>
        <w:t xml:space="preserve">2 D. NUTARIMO NR. </w:t>
      </w:r>
      <w:r w:rsidR="00AD505F">
        <w:rPr>
          <w:rFonts w:ascii="Times New Roman" w:hAnsi="Times New Roman"/>
          <w:b/>
          <w:lang w:val="lt-LT"/>
        </w:rPr>
        <w:t>597</w:t>
      </w:r>
      <w:r w:rsidRPr="007147E7">
        <w:rPr>
          <w:rFonts w:ascii="Times New Roman" w:hAnsi="Times New Roman"/>
          <w:b/>
          <w:lang w:val="lt-LT"/>
        </w:rPr>
        <w:t xml:space="preserve"> „DĖL </w:t>
      </w:r>
      <w:r w:rsidR="00AD505F">
        <w:rPr>
          <w:rFonts w:ascii="Times New Roman" w:hAnsi="Times New Roman"/>
          <w:b/>
          <w:lang w:val="lt-LT"/>
        </w:rPr>
        <w:t>ĮGALIOJIMŲ SUTEIKIMO ĮGYVENDINANT LIETUVOS RESPUBLIKOS SAUGOMŲ TERITORIJŲ ĮSTATYMĄ</w:t>
      </w:r>
      <w:r w:rsidRPr="007147E7">
        <w:rPr>
          <w:rFonts w:ascii="Times New Roman" w:hAnsi="Times New Roman"/>
          <w:b/>
          <w:lang w:val="lt-LT"/>
        </w:rPr>
        <w:t>“ PAKEITIMO</w:t>
      </w:r>
    </w:p>
    <w:p w:rsidR="007147E7" w:rsidRPr="007147E7" w:rsidRDefault="007147E7" w:rsidP="007147E7">
      <w:pPr>
        <w:jc w:val="both"/>
        <w:rPr>
          <w:rFonts w:ascii="Times New Roman" w:hAnsi="Times New Roman"/>
          <w:b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b/>
          <w:lang w:val="lt-LT"/>
        </w:rPr>
      </w:pPr>
    </w:p>
    <w:p w:rsidR="007147E7" w:rsidRPr="007147E7" w:rsidRDefault="007147E7" w:rsidP="007147E7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 w:rsidRPr="007147E7">
        <w:rPr>
          <w:rFonts w:ascii="Times New Roman" w:hAnsi="Times New Roman"/>
          <w:lang w:val="lt-LT"/>
        </w:rPr>
        <w:t xml:space="preserve">Žemės ūkio ministerija, išnagrinėjusi pateiktą derinti Lietuvos Respublikos Vyriausybės nutarimo </w:t>
      </w:r>
      <w:r w:rsidR="003F119C">
        <w:rPr>
          <w:rFonts w:ascii="Times New Roman" w:hAnsi="Times New Roman"/>
          <w:lang w:val="lt-LT"/>
        </w:rPr>
        <w:t>„D</w:t>
      </w:r>
      <w:r w:rsidRPr="007147E7">
        <w:rPr>
          <w:rFonts w:ascii="Times New Roman" w:hAnsi="Times New Roman"/>
          <w:lang w:val="lt-LT"/>
        </w:rPr>
        <w:t>ėl Lietuvos Respublikos Vyriausybės 20</w:t>
      </w:r>
      <w:r w:rsidR="00AD505F">
        <w:rPr>
          <w:rFonts w:ascii="Times New Roman" w:hAnsi="Times New Roman"/>
          <w:lang w:val="lt-LT"/>
        </w:rPr>
        <w:t>17</w:t>
      </w:r>
      <w:r w:rsidRPr="007147E7">
        <w:rPr>
          <w:rFonts w:ascii="Times New Roman" w:hAnsi="Times New Roman"/>
          <w:lang w:val="lt-LT"/>
        </w:rPr>
        <w:t xml:space="preserve"> m. </w:t>
      </w:r>
      <w:r w:rsidR="00AD505F">
        <w:rPr>
          <w:rFonts w:ascii="Times New Roman" w:hAnsi="Times New Roman"/>
          <w:lang w:val="lt-LT"/>
        </w:rPr>
        <w:t>liepos</w:t>
      </w:r>
      <w:r w:rsidRPr="007147E7">
        <w:rPr>
          <w:rFonts w:ascii="Times New Roman" w:hAnsi="Times New Roman"/>
          <w:lang w:val="lt-LT"/>
        </w:rPr>
        <w:t xml:space="preserve"> </w:t>
      </w:r>
      <w:r w:rsidR="00AD505F">
        <w:rPr>
          <w:rFonts w:ascii="Times New Roman" w:hAnsi="Times New Roman"/>
          <w:lang w:val="lt-LT"/>
        </w:rPr>
        <w:t>1</w:t>
      </w:r>
      <w:r w:rsidRPr="007147E7">
        <w:rPr>
          <w:rFonts w:ascii="Times New Roman" w:hAnsi="Times New Roman"/>
          <w:lang w:val="lt-LT"/>
        </w:rPr>
        <w:t xml:space="preserve">2 d. nutarimo Nr. </w:t>
      </w:r>
      <w:r w:rsidR="00AD505F">
        <w:rPr>
          <w:rFonts w:ascii="Times New Roman" w:hAnsi="Times New Roman"/>
          <w:lang w:val="lt-LT"/>
        </w:rPr>
        <w:t>597</w:t>
      </w:r>
      <w:r w:rsidRPr="007147E7">
        <w:rPr>
          <w:rFonts w:ascii="Times New Roman" w:hAnsi="Times New Roman"/>
          <w:lang w:val="lt-LT"/>
        </w:rPr>
        <w:t xml:space="preserve"> „Dėl</w:t>
      </w:r>
      <w:r w:rsidR="00AD505F">
        <w:rPr>
          <w:rFonts w:ascii="Times New Roman" w:hAnsi="Times New Roman"/>
          <w:lang w:val="lt-LT"/>
        </w:rPr>
        <w:t xml:space="preserve"> įgaliojimų suteikimo įgyvendinant Lietuvos Respublikos saugomų teritorijų įstatymą</w:t>
      </w:r>
      <w:r w:rsidRPr="007147E7">
        <w:rPr>
          <w:rFonts w:ascii="Times New Roman" w:hAnsi="Times New Roman"/>
          <w:lang w:val="lt-LT"/>
        </w:rPr>
        <w:t>“ pakeitimo</w:t>
      </w:r>
      <w:r w:rsidR="00774219">
        <w:rPr>
          <w:rFonts w:ascii="Times New Roman" w:hAnsi="Times New Roman"/>
          <w:lang w:val="lt-LT"/>
        </w:rPr>
        <w:t xml:space="preserve"> </w:t>
      </w:r>
      <w:r w:rsidR="003F119C" w:rsidRPr="007147E7">
        <w:rPr>
          <w:rFonts w:ascii="Times New Roman" w:hAnsi="Times New Roman"/>
          <w:lang w:val="lt-LT"/>
        </w:rPr>
        <w:t xml:space="preserve">projektą </w:t>
      </w:r>
      <w:r w:rsidRPr="007147E7">
        <w:rPr>
          <w:rFonts w:ascii="Times New Roman" w:hAnsi="Times New Roman"/>
          <w:lang w:val="lt-LT"/>
        </w:rPr>
        <w:t>informuoja, kad pagal kompetenciją pastabų neturi.</w:t>
      </w:r>
    </w:p>
    <w:p w:rsidR="007147E7" w:rsidRPr="007147E7" w:rsidRDefault="007147E7" w:rsidP="007147E7">
      <w:pPr>
        <w:jc w:val="both"/>
        <w:rPr>
          <w:rFonts w:ascii="Times New Roman" w:hAnsi="Times New Roman"/>
          <w:b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b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  <w:r w:rsidRPr="007147E7">
        <w:rPr>
          <w:rFonts w:ascii="Times New Roman" w:hAnsi="Times New Roman"/>
          <w:lang w:val="lt-LT"/>
        </w:rPr>
        <w:t xml:space="preserve">Viceministras </w:t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</w:r>
      <w:r w:rsidRPr="007147E7">
        <w:rPr>
          <w:rFonts w:ascii="Times New Roman" w:hAnsi="Times New Roman"/>
          <w:lang w:val="lt-LT"/>
        </w:rPr>
        <w:tab/>
        <w:t xml:space="preserve">         Petras Narkevičius</w:t>
      </w: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7147E7" w:rsidRPr="007147E7" w:rsidRDefault="007147E7" w:rsidP="007147E7">
      <w:pPr>
        <w:jc w:val="both"/>
        <w:rPr>
          <w:rFonts w:ascii="Times New Roman" w:hAnsi="Times New Roman"/>
          <w:lang w:val="lt-LT"/>
        </w:rPr>
      </w:pPr>
    </w:p>
    <w:p w:rsidR="00A10874" w:rsidRPr="007147E7" w:rsidRDefault="007147E7" w:rsidP="00813491">
      <w:pPr>
        <w:jc w:val="both"/>
        <w:rPr>
          <w:rFonts w:ascii="Times New Roman" w:hAnsi="Times New Roman"/>
          <w:b/>
          <w:lang w:val="lt-LT"/>
        </w:rPr>
      </w:pPr>
      <w:r w:rsidRPr="007147E7">
        <w:rPr>
          <w:rFonts w:ascii="Times New Roman" w:hAnsi="Times New Roman"/>
          <w:lang w:val="lt-LT"/>
        </w:rPr>
        <w:t>Lina Aniūnienė, tel. 8 617 50 841</w:t>
      </w:r>
      <w:r w:rsidRPr="007147E7">
        <w:rPr>
          <w:rFonts w:ascii="Times New Roman" w:hAnsi="Times New Roman"/>
          <w:b/>
          <w:lang w:val="lt-LT"/>
        </w:rPr>
        <w:t xml:space="preserve"> </w:t>
      </w:r>
    </w:p>
    <w:sectPr w:rsidR="00A10874" w:rsidRPr="007147E7" w:rsidSect="009505A7">
      <w:footerReference w:type="default" r:id="rId9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14" w:rsidRDefault="00AC0914">
      <w:r>
        <w:separator/>
      </w:r>
    </w:p>
  </w:endnote>
  <w:endnote w:type="continuationSeparator" w:id="0">
    <w:p w:rsidR="00AC0914" w:rsidRDefault="00A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14" w:rsidRDefault="00AC0914">
      <w:bookmarkStart w:id="0" w:name="_Hlk483820012"/>
      <w:bookmarkEnd w:id="0"/>
      <w:r>
        <w:separator/>
      </w:r>
    </w:p>
  </w:footnote>
  <w:footnote w:type="continuationSeparator" w:id="0">
    <w:p w:rsidR="00AC0914" w:rsidRDefault="00AC0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4F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0423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4F05"/>
    <w:rsid w:val="001A3FA9"/>
    <w:rsid w:val="001B74DF"/>
    <w:rsid w:val="001C1110"/>
    <w:rsid w:val="001D6AAD"/>
    <w:rsid w:val="001E15F2"/>
    <w:rsid w:val="001F3A2E"/>
    <w:rsid w:val="00243C0A"/>
    <w:rsid w:val="0025222D"/>
    <w:rsid w:val="0028368C"/>
    <w:rsid w:val="002850C7"/>
    <w:rsid w:val="002C5FAF"/>
    <w:rsid w:val="002D640C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86A7D"/>
    <w:rsid w:val="0039714C"/>
    <w:rsid w:val="00397EDB"/>
    <w:rsid w:val="003E0159"/>
    <w:rsid w:val="003F119C"/>
    <w:rsid w:val="003F3D65"/>
    <w:rsid w:val="00412143"/>
    <w:rsid w:val="0042659E"/>
    <w:rsid w:val="0043268C"/>
    <w:rsid w:val="004555D8"/>
    <w:rsid w:val="0047204B"/>
    <w:rsid w:val="00473D2C"/>
    <w:rsid w:val="0048474E"/>
    <w:rsid w:val="004A1F23"/>
    <w:rsid w:val="004C08F6"/>
    <w:rsid w:val="004C3F1E"/>
    <w:rsid w:val="004C4A63"/>
    <w:rsid w:val="004C4F46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61278"/>
    <w:rsid w:val="00675CC3"/>
    <w:rsid w:val="00680CEF"/>
    <w:rsid w:val="006904A3"/>
    <w:rsid w:val="006A3FC3"/>
    <w:rsid w:val="006A5859"/>
    <w:rsid w:val="006B24F6"/>
    <w:rsid w:val="006E3D25"/>
    <w:rsid w:val="006F76E9"/>
    <w:rsid w:val="006F7C3E"/>
    <w:rsid w:val="00701011"/>
    <w:rsid w:val="007147E7"/>
    <w:rsid w:val="00764FAB"/>
    <w:rsid w:val="00774219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90064F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07028"/>
    <w:rsid w:val="00A10874"/>
    <w:rsid w:val="00A14ECF"/>
    <w:rsid w:val="00A3556D"/>
    <w:rsid w:val="00AC0914"/>
    <w:rsid w:val="00AD505F"/>
    <w:rsid w:val="00AE6CDA"/>
    <w:rsid w:val="00AF4D82"/>
    <w:rsid w:val="00B020E7"/>
    <w:rsid w:val="00B056EF"/>
    <w:rsid w:val="00B247FE"/>
    <w:rsid w:val="00B50B36"/>
    <w:rsid w:val="00B92F23"/>
    <w:rsid w:val="00BA15C7"/>
    <w:rsid w:val="00BB6ED3"/>
    <w:rsid w:val="00BD055F"/>
    <w:rsid w:val="00C06856"/>
    <w:rsid w:val="00C22352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74C30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3C26367-80A2-4FF6-BFF1-71A8B72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eg"
                 Type="http://schemas.openxmlformats.org/officeDocument/2006/relationships/image"/>
   <Relationship Id="rId7" Target="mailto:zum@zum.lt" TargetMode="External"
                 Type="http://schemas.openxmlformats.org/officeDocument/2006/relationships/hyperlink"/>
   <Relationship Id="rId8" Target="http://www.zum.lt" TargetMode="External"
                 Type="http://schemas.openxmlformats.org/officeDocument/2006/relationships/hyperlink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2019-10-17T06:22:00Z</dcterms:created>
  <dc:creator>Dalia Lapinskienė</dc:creator>
  <cp:lastModifiedBy>Audronė Zdanevičienė</cp:lastModifiedBy>
  <dcterms:modified xsi:type="dcterms:W3CDTF">2019-10-17T06:22:00Z</dcterms:modified>
  <cp:revision>2</cp:revision>
</cp:coreProperties>
</file>