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5C" w:rsidRPr="001A0772" w:rsidRDefault="000974ED" w:rsidP="001A07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772">
        <w:rPr>
          <w:rFonts w:ascii="Times New Roman" w:hAnsi="Times New Roman" w:cs="Times New Roman"/>
          <w:b/>
          <w:sz w:val="24"/>
          <w:szCs w:val="24"/>
        </w:rPr>
        <w:t>PRIEMONIŲ FINANSINIŲ TECHNOLOGIJŲ SEKTORIAUS PLĖTRAI LIETUVOJE SKATINTI PLANAS</w:t>
      </w:r>
    </w:p>
    <w:p w:rsidR="00042973" w:rsidRPr="004D3F5C" w:rsidRDefault="00042973" w:rsidP="001A077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D3F5C">
        <w:rPr>
          <w:rFonts w:ascii="Times New Roman" w:hAnsi="Times New Roman" w:cs="Times New Roman"/>
          <w:sz w:val="24"/>
          <w:szCs w:val="24"/>
        </w:rPr>
        <w:t xml:space="preserve">Įgyvendinant </w:t>
      </w:r>
      <w:r w:rsidR="001F6975" w:rsidRPr="004D3F5C">
        <w:rPr>
          <w:rFonts w:ascii="Times New Roman" w:hAnsi="Times New Roman" w:cs="Times New Roman"/>
          <w:sz w:val="24"/>
          <w:szCs w:val="24"/>
        </w:rPr>
        <w:t>Priemonių finansinių technologijų</w:t>
      </w:r>
      <w:r w:rsidRPr="004D3F5C">
        <w:rPr>
          <w:rFonts w:ascii="Times New Roman" w:hAnsi="Times New Roman" w:cs="Times New Roman"/>
          <w:sz w:val="24"/>
          <w:szCs w:val="24"/>
        </w:rPr>
        <w:t xml:space="preserve"> </w:t>
      </w:r>
      <w:r w:rsidR="001F6975" w:rsidRPr="004D3F5C">
        <w:rPr>
          <w:rFonts w:ascii="Times New Roman" w:hAnsi="Times New Roman" w:cs="Times New Roman"/>
          <w:sz w:val="24"/>
          <w:szCs w:val="24"/>
        </w:rPr>
        <w:t>sektoriaus p</w:t>
      </w:r>
      <w:r w:rsidR="004D3F5C" w:rsidRPr="004D3F5C">
        <w:rPr>
          <w:rFonts w:ascii="Times New Roman" w:hAnsi="Times New Roman" w:cs="Times New Roman"/>
          <w:sz w:val="24"/>
          <w:szCs w:val="24"/>
        </w:rPr>
        <w:t>lėtrai Lietuvoje skatinti plan</w:t>
      </w:r>
      <w:r w:rsidR="004D3F5C">
        <w:rPr>
          <w:rFonts w:ascii="Times New Roman" w:hAnsi="Times New Roman" w:cs="Times New Roman"/>
          <w:sz w:val="24"/>
          <w:szCs w:val="24"/>
        </w:rPr>
        <w:t>e numatytas</w:t>
      </w:r>
      <w:r w:rsidRPr="004D3F5C">
        <w:rPr>
          <w:rFonts w:ascii="Times New Roman" w:hAnsi="Times New Roman" w:cs="Times New Roman"/>
          <w:sz w:val="24"/>
          <w:szCs w:val="24"/>
        </w:rPr>
        <w:t xml:space="preserve"> priemones, </w:t>
      </w:r>
      <w:r w:rsidR="004D3F5C">
        <w:rPr>
          <w:rFonts w:ascii="Times New Roman" w:hAnsi="Times New Roman" w:cs="Times New Roman"/>
          <w:sz w:val="24"/>
          <w:szCs w:val="24"/>
        </w:rPr>
        <w:t xml:space="preserve">bus </w:t>
      </w:r>
      <w:r w:rsidRPr="004D3F5C">
        <w:rPr>
          <w:rFonts w:ascii="Times New Roman" w:hAnsi="Times New Roman" w:cs="Times New Roman"/>
          <w:sz w:val="24"/>
          <w:szCs w:val="24"/>
        </w:rPr>
        <w:t>stebimi ir vertinami penki rodikliai</w:t>
      </w:r>
      <w:r w:rsidR="00486E31">
        <w:rPr>
          <w:rStyle w:val="Puslapioinaosnuoroda"/>
          <w:rFonts w:ascii="Times New Roman" w:hAnsi="Times New Roman" w:cs="Times New Roman"/>
          <w:sz w:val="24"/>
          <w:szCs w:val="24"/>
        </w:rPr>
        <w:footnoteReference w:id="2"/>
      </w:r>
      <w:r w:rsidRPr="004D3F5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15276" w:type="dxa"/>
        <w:tblLook w:val="04A0" w:firstRow="1" w:lastRow="0" w:firstColumn="1" w:lastColumn="0" w:noHBand="0" w:noVBand="1"/>
      </w:tblPr>
      <w:tblGrid>
        <w:gridCol w:w="3227"/>
        <w:gridCol w:w="3544"/>
        <w:gridCol w:w="3543"/>
        <w:gridCol w:w="4962"/>
      </w:tblGrid>
      <w:tr w:rsidR="00042973" w:rsidTr="004D3F5C">
        <w:tc>
          <w:tcPr>
            <w:tcW w:w="3227" w:type="dxa"/>
          </w:tcPr>
          <w:p w:rsidR="00042973" w:rsidRPr="004D3F5C" w:rsidRDefault="00042973" w:rsidP="004D3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b/>
                <w:sz w:val="24"/>
                <w:szCs w:val="24"/>
              </w:rPr>
              <w:t>Rodiklis</w:t>
            </w:r>
          </w:p>
        </w:tc>
        <w:tc>
          <w:tcPr>
            <w:tcW w:w="3544" w:type="dxa"/>
          </w:tcPr>
          <w:p w:rsidR="00042973" w:rsidRPr="004D3F5C" w:rsidRDefault="00042973" w:rsidP="004D3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b/>
                <w:sz w:val="24"/>
                <w:szCs w:val="24"/>
              </w:rPr>
              <w:t>Rodiklio reikšmė 2018 m. pabaigoje</w:t>
            </w:r>
          </w:p>
        </w:tc>
        <w:tc>
          <w:tcPr>
            <w:tcW w:w="3543" w:type="dxa"/>
          </w:tcPr>
          <w:p w:rsidR="00042973" w:rsidRPr="004D3F5C" w:rsidRDefault="00042973" w:rsidP="004D3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b/>
                <w:sz w:val="24"/>
                <w:szCs w:val="24"/>
              </w:rPr>
              <w:t>Siektina rodiklio reikšmė 2019 m. pabaigoje</w:t>
            </w:r>
          </w:p>
        </w:tc>
        <w:tc>
          <w:tcPr>
            <w:tcW w:w="4962" w:type="dxa"/>
          </w:tcPr>
          <w:p w:rsidR="00042973" w:rsidRPr="004D3F5C" w:rsidRDefault="00042973" w:rsidP="004D3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b/>
                <w:sz w:val="24"/>
                <w:szCs w:val="24"/>
              </w:rPr>
              <w:t>Už rodiklio pasiekimą atsakinga institucija</w:t>
            </w:r>
          </w:p>
        </w:tc>
      </w:tr>
      <w:tr w:rsidR="00042973" w:rsidTr="004D3F5C">
        <w:tc>
          <w:tcPr>
            <w:tcW w:w="3227" w:type="dxa"/>
          </w:tcPr>
          <w:p w:rsidR="00042973" w:rsidRPr="004D3F5C" w:rsidRDefault="009E4A1A" w:rsidP="004D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 xml:space="preserve">inansinių technologijų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0EAD" w:rsidRPr="004D3F5C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60EAD" w:rsidRPr="004D3F5C">
              <w:rPr>
                <w:rFonts w:ascii="Times New Roman" w:hAnsi="Times New Roman" w:cs="Times New Roman"/>
                <w:sz w:val="24"/>
                <w:szCs w:val="24"/>
              </w:rPr>
              <w:t xml:space="preserve"> įmonių skaičius</w:t>
            </w:r>
          </w:p>
        </w:tc>
        <w:tc>
          <w:tcPr>
            <w:tcW w:w="3544" w:type="dxa"/>
          </w:tcPr>
          <w:p w:rsidR="00042973" w:rsidRPr="004D3F5C" w:rsidRDefault="00B60EAD" w:rsidP="001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 xml:space="preserve">Rodiklio bazinė reikšmė bus žinoma parengus </w:t>
            </w:r>
            <w:r w:rsidR="001A0772" w:rsidRPr="001A0772">
              <w:rPr>
                <w:rFonts w:ascii="Times New Roman" w:hAnsi="Times New Roman" w:cs="Times New Roman"/>
                <w:sz w:val="24"/>
                <w:szCs w:val="24"/>
              </w:rPr>
              <w:t>Lietuvos 2018 metų finansinių technologijų ataskaitą anglų kalba</w:t>
            </w:r>
            <w:r w:rsidR="00CD3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042973" w:rsidRPr="004D3F5C" w:rsidRDefault="00B60EAD" w:rsidP="009C0257">
            <w:pPr>
              <w:tabs>
                <w:tab w:val="left" w:pos="2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C0257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 xml:space="preserve"> augimas</w:t>
            </w:r>
          </w:p>
        </w:tc>
        <w:tc>
          <w:tcPr>
            <w:tcW w:w="4962" w:type="dxa"/>
          </w:tcPr>
          <w:p w:rsidR="00042973" w:rsidRPr="004D3F5C" w:rsidRDefault="00211340" w:rsidP="009C0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„Investuok Lietuvoje“ (konsultuoja VšĮ „Versli Lietuva“)</w:t>
            </w:r>
          </w:p>
        </w:tc>
      </w:tr>
      <w:tr w:rsidR="00211340" w:rsidTr="004D3F5C">
        <w:tc>
          <w:tcPr>
            <w:tcW w:w="3227" w:type="dxa"/>
          </w:tcPr>
          <w:p w:rsidR="00211340" w:rsidRPr="004D3F5C" w:rsidRDefault="00211340" w:rsidP="004D3F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>FINTECH sektoriuje sukurtų darbo vietų skaičius</w:t>
            </w:r>
          </w:p>
        </w:tc>
        <w:tc>
          <w:tcPr>
            <w:tcW w:w="3544" w:type="dxa"/>
          </w:tcPr>
          <w:p w:rsidR="00211340" w:rsidRPr="004D3F5C" w:rsidRDefault="001A0772" w:rsidP="001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11340" w:rsidRPr="004D3F5C">
              <w:rPr>
                <w:rFonts w:ascii="Times New Roman" w:hAnsi="Times New Roman" w:cs="Times New Roman"/>
                <w:sz w:val="24"/>
                <w:szCs w:val="24"/>
              </w:rPr>
              <w:t xml:space="preserve">odiklio bazinė reikšmė bus žinoma parengus </w:t>
            </w:r>
            <w:r w:rsidRPr="001A0772">
              <w:rPr>
                <w:rFonts w:ascii="Times New Roman" w:hAnsi="Times New Roman" w:cs="Times New Roman"/>
                <w:sz w:val="24"/>
                <w:szCs w:val="24"/>
              </w:rPr>
              <w:t>Lietuvos 2018 metų finansinių technologijų ataskaitą anglų kalba</w:t>
            </w:r>
            <w:r w:rsidR="00CD3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3F5C" w:rsidDel="001A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211340" w:rsidRPr="004D3F5C" w:rsidRDefault="00486E31" w:rsidP="004D3F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C0257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augimas</w:t>
            </w:r>
          </w:p>
          <w:p w:rsidR="00211340" w:rsidRPr="004D3F5C" w:rsidRDefault="00211340" w:rsidP="004D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11340" w:rsidRPr="004D3F5C" w:rsidRDefault="00211340" w:rsidP="009C0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„Investuok Lietuvoje“ (konsultuoja VšĮ „Versli Lietuva“)</w:t>
            </w:r>
          </w:p>
        </w:tc>
      </w:tr>
      <w:tr w:rsidR="004D3F5C" w:rsidTr="004D3F5C">
        <w:tc>
          <w:tcPr>
            <w:tcW w:w="3227" w:type="dxa"/>
          </w:tcPr>
          <w:p w:rsidR="004D3F5C" w:rsidRPr="004D3F5C" w:rsidRDefault="004D3F5C" w:rsidP="004D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>FINTECH įmonių pajamos</w:t>
            </w:r>
          </w:p>
        </w:tc>
        <w:tc>
          <w:tcPr>
            <w:tcW w:w="3544" w:type="dxa"/>
          </w:tcPr>
          <w:p w:rsidR="004D3F5C" w:rsidRPr="004D3F5C" w:rsidRDefault="004D3F5C" w:rsidP="00CD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>Rodiklio bazinė reikšmė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turėtų būti </w:t>
            </w: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 xml:space="preserve">gauta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 </w:t>
            </w:r>
            <w:r w:rsidR="007546EB">
              <w:rPr>
                <w:rFonts w:ascii="Times New Roman" w:hAnsi="Times New Roman" w:cs="Times New Roman"/>
                <w:sz w:val="24"/>
                <w:szCs w:val="24"/>
              </w:rPr>
              <w:t>Lietuvos s</w:t>
            </w: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>tatistikos departament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D3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4D3F5C" w:rsidRPr="004D3F5C" w:rsidRDefault="004D3F5C" w:rsidP="009C0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C0257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 xml:space="preserve"> augimas</w:t>
            </w:r>
          </w:p>
        </w:tc>
        <w:tc>
          <w:tcPr>
            <w:tcW w:w="4962" w:type="dxa"/>
          </w:tcPr>
          <w:p w:rsidR="004D3F5C" w:rsidRPr="004D3F5C" w:rsidRDefault="004D3F5C" w:rsidP="004D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„Versli Lietuva“</w:t>
            </w:r>
          </w:p>
        </w:tc>
      </w:tr>
      <w:tr w:rsidR="004D3F5C" w:rsidTr="004D3F5C">
        <w:tc>
          <w:tcPr>
            <w:tcW w:w="3227" w:type="dxa"/>
          </w:tcPr>
          <w:p w:rsidR="004D3F5C" w:rsidRPr="004D3F5C" w:rsidRDefault="009E4A1A" w:rsidP="009E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Įtraukimas </w:t>
            </w:r>
            <w:r w:rsidR="004D3F5C" w:rsidRPr="004D3F5C">
              <w:rPr>
                <w:rFonts w:ascii="Times New Roman" w:hAnsi="Times New Roman" w:cs="Times New Roman"/>
                <w:sz w:val="24"/>
                <w:szCs w:val="24"/>
              </w:rPr>
              <w:t>į vieną iš svarbiausių tarptautinių finansinių centrų reiting</w:t>
            </w:r>
            <w:r w:rsidR="004D3F5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4D3F5C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3544" w:type="dxa"/>
          </w:tcPr>
          <w:p w:rsidR="004D3F5C" w:rsidRPr="004D3F5C" w:rsidRDefault="004D3F5C" w:rsidP="00754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Lietuva (Vilnius) nėra </w:t>
            </w:r>
            <w:r w:rsidR="007546EB">
              <w:rPr>
                <w:rFonts w:ascii="Times New Roman" w:hAnsi="Times New Roman" w:cs="Times New Roman"/>
                <w:sz w:val="24"/>
                <w:szCs w:val="24"/>
              </w:rPr>
              <w:t xml:space="preserve">įtraukta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 reikšmingus tarptautinius finansinių centrų reitingus.</w:t>
            </w:r>
          </w:p>
        </w:tc>
        <w:tc>
          <w:tcPr>
            <w:tcW w:w="3543" w:type="dxa"/>
          </w:tcPr>
          <w:p w:rsidR="004D3F5C" w:rsidRPr="004D3F5C" w:rsidRDefault="004D3F5C" w:rsidP="009C0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Lietuva (Vilnius) </w:t>
            </w:r>
            <w:r w:rsidR="009C0257">
              <w:rPr>
                <w:rFonts w:ascii="Times New Roman" w:hAnsi="Times New Roman" w:cs="Times New Roman"/>
                <w:sz w:val="24"/>
                <w:szCs w:val="24"/>
              </w:rPr>
              <w:t xml:space="preserve">įtraukta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bent į vieną reikšmingą tarptautinį finansinių centrų reitingą.</w:t>
            </w:r>
          </w:p>
        </w:tc>
        <w:tc>
          <w:tcPr>
            <w:tcW w:w="4962" w:type="dxa"/>
          </w:tcPr>
          <w:p w:rsidR="004D3F5C" w:rsidRPr="004D3F5C" w:rsidRDefault="004D3F5C" w:rsidP="004D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>VšĮ „GO Vilnius“</w:t>
            </w:r>
          </w:p>
        </w:tc>
      </w:tr>
      <w:tr w:rsidR="004D3F5C" w:rsidTr="004D3F5C">
        <w:tc>
          <w:tcPr>
            <w:tcW w:w="3227" w:type="dxa"/>
          </w:tcPr>
          <w:p w:rsidR="004D3F5C" w:rsidRPr="004D3F5C" w:rsidRDefault="004D3F5C" w:rsidP="00753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 xml:space="preserve">Reikšmingų </w:t>
            </w:r>
            <w:r w:rsidR="009C0257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r w:rsidR="007536EF">
              <w:rPr>
                <w:rFonts w:ascii="Times New Roman" w:hAnsi="Times New Roman" w:cs="Times New Roman"/>
                <w:sz w:val="24"/>
                <w:szCs w:val="24"/>
              </w:rPr>
              <w:t xml:space="preserve"> įmonių</w:t>
            </w:r>
            <w:r w:rsidRPr="004D3F5C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 xml:space="preserve">, perkėlusių veiklos </w:t>
            </w:r>
            <w:r w:rsidRPr="0068181E">
              <w:rPr>
                <w:rFonts w:ascii="Times New Roman" w:hAnsi="Times New Roman" w:cs="Times New Roman"/>
                <w:sz w:val="24"/>
                <w:szCs w:val="24"/>
              </w:rPr>
              <w:t xml:space="preserve">dalį </w:t>
            </w: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>į Lietuvą, skaičius</w:t>
            </w:r>
          </w:p>
        </w:tc>
        <w:tc>
          <w:tcPr>
            <w:tcW w:w="3544" w:type="dxa"/>
          </w:tcPr>
          <w:p w:rsidR="004D3F5C" w:rsidRPr="004D3F5C" w:rsidRDefault="007546EB" w:rsidP="004D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543" w:type="dxa"/>
          </w:tcPr>
          <w:p w:rsidR="004D3F5C" w:rsidRPr="004D3F5C" w:rsidRDefault="004D3F5C" w:rsidP="004D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sz w:val="24"/>
                <w:szCs w:val="24"/>
              </w:rPr>
              <w:t>Bent dvi įmonės</w:t>
            </w:r>
          </w:p>
        </w:tc>
        <w:tc>
          <w:tcPr>
            <w:tcW w:w="4962" w:type="dxa"/>
          </w:tcPr>
          <w:p w:rsidR="004D3F5C" w:rsidRPr="004D3F5C" w:rsidRDefault="004D3F5C" w:rsidP="004D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„Investuok Lietuvoje“</w:t>
            </w:r>
          </w:p>
        </w:tc>
      </w:tr>
    </w:tbl>
    <w:p w:rsidR="004D3F5C" w:rsidRDefault="004D3F5C" w:rsidP="004D3F5C">
      <w:pPr>
        <w:tabs>
          <w:tab w:val="left" w:pos="9931"/>
        </w:tabs>
      </w:pPr>
    </w:p>
    <w:p w:rsidR="004D3F5C" w:rsidRDefault="004D3F5C" w:rsidP="004D3F5C">
      <w:r>
        <w:br w:type="page"/>
      </w:r>
    </w:p>
    <w:p w:rsidR="00003996" w:rsidRPr="004D3F5C" w:rsidRDefault="004D3F5C" w:rsidP="004D3F5C">
      <w:pPr>
        <w:tabs>
          <w:tab w:val="left" w:pos="9931"/>
        </w:tabs>
        <w:rPr>
          <w:rFonts w:ascii="Times New Roman" w:hAnsi="Times New Roman" w:cs="Times New Roman"/>
          <w:sz w:val="24"/>
          <w:szCs w:val="24"/>
        </w:rPr>
      </w:pPr>
      <w:r w:rsidRPr="004D3F5C">
        <w:rPr>
          <w:rFonts w:ascii="Times New Roman" w:hAnsi="Times New Roman" w:cs="Times New Roman"/>
          <w:sz w:val="24"/>
          <w:szCs w:val="24"/>
        </w:rPr>
        <w:lastRenderedPageBreak/>
        <w:t xml:space="preserve">Priemonių, skirtų </w:t>
      </w:r>
      <w:r w:rsidR="009C0257">
        <w:rPr>
          <w:rFonts w:ascii="Times New Roman" w:hAnsi="Times New Roman" w:cs="Times New Roman"/>
          <w:sz w:val="24"/>
          <w:szCs w:val="24"/>
        </w:rPr>
        <w:t xml:space="preserve">FINTECH </w:t>
      </w:r>
      <w:r w:rsidRPr="004D3F5C">
        <w:rPr>
          <w:rFonts w:ascii="Times New Roman" w:hAnsi="Times New Roman" w:cs="Times New Roman"/>
          <w:sz w:val="24"/>
          <w:szCs w:val="24"/>
        </w:rPr>
        <w:t>sektoriaus plėtrai Lietuvoje skatinti, sąrašas:</w:t>
      </w:r>
      <w:r w:rsidRPr="004D3F5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15134" w:type="dxa"/>
        <w:tblLook w:val="04A0" w:firstRow="1" w:lastRow="0" w:firstColumn="1" w:lastColumn="0" w:noHBand="0" w:noVBand="1"/>
      </w:tblPr>
      <w:tblGrid>
        <w:gridCol w:w="2093"/>
        <w:gridCol w:w="7796"/>
        <w:gridCol w:w="1843"/>
        <w:gridCol w:w="3402"/>
      </w:tblGrid>
      <w:tr w:rsidR="00B70652" w:rsidRPr="00701F73" w:rsidTr="00920A42">
        <w:tc>
          <w:tcPr>
            <w:tcW w:w="2093" w:type="dxa"/>
          </w:tcPr>
          <w:p w:rsidR="00C77C57" w:rsidRPr="00F119F0" w:rsidRDefault="00C77C57" w:rsidP="00E447D7">
            <w:pPr>
              <w:tabs>
                <w:tab w:val="right" w:pos="187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9F0">
              <w:rPr>
                <w:rFonts w:ascii="Times New Roman" w:hAnsi="Times New Roman" w:cs="Times New Roman"/>
                <w:b/>
                <w:sz w:val="24"/>
                <w:szCs w:val="24"/>
              </w:rPr>
              <w:t>Uždaviniai</w:t>
            </w:r>
            <w:r w:rsidR="0079707D" w:rsidRPr="00F119F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796" w:type="dxa"/>
          </w:tcPr>
          <w:p w:rsidR="00C77C57" w:rsidRPr="00C05E9C" w:rsidRDefault="00C77C57" w:rsidP="00E44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E9C">
              <w:rPr>
                <w:rFonts w:ascii="Times New Roman" w:hAnsi="Times New Roman" w:cs="Times New Roman"/>
                <w:b/>
                <w:sz w:val="24"/>
                <w:szCs w:val="24"/>
              </w:rPr>
              <w:t>Priemonės</w:t>
            </w:r>
          </w:p>
        </w:tc>
        <w:tc>
          <w:tcPr>
            <w:tcW w:w="1843" w:type="dxa"/>
          </w:tcPr>
          <w:p w:rsidR="00C77C57" w:rsidRPr="00701F73" w:rsidRDefault="00C77C57" w:rsidP="00E44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Įgyvendinimo terminai </w:t>
            </w:r>
          </w:p>
        </w:tc>
        <w:tc>
          <w:tcPr>
            <w:tcW w:w="3402" w:type="dxa"/>
          </w:tcPr>
          <w:p w:rsidR="00C77C57" w:rsidRPr="00701F73" w:rsidRDefault="0079707D" w:rsidP="00E44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73">
              <w:rPr>
                <w:rFonts w:ascii="Times New Roman" w:hAnsi="Times New Roman" w:cs="Times New Roman"/>
                <w:b/>
                <w:sz w:val="24"/>
                <w:szCs w:val="24"/>
              </w:rPr>
              <w:t>Atsakingi vykdytojai</w:t>
            </w:r>
          </w:p>
        </w:tc>
      </w:tr>
      <w:tr w:rsidR="00226237" w:rsidRPr="00701F73" w:rsidTr="00920A42">
        <w:tc>
          <w:tcPr>
            <w:tcW w:w="2093" w:type="dxa"/>
            <w:vMerge w:val="restart"/>
          </w:tcPr>
          <w:p w:rsidR="00226237" w:rsidRPr="00133E68" w:rsidRDefault="00226237" w:rsidP="009C0257">
            <w:pPr>
              <w:rPr>
                <w:rFonts w:ascii="Trebuchet MS" w:hAnsi="Trebuchet M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33E68">
              <w:rPr>
                <w:rFonts w:ascii="Times New Roman" w:hAnsi="Times New Roman" w:cs="Times New Roman"/>
                <w:sz w:val="24"/>
                <w:szCs w:val="24"/>
              </w:rPr>
              <w:t xml:space="preserve">Sutelkti institucijų veiksmus, siekiant plėtoti </w:t>
            </w:r>
            <w:r w:rsidR="009C0257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 w:rsidRPr="00133E68">
              <w:rPr>
                <w:rFonts w:ascii="Times New Roman" w:hAnsi="Times New Roman" w:cs="Times New Roman"/>
                <w:sz w:val="24"/>
                <w:szCs w:val="24"/>
              </w:rPr>
              <w:t>įmonėms palankią aplinką</w:t>
            </w:r>
          </w:p>
        </w:tc>
        <w:tc>
          <w:tcPr>
            <w:tcW w:w="7796" w:type="dxa"/>
          </w:tcPr>
          <w:p w:rsidR="00226237" w:rsidRPr="00701F73" w:rsidRDefault="00226237" w:rsidP="001A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701F73">
              <w:rPr>
                <w:rFonts w:ascii="Times New Roman" w:hAnsi="Times New Roman" w:cs="Times New Roman"/>
                <w:sz w:val="24"/>
                <w:szCs w:val="24"/>
              </w:rPr>
              <w:t xml:space="preserve">Išnaudoti Darbo grupės finansinių technologijų industrijai Lietuvoje plėtoti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Mokėjimų tarybos </w:t>
            </w:r>
            <w:r w:rsidRPr="00701F73">
              <w:rPr>
                <w:rFonts w:ascii="Times New Roman" w:hAnsi="Times New Roman" w:cs="Times New Roman"/>
                <w:sz w:val="24"/>
                <w:szCs w:val="24"/>
              </w:rPr>
              <w:t xml:space="preserve">veiklą, siekiant užtikrinti </w:t>
            </w:r>
            <w:r w:rsidR="00B3259A" w:rsidRPr="00701F73">
              <w:rPr>
                <w:rFonts w:ascii="Times New Roman" w:hAnsi="Times New Roman" w:cs="Times New Roman"/>
                <w:sz w:val="24"/>
                <w:szCs w:val="24"/>
              </w:rPr>
              <w:t xml:space="preserve">sklandų </w:t>
            </w:r>
            <w:r w:rsidR="001A0772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įmonių asociacijų, </w:t>
            </w:r>
            <w:r w:rsidRPr="00701F73">
              <w:rPr>
                <w:rFonts w:ascii="Times New Roman" w:hAnsi="Times New Roman" w:cs="Times New Roman"/>
                <w:sz w:val="24"/>
                <w:szCs w:val="24"/>
              </w:rPr>
              <w:t xml:space="preserve">komercinių bankų atstovų, finansų rinkas išmanančių teisininkų, Lietuvos banko, Finansų ministerijos, </w:t>
            </w:r>
            <w:r w:rsidR="00B3259A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701F73">
              <w:rPr>
                <w:rFonts w:ascii="Times New Roman" w:hAnsi="Times New Roman" w:cs="Times New Roman"/>
                <w:sz w:val="24"/>
                <w:szCs w:val="24"/>
              </w:rPr>
              <w:t xml:space="preserve">„Investuok Lietuvoje“ ekspertų ir kitų suinteresuotų šalių bendradarbiavimą įgyvendinant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teisinį reguliavimą, skatinantį</w:t>
            </w:r>
            <w:r w:rsidRPr="00701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772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 w:rsidRPr="00701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772">
              <w:rPr>
                <w:rFonts w:ascii="Times New Roman" w:hAnsi="Times New Roman" w:cs="Times New Roman"/>
                <w:sz w:val="24"/>
                <w:szCs w:val="24"/>
              </w:rPr>
              <w:t>sektoriaus plėtrą</w:t>
            </w:r>
            <w:r w:rsidR="00B32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237" w:rsidRPr="00701F73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F73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402" w:type="dxa"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F73">
              <w:rPr>
                <w:rFonts w:ascii="Times New Roman" w:hAnsi="Times New Roman" w:cs="Times New Roman"/>
                <w:sz w:val="24"/>
                <w:szCs w:val="24"/>
              </w:rPr>
              <w:t>Lietuvos bankas, Finansų ministerija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Default="00226237" w:rsidP="00B3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7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Priimti </w:t>
            </w:r>
            <w:r w:rsidR="00B3259A" w:rsidRPr="00374A82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B3259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74A82">
              <w:rPr>
                <w:rFonts w:ascii="Times New Roman" w:hAnsi="Times New Roman" w:cs="Times New Roman"/>
                <w:sz w:val="24"/>
                <w:szCs w:val="24"/>
              </w:rPr>
              <w:t xml:space="preserve">inigų plovimo ir teroristų finansavimo prevencijos įstatymo </w:t>
            </w:r>
            <w:r w:rsidR="00B3259A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374A82">
              <w:rPr>
                <w:rFonts w:ascii="Times New Roman" w:hAnsi="Times New Roman" w:cs="Times New Roman"/>
                <w:sz w:val="24"/>
                <w:szCs w:val="24"/>
              </w:rPr>
              <w:t>VIII-275 10 ir 11 straips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nių pakeitimo įstatymo projektą, kuriuo siekiama </w:t>
            </w:r>
            <w:r w:rsidRPr="00374A82">
              <w:rPr>
                <w:rFonts w:ascii="Times New Roman" w:hAnsi="Times New Roman" w:cs="Times New Roman"/>
                <w:sz w:val="24"/>
                <w:szCs w:val="24"/>
              </w:rPr>
              <w:t xml:space="preserve">numatyti galimybę finansų įstaigoms ir kitiems įpareigotiems subjektams naudoti Europos ekonominės erdvės valstybėje išduotą vairuotojo pažymėjimą ir jame esančius duomenis nustatant kliento tapatybę pagal </w:t>
            </w:r>
            <w:r w:rsidR="00B3259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74A82">
              <w:rPr>
                <w:rFonts w:ascii="Times New Roman" w:hAnsi="Times New Roman" w:cs="Times New Roman"/>
                <w:sz w:val="24"/>
                <w:szCs w:val="24"/>
              </w:rPr>
              <w:t>inigų plovimo ir teroristų finansavimo prevencijos įstatymą</w:t>
            </w:r>
            <w:r w:rsidR="00B32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237" w:rsidRPr="008564B0" w:rsidRDefault="000947D1" w:rsidP="003F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226237" w:rsidRPr="008564B0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Finansų ministerija, Lietuvos bankas, Finansinių nusikaltimų tyrimo tarnyba</w:t>
            </w:r>
            <w:r w:rsidR="00FF509B">
              <w:rPr>
                <w:rFonts w:ascii="Times New Roman" w:hAnsi="Times New Roman" w:cs="Times New Roman"/>
                <w:sz w:val="24"/>
                <w:szCs w:val="24"/>
              </w:rPr>
              <w:t xml:space="preserve"> prie Vidaus reikalų ministerijos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Vidaus reikalų ministerija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Default="00D27C29" w:rsidP="00B3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6237" w:rsidRPr="00040757">
              <w:rPr>
                <w:rFonts w:ascii="Times New Roman" w:hAnsi="Times New Roman" w:cs="Times New Roman"/>
                <w:sz w:val="24"/>
                <w:szCs w:val="24"/>
              </w:rPr>
              <w:t xml:space="preserve">Išanalizuoti ir įvertinti galimybes nustatyti naujas kliento (Lietuvos Respublikos rezidento ir </w:t>
            </w:r>
            <w:proofErr w:type="spellStart"/>
            <w:r w:rsidR="00226237" w:rsidRPr="00040757">
              <w:rPr>
                <w:rFonts w:ascii="Times New Roman" w:hAnsi="Times New Roman" w:cs="Times New Roman"/>
                <w:sz w:val="24"/>
                <w:szCs w:val="24"/>
              </w:rPr>
              <w:t>nerezidento</w:t>
            </w:r>
            <w:proofErr w:type="spellEnd"/>
            <w:r w:rsidR="00226237" w:rsidRPr="00040757">
              <w:rPr>
                <w:rFonts w:ascii="Times New Roman" w:hAnsi="Times New Roman" w:cs="Times New Roman"/>
                <w:sz w:val="24"/>
                <w:szCs w:val="24"/>
              </w:rPr>
              <w:t>) tapatybės nustatymo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237" w:rsidRPr="00040757">
              <w:rPr>
                <w:rFonts w:ascii="Times New Roman" w:hAnsi="Times New Roman" w:cs="Times New Roman"/>
                <w:sz w:val="24"/>
                <w:szCs w:val="24"/>
              </w:rPr>
              <w:t>priemones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 xml:space="preserve">, leidžiant panaudoti </w:t>
            </w:r>
            <w:r w:rsidR="00226237" w:rsidRPr="00E529A6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B3259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26237" w:rsidRPr="00E529A6">
              <w:rPr>
                <w:rFonts w:ascii="Times New Roman" w:hAnsi="Times New Roman" w:cs="Times New Roman"/>
                <w:sz w:val="24"/>
                <w:szCs w:val="24"/>
              </w:rPr>
              <w:t>yventojų registro duomenis, biometrinius duomenis, asmens dokumento laikmenoje esančius duomenis</w:t>
            </w:r>
            <w:r w:rsidR="00B32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237" w:rsidRPr="008564B0" w:rsidRDefault="00226237" w:rsidP="003F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3402" w:type="dxa"/>
          </w:tcPr>
          <w:p w:rsidR="00226237" w:rsidRDefault="00226237" w:rsidP="00FF5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Vidaus reikalų ministerija, Finansinių nusikaltimų tyrimo tarnyba</w:t>
            </w:r>
            <w:r w:rsidR="00FF509B">
              <w:rPr>
                <w:rFonts w:ascii="Times New Roman" w:hAnsi="Times New Roman" w:cs="Times New Roman"/>
                <w:sz w:val="24"/>
                <w:szCs w:val="24"/>
              </w:rPr>
              <w:t xml:space="preserve"> prie Vidaus reikalų ministerijos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Lietuvos bankas, Mokėjimų taryba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Default="00D27C29" w:rsidP="00B3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6237" w:rsidRPr="00FB6C4D">
              <w:rPr>
                <w:rFonts w:ascii="Times New Roman" w:hAnsi="Times New Roman" w:cs="Times New Roman"/>
                <w:sz w:val="24"/>
                <w:szCs w:val="24"/>
              </w:rPr>
              <w:t xml:space="preserve">Tobulinti </w:t>
            </w:r>
            <w:r w:rsidR="00B3259A">
              <w:rPr>
                <w:rFonts w:ascii="Times New Roman" w:hAnsi="Times New Roman" w:cs="Times New Roman"/>
                <w:sz w:val="24"/>
                <w:szCs w:val="24"/>
              </w:rPr>
              <w:t xml:space="preserve">esamus </w:t>
            </w:r>
            <w:r w:rsidR="00226237" w:rsidRPr="00FB6C4D">
              <w:rPr>
                <w:rFonts w:ascii="Times New Roman" w:hAnsi="Times New Roman" w:cs="Times New Roman"/>
                <w:sz w:val="24"/>
                <w:szCs w:val="24"/>
              </w:rPr>
              <w:t>klientų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237" w:rsidRPr="00FB6C4D">
              <w:rPr>
                <w:rFonts w:ascii="Times New Roman" w:hAnsi="Times New Roman" w:cs="Times New Roman"/>
                <w:sz w:val="24"/>
                <w:szCs w:val="24"/>
              </w:rPr>
              <w:t>tapatybės nustatymo būdus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 xml:space="preserve"> ir jiems keliamus reikalavimus, skatinant </w:t>
            </w:r>
            <w:r w:rsidR="00226237" w:rsidRPr="00FB6C4D">
              <w:rPr>
                <w:rFonts w:ascii="Times New Roman" w:hAnsi="Times New Roman" w:cs="Times New Roman"/>
                <w:sz w:val="24"/>
                <w:szCs w:val="24"/>
              </w:rPr>
              <w:t xml:space="preserve">naujų technologijų 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>pritaikymą ir užtikrinant, kad a</w:t>
            </w:r>
            <w:r w:rsidR="00226237" w:rsidRPr="00FB6C4D">
              <w:rPr>
                <w:rFonts w:ascii="Times New Roman" w:hAnsi="Times New Roman" w:cs="Times New Roman"/>
                <w:sz w:val="24"/>
                <w:szCs w:val="24"/>
              </w:rPr>
              <w:t xml:space="preserve">tsakingos institucijos 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  <w:r w:rsidR="00B3259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 xml:space="preserve">tųsi </w:t>
            </w:r>
            <w:r w:rsidR="00226237" w:rsidRPr="00FB6C4D">
              <w:rPr>
                <w:rFonts w:ascii="Times New Roman" w:hAnsi="Times New Roman" w:cs="Times New Roman"/>
                <w:sz w:val="24"/>
                <w:szCs w:val="24"/>
              </w:rPr>
              <w:t xml:space="preserve">gerąja praktika ir teiktų rekomendacijas </w:t>
            </w:r>
            <w:r w:rsidR="00B3259A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="00226237" w:rsidRPr="00FB6C4D">
              <w:rPr>
                <w:rFonts w:ascii="Times New Roman" w:hAnsi="Times New Roman" w:cs="Times New Roman"/>
                <w:sz w:val="24"/>
                <w:szCs w:val="24"/>
              </w:rPr>
              <w:t>techninių sprendimų pasirinkim</w:t>
            </w:r>
            <w:r w:rsidR="00B325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26237" w:rsidRPr="00FB6C4D">
              <w:rPr>
                <w:rFonts w:ascii="Times New Roman" w:hAnsi="Times New Roman" w:cs="Times New Roman"/>
                <w:sz w:val="24"/>
                <w:szCs w:val="24"/>
              </w:rPr>
              <w:t xml:space="preserve"> ir įgyvendinim</w:t>
            </w:r>
            <w:r w:rsidR="00B3259A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</w:tc>
        <w:tc>
          <w:tcPr>
            <w:tcW w:w="1843" w:type="dxa"/>
          </w:tcPr>
          <w:p w:rsidR="00226237" w:rsidRPr="008564B0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3402" w:type="dxa"/>
          </w:tcPr>
          <w:p w:rsidR="00226237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Vidaus reikalų ministerija, Finansinių nusikaltimų tyrimo tarnyba</w:t>
            </w:r>
            <w:r w:rsidR="00FF509B">
              <w:rPr>
                <w:rFonts w:ascii="Times New Roman" w:hAnsi="Times New Roman" w:cs="Times New Roman"/>
                <w:sz w:val="24"/>
                <w:szCs w:val="24"/>
              </w:rPr>
              <w:t xml:space="preserve"> prie Vidaus reikalų ministerijos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Lietuvos bankas, Mokėjimų taryba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Pr="00C05E9C" w:rsidRDefault="00D27C29" w:rsidP="00D05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 xml:space="preserve"> Į</w:t>
            </w:r>
            <w:r w:rsidR="00226237" w:rsidRPr="008564B0">
              <w:rPr>
                <w:rFonts w:ascii="Times New Roman" w:hAnsi="Times New Roman" w:cs="Times New Roman"/>
                <w:sz w:val="24"/>
                <w:szCs w:val="24"/>
              </w:rPr>
              <w:t>gyvendinti e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6237" w:rsidRPr="008564B0">
              <w:rPr>
                <w:rFonts w:ascii="Times New Roman" w:hAnsi="Times New Roman" w:cs="Times New Roman"/>
                <w:sz w:val="24"/>
                <w:szCs w:val="24"/>
              </w:rPr>
              <w:t>gyventojo (ang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26237"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6237" w:rsidRPr="00D70A6D">
              <w:rPr>
                <w:rFonts w:ascii="Times New Roman" w:hAnsi="Times New Roman" w:cs="Times New Roman"/>
                <w:i/>
                <w:sz w:val="24"/>
                <w:szCs w:val="24"/>
              </w:rPr>
              <w:t>e-resident</w:t>
            </w:r>
            <w:r w:rsidR="00226237" w:rsidRPr="008564B0">
              <w:rPr>
                <w:rFonts w:ascii="Times New Roman" w:hAnsi="Times New Roman" w:cs="Times New Roman"/>
                <w:sz w:val="24"/>
                <w:szCs w:val="24"/>
              </w:rPr>
              <w:t>) projektą</w:t>
            </w:r>
            <w:r w:rsidR="00B32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237" w:rsidRPr="00C05E9C" w:rsidRDefault="00226237" w:rsidP="005A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m. IV ketv. </w:t>
            </w:r>
          </w:p>
        </w:tc>
        <w:tc>
          <w:tcPr>
            <w:tcW w:w="3402" w:type="dxa"/>
          </w:tcPr>
          <w:p w:rsidR="00226237" w:rsidRPr="00C05E9C" w:rsidRDefault="00226237" w:rsidP="00930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Vidaus reikalų ministerija, Migracijos departamentas</w:t>
            </w:r>
            <w:r w:rsidR="007536EF">
              <w:rPr>
                <w:rFonts w:ascii="Times New Roman" w:hAnsi="Times New Roman" w:cs="Times New Roman"/>
                <w:sz w:val="24"/>
                <w:szCs w:val="24"/>
              </w:rPr>
              <w:t xml:space="preserve"> prie Lietuvos Respublikos vidaus reikalų ministerijos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Teisingumo ministerija,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ministerija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Pr="008564B0" w:rsidRDefault="00D27C29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>. Išanalizuoti galimybes optimizuoti kliento pažinimo procesą</w:t>
            </w:r>
            <w:r w:rsidR="00F9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26237" w:rsidRPr="008564B0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3402" w:type="dxa"/>
          </w:tcPr>
          <w:p w:rsidR="00226237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Mokėjimų taryba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Default="00226237" w:rsidP="00F90199">
            <w:pPr>
              <w:tabs>
                <w:tab w:val="left" w:pos="1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7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57C6">
              <w:rPr>
                <w:rFonts w:ascii="Times New Roman" w:hAnsi="Times New Roman" w:cs="Times New Roman"/>
                <w:sz w:val="24"/>
                <w:szCs w:val="24"/>
              </w:rPr>
              <w:t xml:space="preserve">Išanalizuoti momentinių mokėjimų galimybes ir jų pritaikymo būdus praktikoje, </w:t>
            </w:r>
            <w:r w:rsidR="00F90199">
              <w:rPr>
                <w:rFonts w:ascii="Times New Roman" w:hAnsi="Times New Roman" w:cs="Times New Roman"/>
                <w:sz w:val="24"/>
                <w:szCs w:val="24"/>
              </w:rPr>
              <w:t xml:space="preserve">nustatyti </w:t>
            </w:r>
            <w:r w:rsidRPr="00E657C6">
              <w:rPr>
                <w:rFonts w:ascii="Times New Roman" w:hAnsi="Times New Roman" w:cs="Times New Roman"/>
                <w:sz w:val="24"/>
                <w:szCs w:val="24"/>
              </w:rPr>
              <w:t xml:space="preserve">trūkstamus standartizavimo elementus, </w:t>
            </w:r>
            <w:r w:rsidR="00F90199">
              <w:rPr>
                <w:rFonts w:ascii="Times New Roman" w:hAnsi="Times New Roman" w:cs="Times New Roman"/>
                <w:sz w:val="24"/>
                <w:szCs w:val="24"/>
              </w:rPr>
              <w:t xml:space="preserve">parengti </w:t>
            </w:r>
            <w:r w:rsidRPr="00E657C6">
              <w:rPr>
                <w:rFonts w:ascii="Times New Roman" w:hAnsi="Times New Roman" w:cs="Times New Roman"/>
                <w:sz w:val="24"/>
                <w:szCs w:val="24"/>
              </w:rPr>
              <w:t>rekomendacijas verslui ir viešajam sektoriui.</w:t>
            </w:r>
          </w:p>
        </w:tc>
        <w:tc>
          <w:tcPr>
            <w:tcW w:w="1843" w:type="dxa"/>
          </w:tcPr>
          <w:p w:rsidR="00226237" w:rsidRPr="008564B0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3402" w:type="dxa"/>
          </w:tcPr>
          <w:p w:rsidR="00226237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Mokėjimų taryba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Default="00226237" w:rsidP="00CD3523">
            <w:pPr>
              <w:tabs>
                <w:tab w:val="left" w:pos="1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D27C2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C20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Į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VšĮ „Versli Lietuva“ administruojamą</w:t>
            </w:r>
            <w:r w:rsidRPr="000C20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20DE">
              <w:rPr>
                <w:rFonts w:ascii="Times New Roman" w:hAnsi="Times New Roman" w:cs="Times New Roman"/>
                <w:bCs/>
                <w:sz w:val="24"/>
                <w:szCs w:val="24"/>
              </w:rPr>
              <w:t>mentorių</w:t>
            </w:r>
            <w:proofErr w:type="spellEnd"/>
            <w:r w:rsidRPr="000C20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tinklą</w:t>
            </w:r>
            <w:r w:rsidRPr="000C20D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0C20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įtraukti </w:t>
            </w:r>
            <w:r w:rsidR="001A0772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bookmarkStart w:id="0" w:name="_GoBack"/>
            <w:bookmarkEnd w:id="0"/>
            <w:r w:rsidRPr="000C20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srities </w:t>
            </w:r>
            <w:proofErr w:type="spellStart"/>
            <w:r w:rsidRPr="000C20DE">
              <w:rPr>
                <w:rFonts w:ascii="Times New Roman" w:hAnsi="Times New Roman" w:cs="Times New Roman"/>
                <w:bCs/>
                <w:sz w:val="24"/>
                <w:szCs w:val="24"/>
              </w:rPr>
              <w:t>mentorius</w:t>
            </w:r>
            <w:proofErr w:type="spellEnd"/>
            <w:r w:rsidR="00F901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237" w:rsidRPr="008564B0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m.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26237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„Versli Lietuva“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Pr="000C20DE" w:rsidRDefault="00D27C29" w:rsidP="00186170">
            <w:pPr>
              <w:tabs>
                <w:tab w:val="left" w:pos="162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6237" w:rsidRPr="00701F73">
              <w:rPr>
                <w:rFonts w:ascii="Times New Roman" w:hAnsi="Times New Roman" w:cs="Times New Roman"/>
                <w:sz w:val="24"/>
                <w:szCs w:val="24"/>
              </w:rPr>
              <w:t>Užtikrinti nuolatinį priemonių, skirtų regulia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>vimo</w:t>
            </w:r>
            <w:r w:rsidR="00226237" w:rsidRPr="00701F73">
              <w:rPr>
                <w:rFonts w:ascii="Times New Roman" w:hAnsi="Times New Roman" w:cs="Times New Roman"/>
                <w:sz w:val="24"/>
                <w:szCs w:val="24"/>
              </w:rPr>
              <w:t xml:space="preserve"> ir priežiūr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226237" w:rsidRPr="00701F73">
              <w:rPr>
                <w:rFonts w:ascii="Times New Roman" w:hAnsi="Times New Roman" w:cs="Times New Roman"/>
                <w:sz w:val="24"/>
                <w:szCs w:val="24"/>
              </w:rPr>
              <w:t xml:space="preserve"> aplink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226237" w:rsidRPr="00701F73">
              <w:rPr>
                <w:rFonts w:ascii="Times New Roman" w:hAnsi="Times New Roman" w:cs="Times New Roman"/>
                <w:sz w:val="24"/>
                <w:szCs w:val="24"/>
              </w:rPr>
              <w:t xml:space="preserve"> tobulinti, diegimą ir panaikinti perteklin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6237" w:rsidRPr="00701F73">
              <w:rPr>
                <w:rFonts w:ascii="Times New Roman" w:hAnsi="Times New Roman" w:cs="Times New Roman"/>
                <w:sz w:val="24"/>
                <w:szCs w:val="24"/>
              </w:rPr>
              <w:t>s inovatyvių verslo modelių įėjimo į rinką ir veikimo joje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 xml:space="preserve"> kliūtis</w:t>
            </w:r>
            <w:r w:rsidR="00F9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237" w:rsidRPr="008564B0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F73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402" w:type="dxa"/>
          </w:tcPr>
          <w:p w:rsidR="00226237" w:rsidRDefault="00226237" w:rsidP="00B71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F73">
              <w:rPr>
                <w:rFonts w:ascii="Times New Roman" w:hAnsi="Times New Roman" w:cs="Times New Roman"/>
                <w:sz w:val="24"/>
                <w:szCs w:val="24"/>
              </w:rPr>
              <w:t>Finansų ministerija, Vidaus reikalų ministerija, Ūkio ministerija, Teisingumo ministerija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Pr="000C20DE" w:rsidRDefault="00D27C29" w:rsidP="00186170">
            <w:pPr>
              <w:tabs>
                <w:tab w:val="left" w:pos="162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>. Išanalizuoti galimybes ir tikslingumą sukurti gyventojų asmeninės taupymo sąskaitos teisinį reguliavimą</w:t>
            </w:r>
            <w:r w:rsidR="00573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237" w:rsidRPr="008564B0" w:rsidRDefault="00226237" w:rsidP="005A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226237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Finansų ministerija, Lietuvos bankas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Pr="000C20DE" w:rsidRDefault="00D27C29" w:rsidP="00573ADE">
            <w:pPr>
              <w:tabs>
                <w:tab w:val="left" w:pos="162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573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 xml:space="preserve"> Sukurti </w:t>
            </w:r>
            <w:r w:rsidR="00226237" w:rsidRPr="00D053D8">
              <w:rPr>
                <w:rFonts w:ascii="Times New Roman" w:hAnsi="Times New Roman" w:cs="Times New Roman"/>
                <w:sz w:val="24"/>
                <w:szCs w:val="24"/>
              </w:rPr>
              <w:t xml:space="preserve">Visuomenės finansinio švietimo 2017–2021 </w:t>
            </w:r>
            <w:r w:rsidR="00573ADE">
              <w:rPr>
                <w:rFonts w:ascii="Times New Roman" w:hAnsi="Times New Roman" w:cs="Times New Roman"/>
                <w:sz w:val="24"/>
                <w:szCs w:val="24"/>
              </w:rPr>
              <w:t xml:space="preserve">metų </w:t>
            </w:r>
            <w:r w:rsidR="00226237" w:rsidRPr="00D053D8">
              <w:rPr>
                <w:rFonts w:ascii="Times New Roman" w:hAnsi="Times New Roman" w:cs="Times New Roman"/>
                <w:sz w:val="24"/>
                <w:szCs w:val="24"/>
              </w:rPr>
              <w:t>plano valdymo model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>į ir jį įgyvendinti</w:t>
            </w:r>
            <w:r w:rsidR="007B3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237" w:rsidRPr="008564B0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226237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ir mokslo ministerija, Finansų ministerija, Lietuvos bankas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Default="00226237" w:rsidP="00D27C29">
            <w:pPr>
              <w:tabs>
                <w:tab w:val="left" w:pos="1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27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3E68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Parengti teisės akto, reglamentuojančio v</w:t>
            </w:r>
            <w:r w:rsidRPr="00133E68">
              <w:rPr>
                <w:rFonts w:ascii="Times New Roman" w:hAnsi="Times New Roman" w:cs="Times New Roman"/>
                <w:sz w:val="24"/>
                <w:szCs w:val="24"/>
              </w:rPr>
              <w:t>irtualių</w:t>
            </w:r>
            <w:r w:rsidR="00573ADE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r w:rsidRPr="00133E68">
              <w:rPr>
                <w:rFonts w:ascii="Times New Roman" w:hAnsi="Times New Roman" w:cs="Times New Roman"/>
                <w:sz w:val="24"/>
                <w:szCs w:val="24"/>
              </w:rPr>
              <w:t xml:space="preserve"> valiutų keityklų operatorių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veiklą pinigų plovimo prevencijos ir terorizmo prevencijos aspektais, projektą.</w:t>
            </w:r>
          </w:p>
        </w:tc>
        <w:tc>
          <w:tcPr>
            <w:tcW w:w="1843" w:type="dxa"/>
          </w:tcPr>
          <w:p w:rsidR="00226237" w:rsidRPr="008564B0" w:rsidRDefault="000947D1" w:rsidP="005A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226237" w:rsidRDefault="00226237" w:rsidP="005A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Finansų ministerija, Lietuvos bankas, Finansinių nusikaltimų tyrimo tarnyba</w:t>
            </w:r>
            <w:r w:rsidR="00FF509B">
              <w:rPr>
                <w:rFonts w:ascii="Times New Roman" w:hAnsi="Times New Roman" w:cs="Times New Roman"/>
                <w:sz w:val="24"/>
                <w:szCs w:val="24"/>
              </w:rPr>
              <w:t xml:space="preserve"> prie Vidaus reikalų ministerijos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Default="00226237" w:rsidP="00573ADE">
            <w:pPr>
              <w:tabs>
                <w:tab w:val="left" w:pos="1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27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Parengti teisės aktų, kurie leistų</w:t>
            </w:r>
            <w:r w:rsidRPr="00186DB4">
              <w:rPr>
                <w:rFonts w:ascii="Times New Roman" w:hAnsi="Times New Roman" w:cs="Times New Roman"/>
                <w:sz w:val="24"/>
                <w:szCs w:val="24"/>
              </w:rPr>
              <w:t xml:space="preserve"> teikti paskolas juridiniams asmenims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naudojantis </w:t>
            </w:r>
            <w:r w:rsidR="00573AD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86DB4">
              <w:rPr>
                <w:rFonts w:ascii="Times New Roman" w:hAnsi="Times New Roman" w:cs="Times New Roman"/>
                <w:sz w:val="24"/>
                <w:szCs w:val="24"/>
              </w:rPr>
              <w:t xml:space="preserve">arpusavio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skolinimo platformos operatorių paslaugomis, projektus.</w:t>
            </w:r>
          </w:p>
        </w:tc>
        <w:tc>
          <w:tcPr>
            <w:tcW w:w="1843" w:type="dxa"/>
          </w:tcPr>
          <w:p w:rsidR="00226237" w:rsidRPr="008564B0" w:rsidRDefault="000947D1" w:rsidP="005A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226237" w:rsidRDefault="00226237" w:rsidP="0018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Finansų ministerija, Lietuvos bankas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Default="00226237" w:rsidP="00D27C29">
            <w:pPr>
              <w:tabs>
                <w:tab w:val="left" w:pos="1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27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Parengti teisės aktų, kurie leistų s</w:t>
            </w:r>
            <w:r w:rsidRPr="00E529A6">
              <w:rPr>
                <w:rFonts w:ascii="Times New Roman" w:hAnsi="Times New Roman" w:cs="Times New Roman"/>
                <w:sz w:val="24"/>
                <w:szCs w:val="24"/>
              </w:rPr>
              <w:t>upaprastinti juridinio asmens tapatybės nustatymą atsisakant perteklinės informacijos reikalavimo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29A6">
              <w:rPr>
                <w:rFonts w:ascii="Times New Roman" w:hAnsi="Times New Roman" w:cs="Times New Roman"/>
                <w:sz w:val="24"/>
                <w:szCs w:val="24"/>
              </w:rPr>
              <w:t xml:space="preserve"> kai tapatybė nustatoma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klientui dalyvaujant fiziškai, projektus.</w:t>
            </w:r>
          </w:p>
        </w:tc>
        <w:tc>
          <w:tcPr>
            <w:tcW w:w="1843" w:type="dxa"/>
          </w:tcPr>
          <w:p w:rsidR="00226237" w:rsidRPr="008564B0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3402" w:type="dxa"/>
          </w:tcPr>
          <w:p w:rsidR="00226237" w:rsidRDefault="00226237" w:rsidP="005A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Finansų ministerija, Lietuvos bankas, Vidaus reikalų ministerija (Finansinių nusikaltimų tyrimo tarnyba</w:t>
            </w:r>
            <w:r w:rsidR="00FF509B">
              <w:rPr>
                <w:rFonts w:ascii="Times New Roman" w:hAnsi="Times New Roman" w:cs="Times New Roman"/>
                <w:sz w:val="24"/>
                <w:szCs w:val="24"/>
              </w:rPr>
              <w:t xml:space="preserve"> prie Vidaus reikalų ministerijos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Default="00226237" w:rsidP="00573ADE">
            <w:pPr>
              <w:tabs>
                <w:tab w:val="left" w:pos="1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27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Įvertinti galimybę peržiūrėti teisinę bazę, siekiant užtikrinti e</w:t>
            </w:r>
            <w:r w:rsidRPr="00FD4630">
              <w:rPr>
                <w:rFonts w:ascii="Times New Roman" w:hAnsi="Times New Roman" w:cs="Times New Roman"/>
                <w:sz w:val="24"/>
                <w:szCs w:val="24"/>
              </w:rPr>
              <w:t>lektroninių pinigų turėtojų lėšų, perdu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otų </w:t>
            </w:r>
            <w:r w:rsidR="00573AD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573ADE">
              <w:rPr>
                <w:rFonts w:ascii="Times New Roman" w:hAnsi="Times New Roman" w:cs="Times New Roman"/>
                <w:sz w:val="24"/>
                <w:szCs w:val="24"/>
              </w:rPr>
              <w:t>ktroninių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pinigų įstaigai, saugumą</w:t>
            </w:r>
            <w:r w:rsidR="00573ADE">
              <w:rPr>
                <w:rFonts w:ascii="Times New Roman" w:hAnsi="Times New Roman" w:cs="Times New Roman"/>
                <w:sz w:val="24"/>
                <w:szCs w:val="24"/>
              </w:rPr>
              <w:t>, kai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630">
              <w:rPr>
                <w:rFonts w:ascii="Times New Roman" w:hAnsi="Times New Roman" w:cs="Times New Roman"/>
                <w:sz w:val="24"/>
                <w:szCs w:val="24"/>
              </w:rPr>
              <w:t>kredito įstaig</w:t>
            </w:r>
            <w:r w:rsidR="00573ADE">
              <w:rPr>
                <w:rFonts w:ascii="Times New Roman" w:hAnsi="Times New Roman" w:cs="Times New Roman"/>
                <w:sz w:val="24"/>
                <w:szCs w:val="24"/>
              </w:rPr>
              <w:t>a tampa</w:t>
            </w:r>
            <w:r w:rsidRPr="00FD4630">
              <w:rPr>
                <w:rFonts w:ascii="Times New Roman" w:hAnsi="Times New Roman" w:cs="Times New Roman"/>
                <w:sz w:val="24"/>
                <w:szCs w:val="24"/>
              </w:rPr>
              <w:t xml:space="preserve"> nemok</w:t>
            </w:r>
            <w:r w:rsidR="00573AD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FD4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26237" w:rsidRPr="008564B0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3402" w:type="dxa"/>
          </w:tcPr>
          <w:p w:rsidR="00226237" w:rsidRDefault="00226237" w:rsidP="0018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Finansų ministerija, Lietuvos bankas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Default="00226237" w:rsidP="00D27C29">
            <w:pPr>
              <w:tabs>
                <w:tab w:val="left" w:pos="1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27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537E">
              <w:rPr>
                <w:rFonts w:ascii="Times New Roman" w:hAnsi="Times New Roman" w:cs="Times New Roman"/>
                <w:sz w:val="24"/>
                <w:szCs w:val="24"/>
              </w:rPr>
              <w:t xml:space="preserve">Įvertinti galimybes išplėsti atvejus, kada galima taikyti supaprastintą kliento tapatybės nustatymą (nustatyti mažą pinigų plovimo ir (ar) teroristų finansavimo riziką), pavyzdžiui, padidinant bendrai per kalendorinius metus </w:t>
            </w:r>
            <w:r w:rsidRPr="00BF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įvykdytų operacijų vertės ribą nuo 1 000 iki 3 000 eurų, suteikiant galimybę kliento tapatybės duomenis patikrinti naudojant mažiau patikimus dokumentus, ar kitus atvejus, remiantis Europos priežiūros institucijų priimtomis Gairėmis pagal Direktyvos (ES) 2015/849 17 straipsnį ir 18 straipsnio 4 dalį dėl supaprastinto ir sustiprinto deramo klientų tikrinimo ir dėl veiksnių, į kuriuos kredito ir finansų įstaigos turėtų atsižvelgti vertindamos su atskirais verslo santykiais ir pavieniais sandoriais susijusią pinigų plovimo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teroristų finansavimo riziką</w:t>
            </w:r>
            <w:r w:rsidR="00620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237" w:rsidRPr="008564B0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3402" w:type="dxa"/>
          </w:tcPr>
          <w:p w:rsidR="00226237" w:rsidRDefault="00226237" w:rsidP="00392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Finansų ministerija, Lietuvos bankas, Vidaus reikalų ministerija (Finansinių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nusikaltimų tyrimo tarnyba</w:t>
            </w:r>
            <w:r w:rsidR="00FF509B">
              <w:rPr>
                <w:rFonts w:ascii="Times New Roman" w:hAnsi="Times New Roman" w:cs="Times New Roman"/>
                <w:sz w:val="24"/>
                <w:szCs w:val="24"/>
              </w:rPr>
              <w:t xml:space="preserve"> prie Vidaus reikalų ministerijos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Default="00D27C29" w:rsidP="00620A15">
            <w:pPr>
              <w:tabs>
                <w:tab w:val="left" w:pos="1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  <w:r w:rsidR="002262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6237" w:rsidRPr="00BF537E">
              <w:rPr>
                <w:rFonts w:ascii="Times New Roman" w:hAnsi="Times New Roman" w:cs="Times New Roman"/>
                <w:sz w:val="24"/>
                <w:szCs w:val="24"/>
              </w:rPr>
              <w:t xml:space="preserve">Įvertinti galimybę peržiūrėti teisinę bazę dėl </w:t>
            </w:r>
            <w:r w:rsidR="00620A15">
              <w:rPr>
                <w:rFonts w:ascii="Times New Roman" w:hAnsi="Times New Roman" w:cs="Times New Roman"/>
                <w:sz w:val="24"/>
                <w:szCs w:val="24"/>
              </w:rPr>
              <w:t xml:space="preserve">pridėtinės vertės mokesčio </w:t>
            </w:r>
            <w:r w:rsidR="00226237" w:rsidRPr="00BF537E">
              <w:rPr>
                <w:rFonts w:ascii="Times New Roman" w:hAnsi="Times New Roman" w:cs="Times New Roman"/>
                <w:sz w:val="24"/>
                <w:szCs w:val="24"/>
              </w:rPr>
              <w:t>netaikymo finansinėms paslaugoms, kai dalis veiklos funkcijų perduodama trečiosioms šalims</w:t>
            </w:r>
            <w:r w:rsidR="00620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237" w:rsidRPr="008564B0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III ketv.</w:t>
            </w:r>
          </w:p>
        </w:tc>
        <w:tc>
          <w:tcPr>
            <w:tcW w:w="3402" w:type="dxa"/>
          </w:tcPr>
          <w:p w:rsidR="00226237" w:rsidRDefault="00226237" w:rsidP="0018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Finansų ministerija, Valstybinė mokesčių inspekcija</w:t>
            </w:r>
          </w:p>
        </w:tc>
      </w:tr>
      <w:tr w:rsidR="00226237" w:rsidRPr="00701F73" w:rsidTr="00920A42">
        <w:tc>
          <w:tcPr>
            <w:tcW w:w="2093" w:type="dxa"/>
            <w:vMerge/>
          </w:tcPr>
          <w:p w:rsidR="00226237" w:rsidRPr="00701F73" w:rsidRDefault="00226237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237" w:rsidRDefault="00226237" w:rsidP="00620A15">
            <w:pPr>
              <w:tabs>
                <w:tab w:val="left" w:pos="1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27C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Įvertinti galimybes pakeisti </w:t>
            </w:r>
            <w:r w:rsidRPr="00CC5A71">
              <w:rPr>
                <w:rFonts w:ascii="Times New Roman" w:hAnsi="Times New Roman" w:cs="Times New Roman"/>
                <w:sz w:val="24"/>
                <w:szCs w:val="24"/>
              </w:rPr>
              <w:t>kliento tapatybės nustatymo proces</w:t>
            </w:r>
            <w:r w:rsidR="00620A15">
              <w:rPr>
                <w:rFonts w:ascii="Times New Roman" w:hAnsi="Times New Roman" w:cs="Times New Roman"/>
                <w:sz w:val="24"/>
                <w:szCs w:val="24"/>
              </w:rPr>
              <w:t>o techninius reikalavimus</w:t>
            </w:r>
            <w:r w:rsidRPr="00CC5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numatant, kad galimas ir ne</w:t>
            </w:r>
            <w:r w:rsidRPr="00226237">
              <w:rPr>
                <w:rFonts w:ascii="Times New Roman" w:hAnsi="Times New Roman" w:cs="Times New Roman"/>
                <w:sz w:val="24"/>
                <w:szCs w:val="24"/>
              </w:rPr>
              <w:t>tiesioginis pateikiamo tapatybės dokumento nuotraukos perdavimas</w:t>
            </w:r>
            <w:r w:rsidR="00620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237" w:rsidRPr="008564B0" w:rsidRDefault="00226237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226237" w:rsidRDefault="00226237" w:rsidP="0092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Vidaus reikalų ministerija, Finansinių nusikaltimų tyrimo tarnyba</w:t>
            </w:r>
            <w:r w:rsidR="00FF509B">
              <w:rPr>
                <w:rFonts w:ascii="Times New Roman" w:hAnsi="Times New Roman" w:cs="Times New Roman"/>
                <w:sz w:val="24"/>
                <w:szCs w:val="24"/>
              </w:rPr>
              <w:t xml:space="preserve"> prie Vidaus reikalų ministerijos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Lietuvos bankas</w:t>
            </w:r>
          </w:p>
        </w:tc>
      </w:tr>
      <w:tr w:rsidR="00CC5A71" w:rsidRPr="00701F73" w:rsidTr="00920A42">
        <w:tc>
          <w:tcPr>
            <w:tcW w:w="2093" w:type="dxa"/>
            <w:vMerge w:val="restart"/>
          </w:tcPr>
          <w:p w:rsidR="00CC5A71" w:rsidRPr="00701F73" w:rsidRDefault="00CC5A71" w:rsidP="0062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Populiarinti Lietuvos jurisdikciją tikslinėse rinkose ir sudaryti užsienio įmonių veikim</w:t>
            </w:r>
            <w:r w:rsidR="00620A15">
              <w:rPr>
                <w:rFonts w:ascii="Times New Roman" w:hAnsi="Times New Roman" w:cs="Times New Roman"/>
                <w:sz w:val="24"/>
                <w:szCs w:val="24"/>
              </w:rPr>
              <w:t>o sąlygas</w:t>
            </w:r>
          </w:p>
        </w:tc>
        <w:tc>
          <w:tcPr>
            <w:tcW w:w="7796" w:type="dxa"/>
          </w:tcPr>
          <w:p w:rsidR="00CC5A71" w:rsidRPr="008564B0" w:rsidRDefault="00CC5A71" w:rsidP="0099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Siūlyti Lietuvos bankui plėsti bendradarbiavimą su kitomis priežiūros institucijomis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 tikslinėse rinkose,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pasirašant </w:t>
            </w:r>
            <w:r w:rsidR="00620A15">
              <w:rPr>
                <w:rFonts w:ascii="Times New Roman" w:hAnsi="Times New Roman" w:cs="Times New Roman"/>
                <w:sz w:val="24"/>
                <w:szCs w:val="24"/>
              </w:rPr>
              <w:t xml:space="preserve">su jomis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memorandumus</w:t>
            </w:r>
            <w:r w:rsidR="00620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5A71" w:rsidRPr="008564B0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402" w:type="dxa"/>
          </w:tcPr>
          <w:p w:rsidR="00CC5A71" w:rsidRDefault="00CC5A71" w:rsidP="0002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bankas, Užsienio reikalų ministerija</w:t>
            </w:r>
          </w:p>
        </w:tc>
      </w:tr>
      <w:tr w:rsidR="00CC5A71" w:rsidRPr="00701F73" w:rsidTr="00920A42">
        <w:tc>
          <w:tcPr>
            <w:tcW w:w="2093" w:type="dxa"/>
            <w:vMerge/>
          </w:tcPr>
          <w:p w:rsidR="00CC5A71" w:rsidRPr="00701F73" w:rsidRDefault="00CC5A71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C5A71" w:rsidRDefault="00CC5A71" w:rsidP="00620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620A15">
              <w:rPr>
                <w:rFonts w:ascii="Times New Roman" w:hAnsi="Times New Roman" w:cs="Times New Roman"/>
                <w:sz w:val="24"/>
                <w:szCs w:val="24"/>
              </w:rPr>
              <w:t xml:space="preserve">Skatinti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tarptautinių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renginių organizavimą Lietuv</w:t>
            </w:r>
            <w:r w:rsidR="00620A15">
              <w:rPr>
                <w:rFonts w:ascii="Times New Roman" w:hAnsi="Times New Roman" w:cs="Times New Roman"/>
                <w:sz w:val="24"/>
                <w:szCs w:val="24"/>
              </w:rPr>
              <w:t>oje.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C5A71" w:rsidRPr="008564B0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402" w:type="dxa"/>
          </w:tcPr>
          <w:p w:rsidR="00CC5A71" w:rsidRDefault="00CC5A71" w:rsidP="0002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„Investuok Lietuvoje“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Užsienio reikalų ministerija</w:t>
            </w:r>
            <w:r w:rsidR="00620A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3BE">
              <w:rPr>
                <w:rFonts w:ascii="Times New Roman" w:hAnsi="Times New Roman" w:cs="Times New Roman"/>
                <w:sz w:val="24"/>
                <w:szCs w:val="24"/>
              </w:rPr>
              <w:t>VšĮ „GO Vilnius“</w:t>
            </w:r>
          </w:p>
        </w:tc>
      </w:tr>
      <w:tr w:rsidR="00CC5A71" w:rsidRPr="00701F73" w:rsidTr="00920A42">
        <w:tc>
          <w:tcPr>
            <w:tcW w:w="2093" w:type="dxa"/>
            <w:vMerge/>
          </w:tcPr>
          <w:p w:rsidR="00CC5A71" w:rsidRPr="00701F73" w:rsidRDefault="00CC5A71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C5A71" w:rsidRDefault="00CC5A71" w:rsidP="00593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Parengti komunikacijos planą</w:t>
            </w:r>
            <w:r w:rsidR="00620A15">
              <w:rPr>
                <w:rFonts w:ascii="Times New Roman" w:hAnsi="Times New Roman" w:cs="Times New Roman"/>
                <w:sz w:val="24"/>
                <w:szCs w:val="24"/>
              </w:rPr>
              <w:t>, kuriame būtų numatytos priemonės, siekiant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5D4">
              <w:rPr>
                <w:rFonts w:ascii="Times New Roman" w:hAnsi="Times New Roman" w:cs="Times New Roman"/>
                <w:sz w:val="24"/>
                <w:szCs w:val="24"/>
              </w:rPr>
              <w:t xml:space="preserve">įtraukimo </w:t>
            </w:r>
            <w:r w:rsidRPr="00B428CC">
              <w:rPr>
                <w:rFonts w:ascii="Times New Roman" w:hAnsi="Times New Roman" w:cs="Times New Roman"/>
                <w:sz w:val="24"/>
                <w:szCs w:val="24"/>
              </w:rPr>
              <w:t>į tarptautinių reitingų agentūrų sudaromus finansinius reitingus (atsižvelgiant į pinigų plovimo atvejų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stijoje ir Latvijoje kontekstą)</w:t>
            </w:r>
            <w:r w:rsidR="005935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5A71" w:rsidRPr="008564B0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CC5A71" w:rsidRPr="00FD0554" w:rsidRDefault="00CC5A71" w:rsidP="00E31C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3BE">
              <w:rPr>
                <w:rFonts w:ascii="Times New Roman" w:hAnsi="Times New Roman" w:cs="Times New Roman"/>
                <w:sz w:val="24"/>
                <w:szCs w:val="24"/>
              </w:rPr>
              <w:t>VšĮ „GO Vilnius“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Finansų ministerija, Lietuvos bankas</w:t>
            </w:r>
          </w:p>
        </w:tc>
      </w:tr>
      <w:tr w:rsidR="00CC5A71" w:rsidRPr="00701F73" w:rsidTr="00920A42">
        <w:tc>
          <w:tcPr>
            <w:tcW w:w="2093" w:type="dxa"/>
            <w:vMerge/>
          </w:tcPr>
          <w:p w:rsidR="00CC5A71" w:rsidRPr="00701F73" w:rsidRDefault="00CC5A71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C5A71" w:rsidRDefault="00CC5A71" w:rsidP="003F1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Sukurti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Lietuvos jurisdikciją pristatančio stendo dizainą</w:t>
            </w:r>
            <w:r w:rsidR="00AB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5A71" w:rsidRPr="008564B0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CC5A71" w:rsidRPr="00FD0554" w:rsidRDefault="00CC5A71" w:rsidP="00E447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„Investuok Lietuvoje“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Lietuvos bankas, Finansų ministerija</w:t>
            </w:r>
          </w:p>
        </w:tc>
      </w:tr>
      <w:tr w:rsidR="00CC5A71" w:rsidRPr="00701F73" w:rsidTr="00920A42">
        <w:tc>
          <w:tcPr>
            <w:tcW w:w="2093" w:type="dxa"/>
            <w:vMerge/>
          </w:tcPr>
          <w:p w:rsidR="00CC5A71" w:rsidRPr="00701F73" w:rsidRDefault="00CC5A71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C5A71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 Užtikrinti su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susijusių naujienų srauto viešinimą</w:t>
            </w:r>
            <w:r w:rsidR="00AB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5A71" w:rsidRPr="008564B0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402" w:type="dxa"/>
          </w:tcPr>
          <w:p w:rsidR="00CC5A71" w:rsidRPr="00FD0554" w:rsidRDefault="00CC5A71" w:rsidP="00E447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„Investuok Lietuvoje“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Lietuvos bankas, Finansų ministerija, </w:t>
            </w:r>
            <w:r w:rsidRPr="000C0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„GO Vilnius“</w:t>
            </w:r>
          </w:p>
        </w:tc>
      </w:tr>
      <w:tr w:rsidR="00CC5A71" w:rsidRPr="00701F73" w:rsidTr="00920A42">
        <w:tc>
          <w:tcPr>
            <w:tcW w:w="2093" w:type="dxa"/>
            <w:vMerge/>
          </w:tcPr>
          <w:p w:rsidR="00CC5A71" w:rsidRPr="00701F73" w:rsidRDefault="00CC5A71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C5A71" w:rsidRDefault="00CC5A71" w:rsidP="00AB5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27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Pasiūlyti Lietuvos bankui „Newcomer“ programą </w:t>
            </w:r>
            <w:r w:rsidR="00AB54BA">
              <w:rPr>
                <w:rFonts w:ascii="Times New Roman" w:hAnsi="Times New Roman" w:cs="Times New Roman"/>
                <w:sz w:val="24"/>
                <w:szCs w:val="24"/>
              </w:rPr>
              <w:t xml:space="preserve">plėsti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 tikslines užsienio rinkas</w:t>
            </w:r>
            <w:r w:rsidR="00366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5A71" w:rsidRPr="008564B0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402" w:type="dxa"/>
          </w:tcPr>
          <w:p w:rsidR="00CC5A71" w:rsidRPr="00DB53E2" w:rsidRDefault="00CC5A71" w:rsidP="0002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bankas, Užsienio reikalų ministerija</w:t>
            </w:r>
          </w:p>
        </w:tc>
      </w:tr>
      <w:tr w:rsidR="00CC5A71" w:rsidRPr="00701F73" w:rsidTr="00920A42">
        <w:tc>
          <w:tcPr>
            <w:tcW w:w="2093" w:type="dxa"/>
            <w:vMerge/>
          </w:tcPr>
          <w:p w:rsidR="00CC5A71" w:rsidRPr="00F119F0" w:rsidRDefault="00CC5A71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C5A71" w:rsidDel="00E3333B" w:rsidRDefault="00D27C29" w:rsidP="00AB5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r w:rsidR="009303E3" w:rsidRPr="009303E3">
              <w:rPr>
                <w:rFonts w:ascii="Times New Roman" w:hAnsi="Times New Roman" w:cs="Times New Roman"/>
                <w:sz w:val="24"/>
                <w:szCs w:val="24"/>
              </w:rPr>
              <w:t xml:space="preserve">VšĮ „Investuok Lietuvoje“ parengto sąrašo pagrindu užtikrinti užsienio </w:t>
            </w:r>
            <w:r w:rsidR="009303E3" w:rsidRPr="00930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investuotojams svarbios informacijos prieinamumą (teisės aktai, įmonės registracij</w:t>
            </w:r>
            <w:r w:rsidR="00AB54B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AB54BA" w:rsidRPr="009303E3">
              <w:rPr>
                <w:rFonts w:ascii="Times New Roman" w:hAnsi="Times New Roman" w:cs="Times New Roman"/>
                <w:sz w:val="24"/>
                <w:szCs w:val="24"/>
              </w:rPr>
              <w:t xml:space="preserve"> reikalavimai</w:t>
            </w:r>
            <w:r w:rsidR="009303E3" w:rsidRPr="009303E3">
              <w:rPr>
                <w:rFonts w:ascii="Times New Roman" w:hAnsi="Times New Roman" w:cs="Times New Roman"/>
                <w:sz w:val="24"/>
                <w:szCs w:val="24"/>
              </w:rPr>
              <w:t xml:space="preserve">, leidimų ir licencijų gavimas) ir susirašinėjimą užsienio kalba. </w:t>
            </w:r>
            <w:r w:rsidR="00CC5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C5A71" w:rsidRPr="00C05E9C" w:rsidDel="00E3333B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3402" w:type="dxa"/>
          </w:tcPr>
          <w:p w:rsidR="00CC5A71" w:rsidRPr="00701F73" w:rsidDel="00E3333B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Vidaus reikalų ministerija,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Vyriausybės kanceliarija</w:t>
            </w:r>
          </w:p>
        </w:tc>
      </w:tr>
      <w:tr w:rsidR="00CC5A71" w:rsidRPr="00701F73" w:rsidTr="00920A42">
        <w:tc>
          <w:tcPr>
            <w:tcW w:w="2093" w:type="dxa"/>
            <w:vMerge/>
          </w:tcPr>
          <w:p w:rsidR="00CC5A71" w:rsidRPr="00F119F0" w:rsidRDefault="00CC5A71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C5A71" w:rsidRDefault="00D27C29" w:rsidP="00AB5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  <w:r w:rsidR="00CC5A71">
              <w:rPr>
                <w:rFonts w:ascii="Times New Roman" w:hAnsi="Times New Roman" w:cs="Times New Roman"/>
                <w:sz w:val="24"/>
                <w:szCs w:val="24"/>
              </w:rPr>
              <w:t xml:space="preserve"> Įvertinti galimybę visus įmon</w:t>
            </w:r>
            <w:r w:rsidR="00AB54BA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="00CC5A71">
              <w:rPr>
                <w:rFonts w:ascii="Times New Roman" w:hAnsi="Times New Roman" w:cs="Times New Roman"/>
                <w:sz w:val="24"/>
                <w:szCs w:val="24"/>
              </w:rPr>
              <w:t xml:space="preserve"> steig</w:t>
            </w:r>
            <w:r w:rsidR="00AB54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C5A71">
              <w:rPr>
                <w:rFonts w:ascii="Times New Roman" w:hAnsi="Times New Roman" w:cs="Times New Roman"/>
                <w:sz w:val="24"/>
                <w:szCs w:val="24"/>
              </w:rPr>
              <w:t xml:space="preserve"> reikalingus dokumentus i</w:t>
            </w:r>
            <w:r w:rsidR="00AB54B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C5A71">
              <w:rPr>
                <w:rFonts w:ascii="Times New Roman" w:hAnsi="Times New Roman" w:cs="Times New Roman"/>
                <w:sz w:val="24"/>
                <w:szCs w:val="24"/>
              </w:rPr>
              <w:t xml:space="preserve"> įmonių ataskaitas priimti užsienio kalba</w:t>
            </w:r>
            <w:r w:rsidR="00AB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5A71" w:rsidRPr="00C05E9C" w:rsidDel="00E3333B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3402" w:type="dxa"/>
          </w:tcPr>
          <w:p w:rsidR="00CC5A71" w:rsidRDefault="00AB54BA" w:rsidP="00AB5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VĮ </w:t>
            </w:r>
            <w:r w:rsidR="00CC5A71">
              <w:rPr>
                <w:rFonts w:ascii="Times New Roman" w:hAnsi="Times New Roman" w:cs="Times New Roman"/>
                <w:sz w:val="24"/>
                <w:szCs w:val="24"/>
              </w:rPr>
              <w:t>Registrų centras, Lietuvos bankas</w:t>
            </w:r>
          </w:p>
        </w:tc>
      </w:tr>
      <w:tr w:rsidR="00CC5A71" w:rsidRPr="00701F73" w:rsidTr="00920A42">
        <w:tc>
          <w:tcPr>
            <w:tcW w:w="2093" w:type="dxa"/>
            <w:vMerge/>
          </w:tcPr>
          <w:p w:rsidR="00CC5A71" w:rsidRPr="00F119F0" w:rsidRDefault="00CC5A71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C5A71" w:rsidRDefault="00CC5A71" w:rsidP="00AB5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27C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Įkurti komitetą dėl </w:t>
            </w:r>
            <w:r w:rsidRPr="0039795B">
              <w:rPr>
                <w:rFonts w:ascii="Times New Roman" w:hAnsi="Times New Roman" w:cs="Times New Roman"/>
                <w:sz w:val="24"/>
                <w:szCs w:val="24"/>
              </w:rPr>
              <w:t xml:space="preserve">16 + 1 formato valstybių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koordinavimo centro įsteigimo</w:t>
            </w:r>
            <w:r w:rsidRPr="0039795B">
              <w:rPr>
                <w:rFonts w:ascii="Times New Roman" w:hAnsi="Times New Roman" w:cs="Times New Roman"/>
                <w:sz w:val="24"/>
                <w:szCs w:val="24"/>
              </w:rPr>
              <w:t xml:space="preserve"> ir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ukšto lygio </w:t>
            </w:r>
            <w:r w:rsidRPr="00993250">
              <w:rPr>
                <w:rFonts w:ascii="Times New Roman" w:hAnsi="Times New Roman" w:cs="Times New Roman"/>
                <w:sz w:val="24"/>
                <w:szCs w:val="24"/>
              </w:rPr>
              <w:t>FINTECH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konferencijos organizavimo</w:t>
            </w:r>
            <w:r w:rsidR="00AB5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4BA" w:rsidRPr="0039795B">
              <w:rPr>
                <w:rFonts w:ascii="Times New Roman" w:hAnsi="Times New Roman" w:cs="Times New Roman"/>
                <w:sz w:val="24"/>
                <w:szCs w:val="24"/>
              </w:rPr>
              <w:t>2019 m</w:t>
            </w:r>
            <w:r w:rsidR="00AB54BA">
              <w:rPr>
                <w:rFonts w:ascii="Times New Roman" w:hAnsi="Times New Roman" w:cs="Times New Roman"/>
                <w:sz w:val="24"/>
                <w:szCs w:val="24"/>
              </w:rPr>
              <w:t>etais</w:t>
            </w:r>
            <w:r w:rsidR="00AB54BA" w:rsidRPr="00397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5A71" w:rsidRPr="00C05E9C" w:rsidDel="00E3333B" w:rsidRDefault="00CC5A71" w:rsidP="00E3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21B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m. I ketv.</w:t>
            </w:r>
          </w:p>
        </w:tc>
        <w:tc>
          <w:tcPr>
            <w:tcW w:w="3402" w:type="dxa"/>
          </w:tcPr>
          <w:p w:rsidR="00CC5A71" w:rsidRDefault="00CC5A71" w:rsidP="00E3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Finansų ministerija, Vyriausybės kanceliarija, Užsienio reikalų ministerija </w:t>
            </w:r>
          </w:p>
        </w:tc>
      </w:tr>
      <w:tr w:rsidR="00CC5A71" w:rsidRPr="00701F73" w:rsidTr="00920A42">
        <w:tc>
          <w:tcPr>
            <w:tcW w:w="2093" w:type="dxa"/>
            <w:vMerge/>
          </w:tcPr>
          <w:p w:rsidR="00CC5A71" w:rsidRPr="00F119F0" w:rsidRDefault="00CC5A71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303E3" w:rsidRDefault="00CC5A71" w:rsidP="00AB5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27C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94C46">
              <w:rPr>
                <w:rFonts w:ascii="Times New Roman" w:hAnsi="Times New Roman" w:cs="Times New Roman"/>
                <w:sz w:val="24"/>
                <w:szCs w:val="24"/>
              </w:rPr>
              <w:t xml:space="preserve">Nustatyti užsienyje veikiančias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 w:rsidRPr="00494C46">
              <w:rPr>
                <w:rFonts w:ascii="Times New Roman" w:hAnsi="Times New Roman" w:cs="Times New Roman"/>
                <w:sz w:val="24"/>
                <w:szCs w:val="24"/>
              </w:rPr>
              <w:t xml:space="preserve">įmones, kurių veiklos pritraukimas į Lietuvą laikytinas prioritetiniu, ir </w:t>
            </w:r>
            <w:r w:rsidR="00AB54BA">
              <w:rPr>
                <w:rFonts w:ascii="Times New Roman" w:hAnsi="Times New Roman" w:cs="Times New Roman"/>
                <w:sz w:val="24"/>
                <w:szCs w:val="24"/>
              </w:rPr>
              <w:t xml:space="preserve">parengti </w:t>
            </w:r>
            <w:r w:rsidRPr="00494C46">
              <w:rPr>
                <w:rFonts w:ascii="Times New Roman" w:hAnsi="Times New Roman" w:cs="Times New Roman"/>
                <w:sz w:val="24"/>
                <w:szCs w:val="24"/>
              </w:rPr>
              <w:t>ši</w:t>
            </w:r>
            <w:r w:rsidR="00AB54BA">
              <w:rPr>
                <w:rFonts w:ascii="Times New Roman" w:hAnsi="Times New Roman" w:cs="Times New Roman"/>
                <w:sz w:val="24"/>
                <w:szCs w:val="24"/>
              </w:rPr>
              <w:t>oms</w:t>
            </w:r>
            <w:r w:rsidRPr="00494C46">
              <w:rPr>
                <w:rFonts w:ascii="Times New Roman" w:hAnsi="Times New Roman" w:cs="Times New Roman"/>
                <w:sz w:val="24"/>
                <w:szCs w:val="24"/>
              </w:rPr>
              <w:t xml:space="preserve"> įmon</w:t>
            </w:r>
            <w:r w:rsidR="00AB54BA">
              <w:rPr>
                <w:rFonts w:ascii="Times New Roman" w:hAnsi="Times New Roman" w:cs="Times New Roman"/>
                <w:sz w:val="24"/>
                <w:szCs w:val="24"/>
              </w:rPr>
              <w:t>ėms</w:t>
            </w:r>
            <w:r w:rsidRPr="00494C46">
              <w:rPr>
                <w:rFonts w:ascii="Times New Roman" w:hAnsi="Times New Roman" w:cs="Times New Roman"/>
                <w:sz w:val="24"/>
                <w:szCs w:val="24"/>
              </w:rPr>
              <w:t xml:space="preserve"> pritrauk</w:t>
            </w:r>
            <w:r w:rsidR="00AB54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94C46">
              <w:rPr>
                <w:rFonts w:ascii="Times New Roman" w:hAnsi="Times New Roman" w:cs="Times New Roman"/>
                <w:sz w:val="24"/>
                <w:szCs w:val="24"/>
              </w:rPr>
              <w:t>i reikalingus pasiūlymus.</w:t>
            </w:r>
          </w:p>
        </w:tc>
        <w:tc>
          <w:tcPr>
            <w:tcW w:w="1843" w:type="dxa"/>
          </w:tcPr>
          <w:p w:rsidR="00CC5A71" w:rsidRPr="00C05E9C" w:rsidDel="00E3333B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CC5A71" w:rsidRDefault="00B3259A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r w:rsidRPr="0049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C5A71" w:rsidRPr="00494C46">
              <w:rPr>
                <w:rFonts w:ascii="Times New Roman" w:hAnsi="Times New Roman" w:cs="Times New Roman"/>
                <w:sz w:val="24"/>
                <w:szCs w:val="24"/>
              </w:rPr>
              <w:t>Investuok Lietuvoje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C5A71" w:rsidRPr="00494C46">
              <w:rPr>
                <w:rFonts w:ascii="Times New Roman" w:hAnsi="Times New Roman" w:cs="Times New Roman"/>
                <w:sz w:val="24"/>
                <w:szCs w:val="24"/>
              </w:rPr>
              <w:t>, Ūkio ministerija, Finansų ministerija, Lietuvos bankas</w:t>
            </w:r>
          </w:p>
        </w:tc>
      </w:tr>
      <w:tr w:rsidR="00CC5A71" w:rsidRPr="00701F73" w:rsidTr="00920A42">
        <w:tc>
          <w:tcPr>
            <w:tcW w:w="2093" w:type="dxa"/>
            <w:vMerge/>
          </w:tcPr>
          <w:p w:rsidR="00CC5A71" w:rsidRPr="00F119F0" w:rsidRDefault="00CC5A71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C5A71" w:rsidRPr="000C03BE" w:rsidRDefault="00CC5A71" w:rsidP="00D27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A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27C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20A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03BE">
              <w:rPr>
                <w:rFonts w:ascii="Times New Roman" w:hAnsi="Times New Roman" w:cs="Times New Roman"/>
                <w:sz w:val="24"/>
                <w:szCs w:val="24"/>
              </w:rPr>
              <w:t xml:space="preserve">Siūlyti Vilniaus miesto savivaldybei sudaryti memorandumus su užsienio miestų savivaldos institucijomis siekiant skatinti bendradarbiavimą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 w:rsidRPr="000C03BE">
              <w:rPr>
                <w:rFonts w:ascii="Times New Roman" w:hAnsi="Times New Roman" w:cs="Times New Roman"/>
                <w:sz w:val="24"/>
                <w:szCs w:val="24"/>
              </w:rPr>
              <w:t>srityje</w:t>
            </w:r>
            <w:r w:rsidR="00AB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5A71" w:rsidRPr="000C03BE" w:rsidDel="00E3333B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402" w:type="dxa"/>
          </w:tcPr>
          <w:p w:rsidR="00CC5A71" w:rsidRPr="000C03BE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„GO Vilnius“</w:t>
            </w:r>
          </w:p>
        </w:tc>
      </w:tr>
      <w:tr w:rsidR="00CC5A71" w:rsidRPr="00701F73" w:rsidTr="00920A42">
        <w:tc>
          <w:tcPr>
            <w:tcW w:w="2093" w:type="dxa"/>
            <w:vMerge w:val="restart"/>
          </w:tcPr>
          <w:p w:rsidR="00CC5A71" w:rsidRPr="00F119F0" w:rsidRDefault="00CC5A71" w:rsidP="00E26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Didinti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žinomumą ir naudojimą</w:t>
            </w:r>
          </w:p>
        </w:tc>
        <w:tc>
          <w:tcPr>
            <w:tcW w:w="7796" w:type="dxa"/>
          </w:tcPr>
          <w:p w:rsidR="00CC5A71" w:rsidRPr="00F119F0" w:rsidRDefault="00CC5A71" w:rsidP="00484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Užtikrinti, kad</w:t>
            </w:r>
            <w:r w:rsidR="00484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planuojant ir derinant </w:t>
            </w:r>
            <w:r w:rsidR="0048467F">
              <w:rPr>
                <w:rFonts w:ascii="Times New Roman" w:hAnsi="Times New Roman" w:cs="Times New Roman"/>
                <w:sz w:val="24"/>
                <w:szCs w:val="24"/>
              </w:rPr>
              <w:t xml:space="preserve">informacinių technologijų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projektus, atskirai būtų įvertintos </w:t>
            </w:r>
            <w:r w:rsidRPr="0005726C">
              <w:rPr>
                <w:rFonts w:ascii="Times New Roman" w:hAnsi="Times New Roman" w:cs="Times New Roman"/>
                <w:sz w:val="24"/>
                <w:szCs w:val="24"/>
              </w:rPr>
              <w:t xml:space="preserve">decentralizuotos </w:t>
            </w:r>
            <w:r w:rsidR="0048467F">
              <w:rPr>
                <w:rFonts w:ascii="Times New Roman" w:hAnsi="Times New Roman" w:cs="Times New Roman"/>
                <w:sz w:val="24"/>
                <w:szCs w:val="24"/>
              </w:rPr>
              <w:t xml:space="preserve">blokų grandinės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(angl. </w:t>
            </w:r>
            <w:r w:rsidRPr="00BD2EBC">
              <w:rPr>
                <w:rFonts w:ascii="Times New Roman" w:hAnsi="Times New Roman" w:cs="Times New Roman"/>
                <w:i/>
                <w:sz w:val="24"/>
                <w:szCs w:val="24"/>
              </w:rPr>
              <w:t>blockchain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05726C">
              <w:rPr>
                <w:rFonts w:ascii="Times New Roman" w:hAnsi="Times New Roman" w:cs="Times New Roman"/>
                <w:sz w:val="24"/>
                <w:szCs w:val="24"/>
              </w:rPr>
              <w:t xml:space="preserve"> įgyvendi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05726C">
              <w:rPr>
                <w:rFonts w:ascii="Times New Roman" w:hAnsi="Times New Roman" w:cs="Times New Roman"/>
                <w:sz w:val="24"/>
                <w:szCs w:val="24"/>
              </w:rPr>
              <w:t>mo galimyb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05726C">
              <w:rPr>
                <w:rFonts w:ascii="Times New Roman" w:hAnsi="Times New Roman" w:cs="Times New Roman"/>
                <w:sz w:val="24"/>
                <w:szCs w:val="24"/>
              </w:rPr>
              <w:t>s viešajame sektoriuje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5A71" w:rsidRPr="00F24C78" w:rsidRDefault="009303E3" w:rsidP="00537220">
            <w:pPr>
              <w:tabs>
                <w:tab w:val="left" w:pos="1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402" w:type="dxa"/>
          </w:tcPr>
          <w:p w:rsidR="00CC5A71" w:rsidRPr="00F119F0" w:rsidRDefault="00CC5A71" w:rsidP="00B71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Ūkio ministerija, </w:t>
            </w:r>
            <w:r w:rsidRPr="0005726C">
              <w:rPr>
                <w:rFonts w:ascii="Times New Roman" w:hAnsi="Times New Roman" w:cs="Times New Roman"/>
                <w:sz w:val="24"/>
                <w:szCs w:val="24"/>
              </w:rPr>
              <w:t>Informacinės visuomenės plėtros komitetas</w:t>
            </w:r>
            <w:r w:rsidR="007536EF">
              <w:rPr>
                <w:rFonts w:ascii="Times New Roman" w:hAnsi="Times New Roman" w:cs="Times New Roman"/>
                <w:sz w:val="24"/>
                <w:szCs w:val="24"/>
              </w:rPr>
              <w:t xml:space="preserve"> prie Ūkio ministerijos</w:t>
            </w:r>
            <w:r w:rsidRPr="000572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36EF">
              <w:rPr>
                <w:rFonts w:ascii="Times New Roman" w:hAnsi="Times New Roman" w:cs="Times New Roman"/>
                <w:sz w:val="24"/>
                <w:szCs w:val="24"/>
              </w:rPr>
              <w:t xml:space="preserve">VĮ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Registrų centras, </w:t>
            </w:r>
            <w:r w:rsidRPr="0005726C">
              <w:rPr>
                <w:rFonts w:ascii="Times New Roman" w:hAnsi="Times New Roman" w:cs="Times New Roman"/>
                <w:sz w:val="24"/>
                <w:szCs w:val="24"/>
              </w:rPr>
              <w:t>Finansų ministerija, Lietuvos bankas</w:t>
            </w:r>
          </w:p>
        </w:tc>
      </w:tr>
      <w:tr w:rsidR="00CC5A71" w:rsidRPr="00701F73" w:rsidTr="00920A42">
        <w:tc>
          <w:tcPr>
            <w:tcW w:w="2093" w:type="dxa"/>
            <w:vMerge/>
          </w:tcPr>
          <w:p w:rsidR="00CC5A71" w:rsidRPr="00701F73" w:rsidRDefault="00CC5A71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CC5A71" w:rsidRPr="00537220" w:rsidRDefault="000947D1" w:rsidP="00084A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  <w:r w:rsidR="00CC5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Inicijuoti ir įgyvendinti FINTECH LT projektą:</w:t>
            </w:r>
          </w:p>
          <w:p w:rsidR="00CC5A71" w:rsidRPr="00993250" w:rsidRDefault="000947D1" w:rsidP="009932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 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ir 2020 m</w:t>
            </w:r>
            <w:r w:rsidR="00084A88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etais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4A88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organizuoti 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tarptautines FINTECH inovacijų konferencijas Lietuvoje; </w:t>
            </w:r>
          </w:p>
          <w:p w:rsidR="00CC5A71" w:rsidRPr="00993250" w:rsidRDefault="000947D1" w:rsidP="009932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.2. 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organizuoti renginius užsienyje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inovacij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 tema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5A71" w:rsidRPr="00993250" w:rsidRDefault="000947D1" w:rsidP="009932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.3. 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organizuoti užsienio žiniasklaidos vizitus Lietuvoje, užsakomuosius straipsnius užsienio žiniasklaidos priemonėse, vaizdo klipų ar laidų rengimą, jų platinimo paslaugos užsakymą bei vykdyti kitas komunikacijos priemones, skirtas finansin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ėm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inovacij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084A88" w:rsidRPr="00656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populiarinti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5A71" w:rsidRPr="00993250" w:rsidRDefault="000947D1" w:rsidP="009932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.4. 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organizuoti renginių finansin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ių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inovacij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Lietuvoje 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tema 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ciklą i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užsakomųjų straipsnių žiniasklaidoje parengimą ir spausdinimą bei vykdyti kitas komunikacijos priemones, skirtas finansin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ėm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inovacij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084A88" w:rsidRPr="00055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populiarinti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5A71" w:rsidRPr="00993250" w:rsidRDefault="000947D1" w:rsidP="009932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.5. </w:t>
            </w:r>
            <w:r w:rsidR="00CC5A71" w:rsidRP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organizuoti inovacijų konsultacijų teikimą FINTECH įmonėms. </w:t>
            </w:r>
          </w:p>
          <w:p w:rsidR="00CC5A71" w:rsidDel="00E3333B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5A71" w:rsidRPr="00F119F0" w:rsidDel="00E3333B" w:rsidRDefault="00CC5A71" w:rsidP="00E3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10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m. I ketv.</w:t>
            </w:r>
          </w:p>
        </w:tc>
        <w:tc>
          <w:tcPr>
            <w:tcW w:w="3402" w:type="dxa"/>
          </w:tcPr>
          <w:p w:rsidR="00CC5A71" w:rsidRPr="00F119F0" w:rsidDel="00E3333B" w:rsidRDefault="00CC5A71" w:rsidP="00D91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Ūkio ministerija, </w:t>
            </w:r>
            <w:r w:rsidRPr="00FD0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Mokslo, inovacijų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ir technologijų agentūra, Užsienio reikalų ministerija, </w:t>
            </w:r>
            <w:r w:rsidRPr="00B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konsultuojantis su Lietuvos banku</w:t>
            </w:r>
          </w:p>
        </w:tc>
      </w:tr>
      <w:tr w:rsidR="00CC5A71" w:rsidRPr="00701F73" w:rsidTr="00920A42">
        <w:tc>
          <w:tcPr>
            <w:tcW w:w="2093" w:type="dxa"/>
            <w:vMerge/>
          </w:tcPr>
          <w:p w:rsidR="00CC5A71" w:rsidRPr="00701F73" w:rsidRDefault="00CC5A71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:rsidR="00CC5A71" w:rsidRDefault="000947D1" w:rsidP="009932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  <w:r w:rsidR="00CC5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C5A71" w:rsidRPr="00FD4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Suformuoti naujos </w:t>
            </w:r>
            <w:r w:rsidR="0099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aplinkos</w:t>
            </w:r>
            <w:r w:rsidR="00CC5A71" w:rsidRPr="00FD4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skirtos atsiskaityti negrynaisiais pinigais ugdymo</w:t>
            </w:r>
            <w:r w:rsidR="00CC5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5A71" w:rsidRPr="00FD4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įstaigose, kaip alternatyvos gryniesiems p</w:t>
            </w:r>
            <w:r w:rsidR="00CC5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inigams, pagrindinius elementus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5A71" w:rsidRPr="008564B0" w:rsidRDefault="00CC5A71" w:rsidP="00E3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CC5A71" w:rsidRDefault="00CC5A71" w:rsidP="004D4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Švietimo ir mokslo ministerija, Lietuvos bankas</w:t>
            </w:r>
          </w:p>
        </w:tc>
      </w:tr>
      <w:tr w:rsidR="00CC5A71" w:rsidRPr="00701F73" w:rsidTr="00920A42">
        <w:tc>
          <w:tcPr>
            <w:tcW w:w="2093" w:type="dxa"/>
            <w:vMerge/>
          </w:tcPr>
          <w:p w:rsidR="00CC5A71" w:rsidRPr="00701F73" w:rsidRDefault="00CC5A71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C5A71" w:rsidRDefault="000947D1" w:rsidP="00DE64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  <w:r w:rsidR="00CC5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5A71" w:rsidRPr="00B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Siūlyti Lietuvos bankui parengti atvirosios bankininkystės principo taikymo Lietuvoje pasiūlymus</w:t>
            </w:r>
            <w:r w:rsidR="0008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5A71" w:rsidRPr="00F119F0" w:rsidDel="00E3333B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III ketv.</w:t>
            </w:r>
          </w:p>
        </w:tc>
        <w:tc>
          <w:tcPr>
            <w:tcW w:w="3402" w:type="dxa"/>
          </w:tcPr>
          <w:p w:rsidR="00CC5A71" w:rsidRDefault="00CC5A71" w:rsidP="004D4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bankas, Finansų ministerija</w:t>
            </w:r>
          </w:p>
        </w:tc>
      </w:tr>
      <w:tr w:rsidR="00CC5A71" w:rsidRPr="00701F73" w:rsidTr="00920A42">
        <w:tc>
          <w:tcPr>
            <w:tcW w:w="2093" w:type="dxa"/>
            <w:vMerge w:val="restart"/>
          </w:tcPr>
          <w:p w:rsidR="00CC5A71" w:rsidRPr="00F119F0" w:rsidRDefault="00CC5A71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B38F9">
              <w:rPr>
                <w:rFonts w:ascii="Times New Roman" w:hAnsi="Times New Roman" w:cs="Times New Roman"/>
                <w:sz w:val="24"/>
                <w:szCs w:val="24"/>
              </w:rPr>
              <w:t>Užtikrinti k</w:t>
            </w:r>
            <w:r w:rsidRPr="00F119F0">
              <w:rPr>
                <w:rFonts w:ascii="Times New Roman" w:hAnsi="Times New Roman" w:cs="Times New Roman"/>
                <w:sz w:val="24"/>
                <w:szCs w:val="24"/>
              </w:rPr>
              <w:t>apitalo pasiūl</w:t>
            </w:r>
            <w:r w:rsidR="00CB38F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F119F0">
              <w:rPr>
                <w:rFonts w:ascii="Times New Roman" w:hAnsi="Times New Roman" w:cs="Times New Roman"/>
                <w:sz w:val="24"/>
                <w:szCs w:val="24"/>
              </w:rPr>
              <w:t xml:space="preserve"> įmonėms kiekviename </w:t>
            </w:r>
            <w:r w:rsidR="00CB38F9">
              <w:rPr>
                <w:rFonts w:ascii="Times New Roman" w:hAnsi="Times New Roman" w:cs="Times New Roman"/>
                <w:sz w:val="24"/>
                <w:szCs w:val="24"/>
              </w:rPr>
              <w:t xml:space="preserve">jų </w:t>
            </w:r>
            <w:r w:rsidRPr="00F119F0">
              <w:rPr>
                <w:rFonts w:ascii="Times New Roman" w:hAnsi="Times New Roman" w:cs="Times New Roman"/>
                <w:sz w:val="24"/>
                <w:szCs w:val="24"/>
              </w:rPr>
              <w:t>plėtros etape</w:t>
            </w:r>
          </w:p>
          <w:p w:rsidR="00CC5A71" w:rsidRPr="00F119F0" w:rsidRDefault="00CC5A71" w:rsidP="0066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C5A71" w:rsidDel="00E3333B" w:rsidRDefault="00CC5A71" w:rsidP="00084A88">
            <w:pPr>
              <w:tabs>
                <w:tab w:val="left" w:pos="45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Sudaryti galimybę s</w:t>
            </w:r>
            <w:r w:rsidRPr="000B789E">
              <w:rPr>
                <w:rFonts w:ascii="Times New Roman" w:hAnsi="Times New Roman" w:cs="Times New Roman"/>
                <w:sz w:val="24"/>
                <w:szCs w:val="24"/>
              </w:rPr>
              <w:t>mulkio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 ir vidutinio verslo subjektams pasinaudoti</w:t>
            </w:r>
            <w:r w:rsidRPr="000B7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A88">
              <w:rPr>
                <w:rFonts w:ascii="Times New Roman" w:hAnsi="Times New Roman" w:cs="Times New Roman"/>
                <w:sz w:val="24"/>
                <w:szCs w:val="24"/>
              </w:rPr>
              <w:t xml:space="preserve">priemone </w:t>
            </w:r>
            <w:r w:rsidRPr="000B789E">
              <w:rPr>
                <w:rFonts w:ascii="Times New Roman" w:hAnsi="Times New Roman" w:cs="Times New Roman"/>
                <w:sz w:val="24"/>
                <w:szCs w:val="24"/>
              </w:rPr>
              <w:t>„Sutelktinės paskolos „Avietė“</w:t>
            </w:r>
            <w:r w:rsidR="00CB3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5A71" w:rsidRPr="008564B0" w:rsidDel="00E3333B" w:rsidRDefault="000947D1" w:rsidP="00E3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CC5A71" w:rsidRPr="008564B0" w:rsidDel="00E3333B" w:rsidRDefault="007536EF" w:rsidP="0075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„Invest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icijų ir verslo garantijos“</w:t>
            </w:r>
          </w:p>
        </w:tc>
      </w:tr>
      <w:tr w:rsidR="00CC5A71" w:rsidRPr="00701F73" w:rsidTr="00920A42">
        <w:tc>
          <w:tcPr>
            <w:tcW w:w="2093" w:type="dxa"/>
            <w:vMerge/>
          </w:tcPr>
          <w:p w:rsidR="00CC5A71" w:rsidRPr="00F119F0" w:rsidRDefault="00CC5A71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C5A71" w:rsidRDefault="00CC5A71" w:rsidP="00E31C34">
            <w:pPr>
              <w:tabs>
                <w:tab w:val="left" w:pos="45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Išnagrinėti galimybes sustiprinti </w:t>
            </w:r>
            <w:r w:rsidRP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įmonių galimybes gauti rizikos kapitalo investicijas Lietuvoje</w:t>
            </w:r>
            <w:r w:rsidR="00CB3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5A71" w:rsidRPr="008564B0" w:rsidDel="00E3333B" w:rsidRDefault="00CC5A71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CC5A71" w:rsidRDefault="007536EF" w:rsidP="00E44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„Invest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icijų ir verslo garantijos“</w:t>
            </w:r>
            <w:r w:rsidR="00CC5A71">
              <w:rPr>
                <w:rFonts w:ascii="Times New Roman" w:hAnsi="Times New Roman" w:cs="Times New Roman"/>
                <w:sz w:val="24"/>
                <w:szCs w:val="24"/>
              </w:rPr>
              <w:t>, Ūkio ministerija</w:t>
            </w:r>
          </w:p>
        </w:tc>
      </w:tr>
      <w:tr w:rsidR="003926E4" w:rsidRPr="00701F73" w:rsidTr="00920A42">
        <w:tc>
          <w:tcPr>
            <w:tcW w:w="2093" w:type="dxa"/>
            <w:vMerge w:val="restart"/>
          </w:tcPr>
          <w:p w:rsidR="003926E4" w:rsidRPr="00DE64CC" w:rsidRDefault="003926E4" w:rsidP="0022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5. Užtikrinti tinkamos darbo jėgos rengimą Lietuvoje</w:t>
            </w:r>
          </w:p>
        </w:tc>
        <w:tc>
          <w:tcPr>
            <w:tcW w:w="7796" w:type="dxa"/>
          </w:tcPr>
          <w:p w:rsidR="003926E4" w:rsidRPr="00DE64CC" w:rsidRDefault="003926E4" w:rsidP="006664D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. Parengti konsoliduotą informaciją apie Lietuvos aukštosiose mokyklose prieinamas studijų programas, kurios suteikia </w:t>
            </w:r>
            <w:r w:rsidRP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sričiai reikalingų kompetencijų, ir išplatinti ją visoms Lietuvos gimnazijoms. </w:t>
            </w:r>
          </w:p>
        </w:tc>
        <w:tc>
          <w:tcPr>
            <w:tcW w:w="1843" w:type="dxa"/>
          </w:tcPr>
          <w:p w:rsidR="003926E4" w:rsidRPr="00DE64CC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3926E4" w:rsidRPr="00DE64CC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Švietimo ir mokslo ministerija</w:t>
            </w:r>
          </w:p>
        </w:tc>
      </w:tr>
      <w:tr w:rsidR="003926E4" w:rsidRPr="00701F73" w:rsidTr="00920A42">
        <w:tc>
          <w:tcPr>
            <w:tcW w:w="2093" w:type="dxa"/>
            <w:vMerge/>
          </w:tcPr>
          <w:p w:rsidR="003926E4" w:rsidRPr="00DE64CC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26E4" w:rsidRPr="00DE64CC" w:rsidDel="00F21A24" w:rsidRDefault="003926E4" w:rsidP="007F22B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. Įvertinti galimybes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skirti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 paramą FINTECH srities </w:t>
            </w:r>
            <w:r w:rsidRPr="00382E28">
              <w:rPr>
                <w:rFonts w:ascii="Times New Roman" w:hAnsi="Times New Roman"/>
                <w:sz w:val="24"/>
                <w:szCs w:val="24"/>
              </w:rPr>
              <w:t>moksliniams tyrimams ir eksperimentinei plėtrai</w:t>
            </w:r>
            <w:r w:rsidR="00CB38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926E4" w:rsidRPr="00DE64CC" w:rsidDel="00F21A24" w:rsidRDefault="003926E4" w:rsidP="007F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3402" w:type="dxa"/>
          </w:tcPr>
          <w:p w:rsidR="003926E4" w:rsidRPr="00DE64CC" w:rsidDel="00F21A24" w:rsidRDefault="003926E4" w:rsidP="00D9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Švietimo ir mokslo ministerija</w:t>
            </w:r>
          </w:p>
        </w:tc>
      </w:tr>
      <w:tr w:rsidR="003926E4" w:rsidRPr="00701F73" w:rsidTr="00920A42">
        <w:tc>
          <w:tcPr>
            <w:tcW w:w="2093" w:type="dxa"/>
            <w:vMerge/>
          </w:tcPr>
          <w:p w:rsidR="003926E4" w:rsidRPr="00DE64CC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26E4" w:rsidRPr="00DE64CC" w:rsidRDefault="003926E4" w:rsidP="00E447D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. Pritaikyti Mėlynosios kortelės programą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rinkos talentų poreikiams</w:t>
            </w:r>
            <w:r w:rsidR="00CB3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926E4" w:rsidRPr="00DE64CC" w:rsidDel="00F21A24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3926E4" w:rsidRPr="00DE64CC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Vidaus reikalų ministerija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Migracijos departamentas</w:t>
            </w:r>
            <w:r w:rsidR="00CB38F9">
              <w:rPr>
                <w:rFonts w:ascii="Times New Roman" w:hAnsi="Times New Roman" w:cs="Times New Roman"/>
                <w:sz w:val="24"/>
                <w:szCs w:val="24"/>
              </w:rPr>
              <w:t xml:space="preserve"> prie Lietuvos Respublikos vidaus reikalų ministerijos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, Lietuvos bankas</w:t>
            </w:r>
          </w:p>
        </w:tc>
      </w:tr>
      <w:tr w:rsidR="003926E4" w:rsidRPr="00701F73" w:rsidTr="00920A42">
        <w:tc>
          <w:tcPr>
            <w:tcW w:w="2093" w:type="dxa"/>
            <w:vMerge/>
          </w:tcPr>
          <w:p w:rsidR="003926E4" w:rsidRPr="00DE64CC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26E4" w:rsidRPr="00DE64CC" w:rsidRDefault="003926E4" w:rsidP="0092116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. Išnaudoti „</w:t>
            </w:r>
            <w:proofErr w:type="spellStart"/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 Lithuania“ programą pritraukiant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rinkai reikalingus talentus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3BE">
              <w:rPr>
                <w:rFonts w:ascii="Times New Roman" w:hAnsi="Times New Roman" w:cs="Times New Roman"/>
                <w:sz w:val="24"/>
                <w:szCs w:val="24"/>
              </w:rPr>
              <w:t xml:space="preserve">ir juos integruoti organizuojant informacines sesijas (angl. </w:t>
            </w:r>
            <w:proofErr w:type="spellStart"/>
            <w:r w:rsidRPr="00993250">
              <w:rPr>
                <w:rFonts w:ascii="Times New Roman" w:hAnsi="Times New Roman" w:cs="Times New Roman"/>
                <w:i/>
                <w:sz w:val="24"/>
                <w:szCs w:val="24"/>
              </w:rPr>
              <w:t>workshops</w:t>
            </w:r>
            <w:proofErr w:type="spellEnd"/>
            <w:r w:rsidRPr="000C03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B3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926E4" w:rsidRPr="00DE64CC" w:rsidDel="00F21A24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402" w:type="dxa"/>
          </w:tcPr>
          <w:p w:rsidR="003926E4" w:rsidRPr="00DE64CC" w:rsidRDefault="003926E4" w:rsidP="00CB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Vidaus reikalų ministerija (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Migracijos departamentas</w:t>
            </w:r>
            <w:r w:rsidR="00CB38F9">
              <w:rPr>
                <w:rFonts w:ascii="Times New Roman" w:hAnsi="Times New Roman" w:cs="Times New Roman"/>
                <w:sz w:val="24"/>
                <w:szCs w:val="24"/>
              </w:rPr>
              <w:t xml:space="preserve"> prie Lietuvos Respublikos vidaus reikalų ministerijos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, VšĮ „Investuok Lietuvoje“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C0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„GO Vilnius“</w:t>
            </w:r>
          </w:p>
        </w:tc>
      </w:tr>
      <w:tr w:rsidR="003926E4" w:rsidRPr="00701F73" w:rsidTr="00920A42">
        <w:tc>
          <w:tcPr>
            <w:tcW w:w="2093" w:type="dxa"/>
            <w:vMerge w:val="restart"/>
          </w:tcPr>
          <w:p w:rsidR="003926E4" w:rsidRPr="00DE64CC" w:rsidRDefault="003926E4" w:rsidP="009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6. Skatinti Lietuvoje įsikūrusių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>FINTECH sektoriaus</w:t>
            </w:r>
            <w:r w:rsidR="00993250"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įmonių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paslaugų ir produktų eksportą į užsienio rinkas</w:t>
            </w:r>
          </w:p>
        </w:tc>
        <w:tc>
          <w:tcPr>
            <w:tcW w:w="7796" w:type="dxa"/>
          </w:tcPr>
          <w:p w:rsidR="003926E4" w:rsidRPr="00DE64CC" w:rsidRDefault="003926E4" w:rsidP="00CB3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6.1. </w:t>
            </w:r>
            <w:r w:rsidR="00CB38F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Nustatyti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</w:t>
            </w:r>
            <w:r w:rsidRPr="00DE64C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ksportu ar plėtra į užsienio rinkas suinteresuotų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 w:rsidRPr="00DE64C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įmonių interesų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E64C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kategorij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as </w:t>
            </w:r>
            <w:r w:rsidRPr="00DE64C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ir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reikalingos pagalbos priemones.</w:t>
            </w:r>
          </w:p>
        </w:tc>
        <w:tc>
          <w:tcPr>
            <w:tcW w:w="1843" w:type="dxa"/>
          </w:tcPr>
          <w:p w:rsidR="003926E4" w:rsidRPr="00DE64CC" w:rsidDel="00F21A24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3926E4" w:rsidRPr="00DE64CC" w:rsidRDefault="003926E4" w:rsidP="0022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CC">
              <w:rPr>
                <w:rFonts w:ascii="Times New Roman" w:hAnsi="Times New Roman" w:cs="Times New Roman"/>
                <w:bCs/>
                <w:sz w:val="24"/>
                <w:szCs w:val="24"/>
              </w:rPr>
              <w:t>VšĮ „Versli Lietuva“, Ūkio ministerija, Užsienio reikalų ministerija</w:t>
            </w:r>
          </w:p>
        </w:tc>
      </w:tr>
      <w:tr w:rsidR="003926E4" w:rsidRPr="00701F73" w:rsidTr="00920A42">
        <w:tc>
          <w:tcPr>
            <w:tcW w:w="2093" w:type="dxa"/>
            <w:vMerge/>
          </w:tcPr>
          <w:p w:rsidR="003926E4" w:rsidRPr="00DE64CC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26E4" w:rsidRPr="00DE64CC" w:rsidRDefault="003926E4" w:rsidP="00C64F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 Parengti e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ksporto rinkų ir potencialių </w:t>
            </w:r>
            <w:r w:rsidR="00CB38F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C64FD4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CB38F9" w:rsidRPr="00DE64CC">
              <w:rPr>
                <w:rFonts w:ascii="Times New Roman" w:hAnsi="Times New Roman" w:cs="Times New Roman"/>
                <w:sz w:val="24"/>
                <w:szCs w:val="24"/>
              </w:rPr>
              <w:t>2020 met</w:t>
            </w:r>
            <w:r w:rsidR="00CB38F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CB38F9"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renginių, kurie svarbūs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įmonėms,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sąrašus.</w:t>
            </w:r>
          </w:p>
        </w:tc>
        <w:tc>
          <w:tcPr>
            <w:tcW w:w="1843" w:type="dxa"/>
          </w:tcPr>
          <w:p w:rsidR="003926E4" w:rsidRPr="00DE64CC" w:rsidDel="00F21A24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3926E4" w:rsidRPr="00DE64CC" w:rsidRDefault="003926E4" w:rsidP="0022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VšĮ „Versli Lietuva“, Ūkio ministerija, Užsienio reikalų </w:t>
            </w:r>
            <w:r w:rsidRPr="00DE64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ministerija</w:t>
            </w:r>
          </w:p>
        </w:tc>
      </w:tr>
      <w:tr w:rsidR="003926E4" w:rsidRPr="00701F73" w:rsidTr="00920A42">
        <w:tc>
          <w:tcPr>
            <w:tcW w:w="2093" w:type="dxa"/>
            <w:vMerge/>
          </w:tcPr>
          <w:p w:rsidR="003926E4" w:rsidRPr="00DE64CC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26E4" w:rsidRPr="00DE64CC" w:rsidRDefault="003926E4" w:rsidP="00C64F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6.3. </w:t>
            </w:r>
            <w:r w:rsidR="00C64F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64FD4"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C64FD4">
              <w:rPr>
                <w:rFonts w:ascii="Times New Roman" w:hAnsi="Times New Roman" w:cs="Times New Roman"/>
                <w:sz w:val="24"/>
                <w:szCs w:val="24"/>
              </w:rPr>
              <w:t>asocijuotais sektoriaus atstovais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arengti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įmonių dalyvavimo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užsienio renginiuose koncepciją</w:t>
            </w:r>
            <w:r w:rsidR="00C64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26E4" w:rsidRPr="00DE64CC" w:rsidDel="00F21A24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3926E4" w:rsidRPr="00DE64CC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CC">
              <w:rPr>
                <w:rFonts w:ascii="Times New Roman" w:hAnsi="Times New Roman" w:cs="Times New Roman"/>
                <w:bCs/>
                <w:sz w:val="24"/>
                <w:szCs w:val="24"/>
              </w:rPr>
              <w:t>VšĮ „Versli Lietuva“, Ūkio ministerija</w:t>
            </w:r>
          </w:p>
        </w:tc>
      </w:tr>
      <w:tr w:rsidR="003926E4" w:rsidRPr="00701F73" w:rsidTr="00920A42">
        <w:tc>
          <w:tcPr>
            <w:tcW w:w="2093" w:type="dxa"/>
            <w:vMerge/>
          </w:tcPr>
          <w:p w:rsidR="003926E4" w:rsidRPr="00DE64CC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26E4" w:rsidRPr="00DE64CC" w:rsidRDefault="003926E4" w:rsidP="00C3677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 Parengti</w:t>
            </w:r>
            <w:r w:rsidR="00C64FD4">
              <w:rPr>
                <w:rFonts w:ascii="Times New Roman" w:hAnsi="Times New Roman" w:cs="Times New Roman"/>
                <w:sz w:val="24"/>
                <w:szCs w:val="24"/>
              </w:rPr>
              <w:t xml:space="preserve"> 2019 ir </w:t>
            </w:r>
            <w:r w:rsidR="00C64FD4" w:rsidRPr="00DE64C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64FD4">
              <w:rPr>
                <w:rFonts w:ascii="Times New Roman" w:hAnsi="Times New Roman" w:cs="Times New Roman"/>
                <w:sz w:val="24"/>
                <w:szCs w:val="24"/>
              </w:rPr>
              <w:t xml:space="preserve"> metų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 renginių užsienyje, kuriuose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su bendradarbiaujančiomis institucijomis planuoja dalyvauti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įmonės, sąrašą.</w:t>
            </w:r>
          </w:p>
        </w:tc>
        <w:tc>
          <w:tcPr>
            <w:tcW w:w="1843" w:type="dxa"/>
          </w:tcPr>
          <w:p w:rsidR="003926E4" w:rsidRPr="00DE64CC" w:rsidDel="00F21A24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 ketv.</w:t>
            </w:r>
          </w:p>
        </w:tc>
        <w:tc>
          <w:tcPr>
            <w:tcW w:w="3402" w:type="dxa"/>
          </w:tcPr>
          <w:p w:rsidR="003926E4" w:rsidRPr="00DE64CC" w:rsidRDefault="003926E4" w:rsidP="0022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CC">
              <w:rPr>
                <w:rFonts w:ascii="Times New Roman" w:hAnsi="Times New Roman" w:cs="Times New Roman"/>
                <w:bCs/>
                <w:sz w:val="24"/>
                <w:szCs w:val="24"/>
              </w:rPr>
              <w:t>VšĮ „Versli Lietuva“, Finansų ministerija, Lietuvos bankas, VšĮ „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Investuok Lietuvoje“, </w:t>
            </w:r>
            <w:r w:rsidRPr="00DE64CC">
              <w:rPr>
                <w:rFonts w:ascii="Times New Roman" w:hAnsi="Times New Roman" w:cs="Times New Roman"/>
                <w:bCs/>
                <w:sz w:val="24"/>
                <w:szCs w:val="24"/>
              </w:rPr>
              <w:t>Ūkio ministerija, Užsienio reikalų ministerija</w:t>
            </w:r>
          </w:p>
        </w:tc>
      </w:tr>
      <w:tr w:rsidR="003926E4" w:rsidRPr="00701F73" w:rsidTr="00920A42">
        <w:tc>
          <w:tcPr>
            <w:tcW w:w="2093" w:type="dxa"/>
            <w:vMerge/>
          </w:tcPr>
          <w:p w:rsidR="003926E4" w:rsidRPr="00DE64CC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26E4" w:rsidRPr="00DE64CC" w:rsidRDefault="003926E4" w:rsidP="007B3C5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 Išnagrinėti galimybes s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ukurti finansinės pagalbos priemonę, kuri</w:t>
            </w:r>
            <w:r w:rsidR="00C3677C">
              <w:rPr>
                <w:rFonts w:ascii="Times New Roman" w:hAnsi="Times New Roman" w:cs="Times New Roman"/>
                <w:sz w:val="24"/>
                <w:szCs w:val="24"/>
              </w:rPr>
              <w:t>, taikant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C59">
              <w:rPr>
                <w:rFonts w:ascii="Times New Roman" w:hAnsi="Times New Roman" w:cs="Times New Roman"/>
                <w:sz w:val="24"/>
                <w:szCs w:val="24"/>
              </w:rPr>
              <w:t xml:space="preserve">tarpininkų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paslaugų išlaidų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77C">
              <w:rPr>
                <w:rFonts w:ascii="Times New Roman" w:hAnsi="Times New Roman" w:cs="Times New Roman"/>
                <w:sz w:val="24"/>
                <w:szCs w:val="24"/>
              </w:rPr>
              <w:t xml:space="preserve">bendrąjį finansavimą,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paskatintų Lietuvos </w:t>
            </w:r>
            <w:r w:rsidR="00993250">
              <w:rPr>
                <w:rFonts w:ascii="Times New Roman" w:hAnsi="Times New Roman" w:cs="Times New Roman"/>
                <w:sz w:val="24"/>
                <w:szCs w:val="24"/>
              </w:rPr>
              <w:t xml:space="preserve">FINTECH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įmones </w:t>
            </w:r>
            <w:r w:rsidR="007B3C59">
              <w:rPr>
                <w:rFonts w:ascii="Times New Roman" w:hAnsi="Times New Roman" w:cs="Times New Roman"/>
                <w:sz w:val="24"/>
                <w:szCs w:val="24"/>
              </w:rPr>
              <w:t xml:space="preserve">vykdyti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 xml:space="preserve">vertybinių popierių požymių turinčių </w:t>
            </w:r>
            <w:r w:rsidR="00CC3A63">
              <w:rPr>
                <w:rFonts w:ascii="Times New Roman" w:hAnsi="Times New Roman" w:cs="Times New Roman"/>
                <w:sz w:val="24"/>
                <w:szCs w:val="24"/>
              </w:rPr>
              <w:t xml:space="preserve">virtualiosios valiutos siūlymą </w:t>
            </w:r>
            <w:r w:rsidRPr="00DE64CC">
              <w:rPr>
                <w:rFonts w:ascii="Times New Roman" w:hAnsi="Times New Roman" w:cs="Times New Roman"/>
                <w:sz w:val="24"/>
                <w:szCs w:val="24"/>
              </w:rPr>
              <w:t>(STO) ir pirminį viešą akcijų siūlymą (IPO).</w:t>
            </w:r>
          </w:p>
        </w:tc>
        <w:tc>
          <w:tcPr>
            <w:tcW w:w="1843" w:type="dxa"/>
          </w:tcPr>
          <w:p w:rsidR="003926E4" w:rsidRPr="00DE64CC" w:rsidDel="00F21A24" w:rsidRDefault="003926E4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>2019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8564B0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3402" w:type="dxa"/>
          </w:tcPr>
          <w:p w:rsidR="003926E4" w:rsidRPr="00DE64CC" w:rsidRDefault="00D9106B" w:rsidP="0022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Finansų ministerija, </w:t>
            </w:r>
            <w:r w:rsidR="003926E4" w:rsidRPr="00DE64CC">
              <w:rPr>
                <w:rFonts w:ascii="Times New Roman" w:hAnsi="Times New Roman" w:cs="Times New Roman"/>
                <w:bCs/>
                <w:sz w:val="24"/>
                <w:szCs w:val="24"/>
              </w:rPr>
              <w:t>Ūkio ministerija</w:t>
            </w:r>
          </w:p>
        </w:tc>
      </w:tr>
    </w:tbl>
    <w:p w:rsidR="008D708D" w:rsidRDefault="008D708D" w:rsidP="00653879">
      <w:pPr>
        <w:spacing w:line="240" w:lineRule="auto"/>
      </w:pPr>
    </w:p>
    <w:p w:rsidR="00FF509B" w:rsidRDefault="00FF509B" w:rsidP="00653879">
      <w:pPr>
        <w:spacing w:line="240" w:lineRule="auto"/>
      </w:pPr>
    </w:p>
    <w:p w:rsidR="00FF509B" w:rsidRPr="00993250" w:rsidRDefault="00FF509B" w:rsidP="009932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FF509B" w:rsidRPr="00993250" w:rsidSect="001A0772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4D" w:rsidRDefault="00CC1C4D" w:rsidP="007F7261">
      <w:pPr>
        <w:spacing w:after="0" w:line="240" w:lineRule="auto"/>
      </w:pPr>
      <w:r>
        <w:separator/>
      </w:r>
    </w:p>
  </w:endnote>
  <w:endnote w:type="continuationSeparator" w:id="0">
    <w:p w:rsidR="00CC1C4D" w:rsidRDefault="00CC1C4D" w:rsidP="007F7261">
      <w:pPr>
        <w:spacing w:after="0" w:line="240" w:lineRule="auto"/>
      </w:pPr>
      <w:r>
        <w:continuationSeparator/>
      </w:r>
    </w:p>
  </w:endnote>
  <w:endnote w:type="continuationNotice" w:id="1">
    <w:p w:rsidR="00CC1C4D" w:rsidRDefault="00CC1C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88" w:rsidRPr="00186DB4" w:rsidRDefault="00084A88">
    <w:pPr>
      <w:pStyle w:val="Porat"/>
      <w:jc w:val="right"/>
      <w:rPr>
        <w:rFonts w:ascii="Times New Roman" w:hAnsi="Times New Roman" w:cs="Times New Roman"/>
      </w:rPr>
    </w:pPr>
  </w:p>
  <w:p w:rsidR="00084A88" w:rsidRDefault="00084A8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88" w:rsidRDefault="00084A88">
    <w:pPr>
      <w:pStyle w:val="Porat"/>
      <w:jc w:val="right"/>
    </w:pPr>
  </w:p>
  <w:p w:rsidR="00084A88" w:rsidRDefault="00084A8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4D" w:rsidRDefault="00CC1C4D" w:rsidP="007F7261">
      <w:pPr>
        <w:spacing w:after="0" w:line="240" w:lineRule="auto"/>
      </w:pPr>
      <w:r>
        <w:separator/>
      </w:r>
    </w:p>
  </w:footnote>
  <w:footnote w:type="continuationSeparator" w:id="0">
    <w:p w:rsidR="00CC1C4D" w:rsidRDefault="00CC1C4D" w:rsidP="007F7261">
      <w:pPr>
        <w:spacing w:after="0" w:line="240" w:lineRule="auto"/>
      </w:pPr>
      <w:r>
        <w:continuationSeparator/>
      </w:r>
    </w:p>
  </w:footnote>
  <w:footnote w:type="continuationNotice" w:id="1">
    <w:p w:rsidR="00CC1C4D" w:rsidRDefault="00CC1C4D">
      <w:pPr>
        <w:spacing w:after="0" w:line="240" w:lineRule="auto"/>
      </w:pPr>
    </w:p>
  </w:footnote>
  <w:footnote w:id="2">
    <w:p w:rsidR="00084A88" w:rsidRDefault="00084A88">
      <w:pPr>
        <w:pStyle w:val="Puslapioinaostekstas"/>
      </w:pPr>
      <w:r w:rsidRPr="00486E31">
        <w:rPr>
          <w:rFonts w:ascii="Times New Roman" w:hAnsi="Times New Roman" w:cs="Times New Roman"/>
        </w:rPr>
        <w:footnoteRef/>
      </w:r>
      <w:r w:rsidRPr="00486E31">
        <w:rPr>
          <w:rFonts w:ascii="Times New Roman" w:hAnsi="Times New Roman" w:cs="Times New Roman"/>
        </w:rPr>
        <w:t xml:space="preserve"> Rodikliai gali būti tikslinami</w:t>
      </w:r>
      <w:r>
        <w:rPr>
          <w:rFonts w:ascii="Times New Roman" w:hAnsi="Times New Roman" w:cs="Times New Roman"/>
        </w:rPr>
        <w:t>.</w:t>
      </w:r>
    </w:p>
  </w:footnote>
  <w:footnote w:id="3">
    <w:p w:rsidR="00084A88" w:rsidRPr="00F57DC9" w:rsidRDefault="00084A88">
      <w:pPr>
        <w:pStyle w:val="Puslapioinaostekstas"/>
        <w:rPr>
          <w:rFonts w:ascii="Times New Roman" w:hAnsi="Times New Roman" w:cs="Times New Roman"/>
        </w:rPr>
      </w:pPr>
      <w:r w:rsidRPr="00F57DC9">
        <w:rPr>
          <w:rStyle w:val="Puslapioinaosnuoroda"/>
          <w:rFonts w:ascii="Times New Roman" w:hAnsi="Times New Roman" w:cs="Times New Roman"/>
        </w:rPr>
        <w:footnoteRef/>
      </w:r>
      <w:r w:rsidRPr="00F57DC9">
        <w:rPr>
          <w:rFonts w:ascii="Times New Roman" w:hAnsi="Times New Roman" w:cs="Times New Roman"/>
        </w:rPr>
        <w:t xml:space="preserve"> Pagal VšĮ „GO Vilnius“ parengtą svarbiausių tarptautinių finansinių centrų reitingų sąrašą.</w:t>
      </w:r>
    </w:p>
  </w:footnote>
  <w:footnote w:id="4">
    <w:p w:rsidR="00084A88" w:rsidRPr="003F7550" w:rsidRDefault="00084A88" w:rsidP="004D3F5C">
      <w:pPr>
        <w:pStyle w:val="Puslapioinaostekstas"/>
        <w:rPr>
          <w:rFonts w:ascii="Times New Roman" w:hAnsi="Times New Roman" w:cs="Times New Roman"/>
        </w:rPr>
      </w:pPr>
      <w:r w:rsidRPr="00743CC2">
        <w:rPr>
          <w:rStyle w:val="Puslapioinaosnuoroda"/>
          <w:rFonts w:ascii="Times New Roman" w:hAnsi="Times New Roman" w:cs="Times New Roman"/>
        </w:rPr>
        <w:footnoteRef/>
      </w:r>
      <w:r w:rsidRPr="00743CC2">
        <w:rPr>
          <w:rFonts w:ascii="Times New Roman" w:hAnsi="Times New Roman" w:cs="Times New Roman"/>
        </w:rPr>
        <w:t xml:space="preserve"> Pagal VšĮ „Investuok Lietuvoje“ parengtą reikšmingų įmonių sąrašą.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5710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506DF" w:rsidRPr="00993250" w:rsidRDefault="00D506DF">
        <w:pPr>
          <w:pStyle w:val="Antrats"/>
          <w:jc w:val="center"/>
          <w:rPr>
            <w:rFonts w:ascii="Times New Roman" w:hAnsi="Times New Roman" w:cs="Times New Roman"/>
          </w:rPr>
        </w:pPr>
        <w:r w:rsidRPr="00993250">
          <w:rPr>
            <w:rFonts w:ascii="Times New Roman" w:hAnsi="Times New Roman" w:cs="Times New Roman"/>
          </w:rPr>
          <w:fldChar w:fldCharType="begin"/>
        </w:r>
        <w:r w:rsidRPr="00993250">
          <w:rPr>
            <w:rFonts w:ascii="Times New Roman" w:hAnsi="Times New Roman" w:cs="Times New Roman"/>
          </w:rPr>
          <w:instrText>PAGE   \* MERGEFORMAT</w:instrText>
        </w:r>
        <w:r w:rsidRPr="00993250">
          <w:rPr>
            <w:rFonts w:ascii="Times New Roman" w:hAnsi="Times New Roman" w:cs="Times New Roman"/>
          </w:rPr>
          <w:fldChar w:fldCharType="separate"/>
        </w:r>
        <w:r w:rsidR="00BA7084">
          <w:rPr>
            <w:rFonts w:ascii="Times New Roman" w:hAnsi="Times New Roman" w:cs="Times New Roman"/>
            <w:noProof/>
          </w:rPr>
          <w:t>7</w:t>
        </w:r>
        <w:r w:rsidRPr="00993250">
          <w:rPr>
            <w:rFonts w:ascii="Times New Roman" w:hAnsi="Times New Roman" w:cs="Times New Roman"/>
          </w:rPr>
          <w:fldChar w:fldCharType="end"/>
        </w:r>
      </w:p>
    </w:sdtContent>
  </w:sdt>
  <w:p w:rsidR="00084A88" w:rsidRPr="006140D9" w:rsidRDefault="00084A88" w:rsidP="006140D9">
    <w:pPr>
      <w:pStyle w:val="Antrats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88" w:rsidRPr="006140D9" w:rsidRDefault="00084A88" w:rsidP="006140D9">
    <w:pPr>
      <w:pStyle w:val="Antrats"/>
      <w:jc w:val="right"/>
      <w:rPr>
        <w:rFonts w:ascii="Times New Roman" w:hAnsi="Times New Roman" w:cs="Times New Roman"/>
      </w:rPr>
    </w:pPr>
    <w:r w:rsidRPr="006140D9">
      <w:rPr>
        <w:rFonts w:ascii="Times New Roman" w:hAnsi="Times New Roman" w:cs="Times New Roman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792"/>
    <w:multiLevelType w:val="hybridMultilevel"/>
    <w:tmpl w:val="ABDA4D10"/>
    <w:lvl w:ilvl="0" w:tplc="68D88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45F4B"/>
    <w:multiLevelType w:val="hybridMultilevel"/>
    <w:tmpl w:val="510A57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F164D"/>
    <w:multiLevelType w:val="hybridMultilevel"/>
    <w:tmpl w:val="9C94656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0A0267"/>
    <w:multiLevelType w:val="hybridMultilevel"/>
    <w:tmpl w:val="9880D748"/>
    <w:lvl w:ilvl="0" w:tplc="68D88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D0D5B"/>
    <w:multiLevelType w:val="hybridMultilevel"/>
    <w:tmpl w:val="1368FC8C"/>
    <w:lvl w:ilvl="0" w:tplc="68D88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F3CCF"/>
    <w:multiLevelType w:val="hybridMultilevel"/>
    <w:tmpl w:val="1368FC8C"/>
    <w:lvl w:ilvl="0" w:tplc="68D88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8D693D"/>
    <w:multiLevelType w:val="hybridMultilevel"/>
    <w:tmpl w:val="9A5640DE"/>
    <w:lvl w:ilvl="0" w:tplc="C3D686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FF" w:themeColor="hyperlink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669A0"/>
    <w:multiLevelType w:val="hybridMultilevel"/>
    <w:tmpl w:val="DADE03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1A6073"/>
    <w:multiLevelType w:val="hybridMultilevel"/>
    <w:tmpl w:val="9880D748"/>
    <w:lvl w:ilvl="0" w:tplc="68D88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41545"/>
    <w:multiLevelType w:val="hybridMultilevel"/>
    <w:tmpl w:val="B776CE4E"/>
    <w:lvl w:ilvl="0" w:tplc="68D88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F3D4E"/>
    <w:multiLevelType w:val="hybridMultilevel"/>
    <w:tmpl w:val="1368FC8C"/>
    <w:lvl w:ilvl="0" w:tplc="68D88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490698"/>
    <w:multiLevelType w:val="hybridMultilevel"/>
    <w:tmpl w:val="1368FC8C"/>
    <w:lvl w:ilvl="0" w:tplc="68D88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73192"/>
    <w:multiLevelType w:val="hybridMultilevel"/>
    <w:tmpl w:val="B776CE4E"/>
    <w:lvl w:ilvl="0" w:tplc="68D88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A41C98"/>
    <w:multiLevelType w:val="hybridMultilevel"/>
    <w:tmpl w:val="774ADC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4083F"/>
    <w:multiLevelType w:val="hybridMultilevel"/>
    <w:tmpl w:val="085C155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0D13CD9"/>
    <w:multiLevelType w:val="hybridMultilevel"/>
    <w:tmpl w:val="0CD49B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F662D"/>
    <w:multiLevelType w:val="hybridMultilevel"/>
    <w:tmpl w:val="1C08A97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075C9B"/>
    <w:multiLevelType w:val="hybridMultilevel"/>
    <w:tmpl w:val="D9BC85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94E1B"/>
    <w:multiLevelType w:val="hybridMultilevel"/>
    <w:tmpl w:val="F5428880"/>
    <w:lvl w:ilvl="0" w:tplc="EBE691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141313"/>
    <w:multiLevelType w:val="hybridMultilevel"/>
    <w:tmpl w:val="48E62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F41A47"/>
    <w:multiLevelType w:val="hybridMultilevel"/>
    <w:tmpl w:val="A192F9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2E4F61"/>
    <w:multiLevelType w:val="hybridMultilevel"/>
    <w:tmpl w:val="FA426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DC3DAF"/>
    <w:multiLevelType w:val="hybridMultilevel"/>
    <w:tmpl w:val="112639C8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E1060E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sz w:val="24"/>
        <w:szCs w:val="24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1DC7B62"/>
    <w:multiLevelType w:val="multilevel"/>
    <w:tmpl w:val="AFC247F0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ajorHAnsi" w:hAnsiTheme="majorHAnsi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2F17A64"/>
    <w:multiLevelType w:val="hybridMultilevel"/>
    <w:tmpl w:val="1368FC8C"/>
    <w:lvl w:ilvl="0" w:tplc="68D88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E958C2"/>
    <w:multiLevelType w:val="hybridMultilevel"/>
    <w:tmpl w:val="ADC85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CF5036"/>
    <w:multiLevelType w:val="hybridMultilevel"/>
    <w:tmpl w:val="7E1218FE"/>
    <w:lvl w:ilvl="0" w:tplc="68D88E6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AD53731"/>
    <w:multiLevelType w:val="hybridMultilevel"/>
    <w:tmpl w:val="30CEDA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E155B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E2B3B52"/>
    <w:multiLevelType w:val="hybridMultilevel"/>
    <w:tmpl w:val="9880D748"/>
    <w:lvl w:ilvl="0" w:tplc="68D88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FF0C2B"/>
    <w:multiLevelType w:val="hybridMultilevel"/>
    <w:tmpl w:val="774ADC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9223D9"/>
    <w:multiLevelType w:val="hybridMultilevel"/>
    <w:tmpl w:val="B776CE4E"/>
    <w:lvl w:ilvl="0" w:tplc="68D88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9648A7"/>
    <w:multiLevelType w:val="hybridMultilevel"/>
    <w:tmpl w:val="004848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422232"/>
    <w:multiLevelType w:val="hybridMultilevel"/>
    <w:tmpl w:val="3C6C4DE6"/>
    <w:lvl w:ilvl="0" w:tplc="649C28D0">
      <w:start w:val="2"/>
      <w:numFmt w:val="bullet"/>
      <w:lvlText w:val="-"/>
      <w:lvlJc w:val="left"/>
      <w:pPr>
        <w:ind w:left="1650" w:hanging="360"/>
      </w:pPr>
      <w:rPr>
        <w:rFonts w:ascii="Times New Roman" w:eastAsiaTheme="minorHAnsi" w:hAnsi="Times New Roman" w:cs="Times New Roman" w:hint="default"/>
        <w:i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4">
    <w:nsid w:val="48496417"/>
    <w:multiLevelType w:val="hybridMultilevel"/>
    <w:tmpl w:val="1B0E6DF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6F83C4E"/>
    <w:multiLevelType w:val="hybridMultilevel"/>
    <w:tmpl w:val="401259C4"/>
    <w:lvl w:ilvl="0" w:tplc="A8B838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9B080A"/>
    <w:multiLevelType w:val="hybridMultilevel"/>
    <w:tmpl w:val="162622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400E86"/>
    <w:multiLevelType w:val="hybridMultilevel"/>
    <w:tmpl w:val="1368FC8C"/>
    <w:lvl w:ilvl="0" w:tplc="68D88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DC6E92"/>
    <w:multiLevelType w:val="hybridMultilevel"/>
    <w:tmpl w:val="27C0539E"/>
    <w:lvl w:ilvl="0" w:tplc="CD56F1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F7544C"/>
    <w:multiLevelType w:val="hybridMultilevel"/>
    <w:tmpl w:val="B5200C44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AD4A14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sz w:val="24"/>
        <w:szCs w:val="24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5C0B5F9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D3E695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5E507D60"/>
    <w:multiLevelType w:val="hybridMultilevel"/>
    <w:tmpl w:val="4D0056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0B839CD"/>
    <w:multiLevelType w:val="hybridMultilevel"/>
    <w:tmpl w:val="F344F9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6C1E2F"/>
    <w:multiLevelType w:val="hybridMultilevel"/>
    <w:tmpl w:val="4A0C3F0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65885A0B"/>
    <w:multiLevelType w:val="hybridMultilevel"/>
    <w:tmpl w:val="275A34D0"/>
    <w:lvl w:ilvl="0" w:tplc="0427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65D02D85"/>
    <w:multiLevelType w:val="hybridMultilevel"/>
    <w:tmpl w:val="E736C6C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6A5D44A5"/>
    <w:multiLevelType w:val="hybridMultilevel"/>
    <w:tmpl w:val="7E1218FE"/>
    <w:lvl w:ilvl="0" w:tplc="68D88E6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CD3040C"/>
    <w:multiLevelType w:val="hybridMultilevel"/>
    <w:tmpl w:val="DDD25EF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7"/>
  </w:num>
  <w:num w:numId="3">
    <w:abstractNumId w:val="12"/>
  </w:num>
  <w:num w:numId="4">
    <w:abstractNumId w:val="45"/>
  </w:num>
  <w:num w:numId="5">
    <w:abstractNumId w:val="24"/>
  </w:num>
  <w:num w:numId="6">
    <w:abstractNumId w:val="10"/>
  </w:num>
  <w:num w:numId="7">
    <w:abstractNumId w:val="37"/>
  </w:num>
  <w:num w:numId="8">
    <w:abstractNumId w:val="11"/>
  </w:num>
  <w:num w:numId="9">
    <w:abstractNumId w:val="42"/>
  </w:num>
  <w:num w:numId="10">
    <w:abstractNumId w:val="8"/>
  </w:num>
  <w:num w:numId="11">
    <w:abstractNumId w:val="19"/>
  </w:num>
  <w:num w:numId="12">
    <w:abstractNumId w:val="25"/>
  </w:num>
  <w:num w:numId="13">
    <w:abstractNumId w:val="27"/>
  </w:num>
  <w:num w:numId="14">
    <w:abstractNumId w:val="4"/>
  </w:num>
  <w:num w:numId="15">
    <w:abstractNumId w:val="36"/>
  </w:num>
  <w:num w:numId="16">
    <w:abstractNumId w:val="13"/>
  </w:num>
  <w:num w:numId="17">
    <w:abstractNumId w:val="30"/>
  </w:num>
  <w:num w:numId="18">
    <w:abstractNumId w:val="29"/>
  </w:num>
  <w:num w:numId="19">
    <w:abstractNumId w:val="32"/>
  </w:num>
  <w:num w:numId="20">
    <w:abstractNumId w:val="43"/>
  </w:num>
  <w:num w:numId="21">
    <w:abstractNumId w:val="41"/>
  </w:num>
  <w:num w:numId="22">
    <w:abstractNumId w:val="34"/>
  </w:num>
  <w:num w:numId="23">
    <w:abstractNumId w:val="31"/>
  </w:num>
  <w:num w:numId="24">
    <w:abstractNumId w:val="9"/>
  </w:num>
  <w:num w:numId="25">
    <w:abstractNumId w:val="26"/>
  </w:num>
  <w:num w:numId="26">
    <w:abstractNumId w:val="0"/>
  </w:num>
  <w:num w:numId="27">
    <w:abstractNumId w:val="40"/>
  </w:num>
  <w:num w:numId="28">
    <w:abstractNumId w:val="3"/>
  </w:num>
  <w:num w:numId="29">
    <w:abstractNumId w:val="23"/>
  </w:num>
  <w:num w:numId="30">
    <w:abstractNumId w:val="28"/>
  </w:num>
  <w:num w:numId="31">
    <w:abstractNumId w:val="39"/>
  </w:num>
  <w:num w:numId="32">
    <w:abstractNumId w:val="22"/>
  </w:num>
  <w:num w:numId="33">
    <w:abstractNumId w:val="38"/>
  </w:num>
  <w:num w:numId="34">
    <w:abstractNumId w:val="16"/>
  </w:num>
  <w:num w:numId="35">
    <w:abstractNumId w:val="33"/>
  </w:num>
  <w:num w:numId="36">
    <w:abstractNumId w:val="18"/>
  </w:num>
  <w:num w:numId="37">
    <w:abstractNumId w:val="48"/>
  </w:num>
  <w:num w:numId="38">
    <w:abstractNumId w:val="14"/>
  </w:num>
  <w:num w:numId="39">
    <w:abstractNumId w:val="6"/>
  </w:num>
  <w:num w:numId="40">
    <w:abstractNumId w:val="15"/>
  </w:num>
  <w:num w:numId="41">
    <w:abstractNumId w:val="17"/>
  </w:num>
  <w:num w:numId="42">
    <w:abstractNumId w:val="7"/>
  </w:num>
  <w:num w:numId="43">
    <w:abstractNumId w:val="46"/>
  </w:num>
  <w:num w:numId="44">
    <w:abstractNumId w:val="2"/>
  </w:num>
  <w:num w:numId="45">
    <w:abstractNumId w:val="44"/>
  </w:num>
  <w:num w:numId="46">
    <w:abstractNumId w:val="21"/>
  </w:num>
  <w:num w:numId="47">
    <w:abstractNumId w:val="1"/>
  </w:num>
  <w:num w:numId="48">
    <w:abstractNumId w:val="20"/>
  </w:num>
  <w:num w:numId="4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piskiene Donata">
    <w15:presenceInfo w15:providerId="AD" w15:userId="S-1-5-21-1010461775-1311123373-317593308-9207"/>
  </w15:person>
  <w15:person w15:author="Kucevicius Dimitrijus">
    <w15:presenceInfo w15:providerId="AD" w15:userId="S-1-5-21-1010461775-1311123373-317593308-104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trackRevisions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37"/>
    <w:rsid w:val="00001919"/>
    <w:rsid w:val="00003996"/>
    <w:rsid w:val="0001163C"/>
    <w:rsid w:val="00016DC3"/>
    <w:rsid w:val="00020F63"/>
    <w:rsid w:val="00021D6B"/>
    <w:rsid w:val="000247BA"/>
    <w:rsid w:val="00032139"/>
    <w:rsid w:val="00035CCD"/>
    <w:rsid w:val="00036E5B"/>
    <w:rsid w:val="0004074E"/>
    <w:rsid w:val="00040757"/>
    <w:rsid w:val="00042973"/>
    <w:rsid w:val="00044AA9"/>
    <w:rsid w:val="00046536"/>
    <w:rsid w:val="00053D72"/>
    <w:rsid w:val="0005726C"/>
    <w:rsid w:val="00061A2B"/>
    <w:rsid w:val="00062D2E"/>
    <w:rsid w:val="0006346C"/>
    <w:rsid w:val="0007174C"/>
    <w:rsid w:val="00074943"/>
    <w:rsid w:val="000752A5"/>
    <w:rsid w:val="0007584A"/>
    <w:rsid w:val="00077336"/>
    <w:rsid w:val="0007781F"/>
    <w:rsid w:val="00080222"/>
    <w:rsid w:val="00081B56"/>
    <w:rsid w:val="00084A88"/>
    <w:rsid w:val="0008646D"/>
    <w:rsid w:val="000947D1"/>
    <w:rsid w:val="000974ED"/>
    <w:rsid w:val="000A3C4F"/>
    <w:rsid w:val="000A6CAE"/>
    <w:rsid w:val="000B42C1"/>
    <w:rsid w:val="000B789E"/>
    <w:rsid w:val="000C03BE"/>
    <w:rsid w:val="000C6959"/>
    <w:rsid w:val="000C7265"/>
    <w:rsid w:val="000C7D59"/>
    <w:rsid w:val="000C7F5B"/>
    <w:rsid w:val="000D1565"/>
    <w:rsid w:val="000D2CC9"/>
    <w:rsid w:val="000E0195"/>
    <w:rsid w:val="000E2649"/>
    <w:rsid w:val="000F18E9"/>
    <w:rsid w:val="000F6663"/>
    <w:rsid w:val="001030B6"/>
    <w:rsid w:val="00105506"/>
    <w:rsid w:val="00106DD3"/>
    <w:rsid w:val="00114B9F"/>
    <w:rsid w:val="00120BAE"/>
    <w:rsid w:val="00122666"/>
    <w:rsid w:val="0012292E"/>
    <w:rsid w:val="001229E4"/>
    <w:rsid w:val="00133BEA"/>
    <w:rsid w:val="00133E68"/>
    <w:rsid w:val="00146FE1"/>
    <w:rsid w:val="00161EA5"/>
    <w:rsid w:val="001635C6"/>
    <w:rsid w:val="001741D6"/>
    <w:rsid w:val="00177EE0"/>
    <w:rsid w:val="0018168D"/>
    <w:rsid w:val="00183076"/>
    <w:rsid w:val="0018317B"/>
    <w:rsid w:val="00186170"/>
    <w:rsid w:val="00186DB4"/>
    <w:rsid w:val="00186EB5"/>
    <w:rsid w:val="00197E2E"/>
    <w:rsid w:val="001A0772"/>
    <w:rsid w:val="001A6A2A"/>
    <w:rsid w:val="001A6B41"/>
    <w:rsid w:val="001A7AF1"/>
    <w:rsid w:val="001B01CC"/>
    <w:rsid w:val="001B3628"/>
    <w:rsid w:val="001C2BCF"/>
    <w:rsid w:val="001C30C4"/>
    <w:rsid w:val="001C53A6"/>
    <w:rsid w:val="001D6600"/>
    <w:rsid w:val="001E2C15"/>
    <w:rsid w:val="001E4CF4"/>
    <w:rsid w:val="001E6B51"/>
    <w:rsid w:val="001F4022"/>
    <w:rsid w:val="001F6975"/>
    <w:rsid w:val="00201468"/>
    <w:rsid w:val="00202F86"/>
    <w:rsid w:val="0020476D"/>
    <w:rsid w:val="0020599E"/>
    <w:rsid w:val="00206240"/>
    <w:rsid w:val="00211340"/>
    <w:rsid w:val="0021410D"/>
    <w:rsid w:val="0021647E"/>
    <w:rsid w:val="00217F27"/>
    <w:rsid w:val="00224F54"/>
    <w:rsid w:val="00226237"/>
    <w:rsid w:val="00226EDB"/>
    <w:rsid w:val="00236BE6"/>
    <w:rsid w:val="00240042"/>
    <w:rsid w:val="0024232C"/>
    <w:rsid w:val="00244157"/>
    <w:rsid w:val="00247030"/>
    <w:rsid w:val="0024792A"/>
    <w:rsid w:val="002512F4"/>
    <w:rsid w:val="0025283E"/>
    <w:rsid w:val="00260524"/>
    <w:rsid w:val="00261688"/>
    <w:rsid w:val="00265E11"/>
    <w:rsid w:val="002679EB"/>
    <w:rsid w:val="00272055"/>
    <w:rsid w:val="00277F85"/>
    <w:rsid w:val="00284B79"/>
    <w:rsid w:val="00285B2E"/>
    <w:rsid w:val="00291790"/>
    <w:rsid w:val="002946CC"/>
    <w:rsid w:val="002A5DDE"/>
    <w:rsid w:val="002C6602"/>
    <w:rsid w:val="002C6E6E"/>
    <w:rsid w:val="002D4172"/>
    <w:rsid w:val="002D5029"/>
    <w:rsid w:val="002E5FE8"/>
    <w:rsid w:val="002E7705"/>
    <w:rsid w:val="002F2FF1"/>
    <w:rsid w:val="002F599F"/>
    <w:rsid w:val="002F7DAA"/>
    <w:rsid w:val="00306ABE"/>
    <w:rsid w:val="0031031A"/>
    <w:rsid w:val="0031242B"/>
    <w:rsid w:val="0031252B"/>
    <w:rsid w:val="003133B9"/>
    <w:rsid w:val="00322B9F"/>
    <w:rsid w:val="00323059"/>
    <w:rsid w:val="00327458"/>
    <w:rsid w:val="0033500D"/>
    <w:rsid w:val="00336B45"/>
    <w:rsid w:val="00337851"/>
    <w:rsid w:val="00337871"/>
    <w:rsid w:val="003444D3"/>
    <w:rsid w:val="003471EB"/>
    <w:rsid w:val="00356606"/>
    <w:rsid w:val="00357708"/>
    <w:rsid w:val="00364710"/>
    <w:rsid w:val="003664CE"/>
    <w:rsid w:val="00372184"/>
    <w:rsid w:val="003722A9"/>
    <w:rsid w:val="00374A82"/>
    <w:rsid w:val="00375175"/>
    <w:rsid w:val="003764F0"/>
    <w:rsid w:val="00385574"/>
    <w:rsid w:val="00386EFF"/>
    <w:rsid w:val="00387664"/>
    <w:rsid w:val="00391419"/>
    <w:rsid w:val="003926E4"/>
    <w:rsid w:val="0039576E"/>
    <w:rsid w:val="00396F28"/>
    <w:rsid w:val="0039795B"/>
    <w:rsid w:val="003B1227"/>
    <w:rsid w:val="003B1415"/>
    <w:rsid w:val="003B542F"/>
    <w:rsid w:val="003B5FDD"/>
    <w:rsid w:val="003C296B"/>
    <w:rsid w:val="003C2DE5"/>
    <w:rsid w:val="003C3960"/>
    <w:rsid w:val="003C5679"/>
    <w:rsid w:val="003D2775"/>
    <w:rsid w:val="003E7971"/>
    <w:rsid w:val="003F1316"/>
    <w:rsid w:val="003F7550"/>
    <w:rsid w:val="00405E24"/>
    <w:rsid w:val="00420976"/>
    <w:rsid w:val="00422037"/>
    <w:rsid w:val="0042742C"/>
    <w:rsid w:val="004330D9"/>
    <w:rsid w:val="00433259"/>
    <w:rsid w:val="00436A49"/>
    <w:rsid w:val="00440732"/>
    <w:rsid w:val="0044362F"/>
    <w:rsid w:val="00443C05"/>
    <w:rsid w:val="004477CA"/>
    <w:rsid w:val="004565ED"/>
    <w:rsid w:val="004604A3"/>
    <w:rsid w:val="004607C5"/>
    <w:rsid w:val="00471903"/>
    <w:rsid w:val="00474D08"/>
    <w:rsid w:val="00476F74"/>
    <w:rsid w:val="0048467F"/>
    <w:rsid w:val="00486E31"/>
    <w:rsid w:val="00492CD1"/>
    <w:rsid w:val="00494C46"/>
    <w:rsid w:val="004A54EC"/>
    <w:rsid w:val="004A5F50"/>
    <w:rsid w:val="004A6889"/>
    <w:rsid w:val="004B18D0"/>
    <w:rsid w:val="004B4CD7"/>
    <w:rsid w:val="004B6B1D"/>
    <w:rsid w:val="004D018F"/>
    <w:rsid w:val="004D392D"/>
    <w:rsid w:val="004D3F5C"/>
    <w:rsid w:val="004D484C"/>
    <w:rsid w:val="004D56D7"/>
    <w:rsid w:val="004D6E9C"/>
    <w:rsid w:val="004D756D"/>
    <w:rsid w:val="004E1725"/>
    <w:rsid w:val="004E475E"/>
    <w:rsid w:val="004F4E25"/>
    <w:rsid w:val="00502148"/>
    <w:rsid w:val="00504A19"/>
    <w:rsid w:val="00506E6D"/>
    <w:rsid w:val="00512296"/>
    <w:rsid w:val="00512346"/>
    <w:rsid w:val="00515383"/>
    <w:rsid w:val="00515D85"/>
    <w:rsid w:val="00517DEE"/>
    <w:rsid w:val="00521076"/>
    <w:rsid w:val="00522C64"/>
    <w:rsid w:val="005247BA"/>
    <w:rsid w:val="005311C5"/>
    <w:rsid w:val="0053279E"/>
    <w:rsid w:val="00532DB1"/>
    <w:rsid w:val="0053620E"/>
    <w:rsid w:val="00537220"/>
    <w:rsid w:val="00540393"/>
    <w:rsid w:val="00553583"/>
    <w:rsid w:val="00560D05"/>
    <w:rsid w:val="00564F65"/>
    <w:rsid w:val="005660B6"/>
    <w:rsid w:val="00571168"/>
    <w:rsid w:val="00573ADE"/>
    <w:rsid w:val="00582818"/>
    <w:rsid w:val="00584CC4"/>
    <w:rsid w:val="00585A25"/>
    <w:rsid w:val="0059126D"/>
    <w:rsid w:val="0059140D"/>
    <w:rsid w:val="00593417"/>
    <w:rsid w:val="005935D4"/>
    <w:rsid w:val="00597330"/>
    <w:rsid w:val="005A09EF"/>
    <w:rsid w:val="005A298A"/>
    <w:rsid w:val="005B1457"/>
    <w:rsid w:val="005B3B39"/>
    <w:rsid w:val="005B4295"/>
    <w:rsid w:val="005C35E6"/>
    <w:rsid w:val="005C4ABA"/>
    <w:rsid w:val="005C6788"/>
    <w:rsid w:val="005C6CA0"/>
    <w:rsid w:val="005D2708"/>
    <w:rsid w:val="005D344F"/>
    <w:rsid w:val="005D5D4F"/>
    <w:rsid w:val="005F14F2"/>
    <w:rsid w:val="00610423"/>
    <w:rsid w:val="006125D4"/>
    <w:rsid w:val="00612AEF"/>
    <w:rsid w:val="006140D9"/>
    <w:rsid w:val="00614624"/>
    <w:rsid w:val="00620A15"/>
    <w:rsid w:val="00621123"/>
    <w:rsid w:val="006243AD"/>
    <w:rsid w:val="00625915"/>
    <w:rsid w:val="00625941"/>
    <w:rsid w:val="006259AC"/>
    <w:rsid w:val="00643231"/>
    <w:rsid w:val="006441C7"/>
    <w:rsid w:val="00644418"/>
    <w:rsid w:val="00644696"/>
    <w:rsid w:val="00644728"/>
    <w:rsid w:val="00652708"/>
    <w:rsid w:val="00653879"/>
    <w:rsid w:val="00655A72"/>
    <w:rsid w:val="00657585"/>
    <w:rsid w:val="006623E9"/>
    <w:rsid w:val="00663915"/>
    <w:rsid w:val="006664DE"/>
    <w:rsid w:val="00666DA9"/>
    <w:rsid w:val="006717DA"/>
    <w:rsid w:val="00671BB3"/>
    <w:rsid w:val="006742A7"/>
    <w:rsid w:val="006812F0"/>
    <w:rsid w:val="00681C6D"/>
    <w:rsid w:val="006906C7"/>
    <w:rsid w:val="006920B9"/>
    <w:rsid w:val="006B1772"/>
    <w:rsid w:val="006C3AA1"/>
    <w:rsid w:val="006D1818"/>
    <w:rsid w:val="006D522F"/>
    <w:rsid w:val="006E1113"/>
    <w:rsid w:val="006E6391"/>
    <w:rsid w:val="006E7D9E"/>
    <w:rsid w:val="006F1CE0"/>
    <w:rsid w:val="006F326E"/>
    <w:rsid w:val="006F6DE2"/>
    <w:rsid w:val="00700011"/>
    <w:rsid w:val="00700E5C"/>
    <w:rsid w:val="00701F73"/>
    <w:rsid w:val="0070218F"/>
    <w:rsid w:val="007030BF"/>
    <w:rsid w:val="00714246"/>
    <w:rsid w:val="00716CF0"/>
    <w:rsid w:val="00727BF4"/>
    <w:rsid w:val="007312CE"/>
    <w:rsid w:val="00733DA7"/>
    <w:rsid w:val="00735CAD"/>
    <w:rsid w:val="00735D9F"/>
    <w:rsid w:val="00735DE9"/>
    <w:rsid w:val="00740021"/>
    <w:rsid w:val="00740471"/>
    <w:rsid w:val="00740DB3"/>
    <w:rsid w:val="00743251"/>
    <w:rsid w:val="00743CC2"/>
    <w:rsid w:val="00746D37"/>
    <w:rsid w:val="007536EF"/>
    <w:rsid w:val="00753EAD"/>
    <w:rsid w:val="007546EB"/>
    <w:rsid w:val="007559F1"/>
    <w:rsid w:val="00757840"/>
    <w:rsid w:val="0077375D"/>
    <w:rsid w:val="00773AB9"/>
    <w:rsid w:val="00777223"/>
    <w:rsid w:val="00794D0D"/>
    <w:rsid w:val="00795962"/>
    <w:rsid w:val="0079707D"/>
    <w:rsid w:val="007A30D1"/>
    <w:rsid w:val="007A4FDF"/>
    <w:rsid w:val="007A76BB"/>
    <w:rsid w:val="007B3C59"/>
    <w:rsid w:val="007C6904"/>
    <w:rsid w:val="007C6FBF"/>
    <w:rsid w:val="007D0B2B"/>
    <w:rsid w:val="007E32F8"/>
    <w:rsid w:val="007E3D0A"/>
    <w:rsid w:val="007E6B90"/>
    <w:rsid w:val="007F1948"/>
    <w:rsid w:val="007F22B1"/>
    <w:rsid w:val="007F7261"/>
    <w:rsid w:val="00800392"/>
    <w:rsid w:val="00804144"/>
    <w:rsid w:val="0081036F"/>
    <w:rsid w:val="008142FB"/>
    <w:rsid w:val="00814ECE"/>
    <w:rsid w:val="00815C0A"/>
    <w:rsid w:val="00820987"/>
    <w:rsid w:val="008241B1"/>
    <w:rsid w:val="00824217"/>
    <w:rsid w:val="00826B66"/>
    <w:rsid w:val="00826E45"/>
    <w:rsid w:val="00827293"/>
    <w:rsid w:val="00840BF2"/>
    <w:rsid w:val="00844CEC"/>
    <w:rsid w:val="008468F0"/>
    <w:rsid w:val="00847147"/>
    <w:rsid w:val="00861F84"/>
    <w:rsid w:val="008745C5"/>
    <w:rsid w:val="008747F7"/>
    <w:rsid w:val="00874DEE"/>
    <w:rsid w:val="0087563F"/>
    <w:rsid w:val="00880CDC"/>
    <w:rsid w:val="008843C8"/>
    <w:rsid w:val="00886EC5"/>
    <w:rsid w:val="00891429"/>
    <w:rsid w:val="00892F72"/>
    <w:rsid w:val="00893356"/>
    <w:rsid w:val="00895050"/>
    <w:rsid w:val="008968D1"/>
    <w:rsid w:val="00896B2C"/>
    <w:rsid w:val="008A611F"/>
    <w:rsid w:val="008B1A6E"/>
    <w:rsid w:val="008B39E9"/>
    <w:rsid w:val="008B3A89"/>
    <w:rsid w:val="008B4F4A"/>
    <w:rsid w:val="008C136B"/>
    <w:rsid w:val="008C315A"/>
    <w:rsid w:val="008C4C9F"/>
    <w:rsid w:val="008C4E97"/>
    <w:rsid w:val="008C585B"/>
    <w:rsid w:val="008C5C7D"/>
    <w:rsid w:val="008D0B06"/>
    <w:rsid w:val="008D6B43"/>
    <w:rsid w:val="008D708D"/>
    <w:rsid w:val="008D7388"/>
    <w:rsid w:val="008E0250"/>
    <w:rsid w:val="008E2A45"/>
    <w:rsid w:val="008F380E"/>
    <w:rsid w:val="008F5F3E"/>
    <w:rsid w:val="00902C77"/>
    <w:rsid w:val="00902D54"/>
    <w:rsid w:val="00903DAD"/>
    <w:rsid w:val="00906EC2"/>
    <w:rsid w:val="009105FC"/>
    <w:rsid w:val="0091284B"/>
    <w:rsid w:val="0091565F"/>
    <w:rsid w:val="009172FC"/>
    <w:rsid w:val="00920A42"/>
    <w:rsid w:val="0092116E"/>
    <w:rsid w:val="009235A9"/>
    <w:rsid w:val="00924149"/>
    <w:rsid w:val="009303E3"/>
    <w:rsid w:val="00933BC3"/>
    <w:rsid w:val="00933F33"/>
    <w:rsid w:val="0094014E"/>
    <w:rsid w:val="0094039B"/>
    <w:rsid w:val="00944321"/>
    <w:rsid w:val="00944755"/>
    <w:rsid w:val="00945BF2"/>
    <w:rsid w:val="00963466"/>
    <w:rsid w:val="00966507"/>
    <w:rsid w:val="00974E39"/>
    <w:rsid w:val="00980E1F"/>
    <w:rsid w:val="00981678"/>
    <w:rsid w:val="009821F8"/>
    <w:rsid w:val="00982AEA"/>
    <w:rsid w:val="00991EC0"/>
    <w:rsid w:val="00993250"/>
    <w:rsid w:val="00995A55"/>
    <w:rsid w:val="009A0905"/>
    <w:rsid w:val="009A22C9"/>
    <w:rsid w:val="009A6DC8"/>
    <w:rsid w:val="009B4908"/>
    <w:rsid w:val="009B4EE7"/>
    <w:rsid w:val="009C0257"/>
    <w:rsid w:val="009C1117"/>
    <w:rsid w:val="009D06E9"/>
    <w:rsid w:val="009E4A1A"/>
    <w:rsid w:val="009E6C00"/>
    <w:rsid w:val="009E7E81"/>
    <w:rsid w:val="00A11AE6"/>
    <w:rsid w:val="00A11AE7"/>
    <w:rsid w:val="00A21AD2"/>
    <w:rsid w:val="00A265E9"/>
    <w:rsid w:val="00A31FAF"/>
    <w:rsid w:val="00A43158"/>
    <w:rsid w:val="00A47A3E"/>
    <w:rsid w:val="00A50799"/>
    <w:rsid w:val="00A56FDE"/>
    <w:rsid w:val="00A61A51"/>
    <w:rsid w:val="00A62477"/>
    <w:rsid w:val="00A65D90"/>
    <w:rsid w:val="00A73898"/>
    <w:rsid w:val="00A75696"/>
    <w:rsid w:val="00A76903"/>
    <w:rsid w:val="00A84621"/>
    <w:rsid w:val="00A84836"/>
    <w:rsid w:val="00A92280"/>
    <w:rsid w:val="00AA07C1"/>
    <w:rsid w:val="00AA351C"/>
    <w:rsid w:val="00AA5621"/>
    <w:rsid w:val="00AA6BB6"/>
    <w:rsid w:val="00AB54BA"/>
    <w:rsid w:val="00AD0294"/>
    <w:rsid w:val="00AD0826"/>
    <w:rsid w:val="00AD119C"/>
    <w:rsid w:val="00AD3A74"/>
    <w:rsid w:val="00AE65AF"/>
    <w:rsid w:val="00AF0538"/>
    <w:rsid w:val="00AF4523"/>
    <w:rsid w:val="00B0132A"/>
    <w:rsid w:val="00B03A7A"/>
    <w:rsid w:val="00B11E65"/>
    <w:rsid w:val="00B12381"/>
    <w:rsid w:val="00B14DA7"/>
    <w:rsid w:val="00B14ED4"/>
    <w:rsid w:val="00B15C75"/>
    <w:rsid w:val="00B17EB3"/>
    <w:rsid w:val="00B21373"/>
    <w:rsid w:val="00B21BC5"/>
    <w:rsid w:val="00B31181"/>
    <w:rsid w:val="00B3259A"/>
    <w:rsid w:val="00B428CC"/>
    <w:rsid w:val="00B60EAD"/>
    <w:rsid w:val="00B62AEF"/>
    <w:rsid w:val="00B6322F"/>
    <w:rsid w:val="00B65AED"/>
    <w:rsid w:val="00B6677B"/>
    <w:rsid w:val="00B70652"/>
    <w:rsid w:val="00B71CEB"/>
    <w:rsid w:val="00B71E1C"/>
    <w:rsid w:val="00B7325A"/>
    <w:rsid w:val="00B806EE"/>
    <w:rsid w:val="00B85586"/>
    <w:rsid w:val="00B93196"/>
    <w:rsid w:val="00B951C5"/>
    <w:rsid w:val="00B95E6D"/>
    <w:rsid w:val="00BA0AC4"/>
    <w:rsid w:val="00BA37A0"/>
    <w:rsid w:val="00BA6853"/>
    <w:rsid w:val="00BA7084"/>
    <w:rsid w:val="00BB5AD9"/>
    <w:rsid w:val="00BB6DC6"/>
    <w:rsid w:val="00BC1BA0"/>
    <w:rsid w:val="00BC5652"/>
    <w:rsid w:val="00BD1AE8"/>
    <w:rsid w:val="00BD2C6A"/>
    <w:rsid w:val="00BD5744"/>
    <w:rsid w:val="00BE1E7F"/>
    <w:rsid w:val="00BF0C6C"/>
    <w:rsid w:val="00BF537E"/>
    <w:rsid w:val="00BF7DDF"/>
    <w:rsid w:val="00C03318"/>
    <w:rsid w:val="00C05E9C"/>
    <w:rsid w:val="00C05F02"/>
    <w:rsid w:val="00C15A0C"/>
    <w:rsid w:val="00C165B0"/>
    <w:rsid w:val="00C249F7"/>
    <w:rsid w:val="00C35A54"/>
    <w:rsid w:val="00C3677C"/>
    <w:rsid w:val="00C41D31"/>
    <w:rsid w:val="00C42F29"/>
    <w:rsid w:val="00C42F97"/>
    <w:rsid w:val="00C45061"/>
    <w:rsid w:val="00C475A4"/>
    <w:rsid w:val="00C5202F"/>
    <w:rsid w:val="00C52A03"/>
    <w:rsid w:val="00C563B2"/>
    <w:rsid w:val="00C64FD4"/>
    <w:rsid w:val="00C66C31"/>
    <w:rsid w:val="00C77C57"/>
    <w:rsid w:val="00C80E3D"/>
    <w:rsid w:val="00C81234"/>
    <w:rsid w:val="00C81947"/>
    <w:rsid w:val="00C81BFB"/>
    <w:rsid w:val="00C866D6"/>
    <w:rsid w:val="00C92E4E"/>
    <w:rsid w:val="00C97E4D"/>
    <w:rsid w:val="00CA0A74"/>
    <w:rsid w:val="00CA3489"/>
    <w:rsid w:val="00CA44DD"/>
    <w:rsid w:val="00CA6EBF"/>
    <w:rsid w:val="00CB2513"/>
    <w:rsid w:val="00CB38F9"/>
    <w:rsid w:val="00CB7283"/>
    <w:rsid w:val="00CC1C4D"/>
    <w:rsid w:val="00CC3A63"/>
    <w:rsid w:val="00CC5A71"/>
    <w:rsid w:val="00CC6A8B"/>
    <w:rsid w:val="00CC6C8F"/>
    <w:rsid w:val="00CC71A6"/>
    <w:rsid w:val="00CD17B6"/>
    <w:rsid w:val="00CD3523"/>
    <w:rsid w:val="00CD47B9"/>
    <w:rsid w:val="00CD5C83"/>
    <w:rsid w:val="00CD62CD"/>
    <w:rsid w:val="00CD7F68"/>
    <w:rsid w:val="00CE0908"/>
    <w:rsid w:val="00CE41F1"/>
    <w:rsid w:val="00CE4E43"/>
    <w:rsid w:val="00CE5F88"/>
    <w:rsid w:val="00CF5093"/>
    <w:rsid w:val="00D04D32"/>
    <w:rsid w:val="00D053D8"/>
    <w:rsid w:val="00D06849"/>
    <w:rsid w:val="00D06B58"/>
    <w:rsid w:val="00D12F0C"/>
    <w:rsid w:val="00D27C29"/>
    <w:rsid w:val="00D37BFB"/>
    <w:rsid w:val="00D41EA9"/>
    <w:rsid w:val="00D506DF"/>
    <w:rsid w:val="00D52497"/>
    <w:rsid w:val="00D61514"/>
    <w:rsid w:val="00D61A72"/>
    <w:rsid w:val="00D67BF3"/>
    <w:rsid w:val="00D70A6D"/>
    <w:rsid w:val="00D744C2"/>
    <w:rsid w:val="00D75C0A"/>
    <w:rsid w:val="00D76003"/>
    <w:rsid w:val="00D7792F"/>
    <w:rsid w:val="00D9106B"/>
    <w:rsid w:val="00D93CCF"/>
    <w:rsid w:val="00D95C1B"/>
    <w:rsid w:val="00DA3068"/>
    <w:rsid w:val="00DA3C89"/>
    <w:rsid w:val="00DA5342"/>
    <w:rsid w:val="00DA73DE"/>
    <w:rsid w:val="00DB53E2"/>
    <w:rsid w:val="00DC1809"/>
    <w:rsid w:val="00DC27B0"/>
    <w:rsid w:val="00DC7F10"/>
    <w:rsid w:val="00DE3FE8"/>
    <w:rsid w:val="00DE4528"/>
    <w:rsid w:val="00DE64CC"/>
    <w:rsid w:val="00DF0850"/>
    <w:rsid w:val="00DF1AD5"/>
    <w:rsid w:val="00E03E2B"/>
    <w:rsid w:val="00E066D7"/>
    <w:rsid w:val="00E1446A"/>
    <w:rsid w:val="00E16977"/>
    <w:rsid w:val="00E23AA5"/>
    <w:rsid w:val="00E24BCD"/>
    <w:rsid w:val="00E258DF"/>
    <w:rsid w:val="00E26696"/>
    <w:rsid w:val="00E30433"/>
    <w:rsid w:val="00E31C34"/>
    <w:rsid w:val="00E32978"/>
    <w:rsid w:val="00E3333B"/>
    <w:rsid w:val="00E33436"/>
    <w:rsid w:val="00E427AA"/>
    <w:rsid w:val="00E447D7"/>
    <w:rsid w:val="00E52350"/>
    <w:rsid w:val="00E529A6"/>
    <w:rsid w:val="00E52AC8"/>
    <w:rsid w:val="00E534F0"/>
    <w:rsid w:val="00E62D0E"/>
    <w:rsid w:val="00E657C6"/>
    <w:rsid w:val="00E65C69"/>
    <w:rsid w:val="00E81799"/>
    <w:rsid w:val="00E8411D"/>
    <w:rsid w:val="00E846CE"/>
    <w:rsid w:val="00E9105E"/>
    <w:rsid w:val="00E92267"/>
    <w:rsid w:val="00E93C6E"/>
    <w:rsid w:val="00E9442C"/>
    <w:rsid w:val="00E95DD1"/>
    <w:rsid w:val="00E96F1D"/>
    <w:rsid w:val="00EB4934"/>
    <w:rsid w:val="00EC0A1A"/>
    <w:rsid w:val="00EC14D8"/>
    <w:rsid w:val="00EC167A"/>
    <w:rsid w:val="00EC3D8B"/>
    <w:rsid w:val="00EC4FB8"/>
    <w:rsid w:val="00EC6F68"/>
    <w:rsid w:val="00ED3E16"/>
    <w:rsid w:val="00ED6268"/>
    <w:rsid w:val="00ED6C40"/>
    <w:rsid w:val="00ED744C"/>
    <w:rsid w:val="00ED7715"/>
    <w:rsid w:val="00ED7716"/>
    <w:rsid w:val="00EE0F16"/>
    <w:rsid w:val="00EE141A"/>
    <w:rsid w:val="00EE1C21"/>
    <w:rsid w:val="00EE31B3"/>
    <w:rsid w:val="00EE6643"/>
    <w:rsid w:val="00EF703C"/>
    <w:rsid w:val="00EF75AD"/>
    <w:rsid w:val="00F05099"/>
    <w:rsid w:val="00F05EAD"/>
    <w:rsid w:val="00F06AFE"/>
    <w:rsid w:val="00F119F0"/>
    <w:rsid w:val="00F14A6C"/>
    <w:rsid w:val="00F21A24"/>
    <w:rsid w:val="00F21CB1"/>
    <w:rsid w:val="00F24C78"/>
    <w:rsid w:val="00F252AC"/>
    <w:rsid w:val="00F33BB1"/>
    <w:rsid w:val="00F359CA"/>
    <w:rsid w:val="00F401CF"/>
    <w:rsid w:val="00F44E72"/>
    <w:rsid w:val="00F527E8"/>
    <w:rsid w:val="00F5284D"/>
    <w:rsid w:val="00F52A47"/>
    <w:rsid w:val="00F53FFC"/>
    <w:rsid w:val="00F57DC9"/>
    <w:rsid w:val="00F617E8"/>
    <w:rsid w:val="00F7028F"/>
    <w:rsid w:val="00F7156B"/>
    <w:rsid w:val="00F71A77"/>
    <w:rsid w:val="00F7319A"/>
    <w:rsid w:val="00F82B61"/>
    <w:rsid w:val="00F869F9"/>
    <w:rsid w:val="00F874D1"/>
    <w:rsid w:val="00F90199"/>
    <w:rsid w:val="00F94894"/>
    <w:rsid w:val="00F949C3"/>
    <w:rsid w:val="00F97907"/>
    <w:rsid w:val="00FB6C4D"/>
    <w:rsid w:val="00FC218E"/>
    <w:rsid w:val="00FD4630"/>
    <w:rsid w:val="00FD62C1"/>
    <w:rsid w:val="00FD6B6F"/>
    <w:rsid w:val="00FD7156"/>
    <w:rsid w:val="00FD7EBF"/>
    <w:rsid w:val="00FE0CE0"/>
    <w:rsid w:val="00FE0F85"/>
    <w:rsid w:val="00FF08D0"/>
    <w:rsid w:val="00FF108B"/>
    <w:rsid w:val="00FF2B25"/>
    <w:rsid w:val="00FF509B"/>
    <w:rsid w:val="00FF554B"/>
    <w:rsid w:val="00FF765B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2037"/>
  </w:style>
  <w:style w:type="paragraph" w:styleId="Antrat1">
    <w:name w:val="heading 1"/>
    <w:basedOn w:val="prastasis"/>
    <w:next w:val="prastasis"/>
    <w:link w:val="Antrat1Diagrama"/>
    <w:uiPriority w:val="9"/>
    <w:qFormat/>
    <w:rsid w:val="004220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220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220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6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2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22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220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20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20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raopastraipa">
    <w:name w:val="List Paragraph"/>
    <w:basedOn w:val="prastasis"/>
    <w:uiPriority w:val="34"/>
    <w:qFormat/>
    <w:rsid w:val="0042203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22037"/>
    <w:rPr>
      <w:color w:val="0000FF" w:themeColor="hyperlink"/>
      <w:u w:val="singl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422037"/>
    <w:pPr>
      <w:outlineLvl w:val="9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422037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qFormat/>
    <w:rsid w:val="00422037"/>
    <w:pPr>
      <w:spacing w:after="100"/>
      <w:ind w:left="2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203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F7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7261"/>
  </w:style>
  <w:style w:type="paragraph" w:styleId="Porat">
    <w:name w:val="footer"/>
    <w:basedOn w:val="prastasis"/>
    <w:link w:val="PoratDiagrama"/>
    <w:uiPriority w:val="99"/>
    <w:unhideWhenUsed/>
    <w:rsid w:val="007F7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7261"/>
  </w:style>
  <w:style w:type="character" w:styleId="Komentaronuoroda">
    <w:name w:val="annotation reference"/>
    <w:basedOn w:val="Numatytasispastraiposriftas"/>
    <w:uiPriority w:val="99"/>
    <w:semiHidden/>
    <w:unhideWhenUsed/>
    <w:rsid w:val="002917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179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179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17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1790"/>
    <w:rPr>
      <w:b/>
      <w:bCs/>
      <w:sz w:val="20"/>
      <w:szCs w:val="20"/>
    </w:rPr>
  </w:style>
  <w:style w:type="paragraph" w:customStyle="1" w:styleId="Default">
    <w:name w:val="Default"/>
    <w:rsid w:val="002F2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C66C31"/>
  </w:style>
  <w:style w:type="table" w:styleId="Lentelstinklelis">
    <w:name w:val="Table Grid"/>
    <w:basedOn w:val="prastojilentel"/>
    <w:uiPriority w:val="59"/>
    <w:rsid w:val="00B1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qFormat/>
    <w:rsid w:val="00A56FDE"/>
    <w:pPr>
      <w:spacing w:after="100"/>
      <w:ind w:left="440"/>
    </w:pPr>
  </w:style>
  <w:style w:type="paragraph" w:styleId="prastasistinklapis">
    <w:name w:val="Normal (Web)"/>
    <w:basedOn w:val="prastasis"/>
    <w:uiPriority w:val="99"/>
    <w:semiHidden/>
    <w:unhideWhenUsed/>
    <w:rsid w:val="00EE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E141A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F4523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F4523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F4523"/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6B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taisymai">
    <w:name w:val="Revision"/>
    <w:hidden/>
    <w:uiPriority w:val="99"/>
    <w:semiHidden/>
    <w:rsid w:val="00BD2C6A"/>
    <w:pPr>
      <w:spacing w:after="0" w:line="240" w:lineRule="auto"/>
    </w:pPr>
  </w:style>
  <w:style w:type="character" w:customStyle="1" w:styleId="st1">
    <w:name w:val="st1"/>
    <w:basedOn w:val="Numatytasispastraiposriftas"/>
    <w:rsid w:val="00336B45"/>
  </w:style>
  <w:style w:type="character" w:styleId="Emfaz">
    <w:name w:val="Emphasis"/>
    <w:basedOn w:val="Numatytasispastraiposriftas"/>
    <w:uiPriority w:val="20"/>
    <w:qFormat/>
    <w:rsid w:val="00657585"/>
    <w:rPr>
      <w:i/>
      <w:iCs/>
    </w:rPr>
  </w:style>
  <w:style w:type="character" w:customStyle="1" w:styleId="dnr">
    <w:name w:val="dnr"/>
    <w:basedOn w:val="Numatytasispastraiposriftas"/>
    <w:rsid w:val="004D6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2037"/>
  </w:style>
  <w:style w:type="paragraph" w:styleId="Antrat1">
    <w:name w:val="heading 1"/>
    <w:basedOn w:val="prastasis"/>
    <w:next w:val="prastasis"/>
    <w:link w:val="Antrat1Diagrama"/>
    <w:uiPriority w:val="9"/>
    <w:qFormat/>
    <w:rsid w:val="004220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220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220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6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2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22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220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20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20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raopastraipa">
    <w:name w:val="List Paragraph"/>
    <w:basedOn w:val="prastasis"/>
    <w:uiPriority w:val="34"/>
    <w:qFormat/>
    <w:rsid w:val="0042203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22037"/>
    <w:rPr>
      <w:color w:val="0000FF" w:themeColor="hyperlink"/>
      <w:u w:val="singl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422037"/>
    <w:pPr>
      <w:outlineLvl w:val="9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422037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qFormat/>
    <w:rsid w:val="00422037"/>
    <w:pPr>
      <w:spacing w:after="100"/>
      <w:ind w:left="2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203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F7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7261"/>
  </w:style>
  <w:style w:type="paragraph" w:styleId="Porat">
    <w:name w:val="footer"/>
    <w:basedOn w:val="prastasis"/>
    <w:link w:val="PoratDiagrama"/>
    <w:uiPriority w:val="99"/>
    <w:unhideWhenUsed/>
    <w:rsid w:val="007F7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7261"/>
  </w:style>
  <w:style w:type="character" w:styleId="Komentaronuoroda">
    <w:name w:val="annotation reference"/>
    <w:basedOn w:val="Numatytasispastraiposriftas"/>
    <w:uiPriority w:val="99"/>
    <w:semiHidden/>
    <w:unhideWhenUsed/>
    <w:rsid w:val="002917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179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179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17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1790"/>
    <w:rPr>
      <w:b/>
      <w:bCs/>
      <w:sz w:val="20"/>
      <w:szCs w:val="20"/>
    </w:rPr>
  </w:style>
  <w:style w:type="paragraph" w:customStyle="1" w:styleId="Default">
    <w:name w:val="Default"/>
    <w:rsid w:val="002F2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C66C31"/>
  </w:style>
  <w:style w:type="table" w:styleId="Lentelstinklelis">
    <w:name w:val="Table Grid"/>
    <w:basedOn w:val="prastojilentel"/>
    <w:uiPriority w:val="59"/>
    <w:rsid w:val="00B1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qFormat/>
    <w:rsid w:val="00A56FDE"/>
    <w:pPr>
      <w:spacing w:after="100"/>
      <w:ind w:left="440"/>
    </w:pPr>
  </w:style>
  <w:style w:type="paragraph" w:styleId="prastasistinklapis">
    <w:name w:val="Normal (Web)"/>
    <w:basedOn w:val="prastasis"/>
    <w:uiPriority w:val="99"/>
    <w:semiHidden/>
    <w:unhideWhenUsed/>
    <w:rsid w:val="00EE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E141A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F4523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F4523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F4523"/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6B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taisymai">
    <w:name w:val="Revision"/>
    <w:hidden/>
    <w:uiPriority w:val="99"/>
    <w:semiHidden/>
    <w:rsid w:val="00BD2C6A"/>
    <w:pPr>
      <w:spacing w:after="0" w:line="240" w:lineRule="auto"/>
    </w:pPr>
  </w:style>
  <w:style w:type="character" w:customStyle="1" w:styleId="st1">
    <w:name w:val="st1"/>
    <w:basedOn w:val="Numatytasispastraiposriftas"/>
    <w:rsid w:val="00336B45"/>
  </w:style>
  <w:style w:type="character" w:styleId="Emfaz">
    <w:name w:val="Emphasis"/>
    <w:basedOn w:val="Numatytasispastraiposriftas"/>
    <w:uiPriority w:val="20"/>
    <w:qFormat/>
    <w:rsid w:val="00657585"/>
    <w:rPr>
      <w:i/>
      <w:iCs/>
    </w:rPr>
  </w:style>
  <w:style w:type="character" w:customStyle="1" w:styleId="dnr">
    <w:name w:val="dnr"/>
    <w:basedOn w:val="Numatytasispastraiposriftas"/>
    <w:rsid w:val="004D6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2742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795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7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08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675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2051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header2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9" Target="people.xml"
                 Type="http://schemas.microsoft.com/office/2011/relationships/peop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3F6D4D1B8A44FA64351D6670E1C17" ma:contentTypeVersion="0" ma:contentTypeDescription="Create a new document." ma:contentTypeScope="" ma:versionID="1822278fc80dd54f3c37d26833d81d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3B3AB-F666-4364-8605-A08FACAFD507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630999-E575-4EA5-9C4B-B2FED0DAC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F41AC0-22BE-47F9-AEFA-1AB7A1D046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3C2C75-3F51-4024-8EB6-2CAC70FA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9170</Words>
  <Characters>5227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2018-12-18T12:04:00Z</dcterms:created>
  <dc:creator>Joana Daukševič</dc:creator>
  <cp:lastModifiedBy>Martynas Pilkis</cp:lastModifiedBy>
  <cp:lastPrinted>2018-11-19T13:21:00Z</cp:lastPrinted>
  <dcterms:modified xsi:type="dcterms:W3CDTF">2018-12-18T12:04:00Z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0x0101004143F6D4D1B8A44FA64351D6670E1C17</vt:lpwstr>
  </property>
</Properties>
</file>