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533" w:rsidRDefault="00DB3473" w:rsidP="00767DC0">
      <w:pPr>
        <w:spacing w:after="0" w:line="240" w:lineRule="auto"/>
        <w:jc w:val="center"/>
        <w:rPr>
          <w:rFonts w:ascii="Times New Roman" w:eastAsia="Times New Roman" w:hAnsi="Times New Roman" w:cs="Times New Roman"/>
          <w:b/>
          <w:caps/>
          <w:sz w:val="24"/>
          <w:szCs w:val="24"/>
          <w:lang w:eastAsia="x-none"/>
        </w:rPr>
      </w:pPr>
      <w:bookmarkStart w:id="0" w:name="_GoBack"/>
      <w:bookmarkEnd w:id="0"/>
      <w:r w:rsidRPr="00DB3473">
        <w:rPr>
          <w:rFonts w:ascii="Times New Roman" w:eastAsia="Times New Roman" w:hAnsi="Times New Roman" w:cs="Times New Roman"/>
          <w:b/>
          <w:bCs/>
          <w:sz w:val="24"/>
          <w:szCs w:val="24"/>
          <w:lang w:eastAsia="lt-LT"/>
        </w:rPr>
        <w:t>LIETUVOS RESPUBLIKOS</w:t>
      </w:r>
      <w:r w:rsidRPr="00DB3473">
        <w:rPr>
          <w:rFonts w:ascii="Times New Roman" w:eastAsia="Times New Roman" w:hAnsi="Times New Roman" w:cs="Times New Roman"/>
          <w:b/>
          <w:color w:val="000000"/>
          <w:sz w:val="24"/>
          <w:szCs w:val="24"/>
          <w:lang w:eastAsia="lt-LT"/>
        </w:rPr>
        <w:t xml:space="preserve"> PAREIGŪNŲ IR KARIŲ VALSTYBINIŲ PENSIJŲ ĮSTATYMO NR. I-693 6 STRAIPSNIO PAKEITIMO, ĮSTATYMO PAPILDYMO </w:t>
      </w:r>
      <w:r>
        <w:rPr>
          <w:rFonts w:ascii="Times New Roman" w:eastAsia="Times New Roman" w:hAnsi="Times New Roman" w:cs="Times New Roman"/>
          <w:b/>
          <w:color w:val="000000"/>
          <w:sz w:val="24"/>
          <w:szCs w:val="24"/>
          <w:lang w:eastAsia="lt-LT"/>
        </w:rPr>
        <w:t xml:space="preserve"> </w:t>
      </w:r>
      <w:r w:rsidRPr="00DB3473">
        <w:rPr>
          <w:rFonts w:ascii="Times New Roman" w:eastAsia="Times New Roman" w:hAnsi="Times New Roman" w:cs="Times New Roman"/>
          <w:b/>
          <w:color w:val="000000"/>
          <w:sz w:val="24"/>
          <w:szCs w:val="24"/>
          <w:lang w:eastAsia="lt-LT"/>
        </w:rPr>
        <w:t xml:space="preserve">17 STRAIPSNIU IR PRIEDU </w:t>
      </w:r>
      <w:r w:rsidRPr="00DB3473">
        <w:rPr>
          <w:rFonts w:ascii="Times New Roman" w:eastAsia="Times New Roman" w:hAnsi="Times New Roman" w:cs="Times New Roman"/>
          <w:b/>
          <w:bCs/>
          <w:sz w:val="24"/>
          <w:szCs w:val="24"/>
          <w:lang w:eastAsia="lt-LT"/>
        </w:rPr>
        <w:t>ĮSTATYMO PROJEKTO</w:t>
      </w:r>
    </w:p>
    <w:p w:rsidR="000C6CCA" w:rsidRPr="00DB3473" w:rsidRDefault="000C6CCA" w:rsidP="00767DC0">
      <w:pPr>
        <w:spacing w:after="0" w:line="240" w:lineRule="auto"/>
        <w:jc w:val="center"/>
        <w:rPr>
          <w:rFonts w:ascii="Times New Roman" w:eastAsia="Times New Roman" w:hAnsi="Times New Roman" w:cs="Times New Roman"/>
          <w:b/>
          <w:caps/>
          <w:sz w:val="24"/>
          <w:szCs w:val="24"/>
          <w:lang w:eastAsia="x-none"/>
        </w:rPr>
      </w:pPr>
      <w:r w:rsidRPr="00CE48A7">
        <w:rPr>
          <w:rFonts w:ascii="Times New Roman" w:hAnsi="Times New Roman" w:cs="Times New Roman"/>
          <w:b/>
          <w:sz w:val="24"/>
          <w:szCs w:val="24"/>
        </w:rPr>
        <w:t>DERINIMO PAŽYMA</w:t>
      </w:r>
    </w:p>
    <w:p w:rsidR="00F54BCE" w:rsidRPr="00CE48A7" w:rsidRDefault="00F54BCE" w:rsidP="00EB13E1">
      <w:pPr>
        <w:spacing w:after="0" w:line="276" w:lineRule="auto"/>
        <w:jc w:val="center"/>
        <w:rPr>
          <w:rFonts w:ascii="Times New Roman" w:hAnsi="Times New Roman" w:cs="Times New Roman"/>
          <w:b/>
          <w:sz w:val="24"/>
          <w:szCs w:val="24"/>
        </w:rPr>
      </w:pPr>
    </w:p>
    <w:tbl>
      <w:tblPr>
        <w:tblStyle w:val="Lentelstinklelis"/>
        <w:tblW w:w="15134" w:type="dxa"/>
        <w:tblLook w:val="04A0" w:firstRow="1" w:lastRow="0" w:firstColumn="1" w:lastColumn="0" w:noHBand="0" w:noVBand="1"/>
      </w:tblPr>
      <w:tblGrid>
        <w:gridCol w:w="2236"/>
        <w:gridCol w:w="4950"/>
        <w:gridCol w:w="7948"/>
      </w:tblGrid>
      <w:tr w:rsidR="0009133C" w:rsidRPr="00CE48A7" w:rsidTr="002C753F">
        <w:trPr>
          <w:trHeight w:val="1019"/>
        </w:trPr>
        <w:tc>
          <w:tcPr>
            <w:tcW w:w="2236" w:type="dxa"/>
            <w:vAlign w:val="center"/>
          </w:tcPr>
          <w:p w:rsidR="00461144" w:rsidRPr="00CE48A7" w:rsidRDefault="006008E6" w:rsidP="00EB13E1">
            <w:pPr>
              <w:spacing w:line="276" w:lineRule="auto"/>
              <w:jc w:val="center"/>
              <w:rPr>
                <w:rFonts w:ascii="Times New Roman" w:hAnsi="Times New Roman" w:cs="Times New Roman"/>
                <w:sz w:val="24"/>
                <w:szCs w:val="24"/>
              </w:rPr>
            </w:pPr>
            <w:r w:rsidRPr="00CE48A7">
              <w:rPr>
                <w:rFonts w:ascii="Times New Roman" w:eastAsia="Times New Roman" w:hAnsi="Times New Roman" w:cs="Times New Roman"/>
                <w:b/>
                <w:iCs/>
                <w:sz w:val="24"/>
                <w:szCs w:val="24"/>
                <w:lang w:eastAsia="lt-LT"/>
              </w:rPr>
              <w:t>Institucijos pavadinimas, rašto data ir numeris</w:t>
            </w:r>
          </w:p>
        </w:tc>
        <w:tc>
          <w:tcPr>
            <w:tcW w:w="4950" w:type="dxa"/>
            <w:vAlign w:val="center"/>
          </w:tcPr>
          <w:p w:rsidR="00461144" w:rsidRPr="00CE48A7" w:rsidRDefault="006008E6" w:rsidP="00EB13E1">
            <w:pPr>
              <w:spacing w:line="276" w:lineRule="auto"/>
              <w:jc w:val="center"/>
              <w:rPr>
                <w:rFonts w:ascii="Times New Roman" w:hAnsi="Times New Roman" w:cs="Times New Roman"/>
              </w:rPr>
            </w:pPr>
            <w:r w:rsidRPr="00CE48A7">
              <w:rPr>
                <w:rFonts w:ascii="Times New Roman" w:hAnsi="Times New Roman" w:cs="Times New Roman"/>
                <w:b/>
                <w:sz w:val="24"/>
                <w:szCs w:val="24"/>
              </w:rPr>
              <w:t>Pastabos ir pasiūlymai</w:t>
            </w:r>
          </w:p>
        </w:tc>
        <w:tc>
          <w:tcPr>
            <w:tcW w:w="7948" w:type="dxa"/>
            <w:vAlign w:val="center"/>
          </w:tcPr>
          <w:p w:rsidR="00AF746B" w:rsidRPr="00CE48A7" w:rsidRDefault="006008E6" w:rsidP="00EB13E1">
            <w:pPr>
              <w:spacing w:line="276" w:lineRule="auto"/>
              <w:jc w:val="center"/>
              <w:rPr>
                <w:rFonts w:ascii="Times New Roman" w:eastAsia="Calibri" w:hAnsi="Times New Roman" w:cs="Times New Roman"/>
                <w:b/>
                <w:sz w:val="24"/>
                <w:szCs w:val="24"/>
              </w:rPr>
            </w:pPr>
            <w:r w:rsidRPr="00CE48A7">
              <w:rPr>
                <w:rFonts w:ascii="Times New Roman" w:eastAsia="Calibri" w:hAnsi="Times New Roman" w:cs="Times New Roman"/>
                <w:b/>
                <w:sz w:val="24"/>
                <w:szCs w:val="24"/>
              </w:rPr>
              <w:t>Žyma apie pastabas ir pasiūlymus</w:t>
            </w:r>
            <w:r w:rsidR="00AF746B" w:rsidRPr="00CE48A7">
              <w:rPr>
                <w:rFonts w:ascii="Times New Roman" w:eastAsia="Calibri" w:hAnsi="Times New Roman" w:cs="Times New Roman"/>
                <w:b/>
                <w:sz w:val="24"/>
                <w:szCs w:val="24"/>
              </w:rPr>
              <w:t>, į kuriuos neatsižvelgta ar</w:t>
            </w:r>
          </w:p>
          <w:p w:rsidR="00461144" w:rsidRPr="00CE48A7" w:rsidRDefault="00AF746B" w:rsidP="00EB13E1">
            <w:pPr>
              <w:spacing w:line="276" w:lineRule="auto"/>
              <w:jc w:val="center"/>
              <w:rPr>
                <w:rFonts w:ascii="Times New Roman" w:hAnsi="Times New Roman" w:cs="Times New Roman"/>
              </w:rPr>
            </w:pPr>
            <w:r w:rsidRPr="00CE48A7">
              <w:rPr>
                <w:rFonts w:ascii="Times New Roman" w:eastAsia="Calibri" w:hAnsi="Times New Roman" w:cs="Times New Roman"/>
                <w:b/>
                <w:sz w:val="24"/>
                <w:szCs w:val="24"/>
              </w:rPr>
              <w:t>atsižvelgta iš dalies</w:t>
            </w:r>
          </w:p>
        </w:tc>
      </w:tr>
      <w:tr w:rsidR="00462328" w:rsidRPr="00CE48A7" w:rsidTr="002C753F">
        <w:tc>
          <w:tcPr>
            <w:tcW w:w="2236" w:type="dxa"/>
          </w:tcPr>
          <w:p w:rsidR="00462328" w:rsidRPr="00CE48A7" w:rsidRDefault="008F04A9" w:rsidP="00EB13E1">
            <w:pPr>
              <w:spacing w:line="276" w:lineRule="auto"/>
              <w:rPr>
                <w:rFonts w:ascii="Times New Roman" w:hAnsi="Times New Roman" w:cs="Times New Roman"/>
                <w:sz w:val="24"/>
                <w:szCs w:val="24"/>
              </w:rPr>
            </w:pPr>
            <w:r>
              <w:rPr>
                <w:rFonts w:ascii="Times New Roman" w:hAnsi="Times New Roman" w:cs="Times New Roman"/>
                <w:sz w:val="24"/>
                <w:szCs w:val="24"/>
              </w:rPr>
              <w:t>Lietuvos Respublikos t</w:t>
            </w:r>
            <w:r w:rsidR="00462328" w:rsidRPr="00CE48A7">
              <w:rPr>
                <w:rFonts w:ascii="Times New Roman" w:hAnsi="Times New Roman" w:cs="Times New Roman"/>
                <w:sz w:val="24"/>
                <w:szCs w:val="24"/>
              </w:rPr>
              <w:t>eisingumo ministerijos</w:t>
            </w:r>
          </w:p>
          <w:p w:rsidR="00462328" w:rsidRPr="00CE48A7" w:rsidRDefault="00462328" w:rsidP="00EB13E1">
            <w:pPr>
              <w:spacing w:line="276" w:lineRule="auto"/>
              <w:rPr>
                <w:rFonts w:ascii="Times New Roman" w:hAnsi="Times New Roman" w:cs="Times New Roman"/>
                <w:sz w:val="24"/>
                <w:szCs w:val="24"/>
              </w:rPr>
            </w:pPr>
            <w:r w:rsidRPr="00CE48A7">
              <w:rPr>
                <w:rFonts w:ascii="Times New Roman" w:hAnsi="Times New Roman" w:cs="Times New Roman"/>
                <w:sz w:val="24"/>
                <w:szCs w:val="24"/>
              </w:rPr>
              <w:t xml:space="preserve">2020 m. </w:t>
            </w:r>
            <w:r w:rsidR="00027643">
              <w:rPr>
                <w:rFonts w:ascii="Times New Roman" w:hAnsi="Times New Roman" w:cs="Times New Roman"/>
                <w:sz w:val="24"/>
                <w:szCs w:val="24"/>
              </w:rPr>
              <w:t xml:space="preserve">birželio </w:t>
            </w:r>
            <w:r w:rsidR="008F04A9">
              <w:rPr>
                <w:rFonts w:ascii="Times New Roman" w:hAnsi="Times New Roman" w:cs="Times New Roman"/>
                <w:sz w:val="24"/>
                <w:szCs w:val="24"/>
              </w:rPr>
              <w:br/>
            </w:r>
            <w:r w:rsidR="00027643">
              <w:rPr>
                <w:rFonts w:ascii="Times New Roman" w:hAnsi="Times New Roman" w:cs="Times New Roman"/>
                <w:sz w:val="24"/>
                <w:szCs w:val="24"/>
              </w:rPr>
              <w:t>11 d</w:t>
            </w:r>
            <w:r w:rsidRPr="00CE48A7">
              <w:rPr>
                <w:rFonts w:ascii="Times New Roman" w:hAnsi="Times New Roman" w:cs="Times New Roman"/>
                <w:sz w:val="24"/>
                <w:szCs w:val="24"/>
              </w:rPr>
              <w:t>. išvada Nr.</w:t>
            </w:r>
            <w:r w:rsidR="007358A8">
              <w:rPr>
                <w:rFonts w:ascii="Times New Roman" w:hAnsi="Times New Roman" w:cs="Times New Roman"/>
                <w:sz w:val="24"/>
                <w:szCs w:val="24"/>
              </w:rPr>
              <w:t> </w:t>
            </w:r>
            <w:r w:rsidR="00027643">
              <w:rPr>
                <w:rFonts w:ascii="Times New Roman" w:hAnsi="Times New Roman" w:cs="Times New Roman"/>
                <w:sz w:val="24"/>
                <w:szCs w:val="24"/>
              </w:rPr>
              <w:t>(1.6E) 2T-797</w:t>
            </w:r>
            <w:r w:rsidRPr="00CE48A7">
              <w:rPr>
                <w:rFonts w:ascii="Times New Roman" w:hAnsi="Times New Roman" w:cs="Times New Roman"/>
                <w:sz w:val="24"/>
                <w:szCs w:val="24"/>
              </w:rPr>
              <w:t xml:space="preserve"> </w:t>
            </w:r>
          </w:p>
          <w:p w:rsidR="00462328" w:rsidRPr="00CE48A7" w:rsidRDefault="00462328" w:rsidP="00EB13E1">
            <w:pPr>
              <w:spacing w:line="276" w:lineRule="auto"/>
              <w:rPr>
                <w:rFonts w:ascii="Times New Roman" w:hAnsi="Times New Roman" w:cs="Times New Roman"/>
                <w:sz w:val="24"/>
                <w:szCs w:val="24"/>
              </w:rPr>
            </w:pPr>
          </w:p>
          <w:p w:rsidR="00462328" w:rsidRPr="00CE48A7" w:rsidRDefault="00462328" w:rsidP="00EB13E1">
            <w:pPr>
              <w:spacing w:line="276" w:lineRule="auto"/>
              <w:rPr>
                <w:rFonts w:ascii="Times New Roman" w:hAnsi="Times New Roman" w:cs="Times New Roman"/>
                <w:sz w:val="24"/>
                <w:szCs w:val="24"/>
              </w:rPr>
            </w:pPr>
          </w:p>
          <w:p w:rsidR="00462328" w:rsidRPr="00CE48A7" w:rsidRDefault="00462328" w:rsidP="00EB13E1">
            <w:pPr>
              <w:spacing w:line="276" w:lineRule="auto"/>
              <w:rPr>
                <w:rFonts w:ascii="Times New Roman" w:hAnsi="Times New Roman" w:cs="Times New Roman"/>
                <w:sz w:val="24"/>
                <w:szCs w:val="24"/>
              </w:rPr>
            </w:pPr>
          </w:p>
          <w:p w:rsidR="00462328" w:rsidRPr="00CE48A7" w:rsidRDefault="00462328" w:rsidP="00EB13E1">
            <w:pPr>
              <w:spacing w:line="276" w:lineRule="auto"/>
              <w:rPr>
                <w:rFonts w:ascii="Times New Roman" w:hAnsi="Times New Roman" w:cs="Times New Roman"/>
                <w:sz w:val="24"/>
                <w:szCs w:val="24"/>
              </w:rPr>
            </w:pPr>
          </w:p>
        </w:tc>
        <w:tc>
          <w:tcPr>
            <w:tcW w:w="4950" w:type="dxa"/>
          </w:tcPr>
          <w:p w:rsidR="00462328" w:rsidRPr="004E7E4F" w:rsidRDefault="00DB3473" w:rsidP="002B0E30">
            <w:pPr>
              <w:pStyle w:val="Betarp"/>
              <w:jc w:val="both"/>
              <w:rPr>
                <w:rFonts w:ascii="Times New Roman" w:hAnsi="Times New Roman"/>
                <w:sz w:val="24"/>
                <w:szCs w:val="24"/>
              </w:rPr>
            </w:pPr>
            <w:r w:rsidRPr="004E7E4F">
              <w:rPr>
                <w:rFonts w:ascii="Times New Roman" w:hAnsi="Times New Roman"/>
                <w:sz w:val="24"/>
                <w:szCs w:val="24"/>
              </w:rPr>
              <w:t>1. &lt;...&gt; siūlytume patikslinti Įstatymo projekto aiškinamąjį raštą, nurodant, kad Įstatymo projektu siekiama užtikrinti prokuratūros pareigūnų, skiriamų tiek Europos deleguotaisiais prokurorais, tiek ir Europos prokurorais, stažo tęstinumą, o Įstatymo projekto 1 straipsnio formuluotę patikslinti, nustatant, kad pareigūnas, Reglamento (ES) 2017/1939 nustatyta tvarka paskirtas eiti prokuroro Europos prokuratūroje pareigas, apima tiek Europos prokurorus, tiek ir Europos deleguotuosius prokurorus.&lt;...&gt;</w:t>
            </w:r>
          </w:p>
        </w:tc>
        <w:tc>
          <w:tcPr>
            <w:tcW w:w="7948" w:type="dxa"/>
          </w:tcPr>
          <w:p w:rsidR="008F04A9" w:rsidRDefault="00462328" w:rsidP="0028647C">
            <w:pPr>
              <w:jc w:val="both"/>
              <w:rPr>
                <w:rFonts w:ascii="Times New Roman" w:hAnsi="Times New Roman" w:cs="Times New Roman"/>
                <w:b/>
                <w:sz w:val="24"/>
                <w:szCs w:val="24"/>
              </w:rPr>
            </w:pPr>
            <w:r w:rsidRPr="004E7E4F">
              <w:rPr>
                <w:rFonts w:ascii="Times New Roman" w:hAnsi="Times New Roman" w:cs="Times New Roman"/>
                <w:b/>
                <w:sz w:val="24"/>
                <w:szCs w:val="24"/>
              </w:rPr>
              <w:t xml:space="preserve">Neatsižvelgta. </w:t>
            </w:r>
          </w:p>
          <w:p w:rsidR="00680534" w:rsidRDefault="00680534" w:rsidP="0028647C">
            <w:pPr>
              <w:jc w:val="both"/>
              <w:rPr>
                <w:rFonts w:ascii="Times New Roman" w:hAnsi="Times New Roman" w:cs="Times New Roman"/>
                <w:sz w:val="24"/>
                <w:szCs w:val="24"/>
              </w:rPr>
            </w:pPr>
          </w:p>
          <w:p w:rsidR="00387F89" w:rsidRDefault="00680534" w:rsidP="0028647C">
            <w:pPr>
              <w:jc w:val="both"/>
              <w:rPr>
                <w:rFonts w:ascii="Times New Roman" w:hAnsi="Times New Roman" w:cs="Times New Roman"/>
                <w:sz w:val="24"/>
                <w:szCs w:val="24"/>
              </w:rPr>
            </w:pPr>
            <w:r>
              <w:rPr>
                <w:rFonts w:ascii="Times New Roman" w:hAnsi="Times New Roman" w:cs="Times New Roman"/>
                <w:sz w:val="24"/>
                <w:szCs w:val="24"/>
              </w:rPr>
              <w:t>P</w:t>
            </w:r>
            <w:r w:rsidR="00144B22" w:rsidRPr="004E7E4F">
              <w:rPr>
                <w:rFonts w:ascii="Times New Roman" w:hAnsi="Times New Roman" w:cs="Times New Roman"/>
                <w:sz w:val="24"/>
                <w:szCs w:val="24"/>
              </w:rPr>
              <w:t xml:space="preserve">areigūnų ir karių </w:t>
            </w:r>
            <w:r w:rsidR="00254C12" w:rsidRPr="004E7E4F">
              <w:rPr>
                <w:rFonts w:ascii="Times New Roman" w:hAnsi="Times New Roman" w:cs="Times New Roman"/>
                <w:sz w:val="24"/>
                <w:szCs w:val="24"/>
              </w:rPr>
              <w:t xml:space="preserve">valstybinių pensijų sistema nėra pagrindinė </w:t>
            </w:r>
            <w:r w:rsidR="00144B22" w:rsidRPr="004E7E4F">
              <w:rPr>
                <w:rFonts w:ascii="Times New Roman" w:hAnsi="Times New Roman" w:cs="Times New Roman"/>
                <w:sz w:val="24"/>
                <w:szCs w:val="24"/>
              </w:rPr>
              <w:t>buvusių pareigūnų</w:t>
            </w:r>
            <w:r w:rsidR="00254C12" w:rsidRPr="004E7E4F">
              <w:rPr>
                <w:rFonts w:ascii="Times New Roman" w:hAnsi="Times New Roman" w:cs="Times New Roman"/>
                <w:sz w:val="24"/>
                <w:szCs w:val="24"/>
              </w:rPr>
              <w:t xml:space="preserve"> socialinę apsaugą </w:t>
            </w:r>
            <w:r w:rsidRPr="004E7E4F">
              <w:rPr>
                <w:rFonts w:ascii="Times New Roman" w:hAnsi="Times New Roman" w:cs="Times New Roman"/>
                <w:sz w:val="24"/>
                <w:szCs w:val="24"/>
              </w:rPr>
              <w:t>Lietuvo</w:t>
            </w:r>
            <w:r>
              <w:rPr>
                <w:rFonts w:ascii="Times New Roman" w:hAnsi="Times New Roman" w:cs="Times New Roman"/>
                <w:sz w:val="24"/>
                <w:szCs w:val="24"/>
              </w:rPr>
              <w:t>s Respublikoje</w:t>
            </w:r>
            <w:r w:rsidRPr="004E7E4F">
              <w:rPr>
                <w:rFonts w:ascii="Times New Roman" w:hAnsi="Times New Roman" w:cs="Times New Roman"/>
                <w:sz w:val="24"/>
                <w:szCs w:val="24"/>
              </w:rPr>
              <w:t xml:space="preserve"> </w:t>
            </w:r>
            <w:r w:rsidR="00254C12" w:rsidRPr="004E7E4F">
              <w:rPr>
                <w:rFonts w:ascii="Times New Roman" w:hAnsi="Times New Roman" w:cs="Times New Roman"/>
                <w:sz w:val="24"/>
                <w:szCs w:val="24"/>
              </w:rPr>
              <w:t xml:space="preserve">užtikrinanti pensijų sistema, tai </w:t>
            </w:r>
            <w:r w:rsidR="00387F89">
              <w:rPr>
                <w:rFonts w:ascii="Times New Roman" w:hAnsi="Times New Roman" w:cs="Times New Roman"/>
                <w:sz w:val="24"/>
                <w:szCs w:val="24"/>
              </w:rPr>
              <w:t xml:space="preserve">– </w:t>
            </w:r>
            <w:r w:rsidR="00254C12" w:rsidRPr="004E7E4F">
              <w:rPr>
                <w:rFonts w:ascii="Times New Roman" w:hAnsi="Times New Roman" w:cs="Times New Roman"/>
                <w:sz w:val="24"/>
                <w:szCs w:val="24"/>
              </w:rPr>
              <w:t xml:space="preserve">papildoma pensijų sistema, kuri iš esmės įgyvendina ne socialinės apsaugos, </w:t>
            </w:r>
            <w:r w:rsidR="001F4EDC">
              <w:rPr>
                <w:rFonts w:ascii="Times New Roman" w:hAnsi="Times New Roman" w:cs="Times New Roman"/>
                <w:sz w:val="24"/>
                <w:szCs w:val="24"/>
              </w:rPr>
              <w:t>o</w:t>
            </w:r>
            <w:r w:rsidR="001F4EDC" w:rsidRPr="004E7E4F">
              <w:rPr>
                <w:rFonts w:ascii="Times New Roman" w:hAnsi="Times New Roman" w:cs="Times New Roman"/>
                <w:sz w:val="24"/>
                <w:szCs w:val="24"/>
              </w:rPr>
              <w:t xml:space="preserve"> </w:t>
            </w:r>
            <w:r w:rsidR="00254C12" w:rsidRPr="004E7E4F">
              <w:rPr>
                <w:rFonts w:ascii="Times New Roman" w:hAnsi="Times New Roman" w:cs="Times New Roman"/>
                <w:sz w:val="24"/>
                <w:szCs w:val="24"/>
              </w:rPr>
              <w:t>valstybės apdovanojimo funkciją. Valstybinės pensijos yra jokiomis įmokomis nepagrįstos, iš bendrųjų mokesčių mokamos išmokos</w:t>
            </w:r>
            <w:r w:rsidR="00387F89">
              <w:rPr>
                <w:rFonts w:ascii="Times New Roman" w:hAnsi="Times New Roman" w:cs="Times New Roman"/>
                <w:sz w:val="24"/>
                <w:szCs w:val="24"/>
              </w:rPr>
              <w:t>,</w:t>
            </w:r>
            <w:r w:rsidR="00387F89" w:rsidRPr="004E7E4F">
              <w:rPr>
                <w:rFonts w:ascii="Times New Roman" w:hAnsi="Times New Roman" w:cs="Times New Roman"/>
                <w:sz w:val="24"/>
                <w:szCs w:val="24"/>
              </w:rPr>
              <w:t xml:space="preserve"> </w:t>
            </w:r>
            <w:r w:rsidR="00387F89">
              <w:rPr>
                <w:rFonts w:ascii="Times New Roman" w:hAnsi="Times New Roman" w:cs="Times New Roman"/>
                <w:sz w:val="24"/>
                <w:szCs w:val="24"/>
              </w:rPr>
              <w:t>t</w:t>
            </w:r>
            <w:r w:rsidR="00387F89" w:rsidRPr="004E7E4F">
              <w:rPr>
                <w:rFonts w:ascii="Times New Roman" w:hAnsi="Times New Roman" w:cs="Times New Roman"/>
                <w:sz w:val="24"/>
                <w:szCs w:val="24"/>
              </w:rPr>
              <w:t>odėl</w:t>
            </w:r>
            <w:r w:rsidR="00144B22" w:rsidRPr="004E7E4F">
              <w:rPr>
                <w:rFonts w:ascii="Times New Roman" w:hAnsi="Times New Roman" w:cs="Times New Roman"/>
                <w:sz w:val="24"/>
                <w:szCs w:val="24"/>
              </w:rPr>
              <w:t xml:space="preserve"> įstatymų leidėjas turi </w:t>
            </w:r>
            <w:r>
              <w:rPr>
                <w:rFonts w:ascii="Times New Roman" w:hAnsi="Times New Roman" w:cs="Times New Roman"/>
                <w:sz w:val="24"/>
                <w:szCs w:val="24"/>
              </w:rPr>
              <w:t>visišką</w:t>
            </w:r>
            <w:r w:rsidRPr="004E7E4F">
              <w:rPr>
                <w:rFonts w:ascii="Times New Roman" w:hAnsi="Times New Roman" w:cs="Times New Roman"/>
                <w:sz w:val="24"/>
                <w:szCs w:val="24"/>
              </w:rPr>
              <w:t xml:space="preserve"> </w:t>
            </w:r>
            <w:proofErr w:type="spellStart"/>
            <w:r w:rsidR="00144B22" w:rsidRPr="004E7E4F">
              <w:rPr>
                <w:rFonts w:ascii="Times New Roman" w:hAnsi="Times New Roman" w:cs="Times New Roman"/>
                <w:sz w:val="24"/>
                <w:szCs w:val="24"/>
              </w:rPr>
              <w:t>diskreciją</w:t>
            </w:r>
            <w:proofErr w:type="spellEnd"/>
            <w:r w:rsidR="00144B22" w:rsidRPr="004E7E4F">
              <w:rPr>
                <w:rFonts w:ascii="Times New Roman" w:hAnsi="Times New Roman" w:cs="Times New Roman"/>
                <w:sz w:val="24"/>
                <w:szCs w:val="24"/>
              </w:rPr>
              <w:t xml:space="preserve"> nustatyti, kam, kokia apimtimi ir kokiomis sąlygomis šios pensijos yra mokamos.</w:t>
            </w:r>
            <w:r w:rsidR="0028647C">
              <w:rPr>
                <w:rFonts w:ascii="Times New Roman" w:hAnsi="Times New Roman" w:cs="Times New Roman"/>
                <w:sz w:val="24"/>
                <w:szCs w:val="24"/>
              </w:rPr>
              <w:t xml:space="preserve"> </w:t>
            </w:r>
          </w:p>
          <w:p w:rsidR="00680534" w:rsidRDefault="00680534" w:rsidP="0028647C">
            <w:pPr>
              <w:jc w:val="both"/>
              <w:rPr>
                <w:rFonts w:ascii="Times New Roman" w:hAnsi="Times New Roman" w:cs="Times New Roman"/>
                <w:sz w:val="24"/>
                <w:szCs w:val="24"/>
              </w:rPr>
            </w:pPr>
          </w:p>
          <w:p w:rsidR="00387F89" w:rsidRDefault="0028647C" w:rsidP="0028647C">
            <w:pPr>
              <w:jc w:val="both"/>
              <w:rPr>
                <w:rFonts w:ascii="Times New Roman" w:hAnsi="Times New Roman" w:cs="Times New Roman"/>
                <w:sz w:val="24"/>
                <w:szCs w:val="24"/>
              </w:rPr>
            </w:pPr>
            <w:r w:rsidRPr="0028647C">
              <w:rPr>
                <w:rFonts w:ascii="Times New Roman" w:hAnsi="Times New Roman" w:cs="Times New Roman"/>
                <w:sz w:val="24"/>
                <w:szCs w:val="24"/>
              </w:rPr>
              <w:t xml:space="preserve">Šiame kontekste paminėtinos šios </w:t>
            </w:r>
            <w:r w:rsidR="00387F89">
              <w:rPr>
                <w:rFonts w:ascii="Times New Roman" w:hAnsi="Times New Roman" w:cs="Times New Roman"/>
                <w:sz w:val="24"/>
                <w:szCs w:val="24"/>
              </w:rPr>
              <w:t xml:space="preserve">Lietuvos Respublikos </w:t>
            </w:r>
            <w:r w:rsidRPr="0028647C">
              <w:rPr>
                <w:rFonts w:ascii="Times New Roman" w:hAnsi="Times New Roman" w:cs="Times New Roman"/>
                <w:sz w:val="24"/>
                <w:szCs w:val="24"/>
              </w:rPr>
              <w:t>Konstitucinio Teismo suformuluotos oficialiosios konstitucinės doktrinos nuostatos, susijusios su valstybinėmis pensijomis:</w:t>
            </w:r>
          </w:p>
          <w:p w:rsidR="00387F89" w:rsidRDefault="00387F89" w:rsidP="0028647C">
            <w:pPr>
              <w:jc w:val="both"/>
              <w:rPr>
                <w:rFonts w:ascii="Times New Roman" w:hAnsi="Times New Roman" w:cs="Times New Roman"/>
                <w:sz w:val="24"/>
                <w:szCs w:val="24"/>
              </w:rPr>
            </w:pPr>
            <w:r>
              <w:rPr>
                <w:rFonts w:ascii="Times New Roman" w:hAnsi="Times New Roman" w:cs="Times New Roman"/>
                <w:sz w:val="24"/>
                <w:szCs w:val="24"/>
              </w:rPr>
              <w:t xml:space="preserve">- </w:t>
            </w:r>
            <w:r w:rsidR="0028647C" w:rsidRPr="004E7E4F">
              <w:rPr>
                <w:rFonts w:ascii="Times New Roman" w:hAnsi="Times New Roman" w:cs="Times New Roman"/>
                <w:sz w:val="24"/>
                <w:szCs w:val="24"/>
              </w:rPr>
              <w:t xml:space="preserve">pareigūnų ir karių valstybinės pensijos paskirtis – atlyginti už sudėtingą, atsakingą, dažnai rizikingą ir pavojingą asmens tarnybą </w:t>
            </w:r>
            <w:r w:rsidR="0028647C" w:rsidRPr="00767DC0">
              <w:rPr>
                <w:rFonts w:ascii="Times New Roman" w:hAnsi="Times New Roman" w:cs="Times New Roman"/>
                <w:sz w:val="24"/>
                <w:szCs w:val="24"/>
              </w:rPr>
              <w:t>valstybei</w:t>
            </w:r>
            <w:r w:rsidR="0028647C">
              <w:rPr>
                <w:rFonts w:ascii="Times New Roman" w:hAnsi="Times New Roman" w:cs="Times New Roman"/>
                <w:sz w:val="24"/>
                <w:szCs w:val="24"/>
              </w:rPr>
              <w:t xml:space="preserve"> (</w:t>
            </w:r>
            <w:r w:rsidR="00680534" w:rsidRPr="0028647C">
              <w:rPr>
                <w:rFonts w:ascii="Times New Roman" w:hAnsi="Times New Roman" w:cs="Times New Roman"/>
                <w:sz w:val="24"/>
                <w:szCs w:val="24"/>
              </w:rPr>
              <w:t xml:space="preserve">Konstitucinio Teismo </w:t>
            </w:r>
            <w:r w:rsidR="0028647C" w:rsidRPr="004E7E4F">
              <w:rPr>
                <w:rFonts w:ascii="Times New Roman" w:hAnsi="Times New Roman" w:cs="Times New Roman"/>
                <w:sz w:val="24"/>
                <w:szCs w:val="24"/>
              </w:rPr>
              <w:t>2008 m. gruodžio 24 d. nutarimas</w:t>
            </w:r>
            <w:r w:rsidR="0028647C">
              <w:rPr>
                <w:rFonts w:ascii="Times New Roman" w:hAnsi="Times New Roman" w:cs="Times New Roman"/>
                <w:sz w:val="24"/>
                <w:szCs w:val="24"/>
              </w:rPr>
              <w:t xml:space="preserve">); </w:t>
            </w:r>
          </w:p>
          <w:p w:rsidR="00387F89" w:rsidRDefault="00387F89" w:rsidP="0028647C">
            <w:pPr>
              <w:jc w:val="both"/>
              <w:rPr>
                <w:rFonts w:ascii="Times New Roman" w:hAnsi="Times New Roman" w:cs="Times New Roman"/>
                <w:sz w:val="24"/>
                <w:szCs w:val="24"/>
              </w:rPr>
            </w:pPr>
            <w:r>
              <w:rPr>
                <w:rFonts w:ascii="Times New Roman" w:hAnsi="Times New Roman" w:cs="Times New Roman"/>
                <w:sz w:val="24"/>
                <w:szCs w:val="24"/>
              </w:rPr>
              <w:t xml:space="preserve">- </w:t>
            </w:r>
            <w:r w:rsidR="0028647C" w:rsidRPr="0028647C">
              <w:rPr>
                <w:rFonts w:ascii="Times New Roman" w:hAnsi="Times New Roman" w:cs="Times New Roman"/>
                <w:sz w:val="24"/>
                <w:szCs w:val="24"/>
              </w:rPr>
              <w:t>valstybinės pensijos savo prigimtimi ir pobūdžiu skiriasi nuo valstybinio socialinio draudimo pensijų: jos yra mokamos iš valstybės biudžeto; jos skiriamos asmenims už atliktą tarnybą ar nuopelnus Lietuvos valstybei, taip pat kaip kompensacija įstatyme nurodytiems nukentėjusiesiems asmenims (</w:t>
            </w:r>
            <w:r w:rsidR="00680534" w:rsidRPr="0028647C">
              <w:rPr>
                <w:rFonts w:ascii="Times New Roman" w:hAnsi="Times New Roman" w:cs="Times New Roman"/>
                <w:sz w:val="24"/>
                <w:szCs w:val="24"/>
              </w:rPr>
              <w:t xml:space="preserve">Konstitucinio Teismo </w:t>
            </w:r>
            <w:r w:rsidR="0028647C" w:rsidRPr="0028647C">
              <w:rPr>
                <w:rFonts w:ascii="Times New Roman" w:hAnsi="Times New Roman" w:cs="Times New Roman"/>
                <w:sz w:val="24"/>
                <w:szCs w:val="24"/>
              </w:rPr>
              <w:t xml:space="preserve">2003 m. gruodžio 3 d., 2008 m. gruodžio 24 d., 2010 m. birželio 29 d. nutarimai, 2015 m. sausio 14 d. sprendimas, 2015 m. gegužės 6 d. nutarimas); </w:t>
            </w:r>
          </w:p>
          <w:p w:rsidR="00387F89" w:rsidRDefault="00387F89" w:rsidP="0028647C">
            <w:pPr>
              <w:jc w:val="both"/>
              <w:rPr>
                <w:rFonts w:ascii="Times New Roman" w:hAnsi="Times New Roman" w:cs="Times New Roman"/>
                <w:sz w:val="24"/>
                <w:szCs w:val="24"/>
              </w:rPr>
            </w:pPr>
            <w:r>
              <w:rPr>
                <w:rFonts w:ascii="Times New Roman" w:hAnsi="Times New Roman" w:cs="Times New Roman"/>
                <w:sz w:val="24"/>
                <w:szCs w:val="24"/>
              </w:rPr>
              <w:t xml:space="preserve">- </w:t>
            </w:r>
            <w:r w:rsidR="0028647C" w:rsidRPr="0028647C">
              <w:rPr>
                <w:rFonts w:ascii="Times New Roman" w:hAnsi="Times New Roman" w:cs="Times New Roman"/>
                <w:sz w:val="24"/>
                <w:szCs w:val="24"/>
              </w:rPr>
              <w:t>valstybinių pensijų ypatumai leidžia įstatymų leidėjui, atsižvelgiant į visas reikšmingas aplinkybes ir paisant Konstitucijos normų bei principų, nustatyti atitinkamas šių pensijų skyrimo sąlygas (</w:t>
            </w:r>
            <w:r w:rsidR="006312C7" w:rsidRPr="0028647C">
              <w:rPr>
                <w:rFonts w:ascii="Times New Roman" w:hAnsi="Times New Roman" w:cs="Times New Roman"/>
                <w:sz w:val="24"/>
                <w:szCs w:val="24"/>
              </w:rPr>
              <w:t xml:space="preserve">Konstitucinio Teismo </w:t>
            </w:r>
            <w:r w:rsidR="0028647C" w:rsidRPr="0028647C">
              <w:rPr>
                <w:rFonts w:ascii="Times New Roman" w:hAnsi="Times New Roman" w:cs="Times New Roman"/>
                <w:sz w:val="24"/>
                <w:szCs w:val="24"/>
              </w:rPr>
              <w:t xml:space="preserve">2008 m. gruodžio 24 d. nutarimas, 2010 m. balandžio 20 d. sprendimas, 2010 m. birželio 29 d., 2012 m. vasario 6 d. nutarimai); </w:t>
            </w:r>
          </w:p>
          <w:p w:rsidR="0088576B" w:rsidRDefault="00387F89" w:rsidP="0028647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647C" w:rsidRPr="0028647C">
              <w:rPr>
                <w:rFonts w:ascii="Times New Roman" w:hAnsi="Times New Roman" w:cs="Times New Roman"/>
                <w:sz w:val="24"/>
                <w:szCs w:val="24"/>
              </w:rPr>
              <w:t xml:space="preserve">įstatymų leidėjo </w:t>
            </w:r>
            <w:proofErr w:type="spellStart"/>
            <w:r w:rsidR="0028647C" w:rsidRPr="0028647C">
              <w:rPr>
                <w:rFonts w:ascii="Times New Roman" w:hAnsi="Times New Roman" w:cs="Times New Roman"/>
                <w:sz w:val="24"/>
                <w:szCs w:val="24"/>
              </w:rPr>
              <w:t>diskrecija</w:t>
            </w:r>
            <w:proofErr w:type="spellEnd"/>
            <w:r w:rsidR="0028647C" w:rsidRPr="0028647C">
              <w:rPr>
                <w:rFonts w:ascii="Times New Roman" w:hAnsi="Times New Roman" w:cs="Times New Roman"/>
                <w:sz w:val="24"/>
                <w:szCs w:val="24"/>
              </w:rPr>
              <w:t xml:space="preserve"> nustatant valstybinių pensijų skyrimą yra platesnė nei reglamentuojant kitas pensijas, jų skyrimo sąlygos gali būti labai įvairios ir priklausyti, be kita ko, nuo tarnybos ypatumų, ekonominių valstybės išgalių (</w:t>
            </w:r>
            <w:r w:rsidR="006312C7" w:rsidRPr="0028647C">
              <w:rPr>
                <w:rFonts w:ascii="Times New Roman" w:hAnsi="Times New Roman" w:cs="Times New Roman"/>
                <w:sz w:val="24"/>
                <w:szCs w:val="24"/>
              </w:rPr>
              <w:t xml:space="preserve">Konstitucinio Teismo </w:t>
            </w:r>
            <w:r w:rsidR="0028647C" w:rsidRPr="0028647C">
              <w:rPr>
                <w:rFonts w:ascii="Times New Roman" w:hAnsi="Times New Roman" w:cs="Times New Roman"/>
                <w:sz w:val="24"/>
                <w:szCs w:val="24"/>
              </w:rPr>
              <w:t>2008 m. gruodžio 24 d., 2012 m. vasario 6 d., 2015 m. gegužės 6 d. nutarimai).</w:t>
            </w:r>
          </w:p>
          <w:p w:rsidR="00680534" w:rsidRDefault="00680534" w:rsidP="0028647C">
            <w:pPr>
              <w:jc w:val="both"/>
              <w:rPr>
                <w:rFonts w:ascii="Times New Roman" w:hAnsi="Times New Roman" w:cs="Times New Roman"/>
                <w:sz w:val="24"/>
                <w:szCs w:val="24"/>
              </w:rPr>
            </w:pPr>
          </w:p>
          <w:p w:rsidR="0028647C" w:rsidRDefault="0088576B" w:rsidP="0028647C">
            <w:pPr>
              <w:jc w:val="both"/>
              <w:rPr>
                <w:rFonts w:asciiTheme="majorBidi" w:hAnsiTheme="majorBidi" w:cstheme="majorBidi"/>
                <w:sz w:val="24"/>
                <w:szCs w:val="24"/>
              </w:rPr>
            </w:pPr>
            <w:r>
              <w:rPr>
                <w:rFonts w:ascii="Times New Roman" w:hAnsi="Times New Roman" w:cs="Times New Roman"/>
                <w:sz w:val="24"/>
                <w:szCs w:val="24"/>
              </w:rPr>
              <w:t xml:space="preserve">Be to, laikotarpiai, kurie įskaitomi į tarnybos stažą pareigūnų ir karių valstybinei pensijai skirti, yra nustatyti </w:t>
            </w:r>
            <w:r w:rsidR="006312C7">
              <w:rPr>
                <w:rFonts w:ascii="Times New Roman" w:hAnsi="Times New Roman" w:cs="Times New Roman"/>
                <w:sz w:val="24"/>
                <w:szCs w:val="24"/>
              </w:rPr>
              <w:t xml:space="preserve">Lietuvos Respublikos pareigūnų </w:t>
            </w:r>
            <w:r>
              <w:rPr>
                <w:rFonts w:ascii="Times New Roman" w:hAnsi="Times New Roman" w:cs="Times New Roman"/>
                <w:sz w:val="24"/>
                <w:szCs w:val="24"/>
              </w:rPr>
              <w:t xml:space="preserve">ir karių valstybinių pensijų </w:t>
            </w:r>
            <w:r w:rsidRPr="00CD408A">
              <w:rPr>
                <w:rFonts w:ascii="Times New Roman" w:hAnsi="Times New Roman" w:cs="Times New Roman"/>
                <w:sz w:val="24"/>
                <w:szCs w:val="24"/>
              </w:rPr>
              <w:t xml:space="preserve">įstatyme ir nebūtinai sutampa su tarnybos stažu atitinkamuose pareigūnų tarnybą reguliuojančiuose statutuose ir </w:t>
            </w:r>
            <w:r w:rsidR="006312C7">
              <w:rPr>
                <w:rFonts w:ascii="Times New Roman" w:hAnsi="Times New Roman" w:cs="Times New Roman"/>
                <w:sz w:val="24"/>
                <w:szCs w:val="24"/>
              </w:rPr>
              <w:t xml:space="preserve">specialiuosiuose </w:t>
            </w:r>
            <w:r w:rsidRPr="00CD408A">
              <w:rPr>
                <w:rFonts w:ascii="Times New Roman" w:hAnsi="Times New Roman" w:cs="Times New Roman"/>
                <w:sz w:val="24"/>
                <w:szCs w:val="24"/>
              </w:rPr>
              <w:t xml:space="preserve">įstatymuose, todėl argumentas, kad </w:t>
            </w:r>
            <w:r w:rsidR="00CA3A42" w:rsidRPr="00CD408A">
              <w:rPr>
                <w:rFonts w:asciiTheme="majorBidi" w:hAnsiTheme="majorBidi" w:cstheme="majorBidi"/>
                <w:sz w:val="24"/>
                <w:szCs w:val="24"/>
              </w:rPr>
              <w:t>tarnybos prokuroru stažą</w:t>
            </w:r>
            <w:r w:rsidRPr="00CD408A">
              <w:rPr>
                <w:rFonts w:asciiTheme="majorBidi" w:hAnsiTheme="majorBidi" w:cstheme="majorBidi"/>
                <w:sz w:val="24"/>
                <w:szCs w:val="24"/>
              </w:rPr>
              <w:t xml:space="preserve">  sudaro </w:t>
            </w:r>
            <w:r w:rsidR="00CA3A42" w:rsidRPr="00CD408A">
              <w:rPr>
                <w:rFonts w:asciiTheme="majorBidi" w:hAnsiTheme="majorBidi" w:cstheme="majorBidi"/>
                <w:sz w:val="24"/>
                <w:szCs w:val="24"/>
              </w:rPr>
              <w:t xml:space="preserve">ir </w:t>
            </w:r>
            <w:r w:rsidRPr="00CD408A">
              <w:rPr>
                <w:rFonts w:asciiTheme="majorBidi" w:hAnsiTheme="majorBidi" w:cstheme="majorBidi"/>
                <w:sz w:val="24"/>
                <w:szCs w:val="24"/>
              </w:rPr>
              <w:t>tarnybos prokuroru Europos Sąjungos institucijose laikas,</w:t>
            </w:r>
            <w:r w:rsidR="00CA3A42" w:rsidRPr="00CD408A">
              <w:rPr>
                <w:rFonts w:asciiTheme="majorBidi" w:hAnsiTheme="majorBidi" w:cstheme="majorBidi"/>
                <w:sz w:val="24"/>
                <w:szCs w:val="24"/>
              </w:rPr>
              <w:t xml:space="preserve"> taip pat </w:t>
            </w:r>
            <w:r w:rsidR="0086381A">
              <w:rPr>
                <w:rFonts w:asciiTheme="majorBidi" w:hAnsiTheme="majorBidi" w:cstheme="majorBidi"/>
                <w:sz w:val="24"/>
                <w:szCs w:val="24"/>
              </w:rPr>
              <w:t>nepagrindžia</w:t>
            </w:r>
            <w:r w:rsidR="00CA3A42" w:rsidRPr="00CD408A">
              <w:rPr>
                <w:rFonts w:asciiTheme="majorBidi" w:hAnsiTheme="majorBidi" w:cstheme="majorBidi"/>
                <w:sz w:val="24"/>
                <w:szCs w:val="24"/>
              </w:rPr>
              <w:t>, kad šis laikotarpis būtų įskaitytas ir skiriant pareigūnų ir karių valstybinę pensiją.</w:t>
            </w:r>
          </w:p>
          <w:p w:rsidR="00680534" w:rsidRPr="00CD408A" w:rsidRDefault="00680534" w:rsidP="0028647C">
            <w:pPr>
              <w:jc w:val="both"/>
              <w:rPr>
                <w:rFonts w:ascii="Times New Roman" w:hAnsi="Times New Roman" w:cs="Times New Roman"/>
                <w:sz w:val="24"/>
                <w:szCs w:val="24"/>
                <w:lang w:val="en-US"/>
              </w:rPr>
            </w:pPr>
          </w:p>
          <w:p w:rsidR="00462328" w:rsidRPr="004E7E4F" w:rsidRDefault="00055654" w:rsidP="00817981">
            <w:pPr>
              <w:jc w:val="both"/>
              <w:rPr>
                <w:rFonts w:ascii="Times New Roman" w:hAnsi="Times New Roman" w:cs="Times New Roman"/>
                <w:sz w:val="24"/>
                <w:szCs w:val="24"/>
              </w:rPr>
            </w:pPr>
            <w:r w:rsidRPr="00CD408A">
              <w:rPr>
                <w:rFonts w:ascii="Times New Roman" w:hAnsi="Times New Roman" w:cs="Times New Roman"/>
                <w:sz w:val="24"/>
                <w:szCs w:val="24"/>
              </w:rPr>
              <w:t>Kartu atkreiptinas dėmesys į tai, kad Europos Sąjungos</w:t>
            </w:r>
            <w:r w:rsidR="00291918" w:rsidRPr="00CD408A">
              <w:rPr>
                <w:rFonts w:ascii="Times New Roman" w:hAnsi="Times New Roman" w:cs="Times New Roman"/>
                <w:sz w:val="24"/>
                <w:szCs w:val="24"/>
              </w:rPr>
              <w:t xml:space="preserve"> institucijų pareigūnai yra draudžiami pagal Europos Sąjungos institucijų bendrą socialinės apsaugos sistemą, vadovaujantis 1968 m. vasario 29 d. Tarybos reglamentu (EEB, Euratomas, EAPB) Nr. 259/68, nustatančiu Europos Bendrijų pareigūnų tarnybos nuostatus ir kitų Europos Bendrijų tarnautojų įdarbinimo sąlygas bei Komisijos pareigūnams laikinai taikomas speciali</w:t>
            </w:r>
            <w:r w:rsidR="00F80070">
              <w:rPr>
                <w:rFonts w:ascii="Times New Roman" w:hAnsi="Times New Roman" w:cs="Times New Roman"/>
                <w:sz w:val="24"/>
                <w:szCs w:val="24"/>
              </w:rPr>
              <w:t>ąsias</w:t>
            </w:r>
            <w:r w:rsidR="00291918" w:rsidRPr="00CD408A">
              <w:rPr>
                <w:rFonts w:ascii="Times New Roman" w:hAnsi="Times New Roman" w:cs="Times New Roman"/>
                <w:sz w:val="24"/>
                <w:szCs w:val="24"/>
              </w:rPr>
              <w:t xml:space="preserve"> priemones (Tarnybos nuostatai), su visais vėlesniais pakeitimais.</w:t>
            </w:r>
            <w:r w:rsidR="00680534">
              <w:rPr>
                <w:rFonts w:ascii="Times New Roman" w:hAnsi="Times New Roman" w:cs="Times New Roman"/>
                <w:sz w:val="24"/>
                <w:szCs w:val="24"/>
              </w:rPr>
              <w:t xml:space="preserve"> </w:t>
            </w:r>
            <w:r w:rsidR="00291918" w:rsidRPr="00CD408A">
              <w:rPr>
                <w:rFonts w:ascii="Times New Roman" w:hAnsi="Times New Roman" w:cs="Times New Roman"/>
                <w:sz w:val="24"/>
                <w:szCs w:val="24"/>
              </w:rPr>
              <w:t>Tarnybos nuostatai reglamentuoja ir pensijų skyrimą</w:t>
            </w:r>
            <w:r w:rsidR="00680534">
              <w:rPr>
                <w:rFonts w:ascii="Times New Roman" w:hAnsi="Times New Roman" w:cs="Times New Roman"/>
                <w:sz w:val="24"/>
                <w:szCs w:val="24"/>
              </w:rPr>
              <w:t>,</w:t>
            </w:r>
            <w:r w:rsidR="00291918" w:rsidRPr="00CD408A">
              <w:rPr>
                <w:rFonts w:ascii="Times New Roman" w:hAnsi="Times New Roman" w:cs="Times New Roman"/>
                <w:sz w:val="24"/>
                <w:szCs w:val="24"/>
              </w:rPr>
              <w:t xml:space="preserve"> ir mokėjimą už darbo </w:t>
            </w:r>
            <w:r w:rsidRPr="00CD408A">
              <w:rPr>
                <w:rFonts w:ascii="Times New Roman" w:hAnsi="Times New Roman" w:cs="Times New Roman"/>
                <w:sz w:val="24"/>
                <w:szCs w:val="24"/>
              </w:rPr>
              <w:t xml:space="preserve">Europos Sąjungos </w:t>
            </w:r>
            <w:r w:rsidR="00291918" w:rsidRPr="00CD408A">
              <w:rPr>
                <w:rFonts w:ascii="Times New Roman" w:hAnsi="Times New Roman" w:cs="Times New Roman"/>
                <w:sz w:val="24"/>
                <w:szCs w:val="24"/>
              </w:rPr>
              <w:t>institucijose laikotarpius</w:t>
            </w:r>
            <w:r w:rsidRPr="00CD408A">
              <w:rPr>
                <w:rFonts w:ascii="Times New Roman" w:hAnsi="Times New Roman" w:cs="Times New Roman"/>
                <w:sz w:val="24"/>
                <w:szCs w:val="24"/>
              </w:rPr>
              <w:t>, taip pat socialines garantijas neįgalumo atveju (T</w:t>
            </w:r>
            <w:r w:rsidR="00291918" w:rsidRPr="00CD408A">
              <w:rPr>
                <w:rFonts w:ascii="Times New Roman" w:hAnsi="Times New Roman" w:cs="Times New Roman"/>
                <w:sz w:val="24"/>
                <w:szCs w:val="24"/>
              </w:rPr>
              <w:t>arnybos nuostatų 77</w:t>
            </w:r>
            <w:r w:rsidRPr="00CD408A">
              <w:rPr>
                <w:rFonts w:ascii="Times New Roman" w:hAnsi="Times New Roman" w:cs="Times New Roman"/>
                <w:sz w:val="24"/>
                <w:szCs w:val="24"/>
              </w:rPr>
              <w:t>, 79 straipsniai), todėl manome, kad</w:t>
            </w:r>
            <w:r w:rsidR="00F80070">
              <w:rPr>
                <w:rFonts w:ascii="Times New Roman" w:hAnsi="Times New Roman" w:cs="Times New Roman"/>
                <w:sz w:val="24"/>
                <w:szCs w:val="24"/>
              </w:rPr>
              <w:t xml:space="preserve"> </w:t>
            </w:r>
            <w:r w:rsidRPr="00CD408A">
              <w:rPr>
                <w:rFonts w:ascii="Times New Roman" w:hAnsi="Times New Roman" w:cs="Times New Roman"/>
                <w:sz w:val="24"/>
                <w:szCs w:val="24"/>
              </w:rPr>
              <w:t>neįmokinės, iš visų Lietuvos</w:t>
            </w:r>
            <w:r w:rsidR="00680534">
              <w:rPr>
                <w:rFonts w:ascii="Times New Roman" w:hAnsi="Times New Roman" w:cs="Times New Roman"/>
                <w:sz w:val="24"/>
                <w:szCs w:val="24"/>
              </w:rPr>
              <w:t xml:space="preserve"> Respublikos </w:t>
            </w:r>
            <w:r w:rsidRPr="00CD408A">
              <w:rPr>
                <w:rFonts w:ascii="Times New Roman" w:hAnsi="Times New Roman" w:cs="Times New Roman"/>
                <w:sz w:val="24"/>
                <w:szCs w:val="24"/>
              </w:rPr>
              <w:t>mokesčių mokėtojų</w:t>
            </w:r>
            <w:r w:rsidR="00291918" w:rsidRPr="00CD408A">
              <w:rPr>
                <w:rFonts w:ascii="Times New Roman" w:hAnsi="Times New Roman" w:cs="Times New Roman"/>
                <w:sz w:val="24"/>
                <w:szCs w:val="24"/>
              </w:rPr>
              <w:t xml:space="preserve"> </w:t>
            </w:r>
            <w:r w:rsidRPr="00CD408A">
              <w:rPr>
                <w:rFonts w:ascii="Times New Roman" w:hAnsi="Times New Roman" w:cs="Times New Roman"/>
                <w:sz w:val="24"/>
                <w:szCs w:val="24"/>
              </w:rPr>
              <w:t>lėšų mokamos</w:t>
            </w:r>
            <w:r w:rsidR="00F80070">
              <w:rPr>
                <w:rFonts w:ascii="Times New Roman" w:hAnsi="Times New Roman" w:cs="Times New Roman"/>
                <w:sz w:val="24"/>
                <w:szCs w:val="24"/>
              </w:rPr>
              <w:t>,</w:t>
            </w:r>
            <w:r w:rsidRPr="00CD408A">
              <w:rPr>
                <w:rFonts w:ascii="Times New Roman" w:hAnsi="Times New Roman" w:cs="Times New Roman"/>
                <w:sz w:val="24"/>
                <w:szCs w:val="24"/>
              </w:rPr>
              <w:t xml:space="preserve"> valstybinės pensijos neturėtų šių garantijų dubliuoti.</w:t>
            </w:r>
          </w:p>
        </w:tc>
      </w:tr>
      <w:tr w:rsidR="004E7E4F" w:rsidRPr="00CE48A7" w:rsidTr="002C753F">
        <w:tc>
          <w:tcPr>
            <w:tcW w:w="2236" w:type="dxa"/>
          </w:tcPr>
          <w:p w:rsidR="004E7E4F" w:rsidRPr="00CE48A7" w:rsidRDefault="004E7E4F" w:rsidP="00EB13E1">
            <w:pPr>
              <w:spacing w:line="276" w:lineRule="auto"/>
              <w:rPr>
                <w:rFonts w:ascii="Times New Roman" w:hAnsi="Times New Roman" w:cs="Times New Roman"/>
                <w:sz w:val="24"/>
                <w:szCs w:val="24"/>
              </w:rPr>
            </w:pPr>
          </w:p>
        </w:tc>
        <w:tc>
          <w:tcPr>
            <w:tcW w:w="4950" w:type="dxa"/>
          </w:tcPr>
          <w:p w:rsidR="004E7E4F" w:rsidRPr="004E7E4F" w:rsidRDefault="004E7E4F" w:rsidP="004E7E4F">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w:t>
            </w:r>
            <w:r w:rsidRPr="004E7E4F">
              <w:rPr>
                <w:rFonts w:ascii="Times New Roman" w:eastAsia="Times New Roman" w:hAnsi="Times New Roman" w:cs="Times New Roman"/>
                <w:sz w:val="24"/>
                <w:szCs w:val="24"/>
                <w:lang w:eastAsia="ar-SA"/>
              </w:rPr>
              <w:t xml:space="preserve">Atsižvelgiant į tai, kad </w:t>
            </w:r>
            <w:r w:rsidRPr="004E7E4F">
              <w:rPr>
                <w:rFonts w:ascii="Times New Roman" w:eastAsia="Times New Roman" w:hAnsi="Times New Roman" w:cs="Times New Roman"/>
                <w:color w:val="000000"/>
                <w:sz w:val="24"/>
                <w:szCs w:val="24"/>
                <w:shd w:val="clear" w:color="auto" w:fill="FFFFFF"/>
                <w:lang w:eastAsia="ar-SA"/>
              </w:rPr>
              <w:t xml:space="preserve">Kandidatų į Europos prokurorus atrankos tvarkos apraše, patvirtintame </w:t>
            </w:r>
            <w:r w:rsidRPr="004E7E4F">
              <w:rPr>
                <w:rFonts w:ascii="Times New Roman" w:eastAsia="Times New Roman" w:hAnsi="Times New Roman" w:cs="Times New Roman"/>
                <w:color w:val="000000"/>
                <w:sz w:val="24"/>
                <w:szCs w:val="24"/>
                <w:lang w:eastAsia="ar-SA"/>
              </w:rPr>
              <w:t xml:space="preserve">Lietuvos Respublikos teisingumo ministro ir Lietuvos Respublikos generalinio prokuroro 2019 m. kovo 6 d. įsakymu Nr. 1R-105/I-95, nustatyta, kad dalyvauti </w:t>
            </w:r>
            <w:r w:rsidRPr="004E7E4F">
              <w:rPr>
                <w:rFonts w:ascii="Times New Roman" w:eastAsia="Times New Roman" w:hAnsi="Times New Roman" w:cs="Times New Roman"/>
                <w:sz w:val="24"/>
                <w:szCs w:val="24"/>
                <w:lang w:eastAsia="ar-SA"/>
              </w:rPr>
              <w:t xml:space="preserve"> </w:t>
            </w:r>
            <w:r w:rsidRPr="004E7E4F">
              <w:rPr>
                <w:rFonts w:ascii="Times New Roman" w:eastAsia="Times New Roman" w:hAnsi="Times New Roman" w:cs="Times New Roman"/>
                <w:color w:val="000000"/>
                <w:sz w:val="24"/>
                <w:szCs w:val="24"/>
                <w:shd w:val="clear" w:color="auto" w:fill="FFFFFF"/>
                <w:lang w:eastAsia="ar-SA"/>
              </w:rPr>
              <w:t xml:space="preserve">kandidatų į Europos prokurorus atrankoje turi teisę ir teisėjai, įgyvendinant Reglamento (ES) 2017/1939 96 straipsnio 6 dalies įpareigojimą </w:t>
            </w:r>
            <w:r w:rsidRPr="004E7E4F">
              <w:rPr>
                <w:rFonts w:ascii="Times New Roman" w:eastAsia="Times New Roman" w:hAnsi="Times New Roman" w:cs="Times New Roman"/>
                <w:color w:val="000000"/>
                <w:sz w:val="24"/>
                <w:szCs w:val="24"/>
                <w:shd w:val="clear" w:color="auto" w:fill="FFFFFF"/>
                <w:lang w:eastAsia="ar-SA"/>
              </w:rPr>
              <w:lastRenderedPageBreak/>
              <w:t>užtikrinti</w:t>
            </w:r>
            <w:r w:rsidRPr="004E7E4F">
              <w:rPr>
                <w:rFonts w:ascii="Times New Roman" w:eastAsia="Times New Roman" w:hAnsi="Times New Roman" w:cs="Times New Roman"/>
                <w:sz w:val="24"/>
                <w:szCs w:val="24"/>
                <w:lang w:eastAsia="ar-SA"/>
              </w:rPr>
              <w:t xml:space="preserve"> tinkamas priemones, kad būtų išlaikytos su socialine apsauga, pensijomis ir draudimu susijusios Europos deleguotųjų prokurorų teisės pagal nacionalinę sistemą, turėtų būti rengiamos ir Lietuvos Respublikos teisėjų valstybinių pensijų įstatymo analogiškos, kaip ir Įstatymo projekto, pataisos.</w:t>
            </w:r>
          </w:p>
        </w:tc>
        <w:tc>
          <w:tcPr>
            <w:tcW w:w="7948" w:type="dxa"/>
          </w:tcPr>
          <w:p w:rsidR="008F04A9" w:rsidRDefault="004E7E4F" w:rsidP="009B2F3C">
            <w:pPr>
              <w:jc w:val="both"/>
              <w:rPr>
                <w:rFonts w:asciiTheme="majorBidi" w:hAnsiTheme="majorBidi" w:cstheme="majorBidi"/>
                <w:b/>
                <w:sz w:val="24"/>
                <w:szCs w:val="24"/>
              </w:rPr>
            </w:pPr>
            <w:r w:rsidRPr="00291918">
              <w:rPr>
                <w:rFonts w:asciiTheme="majorBidi" w:hAnsiTheme="majorBidi" w:cstheme="majorBidi"/>
                <w:b/>
                <w:sz w:val="24"/>
                <w:szCs w:val="24"/>
              </w:rPr>
              <w:lastRenderedPageBreak/>
              <w:t>Neatsižvelgta.</w:t>
            </w:r>
            <w:r w:rsidR="00CA3A42" w:rsidRPr="00291918">
              <w:rPr>
                <w:rFonts w:asciiTheme="majorBidi" w:hAnsiTheme="majorBidi" w:cstheme="majorBidi"/>
                <w:b/>
                <w:sz w:val="24"/>
                <w:szCs w:val="24"/>
              </w:rPr>
              <w:t xml:space="preserve"> </w:t>
            </w:r>
          </w:p>
          <w:p w:rsidR="00817981" w:rsidRDefault="00817981" w:rsidP="009B2F3C">
            <w:pPr>
              <w:jc w:val="both"/>
              <w:rPr>
                <w:rFonts w:asciiTheme="majorBidi" w:hAnsiTheme="majorBidi" w:cstheme="majorBidi"/>
                <w:b/>
                <w:sz w:val="24"/>
                <w:szCs w:val="24"/>
              </w:rPr>
            </w:pPr>
          </w:p>
          <w:p w:rsidR="00817981" w:rsidRPr="00CE48A7" w:rsidRDefault="00817981" w:rsidP="00817981">
            <w:pPr>
              <w:jc w:val="both"/>
              <w:textAlignment w:val="center"/>
              <w:rPr>
                <w:rFonts w:ascii="Times New Roman" w:hAnsi="Times New Roman" w:cs="Times New Roman"/>
                <w:sz w:val="24"/>
                <w:szCs w:val="24"/>
              </w:rPr>
            </w:pPr>
            <w:r>
              <w:rPr>
                <w:rFonts w:ascii="Times New Roman" w:hAnsi="Times New Roman" w:cs="Times New Roman"/>
                <w:sz w:val="24"/>
                <w:szCs w:val="24"/>
              </w:rPr>
              <w:t xml:space="preserve">Žr. Lietuvos Respublikos teisingumo ministerijos </w:t>
            </w:r>
            <w:r w:rsidR="008D539F">
              <w:rPr>
                <w:rFonts w:ascii="Times New Roman" w:hAnsi="Times New Roman" w:cs="Times New Roman"/>
                <w:sz w:val="24"/>
                <w:szCs w:val="24"/>
              </w:rPr>
              <w:t xml:space="preserve">dėl </w:t>
            </w:r>
            <w:r>
              <w:rPr>
                <w:rFonts w:ascii="Times New Roman" w:hAnsi="Times New Roman" w:cs="Times New Roman"/>
                <w:sz w:val="24"/>
                <w:szCs w:val="24"/>
              </w:rPr>
              <w:t>1 pastab</w:t>
            </w:r>
            <w:r w:rsidR="008D539F">
              <w:rPr>
                <w:rFonts w:ascii="Times New Roman" w:hAnsi="Times New Roman" w:cs="Times New Roman"/>
                <w:sz w:val="24"/>
                <w:szCs w:val="24"/>
              </w:rPr>
              <w:t>os</w:t>
            </w:r>
            <w:r>
              <w:rPr>
                <w:rFonts w:ascii="Times New Roman" w:hAnsi="Times New Roman" w:cs="Times New Roman"/>
                <w:sz w:val="24"/>
                <w:szCs w:val="24"/>
              </w:rPr>
              <w:t xml:space="preserve"> pateiktus argumentus</w:t>
            </w:r>
            <w:r w:rsidR="008D539F">
              <w:rPr>
                <w:rFonts w:ascii="Times New Roman" w:hAnsi="Times New Roman" w:cs="Times New Roman"/>
                <w:sz w:val="24"/>
                <w:szCs w:val="24"/>
              </w:rPr>
              <w:t>.</w:t>
            </w:r>
          </w:p>
          <w:p w:rsidR="00817981" w:rsidRDefault="00817981" w:rsidP="009B2F3C">
            <w:pPr>
              <w:jc w:val="both"/>
              <w:rPr>
                <w:rFonts w:asciiTheme="majorBidi" w:hAnsiTheme="majorBidi" w:cstheme="majorBidi"/>
                <w:b/>
                <w:sz w:val="24"/>
                <w:szCs w:val="24"/>
              </w:rPr>
            </w:pPr>
          </w:p>
          <w:p w:rsidR="004E7E4F" w:rsidRPr="00291918" w:rsidRDefault="00817981" w:rsidP="0086381A">
            <w:pPr>
              <w:jc w:val="both"/>
              <w:rPr>
                <w:rFonts w:asciiTheme="majorBidi" w:hAnsiTheme="majorBidi" w:cstheme="majorBidi"/>
                <w:b/>
                <w:sz w:val="24"/>
                <w:szCs w:val="24"/>
              </w:rPr>
            </w:pPr>
            <w:r>
              <w:rPr>
                <w:rFonts w:asciiTheme="majorBidi" w:hAnsiTheme="majorBidi" w:cstheme="majorBidi"/>
                <w:sz w:val="24"/>
                <w:szCs w:val="24"/>
              </w:rPr>
              <w:t xml:space="preserve">Vadovaujantis </w:t>
            </w:r>
            <w:r w:rsidRPr="00291918">
              <w:rPr>
                <w:rFonts w:asciiTheme="majorBidi" w:hAnsiTheme="majorBidi" w:cstheme="majorBidi"/>
                <w:sz w:val="24"/>
                <w:szCs w:val="24"/>
              </w:rPr>
              <w:t xml:space="preserve">Lietuvos Respublikos teisėjų valstybinių pensijų įstatymo </w:t>
            </w:r>
            <w:r w:rsidR="008D539F" w:rsidRPr="00291918">
              <w:rPr>
                <w:rFonts w:asciiTheme="majorBidi" w:hAnsiTheme="majorBidi" w:cstheme="majorBidi"/>
                <w:sz w:val="24"/>
                <w:szCs w:val="24"/>
              </w:rPr>
              <w:t>3</w:t>
            </w:r>
            <w:r w:rsidR="008D539F">
              <w:rPr>
                <w:rFonts w:asciiTheme="majorBidi" w:hAnsiTheme="majorBidi" w:cstheme="majorBidi"/>
                <w:sz w:val="24"/>
                <w:szCs w:val="24"/>
              </w:rPr>
              <w:t> </w:t>
            </w:r>
            <w:r w:rsidRPr="00291918">
              <w:rPr>
                <w:rFonts w:asciiTheme="majorBidi" w:hAnsiTheme="majorBidi" w:cstheme="majorBidi"/>
                <w:sz w:val="24"/>
                <w:szCs w:val="24"/>
              </w:rPr>
              <w:t xml:space="preserve">straipsnio 4 </w:t>
            </w:r>
            <w:r>
              <w:rPr>
                <w:rFonts w:asciiTheme="majorBidi" w:hAnsiTheme="majorBidi" w:cstheme="majorBidi"/>
                <w:sz w:val="24"/>
                <w:szCs w:val="24"/>
              </w:rPr>
              <w:t>punktu, t</w:t>
            </w:r>
            <w:r w:rsidR="00C00BB2" w:rsidRPr="00291918">
              <w:rPr>
                <w:rFonts w:asciiTheme="majorBidi" w:hAnsiTheme="majorBidi" w:cstheme="majorBidi"/>
                <w:sz w:val="24"/>
                <w:szCs w:val="24"/>
              </w:rPr>
              <w:t xml:space="preserve">eisėjų valstybinė pensija skiriama tik už </w:t>
            </w:r>
            <w:r w:rsidR="00C00BB2" w:rsidRPr="00767DC0">
              <w:rPr>
                <w:rFonts w:asciiTheme="majorBidi" w:hAnsiTheme="majorBidi" w:cstheme="majorBidi"/>
                <w:i/>
                <w:sz w:val="24"/>
                <w:szCs w:val="24"/>
              </w:rPr>
              <w:t>teisėjo</w:t>
            </w:r>
            <w:r w:rsidR="00C00BB2" w:rsidRPr="00291918">
              <w:rPr>
                <w:rFonts w:asciiTheme="majorBidi" w:hAnsiTheme="majorBidi" w:cstheme="majorBidi"/>
                <w:sz w:val="24"/>
                <w:szCs w:val="24"/>
              </w:rPr>
              <w:t xml:space="preserve"> darbo stažą</w:t>
            </w:r>
            <w:r>
              <w:rPr>
                <w:rFonts w:asciiTheme="majorBidi" w:hAnsiTheme="majorBidi" w:cstheme="majorBidi"/>
                <w:sz w:val="24"/>
                <w:szCs w:val="24"/>
              </w:rPr>
              <w:t>,</w:t>
            </w:r>
            <w:r w:rsidR="00866864" w:rsidRPr="00291918">
              <w:rPr>
                <w:rFonts w:asciiTheme="majorBidi" w:hAnsiTheme="majorBidi" w:cstheme="majorBidi"/>
                <w:sz w:val="24"/>
                <w:szCs w:val="24"/>
              </w:rPr>
              <w:t xml:space="preserve"> </w:t>
            </w:r>
            <w:r w:rsidR="00C00BB2" w:rsidRPr="00291918">
              <w:rPr>
                <w:rFonts w:asciiTheme="majorBidi" w:hAnsiTheme="majorBidi" w:cstheme="majorBidi"/>
                <w:sz w:val="24"/>
                <w:szCs w:val="24"/>
              </w:rPr>
              <w:t>todėl nepritariame</w:t>
            </w:r>
            <w:r>
              <w:rPr>
                <w:rFonts w:asciiTheme="majorBidi" w:hAnsiTheme="majorBidi" w:cstheme="majorBidi"/>
                <w:sz w:val="24"/>
                <w:szCs w:val="24"/>
              </w:rPr>
              <w:t xml:space="preserve"> siūlymui</w:t>
            </w:r>
            <w:r w:rsidR="00C00BB2" w:rsidRPr="00291918">
              <w:rPr>
                <w:rFonts w:asciiTheme="majorBidi" w:hAnsiTheme="majorBidi" w:cstheme="majorBidi"/>
                <w:sz w:val="24"/>
                <w:szCs w:val="24"/>
              </w:rPr>
              <w:t xml:space="preserve">, kad laikotarpis, kai </w:t>
            </w:r>
            <w:r>
              <w:rPr>
                <w:rFonts w:asciiTheme="majorBidi" w:hAnsiTheme="majorBidi" w:cstheme="majorBidi"/>
                <w:sz w:val="24"/>
                <w:szCs w:val="24"/>
              </w:rPr>
              <w:t>asmen</w:t>
            </w:r>
            <w:r w:rsidR="0062014D">
              <w:rPr>
                <w:rFonts w:asciiTheme="majorBidi" w:hAnsiTheme="majorBidi" w:cstheme="majorBidi"/>
                <w:sz w:val="24"/>
                <w:szCs w:val="24"/>
              </w:rPr>
              <w:t>s</w:t>
            </w:r>
            <w:r>
              <w:rPr>
                <w:rFonts w:asciiTheme="majorBidi" w:hAnsiTheme="majorBidi" w:cstheme="majorBidi"/>
                <w:sz w:val="24"/>
                <w:szCs w:val="24"/>
              </w:rPr>
              <w:t xml:space="preserve">, </w:t>
            </w:r>
            <w:r w:rsidR="00C00BB2" w:rsidRPr="00291918">
              <w:rPr>
                <w:rFonts w:asciiTheme="majorBidi" w:hAnsiTheme="majorBidi" w:cstheme="majorBidi"/>
                <w:sz w:val="24"/>
                <w:szCs w:val="24"/>
              </w:rPr>
              <w:t xml:space="preserve">prieš </w:t>
            </w:r>
            <w:r w:rsidR="0062014D">
              <w:rPr>
                <w:rFonts w:asciiTheme="majorBidi" w:hAnsiTheme="majorBidi" w:cstheme="majorBidi"/>
                <w:sz w:val="24"/>
                <w:szCs w:val="24"/>
              </w:rPr>
              <w:t xml:space="preserve">paskyrimą eiti </w:t>
            </w:r>
            <w:r w:rsidR="0062014D" w:rsidRPr="00291918">
              <w:rPr>
                <w:rFonts w:asciiTheme="majorBidi" w:hAnsiTheme="majorBidi" w:cstheme="majorBidi"/>
                <w:sz w:val="24"/>
                <w:szCs w:val="24"/>
              </w:rPr>
              <w:t>Europos prokuroro pareigas Europos prokuratūroje</w:t>
            </w:r>
            <w:r w:rsidR="0062014D">
              <w:rPr>
                <w:rFonts w:asciiTheme="majorBidi" w:hAnsiTheme="majorBidi" w:cstheme="majorBidi"/>
                <w:sz w:val="24"/>
                <w:szCs w:val="24"/>
              </w:rPr>
              <w:t>,</w:t>
            </w:r>
            <w:r w:rsidR="0062014D" w:rsidRPr="00291918">
              <w:rPr>
                <w:rFonts w:asciiTheme="majorBidi" w:hAnsiTheme="majorBidi" w:cstheme="majorBidi"/>
                <w:sz w:val="24"/>
                <w:szCs w:val="24"/>
              </w:rPr>
              <w:t xml:space="preserve"> Lietuvo</w:t>
            </w:r>
            <w:r w:rsidR="0062014D">
              <w:rPr>
                <w:rFonts w:asciiTheme="majorBidi" w:hAnsiTheme="majorBidi" w:cstheme="majorBidi"/>
                <w:sz w:val="24"/>
                <w:szCs w:val="24"/>
              </w:rPr>
              <w:t>s Respublikoje</w:t>
            </w:r>
            <w:r w:rsidR="0062014D" w:rsidRPr="00291918">
              <w:rPr>
                <w:rFonts w:asciiTheme="majorBidi" w:hAnsiTheme="majorBidi" w:cstheme="majorBidi"/>
                <w:sz w:val="24"/>
                <w:szCs w:val="24"/>
              </w:rPr>
              <w:t xml:space="preserve"> </w:t>
            </w:r>
            <w:r w:rsidR="0062014D">
              <w:rPr>
                <w:rFonts w:asciiTheme="majorBidi" w:hAnsiTheme="majorBidi" w:cstheme="majorBidi"/>
                <w:sz w:val="24"/>
                <w:szCs w:val="24"/>
              </w:rPr>
              <w:lastRenderedPageBreak/>
              <w:t xml:space="preserve">dirbusio </w:t>
            </w:r>
            <w:r w:rsidR="00C00BB2" w:rsidRPr="00291918">
              <w:rPr>
                <w:rFonts w:asciiTheme="majorBidi" w:hAnsiTheme="majorBidi" w:cstheme="majorBidi"/>
                <w:sz w:val="24"/>
                <w:szCs w:val="24"/>
              </w:rPr>
              <w:t>teisėju</w:t>
            </w:r>
            <w:r w:rsidR="00866864" w:rsidRPr="00291918">
              <w:rPr>
                <w:rFonts w:asciiTheme="majorBidi" w:hAnsiTheme="majorBidi" w:cstheme="majorBidi"/>
                <w:sz w:val="24"/>
                <w:szCs w:val="24"/>
              </w:rPr>
              <w:t xml:space="preserve">, </w:t>
            </w:r>
            <w:r w:rsidR="0062014D">
              <w:rPr>
                <w:rFonts w:asciiTheme="majorBidi" w:hAnsiTheme="majorBidi" w:cstheme="majorBidi"/>
                <w:sz w:val="24"/>
                <w:szCs w:val="24"/>
              </w:rPr>
              <w:t xml:space="preserve">darbo laikotarpis, </w:t>
            </w:r>
            <w:r w:rsidR="0086381A">
              <w:rPr>
                <w:rFonts w:asciiTheme="majorBidi" w:hAnsiTheme="majorBidi" w:cstheme="majorBidi"/>
                <w:sz w:val="24"/>
                <w:szCs w:val="24"/>
              </w:rPr>
              <w:t>kai</w:t>
            </w:r>
            <w:r w:rsidR="0062014D">
              <w:rPr>
                <w:rFonts w:asciiTheme="majorBidi" w:hAnsiTheme="majorBidi" w:cstheme="majorBidi"/>
                <w:sz w:val="24"/>
                <w:szCs w:val="24"/>
              </w:rPr>
              <w:t xml:space="preserve"> jis ėjo </w:t>
            </w:r>
            <w:r w:rsidR="0062014D" w:rsidRPr="00291918">
              <w:rPr>
                <w:rFonts w:asciiTheme="majorBidi" w:hAnsiTheme="majorBidi" w:cstheme="majorBidi"/>
                <w:sz w:val="24"/>
                <w:szCs w:val="24"/>
              </w:rPr>
              <w:t>Europos prokuroro pareigas Europos prokuratūroje</w:t>
            </w:r>
            <w:r w:rsidR="0062014D">
              <w:rPr>
                <w:rFonts w:asciiTheme="majorBidi" w:hAnsiTheme="majorBidi" w:cstheme="majorBidi"/>
                <w:sz w:val="24"/>
                <w:szCs w:val="24"/>
              </w:rPr>
              <w:t>,</w:t>
            </w:r>
            <w:r w:rsidR="0062014D" w:rsidRPr="00291918">
              <w:rPr>
                <w:rFonts w:asciiTheme="majorBidi" w:hAnsiTheme="majorBidi" w:cstheme="majorBidi"/>
                <w:sz w:val="24"/>
                <w:szCs w:val="24"/>
              </w:rPr>
              <w:t xml:space="preserve"> </w:t>
            </w:r>
            <w:r w:rsidR="00866864" w:rsidRPr="00291918">
              <w:rPr>
                <w:rFonts w:asciiTheme="majorBidi" w:hAnsiTheme="majorBidi" w:cstheme="majorBidi"/>
                <w:sz w:val="24"/>
                <w:szCs w:val="24"/>
              </w:rPr>
              <w:t>būtų įskaitytas į stažą teisėjų valstybinei pensijai skirti pagal Teisėjų valstybinių pensijų įstatymą.</w:t>
            </w:r>
          </w:p>
        </w:tc>
      </w:tr>
      <w:tr w:rsidR="003F5B56" w:rsidRPr="00CE48A7" w:rsidTr="002C753F">
        <w:tc>
          <w:tcPr>
            <w:tcW w:w="2236" w:type="dxa"/>
          </w:tcPr>
          <w:p w:rsidR="001C54C8" w:rsidRPr="00CE48A7" w:rsidRDefault="00CA4A12" w:rsidP="006B71EC">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Generalinės prokuratūros</w:t>
            </w:r>
            <w:r w:rsidR="001C54C8" w:rsidRPr="00CE48A7">
              <w:rPr>
                <w:rFonts w:ascii="Times New Roman" w:hAnsi="Times New Roman" w:cs="Times New Roman"/>
                <w:sz w:val="24"/>
                <w:szCs w:val="24"/>
              </w:rPr>
              <w:t xml:space="preserve"> 2020</w:t>
            </w:r>
            <w:r w:rsidR="007358A8">
              <w:rPr>
                <w:rFonts w:ascii="Times New Roman" w:hAnsi="Times New Roman" w:cs="Times New Roman"/>
                <w:sz w:val="24"/>
                <w:szCs w:val="24"/>
              </w:rPr>
              <w:t> </w:t>
            </w:r>
            <w:r w:rsidR="001C54C8" w:rsidRPr="00CE48A7">
              <w:rPr>
                <w:rFonts w:ascii="Times New Roman" w:hAnsi="Times New Roman" w:cs="Times New Roman"/>
                <w:sz w:val="24"/>
                <w:szCs w:val="24"/>
              </w:rPr>
              <w:t xml:space="preserve">m. </w:t>
            </w:r>
            <w:r w:rsidR="006B71EC">
              <w:rPr>
                <w:rFonts w:ascii="Times New Roman" w:hAnsi="Times New Roman" w:cs="Times New Roman"/>
                <w:sz w:val="24"/>
                <w:szCs w:val="24"/>
              </w:rPr>
              <w:t>birželio 4</w:t>
            </w:r>
            <w:r w:rsidR="007358A8">
              <w:rPr>
                <w:rFonts w:ascii="Times New Roman" w:hAnsi="Times New Roman" w:cs="Times New Roman"/>
                <w:sz w:val="24"/>
                <w:szCs w:val="24"/>
              </w:rPr>
              <w:t> </w:t>
            </w:r>
            <w:r w:rsidR="001C54C8" w:rsidRPr="00CE48A7">
              <w:rPr>
                <w:rFonts w:ascii="Times New Roman" w:hAnsi="Times New Roman" w:cs="Times New Roman"/>
                <w:sz w:val="24"/>
                <w:szCs w:val="24"/>
              </w:rPr>
              <w:t xml:space="preserve">d. išvada </w:t>
            </w:r>
            <w:r w:rsidR="008F04A9">
              <w:rPr>
                <w:rFonts w:ascii="Times New Roman" w:hAnsi="Times New Roman" w:cs="Times New Roman"/>
                <w:sz w:val="24"/>
                <w:szCs w:val="24"/>
              </w:rPr>
              <w:br/>
            </w:r>
            <w:r w:rsidR="001C54C8" w:rsidRPr="00CE48A7">
              <w:rPr>
                <w:rFonts w:ascii="Times New Roman" w:hAnsi="Times New Roman" w:cs="Times New Roman"/>
                <w:sz w:val="24"/>
                <w:szCs w:val="24"/>
              </w:rPr>
              <w:t>Nr.</w:t>
            </w:r>
            <w:r w:rsidR="007358A8">
              <w:rPr>
                <w:rFonts w:ascii="Times New Roman" w:hAnsi="Times New Roman" w:cs="Times New Roman"/>
                <w:sz w:val="24"/>
                <w:szCs w:val="24"/>
              </w:rPr>
              <w:t> </w:t>
            </w:r>
            <w:r w:rsidR="006B71EC">
              <w:rPr>
                <w:rFonts w:ascii="Times New Roman" w:hAnsi="Times New Roman" w:cs="Times New Roman"/>
                <w:sz w:val="24"/>
                <w:szCs w:val="24"/>
              </w:rPr>
              <w:t>17.2.-2215</w:t>
            </w:r>
          </w:p>
        </w:tc>
        <w:tc>
          <w:tcPr>
            <w:tcW w:w="4950" w:type="dxa"/>
          </w:tcPr>
          <w:p w:rsidR="003F5B56" w:rsidRPr="00CE48A7" w:rsidRDefault="007A02D5" w:rsidP="002C753F">
            <w:pPr>
              <w:pStyle w:val="Betarp"/>
              <w:jc w:val="both"/>
              <w:rPr>
                <w:rFonts w:ascii="Times New Roman" w:hAnsi="Times New Roman"/>
                <w:sz w:val="24"/>
                <w:szCs w:val="24"/>
              </w:rPr>
            </w:pPr>
            <w:r>
              <w:rPr>
                <w:rFonts w:ascii="Times New Roman" w:hAnsi="Times New Roman"/>
                <w:sz w:val="24"/>
                <w:szCs w:val="24"/>
              </w:rPr>
              <w:t xml:space="preserve">&lt;...&gt; </w:t>
            </w:r>
            <w:r w:rsidRPr="007A02D5">
              <w:rPr>
                <w:rFonts w:ascii="Times New Roman" w:hAnsi="Times New Roman"/>
                <w:sz w:val="24"/>
                <w:szCs w:val="24"/>
              </w:rPr>
              <w:t>siūlytina Projekte keičiamo 6 straipsnio 1 dalies 6 punktą išdėstyti taip: „6) darbo tarptautinėse ir Europos Sąjungos institucijose ar užsienio valstybių institucijose laikas, jeigu pareigūnas į jas buvo laikinai perkeltas Lietuvos Respublikos asmenų delegavimo į tarptautines ir Europos Sąjungos institucijas ar užsienio valstybių institucijas įstatymo nustatyta tvarka, arba Reglamento (ES) 2017/1939 nustatyta tvarka buvo deleguotas paskirtas eiti prokuroro Europos prokuratūroje Europos prokuroro ar Europos deleguotojo prokuroro pareigas.“</w:t>
            </w:r>
          </w:p>
        </w:tc>
        <w:tc>
          <w:tcPr>
            <w:tcW w:w="7948" w:type="dxa"/>
          </w:tcPr>
          <w:p w:rsidR="008F04A9" w:rsidRDefault="003F5B56" w:rsidP="00037B05">
            <w:pPr>
              <w:jc w:val="both"/>
              <w:textAlignment w:val="center"/>
              <w:rPr>
                <w:rFonts w:ascii="Times New Roman" w:hAnsi="Times New Roman" w:cs="Times New Roman"/>
                <w:sz w:val="24"/>
                <w:szCs w:val="24"/>
              </w:rPr>
            </w:pPr>
            <w:r w:rsidRPr="00CE48A7">
              <w:rPr>
                <w:rFonts w:ascii="Times New Roman" w:hAnsi="Times New Roman" w:cs="Times New Roman"/>
                <w:b/>
                <w:sz w:val="24"/>
                <w:szCs w:val="24"/>
              </w:rPr>
              <w:t>Neatsižvelgta.</w:t>
            </w:r>
            <w:r w:rsidRPr="00CE48A7">
              <w:rPr>
                <w:rFonts w:ascii="Times New Roman" w:hAnsi="Times New Roman" w:cs="Times New Roman"/>
                <w:sz w:val="24"/>
                <w:szCs w:val="24"/>
              </w:rPr>
              <w:t xml:space="preserve"> </w:t>
            </w:r>
          </w:p>
          <w:p w:rsidR="00425533" w:rsidRDefault="00425533" w:rsidP="00037B05">
            <w:pPr>
              <w:jc w:val="both"/>
              <w:textAlignment w:val="center"/>
              <w:rPr>
                <w:rFonts w:ascii="Times New Roman" w:hAnsi="Times New Roman" w:cs="Times New Roman"/>
                <w:sz w:val="24"/>
                <w:szCs w:val="24"/>
              </w:rPr>
            </w:pPr>
          </w:p>
          <w:p w:rsidR="00CE48A7" w:rsidRPr="00CE48A7" w:rsidRDefault="00213D70" w:rsidP="00037B05">
            <w:pPr>
              <w:jc w:val="both"/>
              <w:textAlignment w:val="center"/>
              <w:rPr>
                <w:rFonts w:ascii="Times New Roman" w:hAnsi="Times New Roman" w:cs="Times New Roman"/>
                <w:sz w:val="24"/>
                <w:szCs w:val="24"/>
              </w:rPr>
            </w:pPr>
            <w:r>
              <w:rPr>
                <w:rFonts w:ascii="Times New Roman" w:hAnsi="Times New Roman" w:cs="Times New Roman"/>
                <w:sz w:val="24"/>
                <w:szCs w:val="24"/>
              </w:rPr>
              <w:t xml:space="preserve">Žr. </w:t>
            </w:r>
            <w:r w:rsidR="008F04A9">
              <w:rPr>
                <w:rFonts w:ascii="Times New Roman" w:hAnsi="Times New Roman" w:cs="Times New Roman"/>
                <w:sz w:val="24"/>
                <w:szCs w:val="24"/>
              </w:rPr>
              <w:t>Lietuvos Respublikos t</w:t>
            </w:r>
            <w:r>
              <w:rPr>
                <w:rFonts w:ascii="Times New Roman" w:hAnsi="Times New Roman" w:cs="Times New Roman"/>
                <w:sz w:val="24"/>
                <w:szCs w:val="24"/>
              </w:rPr>
              <w:t xml:space="preserve">eisingumo ministerijos </w:t>
            </w:r>
            <w:r w:rsidR="008D539F">
              <w:rPr>
                <w:rFonts w:ascii="Times New Roman" w:hAnsi="Times New Roman" w:cs="Times New Roman"/>
                <w:sz w:val="24"/>
                <w:szCs w:val="24"/>
              </w:rPr>
              <w:t xml:space="preserve">dėl </w:t>
            </w:r>
            <w:r>
              <w:rPr>
                <w:rFonts w:ascii="Times New Roman" w:hAnsi="Times New Roman" w:cs="Times New Roman"/>
                <w:sz w:val="24"/>
                <w:szCs w:val="24"/>
              </w:rPr>
              <w:t>1 pastab</w:t>
            </w:r>
            <w:r w:rsidR="008D539F">
              <w:rPr>
                <w:rFonts w:ascii="Times New Roman" w:hAnsi="Times New Roman" w:cs="Times New Roman"/>
                <w:sz w:val="24"/>
                <w:szCs w:val="24"/>
              </w:rPr>
              <w:t>os</w:t>
            </w:r>
            <w:r>
              <w:rPr>
                <w:rFonts w:ascii="Times New Roman" w:hAnsi="Times New Roman" w:cs="Times New Roman"/>
                <w:sz w:val="24"/>
                <w:szCs w:val="24"/>
              </w:rPr>
              <w:t xml:space="preserve"> pateiktus argumentus</w:t>
            </w:r>
            <w:r w:rsidR="008D539F">
              <w:rPr>
                <w:rFonts w:ascii="Times New Roman" w:hAnsi="Times New Roman" w:cs="Times New Roman"/>
                <w:sz w:val="24"/>
                <w:szCs w:val="24"/>
              </w:rPr>
              <w:t>.</w:t>
            </w:r>
          </w:p>
          <w:p w:rsidR="008107B3" w:rsidRPr="00CE48A7" w:rsidRDefault="008107B3" w:rsidP="00037B05">
            <w:pPr>
              <w:jc w:val="center"/>
              <w:textAlignment w:val="center"/>
              <w:rPr>
                <w:rFonts w:ascii="Times New Roman" w:hAnsi="Times New Roman" w:cs="Times New Roman"/>
                <w:sz w:val="24"/>
                <w:szCs w:val="24"/>
              </w:rPr>
            </w:pPr>
          </w:p>
          <w:p w:rsidR="008107B3" w:rsidRPr="00CE48A7" w:rsidRDefault="008107B3" w:rsidP="00037B05">
            <w:pPr>
              <w:jc w:val="center"/>
              <w:textAlignment w:val="center"/>
              <w:rPr>
                <w:rFonts w:ascii="Times New Roman" w:hAnsi="Times New Roman" w:cs="Times New Roman"/>
                <w:sz w:val="24"/>
                <w:szCs w:val="24"/>
              </w:rPr>
            </w:pPr>
          </w:p>
          <w:p w:rsidR="008107B3" w:rsidRPr="00CE48A7" w:rsidRDefault="008107B3" w:rsidP="00037B05">
            <w:pPr>
              <w:jc w:val="center"/>
              <w:textAlignment w:val="center"/>
              <w:rPr>
                <w:rFonts w:ascii="Times New Roman" w:hAnsi="Times New Roman" w:cs="Times New Roman"/>
                <w:sz w:val="24"/>
                <w:szCs w:val="24"/>
              </w:rPr>
            </w:pPr>
          </w:p>
          <w:p w:rsidR="008107B3" w:rsidRPr="00CE48A7" w:rsidRDefault="008107B3" w:rsidP="00037B05">
            <w:pPr>
              <w:jc w:val="center"/>
              <w:textAlignment w:val="center"/>
              <w:rPr>
                <w:rFonts w:ascii="Times New Roman" w:hAnsi="Times New Roman" w:cs="Times New Roman"/>
                <w:sz w:val="24"/>
                <w:szCs w:val="24"/>
              </w:rPr>
            </w:pPr>
          </w:p>
          <w:p w:rsidR="00210CD2" w:rsidRDefault="00210CD2" w:rsidP="00037B05">
            <w:pPr>
              <w:textAlignment w:val="center"/>
              <w:rPr>
                <w:rFonts w:ascii="Times New Roman" w:hAnsi="Times New Roman" w:cs="Times New Roman"/>
                <w:sz w:val="24"/>
                <w:szCs w:val="24"/>
              </w:rPr>
            </w:pPr>
          </w:p>
          <w:p w:rsidR="001E669D" w:rsidRDefault="001E669D" w:rsidP="00037B05">
            <w:pPr>
              <w:textAlignment w:val="center"/>
              <w:rPr>
                <w:rFonts w:ascii="Times New Roman" w:hAnsi="Times New Roman" w:cs="Times New Roman"/>
                <w:sz w:val="24"/>
                <w:szCs w:val="24"/>
              </w:rPr>
            </w:pPr>
          </w:p>
          <w:p w:rsidR="001E669D" w:rsidRDefault="001E669D" w:rsidP="00037B05">
            <w:pPr>
              <w:textAlignment w:val="center"/>
              <w:rPr>
                <w:rFonts w:ascii="Times New Roman" w:hAnsi="Times New Roman" w:cs="Times New Roman"/>
                <w:sz w:val="24"/>
                <w:szCs w:val="24"/>
              </w:rPr>
            </w:pPr>
          </w:p>
          <w:p w:rsidR="008107B3" w:rsidRPr="00CE48A7" w:rsidRDefault="008107B3" w:rsidP="00037B05">
            <w:pPr>
              <w:jc w:val="both"/>
              <w:textAlignment w:val="center"/>
              <w:rPr>
                <w:rFonts w:ascii="Times New Roman" w:hAnsi="Times New Roman" w:cs="Times New Roman"/>
                <w:sz w:val="24"/>
                <w:szCs w:val="24"/>
              </w:rPr>
            </w:pPr>
          </w:p>
        </w:tc>
      </w:tr>
      <w:tr w:rsidR="007A02D5" w:rsidRPr="00CE48A7" w:rsidTr="002C753F">
        <w:tc>
          <w:tcPr>
            <w:tcW w:w="2236" w:type="dxa"/>
          </w:tcPr>
          <w:p w:rsidR="007A02D5" w:rsidRDefault="007A02D5" w:rsidP="006B71EC">
            <w:pPr>
              <w:spacing w:line="276" w:lineRule="auto"/>
              <w:rPr>
                <w:rFonts w:ascii="Times New Roman" w:hAnsi="Times New Roman" w:cs="Times New Roman"/>
                <w:sz w:val="24"/>
                <w:szCs w:val="24"/>
              </w:rPr>
            </w:pPr>
          </w:p>
        </w:tc>
        <w:tc>
          <w:tcPr>
            <w:tcW w:w="4950" w:type="dxa"/>
          </w:tcPr>
          <w:p w:rsidR="007A02D5" w:rsidRDefault="007A02D5" w:rsidP="002C753F">
            <w:pPr>
              <w:pStyle w:val="Betarp"/>
              <w:jc w:val="both"/>
              <w:rPr>
                <w:rFonts w:ascii="Times New Roman" w:hAnsi="Times New Roman"/>
                <w:sz w:val="24"/>
                <w:szCs w:val="24"/>
              </w:rPr>
            </w:pPr>
            <w:r>
              <w:rPr>
                <w:rFonts w:ascii="Times New Roman" w:hAnsi="Times New Roman"/>
                <w:sz w:val="24"/>
                <w:szCs w:val="24"/>
              </w:rPr>
              <w:t xml:space="preserve">&lt;...&gt; </w:t>
            </w:r>
            <w:r w:rsidRPr="007A02D5">
              <w:rPr>
                <w:rFonts w:ascii="Times New Roman" w:hAnsi="Times New Roman"/>
                <w:sz w:val="24"/>
                <w:szCs w:val="24"/>
              </w:rPr>
              <w:t>atkreiptinas dėmesys į tai, kad pagal Lietuvos Respublikos teisingumo ministro ir Lietuvos Respublikos generalinio prokuroro 2019 m. kovo 6 d. įsakymu Nr. 1R-105/I-95 patvirtinto Kandidatų į Europos prokurorus atrankos tvarkos aprašo 18.2 papunktį, pretenduoti į kandidatus į Europos prokurorus gali ir reikiamą teisėjo darbo stažą turintys asmenys. Taigi, Europos prokuroru gali būti paskirtas ir buvęs Lietuvos Respublikos teisėjas. Atsižvelgiant į tai, siūlytina apie Projektą informuoti ir Nacionalinę teismų administraciją ir/arba apsvarstyti dėl Teisėjų valstybinių pensijų įstatymo galimų pakeitimų poreikio.</w:t>
            </w:r>
          </w:p>
        </w:tc>
        <w:tc>
          <w:tcPr>
            <w:tcW w:w="7948" w:type="dxa"/>
          </w:tcPr>
          <w:p w:rsidR="008F04A9" w:rsidRDefault="00BC573A" w:rsidP="00BC573A">
            <w:pPr>
              <w:jc w:val="both"/>
              <w:textAlignment w:val="center"/>
              <w:rPr>
                <w:rFonts w:ascii="Times New Roman" w:hAnsi="Times New Roman" w:cs="Times New Roman"/>
                <w:sz w:val="24"/>
                <w:szCs w:val="24"/>
              </w:rPr>
            </w:pPr>
            <w:r w:rsidRPr="00CE48A7">
              <w:rPr>
                <w:rFonts w:ascii="Times New Roman" w:hAnsi="Times New Roman" w:cs="Times New Roman"/>
                <w:b/>
                <w:sz w:val="24"/>
                <w:szCs w:val="24"/>
              </w:rPr>
              <w:t>Neatsižvelgta.</w:t>
            </w:r>
            <w:r w:rsidRPr="00CE48A7">
              <w:rPr>
                <w:rFonts w:ascii="Times New Roman" w:hAnsi="Times New Roman" w:cs="Times New Roman"/>
                <w:sz w:val="24"/>
                <w:szCs w:val="24"/>
              </w:rPr>
              <w:t xml:space="preserve"> </w:t>
            </w:r>
          </w:p>
          <w:p w:rsidR="00425533" w:rsidRDefault="00425533" w:rsidP="00BC573A">
            <w:pPr>
              <w:jc w:val="both"/>
              <w:textAlignment w:val="center"/>
              <w:rPr>
                <w:rFonts w:ascii="Times New Roman" w:hAnsi="Times New Roman" w:cs="Times New Roman"/>
                <w:sz w:val="24"/>
                <w:szCs w:val="24"/>
              </w:rPr>
            </w:pPr>
          </w:p>
          <w:p w:rsidR="00BC573A" w:rsidRPr="00CE48A7" w:rsidRDefault="00BC573A" w:rsidP="00BC573A">
            <w:pPr>
              <w:jc w:val="both"/>
              <w:textAlignment w:val="center"/>
              <w:rPr>
                <w:rFonts w:ascii="Times New Roman" w:hAnsi="Times New Roman" w:cs="Times New Roman"/>
                <w:sz w:val="24"/>
                <w:szCs w:val="24"/>
              </w:rPr>
            </w:pPr>
            <w:r>
              <w:rPr>
                <w:rFonts w:ascii="Times New Roman" w:hAnsi="Times New Roman" w:cs="Times New Roman"/>
                <w:sz w:val="24"/>
                <w:szCs w:val="24"/>
              </w:rPr>
              <w:t xml:space="preserve">Žr. </w:t>
            </w:r>
            <w:r w:rsidR="008F04A9">
              <w:rPr>
                <w:rFonts w:ascii="Times New Roman" w:hAnsi="Times New Roman" w:cs="Times New Roman"/>
                <w:sz w:val="24"/>
                <w:szCs w:val="24"/>
              </w:rPr>
              <w:t>Lietuvos Respublikos t</w:t>
            </w:r>
            <w:r>
              <w:rPr>
                <w:rFonts w:ascii="Times New Roman" w:hAnsi="Times New Roman" w:cs="Times New Roman"/>
                <w:sz w:val="24"/>
                <w:szCs w:val="24"/>
              </w:rPr>
              <w:t xml:space="preserve">eisingumo ministerijos </w:t>
            </w:r>
            <w:r w:rsidR="008D539F">
              <w:rPr>
                <w:rFonts w:ascii="Times New Roman" w:hAnsi="Times New Roman" w:cs="Times New Roman"/>
                <w:sz w:val="24"/>
                <w:szCs w:val="24"/>
              </w:rPr>
              <w:t xml:space="preserve">dėl </w:t>
            </w:r>
            <w:r>
              <w:rPr>
                <w:rFonts w:ascii="Times New Roman" w:hAnsi="Times New Roman" w:cs="Times New Roman"/>
                <w:sz w:val="24"/>
                <w:szCs w:val="24"/>
              </w:rPr>
              <w:t>4 pastab</w:t>
            </w:r>
            <w:r w:rsidR="008D539F">
              <w:rPr>
                <w:rFonts w:ascii="Times New Roman" w:hAnsi="Times New Roman" w:cs="Times New Roman"/>
                <w:sz w:val="24"/>
                <w:szCs w:val="24"/>
              </w:rPr>
              <w:t>os</w:t>
            </w:r>
            <w:r>
              <w:rPr>
                <w:rFonts w:ascii="Times New Roman" w:hAnsi="Times New Roman" w:cs="Times New Roman"/>
                <w:sz w:val="24"/>
                <w:szCs w:val="24"/>
              </w:rPr>
              <w:t xml:space="preserve"> pateiktus argumentus</w:t>
            </w:r>
            <w:r w:rsidR="008D539F">
              <w:rPr>
                <w:rFonts w:ascii="Times New Roman" w:hAnsi="Times New Roman" w:cs="Times New Roman"/>
                <w:sz w:val="24"/>
                <w:szCs w:val="24"/>
              </w:rPr>
              <w:t>.</w:t>
            </w:r>
          </w:p>
          <w:p w:rsidR="007A02D5" w:rsidRPr="00CE48A7" w:rsidRDefault="007A02D5" w:rsidP="00037B05">
            <w:pPr>
              <w:jc w:val="both"/>
              <w:textAlignment w:val="center"/>
              <w:rPr>
                <w:rFonts w:ascii="Times New Roman" w:hAnsi="Times New Roman" w:cs="Times New Roman"/>
                <w:b/>
                <w:sz w:val="24"/>
                <w:szCs w:val="24"/>
              </w:rPr>
            </w:pPr>
          </w:p>
        </w:tc>
      </w:tr>
    </w:tbl>
    <w:p w:rsidR="00461144" w:rsidRPr="00CE48A7" w:rsidRDefault="00461144" w:rsidP="00EB13E1">
      <w:pPr>
        <w:spacing w:after="0" w:line="276" w:lineRule="auto"/>
        <w:rPr>
          <w:rFonts w:ascii="Times New Roman" w:hAnsi="Times New Roman" w:cs="Times New Roman"/>
        </w:rPr>
      </w:pPr>
    </w:p>
    <w:sectPr w:rsidR="00461144" w:rsidRPr="00CE48A7" w:rsidSect="00817981">
      <w:headerReference w:type="default" r:id="rId9"/>
      <w:pgSz w:w="16838" w:h="11906" w:orient="landscape"/>
      <w:pgMar w:top="1276" w:right="141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5A4" w:rsidRDefault="003745A4" w:rsidP="000C6CCA">
      <w:pPr>
        <w:spacing w:after="0" w:line="240" w:lineRule="auto"/>
      </w:pPr>
      <w:r>
        <w:separator/>
      </w:r>
    </w:p>
  </w:endnote>
  <w:endnote w:type="continuationSeparator" w:id="0">
    <w:p w:rsidR="003745A4" w:rsidRDefault="003745A4"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5A4" w:rsidRDefault="003745A4" w:rsidP="000C6CCA">
      <w:pPr>
        <w:spacing w:after="0" w:line="240" w:lineRule="auto"/>
      </w:pPr>
      <w:r>
        <w:separator/>
      </w:r>
    </w:p>
  </w:footnote>
  <w:footnote w:type="continuationSeparator" w:id="0">
    <w:p w:rsidR="003745A4" w:rsidRDefault="003745A4" w:rsidP="000C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08875"/>
      <w:docPartObj>
        <w:docPartGallery w:val="Page Numbers (Top of Page)"/>
        <w:docPartUnique/>
      </w:docPartObj>
    </w:sdtPr>
    <w:sdtEndPr>
      <w:rPr>
        <w:rFonts w:ascii="Times New Roman" w:hAnsi="Times New Roman" w:cs="Times New Roman"/>
        <w:sz w:val="24"/>
        <w:szCs w:val="24"/>
      </w:rPr>
    </w:sdtEndPr>
    <w:sdtContent>
      <w:p w:rsidR="000C6CCA" w:rsidRPr="00767DC0" w:rsidRDefault="005F245A">
        <w:pPr>
          <w:pStyle w:val="Antrats"/>
          <w:jc w:val="center"/>
          <w:rPr>
            <w:rFonts w:ascii="Times New Roman" w:hAnsi="Times New Roman" w:cs="Times New Roman"/>
            <w:sz w:val="24"/>
            <w:szCs w:val="24"/>
          </w:rPr>
        </w:pPr>
        <w:r w:rsidRPr="00767DC0">
          <w:rPr>
            <w:rFonts w:ascii="Times New Roman" w:hAnsi="Times New Roman" w:cs="Times New Roman"/>
            <w:sz w:val="24"/>
            <w:szCs w:val="24"/>
          </w:rPr>
          <w:fldChar w:fldCharType="begin"/>
        </w:r>
        <w:r w:rsidR="000C6CCA" w:rsidRPr="00767DC0">
          <w:rPr>
            <w:rFonts w:ascii="Times New Roman" w:hAnsi="Times New Roman" w:cs="Times New Roman"/>
            <w:sz w:val="24"/>
            <w:szCs w:val="24"/>
          </w:rPr>
          <w:instrText>PAGE   \* MERGEFORMAT</w:instrText>
        </w:r>
        <w:r w:rsidRPr="00767DC0">
          <w:rPr>
            <w:rFonts w:ascii="Times New Roman" w:hAnsi="Times New Roman" w:cs="Times New Roman"/>
            <w:sz w:val="24"/>
            <w:szCs w:val="24"/>
          </w:rPr>
          <w:fldChar w:fldCharType="separate"/>
        </w:r>
        <w:r w:rsidR="005B41EE">
          <w:rPr>
            <w:rFonts w:ascii="Times New Roman" w:hAnsi="Times New Roman" w:cs="Times New Roman"/>
            <w:noProof/>
            <w:sz w:val="24"/>
            <w:szCs w:val="24"/>
          </w:rPr>
          <w:t>2</w:t>
        </w:r>
        <w:r w:rsidRPr="00767DC0">
          <w:rPr>
            <w:rFonts w:ascii="Times New Roman" w:hAnsi="Times New Roman" w:cs="Times New Roman"/>
            <w:sz w:val="24"/>
            <w:szCs w:val="24"/>
          </w:rPr>
          <w:fldChar w:fldCharType="end"/>
        </w:r>
      </w:p>
    </w:sdtContent>
  </w:sdt>
  <w:p w:rsidR="000C6CCA" w:rsidRDefault="000C6C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14"/>
    <w:rsid w:val="0002181A"/>
    <w:rsid w:val="00025C95"/>
    <w:rsid w:val="00027643"/>
    <w:rsid w:val="00033898"/>
    <w:rsid w:val="00037B05"/>
    <w:rsid w:val="0004532B"/>
    <w:rsid w:val="00055654"/>
    <w:rsid w:val="00060ED3"/>
    <w:rsid w:val="00061EC1"/>
    <w:rsid w:val="0007043B"/>
    <w:rsid w:val="00072D06"/>
    <w:rsid w:val="000872F3"/>
    <w:rsid w:val="0009133C"/>
    <w:rsid w:val="0009619A"/>
    <w:rsid w:val="00096C65"/>
    <w:rsid w:val="000A309A"/>
    <w:rsid w:val="000B27CD"/>
    <w:rsid w:val="000B4A6E"/>
    <w:rsid w:val="000B6397"/>
    <w:rsid w:val="000C6CCA"/>
    <w:rsid w:val="000D1BA5"/>
    <w:rsid w:val="000D4128"/>
    <w:rsid w:val="000D61C9"/>
    <w:rsid w:val="001153CC"/>
    <w:rsid w:val="00142973"/>
    <w:rsid w:val="0014397B"/>
    <w:rsid w:val="00144B22"/>
    <w:rsid w:val="00147CD3"/>
    <w:rsid w:val="00170F9F"/>
    <w:rsid w:val="00182936"/>
    <w:rsid w:val="0019591E"/>
    <w:rsid w:val="001A13C2"/>
    <w:rsid w:val="001A33EA"/>
    <w:rsid w:val="001A3FC4"/>
    <w:rsid w:val="001C0C83"/>
    <w:rsid w:val="001C2911"/>
    <w:rsid w:val="001C3DA5"/>
    <w:rsid w:val="001C54C8"/>
    <w:rsid w:val="001E669D"/>
    <w:rsid w:val="001F09D2"/>
    <w:rsid w:val="001F3338"/>
    <w:rsid w:val="001F4EDC"/>
    <w:rsid w:val="001F5DAA"/>
    <w:rsid w:val="00207405"/>
    <w:rsid w:val="00210944"/>
    <w:rsid w:val="00210CD2"/>
    <w:rsid w:val="00213D70"/>
    <w:rsid w:val="002146E4"/>
    <w:rsid w:val="002203DC"/>
    <w:rsid w:val="00245432"/>
    <w:rsid w:val="0024562E"/>
    <w:rsid w:val="002462C3"/>
    <w:rsid w:val="00252844"/>
    <w:rsid w:val="00254C12"/>
    <w:rsid w:val="0025619E"/>
    <w:rsid w:val="002619FF"/>
    <w:rsid w:val="00273411"/>
    <w:rsid w:val="00274FE0"/>
    <w:rsid w:val="00275FAB"/>
    <w:rsid w:val="002826FA"/>
    <w:rsid w:val="00283A07"/>
    <w:rsid w:val="0028647C"/>
    <w:rsid w:val="00291918"/>
    <w:rsid w:val="0029200F"/>
    <w:rsid w:val="002A1E6D"/>
    <w:rsid w:val="002A6D8C"/>
    <w:rsid w:val="002B0E30"/>
    <w:rsid w:val="002B5C3F"/>
    <w:rsid w:val="002C6C8C"/>
    <w:rsid w:val="002C753F"/>
    <w:rsid w:val="002D4617"/>
    <w:rsid w:val="002D54FB"/>
    <w:rsid w:val="002F1097"/>
    <w:rsid w:val="00300B6C"/>
    <w:rsid w:val="00303E70"/>
    <w:rsid w:val="00307E85"/>
    <w:rsid w:val="00313103"/>
    <w:rsid w:val="003153B1"/>
    <w:rsid w:val="00330F7C"/>
    <w:rsid w:val="00351F46"/>
    <w:rsid w:val="00353469"/>
    <w:rsid w:val="003741FD"/>
    <w:rsid w:val="003745A4"/>
    <w:rsid w:val="00387F89"/>
    <w:rsid w:val="003A63A3"/>
    <w:rsid w:val="003C246C"/>
    <w:rsid w:val="003D0513"/>
    <w:rsid w:val="003E6C86"/>
    <w:rsid w:val="003F55AA"/>
    <w:rsid w:val="003F5B56"/>
    <w:rsid w:val="003F7677"/>
    <w:rsid w:val="00400D85"/>
    <w:rsid w:val="00402C15"/>
    <w:rsid w:val="00417D9E"/>
    <w:rsid w:val="00420276"/>
    <w:rsid w:val="00425533"/>
    <w:rsid w:val="00425CF5"/>
    <w:rsid w:val="004326C9"/>
    <w:rsid w:val="00450AAA"/>
    <w:rsid w:val="0045664C"/>
    <w:rsid w:val="0045688D"/>
    <w:rsid w:val="00461144"/>
    <w:rsid w:val="0046136C"/>
    <w:rsid w:val="00462328"/>
    <w:rsid w:val="00465CC3"/>
    <w:rsid w:val="00470B98"/>
    <w:rsid w:val="004B2F93"/>
    <w:rsid w:val="004C7E59"/>
    <w:rsid w:val="004D1239"/>
    <w:rsid w:val="004D1BB7"/>
    <w:rsid w:val="004D4C79"/>
    <w:rsid w:val="004E7E4F"/>
    <w:rsid w:val="004F06DB"/>
    <w:rsid w:val="004F6EC7"/>
    <w:rsid w:val="00501BAC"/>
    <w:rsid w:val="00507F4A"/>
    <w:rsid w:val="00521998"/>
    <w:rsid w:val="00522691"/>
    <w:rsid w:val="00524B2C"/>
    <w:rsid w:val="00540C18"/>
    <w:rsid w:val="005419DE"/>
    <w:rsid w:val="0055476A"/>
    <w:rsid w:val="00555E30"/>
    <w:rsid w:val="0056605C"/>
    <w:rsid w:val="00572269"/>
    <w:rsid w:val="00580BD1"/>
    <w:rsid w:val="00585A54"/>
    <w:rsid w:val="005B1076"/>
    <w:rsid w:val="005B41EE"/>
    <w:rsid w:val="005C56A3"/>
    <w:rsid w:val="005C5E3E"/>
    <w:rsid w:val="005F245A"/>
    <w:rsid w:val="006008E6"/>
    <w:rsid w:val="00605120"/>
    <w:rsid w:val="0062014D"/>
    <w:rsid w:val="00620A44"/>
    <w:rsid w:val="00622EDA"/>
    <w:rsid w:val="006312C7"/>
    <w:rsid w:val="00644F0C"/>
    <w:rsid w:val="00654265"/>
    <w:rsid w:val="0067136F"/>
    <w:rsid w:val="0067645F"/>
    <w:rsid w:val="00680534"/>
    <w:rsid w:val="0068350F"/>
    <w:rsid w:val="00684219"/>
    <w:rsid w:val="006869DD"/>
    <w:rsid w:val="00691F57"/>
    <w:rsid w:val="00694E5C"/>
    <w:rsid w:val="006A20A3"/>
    <w:rsid w:val="006B02C4"/>
    <w:rsid w:val="006B71EC"/>
    <w:rsid w:val="006C2042"/>
    <w:rsid w:val="006D0AC7"/>
    <w:rsid w:val="006D1CB9"/>
    <w:rsid w:val="006F44B5"/>
    <w:rsid w:val="006F4570"/>
    <w:rsid w:val="006F47C5"/>
    <w:rsid w:val="006F735F"/>
    <w:rsid w:val="007044A1"/>
    <w:rsid w:val="00723F9C"/>
    <w:rsid w:val="00730153"/>
    <w:rsid w:val="007339CE"/>
    <w:rsid w:val="007358A8"/>
    <w:rsid w:val="0073759E"/>
    <w:rsid w:val="007448AD"/>
    <w:rsid w:val="00750A8A"/>
    <w:rsid w:val="0075189D"/>
    <w:rsid w:val="00767DC0"/>
    <w:rsid w:val="00772C97"/>
    <w:rsid w:val="00782F1E"/>
    <w:rsid w:val="00787DB7"/>
    <w:rsid w:val="007A02D5"/>
    <w:rsid w:val="007A04A8"/>
    <w:rsid w:val="007A2B40"/>
    <w:rsid w:val="007B2E67"/>
    <w:rsid w:val="007C5222"/>
    <w:rsid w:val="007D49A0"/>
    <w:rsid w:val="007D5948"/>
    <w:rsid w:val="007E51E8"/>
    <w:rsid w:val="00804A18"/>
    <w:rsid w:val="00804E7E"/>
    <w:rsid w:val="00807B87"/>
    <w:rsid w:val="008107B3"/>
    <w:rsid w:val="008115C8"/>
    <w:rsid w:val="00817981"/>
    <w:rsid w:val="00821F6D"/>
    <w:rsid w:val="008368C3"/>
    <w:rsid w:val="00841052"/>
    <w:rsid w:val="00843571"/>
    <w:rsid w:val="0084763A"/>
    <w:rsid w:val="0086381A"/>
    <w:rsid w:val="00866864"/>
    <w:rsid w:val="00885668"/>
    <w:rsid w:val="0088576B"/>
    <w:rsid w:val="0089649E"/>
    <w:rsid w:val="008A59CC"/>
    <w:rsid w:val="008A5AF2"/>
    <w:rsid w:val="008A60B8"/>
    <w:rsid w:val="008D5221"/>
    <w:rsid w:val="008D539F"/>
    <w:rsid w:val="008E04D5"/>
    <w:rsid w:val="008E0D03"/>
    <w:rsid w:val="008E20C0"/>
    <w:rsid w:val="008E723F"/>
    <w:rsid w:val="008F04A9"/>
    <w:rsid w:val="008F07AC"/>
    <w:rsid w:val="0090147B"/>
    <w:rsid w:val="00920B84"/>
    <w:rsid w:val="00932582"/>
    <w:rsid w:val="00945F4B"/>
    <w:rsid w:val="009536FA"/>
    <w:rsid w:val="009553AA"/>
    <w:rsid w:val="00962758"/>
    <w:rsid w:val="00970A25"/>
    <w:rsid w:val="0098231F"/>
    <w:rsid w:val="00984B35"/>
    <w:rsid w:val="009856E5"/>
    <w:rsid w:val="00996F1D"/>
    <w:rsid w:val="009B2F3C"/>
    <w:rsid w:val="009C6066"/>
    <w:rsid w:val="009C6B9C"/>
    <w:rsid w:val="009D6B8E"/>
    <w:rsid w:val="00A05900"/>
    <w:rsid w:val="00A05A90"/>
    <w:rsid w:val="00A06362"/>
    <w:rsid w:val="00A10B14"/>
    <w:rsid w:val="00A618DD"/>
    <w:rsid w:val="00A74E08"/>
    <w:rsid w:val="00A811CF"/>
    <w:rsid w:val="00A94AB4"/>
    <w:rsid w:val="00AA3B62"/>
    <w:rsid w:val="00AA76A1"/>
    <w:rsid w:val="00AB73B6"/>
    <w:rsid w:val="00AD6F68"/>
    <w:rsid w:val="00AE7527"/>
    <w:rsid w:val="00AF1718"/>
    <w:rsid w:val="00AF746B"/>
    <w:rsid w:val="00B16E3A"/>
    <w:rsid w:val="00B17338"/>
    <w:rsid w:val="00B417E4"/>
    <w:rsid w:val="00B41EEA"/>
    <w:rsid w:val="00B50411"/>
    <w:rsid w:val="00B5045E"/>
    <w:rsid w:val="00B63E67"/>
    <w:rsid w:val="00B654C6"/>
    <w:rsid w:val="00B700C3"/>
    <w:rsid w:val="00B84EDD"/>
    <w:rsid w:val="00B94817"/>
    <w:rsid w:val="00BA5B05"/>
    <w:rsid w:val="00BB3BDE"/>
    <w:rsid w:val="00BC573A"/>
    <w:rsid w:val="00BF18EE"/>
    <w:rsid w:val="00C00BB2"/>
    <w:rsid w:val="00C0221A"/>
    <w:rsid w:val="00C04B09"/>
    <w:rsid w:val="00C26E88"/>
    <w:rsid w:val="00C40806"/>
    <w:rsid w:val="00C422A9"/>
    <w:rsid w:val="00C44D09"/>
    <w:rsid w:val="00C453B1"/>
    <w:rsid w:val="00C64DA6"/>
    <w:rsid w:val="00C669A8"/>
    <w:rsid w:val="00C8686A"/>
    <w:rsid w:val="00CA3A42"/>
    <w:rsid w:val="00CA4A12"/>
    <w:rsid w:val="00CB387B"/>
    <w:rsid w:val="00CD408A"/>
    <w:rsid w:val="00CD4AE1"/>
    <w:rsid w:val="00CE187C"/>
    <w:rsid w:val="00CE48A7"/>
    <w:rsid w:val="00D05B2A"/>
    <w:rsid w:val="00D13455"/>
    <w:rsid w:val="00D500A3"/>
    <w:rsid w:val="00D57B2A"/>
    <w:rsid w:val="00D60081"/>
    <w:rsid w:val="00D806C4"/>
    <w:rsid w:val="00D9487C"/>
    <w:rsid w:val="00D96BFA"/>
    <w:rsid w:val="00DB0E64"/>
    <w:rsid w:val="00DB3473"/>
    <w:rsid w:val="00DC0980"/>
    <w:rsid w:val="00DC76AA"/>
    <w:rsid w:val="00DD08C3"/>
    <w:rsid w:val="00DE405A"/>
    <w:rsid w:val="00DF27CB"/>
    <w:rsid w:val="00DF2BF7"/>
    <w:rsid w:val="00DF6D39"/>
    <w:rsid w:val="00E00A72"/>
    <w:rsid w:val="00E00E88"/>
    <w:rsid w:val="00E22F78"/>
    <w:rsid w:val="00E2674B"/>
    <w:rsid w:val="00E43582"/>
    <w:rsid w:val="00E45588"/>
    <w:rsid w:val="00E57736"/>
    <w:rsid w:val="00E618E1"/>
    <w:rsid w:val="00E65D36"/>
    <w:rsid w:val="00E75624"/>
    <w:rsid w:val="00E8268B"/>
    <w:rsid w:val="00EA33C2"/>
    <w:rsid w:val="00EA4462"/>
    <w:rsid w:val="00EB13E1"/>
    <w:rsid w:val="00EC44A8"/>
    <w:rsid w:val="00EF6434"/>
    <w:rsid w:val="00F23D2F"/>
    <w:rsid w:val="00F26850"/>
    <w:rsid w:val="00F31626"/>
    <w:rsid w:val="00F4047C"/>
    <w:rsid w:val="00F43BB1"/>
    <w:rsid w:val="00F54BCE"/>
    <w:rsid w:val="00F6485C"/>
    <w:rsid w:val="00F76A27"/>
    <w:rsid w:val="00F80070"/>
    <w:rsid w:val="00F81DEB"/>
    <w:rsid w:val="00F83831"/>
    <w:rsid w:val="00F8662E"/>
    <w:rsid w:val="00F87BAD"/>
    <w:rsid w:val="00F9658A"/>
    <w:rsid w:val="00F968CB"/>
    <w:rsid w:val="00FB5238"/>
    <w:rsid w:val="00FB635A"/>
    <w:rsid w:val="00FC2D10"/>
    <w:rsid w:val="00FC5229"/>
    <w:rsid w:val="00FD0C71"/>
    <w:rsid w:val="00FD3198"/>
    <w:rsid w:val="00FE21EC"/>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748817977">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DCCAB-9FD0-4239-95A9-CEF98159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4556</Words>
  <Characters>2597</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2020-06-22T12:03:00Z</dcterms:created>
  <dc:creator>Justas Eimontas</dc:creator>
  <cp:lastModifiedBy>Agnė Pukienė</cp:lastModifiedBy>
  <cp:lastPrinted>2020-06-12T06:07:00Z</cp:lastPrinted>
  <dcterms:modified xsi:type="dcterms:W3CDTF">2020-06-22T12:03:00Z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-1849686211</vt:i4>
  </property>
  <property fmtid="{D5CDD505-2E9C-101B-9397-08002B2CF9AE}" pid="3" name="_NewReviewCycle">
    <vt:lpwstr/>
  </property>
  <property fmtid="{D5CDD505-2E9C-101B-9397-08002B2CF9AE}" pid="4" name="_EmailSubject">
    <vt:lpwstr/>
  </property>
  <property fmtid="{D5CDD505-2E9C-101B-9397-08002B2CF9AE}" pid="5" name="_AuthorEmail">
    <vt:lpwstr>Inga.Barauskaite@socmin.lt</vt:lpwstr>
  </property>
  <property fmtid="{D5CDD505-2E9C-101B-9397-08002B2CF9AE}" pid="6" name="_AuthorEmailDisplayName">
    <vt:lpwstr>Inga Barauskaitė</vt:lpwstr>
  </property>
  <property fmtid="{D5CDD505-2E9C-101B-9397-08002B2CF9AE}" pid="7" name="_PreviousAdHocReviewCycleID">
    <vt:i4>-984463586</vt:i4>
  </property>
  <property fmtid="{D5CDD505-2E9C-101B-9397-08002B2CF9AE}" pid="8" name="_ReviewingToolsShownOnce">
    <vt:lpwstr/>
  </property>
</Properties>
</file>