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79DD" w14:textId="77777777" w:rsidR="00A66F5B" w:rsidRPr="00A66F5B" w:rsidRDefault="00A66F5B" w:rsidP="00A66F5B">
      <w:pPr>
        <w:jc w:val="right"/>
        <w:rPr>
          <w:rFonts w:ascii="Times New Roman" w:hAnsi="Times New Roman" w:cs="Times New Roman"/>
          <w:sz w:val="24"/>
          <w:szCs w:val="24"/>
        </w:rPr>
      </w:pPr>
      <w:r w:rsidRPr="00A66F5B">
        <w:rPr>
          <w:rFonts w:ascii="Times New Roman" w:hAnsi="Times New Roman" w:cs="Times New Roman"/>
          <w:sz w:val="24"/>
          <w:szCs w:val="24"/>
        </w:rPr>
        <w:t>5 priedas</w:t>
      </w:r>
    </w:p>
    <w:p w14:paraId="35B179DE" w14:textId="77777777" w:rsidR="00267210" w:rsidRDefault="00796843" w:rsidP="00A66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F5B">
        <w:rPr>
          <w:rFonts w:ascii="Times New Roman" w:hAnsi="Times New Roman" w:cs="Times New Roman"/>
          <w:b/>
          <w:sz w:val="24"/>
          <w:szCs w:val="24"/>
        </w:rPr>
        <w:t>REORGANIZAVIMO IR INTEGRAVIMO PROCESŲ FINANSAVIMO POREIKIS</w:t>
      </w:r>
    </w:p>
    <w:p w14:paraId="578DA6DE" w14:textId="77777777" w:rsidR="00B354D3" w:rsidRDefault="00B354D3" w:rsidP="00A66F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2689"/>
        <w:gridCol w:w="10489"/>
        <w:gridCol w:w="1701"/>
      </w:tblGrid>
      <w:tr w:rsidR="00BC3075" w:rsidRPr="00A66F5B" w14:paraId="35B179E2" w14:textId="77777777" w:rsidTr="00B354D3">
        <w:tc>
          <w:tcPr>
            <w:tcW w:w="2689" w:type="dxa"/>
          </w:tcPr>
          <w:p w14:paraId="35B179DF" w14:textId="77777777" w:rsidR="00BC3075" w:rsidRPr="00A66F5B" w:rsidRDefault="00BC3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F5B">
              <w:rPr>
                <w:rFonts w:ascii="Times New Roman" w:hAnsi="Times New Roman" w:cs="Times New Roman"/>
                <w:b/>
                <w:sz w:val="24"/>
                <w:szCs w:val="24"/>
              </w:rPr>
              <w:t>Veiklų grupė</w:t>
            </w:r>
          </w:p>
        </w:tc>
        <w:tc>
          <w:tcPr>
            <w:tcW w:w="10489" w:type="dxa"/>
          </w:tcPr>
          <w:p w14:paraId="35B179E0" w14:textId="77777777" w:rsidR="00BC3075" w:rsidRPr="00A66F5B" w:rsidRDefault="00BC3075" w:rsidP="00BC3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F5B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1701" w:type="dxa"/>
          </w:tcPr>
          <w:p w14:paraId="35B179E1" w14:textId="77777777" w:rsidR="00BC3075" w:rsidRPr="00A66F5B" w:rsidRDefault="00BC3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Preliminarus</w:t>
            </w:r>
            <w:r w:rsidRPr="00A66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lėšų poreikis</w:t>
            </w:r>
          </w:p>
        </w:tc>
      </w:tr>
      <w:tr w:rsidR="00BC3075" w14:paraId="35B179F0" w14:textId="77777777" w:rsidTr="00B354D3">
        <w:tc>
          <w:tcPr>
            <w:tcW w:w="2689" w:type="dxa"/>
          </w:tcPr>
          <w:p w14:paraId="35B179E3" w14:textId="77777777" w:rsidR="00BC3075" w:rsidRPr="00A66F5B" w:rsidRDefault="00DB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C3075" w:rsidRPr="00A66F5B">
              <w:rPr>
                <w:rFonts w:ascii="Times New Roman" w:hAnsi="Times New Roman" w:cs="Times New Roman"/>
                <w:sz w:val="24"/>
                <w:szCs w:val="24"/>
              </w:rPr>
              <w:t>Pagrindinių administracinių bei mokslo ir studijų aptarnavimo funkcijų ir procesų optimizavimas</w:t>
            </w:r>
          </w:p>
        </w:tc>
        <w:tc>
          <w:tcPr>
            <w:tcW w:w="10489" w:type="dxa"/>
          </w:tcPr>
          <w:p w14:paraId="35B179E4" w14:textId="77777777" w:rsidR="008B563F" w:rsidRPr="00F829F3" w:rsidRDefault="008B563F" w:rsidP="008B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3">
              <w:rPr>
                <w:rFonts w:ascii="Times New Roman" w:hAnsi="Times New Roman" w:cs="Times New Roman"/>
                <w:b/>
                <w:sz w:val="24"/>
                <w:szCs w:val="24"/>
              </w:rPr>
              <w:t>1. Pagrindinių administracinių bei mokslo ir studijų aptarnavimo funkcijų ir procesų optimizavimas</w:t>
            </w:r>
            <w:r w:rsidR="0005564C" w:rsidRPr="00F829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B179E5" w14:textId="77777777" w:rsidR="00BC3075" w:rsidRPr="00314CC0" w:rsidRDefault="0005564C" w:rsidP="008B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B3643">
              <w:rPr>
                <w:rFonts w:ascii="Times New Roman" w:hAnsi="Times New Roman" w:cs="Times New Roman"/>
                <w:sz w:val="24"/>
                <w:szCs w:val="24"/>
              </w:rPr>
              <w:t>endro</w:t>
            </w:r>
            <w:r w:rsidR="00DB3643" w:rsidRPr="008B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075" w:rsidRPr="008B563F">
              <w:rPr>
                <w:rFonts w:ascii="Times New Roman" w:hAnsi="Times New Roman" w:cs="Times New Roman"/>
                <w:sz w:val="24"/>
                <w:szCs w:val="24"/>
              </w:rPr>
              <w:t>studijų proceso administravimo model</w:t>
            </w:r>
            <w:r w:rsidR="00314CC0" w:rsidRPr="008B563F">
              <w:rPr>
                <w:rFonts w:ascii="Times New Roman" w:hAnsi="Times New Roman" w:cs="Times New Roman"/>
                <w:sz w:val="24"/>
                <w:szCs w:val="24"/>
              </w:rPr>
              <w:t>io sukūrimas ir diegimas</w:t>
            </w:r>
            <w:r w:rsidR="00BC3075" w:rsidRPr="008B563F">
              <w:rPr>
                <w:rFonts w:ascii="Times New Roman" w:hAnsi="Times New Roman" w:cs="Times New Roman"/>
                <w:sz w:val="24"/>
                <w:szCs w:val="24"/>
              </w:rPr>
              <w:t>, informacin</w:t>
            </w:r>
            <w:r w:rsidR="00314CC0" w:rsidRPr="008B563F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BC3075" w:rsidRPr="008B563F">
              <w:rPr>
                <w:rFonts w:ascii="Times New Roman" w:hAnsi="Times New Roman" w:cs="Times New Roman"/>
                <w:sz w:val="24"/>
                <w:szCs w:val="24"/>
              </w:rPr>
              <w:t xml:space="preserve"> ir kompiuterin</w:t>
            </w:r>
            <w:r w:rsidR="00314CC0" w:rsidRPr="008B563F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sistem</w:t>
            </w:r>
            <w:r w:rsidR="00314CC0" w:rsidRPr="00314CC0">
              <w:rPr>
                <w:rFonts w:ascii="Times New Roman" w:hAnsi="Times New Roman" w:cs="Times New Roman"/>
                <w:sz w:val="24"/>
                <w:szCs w:val="24"/>
              </w:rPr>
              <w:t>ų integravimas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, vidaus tvarkų, finansų, projektų, dokumentų valdymo sistem</w:t>
            </w:r>
            <w:r w:rsidR="00314CC0" w:rsidRPr="00314CC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ir proces</w:t>
            </w:r>
            <w:r w:rsidR="00314CC0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ų, 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civilinės ir darbų saugos instrukcij</w:t>
            </w:r>
            <w:r w:rsidR="00314CC0" w:rsidRPr="00314CC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ir proces</w:t>
            </w:r>
            <w:r w:rsidR="00314CC0" w:rsidRPr="00314CC0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CC0" w:rsidRPr="00314CC0">
              <w:rPr>
                <w:rFonts w:ascii="Times New Roman" w:hAnsi="Times New Roman" w:cs="Times New Roman"/>
                <w:sz w:val="24"/>
                <w:szCs w:val="24"/>
              </w:rPr>
              <w:t>harmonizavimas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, teisin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baz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reorganizavimo procesui įgyvendinti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 xml:space="preserve"> parengimas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, personalo ir darbo užmokesčio integracij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B563F" w:rsidRPr="00314CC0">
              <w:rPr>
                <w:rFonts w:ascii="Times New Roman" w:hAnsi="Times New Roman" w:cs="Times New Roman"/>
                <w:sz w:val="24"/>
                <w:szCs w:val="24"/>
              </w:rPr>
              <w:t>remiantis įstatymais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sklandži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universitetų bendruomenių integracij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os užtikrinimas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bei antikorupcinės aplinkos formavim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4CC0">
              <w:rPr>
                <w:rFonts w:ascii="Times New Roman" w:hAnsi="Times New Roman" w:cs="Times New Roman"/>
                <w:sz w:val="24"/>
                <w:szCs w:val="24"/>
              </w:rPr>
              <w:t>bendr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turto ir paslaugų aptarnavim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modelio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 xml:space="preserve"> kūrimas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ir ištekli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B563F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optimiz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avimas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, komunikacijos ir rinkodaros priemon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63F" w:rsidRPr="00314C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ūrimas</w:t>
            </w:r>
            <w:r w:rsidR="008B563F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>ir taiky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BC3075" w:rsidRPr="00314CC0">
              <w:rPr>
                <w:rFonts w:ascii="Times New Roman" w:hAnsi="Times New Roman" w:cs="Times New Roman"/>
                <w:sz w:val="24"/>
                <w:szCs w:val="24"/>
              </w:rPr>
              <w:t xml:space="preserve"> pristatant universitetų jungimo rezultatus visuomenei.</w:t>
            </w:r>
          </w:p>
          <w:p w14:paraId="35B179E6" w14:textId="77777777" w:rsidR="00BC3075" w:rsidRPr="009B06C0" w:rsidRDefault="00BC3075" w:rsidP="00EF0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C0">
              <w:rPr>
                <w:rFonts w:ascii="Times New Roman" w:hAnsi="Times New Roman" w:cs="Times New Roman"/>
                <w:b/>
                <w:sz w:val="24"/>
                <w:szCs w:val="24"/>
              </w:rPr>
              <w:t>2. Dėstytojų pedagoginių kompetencijų plėtojimas</w:t>
            </w:r>
            <w:r w:rsidR="0005564C" w:rsidRPr="009B06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B179E7" w14:textId="77777777" w:rsidR="008B563F" w:rsidRPr="008B563F" w:rsidRDefault="008B563F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DA8">
              <w:rPr>
                <w:rFonts w:ascii="Times New Roman" w:hAnsi="Times New Roman" w:cs="Times New Roman"/>
                <w:sz w:val="24"/>
                <w:szCs w:val="24"/>
              </w:rPr>
              <w:t>Kvalifikacijos kėlimo ir kompetencijų plėtotės priemonių ir procesų tobulinimas remiantis akademinio personalo ir studentų apklausomis bei tarptautinių ekspertų rekomendacijomis,  požiūrio į dėstymą modernizavimas, pedagoginio meistriškumo svarbos įtvirtinimas, bazinių pedagoginės kompetencijos standartų nustatymas ir užtikrinimas bei gerosios dėstymo praktikos sklaida, galimybių planingai ir nuosekliai pedagoginės kompetencijos plėtrai bei tęstinumo užtikrinimui sudarymas.</w:t>
            </w:r>
          </w:p>
          <w:p w14:paraId="35B179E8" w14:textId="77777777" w:rsidR="00BC3075" w:rsidRPr="009B06C0" w:rsidRDefault="00BC3075" w:rsidP="00EF0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C0">
              <w:rPr>
                <w:rFonts w:ascii="Times New Roman" w:hAnsi="Times New Roman" w:cs="Times New Roman"/>
                <w:b/>
                <w:sz w:val="24"/>
                <w:szCs w:val="24"/>
              </w:rPr>
              <w:t>3. Studijų programų konsolidavimas</w:t>
            </w:r>
            <w:r w:rsidR="0005564C" w:rsidRPr="009B06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B0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B179E9" w14:textId="77777777" w:rsidR="008B563F" w:rsidRDefault="00BC3075" w:rsidP="0031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Įgyvendinant pedagogų rengimo sistemos pertvarką, </w:t>
            </w:r>
            <w:r w:rsidR="0005564C">
              <w:rPr>
                <w:rFonts w:ascii="Times New Roman" w:hAnsi="Times New Roman" w:cs="Times New Roman"/>
                <w:sz w:val="24"/>
                <w:szCs w:val="24"/>
              </w:rPr>
              <w:t>daugiausia dėmesio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skir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F0791" w14:textId="77777777" w:rsidR="008B563F" w:rsidRDefault="00BC3075" w:rsidP="00B35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ilniaus universiteto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ir 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iaulių universiteto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vykdomų studijų programų </w:t>
            </w:r>
            <w:r w:rsidR="00EF2ACC" w:rsidRPr="00EF0F41">
              <w:rPr>
                <w:rFonts w:ascii="Times New Roman" w:hAnsi="Times New Roman" w:cs="Times New Roman"/>
                <w:sz w:val="24"/>
                <w:szCs w:val="24"/>
              </w:rPr>
              <w:t>konsolidavim</w:t>
            </w:r>
            <w:r w:rsidR="00EF2ACC"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="008B563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391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ACC" w:rsidRPr="00EF0F41">
              <w:rPr>
                <w:rFonts w:ascii="Times New Roman" w:hAnsi="Times New Roman" w:cs="Times New Roman"/>
                <w:sz w:val="24"/>
                <w:szCs w:val="24"/>
              </w:rPr>
              <w:t>atnaujinim</w:t>
            </w:r>
            <w:r w:rsidR="00EF2ACC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="00EF2ACC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63F" w:rsidRPr="00EF0F41">
              <w:rPr>
                <w:rFonts w:ascii="Times New Roman" w:hAnsi="Times New Roman" w:cs="Times New Roman"/>
                <w:sz w:val="24"/>
                <w:szCs w:val="24"/>
              </w:rPr>
              <w:t>grindžiant tarpdisciplinine, tarptautine praktika</w:t>
            </w:r>
            <w:r w:rsidR="00391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bei kompetencija, proaktyviu studijų programų diegimu, studijų ir praktikų tarptautiškumo stiprinim</w:t>
            </w:r>
            <w:r w:rsidR="0039109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bei inovatyvių, modernių mokymosi formų ir mokomųjų priemonių taikymu</w:t>
            </w:r>
            <w:r w:rsidR="00391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179EB" w14:textId="73224C78" w:rsidR="00B354D3" w:rsidRPr="008B563F" w:rsidRDefault="00B354D3" w:rsidP="00B354D3"/>
        </w:tc>
        <w:tc>
          <w:tcPr>
            <w:tcW w:w="1701" w:type="dxa"/>
          </w:tcPr>
          <w:p w14:paraId="35B179EC" w14:textId="77777777" w:rsidR="00BC3075" w:rsidRPr="00A66F5B" w:rsidRDefault="00BC3075">
            <w:pPr>
              <w:rPr>
                <w:rFonts w:ascii="Times New Roman" w:hAnsi="Times New Roman" w:cs="Times New Roman"/>
              </w:rPr>
            </w:pPr>
          </w:p>
          <w:p w14:paraId="35B179ED" w14:textId="77777777" w:rsidR="00BC3075" w:rsidRPr="00A66F5B" w:rsidRDefault="00BC3075">
            <w:pPr>
              <w:rPr>
                <w:rFonts w:ascii="Times New Roman" w:hAnsi="Times New Roman" w:cs="Times New Roman"/>
              </w:rPr>
            </w:pPr>
          </w:p>
          <w:p w14:paraId="35B179EE" w14:textId="77777777" w:rsidR="00BC3075" w:rsidRPr="00A66F5B" w:rsidRDefault="00BC3075">
            <w:pPr>
              <w:rPr>
                <w:rFonts w:ascii="Times New Roman" w:hAnsi="Times New Roman" w:cs="Times New Roman"/>
              </w:rPr>
            </w:pPr>
          </w:p>
          <w:p w14:paraId="35B179EF" w14:textId="77777777" w:rsidR="00BC3075" w:rsidRPr="00A66F5B" w:rsidRDefault="00BC3075">
            <w:pPr>
              <w:rPr>
                <w:rFonts w:ascii="Times New Roman" w:hAnsi="Times New Roman" w:cs="Times New Roman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3,47 mln. Eur</w:t>
            </w:r>
            <w:r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BC3075" w14:paraId="35B179F5" w14:textId="77777777" w:rsidTr="00B354D3">
        <w:trPr>
          <w:trHeight w:val="416"/>
        </w:trPr>
        <w:tc>
          <w:tcPr>
            <w:tcW w:w="2689" w:type="dxa"/>
          </w:tcPr>
          <w:p w14:paraId="098A6DFD" w14:textId="77777777" w:rsidR="00BC3075" w:rsidRDefault="00BC3075" w:rsidP="0031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Mokomųjų erdvių pritaikymas studijoms, mokomųjų laboratorijų įsteigimas, aprūpinimas ir mokymo priemonių įsigijimas</w:t>
            </w:r>
          </w:p>
          <w:p w14:paraId="35B179F1" w14:textId="77777777" w:rsidR="00B354D3" w:rsidRPr="00A66F5B" w:rsidRDefault="00B354D3" w:rsidP="00314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</w:tcPr>
          <w:p w14:paraId="35B179F2" w14:textId="77777777" w:rsidR="00BC3075" w:rsidRPr="00A66F5B" w:rsidRDefault="00314CC0" w:rsidP="00314CC0"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>okomųjų erdvių remont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ir jų 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>pritaiky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mokslo ir studijų veiklai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vadovaujantis tarptautinių organizacijų rekomendacijomis.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>okymo priemon</w:t>
            </w:r>
            <w:r w:rsidR="00BC3075">
              <w:rPr>
                <w:rFonts w:ascii="Times New Roman" w:hAnsi="Times New Roman" w:cs="Times New Roman"/>
                <w:sz w:val="24"/>
                <w:szCs w:val="24"/>
              </w:rPr>
              <w:t>ių,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skirt</w:t>
            </w:r>
            <w:r w:rsidR="00BC307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>veiklinti pedagogikos centrus Vilniuje ir Šiauliuose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įsigijimas.</w:t>
            </w:r>
          </w:p>
        </w:tc>
        <w:tc>
          <w:tcPr>
            <w:tcW w:w="1701" w:type="dxa"/>
          </w:tcPr>
          <w:p w14:paraId="35B179F3" w14:textId="77777777" w:rsidR="00BC3075" w:rsidRDefault="00BC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79F4" w14:textId="77777777" w:rsidR="00BC3075" w:rsidRPr="00BC3075" w:rsidRDefault="00BC3075">
            <w:pPr>
              <w:rPr>
                <w:rFonts w:ascii="Times New Roman" w:hAnsi="Times New Roman" w:cs="Times New Roman"/>
                <w:vertAlign w:val="superscript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5,351 mln. Eur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C3075" w14:paraId="35B179FC" w14:textId="77777777" w:rsidTr="00B354D3">
        <w:tc>
          <w:tcPr>
            <w:tcW w:w="2689" w:type="dxa"/>
          </w:tcPr>
          <w:p w14:paraId="35B179F6" w14:textId="77777777" w:rsidR="00BC3075" w:rsidRPr="00A66F5B" w:rsidRDefault="00BC3075" w:rsidP="00FE328A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3. Studijų informacinė sistema, pritaikyt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vykdyti modulines studijas</w:t>
            </w:r>
          </w:p>
        </w:tc>
        <w:tc>
          <w:tcPr>
            <w:tcW w:w="10489" w:type="dxa"/>
          </w:tcPr>
          <w:p w14:paraId="35B179F7" w14:textId="77777777" w:rsidR="00BC3075" w:rsidRPr="00EF0F41" w:rsidRDefault="00BC3075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tudijų </w:t>
            </w:r>
            <w:r w:rsidR="00EF2ACC" w:rsidRPr="00EF0F41">
              <w:rPr>
                <w:rFonts w:ascii="Times New Roman" w:hAnsi="Times New Roman" w:cs="Times New Roman"/>
                <w:sz w:val="24"/>
                <w:szCs w:val="24"/>
              </w:rPr>
              <w:t>informacin</w:t>
            </w:r>
            <w:r w:rsidR="00EF2ACC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EF2ACC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 xml:space="preserve">os sukūrimas, duomenų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perk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ėlimas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iš esamos 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 xml:space="preserve">į naują 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studijų informacin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sistem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ą (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duomenų migravimas).</w:t>
            </w:r>
          </w:p>
          <w:p w14:paraId="35B179F8" w14:textId="77777777" w:rsidR="00BC3075" w:rsidRPr="00EF0F41" w:rsidRDefault="00BC3075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2. Studijų informacinės sistemos 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bandymas, adaptavimas, sąsajų su kitomis universiteto informacinėmis sistemomis sukūrimas.</w:t>
            </w:r>
          </w:p>
          <w:p w14:paraId="09B19ADF" w14:textId="77777777" w:rsidR="00BC3075" w:rsidRDefault="00BC3075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3. Studijų informacinės sistemos tobulinimas, naujų skaitmeninių paslaugų studentams ir dėstytojams sukūrimas.</w:t>
            </w:r>
          </w:p>
          <w:p w14:paraId="35B179F9" w14:textId="77777777" w:rsidR="00B354D3" w:rsidRDefault="00B354D3" w:rsidP="00EF0F41"/>
        </w:tc>
        <w:tc>
          <w:tcPr>
            <w:tcW w:w="1701" w:type="dxa"/>
          </w:tcPr>
          <w:p w14:paraId="35B179FA" w14:textId="77777777" w:rsidR="00BC3075" w:rsidRDefault="00BC3075">
            <w:pPr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  <w:p w14:paraId="35B179FB" w14:textId="33F8EF09" w:rsidR="00BC3075" w:rsidRPr="00A66F5B" w:rsidRDefault="00BC3075">
            <w:pPr>
              <w:rPr>
                <w:rFonts w:ascii="Times New Roman" w:hAnsi="Times New Roman" w:cs="Times New Roman"/>
              </w:rPr>
            </w:pPr>
            <w:r w:rsidRPr="00A66F5B">
              <w:rPr>
                <w:rFonts w:ascii="Times New Roman" w:hAnsi="Times New Roman" w:cs="Times New Roman"/>
                <w:w w:val="110"/>
                <w:sz w:val="24"/>
                <w:szCs w:val="24"/>
              </w:rPr>
              <w:t>2,979 mln. Eur</w:t>
            </w:r>
            <w:r w:rsidR="00B354D3">
              <w:rPr>
                <w:rStyle w:val="Puslapioinaosnuoroda"/>
                <w:rFonts w:ascii="Times New Roman" w:hAnsi="Times New Roman" w:cs="Times New Roman"/>
                <w:w w:val="110"/>
                <w:sz w:val="24"/>
                <w:szCs w:val="24"/>
              </w:rPr>
              <w:footnoteReference w:id="2"/>
            </w:r>
          </w:p>
        </w:tc>
      </w:tr>
      <w:tr w:rsidR="00CF08BD" w:rsidRPr="00EF0F41" w14:paraId="35B17A00" w14:textId="77777777" w:rsidTr="00B354D3">
        <w:tc>
          <w:tcPr>
            <w:tcW w:w="2689" w:type="dxa"/>
          </w:tcPr>
          <w:p w14:paraId="2AD35D5E" w14:textId="77777777" w:rsidR="00CF08BD" w:rsidRDefault="00CF08BD" w:rsidP="00A6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>4. Mokslinių tyrimų ir eksperimentinės (socialinės, kultūrinės) plėtros ir studijų infrastruktūros plėtra</w:t>
            </w:r>
          </w:p>
          <w:p w14:paraId="35B179FD" w14:textId="77777777" w:rsidR="00B354D3" w:rsidRPr="00796843" w:rsidRDefault="00B354D3" w:rsidP="00A66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14:paraId="35B179FE" w14:textId="327503A3" w:rsidR="00CF08BD" w:rsidRPr="00796843" w:rsidRDefault="00CF08BD" w:rsidP="009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 xml:space="preserve">Vilniaus universiteto Medicinos mokslo centro </w:t>
            </w:r>
            <w:r w:rsidR="009B06C0" w:rsidRPr="007968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>Santariškių raj</w:t>
            </w:r>
            <w:r w:rsidR="00B35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>, Vilniu</w:t>
            </w:r>
            <w:r w:rsidR="009B06C0" w:rsidRPr="00796843">
              <w:rPr>
                <w:rFonts w:ascii="Times New Roman" w:hAnsi="Times New Roman" w:cs="Times New Roman"/>
                <w:sz w:val="24"/>
                <w:szCs w:val="24"/>
              </w:rPr>
              <w:t xml:space="preserve">s), skirto įvairių </w:t>
            </w: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 xml:space="preserve">medicinos sričių </w:t>
            </w:r>
            <w:r w:rsidR="009B06C0" w:rsidRPr="00796843">
              <w:rPr>
                <w:rFonts w:ascii="Times New Roman" w:hAnsi="Times New Roman" w:cs="Times New Roman"/>
                <w:sz w:val="24"/>
                <w:szCs w:val="24"/>
              </w:rPr>
              <w:t>mokslo, tyrimų ir eksperimentinės plėtros veiklų</w:t>
            </w: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 xml:space="preserve"> vykdymui, ekperimentinei ikilinikinei bei klinikinei praktikai ir podiplominių studijų studentams, rezidentams, doktorantams</w:t>
            </w:r>
            <w:bookmarkStart w:id="0" w:name="_GoBack"/>
            <w:bookmarkEnd w:id="0"/>
            <w:r w:rsidR="009B06C0" w:rsidRPr="00796843">
              <w:rPr>
                <w:rFonts w:ascii="Times New Roman" w:hAnsi="Times New Roman" w:cs="Times New Roman"/>
                <w:sz w:val="24"/>
                <w:szCs w:val="24"/>
              </w:rPr>
              <w:t>, įkūrimas</w:t>
            </w:r>
            <w:r w:rsidRPr="00796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5B179FF" w14:textId="7A35B60F" w:rsidR="00CF08BD" w:rsidRPr="00EF0F41" w:rsidRDefault="00CF08BD" w:rsidP="00B35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43">
              <w:rPr>
                <w:rFonts w:ascii="Times New Roman" w:hAnsi="Times New Roman"/>
                <w:sz w:val="24"/>
                <w:szCs w:val="24"/>
              </w:rPr>
              <w:t>23,169 mln. Eur</w:t>
            </w:r>
            <w:r w:rsidR="00B354D3">
              <w:rPr>
                <w:rStyle w:val="Puslapioinaosnuoroda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</w:tr>
      <w:tr w:rsidR="00BC3075" w:rsidRPr="00EF0F41" w14:paraId="35B17A04" w14:textId="77777777" w:rsidTr="00B354D3">
        <w:tc>
          <w:tcPr>
            <w:tcW w:w="2689" w:type="dxa"/>
          </w:tcPr>
          <w:p w14:paraId="35B17A01" w14:textId="77777777" w:rsidR="00BC3075" w:rsidRPr="00EF0F41" w:rsidRDefault="00BC3075" w:rsidP="00A66F5B">
            <w:pP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0489" w:type="dxa"/>
          </w:tcPr>
          <w:p w14:paraId="35B17A02" w14:textId="77777777" w:rsidR="00BC3075" w:rsidRPr="00EF0F41" w:rsidRDefault="00BC3075" w:rsidP="00A66F5B">
            <w:pPr>
              <w:pStyle w:val="TableParagraph"/>
              <w:spacing w:before="130"/>
              <w:ind w:left="100" w:right="94"/>
              <w:rPr>
                <w:b/>
                <w:w w:val="110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35B17A03" w14:textId="77777777" w:rsidR="00BC3075" w:rsidRPr="00EF0F41" w:rsidRDefault="009B06C0" w:rsidP="00DC1CCD">
            <w:pP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34,969</w:t>
            </w:r>
            <w:r w:rsidR="00DC1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CCD" w:rsidRPr="00EF0F41">
              <w:rPr>
                <w:rFonts w:ascii="Times New Roman" w:hAnsi="Times New Roman" w:cs="Times New Roman"/>
                <w:sz w:val="24"/>
                <w:szCs w:val="24"/>
              </w:rPr>
              <w:t>mln. Eur</w:t>
            </w:r>
          </w:p>
        </w:tc>
      </w:tr>
    </w:tbl>
    <w:p w14:paraId="35B17A05" w14:textId="77777777" w:rsidR="00EF0F41" w:rsidRDefault="00EF0F41"/>
    <w:p w14:paraId="1EAA3231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28E5182F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5C3F25BD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2C93100F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358074CC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6FE3F2BF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35B17A06" w14:textId="77777777" w:rsidR="0056591F" w:rsidRDefault="00796843" w:rsidP="0056591F">
      <w:pPr>
        <w:pStyle w:val="Pagrindinistekstas"/>
        <w:jc w:val="center"/>
        <w:rPr>
          <w:b/>
          <w:sz w:val="24"/>
          <w:szCs w:val="24"/>
          <w:lang w:val="lt-LT"/>
        </w:rPr>
      </w:pPr>
      <w:r w:rsidRPr="00BC1F06">
        <w:rPr>
          <w:b/>
          <w:sz w:val="24"/>
          <w:szCs w:val="24"/>
          <w:lang w:val="lt-LT"/>
        </w:rPr>
        <w:lastRenderedPageBreak/>
        <w:t xml:space="preserve">ILGALAIKIS (2020–2025 M.) </w:t>
      </w:r>
      <w:r w:rsidR="000D6067">
        <w:rPr>
          <w:b/>
          <w:sz w:val="24"/>
          <w:szCs w:val="24"/>
          <w:lang w:val="lt-LT"/>
        </w:rPr>
        <w:t xml:space="preserve">FINANSAVIMO </w:t>
      </w:r>
      <w:r w:rsidRPr="00BC1F06">
        <w:rPr>
          <w:b/>
          <w:sz w:val="24"/>
          <w:szCs w:val="24"/>
          <w:lang w:val="lt-LT"/>
        </w:rPr>
        <w:t xml:space="preserve">POREIKIS, SIETINAS SU VEIKLOS INTEGRAVIMU IR NAUJOS STUDIJŲ IR AUKŠTOJO MOKSLO KOKYBĖS </w:t>
      </w:r>
      <w:r w:rsidR="000D6067">
        <w:rPr>
          <w:b/>
          <w:sz w:val="24"/>
          <w:szCs w:val="24"/>
          <w:lang w:val="lt-LT"/>
        </w:rPr>
        <w:t xml:space="preserve">ŠIAULIŲ </w:t>
      </w:r>
      <w:r w:rsidRPr="00BC1F06">
        <w:rPr>
          <w:b/>
          <w:sz w:val="24"/>
          <w:szCs w:val="24"/>
          <w:lang w:val="lt-LT"/>
        </w:rPr>
        <w:t>REGIONE UŽTIKRINIMU</w:t>
      </w:r>
    </w:p>
    <w:p w14:paraId="1B8EE79A" w14:textId="77777777" w:rsidR="00B354D3" w:rsidRDefault="00B354D3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p w14:paraId="35B17A07" w14:textId="77777777" w:rsidR="0056591F" w:rsidRDefault="0056591F" w:rsidP="0056591F">
      <w:pPr>
        <w:pStyle w:val="Pagrindinistekstas"/>
        <w:jc w:val="center"/>
        <w:rPr>
          <w:b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673"/>
        <w:gridCol w:w="7371"/>
        <w:gridCol w:w="2693"/>
      </w:tblGrid>
      <w:tr w:rsidR="00BC3075" w:rsidRPr="0056591F" w14:paraId="35B17A0B" w14:textId="77777777" w:rsidTr="00BC3075">
        <w:tc>
          <w:tcPr>
            <w:tcW w:w="4673" w:type="dxa"/>
          </w:tcPr>
          <w:p w14:paraId="35B17A08" w14:textId="77777777" w:rsidR="00BC3075" w:rsidRPr="0056591F" w:rsidRDefault="00BC3075" w:rsidP="007E5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1F">
              <w:rPr>
                <w:rFonts w:ascii="Times New Roman" w:hAnsi="Times New Roman" w:cs="Times New Roman"/>
                <w:b/>
                <w:sz w:val="24"/>
                <w:szCs w:val="24"/>
              </w:rPr>
              <w:t>Veiklų grupė</w:t>
            </w:r>
          </w:p>
        </w:tc>
        <w:tc>
          <w:tcPr>
            <w:tcW w:w="7371" w:type="dxa"/>
          </w:tcPr>
          <w:p w14:paraId="35B17A09" w14:textId="77777777" w:rsidR="00BC3075" w:rsidRPr="0056591F" w:rsidRDefault="00BC3075" w:rsidP="00565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1F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2693" w:type="dxa"/>
          </w:tcPr>
          <w:p w14:paraId="35B17A0A" w14:textId="77777777" w:rsidR="00BC3075" w:rsidRPr="0056591F" w:rsidRDefault="00BC3075" w:rsidP="007E5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Preliminarus</w:t>
            </w:r>
            <w:r w:rsidRPr="00565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lėšų poreikis</w:t>
            </w:r>
          </w:p>
        </w:tc>
      </w:tr>
      <w:tr w:rsidR="00BC3075" w:rsidRPr="0056591F" w14:paraId="35B17A10" w14:textId="77777777" w:rsidTr="00BC3075">
        <w:tc>
          <w:tcPr>
            <w:tcW w:w="4673" w:type="dxa"/>
          </w:tcPr>
          <w:p w14:paraId="35B17A0C" w14:textId="77777777" w:rsidR="00BC3075" w:rsidRPr="0056591F" w:rsidRDefault="00BC3075" w:rsidP="00BC3075">
            <w:pPr>
              <w:rPr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1. Studijų kokybės gerinimas </w:t>
            </w:r>
          </w:p>
        </w:tc>
        <w:tc>
          <w:tcPr>
            <w:tcW w:w="7371" w:type="dxa"/>
          </w:tcPr>
          <w:p w14:paraId="35B17A0D" w14:textId="77777777" w:rsidR="00BC3075" w:rsidRPr="00BC3075" w:rsidRDefault="00BC3075" w:rsidP="00EF2AC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Vykdomų</w:t>
            </w: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 xml:space="preserve"> studijų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tobulinimas, </w:t>
            </w: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atnaujinimas, naujų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studijų 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programų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rengimas ir 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pristatymas, užsienio ekspertų pritraukimas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tudijų tarptautiškumo didinim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F2ACC">
              <w:rPr>
                <w:rFonts w:ascii="Times New Roman" w:hAnsi="Times New Roman" w:cs="Times New Roman"/>
                <w:sz w:val="24"/>
                <w:szCs w:val="24"/>
              </w:rPr>
              <w:t>, rinkodara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siekiant </w:t>
            </w:r>
            <w:r w:rsidR="00EF2ACC" w:rsidRPr="00BC3075">
              <w:rPr>
                <w:rFonts w:ascii="Times New Roman" w:hAnsi="Times New Roman" w:cs="Times New Roman"/>
                <w:sz w:val="24"/>
                <w:szCs w:val="24"/>
              </w:rPr>
              <w:t>pritrauk</w:t>
            </w:r>
            <w:r w:rsidR="00EF2ACC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EF2ACC" w:rsidRPr="00BC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studentų </w:t>
            </w: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>į Vilniaus universiteto padalinį Šiauli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uose</w:t>
            </w: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5B17A0E" w14:textId="77777777" w:rsidR="00BC3075" w:rsidRDefault="00BC3075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17A0F" w14:textId="77777777" w:rsidR="00BC3075" w:rsidRPr="0056591F" w:rsidRDefault="00BC3075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mln. Eur</w:t>
            </w:r>
          </w:p>
        </w:tc>
      </w:tr>
      <w:tr w:rsidR="00BC3075" w:rsidRPr="0056591F" w14:paraId="35B17A15" w14:textId="77777777" w:rsidTr="00BC3075">
        <w:tc>
          <w:tcPr>
            <w:tcW w:w="4673" w:type="dxa"/>
          </w:tcPr>
          <w:p w14:paraId="35B17A11" w14:textId="77777777" w:rsidR="00BC3075" w:rsidRPr="00EF0F41" w:rsidRDefault="00BC3075" w:rsidP="00EF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2. Laboratorinės infrastruktūros ir įrangos atnaujinimas</w:t>
            </w:r>
          </w:p>
          <w:p w14:paraId="35B17A12" w14:textId="77777777" w:rsidR="00BC3075" w:rsidRPr="0056591F" w:rsidRDefault="00BC3075" w:rsidP="0056591F">
            <w:pPr>
              <w:pStyle w:val="TableParagraph"/>
              <w:spacing w:before="3" w:line="254" w:lineRule="exact"/>
              <w:ind w:left="98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</w:tcPr>
          <w:p w14:paraId="35B17A13" w14:textId="77777777" w:rsidR="00BC3075" w:rsidRPr="00BC3075" w:rsidRDefault="00BC3075" w:rsidP="00314CC0">
            <w:pPr>
              <w:rPr>
                <w:w w:val="110"/>
                <w:sz w:val="24"/>
                <w:szCs w:val="24"/>
              </w:rPr>
            </w:pP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 xml:space="preserve">Laboratorijų infrastruktūros atnaujinimas įsigyjant 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 xml:space="preserve">naują </w:t>
            </w: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>reikalingą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 xml:space="preserve"> ar p</w:t>
            </w:r>
            <w:r w:rsidRPr="00BC3075">
              <w:rPr>
                <w:rFonts w:ascii="Times New Roman" w:hAnsi="Times New Roman" w:cs="Times New Roman"/>
                <w:sz w:val="24"/>
                <w:szCs w:val="24"/>
              </w:rPr>
              <w:t>akeičiant nusidėvėjusią įrangą</w:t>
            </w:r>
            <w:r w:rsidR="00314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5B17A14" w14:textId="77777777" w:rsidR="00BC3075" w:rsidRPr="0056591F" w:rsidRDefault="00BC3075" w:rsidP="007E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mln. Eur</w:t>
            </w:r>
          </w:p>
        </w:tc>
      </w:tr>
      <w:tr w:rsidR="00BC3075" w:rsidRPr="0056591F" w14:paraId="35B17A19" w14:textId="77777777" w:rsidTr="00BC3075">
        <w:tc>
          <w:tcPr>
            <w:tcW w:w="4673" w:type="dxa"/>
          </w:tcPr>
          <w:p w14:paraId="35B17A16" w14:textId="77777777" w:rsidR="00BC3075" w:rsidRPr="0056591F" w:rsidRDefault="00BC3075" w:rsidP="00EF0F41">
            <w:pPr>
              <w:rPr>
                <w:w w:val="110"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sz w:val="24"/>
                <w:szCs w:val="24"/>
              </w:rPr>
              <w:t>3. Bendrabučių infrastruktūros atnaujinimas</w:t>
            </w:r>
          </w:p>
        </w:tc>
        <w:tc>
          <w:tcPr>
            <w:tcW w:w="7371" w:type="dxa"/>
          </w:tcPr>
          <w:p w14:paraId="35B17A17" w14:textId="77777777" w:rsidR="00BC3075" w:rsidRPr="0056591F" w:rsidRDefault="00314CC0" w:rsidP="00314CC0">
            <w:pPr>
              <w:rPr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>tudentų gyvenimo sąlyg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 xml:space="preserve"> bendrabučiuose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pagerinimas </w:t>
            </w:r>
            <w:r w:rsidR="00BC3075" w:rsidRPr="00EF0F41">
              <w:rPr>
                <w:rFonts w:ascii="Times New Roman" w:hAnsi="Times New Roman" w:cs="Times New Roman"/>
                <w:sz w:val="24"/>
                <w:szCs w:val="24"/>
              </w:rPr>
              <w:t>atliekant jų remontą, inžinerinių tinklų keitimą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693" w:type="dxa"/>
          </w:tcPr>
          <w:p w14:paraId="35B17A18" w14:textId="77777777" w:rsidR="00BC3075" w:rsidRPr="0056591F" w:rsidRDefault="00BC3075" w:rsidP="007E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mln. Eur</w:t>
            </w:r>
          </w:p>
        </w:tc>
      </w:tr>
      <w:tr w:rsidR="00BC3075" w:rsidRPr="00EF0F41" w14:paraId="35B17A1D" w14:textId="77777777" w:rsidTr="00BC3075">
        <w:tc>
          <w:tcPr>
            <w:tcW w:w="4673" w:type="dxa"/>
          </w:tcPr>
          <w:p w14:paraId="35B17A1A" w14:textId="77777777" w:rsidR="00BC3075" w:rsidRPr="00EF0F41" w:rsidRDefault="00BC3075" w:rsidP="00EF0F41">
            <w:pPr>
              <w:rPr>
                <w:b/>
                <w:sz w:val="24"/>
                <w:szCs w:val="24"/>
              </w:rPr>
            </w:pPr>
            <w:r w:rsidRPr="00EF0F41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7371" w:type="dxa"/>
          </w:tcPr>
          <w:p w14:paraId="35B17A1B" w14:textId="77777777" w:rsidR="00BC3075" w:rsidRPr="00EF0F41" w:rsidRDefault="00BC3075" w:rsidP="0056591F">
            <w:pPr>
              <w:pStyle w:val="TableParagraph"/>
              <w:spacing w:before="130"/>
              <w:ind w:left="196" w:right="94"/>
              <w:jc w:val="both"/>
              <w:rPr>
                <w:b/>
                <w:w w:val="110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</w:tcPr>
          <w:p w14:paraId="35B17A1C" w14:textId="77777777" w:rsidR="00BC3075" w:rsidRPr="00EF0F41" w:rsidRDefault="00BC3075" w:rsidP="007E5A8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F0F41">
              <w:rPr>
                <w:rFonts w:ascii="Times New Roman" w:hAnsi="Times New Roman" w:cs="Times New Roman"/>
                <w:b/>
                <w:sz w:val="24"/>
                <w:szCs w:val="24"/>
              </w:rPr>
              <w:t>8 mln. Eur</w:t>
            </w:r>
          </w:p>
        </w:tc>
      </w:tr>
    </w:tbl>
    <w:p w14:paraId="35B17A1E" w14:textId="77777777" w:rsidR="0056591F" w:rsidRPr="0056591F" w:rsidRDefault="00391095" w:rsidP="0056591F">
      <w:pPr>
        <w:pStyle w:val="Pagrindinistekstas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_________________</w:t>
      </w:r>
    </w:p>
    <w:p w14:paraId="35B17A1F" w14:textId="77777777" w:rsidR="0056591F" w:rsidRPr="0056591F" w:rsidRDefault="0056591F">
      <w:pPr>
        <w:rPr>
          <w:rFonts w:ascii="Times New Roman" w:hAnsi="Times New Roman" w:cs="Times New Roman"/>
          <w:sz w:val="24"/>
          <w:szCs w:val="24"/>
        </w:rPr>
      </w:pPr>
    </w:p>
    <w:sectPr w:rsidR="0056591F" w:rsidRPr="0056591F" w:rsidSect="00DB3643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17A22" w14:textId="77777777" w:rsidR="00240B0B" w:rsidRDefault="00240B0B" w:rsidP="009E6F5D">
      <w:pPr>
        <w:spacing w:after="0" w:line="240" w:lineRule="auto"/>
      </w:pPr>
      <w:r>
        <w:separator/>
      </w:r>
    </w:p>
  </w:endnote>
  <w:endnote w:type="continuationSeparator" w:id="0">
    <w:p w14:paraId="35B17A23" w14:textId="77777777" w:rsidR="00240B0B" w:rsidRDefault="00240B0B" w:rsidP="009E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17A20" w14:textId="77777777" w:rsidR="00240B0B" w:rsidRDefault="00240B0B" w:rsidP="009E6F5D">
      <w:pPr>
        <w:spacing w:after="0" w:line="240" w:lineRule="auto"/>
      </w:pPr>
      <w:r>
        <w:separator/>
      </w:r>
    </w:p>
  </w:footnote>
  <w:footnote w:type="continuationSeparator" w:id="0">
    <w:p w14:paraId="35B17A21" w14:textId="77777777" w:rsidR="00240B0B" w:rsidRDefault="00240B0B" w:rsidP="009E6F5D">
      <w:pPr>
        <w:spacing w:after="0" w:line="240" w:lineRule="auto"/>
      </w:pPr>
      <w:r>
        <w:continuationSeparator/>
      </w:r>
    </w:p>
  </w:footnote>
  <w:footnote w:id="1">
    <w:p w14:paraId="35B17A26" w14:textId="6BB1CCD3" w:rsidR="00BC3075" w:rsidRPr="00DB3643" w:rsidRDefault="00BC3075" w:rsidP="00BC3075">
      <w:pPr>
        <w:pStyle w:val="Pagrindinistekstas"/>
        <w:rPr>
          <w:sz w:val="20"/>
          <w:szCs w:val="20"/>
          <w:lang w:val="lt-LT"/>
        </w:rPr>
      </w:pPr>
      <w:r w:rsidRPr="00DB3643">
        <w:rPr>
          <w:rStyle w:val="Puslapioinaosnuoroda"/>
          <w:sz w:val="20"/>
          <w:szCs w:val="20"/>
        </w:rPr>
        <w:footnoteRef/>
      </w:r>
      <w:r w:rsidRPr="00DB3643">
        <w:rPr>
          <w:sz w:val="20"/>
          <w:szCs w:val="20"/>
          <w:lang w:val="lt-LT"/>
        </w:rPr>
        <w:t xml:space="preserve"> - sprendimas dėl projektų finansavimo iš </w:t>
      </w:r>
      <w:r w:rsidR="00B354D3" w:rsidRPr="00E73477">
        <w:rPr>
          <w:sz w:val="20"/>
          <w:szCs w:val="20"/>
        </w:rPr>
        <w:t>2014–</w:t>
      </w:r>
      <w:r w:rsidR="00B354D3" w:rsidRPr="00B354D3">
        <w:rPr>
          <w:sz w:val="20"/>
          <w:szCs w:val="20"/>
          <w:lang w:val="lt-LT"/>
        </w:rPr>
        <w:t xml:space="preserve">2020 metų Europos Sąjungos fondų investicijų veiksmų programos </w:t>
      </w:r>
      <w:r w:rsidRPr="00B354D3">
        <w:rPr>
          <w:sz w:val="20"/>
          <w:szCs w:val="20"/>
          <w:lang w:val="lt-LT"/>
        </w:rPr>
        <w:t>lėšų</w:t>
      </w:r>
      <w:r w:rsidRPr="00DB3643">
        <w:rPr>
          <w:sz w:val="20"/>
          <w:szCs w:val="20"/>
          <w:lang w:val="lt-LT"/>
        </w:rPr>
        <w:t xml:space="preserve"> ir konkrečios finansavimo sumos galės būti priimtas</w:t>
      </w:r>
      <w:r w:rsidR="00EF2ACC">
        <w:rPr>
          <w:sz w:val="20"/>
          <w:szCs w:val="20"/>
          <w:lang w:val="lt-LT"/>
        </w:rPr>
        <w:t>,</w:t>
      </w:r>
      <w:r w:rsidRPr="00DB3643">
        <w:rPr>
          <w:sz w:val="20"/>
          <w:szCs w:val="20"/>
          <w:lang w:val="lt-LT"/>
        </w:rPr>
        <w:t xml:space="preserve"> įvertinus projektinių pasiūlymų ir (ar) paraiškų </w:t>
      </w:r>
      <w:r w:rsidR="00EF2ACC" w:rsidRPr="00DB3643">
        <w:rPr>
          <w:sz w:val="20"/>
          <w:szCs w:val="20"/>
          <w:lang w:val="lt-LT"/>
        </w:rPr>
        <w:t>atitik</w:t>
      </w:r>
      <w:r w:rsidR="00EF2ACC">
        <w:rPr>
          <w:sz w:val="20"/>
          <w:szCs w:val="20"/>
          <w:lang w:val="lt-LT"/>
        </w:rPr>
        <w:t>tį</w:t>
      </w:r>
      <w:r w:rsidR="00EF2ACC" w:rsidRPr="00DB3643">
        <w:rPr>
          <w:sz w:val="20"/>
          <w:szCs w:val="20"/>
          <w:lang w:val="lt-LT"/>
        </w:rPr>
        <w:t xml:space="preserve"> </w:t>
      </w:r>
      <w:r w:rsidRPr="00DB3643">
        <w:rPr>
          <w:sz w:val="20"/>
          <w:szCs w:val="20"/>
          <w:lang w:val="lt-LT"/>
        </w:rPr>
        <w:t>reikalavimams ir, jei taikoma, išnagrinėjus projektų įgyvendinimo alternatyvas.</w:t>
      </w:r>
    </w:p>
    <w:p w14:paraId="35B17A27" w14:textId="77777777" w:rsidR="00BC3075" w:rsidRDefault="00BC3075" w:rsidP="00BC3075">
      <w:pPr>
        <w:pStyle w:val="Puslapioinaostekstas"/>
      </w:pPr>
    </w:p>
  </w:footnote>
  <w:footnote w:id="2">
    <w:p w14:paraId="6FF7073B" w14:textId="1F0B9C70" w:rsidR="00B354D3" w:rsidRDefault="00B354D3" w:rsidP="00B354D3">
      <w:r>
        <w:rPr>
          <w:rStyle w:val="Puslapioinaosnuoroda"/>
        </w:rPr>
        <w:footnoteRef/>
      </w:r>
      <w:r>
        <w:t xml:space="preserve"> - </w:t>
      </w:r>
      <w:r w:rsidRPr="00E73477">
        <w:rPr>
          <w:rFonts w:ascii="Times New Roman" w:hAnsi="Times New Roman" w:cs="Times New Roman"/>
          <w:sz w:val="20"/>
          <w:szCs w:val="20"/>
        </w:rPr>
        <w:t xml:space="preserve">galėtų būti skirta iš kitų šaltinių, pvz., </w:t>
      </w:r>
      <w:r>
        <w:rPr>
          <w:rFonts w:ascii="Times New Roman" w:hAnsi="Times New Roman" w:cs="Times New Roman"/>
          <w:sz w:val="20"/>
          <w:szCs w:val="20"/>
        </w:rPr>
        <w:t xml:space="preserve">sutaupytų </w:t>
      </w:r>
      <w:r w:rsidRPr="00E73477">
        <w:rPr>
          <w:rFonts w:ascii="Times New Roman" w:hAnsi="Times New Roman" w:cs="Times New Roman"/>
          <w:sz w:val="20"/>
          <w:szCs w:val="20"/>
        </w:rPr>
        <w:t>2014–2020 metų Europos Sąjungos fondų investicijų veiksmų programos lėšų,  parduoto investuoto nekilnojamojo turto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7996588E" w14:textId="7D50F5AE" w:rsidR="00B354D3" w:rsidRDefault="00B354D3">
      <w:pPr>
        <w:pStyle w:val="Puslapioinaostekstas"/>
      </w:pPr>
      <w:r>
        <w:rPr>
          <w:rStyle w:val="Puslapioinaosnuoroda"/>
        </w:rPr>
        <w:footnoteRef/>
      </w:r>
      <w:r>
        <w:t xml:space="preserve"> - </w:t>
      </w:r>
      <w:r w:rsidRPr="00CF08BD">
        <w:rPr>
          <w:rFonts w:ascii="Times New Roman" w:hAnsi="Times New Roman" w:cs="Times New Roman"/>
        </w:rPr>
        <w:t>skirta švietimo ir mokslo ministro 2018 m. liepos 19 d. įsakymu Nr. V-660 „D</w:t>
      </w:r>
      <w:r w:rsidRPr="00CF08BD">
        <w:rPr>
          <w:rFonts w:ascii="Times New Roman" w:hAnsi="Times New Roman" w:cs="Times New Roman"/>
          <w:kern w:val="16"/>
        </w:rPr>
        <w:t xml:space="preserve">ėl finansavimo skyrimo projektui, pateiktam pagal 2014–2020 metų Europos Sąjungos fondų investicijų veiksmų programos </w:t>
      </w:r>
      <w:r w:rsidRPr="00CF08BD">
        <w:rPr>
          <w:rFonts w:ascii="Times New Roman" w:hAnsi="Times New Roman" w:cs="Times New Roman"/>
        </w:rPr>
        <w:t>1 prioriteto „M</w:t>
      </w:r>
      <w:r w:rsidRPr="00CF08BD">
        <w:rPr>
          <w:rFonts w:ascii="Times New Roman" w:eastAsia="Calibri" w:hAnsi="Times New Roman" w:cs="Times New Roman"/>
        </w:rPr>
        <w:t>okslinių tyrimų, eksperimentinės plėtros ir</w:t>
      </w:r>
      <w:r w:rsidRPr="00CF08BD">
        <w:rPr>
          <w:rFonts w:ascii="Times New Roman" w:hAnsi="Times New Roman" w:cs="Times New Roman"/>
        </w:rPr>
        <w:t xml:space="preserve"> </w:t>
      </w:r>
      <w:r w:rsidRPr="00CF08BD">
        <w:rPr>
          <w:rFonts w:ascii="Times New Roman" w:eastAsia="Calibri" w:hAnsi="Times New Roman" w:cs="Times New Roman"/>
        </w:rPr>
        <w:t>inovacijų skatinimas</w:t>
      </w:r>
      <w:r w:rsidRPr="00CF08BD">
        <w:rPr>
          <w:rFonts w:ascii="Times New Roman" w:hAnsi="Times New Roman" w:cs="Times New Roman"/>
        </w:rPr>
        <w:t>“ įgyvendinimo priemonę 01.1.1-CPVA-V-701 „M</w:t>
      </w:r>
      <w:r w:rsidRPr="00CF08BD">
        <w:rPr>
          <w:rFonts w:ascii="Times New Roman" w:eastAsia="Calibri" w:hAnsi="Times New Roman" w:cs="Times New Roman"/>
        </w:rPr>
        <w:t>okslinių tyrimų, eksperimentinės plėtros ir inovacijų infrastruktūros plėtra ir integracija į europines infrastruktūras</w:t>
      </w:r>
      <w:r w:rsidRPr="00CF08B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487197"/>
      <w:docPartObj>
        <w:docPartGallery w:val="Page Numbers (Top of Page)"/>
        <w:docPartUnique/>
      </w:docPartObj>
    </w:sdtPr>
    <w:sdtEndPr/>
    <w:sdtContent>
      <w:p w14:paraId="35B17A24" w14:textId="77777777" w:rsidR="00DB3643" w:rsidRDefault="00DB36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4D3">
          <w:rPr>
            <w:noProof/>
          </w:rPr>
          <w:t>2</w:t>
        </w:r>
        <w:r>
          <w:fldChar w:fldCharType="end"/>
        </w:r>
      </w:p>
    </w:sdtContent>
  </w:sdt>
  <w:p w14:paraId="35B17A25" w14:textId="77777777" w:rsidR="00EF0F41" w:rsidRDefault="00EF0F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59AF"/>
    <w:multiLevelType w:val="hybridMultilevel"/>
    <w:tmpl w:val="62D04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5B"/>
    <w:rsid w:val="0005564C"/>
    <w:rsid w:val="000A3092"/>
    <w:rsid w:val="000B0DA8"/>
    <w:rsid w:val="000D6067"/>
    <w:rsid w:val="0017464D"/>
    <w:rsid w:val="00191D0F"/>
    <w:rsid w:val="001A387F"/>
    <w:rsid w:val="00240B0B"/>
    <w:rsid w:val="00267210"/>
    <w:rsid w:val="00314CC0"/>
    <w:rsid w:val="00335A62"/>
    <w:rsid w:val="00391095"/>
    <w:rsid w:val="0056591F"/>
    <w:rsid w:val="00626CBE"/>
    <w:rsid w:val="00634653"/>
    <w:rsid w:val="00796843"/>
    <w:rsid w:val="008B563F"/>
    <w:rsid w:val="00946534"/>
    <w:rsid w:val="00994C6A"/>
    <w:rsid w:val="009B06C0"/>
    <w:rsid w:val="009E6F5D"/>
    <w:rsid w:val="00A66F5B"/>
    <w:rsid w:val="00AF680D"/>
    <w:rsid w:val="00B354D3"/>
    <w:rsid w:val="00BC3075"/>
    <w:rsid w:val="00CF08BD"/>
    <w:rsid w:val="00DB3643"/>
    <w:rsid w:val="00DC1CCD"/>
    <w:rsid w:val="00EE08D7"/>
    <w:rsid w:val="00EF0F41"/>
    <w:rsid w:val="00EF2ACC"/>
    <w:rsid w:val="00F829F3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79DD"/>
  <w15:chartTrackingRefBased/>
  <w15:docId w15:val="{98338B5B-3CCD-4E8C-B82D-6109BC6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A66F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6F5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6F5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6F5D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1"/>
    <w:qFormat/>
    <w:rsid w:val="009E6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E6F5D"/>
    <w:rPr>
      <w:rFonts w:ascii="Times New Roman" w:eastAsia="Times New Roman" w:hAnsi="Times New Roman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64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F0F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F41"/>
  </w:style>
  <w:style w:type="paragraph" w:styleId="Porat">
    <w:name w:val="footer"/>
    <w:basedOn w:val="prastasis"/>
    <w:link w:val="PoratDiagrama"/>
    <w:uiPriority w:val="99"/>
    <w:unhideWhenUsed/>
    <w:rsid w:val="00EF0F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F41"/>
  </w:style>
  <w:style w:type="paragraph" w:styleId="Sraopastraipa">
    <w:name w:val="List Paragraph"/>
    <w:basedOn w:val="prastasis"/>
    <w:uiPriority w:val="34"/>
    <w:qFormat/>
    <w:rsid w:val="00EF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FFEF-28B1-45FF-9C5C-598AD59CB1E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3A23EF-68AC-44C4-A2F5-B778A0D3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7B530-F025-485D-AE67-42EE466C3DB7}"/>
</file>

<file path=customXml/itemProps4.xml><?xml version="1.0" encoding="utf-8"?>
<ds:datastoreItem xmlns:ds="http://schemas.openxmlformats.org/officeDocument/2006/customXml" ds:itemID="{9BD7AEE0-BCCB-45D8-8C6D-6F5C9F56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eeaf3140-9652-4645-8f8e-7fb3e96817c4</dc:title>
  <dc:subject/>
  <dc:creator>Lukošiūnienė Daina</dc:creator>
  <cp:keywords/>
  <dc:description/>
  <cp:lastModifiedBy>Lukošiūnienė Daina</cp:lastModifiedBy>
  <cp:revision>8</cp:revision>
  <cp:lastPrinted>2018-11-20T12:44:00Z</cp:lastPrinted>
  <dcterms:created xsi:type="dcterms:W3CDTF">2018-11-21T10:52:00Z</dcterms:created>
  <dcterms:modified xsi:type="dcterms:W3CDTF">2018-11-22T10:51:00Z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