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44/292032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2004-11-02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</w:tbl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5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OBJEKTAI"/>
      <w:bookmarkEnd w:id="0"/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Aikštelės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Aikštelės: A-2 (12071,88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A-3 (1914,82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b5 (4162,29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privažiavimai: b4 (251,42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b6 (271,24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b7 (281,25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b8 (279,46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), tvoros: t3 (26,5 m), t4 (496,88 m)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4400-4355-9594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A-2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Gautas padalijus daiktą, unikalus daikto numeris 4400-0435-1004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744000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186000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186000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Aikštelė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4400-4355-9546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A-4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Gautas padalijus daiktą, unikalus daikto numeris 4400-0435-1004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II grupės nesudėtingasis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776.70 kv. m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Asfaltas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34800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Lenktynių trasa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bookmarkStart w:id="1" w:name="_GoBack"/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Lektynių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 trasa b11 (50562,22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trasos praplatėjimas b12 (526,23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atraminė sienutė b15 (75,93 m), aikštelė b16 (44,45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įvažiavimas b17 (715,11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), apsauginė tvorelė t5 (2311,17 m), tvora t6 (452,88 m), pralaidos: PR1, PR2, PR3</w:t>
            </w:r>
            <w:bookmarkEnd w:id="1"/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4400-4355-9613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b11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Gautas padalijus daiktą, unikalus daikto numeris 4400-0435-1004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1213000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303000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303000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Lenktynių trasos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Lenktynių trasos: b1 (11169,43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b2 (7568,64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b3 (7815,91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4400-4355-9480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b1-b3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Gautas padalijus daiktą, unikalus daikto numeris 4400-0435-1004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519000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130000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130000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Aikštelė su privažiavimu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Aikštelė A-1 (6595,62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privažiavimas b9 (6038,45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).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4400-4355-9557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A-1,b9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Gautas padalijus daiktą, unikalus daikto numeris 4400-0435-1004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Asfaltas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473000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118000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118000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Privažiavimas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Privažiavimas b13 (34912,62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), nuovažos b14 (337,45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), pralaidos: PR4, PR5, PR6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4400-4355-9568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b13,b14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Gautas padalijus daiktą, unikalus daikto numeris 4400-0435-1004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1150000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288000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288000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Lenktynių trasa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Kauno r. sav., Ringaudų sen., Gaižėnėlių k.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Lenktynių trasa b10 (6755,48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kv.m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), apsauginės tvorelės: t1 (119,61 m), t2 (11,69 m).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4400-4355-9580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b10,t1,t2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Gautas padalijus daiktą, unikalus daikto numeris 4400-0435-1004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II grupės nesudėtingasis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89700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22400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22400 Eur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6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7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4400-4355-9480, aprašyti p. 2.4.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4400-4355-9546, aprašyti p. 2.2.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4400-4355-9557, aprašyti p. 2.5.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4400-4355-9568, aprašyti p. 2.6.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4400-4355-9580, aprašyti p. 2.7.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4400-4355-9594, aprašyti p. 2.1.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4400-4355-9613, aprašyti p. 2.3.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1996-06-13 Lietuvos Respublikos Vyriausybės nutarimas Nr. 697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1996-10-30 Priėmimo - perdavimo aktas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2016-12-16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pict>
          <v:rect id="_x0000_i1028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9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sporto centras,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188600743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4400-4355-9480, aprašyti p. 2.4.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4400-4355-9546, aprašyti p. 2.2.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4400-4355-9557, aprašyti p. 2.5.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4400-4355-9568, aprašyti p. 2.6.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4400-4355-9580, aprašyti p. 2.7.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4400-4355-9594, aprašyti p. 2.1.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4400-4355-9613, aprašyti p. 2.3.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2019-05-15 Lietuvos Respublikos Vyriausybės nutarimas Nr. 495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2019-09-19 Priėmimo - perdavimo aktas Nr. PA1-12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2019-10-29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0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32"/>
              <w:gridCol w:w="65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Viešoji įstaiga "Nacionalinis žiedas",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304295469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4400-4355-9480, aprašyti p. 2.4.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4400-4355-9546, aprašyti p. 2.2.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4400-4355-9557, aprašyti p. 2.5.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4400-4355-9568, aprašyti p. 2.6.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4400-4355-9580, aprašyti p. 2.7.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4400-4355-9594, aprašyti p. 2.1.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4400-4355-9613, aprašyti p. 2.3.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2016-10-05 Priėmimo - perdavimo aktas Nr. PA1-55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2016-10-05 Panaudos sutartis Nr. SP-42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2016-12-16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2019-10-05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1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2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Specialiosios žemės ir miško naudojimo sąlygos: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3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48"/>
              <w:gridCol w:w="49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Kadastrinius </w:t>
            </w:r>
            <w:proofErr w:type="spellStart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matavimus</w:t>
            </w:r>
            <w:proofErr w:type="spellEnd"/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 atliko (kadastro žyma)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MANTAS GRANICKAS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4400-4355-9480, aprašyti p. 2.4.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4400-4355-9546, aprašyti p. 2.2.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4400-4355-9557, aprašyti p. 2.5.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4400-4355-9568, aprašyti p. 2.6.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4400-4355-9580, aprašyti p. 2.7.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4400-4355-9594, aprašyti p. 2.1.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4400-4355-9613, aprašyti p. 2.3.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 Nekilnojamojo daikto kadastro duomenų byla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Kvalifikacijos pažymėjimas Nr. 2M-M-1917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2016-12-16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F6D3D" w:rsidRPr="002F6D3D" w:rsidTr="002F6D3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648"/>
              <w:gridCol w:w="49"/>
            </w:tblGrid>
            <w:tr w:rsidR="002F6D3D" w:rsidRPr="002F6D3D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2F6D3D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2F6D3D" w:rsidRPr="002F6D3D" w:rsidRDefault="002F6D3D" w:rsidP="002F6D3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4400-4355-9480, aprašyti p. 2.4.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4400-4355-9546, aprašyti p. 2.2.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4400-4355-9557, aprašyti p. 2.5.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4400-4355-9568, aprašyti p. 2.6.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4400-4355-9580, aprašyti p. 2.7.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4400-4355-9594, aprašyti p. 2.1.</w:t>
            </w: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kiti statiniai Nr. 4400-4355-9613, aprašyti p. 2.3.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2016-09-30 Nekilnojamojo daikto kadastro duomenų byla</w:t>
            </w:r>
          </w:p>
        </w:tc>
      </w:tr>
      <w:tr w:rsidR="002F6D3D" w:rsidRPr="002F6D3D" w:rsidTr="002F6D3D">
        <w:trPr>
          <w:tblCellSpacing w:w="0" w:type="dxa"/>
        </w:trPr>
        <w:tc>
          <w:tcPr>
            <w:tcW w:w="0" w:type="auto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2016-12-16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4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5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</w:p>
    <w:p w:rsidR="002F6D3D" w:rsidRPr="002F6D3D" w:rsidRDefault="008C5B48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6" style="width:0;height:1.5pt" o:hralign="center" o:hrstd="t" o:hrnoshade="t" o:hr="t" fillcolor="black" stroked="f"/>
        </w:pict>
      </w:r>
    </w:p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D3D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2F6D3D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506"/>
      </w:tblGrid>
      <w:tr w:rsidR="002F6D3D" w:rsidRPr="002F6D3D" w:rsidTr="002F6D3D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:rsidR="002F6D3D" w:rsidRPr="002F6D3D" w:rsidRDefault="002F6D3D" w:rsidP="002F6D3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  <w:t>2019-12-11 10:19:14</w:t>
            </w:r>
          </w:p>
        </w:tc>
      </w:tr>
    </w:tbl>
    <w:p w:rsidR="002F6D3D" w:rsidRPr="002F6D3D" w:rsidRDefault="002F6D3D" w:rsidP="002F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2190"/>
        <w:gridCol w:w="3027"/>
      </w:tblGrid>
      <w:tr w:rsidR="002F6D3D" w:rsidRPr="002F6D3D" w:rsidTr="002F6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2160" w:type="dxa"/>
            <w:vAlign w:val="center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2F6D3D" w:rsidRPr="002F6D3D" w:rsidRDefault="002F6D3D" w:rsidP="002F6D3D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2F6D3D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MARGARITA JAKŠTONIENĖ</w:t>
            </w:r>
          </w:p>
        </w:tc>
      </w:tr>
    </w:tbl>
    <w:p w:rsidR="00121579" w:rsidRDefault="00121579"/>
    <w:sectPr w:rsidR="001215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3D"/>
    <w:rsid w:val="00121579"/>
    <w:rsid w:val="002F6D3D"/>
    <w:rsid w:val="008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73CE8-C5C6-4F37-A5A5-D871DC46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2F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73478-14E8-4437-9892-4831FD481CAF}"/>
</file>

<file path=customXml/itemProps2.xml><?xml version="1.0" encoding="utf-8"?>
<ds:datastoreItem xmlns:ds="http://schemas.openxmlformats.org/officeDocument/2006/customXml" ds:itemID="{411633F4-0C7C-4051-8A35-F6B2C9D8D086}"/>
</file>

<file path=customXml/itemProps3.xml><?xml version="1.0" encoding="utf-8"?>
<ds:datastoreItem xmlns:ds="http://schemas.openxmlformats.org/officeDocument/2006/customXml" ds:itemID="{D64A944D-4AFF-4B28-8FA0-CD29FBBB2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6564</Words>
  <Characters>3742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45e8276d-dcaf-4d7f-9054-966f59a3430c</dc:title>
  <dc:subject/>
  <dc:creator>Jakštonienė Margarita</dc:creator>
  <cp:keywords/>
  <dc:description/>
  <cp:lastModifiedBy>Jablonskienė Rūta</cp:lastModifiedBy>
  <cp:revision>2</cp:revision>
  <dcterms:created xsi:type="dcterms:W3CDTF">2019-12-11T08:51:00Z</dcterms:created>
  <dcterms:modified xsi:type="dcterms:W3CDTF">2019-12-11T08:51:00Z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