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6A" w:rsidRDefault="001B3EBC" w:rsidP="005E4CDB">
      <w:pPr>
        <w:pStyle w:val="Pagrindinistekstas"/>
        <w:outlineLvl w:val="0"/>
      </w:pPr>
      <w:r>
        <w:t xml:space="preserve">LIETUVOS RESPUBLIKOS CIVILINIO PROCESO KODEKSO </w:t>
      </w:r>
      <w:r w:rsidR="00A41804">
        <w:t xml:space="preserve">56, </w:t>
      </w:r>
      <w:r>
        <w:t xml:space="preserve">93, </w:t>
      </w:r>
      <w:r w:rsidR="00A41804">
        <w:t xml:space="preserve">268, </w:t>
      </w:r>
      <w:r>
        <w:t>306, 441</w:t>
      </w:r>
      <w:r>
        <w:rPr>
          <w:vertAlign w:val="superscript"/>
        </w:rPr>
        <w:t>1</w:t>
      </w:r>
      <w:r>
        <w:t>, 441</w:t>
      </w:r>
      <w:r>
        <w:rPr>
          <w:vertAlign w:val="superscript"/>
        </w:rPr>
        <w:t>3</w:t>
      </w:r>
      <w:r>
        <w:t>, 441</w:t>
      </w:r>
      <w:r>
        <w:rPr>
          <w:vertAlign w:val="superscript"/>
        </w:rPr>
        <w:t>4</w:t>
      </w:r>
      <w:r>
        <w:t>, 441</w:t>
      </w:r>
      <w:r>
        <w:rPr>
          <w:vertAlign w:val="superscript"/>
        </w:rPr>
        <w:t>6</w:t>
      </w:r>
      <w:r>
        <w:t>, 441</w:t>
      </w:r>
      <w:r>
        <w:rPr>
          <w:vertAlign w:val="superscript"/>
        </w:rPr>
        <w:t>7</w:t>
      </w:r>
      <w:r>
        <w:t>, 441</w:t>
      </w:r>
      <w:r>
        <w:rPr>
          <w:vertAlign w:val="superscript"/>
        </w:rPr>
        <w:t>8</w:t>
      </w:r>
      <w:r>
        <w:t>, 441</w:t>
      </w:r>
      <w:r>
        <w:rPr>
          <w:vertAlign w:val="superscript"/>
        </w:rPr>
        <w:t>9</w:t>
      </w:r>
      <w:r>
        <w:t>, 441</w:t>
      </w:r>
      <w:r>
        <w:rPr>
          <w:vertAlign w:val="superscript"/>
        </w:rPr>
        <w:t>11</w:t>
      </w:r>
      <w:r>
        <w:t>, 441</w:t>
      </w:r>
      <w:r>
        <w:rPr>
          <w:vertAlign w:val="superscript"/>
        </w:rPr>
        <w:t>13</w:t>
      </w:r>
      <w:r>
        <w:t xml:space="preserve"> IR 441</w:t>
      </w:r>
      <w:r>
        <w:rPr>
          <w:vertAlign w:val="superscript"/>
        </w:rPr>
        <w:t>16</w:t>
      </w:r>
      <w:r>
        <w:t xml:space="preserve"> STRAIPSNIŲ PAKEITIMO ĮSTATYMO IR LIETUVOS RESPUBLIKOS VARTOTOJŲ TEISIŲ APSAUGOS ĮSTATYMO NR. I-657 </w:t>
      </w:r>
      <w:r w:rsidR="003508C0">
        <w:t xml:space="preserve">12, </w:t>
      </w:r>
      <w:r w:rsidRPr="00430DD5">
        <w:rPr>
          <w:color w:val="000000"/>
        </w:rPr>
        <w:t xml:space="preserve">13, </w:t>
      </w:r>
      <w:r w:rsidR="003508C0">
        <w:rPr>
          <w:color w:val="000000"/>
        </w:rPr>
        <w:t xml:space="preserve">22, </w:t>
      </w:r>
      <w:r>
        <w:rPr>
          <w:color w:val="000000"/>
        </w:rPr>
        <w:t>22</w:t>
      </w:r>
      <w:r w:rsidRPr="001B51B2">
        <w:rPr>
          <w:color w:val="000000"/>
          <w:vertAlign w:val="superscript"/>
        </w:rPr>
        <w:t>1</w:t>
      </w:r>
      <w:r>
        <w:rPr>
          <w:color w:val="000000"/>
        </w:rPr>
        <w:t>, 22</w:t>
      </w:r>
      <w:r>
        <w:rPr>
          <w:color w:val="000000"/>
          <w:vertAlign w:val="superscript"/>
        </w:rPr>
        <w:t>2</w:t>
      </w:r>
      <w:r>
        <w:rPr>
          <w:color w:val="000000"/>
        </w:rPr>
        <w:t xml:space="preserve">, </w:t>
      </w:r>
      <w:r w:rsidRPr="00430DD5">
        <w:rPr>
          <w:color w:val="000000"/>
        </w:rPr>
        <w:t>30</w:t>
      </w:r>
      <w:r>
        <w:rPr>
          <w:color w:val="000000"/>
        </w:rPr>
        <w:t xml:space="preserve"> IR 34 STRAIPSNIŲ PAKEITIMO, </w:t>
      </w:r>
      <w:r w:rsidRPr="00C04EB4">
        <w:rPr>
          <w:color w:val="000000"/>
        </w:rPr>
        <w:t>31</w:t>
      </w:r>
      <w:r>
        <w:rPr>
          <w:color w:val="000000"/>
        </w:rPr>
        <w:t>, 35 STRAIPSNIŲ PRIPAŽINIMO NETEKUSIAIS GALIOS IR ĮSTATYMO PAPILDYMO 13</w:t>
      </w:r>
      <w:r w:rsidRPr="003145FA">
        <w:rPr>
          <w:color w:val="000000"/>
          <w:vertAlign w:val="superscript"/>
        </w:rPr>
        <w:t>1</w:t>
      </w:r>
      <w:r>
        <w:rPr>
          <w:color w:val="000000"/>
        </w:rPr>
        <w:t> STRAIPSNIU</w:t>
      </w:r>
      <w:r>
        <w:t xml:space="preserve"> ĮSTATYMO PROJEKTŲ</w:t>
      </w:r>
    </w:p>
    <w:p w:rsidR="00D30D08" w:rsidRPr="00E12EF1" w:rsidRDefault="001B3EBC" w:rsidP="005E4CDB">
      <w:pPr>
        <w:pStyle w:val="Pagrindinistekstas"/>
        <w:outlineLvl w:val="0"/>
      </w:pPr>
      <w:r w:rsidRPr="00E12EF1">
        <w:t>AIŠKINAMASIS RAŠTAS</w:t>
      </w:r>
    </w:p>
    <w:p w:rsidR="00D30D08" w:rsidRPr="00E12EF1" w:rsidRDefault="00D30D08" w:rsidP="005E4CDB">
      <w:pPr>
        <w:tabs>
          <w:tab w:val="left" w:pos="720"/>
          <w:tab w:val="left" w:pos="1080"/>
        </w:tabs>
        <w:rPr>
          <w:b/>
        </w:rPr>
      </w:pPr>
    </w:p>
    <w:p w:rsidR="007F0E8B" w:rsidRPr="00E12EF1" w:rsidRDefault="00473070" w:rsidP="00964FBC">
      <w:pPr>
        <w:numPr>
          <w:ilvl w:val="0"/>
          <w:numId w:val="1"/>
        </w:numPr>
        <w:tabs>
          <w:tab w:val="left" w:pos="720"/>
          <w:tab w:val="left" w:pos="1080"/>
        </w:tabs>
        <w:ind w:left="0" w:firstLine="851"/>
        <w:jc w:val="both"/>
        <w:rPr>
          <w:bCs/>
        </w:rPr>
      </w:pPr>
      <w:r w:rsidRPr="00E12EF1">
        <w:rPr>
          <w:b/>
        </w:rPr>
        <w:t>Įstatymo projekto</w:t>
      </w:r>
      <w:r w:rsidR="00D30D08" w:rsidRPr="00E12EF1">
        <w:rPr>
          <w:b/>
        </w:rPr>
        <w:t xml:space="preserve"> rengimą paskatinusios priežastys, įstatymo projekto tikslai ir uždaviniai</w:t>
      </w:r>
    </w:p>
    <w:p w:rsidR="00671EED" w:rsidRDefault="00671EED" w:rsidP="00671EED">
      <w:pPr>
        <w:spacing w:line="280" w:lineRule="exact"/>
        <w:ind w:firstLine="851"/>
        <w:jc w:val="both"/>
      </w:pPr>
      <w:r>
        <w:t>Grupės ieškinio instituto, įtvirtinto Lietuvos Respublikos civilinio proceso kodekso (toliau – CPK) XXIV</w:t>
      </w:r>
      <w:r>
        <w:rPr>
          <w:vertAlign w:val="superscript"/>
        </w:rPr>
        <w:t>1</w:t>
      </w:r>
      <w:r>
        <w:t xml:space="preserve"> skyriuje, teisinis reguliavimas </w:t>
      </w:r>
      <w:r w:rsidRPr="00671EED">
        <w:rPr>
          <w:bCs/>
        </w:rPr>
        <w:t>įsigaliojo 2015 m. sausio 1 d.</w:t>
      </w:r>
      <w:r>
        <w:rPr>
          <w:bCs/>
        </w:rPr>
        <w:t xml:space="preserve"> Lietuvos Respublikos t</w:t>
      </w:r>
      <w:r w:rsidRPr="00671EED">
        <w:rPr>
          <w:bCs/>
        </w:rPr>
        <w:t xml:space="preserve">eisingumo ministerija </w:t>
      </w:r>
      <w:r w:rsidR="0023322A">
        <w:rPr>
          <w:bCs/>
        </w:rPr>
        <w:t>2015-2017 metais</w:t>
      </w:r>
      <w:r w:rsidR="0023322A" w:rsidRPr="00671EED">
        <w:rPr>
          <w:bCs/>
        </w:rPr>
        <w:t xml:space="preserve"> </w:t>
      </w:r>
      <w:r w:rsidRPr="00671EED">
        <w:rPr>
          <w:bCs/>
        </w:rPr>
        <w:t>vykdė grupės ieškinio instituto civiliniame procese stebėseną.</w:t>
      </w:r>
      <w:r>
        <w:rPr>
          <w:bCs/>
        </w:rPr>
        <w:t xml:space="preserve"> Stebėsenos metu nustatyta, kad grupės ieškinio institutu praktikoje buvo bandyta pasinaudoti vos kelis kartus ir iš esmės visi atvejai buvo nesėkmingi, t. y. ieškinius atsisakyta priimti, nustatytas terminas trūkumams šalinti ir pan. Priežastys, dėl kurių grupės ieškiniai nebuvo pradėti nagrinėti teismuose, buvo įvairios: </w:t>
      </w:r>
      <w:r>
        <w:t xml:space="preserve">konstatuota, kad ieškinys grindžiamas skirtingomis faktinėmis aplinkybėmis ir netapataus pobūdžio materialinėmis teisės normomis; ieškovai nepasinaudojo išankstine ginčo sprendimo ne teisme tvarka; </w:t>
      </w:r>
      <w:r w:rsidRPr="00A25C11">
        <w:t>nesilaikyta grupės ieškinio bylų teismingumo taisykl</w:t>
      </w:r>
      <w:r>
        <w:t xml:space="preserve">ių ir kt. </w:t>
      </w:r>
      <w:r w:rsidR="0023322A">
        <w:t>T</w:t>
      </w:r>
      <w:r>
        <w:t xml:space="preserve">eisingumo ministerijos </w:t>
      </w:r>
      <w:r w:rsidR="00122FAC">
        <w:t xml:space="preserve">turimomis </w:t>
      </w:r>
      <w:r>
        <w:t xml:space="preserve">žiniomis, </w:t>
      </w:r>
      <w:r w:rsidR="00122FAC">
        <w:t>šiuo metu</w:t>
      </w:r>
      <w:r>
        <w:t xml:space="preserve"> teismuose yra nagrinėjamos dvi grupės ieškinio bylos.</w:t>
      </w:r>
    </w:p>
    <w:p w:rsidR="003508C0" w:rsidRDefault="003508C0" w:rsidP="00122FAC">
      <w:pPr>
        <w:tabs>
          <w:tab w:val="left" w:pos="720"/>
          <w:tab w:val="left" w:pos="1080"/>
        </w:tabs>
        <w:ind w:firstLine="851"/>
        <w:jc w:val="both"/>
        <w:rPr>
          <w:bCs/>
        </w:rPr>
      </w:pPr>
      <w:r w:rsidRPr="00855F66">
        <w:rPr>
          <w:bCs/>
        </w:rPr>
        <w:t xml:space="preserve">Siekdama įvertinti, dėl kokių priežasčių grupės ieškinio institutas yra retai taikomas praktikoje, taip pat – kaip būtų galima paskatinti šalis naudotis šia procesine galimybe, </w:t>
      </w:r>
      <w:r>
        <w:rPr>
          <w:bCs/>
        </w:rPr>
        <w:t>T</w:t>
      </w:r>
      <w:r w:rsidRPr="00855F66">
        <w:rPr>
          <w:bCs/>
        </w:rPr>
        <w:t xml:space="preserve">eisingumo ministerija šį klausimą aptarė 2019 m. kovo 14 d. </w:t>
      </w:r>
      <w:r>
        <w:rPr>
          <w:bCs/>
        </w:rPr>
        <w:t xml:space="preserve">ir </w:t>
      </w:r>
      <w:r w:rsidRPr="00855F66">
        <w:rPr>
          <w:bCs/>
        </w:rPr>
        <w:t xml:space="preserve">2019 m. gegužės 16 d. </w:t>
      </w:r>
      <w:r>
        <w:rPr>
          <w:bCs/>
        </w:rPr>
        <w:t>vykusiuose</w:t>
      </w:r>
      <w:r w:rsidRPr="00855F66">
        <w:rPr>
          <w:bCs/>
        </w:rPr>
        <w:t xml:space="preserve"> Lietuvos Respublikos civilinio proceso kode</w:t>
      </w:r>
      <w:r>
        <w:rPr>
          <w:bCs/>
        </w:rPr>
        <w:t xml:space="preserve">kso priežiūros komiteto posėdžiuose. </w:t>
      </w:r>
      <w:r w:rsidRPr="00855F66">
        <w:rPr>
          <w:bCs/>
        </w:rPr>
        <w:t xml:space="preserve">2019 m. balandžio mėn. buvo </w:t>
      </w:r>
      <w:r>
        <w:rPr>
          <w:bCs/>
        </w:rPr>
        <w:t xml:space="preserve">vykdomos </w:t>
      </w:r>
      <w:r w:rsidRPr="003508C0">
        <w:rPr>
          <w:bCs/>
        </w:rPr>
        <w:t>viešosios konsultacijos</w:t>
      </w:r>
      <w:r w:rsidRPr="00855F66">
        <w:rPr>
          <w:bCs/>
        </w:rPr>
        <w:t xml:space="preserve"> su suinteresuotais subjektais ir socialiniais-ekonominiais partneriais: teisėjų, advokatų atstovais, verslo organizacijomis ir vartotojų organizacijomis.</w:t>
      </w:r>
      <w:r w:rsidRPr="00855F66">
        <w:t xml:space="preserve"> </w:t>
      </w:r>
      <w:r>
        <w:t xml:space="preserve">Įvertinus </w:t>
      </w:r>
      <w:r>
        <w:rPr>
          <w:bCs/>
        </w:rPr>
        <w:t>v</w:t>
      </w:r>
      <w:r w:rsidRPr="00855F66">
        <w:rPr>
          <w:bCs/>
        </w:rPr>
        <w:t xml:space="preserve">iešųjų konsultacijų </w:t>
      </w:r>
      <w:r>
        <w:rPr>
          <w:bCs/>
        </w:rPr>
        <w:t xml:space="preserve">metu gautus pasiūlymus, </w:t>
      </w:r>
      <w:r w:rsidRPr="00855F66">
        <w:rPr>
          <w:bCs/>
        </w:rPr>
        <w:t>apsispręsta dėl grupės ieškinio instituto tobulinimo krypčių.</w:t>
      </w:r>
    </w:p>
    <w:p w:rsidR="00B11890" w:rsidRDefault="00ED5B06" w:rsidP="00122FAC">
      <w:pPr>
        <w:tabs>
          <w:tab w:val="left" w:pos="720"/>
          <w:tab w:val="left" w:pos="1080"/>
        </w:tabs>
        <w:ind w:firstLine="851"/>
        <w:jc w:val="both"/>
      </w:pPr>
      <w:r w:rsidRPr="00ED5B06">
        <w:t xml:space="preserve">Lietuvos Respublikos civilinio proceso kodekso </w:t>
      </w:r>
      <w:r w:rsidR="00A41804">
        <w:t xml:space="preserve">56, </w:t>
      </w:r>
      <w:r w:rsidRPr="00ED5B06">
        <w:t xml:space="preserve">93, </w:t>
      </w:r>
      <w:r w:rsidR="00A41804">
        <w:t xml:space="preserve">268, </w:t>
      </w:r>
      <w:r w:rsidRPr="00ED5B06">
        <w:t>306, 441</w:t>
      </w:r>
      <w:r w:rsidRPr="00ED5B06">
        <w:rPr>
          <w:vertAlign w:val="superscript"/>
        </w:rPr>
        <w:t>1</w:t>
      </w:r>
      <w:r w:rsidRPr="00ED5B06">
        <w:t>, 441</w:t>
      </w:r>
      <w:r w:rsidRPr="00ED5B06">
        <w:rPr>
          <w:vertAlign w:val="superscript"/>
        </w:rPr>
        <w:t>3</w:t>
      </w:r>
      <w:r w:rsidRPr="00ED5B06">
        <w:t>, 441</w:t>
      </w:r>
      <w:r w:rsidRPr="00ED5B06">
        <w:rPr>
          <w:vertAlign w:val="superscript"/>
        </w:rPr>
        <w:t>4</w:t>
      </w:r>
      <w:r w:rsidRPr="00ED5B06">
        <w:t>, 441</w:t>
      </w:r>
      <w:r w:rsidRPr="00ED5B06">
        <w:rPr>
          <w:vertAlign w:val="superscript"/>
        </w:rPr>
        <w:t>6</w:t>
      </w:r>
      <w:r w:rsidRPr="00ED5B06">
        <w:t>, 441</w:t>
      </w:r>
      <w:r w:rsidRPr="00ED5B06">
        <w:rPr>
          <w:vertAlign w:val="superscript"/>
        </w:rPr>
        <w:t>7</w:t>
      </w:r>
      <w:r w:rsidRPr="00ED5B06">
        <w:t>, 441</w:t>
      </w:r>
      <w:r w:rsidRPr="00ED5B06">
        <w:rPr>
          <w:vertAlign w:val="superscript"/>
        </w:rPr>
        <w:t>8</w:t>
      </w:r>
      <w:r w:rsidRPr="00ED5B06">
        <w:t>, 441</w:t>
      </w:r>
      <w:r w:rsidRPr="00ED5B06">
        <w:rPr>
          <w:vertAlign w:val="superscript"/>
        </w:rPr>
        <w:t>9</w:t>
      </w:r>
      <w:r w:rsidRPr="00ED5B06">
        <w:t>, 441</w:t>
      </w:r>
      <w:r w:rsidRPr="00ED5B06">
        <w:rPr>
          <w:vertAlign w:val="superscript"/>
        </w:rPr>
        <w:t>11</w:t>
      </w:r>
      <w:r w:rsidRPr="00ED5B06">
        <w:t>, 441</w:t>
      </w:r>
      <w:r w:rsidRPr="00ED5B06">
        <w:rPr>
          <w:vertAlign w:val="superscript"/>
        </w:rPr>
        <w:t>13</w:t>
      </w:r>
      <w:r w:rsidRPr="00ED5B06">
        <w:t xml:space="preserve"> ir 441</w:t>
      </w:r>
      <w:r w:rsidRPr="00ED5B06">
        <w:rPr>
          <w:vertAlign w:val="superscript"/>
        </w:rPr>
        <w:t>16</w:t>
      </w:r>
      <w:r w:rsidRPr="00ED5B06">
        <w:t xml:space="preserve"> straipsnių pakeitimo įstatymo</w:t>
      </w:r>
      <w:r w:rsidR="00AB1632">
        <w:t xml:space="preserve"> projektu (toliau – CPK pakeitimo projektas)</w:t>
      </w:r>
      <w:r w:rsidRPr="00ED5B06">
        <w:t xml:space="preserve"> ir </w:t>
      </w:r>
      <w:r w:rsidR="001B3EBC">
        <w:t xml:space="preserve">Lietuvos Respublikos vartotojų teisių apsaugos įstatymo Nr. I-657 </w:t>
      </w:r>
      <w:r w:rsidR="003508C0">
        <w:t xml:space="preserve">12, </w:t>
      </w:r>
      <w:r w:rsidR="001B3EBC">
        <w:t xml:space="preserve">13, </w:t>
      </w:r>
      <w:r w:rsidR="003508C0">
        <w:t xml:space="preserve">22, </w:t>
      </w:r>
      <w:r w:rsidR="001B3EBC" w:rsidRPr="00FA3FD3">
        <w:rPr>
          <w:color w:val="000000"/>
        </w:rPr>
        <w:t>22</w:t>
      </w:r>
      <w:r w:rsidR="001B3EBC" w:rsidRPr="00FA3FD3">
        <w:rPr>
          <w:color w:val="000000"/>
          <w:vertAlign w:val="superscript"/>
        </w:rPr>
        <w:t>1</w:t>
      </w:r>
      <w:r w:rsidR="001B3EBC" w:rsidRPr="00FA3FD3">
        <w:rPr>
          <w:color w:val="000000"/>
        </w:rPr>
        <w:t>, 22</w:t>
      </w:r>
      <w:r w:rsidR="001B3EBC" w:rsidRPr="00FA3FD3">
        <w:rPr>
          <w:color w:val="000000"/>
          <w:vertAlign w:val="superscript"/>
        </w:rPr>
        <w:t>2</w:t>
      </w:r>
      <w:r w:rsidR="001B3EBC" w:rsidRPr="00FA3FD3">
        <w:rPr>
          <w:color w:val="000000"/>
        </w:rPr>
        <w:t xml:space="preserve">, </w:t>
      </w:r>
      <w:r w:rsidR="001B3EBC">
        <w:t xml:space="preserve">30 ir 34 straipsnių pakeitimo, 31, 35 straipsnių pripažinimo netekusiais galios ir Įstatymo papildymo </w:t>
      </w:r>
      <w:r w:rsidR="001B3EBC" w:rsidRPr="006958D4">
        <w:t>13</w:t>
      </w:r>
      <w:r w:rsidR="001B3EBC">
        <w:rPr>
          <w:vertAlign w:val="superscript"/>
        </w:rPr>
        <w:t>1</w:t>
      </w:r>
      <w:r w:rsidR="001B3EBC">
        <w:t xml:space="preserve"> straipsniu </w:t>
      </w:r>
      <w:r w:rsidR="001B3EBC" w:rsidRPr="006958D4">
        <w:t>įstatymo</w:t>
      </w:r>
      <w:r w:rsidRPr="00ED5B06">
        <w:t xml:space="preserve"> </w:t>
      </w:r>
      <w:r w:rsidR="00AB1632">
        <w:t>projektu (toliau – Vartotojų teisių apsaugos įstatymo pakeitimo projektas)</w:t>
      </w:r>
      <w:r w:rsidRPr="00ED5B06">
        <w:t xml:space="preserve"> (toliau kartu – įstatymų projektai)</w:t>
      </w:r>
      <w:r>
        <w:t xml:space="preserve"> siekiama </w:t>
      </w:r>
      <w:r w:rsidRPr="00ED5B06">
        <w:t>tobulinti grupės ieškinio instituto civiliniame procese teisinį reguliavimą, atsisakant perteklinių ribojimų, siekiant greitesnio, efekty</w:t>
      </w:r>
      <w:r>
        <w:t>vesnio ir patrauklesnio proceso, taip pat sudarant palankesnes sąlygas teikti grupės ieškinius bylose, kylančiose iš vartojimo teisinių santykių.</w:t>
      </w:r>
    </w:p>
    <w:p w:rsidR="00833C11" w:rsidRDefault="00833C11" w:rsidP="00122FAC">
      <w:pPr>
        <w:tabs>
          <w:tab w:val="left" w:pos="720"/>
          <w:tab w:val="left" w:pos="1080"/>
        </w:tabs>
        <w:ind w:firstLine="851"/>
        <w:jc w:val="both"/>
      </w:pPr>
      <w:r w:rsidRPr="00122A3F">
        <w:t xml:space="preserve">Kiekvienais metais vartotojų asociacijomis skiriama valstybės finansinė parama, tačiau iki šiol ši parama iš esmės nebuvo naudojama vartotojų viešojo intereso gynimui, grupės ieškinių rengimui, siekiant apginti vartotojus, ir vartojimo ginčų neteisminio sprendimo organizavimui. Todėl </w:t>
      </w:r>
      <w:r w:rsidR="00553BF6">
        <w:t>Vartotojų teisių apsaugos įstatymo pakeitimo</w:t>
      </w:r>
      <w:r w:rsidR="00553BF6" w:rsidRPr="00122A3F">
        <w:t xml:space="preserve"> </w:t>
      </w:r>
      <w:r w:rsidR="00553BF6">
        <w:t xml:space="preserve">projektu </w:t>
      </w:r>
      <w:r w:rsidRPr="00122A3F">
        <w:t>siūloma pakeisti vartotojų asociacijų finansavimo modelį, siekiant efektyvesnio valstyb</w:t>
      </w:r>
      <w:r w:rsidR="00105042">
        <w:t>ės lėšų panaudojimo, visų pirma</w:t>
      </w:r>
      <w:r w:rsidRPr="00122A3F">
        <w:t xml:space="preserve"> sudarant sąlygas vartotojų asociacijoms organizuoti vartojimo ginčų komisijų veiklą ir jas techniškai aptarnauti. Tai leistų padidinti vartotojų asociacijų administracinius gebėjimus ir sumažinti Valstybinės vartotojų teisių apsaugos tarnybos krūvį, nagrinėjant vartojimo ginčus neteismine tvarka</w:t>
      </w:r>
      <w:r w:rsidRPr="00122A3F">
        <w:rPr>
          <w:rStyle w:val="Puslapioinaosnuoroda"/>
        </w:rPr>
        <w:footnoteReference w:id="1"/>
      </w:r>
      <w:r w:rsidRPr="00122A3F">
        <w:t>.</w:t>
      </w:r>
    </w:p>
    <w:p w:rsidR="0001176E" w:rsidRPr="00122FAC" w:rsidRDefault="0001176E" w:rsidP="00122FAC">
      <w:pPr>
        <w:tabs>
          <w:tab w:val="left" w:pos="720"/>
          <w:tab w:val="left" w:pos="1080"/>
        </w:tabs>
        <w:ind w:firstLine="851"/>
        <w:jc w:val="both"/>
        <w:rPr>
          <w:bCs/>
        </w:rPr>
      </w:pPr>
      <w:r w:rsidRPr="00616D79">
        <w:t>Be to, Lietuvos Respublikos Konstitucinio Teismo 2018 m. gruodžio 14 d. ir 2019 m. kovo 1 d. nuta</w:t>
      </w:r>
      <w:r>
        <w:t xml:space="preserve">rimais </w:t>
      </w:r>
      <w:r w:rsidRPr="00616D79">
        <w:t xml:space="preserve">atitinkamai </w:t>
      </w:r>
      <w:r w:rsidR="00105042">
        <w:t>CPK</w:t>
      </w:r>
      <w:r w:rsidR="0023322A">
        <w:t xml:space="preserve"> </w:t>
      </w:r>
      <w:r w:rsidRPr="00616D79">
        <w:t xml:space="preserve">93 straipsnio 6 dalies </w:t>
      </w:r>
      <w:r w:rsidR="00D17990">
        <w:t xml:space="preserve">(dėl bylinėjimosi išlaidų paskirstymo) </w:t>
      </w:r>
      <w:r w:rsidRPr="00616D79">
        <w:t xml:space="preserve">ir 306 straipsnio 3 dalies </w:t>
      </w:r>
      <w:r w:rsidR="00D17990">
        <w:t xml:space="preserve">(dėl atstovavimo apeliaciniame procese) </w:t>
      </w:r>
      <w:r w:rsidRPr="00616D79">
        <w:t xml:space="preserve">nuostatos buvo pripažintos </w:t>
      </w:r>
      <w:r w:rsidRPr="00616D79">
        <w:lastRenderedPageBreak/>
        <w:t xml:space="preserve">prieštaraujančiomis </w:t>
      </w:r>
      <w:r w:rsidR="000924B8">
        <w:t xml:space="preserve">Lietuvos Respublikos </w:t>
      </w:r>
      <w:r w:rsidRPr="00616D79">
        <w:t>Konstitucijai.</w:t>
      </w:r>
      <w:r>
        <w:t xml:space="preserve"> Taigi </w:t>
      </w:r>
      <w:r w:rsidRPr="00616D79">
        <w:t xml:space="preserve">siūlomais </w:t>
      </w:r>
      <w:r>
        <w:t>CPK</w:t>
      </w:r>
      <w:r w:rsidRPr="00616D79">
        <w:t xml:space="preserve"> pakeitimais </w:t>
      </w:r>
      <w:r>
        <w:t xml:space="preserve">taip pat </w:t>
      </w:r>
      <w:r w:rsidRPr="00616D79">
        <w:t>siekiama įgyvendinti</w:t>
      </w:r>
      <w:r>
        <w:t xml:space="preserve"> šiuos </w:t>
      </w:r>
      <w:r w:rsidRPr="00616D79">
        <w:t xml:space="preserve">Konstitucinio Teismo </w:t>
      </w:r>
      <w:r>
        <w:t>nutarimus.</w:t>
      </w:r>
    </w:p>
    <w:p w:rsidR="00F41D2E" w:rsidRPr="00E12EF1" w:rsidRDefault="00F41D2E" w:rsidP="00964FBC">
      <w:pPr>
        <w:tabs>
          <w:tab w:val="left" w:pos="720"/>
          <w:tab w:val="left" w:pos="1080"/>
        </w:tabs>
        <w:ind w:left="720" w:firstLine="851"/>
        <w:jc w:val="both"/>
        <w:rPr>
          <w:bCs/>
        </w:rPr>
      </w:pPr>
    </w:p>
    <w:p w:rsidR="00D30D08" w:rsidRPr="00E12EF1" w:rsidRDefault="00D30D08" w:rsidP="00964FBC">
      <w:pPr>
        <w:tabs>
          <w:tab w:val="left" w:pos="720"/>
          <w:tab w:val="left" w:pos="1080"/>
        </w:tabs>
        <w:ind w:firstLine="851"/>
        <w:jc w:val="both"/>
        <w:rPr>
          <w:b/>
        </w:rPr>
      </w:pPr>
      <w:r w:rsidRPr="00E12EF1">
        <w:rPr>
          <w:b/>
          <w:bCs/>
        </w:rPr>
        <w:t xml:space="preserve">2. </w:t>
      </w:r>
      <w:r w:rsidR="00473070" w:rsidRPr="00E12EF1">
        <w:rPr>
          <w:b/>
        </w:rPr>
        <w:t>Įstatymo projekto</w:t>
      </w:r>
      <w:r w:rsidRPr="00E12EF1">
        <w:rPr>
          <w:b/>
        </w:rPr>
        <w:t xml:space="preserve"> iniciatoriai (institucija, asmenys ar piliečių įgalioti atstovai) ir rengėjai</w:t>
      </w:r>
    </w:p>
    <w:p w:rsidR="00D30D08" w:rsidRPr="00E12EF1" w:rsidRDefault="00C11A4D" w:rsidP="00964FBC">
      <w:pPr>
        <w:tabs>
          <w:tab w:val="left" w:pos="720"/>
          <w:tab w:val="left" w:pos="1080"/>
        </w:tabs>
        <w:ind w:firstLine="851"/>
        <w:jc w:val="both"/>
        <w:rPr>
          <w:bCs/>
        </w:rPr>
      </w:pPr>
      <w:r w:rsidRPr="00E12EF1">
        <w:rPr>
          <w:bCs/>
        </w:rPr>
        <w:t>Įstatymų</w:t>
      </w:r>
      <w:r w:rsidR="00CF27A5" w:rsidRPr="00E12EF1">
        <w:rPr>
          <w:bCs/>
        </w:rPr>
        <w:t xml:space="preserve"> proj</w:t>
      </w:r>
      <w:r w:rsidRPr="00E12EF1">
        <w:rPr>
          <w:bCs/>
        </w:rPr>
        <w:t>ektus</w:t>
      </w:r>
      <w:r w:rsidR="00D30D08" w:rsidRPr="00E12EF1">
        <w:rPr>
          <w:bCs/>
        </w:rPr>
        <w:t xml:space="preserve"> </w:t>
      </w:r>
      <w:r w:rsidR="00DE0BB0" w:rsidRPr="00E12EF1">
        <w:rPr>
          <w:bCs/>
        </w:rPr>
        <w:t xml:space="preserve">parengė </w:t>
      </w:r>
      <w:r w:rsidR="00CB1B9A">
        <w:rPr>
          <w:bCs/>
        </w:rPr>
        <w:t>T</w:t>
      </w:r>
      <w:r w:rsidR="0059436A">
        <w:rPr>
          <w:bCs/>
        </w:rPr>
        <w:t>eisingumo ministerija</w:t>
      </w:r>
      <w:r w:rsidR="00DE0BB0" w:rsidRPr="00E12EF1">
        <w:rPr>
          <w:bCs/>
        </w:rPr>
        <w:t>.</w:t>
      </w:r>
    </w:p>
    <w:p w:rsidR="00D30D08" w:rsidRPr="00E12EF1" w:rsidRDefault="00D30D08" w:rsidP="00964FBC">
      <w:pPr>
        <w:tabs>
          <w:tab w:val="left" w:pos="720"/>
          <w:tab w:val="left" w:pos="1080"/>
        </w:tabs>
        <w:ind w:firstLine="851"/>
        <w:jc w:val="both"/>
        <w:rPr>
          <w:bCs/>
        </w:rPr>
      </w:pPr>
    </w:p>
    <w:p w:rsidR="00D30D08" w:rsidRPr="00E12EF1" w:rsidRDefault="00D30D08" w:rsidP="00964FBC">
      <w:pPr>
        <w:tabs>
          <w:tab w:val="left" w:pos="720"/>
          <w:tab w:val="left" w:pos="1080"/>
        </w:tabs>
        <w:ind w:firstLine="851"/>
        <w:jc w:val="both"/>
        <w:rPr>
          <w:b/>
        </w:rPr>
      </w:pPr>
      <w:r w:rsidRPr="00E12EF1">
        <w:rPr>
          <w:b/>
          <w:bCs/>
        </w:rPr>
        <w:t>3.</w:t>
      </w:r>
      <w:r w:rsidRPr="00E12EF1">
        <w:rPr>
          <w:bCs/>
        </w:rPr>
        <w:t xml:space="preserve"> </w:t>
      </w:r>
      <w:r w:rsidR="00473070" w:rsidRPr="00E12EF1">
        <w:rPr>
          <w:b/>
        </w:rPr>
        <w:t>Dabartinis Įstatymo projekte</w:t>
      </w:r>
      <w:r w:rsidRPr="00E12EF1">
        <w:rPr>
          <w:b/>
        </w:rPr>
        <w:t xml:space="preserve"> aptartų teisinių santykių reguliavimas</w:t>
      </w:r>
    </w:p>
    <w:p w:rsidR="00241F3B" w:rsidRDefault="00241F3B" w:rsidP="00964FBC">
      <w:pPr>
        <w:pStyle w:val="HTMLiankstoformatuotas"/>
        <w:ind w:firstLine="851"/>
        <w:jc w:val="both"/>
        <w:rPr>
          <w:rFonts w:ascii="Times New Roman" w:hAnsi="Times New Roman" w:cs="Times New Roman"/>
          <w:sz w:val="24"/>
          <w:szCs w:val="24"/>
        </w:rPr>
      </w:pPr>
      <w:r w:rsidRPr="00241F3B">
        <w:rPr>
          <w:rFonts w:ascii="Times New Roman" w:hAnsi="Times New Roman" w:cs="Times New Roman"/>
          <w:sz w:val="24"/>
          <w:szCs w:val="24"/>
        </w:rPr>
        <w:t xml:space="preserve">Grupės ieškinio institutą </w:t>
      </w:r>
      <w:r w:rsidR="0023322A">
        <w:rPr>
          <w:rFonts w:ascii="Times New Roman" w:hAnsi="Times New Roman" w:cs="Times New Roman"/>
          <w:sz w:val="24"/>
          <w:szCs w:val="24"/>
        </w:rPr>
        <w:t>reglamentuoja</w:t>
      </w:r>
      <w:r w:rsidRPr="00241F3B">
        <w:rPr>
          <w:rFonts w:ascii="Times New Roman" w:hAnsi="Times New Roman" w:cs="Times New Roman"/>
          <w:sz w:val="24"/>
          <w:szCs w:val="24"/>
        </w:rPr>
        <w:t xml:space="preserve"> </w:t>
      </w:r>
      <w:r w:rsidR="0023322A">
        <w:rPr>
          <w:rFonts w:ascii="Times New Roman" w:hAnsi="Times New Roman" w:cs="Times New Roman"/>
          <w:sz w:val="24"/>
          <w:szCs w:val="24"/>
        </w:rPr>
        <w:t xml:space="preserve">CPK </w:t>
      </w:r>
      <w:r w:rsidRPr="00241F3B">
        <w:rPr>
          <w:rFonts w:ascii="Times New Roman" w:hAnsi="Times New Roman" w:cs="Times New Roman"/>
          <w:sz w:val="24"/>
          <w:szCs w:val="24"/>
        </w:rPr>
        <w:t>XXIV</w:t>
      </w:r>
      <w:r w:rsidRPr="00241F3B">
        <w:rPr>
          <w:rFonts w:ascii="Times New Roman" w:hAnsi="Times New Roman" w:cs="Times New Roman"/>
          <w:sz w:val="24"/>
          <w:szCs w:val="24"/>
          <w:vertAlign w:val="superscript"/>
        </w:rPr>
        <w:t>1</w:t>
      </w:r>
      <w:r w:rsidRPr="00241F3B">
        <w:rPr>
          <w:rFonts w:ascii="Times New Roman" w:hAnsi="Times New Roman" w:cs="Times New Roman"/>
          <w:sz w:val="24"/>
          <w:szCs w:val="24"/>
        </w:rPr>
        <w:t xml:space="preserve"> skyrius.</w:t>
      </w:r>
      <w:r w:rsidR="009446DD">
        <w:rPr>
          <w:rFonts w:ascii="Times New Roman" w:hAnsi="Times New Roman" w:cs="Times New Roman"/>
          <w:sz w:val="24"/>
          <w:szCs w:val="24"/>
        </w:rPr>
        <w:t xml:space="preserve"> </w:t>
      </w:r>
      <w:r w:rsidR="0023322A">
        <w:rPr>
          <w:rFonts w:ascii="Times New Roman" w:hAnsi="Times New Roman" w:cs="Times New Roman"/>
          <w:sz w:val="24"/>
          <w:szCs w:val="24"/>
        </w:rPr>
        <w:t>Jame</w:t>
      </w:r>
      <w:r w:rsidR="009446DD">
        <w:rPr>
          <w:rFonts w:ascii="Times New Roman" w:hAnsi="Times New Roman" w:cs="Times New Roman"/>
          <w:sz w:val="24"/>
          <w:szCs w:val="24"/>
        </w:rPr>
        <w:t xml:space="preserve"> nustat</w:t>
      </w:r>
      <w:r w:rsidR="0023322A">
        <w:rPr>
          <w:rFonts w:ascii="Times New Roman" w:hAnsi="Times New Roman" w:cs="Times New Roman"/>
          <w:sz w:val="24"/>
          <w:szCs w:val="24"/>
        </w:rPr>
        <w:t>yti</w:t>
      </w:r>
      <w:r w:rsidR="009446DD">
        <w:rPr>
          <w:rFonts w:ascii="Times New Roman" w:hAnsi="Times New Roman" w:cs="Times New Roman"/>
          <w:sz w:val="24"/>
          <w:szCs w:val="24"/>
        </w:rPr>
        <w:t xml:space="preserve"> toki</w:t>
      </w:r>
      <w:r w:rsidR="0023322A">
        <w:rPr>
          <w:rFonts w:ascii="Times New Roman" w:hAnsi="Times New Roman" w:cs="Times New Roman"/>
          <w:sz w:val="24"/>
          <w:szCs w:val="24"/>
        </w:rPr>
        <w:t>e</w:t>
      </w:r>
      <w:r w:rsidR="009446DD">
        <w:rPr>
          <w:rFonts w:ascii="Times New Roman" w:hAnsi="Times New Roman" w:cs="Times New Roman"/>
          <w:sz w:val="24"/>
          <w:szCs w:val="24"/>
        </w:rPr>
        <w:t xml:space="preserve"> grupės ieškinio bylų nagrinėjimo ypatum</w:t>
      </w:r>
      <w:r w:rsidR="0023322A">
        <w:rPr>
          <w:rFonts w:ascii="Times New Roman" w:hAnsi="Times New Roman" w:cs="Times New Roman"/>
          <w:sz w:val="24"/>
          <w:szCs w:val="24"/>
        </w:rPr>
        <w:t>ai</w:t>
      </w:r>
      <w:r w:rsidR="009446DD">
        <w:rPr>
          <w:rFonts w:ascii="Times New Roman" w:hAnsi="Times New Roman" w:cs="Times New Roman"/>
          <w:sz w:val="24"/>
          <w:szCs w:val="24"/>
        </w:rPr>
        <w:t>:</w:t>
      </w:r>
    </w:p>
    <w:p w:rsidR="009446DD" w:rsidRDefault="009446DD" w:rsidP="009446DD">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xml:space="preserve">- nustatoma pareiga ieškovui pagrįsti, o teismui – įvertinti, ar </w:t>
      </w:r>
      <w:r w:rsidRPr="009446DD">
        <w:rPr>
          <w:rFonts w:ascii="Times New Roman" w:hAnsi="Times New Roman" w:cs="Times New Roman"/>
          <w:sz w:val="24"/>
          <w:szCs w:val="24"/>
        </w:rPr>
        <w:t>grupės ieškinys yra tikslingesnis, efektyvesnis ir tinkamesnis būdas išspręsti konkretų ginčą negu individualūs ieškiniai</w:t>
      </w:r>
      <w:r>
        <w:rPr>
          <w:rFonts w:ascii="Times New Roman" w:hAnsi="Times New Roman" w:cs="Times New Roman"/>
          <w:sz w:val="24"/>
          <w:szCs w:val="24"/>
        </w:rPr>
        <w:t>;</w:t>
      </w:r>
    </w:p>
    <w:p w:rsidR="009446DD" w:rsidRDefault="009446DD" w:rsidP="009446DD">
      <w:pPr>
        <w:pStyle w:val="HTMLiankstoformatuotas"/>
        <w:ind w:firstLine="851"/>
        <w:jc w:val="both"/>
        <w:rPr>
          <w:rFonts w:ascii="Times New Roman" w:hAnsi="Times New Roman" w:cs="Times New Roman"/>
          <w:sz w:val="24"/>
        </w:rPr>
      </w:pPr>
      <w:r>
        <w:rPr>
          <w:rFonts w:ascii="Times New Roman" w:hAnsi="Times New Roman" w:cs="Times New Roman"/>
          <w:sz w:val="24"/>
          <w:szCs w:val="24"/>
        </w:rPr>
        <w:t xml:space="preserve">- numatoma, kad grupės atstove, be kita ko, </w:t>
      </w:r>
      <w:r w:rsidRPr="00712978">
        <w:rPr>
          <w:rFonts w:ascii="Times New Roman" w:hAnsi="Times New Roman" w:cs="Times New Roman"/>
          <w:sz w:val="24"/>
        </w:rPr>
        <w:t xml:space="preserve">gali būti asociacija arba profesinė sąjunga, kai grupės </w:t>
      </w:r>
      <w:r w:rsidR="0023322A">
        <w:rPr>
          <w:rFonts w:ascii="Times New Roman" w:hAnsi="Times New Roman" w:cs="Times New Roman"/>
          <w:sz w:val="24"/>
        </w:rPr>
        <w:t>ieškiniu reiškiami reikalavimai</w:t>
      </w:r>
      <w:r w:rsidRPr="00712978">
        <w:rPr>
          <w:rFonts w:ascii="Times New Roman" w:hAnsi="Times New Roman" w:cs="Times New Roman"/>
          <w:sz w:val="24"/>
        </w:rPr>
        <w:t xml:space="preserve"> kyla iš teisinių santykių, tiesiogiai susijusių su asociacijos arba profesinės sąjungos veiklos tikslais ir sritimi, ir kai ne mažiau kaip dešimt grupės narių yra asociacijos arba profesinės sąjungos nariai. Šiuo atveju grupės nariais gali būti ne tik asociacijos arba profesinės sąjungos nariai, tačiau nagrinėjant bylą asociacija arba profesinė sąjunga atstovauja visų grupės narių interesams</w:t>
      </w:r>
      <w:r>
        <w:rPr>
          <w:rFonts w:ascii="Times New Roman" w:hAnsi="Times New Roman" w:cs="Times New Roman"/>
          <w:sz w:val="24"/>
        </w:rPr>
        <w:t>;</w:t>
      </w:r>
    </w:p>
    <w:p w:rsidR="009446DD" w:rsidRDefault="009446DD" w:rsidP="009446DD">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numatoma, kad teismas</w:t>
      </w:r>
      <w:r w:rsidRPr="009446DD">
        <w:rPr>
          <w:rFonts w:ascii="Times New Roman" w:hAnsi="Times New Roman" w:cs="Times New Roman"/>
          <w:sz w:val="24"/>
          <w:szCs w:val="24"/>
        </w:rPr>
        <w:t xml:space="preserve">, </w:t>
      </w:r>
      <w:r>
        <w:rPr>
          <w:rFonts w:ascii="Times New Roman" w:hAnsi="Times New Roman" w:cs="Times New Roman"/>
          <w:sz w:val="24"/>
          <w:szCs w:val="24"/>
        </w:rPr>
        <w:t xml:space="preserve">ieškinio priėmimo metu </w:t>
      </w:r>
      <w:r w:rsidRPr="009446DD">
        <w:rPr>
          <w:rFonts w:ascii="Times New Roman" w:hAnsi="Times New Roman" w:cs="Times New Roman"/>
          <w:sz w:val="24"/>
          <w:szCs w:val="24"/>
        </w:rPr>
        <w:t xml:space="preserve">spręsdamas, ar grupės ieškinys yra tikslingesnis, efektyvesnis ir tinkamesnis būdas išspręsti konkretų ginčą negu individualūs ieškiniai, pagal grupės atstovo pateiktą informaciją ir kitus teismui žinomus duomenis įvertina apibūdintą grupę, grupės ieškiniu ginamų pažeistų teisių ir įstatymų saugomų interesų pobūdį, bendro grupės reikalavimo ir individualaus pobūdžio turtinių grupės narių reikalavimų (jeigu jie reiškiami) santykį, individualaus pobūdžio turtinių grupės narių reikalavimų (jeigu jie reiškiami) dydį ir kitas aplinkybes. </w:t>
      </w:r>
      <w:r>
        <w:rPr>
          <w:rFonts w:ascii="Times New Roman" w:hAnsi="Times New Roman" w:cs="Times New Roman"/>
          <w:sz w:val="24"/>
          <w:szCs w:val="24"/>
        </w:rPr>
        <w:t>Be to, t</w:t>
      </w:r>
      <w:r w:rsidRPr="009446DD">
        <w:rPr>
          <w:rFonts w:ascii="Times New Roman" w:hAnsi="Times New Roman" w:cs="Times New Roman"/>
          <w:sz w:val="24"/>
          <w:szCs w:val="24"/>
        </w:rPr>
        <w:t>eismas, spręsdamas grupės atstovo tinkamumo klausimą, įvertina atstovo sąžiningumą, reputaciją, kompetenciją atstovauti grupei, atstovo patirtį kitose bylose dėl grupės ieškinio, jeigu grupės atstovas ją turi, jo procesinį elgesį nagrinėjant tokias bylas, ar nėra grupės atstovo ir grupės narių interesų konflikto</w:t>
      </w:r>
      <w:r w:rsidR="000924B8">
        <w:rPr>
          <w:rFonts w:ascii="Times New Roman" w:hAnsi="Times New Roman" w:cs="Times New Roman"/>
          <w:sz w:val="24"/>
          <w:szCs w:val="24"/>
        </w:rPr>
        <w:t xml:space="preserve">. Ieškinio priėmimo metu teismas taip pat įvertina, </w:t>
      </w:r>
      <w:r w:rsidR="000924B8" w:rsidRPr="000924B8">
        <w:rPr>
          <w:rFonts w:ascii="Times New Roman" w:hAnsi="Times New Roman" w:cs="Times New Roman"/>
          <w:sz w:val="24"/>
          <w:szCs w:val="24"/>
        </w:rPr>
        <w:t>ar pareikšti individualaus pobūdžio turtiniai reikalavimai yra susiję su grupės ieškinio dalyku ir pagrindu</w:t>
      </w:r>
      <w:r>
        <w:rPr>
          <w:rFonts w:ascii="Times New Roman" w:hAnsi="Times New Roman" w:cs="Times New Roman"/>
          <w:sz w:val="24"/>
          <w:szCs w:val="24"/>
        </w:rPr>
        <w:t>;</w:t>
      </w:r>
    </w:p>
    <w:p w:rsidR="009446DD" w:rsidRDefault="009446DD" w:rsidP="009446DD">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numatoma, kad, p</w:t>
      </w:r>
      <w:r w:rsidRPr="009446DD">
        <w:rPr>
          <w:rFonts w:ascii="Times New Roman" w:hAnsi="Times New Roman" w:cs="Times New Roman"/>
          <w:sz w:val="24"/>
          <w:szCs w:val="24"/>
        </w:rPr>
        <w:t>rieš priimdamas nutartį dėl grupė</w:t>
      </w:r>
      <w:r>
        <w:rPr>
          <w:rFonts w:ascii="Times New Roman" w:hAnsi="Times New Roman" w:cs="Times New Roman"/>
          <w:sz w:val="24"/>
          <w:szCs w:val="24"/>
        </w:rPr>
        <w:t>s ieškinio priėmimo, teismas</w:t>
      </w:r>
      <w:r w:rsidRPr="009446DD">
        <w:rPr>
          <w:rFonts w:ascii="Times New Roman" w:hAnsi="Times New Roman" w:cs="Times New Roman"/>
          <w:sz w:val="24"/>
          <w:szCs w:val="24"/>
        </w:rPr>
        <w:t xml:space="preserve"> išsiunčia atsakovui grupės ieškinio kopiją ir jam praneša, kad atsakovas gali pareikšti nuomonę per septynias dienas nuo šioje dalyje nurodytų dokumentų įtei</w:t>
      </w:r>
      <w:r>
        <w:rPr>
          <w:rFonts w:ascii="Times New Roman" w:hAnsi="Times New Roman" w:cs="Times New Roman"/>
          <w:sz w:val="24"/>
          <w:szCs w:val="24"/>
        </w:rPr>
        <w:t>kimo dienos;</w:t>
      </w:r>
    </w:p>
    <w:p w:rsidR="006D4518" w:rsidRDefault="006D4518" w:rsidP="009446DD">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xml:space="preserve">- įtvirtinama, kad teismo nutartis dėl ieškinio priėmimo </w:t>
      </w:r>
      <w:r w:rsidR="007E2A09">
        <w:rPr>
          <w:rFonts w:ascii="Times New Roman" w:hAnsi="Times New Roman" w:cs="Times New Roman"/>
          <w:sz w:val="24"/>
          <w:szCs w:val="24"/>
        </w:rPr>
        <w:t xml:space="preserve">ar atsisakymo jį priimti </w:t>
      </w:r>
      <w:r>
        <w:rPr>
          <w:rFonts w:ascii="Times New Roman" w:hAnsi="Times New Roman" w:cs="Times New Roman"/>
          <w:sz w:val="24"/>
          <w:szCs w:val="24"/>
        </w:rPr>
        <w:t>gali būti skundžiama atskiruoju skundu, tačiau kasacine tvarka neskundžiama;</w:t>
      </w:r>
    </w:p>
    <w:p w:rsidR="009446DD" w:rsidRDefault="009446DD" w:rsidP="009446DD">
      <w:pPr>
        <w:pStyle w:val="HTMLiankstoformatuotas"/>
        <w:ind w:firstLine="851"/>
        <w:jc w:val="both"/>
        <w:rPr>
          <w:rFonts w:ascii="Times New Roman" w:hAnsi="Times New Roman" w:cs="Times New Roman"/>
          <w:sz w:val="24"/>
        </w:rPr>
      </w:pPr>
      <w:r>
        <w:rPr>
          <w:rFonts w:ascii="Times New Roman" w:hAnsi="Times New Roman" w:cs="Times New Roman"/>
          <w:sz w:val="24"/>
          <w:szCs w:val="24"/>
        </w:rPr>
        <w:t xml:space="preserve">- nustatoma, kad </w:t>
      </w:r>
      <w:r>
        <w:rPr>
          <w:rFonts w:ascii="Times New Roman" w:hAnsi="Times New Roman" w:cs="Times New Roman"/>
          <w:sz w:val="24"/>
        </w:rPr>
        <w:t>u</w:t>
      </w:r>
      <w:r w:rsidRPr="00820782">
        <w:rPr>
          <w:rFonts w:ascii="Times New Roman" w:hAnsi="Times New Roman" w:cs="Times New Roman"/>
          <w:sz w:val="24"/>
        </w:rPr>
        <w:t>ž grupės ieškinį dėl grupės nariams bendro neturtinio reikalavimo mokamas penkių šimtų eurų žyminis mokestis. Šis žyminis mokestis grupės nariams tenka lygiomis dalimis.</w:t>
      </w:r>
    </w:p>
    <w:p w:rsidR="00CC56B3" w:rsidRDefault="00CC56B3" w:rsidP="009446DD">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CPK </w:t>
      </w:r>
      <w:r w:rsidR="000924B8">
        <w:rPr>
          <w:rFonts w:ascii="Times New Roman" w:hAnsi="Times New Roman" w:cs="Times New Roman"/>
          <w:sz w:val="24"/>
        </w:rPr>
        <w:t>93 straipsnio 6 dalis nustato, kad b</w:t>
      </w:r>
      <w:r w:rsidR="000924B8" w:rsidRPr="000924B8">
        <w:rPr>
          <w:rFonts w:ascii="Times New Roman" w:hAnsi="Times New Roman" w:cs="Times New Roman"/>
          <w:sz w:val="24"/>
        </w:rPr>
        <w:t xml:space="preserve">ylinėjimosi išlaidos, susidariusios dėl teismo kreipimosi į Konstitucinį Teismą ar kompetentingą Europos Sąjungos teisminę instituciją, taip pat dėl kreipimosi į administracinį teismą dėl norminio teisės akto teisėtumo, </w:t>
      </w:r>
      <w:r w:rsidR="000924B8" w:rsidRPr="00953E5A">
        <w:rPr>
          <w:rFonts w:ascii="Times New Roman" w:hAnsi="Times New Roman" w:cs="Times New Roman"/>
          <w:i/>
          <w:sz w:val="24"/>
        </w:rPr>
        <w:t>proceso dalyviams nepaskirstomos</w:t>
      </w:r>
      <w:r w:rsidR="000924B8" w:rsidRPr="000924B8">
        <w:rPr>
          <w:rFonts w:ascii="Times New Roman" w:hAnsi="Times New Roman" w:cs="Times New Roman"/>
          <w:sz w:val="24"/>
        </w:rPr>
        <w:t>.</w:t>
      </w:r>
      <w:r w:rsidR="000924B8">
        <w:rPr>
          <w:rFonts w:ascii="Times New Roman" w:hAnsi="Times New Roman" w:cs="Times New Roman"/>
          <w:sz w:val="24"/>
        </w:rPr>
        <w:t xml:space="preserve"> Ši nuostata </w:t>
      </w:r>
      <w:r w:rsidR="000924B8" w:rsidRPr="000924B8">
        <w:rPr>
          <w:rFonts w:ascii="Times New Roman" w:hAnsi="Times New Roman" w:cs="Times New Roman"/>
          <w:sz w:val="24"/>
        </w:rPr>
        <w:t>Konstitucinio Teismo 2018 m. gruodžio 14 d. nutarimu buvo pripažinta prieštaraujančia Konstitucijos 30 straipsnio 1 daliai, konstituciniams teisinės valstybės, teisingumo principams.</w:t>
      </w:r>
    </w:p>
    <w:p w:rsidR="000924B8" w:rsidRPr="000924B8" w:rsidRDefault="000924B8" w:rsidP="009446DD">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CPK 306 straipsnio 3 dalis nustato, kad </w:t>
      </w:r>
      <w:r w:rsidRPr="00953E5A">
        <w:rPr>
          <w:rFonts w:ascii="Times New Roman" w:hAnsi="Times New Roman" w:cs="Times New Roman"/>
          <w:i/>
          <w:sz w:val="24"/>
        </w:rPr>
        <w:t>apeliacinį skundą surašo advokatas</w:t>
      </w:r>
      <w:r w:rsidRPr="000924B8">
        <w:rPr>
          <w:rFonts w:ascii="Times New Roman" w:hAnsi="Times New Roman" w:cs="Times New Roman"/>
          <w:sz w:val="24"/>
        </w:rPr>
        <w:t xml:space="preserve">. Juridinio asmens apeliacinį skundą taip pat gali surašyti juridinio asmens darbuotojai ar valstybės tarnautojai, turintys aukštąjį universitetinį teisinį išsilavinimą. Jeigu apeliantas yra fizinis asmuo, turintis aukštąjį universitetinį teisinį išsilavinimą, surašyti apeliacinį skundą turi teisę jis pats. Be to, apeliacinį skundą gali surašyti </w:t>
      </w:r>
      <w:r>
        <w:rPr>
          <w:rFonts w:ascii="Times New Roman" w:hAnsi="Times New Roman" w:cs="Times New Roman"/>
          <w:sz w:val="24"/>
        </w:rPr>
        <w:t>CPK</w:t>
      </w:r>
      <w:r w:rsidRPr="000924B8">
        <w:rPr>
          <w:rFonts w:ascii="Times New Roman" w:hAnsi="Times New Roman" w:cs="Times New Roman"/>
          <w:sz w:val="24"/>
        </w:rPr>
        <w:t xml:space="preserve"> 56 straipsnio 1 dalies 4, 5, 6 ir 7 punktuose nurodyti asmenys. Apeliacinį skundą pasirašo jį paduodantis asmuo ir skundą surašęs asmuo.</w:t>
      </w:r>
      <w:r>
        <w:rPr>
          <w:rFonts w:ascii="Times New Roman" w:hAnsi="Times New Roman" w:cs="Times New Roman"/>
          <w:sz w:val="24"/>
        </w:rPr>
        <w:t xml:space="preserve"> Ši nuostata </w:t>
      </w:r>
      <w:r w:rsidRPr="000924B8">
        <w:rPr>
          <w:rFonts w:ascii="Times New Roman" w:hAnsi="Times New Roman" w:cs="Times New Roman"/>
          <w:sz w:val="24"/>
        </w:rPr>
        <w:t>Konstitucinio Teismo</w:t>
      </w:r>
      <w:r>
        <w:rPr>
          <w:rFonts w:ascii="Times New Roman" w:hAnsi="Times New Roman" w:cs="Times New Roman"/>
          <w:sz w:val="24"/>
        </w:rPr>
        <w:t xml:space="preserve"> 2019 m. kovo 1 d. nutarimu buvo pripažinta prieštaraujančia Konstitucijos 30 straipsnio 1 daliai, konstituciniam teisinės valstybės principui.</w:t>
      </w:r>
    </w:p>
    <w:p w:rsidR="00F81F8B" w:rsidRPr="00F81F8B" w:rsidRDefault="0023322A" w:rsidP="00F81F8B">
      <w:pPr>
        <w:pStyle w:val="HTMLiankstoformatuotas"/>
        <w:ind w:firstLine="851"/>
        <w:jc w:val="both"/>
        <w:rPr>
          <w:rFonts w:ascii="Times New Roman" w:hAnsi="Times New Roman" w:cs="Times New Roman"/>
          <w:color w:val="000000"/>
          <w:sz w:val="24"/>
          <w:szCs w:val="24"/>
        </w:rPr>
      </w:pPr>
      <w:r w:rsidRPr="00F81F8B">
        <w:rPr>
          <w:rFonts w:ascii="Times New Roman" w:hAnsi="Times New Roman" w:cs="Times New Roman"/>
          <w:sz w:val="24"/>
          <w:szCs w:val="24"/>
        </w:rPr>
        <w:lastRenderedPageBreak/>
        <w:t>Var</w:t>
      </w:r>
      <w:r w:rsidR="00F81F8B" w:rsidRPr="00F81F8B">
        <w:rPr>
          <w:rFonts w:ascii="Times New Roman" w:hAnsi="Times New Roman" w:cs="Times New Roman"/>
          <w:sz w:val="24"/>
          <w:szCs w:val="24"/>
        </w:rPr>
        <w:t xml:space="preserve">totojų teisių apsaugos įstatyme </w:t>
      </w:r>
      <w:r w:rsidRPr="00F81F8B">
        <w:rPr>
          <w:rFonts w:ascii="Times New Roman" w:hAnsi="Times New Roman" w:cs="Times New Roman"/>
          <w:sz w:val="24"/>
          <w:szCs w:val="24"/>
        </w:rPr>
        <w:t xml:space="preserve">nustatytos </w:t>
      </w:r>
      <w:r w:rsidR="00F81F8B" w:rsidRPr="00F81F8B">
        <w:rPr>
          <w:rFonts w:ascii="Times New Roman" w:hAnsi="Times New Roman" w:cs="Times New Roman"/>
          <w:sz w:val="24"/>
          <w:szCs w:val="24"/>
        </w:rPr>
        <w:t xml:space="preserve">vartotojų asociacijų teisės ir vaidmuo vartotojų teisių apsaugos sistemoje. </w:t>
      </w:r>
      <w:r w:rsidR="00CA3274">
        <w:rPr>
          <w:rFonts w:ascii="Times New Roman" w:hAnsi="Times New Roman" w:cs="Times New Roman"/>
          <w:sz w:val="24"/>
          <w:szCs w:val="24"/>
        </w:rPr>
        <w:t>Šiame įstatyme nustatyta v</w:t>
      </w:r>
      <w:r w:rsidR="00F81F8B" w:rsidRPr="00F81F8B">
        <w:rPr>
          <w:rFonts w:ascii="Times New Roman" w:hAnsi="Times New Roman" w:cs="Times New Roman"/>
          <w:sz w:val="24"/>
          <w:szCs w:val="24"/>
        </w:rPr>
        <w:t>artotojų asociacij</w:t>
      </w:r>
      <w:r w:rsidR="00CA3274">
        <w:rPr>
          <w:rFonts w:ascii="Times New Roman" w:hAnsi="Times New Roman" w:cs="Times New Roman"/>
          <w:sz w:val="24"/>
          <w:szCs w:val="24"/>
        </w:rPr>
        <w:t>ų</w:t>
      </w:r>
      <w:r w:rsidR="00F81F8B" w:rsidRPr="00F81F8B">
        <w:rPr>
          <w:rFonts w:ascii="Times New Roman" w:hAnsi="Times New Roman" w:cs="Times New Roman"/>
          <w:sz w:val="24"/>
          <w:szCs w:val="24"/>
        </w:rPr>
        <w:t xml:space="preserve"> </w:t>
      </w:r>
      <w:r w:rsidR="00F81F8B" w:rsidRPr="00F81F8B">
        <w:rPr>
          <w:rFonts w:ascii="Times New Roman" w:hAnsi="Times New Roman" w:cs="Times New Roman"/>
          <w:color w:val="000000"/>
          <w:sz w:val="24"/>
          <w:szCs w:val="24"/>
        </w:rPr>
        <w:t>teis</w:t>
      </w:r>
      <w:r w:rsidR="00CA3274">
        <w:rPr>
          <w:rFonts w:ascii="Times New Roman" w:hAnsi="Times New Roman" w:cs="Times New Roman"/>
          <w:color w:val="000000"/>
          <w:sz w:val="24"/>
          <w:szCs w:val="24"/>
        </w:rPr>
        <w:t>ė</w:t>
      </w:r>
      <w:r w:rsidR="00F81F8B" w:rsidRPr="00F81F8B">
        <w:rPr>
          <w:rFonts w:ascii="Times New Roman" w:hAnsi="Times New Roman" w:cs="Times New Roman"/>
          <w:color w:val="000000"/>
          <w:sz w:val="24"/>
          <w:szCs w:val="24"/>
        </w:rPr>
        <w:t xml:space="preserve"> ginti vartotojų viešąjį interesą, jei</w:t>
      </w:r>
      <w:r w:rsidR="00CA3274">
        <w:rPr>
          <w:rFonts w:ascii="Times New Roman" w:hAnsi="Times New Roman" w:cs="Times New Roman"/>
          <w:color w:val="000000"/>
          <w:sz w:val="24"/>
          <w:szCs w:val="24"/>
        </w:rPr>
        <w:t>gu</w:t>
      </w:r>
      <w:r w:rsidR="00F81F8B" w:rsidRPr="00F81F8B">
        <w:rPr>
          <w:rFonts w:ascii="Times New Roman" w:hAnsi="Times New Roman" w:cs="Times New Roman"/>
          <w:color w:val="000000"/>
          <w:sz w:val="24"/>
          <w:szCs w:val="24"/>
        </w:rPr>
        <w:t xml:space="preserve"> jos atitinka </w:t>
      </w:r>
      <w:r w:rsidR="00CA3274">
        <w:rPr>
          <w:rFonts w:ascii="Times New Roman" w:hAnsi="Times New Roman" w:cs="Times New Roman"/>
          <w:color w:val="000000"/>
          <w:sz w:val="24"/>
          <w:szCs w:val="24"/>
        </w:rPr>
        <w:t>visas šias</w:t>
      </w:r>
      <w:r w:rsidR="00CA3274">
        <w:rPr>
          <w:rFonts w:ascii="Times New Roman" w:hAnsi="Times New Roman" w:cs="Times New Roman"/>
          <w:sz w:val="24"/>
          <w:szCs w:val="24"/>
        </w:rPr>
        <w:t xml:space="preserve"> nustatytas </w:t>
      </w:r>
      <w:r w:rsidR="00F81F8B" w:rsidRPr="00F81F8B">
        <w:rPr>
          <w:rFonts w:ascii="Times New Roman" w:hAnsi="Times New Roman" w:cs="Times New Roman"/>
          <w:color w:val="000000"/>
          <w:sz w:val="24"/>
          <w:szCs w:val="24"/>
        </w:rPr>
        <w:t>sąlygas:</w:t>
      </w:r>
    </w:p>
    <w:p w:rsidR="00F81F8B" w:rsidRPr="00F81F8B" w:rsidRDefault="00F81F8B" w:rsidP="00F81F8B">
      <w:pPr>
        <w:pStyle w:val="HTMLiankstoformatuotas"/>
        <w:ind w:firstLine="851"/>
        <w:jc w:val="both"/>
        <w:rPr>
          <w:rFonts w:ascii="Times New Roman" w:hAnsi="Times New Roman" w:cs="Times New Roman"/>
          <w:color w:val="000000"/>
          <w:sz w:val="24"/>
          <w:szCs w:val="24"/>
        </w:rPr>
      </w:pPr>
      <w:r w:rsidRPr="00F81F8B">
        <w:rPr>
          <w:rFonts w:ascii="Times New Roman" w:hAnsi="Times New Roman" w:cs="Times New Roman"/>
          <w:color w:val="000000"/>
          <w:sz w:val="24"/>
          <w:szCs w:val="24"/>
        </w:rPr>
        <w:t>1) yra įregistruotos Juridinių asmenų registre;</w:t>
      </w:r>
    </w:p>
    <w:p w:rsidR="00F81F8B" w:rsidRPr="00F81F8B" w:rsidRDefault="00F81F8B" w:rsidP="00F81F8B">
      <w:pPr>
        <w:pStyle w:val="HTMLiankstoformatuotas"/>
        <w:ind w:firstLine="851"/>
        <w:jc w:val="both"/>
        <w:rPr>
          <w:rFonts w:ascii="Times New Roman" w:hAnsi="Times New Roman" w:cs="Times New Roman"/>
          <w:color w:val="000000"/>
          <w:sz w:val="24"/>
          <w:szCs w:val="24"/>
        </w:rPr>
      </w:pPr>
      <w:r w:rsidRPr="00F81F8B">
        <w:rPr>
          <w:rFonts w:ascii="Times New Roman" w:hAnsi="Times New Roman" w:cs="Times New Roman"/>
          <w:color w:val="000000"/>
          <w:sz w:val="24"/>
          <w:szCs w:val="24"/>
        </w:rPr>
        <w:t>2) steigimo dokumente yra nurodytas veiklos tikslas – vartotojų teisių ir teisėtų interesų atstovavimas ir gynimas;</w:t>
      </w:r>
    </w:p>
    <w:p w:rsidR="00F81F8B" w:rsidRPr="00CA3274" w:rsidRDefault="00F81F8B" w:rsidP="00F81F8B">
      <w:pPr>
        <w:pStyle w:val="HTMLiankstoformatuotas"/>
        <w:ind w:firstLine="851"/>
        <w:jc w:val="both"/>
        <w:rPr>
          <w:rFonts w:ascii="Times New Roman" w:hAnsi="Times New Roman" w:cs="Times New Roman"/>
          <w:color w:val="000000"/>
          <w:sz w:val="24"/>
          <w:szCs w:val="24"/>
        </w:rPr>
      </w:pPr>
      <w:r w:rsidRPr="00F81F8B">
        <w:rPr>
          <w:rFonts w:ascii="Times New Roman" w:hAnsi="Times New Roman" w:cs="Times New Roman"/>
          <w:color w:val="000000"/>
          <w:sz w:val="24"/>
          <w:szCs w:val="24"/>
        </w:rPr>
        <w:t>3) asociacijoje yra ne mažiau kaip 20 narių. Tuo atveju, kai asociacijos nariai yra kitos vartotojų asociacijos, bendras šių asociacijų narių skaičius turi būti ne mažesnis kaip 20;</w:t>
      </w:r>
    </w:p>
    <w:p w:rsidR="00F81F8B" w:rsidRPr="00CA3274" w:rsidRDefault="00F81F8B" w:rsidP="00F81F8B">
      <w:pPr>
        <w:pStyle w:val="HTMLiankstoformatuotas"/>
        <w:ind w:firstLine="851"/>
        <w:jc w:val="both"/>
        <w:rPr>
          <w:rFonts w:ascii="Times New Roman" w:hAnsi="Times New Roman" w:cs="Times New Roman"/>
          <w:color w:val="000000"/>
          <w:sz w:val="24"/>
          <w:szCs w:val="24"/>
        </w:rPr>
      </w:pPr>
      <w:r w:rsidRPr="00F81F8B">
        <w:rPr>
          <w:rFonts w:ascii="Times New Roman" w:hAnsi="Times New Roman" w:cs="Times New Roman"/>
          <w:color w:val="000000"/>
          <w:sz w:val="24"/>
          <w:szCs w:val="24"/>
        </w:rPr>
        <w:t>4) yra nepriklausomos nuo verslo ir kitų su vartotojų teisių gynimu nesusijusių interesų</w:t>
      </w:r>
      <w:r w:rsidR="00CA3274" w:rsidRPr="00CA3274">
        <w:rPr>
          <w:rFonts w:ascii="Times New Roman" w:hAnsi="Times New Roman" w:cs="Times New Roman"/>
          <w:color w:val="000000"/>
          <w:sz w:val="24"/>
          <w:szCs w:val="24"/>
        </w:rPr>
        <w:t>.</w:t>
      </w:r>
    </w:p>
    <w:p w:rsidR="00CA3274" w:rsidRPr="00CA3274" w:rsidRDefault="00CA3274" w:rsidP="00F81F8B">
      <w:pPr>
        <w:pStyle w:val="HTMLiankstoformatuotas"/>
        <w:ind w:firstLine="851"/>
        <w:jc w:val="both"/>
        <w:rPr>
          <w:rFonts w:ascii="Times New Roman" w:hAnsi="Times New Roman" w:cs="Times New Roman"/>
          <w:sz w:val="24"/>
          <w:szCs w:val="24"/>
        </w:rPr>
      </w:pPr>
      <w:r w:rsidRPr="00CA3274">
        <w:rPr>
          <w:rFonts w:ascii="Times New Roman" w:hAnsi="Times New Roman" w:cs="Times New Roman"/>
          <w:color w:val="000000"/>
          <w:sz w:val="24"/>
          <w:szCs w:val="24"/>
        </w:rPr>
        <w:t>Vartotojų asociacijoms, kurios atitinka nurodytas sąlygas</w:t>
      </w:r>
      <w:r w:rsidR="00E829A0">
        <w:rPr>
          <w:rFonts w:ascii="Times New Roman" w:hAnsi="Times New Roman" w:cs="Times New Roman"/>
          <w:color w:val="000000"/>
          <w:sz w:val="24"/>
          <w:szCs w:val="24"/>
        </w:rPr>
        <w:t>,</w:t>
      </w:r>
      <w:r w:rsidRPr="00CA3274">
        <w:rPr>
          <w:rFonts w:ascii="Times New Roman" w:hAnsi="Times New Roman" w:cs="Times New Roman"/>
          <w:color w:val="000000"/>
          <w:sz w:val="24"/>
          <w:szCs w:val="24"/>
        </w:rPr>
        <w:t xml:space="preserve"> gali būti teikiama valstybės finansinė parama pagal </w:t>
      </w:r>
      <w:r w:rsidR="00E35D1B">
        <w:rPr>
          <w:rFonts w:ascii="Times New Roman" w:hAnsi="Times New Roman" w:cs="Times New Roman"/>
          <w:color w:val="000000"/>
          <w:sz w:val="24"/>
          <w:szCs w:val="24"/>
        </w:rPr>
        <w:t xml:space="preserve">Lietuvos Respublikos </w:t>
      </w:r>
      <w:r w:rsidRPr="00CA3274">
        <w:rPr>
          <w:rFonts w:ascii="Times New Roman" w:hAnsi="Times New Roman" w:cs="Times New Roman"/>
          <w:color w:val="000000"/>
          <w:sz w:val="24"/>
          <w:szCs w:val="24"/>
        </w:rPr>
        <w:t xml:space="preserve">Vyriausybės patvirtintas taisykles. </w:t>
      </w:r>
    </w:p>
    <w:p w:rsidR="00CA3274" w:rsidRPr="00F81F8B" w:rsidRDefault="00833C11" w:rsidP="00F81F8B">
      <w:pPr>
        <w:pStyle w:val="HTMLiankstoformatuotas"/>
        <w:ind w:firstLine="851"/>
        <w:jc w:val="both"/>
        <w:rPr>
          <w:rFonts w:ascii="Times New Roman" w:hAnsi="Times New Roman" w:cs="Times New Roman"/>
          <w:color w:val="000000"/>
          <w:sz w:val="24"/>
          <w:szCs w:val="24"/>
        </w:rPr>
      </w:pPr>
      <w:r w:rsidRPr="00122A3F">
        <w:rPr>
          <w:rFonts w:ascii="Times New Roman" w:hAnsi="Times New Roman" w:cs="Times New Roman"/>
          <w:sz w:val="24"/>
          <w:szCs w:val="24"/>
        </w:rPr>
        <w:t>Vartotojų teisių apsaugos įstatyme nėra reglamentuota vartotojų asociacijų teisė būti grupės atstove grupės ieškinio bylose ir organizuoti vartojimo ginčų neteisminį sprendimą vartojimo ginčų komisijose</w:t>
      </w:r>
      <w:r w:rsidRPr="00122A3F">
        <w:rPr>
          <w:rFonts w:ascii="Times New Roman" w:hAnsi="Times New Roman" w:cs="Times New Roman"/>
          <w:color w:val="000000"/>
          <w:sz w:val="24"/>
          <w:szCs w:val="24"/>
        </w:rPr>
        <w:t>.</w:t>
      </w:r>
    </w:p>
    <w:p w:rsidR="00F81F8B" w:rsidRPr="00F81F8B" w:rsidRDefault="00F81F8B" w:rsidP="00964FBC">
      <w:pPr>
        <w:pStyle w:val="HTMLiankstoformatuotas"/>
        <w:ind w:firstLine="851"/>
        <w:jc w:val="both"/>
        <w:rPr>
          <w:rFonts w:ascii="Times New Roman" w:hAnsi="Times New Roman" w:cs="Times New Roman"/>
          <w:sz w:val="24"/>
          <w:szCs w:val="24"/>
        </w:rPr>
      </w:pPr>
    </w:p>
    <w:p w:rsidR="006605B4" w:rsidRPr="00E12EF1" w:rsidRDefault="00D30D08" w:rsidP="00964FBC">
      <w:pPr>
        <w:tabs>
          <w:tab w:val="left" w:pos="709"/>
        </w:tabs>
        <w:ind w:firstLine="851"/>
        <w:jc w:val="both"/>
        <w:rPr>
          <w:b/>
        </w:rPr>
      </w:pPr>
      <w:r w:rsidRPr="00E12EF1">
        <w:rPr>
          <w:b/>
        </w:rPr>
        <w:t xml:space="preserve">4. Siūlomos naujos teisinio reguliavimo nuostatos </w:t>
      </w:r>
      <w:r w:rsidR="006605B4" w:rsidRPr="00E12EF1">
        <w:rPr>
          <w:b/>
        </w:rPr>
        <w:t>ir laukiami teigiami rezultatai</w:t>
      </w:r>
    </w:p>
    <w:p w:rsidR="00E371E2" w:rsidRDefault="002A0732" w:rsidP="005661AC">
      <w:pPr>
        <w:pStyle w:val="HTMLiankstoformatuotas"/>
        <w:ind w:firstLine="851"/>
        <w:jc w:val="both"/>
        <w:rPr>
          <w:rFonts w:ascii="Times New Roman" w:hAnsi="Times New Roman" w:cs="Times New Roman"/>
          <w:sz w:val="24"/>
          <w:szCs w:val="24"/>
        </w:rPr>
      </w:pPr>
      <w:r>
        <w:rPr>
          <w:rFonts w:ascii="Times New Roman" w:hAnsi="Times New Roman" w:cs="Times New Roman"/>
          <w:sz w:val="24"/>
        </w:rPr>
        <w:t xml:space="preserve">1. </w:t>
      </w:r>
      <w:r w:rsidR="003508C0" w:rsidRPr="00E371E2">
        <w:rPr>
          <w:rFonts w:ascii="Times New Roman" w:hAnsi="Times New Roman" w:cs="Times New Roman"/>
          <w:sz w:val="24"/>
        </w:rPr>
        <w:t xml:space="preserve">CPK pakeitimo projekte </w:t>
      </w:r>
      <w:r w:rsidR="003508C0">
        <w:rPr>
          <w:rFonts w:ascii="Times New Roman" w:hAnsi="Times New Roman" w:cs="Times New Roman"/>
          <w:sz w:val="24"/>
          <w:szCs w:val="24"/>
        </w:rPr>
        <w:t>a</w:t>
      </w:r>
      <w:r w:rsidR="005661AC">
        <w:rPr>
          <w:rFonts w:ascii="Times New Roman" w:hAnsi="Times New Roman" w:cs="Times New Roman"/>
          <w:sz w:val="24"/>
          <w:szCs w:val="24"/>
        </w:rPr>
        <w:t xml:space="preserve">tsisakoma pareigos ieškovui pagrįsti, o teismui – įvertinti, ar </w:t>
      </w:r>
      <w:r w:rsidR="005661AC" w:rsidRPr="009446DD">
        <w:rPr>
          <w:rFonts w:ascii="Times New Roman" w:hAnsi="Times New Roman" w:cs="Times New Roman"/>
          <w:sz w:val="24"/>
          <w:szCs w:val="24"/>
        </w:rPr>
        <w:t>grupės ieškinys yra tikslingesnis, efektyvesnis ir tinkamesnis būdas išspręsti konkretų ginčą negu individualūs ieškiniai</w:t>
      </w:r>
      <w:r w:rsidR="005661AC">
        <w:rPr>
          <w:rFonts w:ascii="Times New Roman" w:hAnsi="Times New Roman" w:cs="Times New Roman"/>
          <w:sz w:val="24"/>
          <w:szCs w:val="24"/>
        </w:rPr>
        <w:t xml:space="preserve">. Laikytina, kad procesinės pažeistų teisių gynimo formos pasirinkimas </w:t>
      </w:r>
      <w:r w:rsidR="006D4518">
        <w:rPr>
          <w:rFonts w:ascii="Times New Roman" w:hAnsi="Times New Roman" w:cs="Times New Roman"/>
          <w:sz w:val="24"/>
          <w:szCs w:val="24"/>
        </w:rPr>
        <w:t xml:space="preserve">(t. y. individualus ieškinys ar grupės ieškinys) </w:t>
      </w:r>
      <w:r w:rsidR="005661AC">
        <w:rPr>
          <w:rFonts w:ascii="Times New Roman" w:hAnsi="Times New Roman" w:cs="Times New Roman"/>
          <w:sz w:val="24"/>
          <w:szCs w:val="24"/>
        </w:rPr>
        <w:t xml:space="preserve">yra ieškovo </w:t>
      </w:r>
      <w:proofErr w:type="spellStart"/>
      <w:r w:rsidR="005661AC">
        <w:rPr>
          <w:rFonts w:ascii="Times New Roman" w:hAnsi="Times New Roman" w:cs="Times New Roman"/>
          <w:sz w:val="24"/>
          <w:szCs w:val="24"/>
        </w:rPr>
        <w:t>diskrecija</w:t>
      </w:r>
      <w:proofErr w:type="spellEnd"/>
      <w:r w:rsidR="005661AC">
        <w:rPr>
          <w:rFonts w:ascii="Times New Roman" w:hAnsi="Times New Roman" w:cs="Times New Roman"/>
          <w:sz w:val="24"/>
          <w:szCs w:val="24"/>
        </w:rPr>
        <w:t>, todėl jis neprivalo šio pasirinkimo motyvuoti, o teismui neturėtų būti numatoma pareiga vertinti tokį pasirinkimą tikslingumo, efektyvumo ir tinkamumo požiūriu. Dėl tos pačios priežasties siūloma atsisakyti nuostatos, kad dėl ieškinio priėmimo klausimo teismas paprašo atsakovo nuomonės – kaip jau minėta, pareikšti grupės ieškinį yra ieškovo prerogatyva, o atsakovas savo nuomonę dėl ieškinio esmės turi galimybę išdėstyti atsiliepime į ieškinį ir tolesniame teismo procese.</w:t>
      </w:r>
    </w:p>
    <w:p w:rsidR="00A268A6" w:rsidRPr="00967BA5" w:rsidRDefault="002A0732" w:rsidP="005661AC">
      <w:pPr>
        <w:pStyle w:val="HTMLiankstoformatuotas"/>
        <w:ind w:firstLine="851"/>
        <w:jc w:val="both"/>
        <w:rPr>
          <w:rFonts w:ascii="Times New Roman" w:hAnsi="Times New Roman" w:cs="Times New Roman"/>
          <w:sz w:val="24"/>
        </w:rPr>
      </w:pPr>
      <w:r>
        <w:rPr>
          <w:rFonts w:ascii="Times New Roman" w:hAnsi="Times New Roman" w:cs="Times New Roman"/>
          <w:sz w:val="24"/>
          <w:szCs w:val="24"/>
        </w:rPr>
        <w:t xml:space="preserve">2. </w:t>
      </w:r>
      <w:r w:rsidR="00967BA5">
        <w:rPr>
          <w:rFonts w:ascii="Times New Roman" w:hAnsi="Times New Roman" w:cs="Times New Roman"/>
          <w:sz w:val="24"/>
          <w:szCs w:val="24"/>
        </w:rPr>
        <w:t xml:space="preserve">Atsisakoma pareigos teismui </w:t>
      </w:r>
      <w:r w:rsidR="00A268A6">
        <w:rPr>
          <w:rFonts w:ascii="Times New Roman" w:hAnsi="Times New Roman" w:cs="Times New Roman"/>
          <w:sz w:val="24"/>
          <w:szCs w:val="24"/>
        </w:rPr>
        <w:t xml:space="preserve">ieškinio priėmimo metu vertinti grupės atstovo tinkamumą, t. y. jo </w:t>
      </w:r>
      <w:r w:rsidR="00A268A6" w:rsidRPr="00A268A6">
        <w:rPr>
          <w:rFonts w:ascii="Times New Roman" w:hAnsi="Times New Roman" w:cs="Times New Roman"/>
          <w:sz w:val="24"/>
          <w:szCs w:val="24"/>
        </w:rPr>
        <w:t>sąžiningumą, reputaciją, kompetenciją atstovauti grupei</w:t>
      </w:r>
      <w:r w:rsidR="00A268A6">
        <w:rPr>
          <w:rFonts w:ascii="Times New Roman" w:hAnsi="Times New Roman" w:cs="Times New Roman"/>
          <w:sz w:val="24"/>
          <w:szCs w:val="24"/>
        </w:rPr>
        <w:t xml:space="preserve"> ir pan. Atstovavimo santykiai yra grindžiami pasitikėjimu, todėl būtent pati grupė turėtų spręsti, koks asmuo galėtų veikti kaip jos atstovas teismo procese. Jei proceso metu išryškėtų, kad grupės atstovas netinkamai eina savo pareigas, atstovas galėtų būti pakeistas tiek pačios </w:t>
      </w:r>
      <w:r w:rsidR="00A268A6" w:rsidRPr="00967BA5">
        <w:rPr>
          <w:rFonts w:ascii="Times New Roman" w:hAnsi="Times New Roman" w:cs="Times New Roman"/>
          <w:sz w:val="24"/>
        </w:rPr>
        <w:t>grupės iniciatyva, tiek ir pasiūlius teismui.</w:t>
      </w:r>
    </w:p>
    <w:p w:rsidR="00967BA5" w:rsidRDefault="002A0732" w:rsidP="005661AC">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3. </w:t>
      </w:r>
      <w:r w:rsidR="00967BA5" w:rsidRPr="00967BA5">
        <w:rPr>
          <w:rFonts w:ascii="Times New Roman" w:hAnsi="Times New Roman" w:cs="Times New Roman"/>
          <w:sz w:val="24"/>
        </w:rPr>
        <w:t>Atsisakoma pareigos teismui ieškinio priėmimo metu vertinti</w:t>
      </w:r>
      <w:r w:rsidR="00967BA5">
        <w:rPr>
          <w:rFonts w:ascii="Times New Roman" w:hAnsi="Times New Roman" w:cs="Times New Roman"/>
          <w:sz w:val="24"/>
        </w:rPr>
        <w:t>,</w:t>
      </w:r>
      <w:r w:rsidR="00967BA5" w:rsidRPr="00967BA5">
        <w:rPr>
          <w:rFonts w:ascii="Times New Roman" w:hAnsi="Times New Roman" w:cs="Times New Roman"/>
          <w:sz w:val="24"/>
        </w:rPr>
        <w:t xml:space="preserve"> ar pareikšti individualaus pobūdžio turtiniai reikalavimai yra susiję su grupės ieškinio dalyku ir pagrindu</w:t>
      </w:r>
      <w:r w:rsidR="00967BA5">
        <w:rPr>
          <w:rFonts w:ascii="Times New Roman" w:hAnsi="Times New Roman" w:cs="Times New Roman"/>
          <w:sz w:val="24"/>
        </w:rPr>
        <w:t xml:space="preserve">. Toks </w:t>
      </w:r>
      <w:r w:rsidR="0059029B">
        <w:rPr>
          <w:rFonts w:ascii="Times New Roman" w:hAnsi="Times New Roman" w:cs="Times New Roman"/>
          <w:sz w:val="24"/>
        </w:rPr>
        <w:t xml:space="preserve">išsamus </w:t>
      </w:r>
      <w:r w:rsidR="00967BA5">
        <w:rPr>
          <w:rFonts w:ascii="Times New Roman" w:hAnsi="Times New Roman" w:cs="Times New Roman"/>
          <w:sz w:val="24"/>
        </w:rPr>
        <w:t xml:space="preserve">vertinimas turėtų būti atliekamas ne ieškinio priėmimo metu, taip apsunkinant </w:t>
      </w:r>
      <w:r>
        <w:rPr>
          <w:rFonts w:ascii="Times New Roman" w:hAnsi="Times New Roman" w:cs="Times New Roman"/>
          <w:sz w:val="24"/>
        </w:rPr>
        <w:t xml:space="preserve">ir </w:t>
      </w:r>
      <w:r w:rsidR="00C0242B">
        <w:rPr>
          <w:rFonts w:ascii="Times New Roman" w:hAnsi="Times New Roman" w:cs="Times New Roman"/>
          <w:sz w:val="24"/>
        </w:rPr>
        <w:t>su</w:t>
      </w:r>
      <w:r>
        <w:rPr>
          <w:rFonts w:ascii="Times New Roman" w:hAnsi="Times New Roman" w:cs="Times New Roman"/>
          <w:sz w:val="24"/>
        </w:rPr>
        <w:t xml:space="preserve">lėtinant </w:t>
      </w:r>
      <w:r w:rsidR="00967BA5">
        <w:rPr>
          <w:rFonts w:ascii="Times New Roman" w:hAnsi="Times New Roman" w:cs="Times New Roman"/>
          <w:sz w:val="24"/>
        </w:rPr>
        <w:t xml:space="preserve">šią proceso stadiją, bet tolesniame teismo procese. Tokiu būdu bus užtikrinta, kad ieškinio priėmimo klausimas bus išspręstas įmanomai operatyviau, o su </w:t>
      </w:r>
      <w:r>
        <w:rPr>
          <w:rFonts w:ascii="Times New Roman" w:hAnsi="Times New Roman" w:cs="Times New Roman"/>
          <w:sz w:val="24"/>
        </w:rPr>
        <w:t>pareikštais reikalavimais</w:t>
      </w:r>
      <w:r w:rsidR="00967BA5">
        <w:rPr>
          <w:rFonts w:ascii="Times New Roman" w:hAnsi="Times New Roman" w:cs="Times New Roman"/>
          <w:sz w:val="24"/>
        </w:rPr>
        <w:t xml:space="preserve"> susiję klausimai bus sprendžiami pasirengimo bylos nagrinėjimui ir </w:t>
      </w:r>
      <w:r>
        <w:rPr>
          <w:rFonts w:ascii="Times New Roman" w:hAnsi="Times New Roman" w:cs="Times New Roman"/>
          <w:sz w:val="24"/>
        </w:rPr>
        <w:t>bylos nagrinėjimo iš esmės metu.</w:t>
      </w:r>
    </w:p>
    <w:p w:rsidR="007E2A09" w:rsidRDefault="002A0732" w:rsidP="007E2A09">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4. Analogiškai kaip ir individualaus ieškinio atveju (CPK 137 straipsnio 5 dalis), numatoma, kad tik teismo nutartis, </w:t>
      </w:r>
      <w:r w:rsidRPr="002A0732">
        <w:rPr>
          <w:rFonts w:ascii="Times New Roman" w:hAnsi="Times New Roman" w:cs="Times New Roman"/>
          <w:i/>
          <w:sz w:val="24"/>
        </w:rPr>
        <w:t>kuria atsisakyta priimti grupės ieškinį</w:t>
      </w:r>
      <w:r>
        <w:rPr>
          <w:rFonts w:ascii="Times New Roman" w:hAnsi="Times New Roman" w:cs="Times New Roman"/>
          <w:sz w:val="24"/>
        </w:rPr>
        <w:t xml:space="preserve">, gali būti skundžiama atskiruoju skundu. Nutartis, </w:t>
      </w:r>
      <w:r w:rsidRPr="00553BF6">
        <w:rPr>
          <w:rFonts w:ascii="Times New Roman" w:hAnsi="Times New Roman" w:cs="Times New Roman"/>
          <w:i/>
          <w:sz w:val="24"/>
        </w:rPr>
        <w:t xml:space="preserve">kuria </w:t>
      </w:r>
      <w:r w:rsidR="00553BF6">
        <w:rPr>
          <w:rFonts w:ascii="Times New Roman" w:hAnsi="Times New Roman" w:cs="Times New Roman"/>
          <w:i/>
          <w:sz w:val="24"/>
        </w:rPr>
        <w:t xml:space="preserve">grupės </w:t>
      </w:r>
      <w:r w:rsidRPr="00553BF6">
        <w:rPr>
          <w:rFonts w:ascii="Times New Roman" w:hAnsi="Times New Roman" w:cs="Times New Roman"/>
          <w:i/>
          <w:sz w:val="24"/>
        </w:rPr>
        <w:t>ieškinys priimamas</w:t>
      </w:r>
      <w:r>
        <w:rPr>
          <w:rFonts w:ascii="Times New Roman" w:hAnsi="Times New Roman" w:cs="Times New Roman"/>
          <w:sz w:val="24"/>
        </w:rPr>
        <w:t xml:space="preserve">, negalėtų būti skundžiama, kadangi ji neužkerta galimybės tolesnei bylos eigai. </w:t>
      </w:r>
      <w:r w:rsidR="005633E5">
        <w:rPr>
          <w:rFonts w:ascii="Times New Roman" w:hAnsi="Times New Roman" w:cs="Times New Roman"/>
          <w:sz w:val="24"/>
        </w:rPr>
        <w:t xml:space="preserve">Jei, priėmus grupės ieškinį, atsakovas manytų, kad yra procesinių kliūčių tokio ieškinio nagrinėjimui, tokias abejones jis galėtų pateikti atsiliepime į ieškinį ar pasirengimo bylos nagrinėjimui metu. </w:t>
      </w:r>
      <w:r>
        <w:rPr>
          <w:rFonts w:ascii="Times New Roman" w:hAnsi="Times New Roman" w:cs="Times New Roman"/>
          <w:sz w:val="24"/>
        </w:rPr>
        <w:t>Be to, atsisakoma ribojimo kasacine tvarka skųsti teismo nutartį, kuria atsisakyta priimti grupės ieškinį, – laikytina, kad vienodos teismų praktikos šioje srityje formavimas gali suefektyvinti grupės ieškinio instituto taikymą ir padėti išspręsti praktikoje kylančias problemas.</w:t>
      </w:r>
    </w:p>
    <w:p w:rsidR="002A0732" w:rsidRPr="00AB1632" w:rsidRDefault="002A0732" w:rsidP="007E2A09">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5. </w:t>
      </w:r>
      <w:r w:rsidRPr="00AB1632">
        <w:rPr>
          <w:rFonts w:ascii="Times New Roman" w:hAnsi="Times New Roman" w:cs="Times New Roman"/>
          <w:sz w:val="24"/>
        </w:rPr>
        <w:t xml:space="preserve">Be to, įgyvendinant minėtus Konstitucinio Teismo 2018 m. gruodžio 14 d. ir 2019 m. kovo 1 d. nutarimus, </w:t>
      </w:r>
      <w:r w:rsidR="00DB4481">
        <w:rPr>
          <w:rFonts w:ascii="Times New Roman" w:hAnsi="Times New Roman" w:cs="Times New Roman"/>
          <w:sz w:val="24"/>
        </w:rPr>
        <w:t xml:space="preserve">CPK pakeitimo projekte </w:t>
      </w:r>
      <w:r w:rsidRPr="00AB1632">
        <w:rPr>
          <w:rFonts w:ascii="Times New Roman" w:hAnsi="Times New Roman" w:cs="Times New Roman"/>
          <w:sz w:val="24"/>
        </w:rPr>
        <w:t>siūloma:</w:t>
      </w:r>
    </w:p>
    <w:p w:rsidR="002A0732" w:rsidRDefault="002A0732" w:rsidP="002A0732">
      <w:pPr>
        <w:pStyle w:val="HTMLiankstoformatuotas"/>
        <w:ind w:firstLine="851"/>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CPK 93 straipsnio 6 dalyje nustatyti, kad b</w:t>
      </w:r>
      <w:r w:rsidRPr="00712978">
        <w:rPr>
          <w:rFonts w:ascii="Times New Roman" w:hAnsi="Times New Roman" w:cs="Times New Roman"/>
          <w:sz w:val="24"/>
        </w:rPr>
        <w:t xml:space="preserve">ylinėjimosi išlaidos, susidariusios dėl teismo kreipimosi į Konstitucinį Teismą ar kompetentingą Europos Sąjungos teisminę instituciją, taip pat dėl kreipimosi į administracinį teismą dėl norminio teisės akto teisėtumo, </w:t>
      </w:r>
      <w:r w:rsidRPr="00C50E66">
        <w:rPr>
          <w:rFonts w:ascii="Times New Roman" w:hAnsi="Times New Roman" w:cs="Times New Roman"/>
          <w:i/>
          <w:sz w:val="24"/>
        </w:rPr>
        <w:t>proceso dalyviams paskirstomos pagal bendras šiame straipsnyje išdėstytas taisykles</w:t>
      </w:r>
      <w:r>
        <w:rPr>
          <w:rFonts w:ascii="Times New Roman" w:hAnsi="Times New Roman" w:cs="Times New Roman"/>
          <w:sz w:val="24"/>
        </w:rPr>
        <w:t>;</w:t>
      </w:r>
    </w:p>
    <w:p w:rsidR="002A0732" w:rsidRDefault="002A0732" w:rsidP="002A0732">
      <w:pPr>
        <w:pStyle w:val="HTMLiankstoformatuotas"/>
        <w:ind w:firstLine="851"/>
        <w:jc w:val="both"/>
        <w:rPr>
          <w:rFonts w:ascii="Times New Roman" w:hAnsi="Times New Roman" w:cs="Times New Roman"/>
          <w:sz w:val="24"/>
        </w:rPr>
      </w:pPr>
      <w:r>
        <w:rPr>
          <w:rFonts w:ascii="Times New Roman" w:hAnsi="Times New Roman" w:cs="Times New Roman"/>
          <w:sz w:val="24"/>
        </w:rPr>
        <w:lastRenderedPageBreak/>
        <w:t xml:space="preserve">- pripažinti netekusia galios CPK 306 straipsnio 3 dalį, tokiu būdu iš esmės grąžinant anksčiau galiojusį teisinį reguliavimą, pagal kurį </w:t>
      </w:r>
      <w:r w:rsidRPr="00C50E66">
        <w:rPr>
          <w:rFonts w:ascii="Times New Roman" w:hAnsi="Times New Roman" w:cs="Times New Roman"/>
          <w:i/>
          <w:sz w:val="24"/>
        </w:rPr>
        <w:t>apeliacinį skundą gali surašyti ir pats jį teikiantis asmuo</w:t>
      </w:r>
      <w:r>
        <w:rPr>
          <w:rFonts w:ascii="Times New Roman" w:hAnsi="Times New Roman" w:cs="Times New Roman"/>
          <w:sz w:val="24"/>
        </w:rPr>
        <w:t>.</w:t>
      </w:r>
    </w:p>
    <w:p w:rsidR="00FA241D" w:rsidRDefault="00FA241D" w:rsidP="002A0732">
      <w:pPr>
        <w:pStyle w:val="HTMLiankstoformatuotas"/>
        <w:ind w:firstLine="851"/>
        <w:jc w:val="both"/>
        <w:rPr>
          <w:rFonts w:ascii="Times New Roman" w:hAnsi="Times New Roman" w:cs="Times New Roman"/>
          <w:sz w:val="24"/>
        </w:rPr>
      </w:pPr>
      <w:r>
        <w:rPr>
          <w:rFonts w:ascii="Times New Roman" w:hAnsi="Times New Roman" w:cs="Times New Roman"/>
          <w:sz w:val="24"/>
        </w:rPr>
        <w:t>6. Papildomai CPK pakeitimo projekte siūlomi šie pakeitimai:</w:t>
      </w:r>
    </w:p>
    <w:p w:rsidR="00FA241D" w:rsidRPr="00F041BA" w:rsidRDefault="00B733E2" w:rsidP="002A0732">
      <w:pPr>
        <w:pStyle w:val="HTMLiankstoformatuotas"/>
        <w:ind w:firstLine="851"/>
        <w:jc w:val="both"/>
        <w:rPr>
          <w:rFonts w:ascii="Times New Roman" w:hAnsi="Times New Roman" w:cs="Times New Roman"/>
          <w:sz w:val="24"/>
        </w:rPr>
      </w:pPr>
      <w:r>
        <w:rPr>
          <w:rFonts w:ascii="Times New Roman" w:hAnsi="Times New Roman" w:cs="Times New Roman"/>
          <w:sz w:val="24"/>
        </w:rPr>
        <w:t xml:space="preserve">- CPK 56 straipsnio 2 dalyje įtvirtinama, kad asociacijos ir kiti viešieji juridiniai asmenys gali būti ne tik savo narių fizinių asmenų, bet </w:t>
      </w:r>
      <w:r w:rsidRPr="00DB4481">
        <w:rPr>
          <w:rFonts w:ascii="Times New Roman" w:hAnsi="Times New Roman" w:cs="Times New Roman"/>
          <w:i/>
          <w:sz w:val="24"/>
        </w:rPr>
        <w:t>ir savo narių juridinių asmenų</w:t>
      </w:r>
      <w:r>
        <w:rPr>
          <w:rFonts w:ascii="Times New Roman" w:hAnsi="Times New Roman" w:cs="Times New Roman"/>
          <w:sz w:val="24"/>
        </w:rPr>
        <w:t xml:space="preserve"> atstovais pagal pavedimą teisme. Tokia galimybė jau šiuo metu egzistuoja, teikiant grupės ieškinius (CPK 441</w:t>
      </w:r>
      <w:r>
        <w:rPr>
          <w:rFonts w:ascii="Times New Roman" w:hAnsi="Times New Roman" w:cs="Times New Roman"/>
          <w:sz w:val="24"/>
          <w:vertAlign w:val="superscript"/>
        </w:rPr>
        <w:t>4</w:t>
      </w:r>
      <w:r>
        <w:rPr>
          <w:rFonts w:ascii="Times New Roman" w:hAnsi="Times New Roman" w:cs="Times New Roman"/>
          <w:sz w:val="24"/>
        </w:rPr>
        <w:t xml:space="preserve"> straipsnio 2 dalis).</w:t>
      </w:r>
      <w:r w:rsidR="00F041BA">
        <w:rPr>
          <w:rFonts w:ascii="Times New Roman" w:hAnsi="Times New Roman" w:cs="Times New Roman"/>
          <w:sz w:val="24"/>
        </w:rPr>
        <w:t xml:space="preserve"> Be to, atsižvelgiant į CPK 56 straipsnio 1 dalies 6 punkto nuostatą, CPK 441</w:t>
      </w:r>
      <w:r w:rsidR="00F041BA">
        <w:rPr>
          <w:rFonts w:ascii="Times New Roman" w:hAnsi="Times New Roman" w:cs="Times New Roman"/>
          <w:sz w:val="24"/>
          <w:vertAlign w:val="superscript"/>
        </w:rPr>
        <w:t>4</w:t>
      </w:r>
      <w:r w:rsidR="00F041BA">
        <w:rPr>
          <w:rFonts w:ascii="Times New Roman" w:hAnsi="Times New Roman" w:cs="Times New Roman"/>
          <w:sz w:val="24"/>
        </w:rPr>
        <w:t xml:space="preserve"> straipsnio 2 dalyje nurodoma, kad grupės atstove gali būti asociacija </w:t>
      </w:r>
      <w:r w:rsidR="00F041BA" w:rsidRPr="00F041BA">
        <w:rPr>
          <w:rFonts w:ascii="Times New Roman" w:hAnsi="Times New Roman" w:cs="Times New Roman"/>
          <w:i/>
          <w:sz w:val="24"/>
        </w:rPr>
        <w:t>arba kitas viešasis juridinis asmuo</w:t>
      </w:r>
      <w:r w:rsidR="00F041BA">
        <w:rPr>
          <w:rFonts w:ascii="Times New Roman" w:hAnsi="Times New Roman" w:cs="Times New Roman"/>
          <w:sz w:val="24"/>
        </w:rPr>
        <w:t xml:space="preserve"> (pavyzdžiui, d</w:t>
      </w:r>
      <w:r w:rsidR="00F041BA" w:rsidRPr="00F041BA">
        <w:rPr>
          <w:rFonts w:ascii="Times New Roman" w:hAnsi="Times New Roman" w:cs="Times New Roman"/>
          <w:sz w:val="24"/>
        </w:rPr>
        <w:t>augiabučių gyvenamųjų namų ar kitos paskirties pastatų savininkų bendrija</w:t>
      </w:r>
      <w:r w:rsidR="00F041BA">
        <w:rPr>
          <w:rFonts w:ascii="Times New Roman" w:hAnsi="Times New Roman" w:cs="Times New Roman"/>
          <w:sz w:val="24"/>
        </w:rPr>
        <w:t>).</w:t>
      </w:r>
    </w:p>
    <w:p w:rsidR="00B733E2" w:rsidRPr="00B733E2" w:rsidRDefault="00B733E2" w:rsidP="002A0732">
      <w:pPr>
        <w:pStyle w:val="HTMLiankstoformatuotas"/>
        <w:ind w:firstLine="851"/>
        <w:jc w:val="both"/>
        <w:rPr>
          <w:rFonts w:ascii="Times New Roman" w:hAnsi="Times New Roman" w:cs="Times New Roman"/>
          <w:sz w:val="24"/>
        </w:rPr>
      </w:pPr>
      <w:r>
        <w:rPr>
          <w:rFonts w:ascii="Times New Roman" w:hAnsi="Times New Roman" w:cs="Times New Roman"/>
          <w:sz w:val="24"/>
        </w:rPr>
        <w:t>- Atsižvelgiant į Lietuvos Respublikos asmens duomenų teisinės apsaugos įstatymo 3 straipsnio 2 dalį, pagal kurią draudžiama asmens kodą skelbti viešai, patikslinama CPK 268 straipsnio 6 dalis.</w:t>
      </w:r>
    </w:p>
    <w:p w:rsidR="00833C11" w:rsidRPr="00833C11" w:rsidRDefault="00FA241D" w:rsidP="00833C11">
      <w:pPr>
        <w:pStyle w:val="HTMLiankstoformatuotas"/>
        <w:ind w:firstLine="851"/>
        <w:jc w:val="both"/>
        <w:rPr>
          <w:rFonts w:ascii="Times New Roman" w:hAnsi="Times New Roman" w:cs="Times New Roman"/>
          <w:sz w:val="24"/>
        </w:rPr>
      </w:pPr>
      <w:r>
        <w:rPr>
          <w:rFonts w:ascii="Times New Roman" w:hAnsi="Times New Roman" w:cs="Times New Roman"/>
          <w:sz w:val="24"/>
        </w:rPr>
        <w:t>7</w:t>
      </w:r>
      <w:r w:rsidR="00833C11" w:rsidRPr="00833C11">
        <w:rPr>
          <w:rFonts w:ascii="Times New Roman" w:hAnsi="Times New Roman" w:cs="Times New Roman"/>
          <w:sz w:val="24"/>
        </w:rPr>
        <w:t>. Taip pat CPK pakeitimo projekte ir Vartotojų teisių apsaugos įstatymo pakeitimo projekte numatomos priemonės, kurios turėtų sudaryti palankesnes sąlygas teikti grupės ieškinius bylose, kylančiose iš vartojimo teisinių santykių:</w:t>
      </w:r>
    </w:p>
    <w:p w:rsidR="00833C11" w:rsidRPr="00833C11" w:rsidRDefault="00833C11" w:rsidP="00833C11">
      <w:pPr>
        <w:pStyle w:val="HTMLiankstoformatuotas"/>
        <w:ind w:firstLine="851"/>
        <w:jc w:val="both"/>
        <w:rPr>
          <w:rFonts w:ascii="Times New Roman" w:hAnsi="Times New Roman" w:cs="Times New Roman"/>
          <w:sz w:val="24"/>
        </w:rPr>
      </w:pPr>
      <w:r>
        <w:rPr>
          <w:rFonts w:ascii="Times New Roman" w:hAnsi="Times New Roman" w:cs="Times New Roman"/>
          <w:sz w:val="24"/>
          <w:szCs w:val="24"/>
        </w:rPr>
        <w:t>1)</w:t>
      </w:r>
      <w:r w:rsidRPr="00833C11">
        <w:rPr>
          <w:rFonts w:ascii="Times New Roman" w:hAnsi="Times New Roman" w:cs="Times New Roman"/>
          <w:sz w:val="24"/>
          <w:szCs w:val="24"/>
        </w:rPr>
        <w:t xml:space="preserve"> Atsisakoma reikalavimo </w:t>
      </w:r>
      <w:r w:rsidRPr="00833C11">
        <w:rPr>
          <w:rFonts w:ascii="Times New Roman" w:hAnsi="Times New Roman" w:cs="Times New Roman"/>
          <w:sz w:val="24"/>
        </w:rPr>
        <w:t>turėti grupės advokatą,</w:t>
      </w:r>
      <w:r w:rsidRPr="00833C11">
        <w:rPr>
          <w:rFonts w:ascii="Times New Roman" w:hAnsi="Times New Roman" w:cs="Times New Roman"/>
          <w:sz w:val="24"/>
          <w:szCs w:val="24"/>
        </w:rPr>
        <w:t xml:space="preserve"> kai gr</w:t>
      </w:r>
      <w:r w:rsidRPr="00833C11">
        <w:rPr>
          <w:rFonts w:ascii="Times New Roman" w:hAnsi="Times New Roman" w:cs="Times New Roman"/>
          <w:sz w:val="24"/>
        </w:rPr>
        <w:t>upės ieškiniu reiškiami reikalavimai kyla iš vartojimo teisinių santykių (t. y. grupės ieškiniai dėl vartotojų apsaugos) ir grupės atstovė yra įgaliotoji vartotojų asociacija,</w:t>
      </w:r>
      <w:r w:rsidRPr="00833C11">
        <w:rPr>
          <w:rFonts w:ascii="Times New Roman" w:hAnsi="Times New Roman" w:cs="Times New Roman"/>
          <w:b/>
          <w:sz w:val="24"/>
        </w:rPr>
        <w:t xml:space="preserve"> </w:t>
      </w:r>
      <w:r w:rsidRPr="00833C11">
        <w:rPr>
          <w:rFonts w:ascii="Times New Roman" w:hAnsi="Times New Roman" w:cs="Times New Roman"/>
          <w:sz w:val="24"/>
        </w:rPr>
        <w:t>atitinkanti Vartotojų teisių apsaugos įstatyme nustatytas sąlygas.</w:t>
      </w:r>
      <w:r w:rsidR="00DB4481">
        <w:rPr>
          <w:rFonts w:ascii="Times New Roman" w:hAnsi="Times New Roman" w:cs="Times New Roman"/>
          <w:sz w:val="24"/>
        </w:rPr>
        <w:t xml:space="preserve"> Teikiant šį siūlymą atsižvelgta į tai, kad vartotojai laikytini silpnesne teisinio santykio šalimi, vartotojų asociacijos gali specializuotis vartotojų interesų gynimo srityje. Viešųjų konsultacijų metu vartotojų asociacijos taip pat pateikė informaciją, kad rengiant grupės ieškinius, be kita ko, susiduriama su lėšų trūkumo problema. Taigi atsisakant privalomo advokato reikalavimo siekiama bent iš dalies spręsti šią praktinę problemą. Jei vartotojų asociacija visgi manytų, kad konkrečiame ginče advokato dalyvavimas yra pageidautinas, advokatas galėtų būti pasitelkiamas.</w:t>
      </w:r>
    </w:p>
    <w:p w:rsidR="00833C11" w:rsidRPr="00833C11" w:rsidRDefault="00833C11" w:rsidP="00833C11">
      <w:pPr>
        <w:pStyle w:val="HTMLiankstoformatuotas"/>
        <w:ind w:firstLine="851"/>
        <w:jc w:val="both"/>
        <w:rPr>
          <w:rFonts w:ascii="Times New Roman" w:hAnsi="Times New Roman" w:cs="Times New Roman"/>
          <w:sz w:val="24"/>
        </w:rPr>
      </w:pPr>
      <w:r>
        <w:rPr>
          <w:rFonts w:ascii="Times New Roman" w:hAnsi="Times New Roman" w:cs="Times New Roman"/>
          <w:sz w:val="24"/>
        </w:rPr>
        <w:t>2)</w:t>
      </w:r>
      <w:r w:rsidRPr="00833C11">
        <w:rPr>
          <w:rFonts w:ascii="Times New Roman" w:hAnsi="Times New Roman" w:cs="Times New Roman"/>
          <w:sz w:val="24"/>
        </w:rPr>
        <w:t xml:space="preserve"> Įgaliotosios vartotojų asociacijos, kaip grupės atstovės, turės teisę atstovauti netaikant reikalavimo dėl grupės narių narystės asociacijoje.</w:t>
      </w:r>
    </w:p>
    <w:p w:rsidR="00833C11" w:rsidRPr="00833C11" w:rsidRDefault="00833C11" w:rsidP="00833C11">
      <w:pPr>
        <w:pStyle w:val="HTMLiankstoformatuotas"/>
        <w:ind w:firstLine="851"/>
        <w:jc w:val="both"/>
        <w:rPr>
          <w:rFonts w:ascii="Times New Roman" w:hAnsi="Times New Roman" w:cs="Times New Roman"/>
          <w:sz w:val="24"/>
        </w:rPr>
      </w:pPr>
      <w:r>
        <w:rPr>
          <w:rFonts w:ascii="Times New Roman" w:hAnsi="Times New Roman" w:cs="Times New Roman"/>
          <w:sz w:val="24"/>
        </w:rPr>
        <w:t>3)</w:t>
      </w:r>
      <w:r w:rsidRPr="00833C11">
        <w:rPr>
          <w:rFonts w:ascii="Times New Roman" w:hAnsi="Times New Roman" w:cs="Times New Roman"/>
          <w:sz w:val="24"/>
        </w:rPr>
        <w:t xml:space="preserve"> Kai grupės ieškiniu reiškiami reikalavimai </w:t>
      </w:r>
      <w:r w:rsidR="00553BF6">
        <w:rPr>
          <w:rFonts w:ascii="Times New Roman" w:hAnsi="Times New Roman" w:cs="Times New Roman"/>
          <w:sz w:val="24"/>
        </w:rPr>
        <w:t>kils</w:t>
      </w:r>
      <w:r w:rsidRPr="00833C11">
        <w:rPr>
          <w:rFonts w:ascii="Times New Roman" w:hAnsi="Times New Roman" w:cs="Times New Roman"/>
          <w:sz w:val="24"/>
        </w:rPr>
        <w:t xml:space="preserve"> iš vartojimo teisinių santykių, vartotojai </w:t>
      </w:r>
      <w:r w:rsidR="00553BF6">
        <w:rPr>
          <w:rFonts w:ascii="Times New Roman" w:hAnsi="Times New Roman" w:cs="Times New Roman"/>
          <w:sz w:val="24"/>
        </w:rPr>
        <w:t xml:space="preserve">bus </w:t>
      </w:r>
      <w:r w:rsidRPr="00833C11">
        <w:rPr>
          <w:rFonts w:ascii="Times New Roman" w:hAnsi="Times New Roman" w:cs="Times New Roman"/>
          <w:sz w:val="24"/>
        </w:rPr>
        <w:t>atleidžiami nuo žyminio mokesčio mokėjimo už</w:t>
      </w:r>
      <w:r w:rsidR="003C1E3E">
        <w:rPr>
          <w:rFonts w:ascii="Times New Roman" w:hAnsi="Times New Roman" w:cs="Times New Roman"/>
          <w:sz w:val="24"/>
        </w:rPr>
        <w:t xml:space="preserve"> grupės nariams bendrą neturtinį</w:t>
      </w:r>
      <w:r w:rsidR="00DB4481">
        <w:rPr>
          <w:rFonts w:ascii="Times New Roman" w:hAnsi="Times New Roman" w:cs="Times New Roman"/>
          <w:sz w:val="24"/>
        </w:rPr>
        <w:t xml:space="preserve"> reikalavimą.</w:t>
      </w:r>
    </w:p>
    <w:p w:rsidR="00833C11" w:rsidRPr="00833C11" w:rsidRDefault="003508C0" w:rsidP="00833C11">
      <w:pPr>
        <w:pStyle w:val="HTMLiankstoformatuotas"/>
        <w:ind w:firstLine="851"/>
        <w:jc w:val="both"/>
        <w:rPr>
          <w:rFonts w:ascii="Times New Roman" w:hAnsi="Times New Roman" w:cs="Times New Roman"/>
          <w:sz w:val="24"/>
          <w:szCs w:val="24"/>
        </w:rPr>
      </w:pPr>
      <w:r>
        <w:rPr>
          <w:rFonts w:ascii="Times New Roman" w:hAnsi="Times New Roman" w:cs="Times New Roman"/>
          <w:sz w:val="24"/>
        </w:rPr>
        <w:t xml:space="preserve">8. </w:t>
      </w:r>
      <w:r w:rsidR="00833C11" w:rsidRPr="00833C11">
        <w:rPr>
          <w:rFonts w:ascii="Times New Roman" w:hAnsi="Times New Roman" w:cs="Times New Roman"/>
          <w:sz w:val="24"/>
        </w:rPr>
        <w:t xml:space="preserve">Vartotojų teisių apsaugos </w:t>
      </w:r>
      <w:r w:rsidR="00833C11" w:rsidRPr="00833C11">
        <w:rPr>
          <w:rFonts w:ascii="Times New Roman" w:hAnsi="Times New Roman" w:cs="Times New Roman"/>
          <w:sz w:val="24"/>
          <w:szCs w:val="24"/>
        </w:rPr>
        <w:t xml:space="preserve">įstatymo pakeitimo projekte siūloma nustatyti sąlygas, kurias turi atitikti įgaliotosios vartotojų asociacijos, turinčios teisę </w:t>
      </w:r>
      <w:r w:rsidR="00833C11" w:rsidRPr="00833C11">
        <w:rPr>
          <w:rFonts w:ascii="Times New Roman" w:hAnsi="Times New Roman" w:cs="Times New Roman"/>
          <w:color w:val="000000"/>
          <w:sz w:val="24"/>
          <w:szCs w:val="24"/>
        </w:rPr>
        <w:t xml:space="preserve">ginti vartotojų viešąjį interesą ir </w:t>
      </w:r>
      <w:r w:rsidR="00833C11" w:rsidRPr="00833C11">
        <w:rPr>
          <w:rFonts w:ascii="Times New Roman" w:hAnsi="Times New Roman" w:cs="Times New Roman"/>
          <w:sz w:val="24"/>
          <w:szCs w:val="24"/>
        </w:rPr>
        <w:t>būti grupės atstove grupės ieškinio bylose, netaikant reikalavimo dėl grupės narių narystės vartotojų asociacijoje, kai grupės ieškiniu reiškiami reikalavimai kyla iš vartojimo teisinių santykių</w:t>
      </w:r>
      <w:r w:rsidR="00833C11" w:rsidRPr="00833C11">
        <w:rPr>
          <w:rFonts w:ascii="Times New Roman" w:hAnsi="Times New Roman" w:cs="Times New Roman"/>
          <w:sz w:val="24"/>
        </w:rPr>
        <w:t xml:space="preserve">. </w:t>
      </w:r>
    </w:p>
    <w:p w:rsidR="00833C11" w:rsidRPr="00833C11" w:rsidRDefault="00833C11" w:rsidP="00833C11">
      <w:pPr>
        <w:pStyle w:val="HTMLiankstoformatuotas"/>
        <w:ind w:firstLine="851"/>
        <w:jc w:val="both"/>
        <w:rPr>
          <w:rFonts w:ascii="Times New Roman" w:hAnsi="Times New Roman" w:cs="Times New Roman"/>
          <w:sz w:val="24"/>
          <w:szCs w:val="24"/>
        </w:rPr>
      </w:pPr>
      <w:r w:rsidRPr="00833C11">
        <w:rPr>
          <w:rFonts w:ascii="Times New Roman" w:hAnsi="Times New Roman" w:cs="Times New Roman"/>
          <w:sz w:val="24"/>
        </w:rPr>
        <w:t xml:space="preserve">Pažymėtina, kad įgaliotosioms vartotojų asociacijoms keliamos sąlygos suformuluotos pagal galiojančio Vartotojų teisių apsaugos </w:t>
      </w:r>
      <w:r w:rsidRPr="00833C11">
        <w:rPr>
          <w:rFonts w:ascii="Times New Roman" w:hAnsi="Times New Roman" w:cs="Times New Roman"/>
          <w:sz w:val="24"/>
          <w:szCs w:val="24"/>
        </w:rPr>
        <w:t xml:space="preserve">įstatymo 31 straipsnio 1 dalyje nustatytas sąlygas ir šiuo metu svarstomame pasiūlyme dėl Europos Parlamento ir Tarybos direktyvos dėl atstovaujamųjų ieškinių ginant vartotojų kolektyvinius interesus, panaikinančiame direktyvą 2009/22/EB, numatytas sąlygas. </w:t>
      </w:r>
    </w:p>
    <w:p w:rsidR="00833C11" w:rsidRPr="00833C11" w:rsidRDefault="00833C11" w:rsidP="00833C11">
      <w:pPr>
        <w:pStyle w:val="HTMLiankstoformatuotas"/>
        <w:ind w:firstLine="851"/>
        <w:jc w:val="both"/>
        <w:rPr>
          <w:rFonts w:ascii="Times New Roman" w:hAnsi="Times New Roman" w:cs="Times New Roman"/>
          <w:sz w:val="24"/>
          <w:szCs w:val="24"/>
        </w:rPr>
      </w:pPr>
      <w:r w:rsidRPr="00833C11">
        <w:rPr>
          <w:rFonts w:ascii="Times New Roman" w:hAnsi="Times New Roman" w:cs="Times New Roman"/>
          <w:sz w:val="24"/>
          <w:szCs w:val="24"/>
        </w:rPr>
        <w:t xml:space="preserve">Siekiant skatinti platesnę vartojimo ginčų komisijų veiklą ir stiprinti vartotojų asociacijas, numatoma galimybė vartotojų asociacijoms organizuoti vartojimo ginčų komisijų veiklą sprendžiant ginčus tam tikrose srityse (pavyzdžiui, dėl nuotolinės prekybos) ir techniškai aptarnauti šias komisijas. </w:t>
      </w:r>
    </w:p>
    <w:p w:rsidR="00833C11" w:rsidRPr="00833C11" w:rsidRDefault="00833C11" w:rsidP="00833C11">
      <w:pPr>
        <w:pStyle w:val="HTMLiankstoformatuotas"/>
        <w:ind w:firstLine="851"/>
        <w:jc w:val="both"/>
        <w:rPr>
          <w:rFonts w:ascii="Times New Roman" w:hAnsi="Times New Roman" w:cs="Times New Roman"/>
          <w:sz w:val="24"/>
          <w:szCs w:val="24"/>
        </w:rPr>
      </w:pPr>
      <w:r w:rsidRPr="00833C11">
        <w:rPr>
          <w:rFonts w:ascii="Times New Roman" w:hAnsi="Times New Roman" w:cs="Times New Roman"/>
          <w:sz w:val="24"/>
          <w:szCs w:val="24"/>
        </w:rPr>
        <w:t>Įgaliotųjų vartotojų asociacijų projektai dėl grupės ieškinių teikimo</w:t>
      </w:r>
      <w:r w:rsidRPr="00833C11">
        <w:rPr>
          <w:rFonts w:ascii="Times New Roman" w:hAnsi="Times New Roman" w:cs="Times New Roman"/>
          <w:color w:val="000000"/>
          <w:sz w:val="24"/>
          <w:szCs w:val="24"/>
        </w:rPr>
        <w:t>, vartotojų viešojo intereso gynimo ir vartotojų asociacijų projektai dėl vartojimo ginčų komisijų veiklos organizavimo atrenkami konkurso būdu ir finansuojami</w:t>
      </w:r>
      <w:r w:rsidRPr="00833C11">
        <w:rPr>
          <w:rFonts w:ascii="Times New Roman" w:hAnsi="Times New Roman" w:cs="Times New Roman"/>
          <w:sz w:val="24"/>
          <w:szCs w:val="24"/>
        </w:rPr>
        <w:t xml:space="preserve"> </w:t>
      </w:r>
      <w:r w:rsidRPr="00833C11">
        <w:rPr>
          <w:rFonts w:ascii="Times New Roman" w:hAnsi="Times New Roman" w:cs="Times New Roman"/>
          <w:color w:val="000000"/>
          <w:sz w:val="24"/>
          <w:szCs w:val="24"/>
        </w:rPr>
        <w:t xml:space="preserve">teisingumo ministro nustatyta tvarka. </w:t>
      </w:r>
    </w:p>
    <w:p w:rsidR="00833C11" w:rsidRPr="00833C11" w:rsidRDefault="003508C0" w:rsidP="00833C11">
      <w:pPr>
        <w:pStyle w:val="HTMLiankstoformatuotas"/>
        <w:ind w:firstLine="851"/>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9. </w:t>
      </w:r>
      <w:r w:rsidRPr="003508C0">
        <w:rPr>
          <w:rFonts w:ascii="Times New Roman" w:hAnsi="Times New Roman" w:cs="Times New Roman"/>
          <w:sz w:val="24"/>
          <w:szCs w:val="24"/>
        </w:rPr>
        <w:t>Va</w:t>
      </w:r>
      <w:r w:rsidR="008C50B8">
        <w:rPr>
          <w:rFonts w:ascii="Times New Roman" w:hAnsi="Times New Roman" w:cs="Times New Roman"/>
          <w:sz w:val="24"/>
          <w:szCs w:val="24"/>
        </w:rPr>
        <w:t>rtotojų teisių apsaugos įstatymo pakeitimo projekte</w:t>
      </w:r>
      <w:r w:rsidRPr="003508C0">
        <w:rPr>
          <w:rFonts w:ascii="Times New Roman" w:hAnsi="Times New Roman" w:cs="Times New Roman"/>
          <w:sz w:val="24"/>
          <w:szCs w:val="24"/>
        </w:rPr>
        <w:t xml:space="preserve"> </w:t>
      </w:r>
      <w:r>
        <w:rPr>
          <w:rFonts w:ascii="Times New Roman" w:hAnsi="Times New Roman" w:cs="Times New Roman"/>
          <w:sz w:val="24"/>
          <w:szCs w:val="24"/>
        </w:rPr>
        <w:t xml:space="preserve">taip pat </w:t>
      </w:r>
      <w:r w:rsidRPr="003508C0">
        <w:rPr>
          <w:rFonts w:ascii="Times New Roman" w:hAnsi="Times New Roman" w:cs="Times New Roman"/>
          <w:sz w:val="24"/>
          <w:szCs w:val="24"/>
        </w:rPr>
        <w:t xml:space="preserve">siūlomi pakeitimai, reikalingi 2016 m. balandžio 27 d. Europos Parlamento ir Tarybos reglamento (ES) 2016/679 dėl fizinių asmenų apsaugos tvarkant asmens duomenis ir dėl laisvo tokių duomenų judėjimo ir kuriuo panaikinama Direktyva 95/46/EB (Bendrojo duomenų apsaugos reglamento) </w:t>
      </w:r>
      <w:r>
        <w:rPr>
          <w:rFonts w:ascii="Times New Roman" w:hAnsi="Times New Roman" w:cs="Times New Roman"/>
          <w:sz w:val="24"/>
          <w:szCs w:val="24"/>
        </w:rPr>
        <w:t xml:space="preserve">nuostatoms įgyvendinti. </w:t>
      </w:r>
      <w:r w:rsidR="00833C11" w:rsidRPr="00833C11">
        <w:rPr>
          <w:rFonts w:ascii="Times New Roman" w:hAnsi="Times New Roman" w:cs="Times New Roman"/>
          <w:sz w:val="24"/>
          <w:szCs w:val="24"/>
        </w:rPr>
        <w:t xml:space="preserve">Taip pat numatomi būtini Vartotojų teisių apsaugos įstatymo nuostatų redakciniai pakeitimai, eliminuojant nuorodas į neaktualias nuostatas, suderinant įstatymo nuostatų terminologiją ir atsisakant neaktualių nuostatų dėl viešo paskelbimo apie vartotojų viešojo intereso gynimą. </w:t>
      </w:r>
    </w:p>
    <w:p w:rsidR="00833C11" w:rsidRPr="00833C11" w:rsidRDefault="00833C11" w:rsidP="00833C11">
      <w:pPr>
        <w:pStyle w:val="HTMLiankstoformatuotas"/>
        <w:ind w:firstLine="851"/>
        <w:jc w:val="both"/>
        <w:rPr>
          <w:rFonts w:ascii="Times New Roman" w:hAnsi="Times New Roman" w:cs="Times New Roman"/>
          <w:sz w:val="24"/>
        </w:rPr>
      </w:pPr>
      <w:r w:rsidRPr="00833C11">
        <w:rPr>
          <w:rFonts w:ascii="Times New Roman" w:hAnsi="Times New Roman" w:cs="Times New Roman"/>
          <w:sz w:val="24"/>
          <w:szCs w:val="24"/>
        </w:rPr>
        <w:lastRenderedPageBreak/>
        <w:t xml:space="preserve">Numatoma, kad </w:t>
      </w:r>
      <w:r w:rsidRPr="00833C11">
        <w:rPr>
          <w:rFonts w:ascii="Times New Roman" w:hAnsi="Times New Roman" w:cs="Times New Roman"/>
          <w:sz w:val="24"/>
        </w:rPr>
        <w:t>Vartotojų teisių apsaugos įstatymo pakeitimo projekto nuostatos (ir su jomis susijusios CPK pakeitimo projekto nuostatos)</w:t>
      </w:r>
      <w:r w:rsidRPr="00833C11">
        <w:rPr>
          <w:rFonts w:ascii="Times New Roman" w:hAnsi="Times New Roman" w:cs="Times New Roman"/>
          <w:sz w:val="24"/>
          <w:szCs w:val="24"/>
        </w:rPr>
        <w:t xml:space="preserve"> turi įsigalioti 2020 m. liepos 1 d., išskyrus nuostatas dėl vartotojų asociacijų teisės organizuoti vartojimo ginčų komisijų veiklą, kurios įsigalios 2020 m. sausio 1 d.</w:t>
      </w:r>
    </w:p>
    <w:tbl>
      <w:tblPr>
        <w:tblW w:w="5028" w:type="pct"/>
        <w:tblCellSpacing w:w="0" w:type="dxa"/>
        <w:tblCellMar>
          <w:left w:w="0" w:type="dxa"/>
          <w:right w:w="0" w:type="dxa"/>
        </w:tblCellMar>
        <w:tblLook w:val="04A0" w:firstRow="1" w:lastRow="0" w:firstColumn="1" w:lastColumn="0" w:noHBand="0" w:noVBand="1"/>
      </w:tblPr>
      <w:tblGrid>
        <w:gridCol w:w="9611"/>
        <w:gridCol w:w="25"/>
        <w:gridCol w:w="25"/>
        <w:gridCol w:w="31"/>
      </w:tblGrid>
      <w:tr w:rsidR="00DA5736" w:rsidRPr="00716125" w:rsidTr="00DA5736">
        <w:trPr>
          <w:tblCellSpacing w:w="0" w:type="dxa"/>
        </w:trPr>
        <w:tc>
          <w:tcPr>
            <w:tcW w:w="0" w:type="auto"/>
            <w:hideMark/>
          </w:tcPr>
          <w:p w:rsidR="00DA5736" w:rsidRPr="00716125" w:rsidRDefault="00DA5736" w:rsidP="00B37415">
            <w:pPr>
              <w:jc w:val="both"/>
            </w:pPr>
          </w:p>
        </w:tc>
        <w:tc>
          <w:tcPr>
            <w:tcW w:w="13" w:type="pct"/>
          </w:tcPr>
          <w:p w:rsidR="00DA5736" w:rsidRPr="00716125" w:rsidRDefault="00DA5736" w:rsidP="005E4CDB">
            <w:pPr>
              <w:ind w:firstLine="709"/>
              <w:jc w:val="both"/>
            </w:pPr>
          </w:p>
        </w:tc>
        <w:tc>
          <w:tcPr>
            <w:tcW w:w="13" w:type="pct"/>
          </w:tcPr>
          <w:p w:rsidR="00DA5736" w:rsidRPr="00716125" w:rsidRDefault="00DA5736" w:rsidP="005E4CDB">
            <w:pPr>
              <w:ind w:firstLine="709"/>
              <w:jc w:val="both"/>
            </w:pPr>
          </w:p>
        </w:tc>
        <w:tc>
          <w:tcPr>
            <w:tcW w:w="16" w:type="pct"/>
          </w:tcPr>
          <w:p w:rsidR="00DA5736" w:rsidRPr="00716125" w:rsidRDefault="00DA5736" w:rsidP="005E4CDB">
            <w:pPr>
              <w:ind w:firstLine="709"/>
              <w:jc w:val="both"/>
            </w:pPr>
          </w:p>
        </w:tc>
      </w:tr>
    </w:tbl>
    <w:p w:rsidR="00D30D08" w:rsidRPr="00E12EF1" w:rsidRDefault="00D30D08" w:rsidP="00EF533C">
      <w:pPr>
        <w:tabs>
          <w:tab w:val="left" w:pos="720"/>
          <w:tab w:val="left" w:pos="960"/>
          <w:tab w:val="left" w:pos="1080"/>
        </w:tabs>
        <w:ind w:firstLine="851"/>
        <w:jc w:val="both"/>
        <w:rPr>
          <w:b/>
        </w:rPr>
      </w:pPr>
      <w:r w:rsidRPr="00716125">
        <w:rPr>
          <w:b/>
        </w:rPr>
        <w:t>5. Numatomo teisinio reguliavimo poveikio verti</w:t>
      </w:r>
      <w:r w:rsidRPr="00E12EF1">
        <w:rPr>
          <w:b/>
        </w:rPr>
        <w:t>nimo rezultatai, galimos neigiamos priimto įstatymo pasekmės ir kokių priemonių reikėtų imtis, kad tokių pasekmių būtų išvengta</w:t>
      </w:r>
    </w:p>
    <w:p w:rsidR="005268F0" w:rsidRPr="005268F0" w:rsidRDefault="005268F0" w:rsidP="00964FBC">
      <w:pPr>
        <w:pStyle w:val="HTMLiankstoformatuotas"/>
        <w:ind w:firstLine="851"/>
        <w:jc w:val="both"/>
        <w:rPr>
          <w:rFonts w:ascii="Times New Roman" w:hAnsi="Times New Roman" w:cs="Times New Roman"/>
          <w:sz w:val="24"/>
        </w:rPr>
      </w:pPr>
      <w:r w:rsidRPr="005268F0">
        <w:rPr>
          <w:rFonts w:ascii="Times New Roman" w:hAnsi="Times New Roman" w:cs="Times New Roman"/>
          <w:sz w:val="24"/>
        </w:rPr>
        <w:t xml:space="preserve">Tikimasi, kad, priėmus įstatymų projektais </w:t>
      </w:r>
      <w:r>
        <w:rPr>
          <w:rFonts w:ascii="Times New Roman" w:hAnsi="Times New Roman" w:cs="Times New Roman"/>
          <w:sz w:val="24"/>
        </w:rPr>
        <w:t xml:space="preserve">siūlomus pakeitimus, bus sudarytos geresnės teisinės prielaidos pasinaudoti viena iš pažeistų teisių gynimo procesinių formų, t. y. grupės ieškiniu. Vietoj keliasdešimties ar daugiau individualių ieškinių reiškiant vieną grupės ieškinį, bus užtikrinamas </w:t>
      </w:r>
      <w:r w:rsidR="00AB1632">
        <w:rPr>
          <w:rFonts w:ascii="Times New Roman" w:hAnsi="Times New Roman" w:cs="Times New Roman"/>
          <w:sz w:val="24"/>
        </w:rPr>
        <w:t>proceso ekonomiškumas, taupomos tiek proceso šalių, tiek ir paties teismo laiko ir finansinės sąnaudos.</w:t>
      </w:r>
    </w:p>
    <w:p w:rsidR="00833C11" w:rsidRPr="00833C11" w:rsidRDefault="00833C11" w:rsidP="00833C11">
      <w:pPr>
        <w:pStyle w:val="HTMLiankstoformatuotas"/>
        <w:ind w:firstLine="851"/>
        <w:jc w:val="both"/>
        <w:rPr>
          <w:rFonts w:ascii="Times New Roman" w:hAnsi="Times New Roman" w:cs="Times New Roman"/>
          <w:sz w:val="24"/>
          <w:szCs w:val="24"/>
        </w:rPr>
      </w:pPr>
      <w:r w:rsidRPr="00833C11">
        <w:rPr>
          <w:rFonts w:ascii="Times New Roman" w:hAnsi="Times New Roman" w:cs="Times New Roman"/>
          <w:sz w:val="24"/>
          <w:szCs w:val="24"/>
        </w:rPr>
        <w:t>Numatoma, kad sudarius palankesnes sąlygas ginti vartotojų interesus grupės ieškiniu, bus dažniau reiškiami grupės ieškiniai, susiję su reikalavimais</w:t>
      </w:r>
      <w:r w:rsidR="00980FE8">
        <w:rPr>
          <w:rFonts w:ascii="Times New Roman" w:hAnsi="Times New Roman" w:cs="Times New Roman"/>
          <w:sz w:val="24"/>
          <w:szCs w:val="24"/>
        </w:rPr>
        <w:t>,</w:t>
      </w:r>
      <w:r w:rsidRPr="00833C11">
        <w:rPr>
          <w:rFonts w:ascii="Times New Roman" w:hAnsi="Times New Roman" w:cs="Times New Roman"/>
          <w:sz w:val="24"/>
          <w:szCs w:val="24"/>
        </w:rPr>
        <w:t xml:space="preserve"> kylančiais iš vartojimo teisinių santykių, ir bus užtikrintas aukštesnis vartotojų apsaugos lygis.</w:t>
      </w:r>
    </w:p>
    <w:p w:rsidR="005405DF" w:rsidRPr="00E12EF1" w:rsidRDefault="00833C11" w:rsidP="00833C11">
      <w:pPr>
        <w:pStyle w:val="HTMLiankstoformatuotas"/>
        <w:ind w:firstLine="851"/>
        <w:jc w:val="both"/>
        <w:rPr>
          <w:rFonts w:ascii="Times New Roman" w:hAnsi="Times New Roman" w:cs="Times New Roman"/>
          <w:sz w:val="24"/>
          <w:szCs w:val="24"/>
        </w:rPr>
      </w:pPr>
      <w:r w:rsidRPr="00833C11">
        <w:rPr>
          <w:rFonts w:ascii="Times New Roman" w:hAnsi="Times New Roman" w:cs="Times New Roman"/>
          <w:sz w:val="24"/>
          <w:szCs w:val="24"/>
        </w:rPr>
        <w:t>Sudarius galimybę vartotojų asociacijoms organizuoti vartojimo ginčų komisijų veiklą, bus stiprinami vartotojų asociacijų administraciniai gebėjimai ir sumažintas Valstybinės vartotojų teisių apsaugos tarnybos darbo krūvis, nagrinėjant vartojimo ginčus neteismine tvarka.</w:t>
      </w:r>
    </w:p>
    <w:p w:rsidR="00164F23" w:rsidRPr="00587F37" w:rsidRDefault="00164F23" w:rsidP="00164F23">
      <w:pPr>
        <w:ind w:firstLine="709"/>
        <w:jc w:val="both"/>
      </w:pPr>
    </w:p>
    <w:p w:rsidR="00D30D08" w:rsidRPr="00E12EF1" w:rsidRDefault="00473070" w:rsidP="00964FBC">
      <w:pPr>
        <w:pStyle w:val="HTMLiankstoformatuotas"/>
        <w:ind w:firstLine="851"/>
        <w:jc w:val="both"/>
        <w:rPr>
          <w:rFonts w:ascii="Times New Roman" w:hAnsi="Times New Roman" w:cs="Times New Roman"/>
          <w:b/>
          <w:sz w:val="24"/>
          <w:szCs w:val="24"/>
        </w:rPr>
      </w:pPr>
      <w:r w:rsidRPr="00E12EF1">
        <w:rPr>
          <w:rFonts w:ascii="Times New Roman" w:hAnsi="Times New Roman" w:cs="Times New Roman"/>
          <w:b/>
          <w:sz w:val="24"/>
          <w:szCs w:val="24"/>
        </w:rPr>
        <w:t>6. Galima priimto įstatymo</w:t>
      </w:r>
      <w:r w:rsidR="00F33ED3" w:rsidRPr="00E12EF1">
        <w:rPr>
          <w:rFonts w:ascii="Times New Roman" w:hAnsi="Times New Roman" w:cs="Times New Roman"/>
          <w:b/>
          <w:sz w:val="24"/>
          <w:szCs w:val="24"/>
        </w:rPr>
        <w:t xml:space="preserve"> įtaka kriminogeninei </w:t>
      </w:r>
      <w:r w:rsidR="00D30D08" w:rsidRPr="00E12EF1">
        <w:rPr>
          <w:rFonts w:ascii="Times New Roman" w:hAnsi="Times New Roman" w:cs="Times New Roman"/>
          <w:b/>
          <w:sz w:val="24"/>
          <w:szCs w:val="24"/>
        </w:rPr>
        <w:t>situacijai, korupcijai</w:t>
      </w:r>
    </w:p>
    <w:p w:rsidR="0021040B" w:rsidRPr="00E12EF1" w:rsidRDefault="00535107" w:rsidP="00964FBC">
      <w:pPr>
        <w:pStyle w:val="HTMLiankstoformatuotas"/>
        <w:ind w:firstLine="851"/>
        <w:jc w:val="both"/>
        <w:rPr>
          <w:rFonts w:ascii="Times New Roman" w:hAnsi="Times New Roman" w:cs="Times New Roman"/>
          <w:sz w:val="24"/>
          <w:szCs w:val="24"/>
        </w:rPr>
      </w:pPr>
      <w:r w:rsidRPr="00E12EF1">
        <w:rPr>
          <w:rFonts w:ascii="Times New Roman" w:hAnsi="Times New Roman" w:cs="Times New Roman"/>
          <w:sz w:val="24"/>
          <w:szCs w:val="24"/>
        </w:rPr>
        <w:t>Įstatymų projektų</w:t>
      </w:r>
      <w:r w:rsidR="0021040B" w:rsidRPr="00E12EF1">
        <w:rPr>
          <w:rFonts w:ascii="Times New Roman" w:hAnsi="Times New Roman" w:cs="Times New Roman"/>
          <w:sz w:val="24"/>
          <w:szCs w:val="24"/>
        </w:rPr>
        <w:t xml:space="preserve"> priėmimo poveikis kriminogeninei situacijai, korupcijai </w:t>
      </w:r>
      <w:r w:rsidR="00B714E6">
        <w:rPr>
          <w:rFonts w:ascii="Times New Roman" w:hAnsi="Times New Roman" w:cs="Times New Roman"/>
          <w:sz w:val="24"/>
          <w:szCs w:val="24"/>
        </w:rPr>
        <w:t>nenumatomas</w:t>
      </w:r>
      <w:r w:rsidR="0021040B" w:rsidRPr="00E12EF1">
        <w:rPr>
          <w:rFonts w:ascii="Times New Roman" w:hAnsi="Times New Roman" w:cs="Times New Roman"/>
          <w:sz w:val="24"/>
          <w:szCs w:val="24"/>
        </w:rPr>
        <w:t>.</w:t>
      </w:r>
    </w:p>
    <w:p w:rsidR="00D30D08" w:rsidRPr="00E12EF1" w:rsidRDefault="00D30D08" w:rsidP="00964FBC">
      <w:pPr>
        <w:pStyle w:val="HTMLiankstoformatuotas"/>
        <w:ind w:firstLine="851"/>
        <w:jc w:val="both"/>
        <w:rPr>
          <w:rFonts w:ascii="Times New Roman" w:hAnsi="Times New Roman" w:cs="Times New Roman"/>
          <w:sz w:val="24"/>
          <w:szCs w:val="24"/>
        </w:rPr>
      </w:pPr>
    </w:p>
    <w:p w:rsidR="00D30D08" w:rsidRPr="00E12EF1" w:rsidRDefault="00EF533C" w:rsidP="00EF533C">
      <w:pPr>
        <w:tabs>
          <w:tab w:val="left" w:pos="960"/>
          <w:tab w:val="left" w:pos="1080"/>
        </w:tabs>
        <w:ind w:firstLine="851"/>
        <w:jc w:val="both"/>
        <w:rPr>
          <w:b/>
        </w:rPr>
      </w:pPr>
      <w:r w:rsidRPr="00E12EF1">
        <w:rPr>
          <w:b/>
        </w:rPr>
        <w:t xml:space="preserve">7. </w:t>
      </w:r>
      <w:r w:rsidR="00D30D08" w:rsidRPr="00E12EF1">
        <w:rPr>
          <w:b/>
        </w:rPr>
        <w:t xml:space="preserve">Galima </w:t>
      </w:r>
      <w:r w:rsidR="00473070" w:rsidRPr="00E12EF1">
        <w:rPr>
          <w:b/>
        </w:rPr>
        <w:t>įstatymo</w:t>
      </w:r>
      <w:r w:rsidR="00D30D08" w:rsidRPr="00E12EF1">
        <w:rPr>
          <w:b/>
        </w:rPr>
        <w:t xml:space="preserve"> įgyvendinimo įtaka verslo sąlygoms ir jo plėtrai</w:t>
      </w:r>
    </w:p>
    <w:p w:rsidR="0021040B" w:rsidRPr="00E12EF1" w:rsidRDefault="00535107" w:rsidP="00964FBC">
      <w:pPr>
        <w:pStyle w:val="HTMLiankstoformatuotas"/>
        <w:ind w:firstLine="851"/>
        <w:jc w:val="both"/>
        <w:rPr>
          <w:rFonts w:ascii="Times New Roman" w:hAnsi="Times New Roman" w:cs="Times New Roman"/>
          <w:sz w:val="24"/>
          <w:szCs w:val="24"/>
        </w:rPr>
      </w:pPr>
      <w:r w:rsidRPr="00E12EF1">
        <w:rPr>
          <w:rFonts w:ascii="Times New Roman" w:hAnsi="Times New Roman" w:cs="Times New Roman"/>
          <w:sz w:val="24"/>
          <w:szCs w:val="24"/>
        </w:rPr>
        <w:t>Įstatymų projektų</w:t>
      </w:r>
      <w:r w:rsidR="0021040B" w:rsidRPr="00E12EF1">
        <w:rPr>
          <w:rFonts w:ascii="Times New Roman" w:hAnsi="Times New Roman" w:cs="Times New Roman"/>
          <w:sz w:val="24"/>
          <w:szCs w:val="24"/>
        </w:rPr>
        <w:t xml:space="preserve"> priėmimas tiesioginės įtakos verslo sąlygoms ir jo plėtrai neturės.</w:t>
      </w:r>
      <w:r w:rsidR="00B714E6">
        <w:rPr>
          <w:rFonts w:ascii="Times New Roman" w:hAnsi="Times New Roman" w:cs="Times New Roman"/>
          <w:sz w:val="24"/>
          <w:szCs w:val="24"/>
        </w:rPr>
        <w:t xml:space="preserve"> Visgi, priėmus įstatymų projektus, gali padaugėti atvejų, kai bus kreipiamasi į teismus su grupės ieškiniais, atsakovais traukiant verslo subjektus (pavyzdžiui, reiškiant reikalavimus, kylančius iš vartojimo teisinių santykių).</w:t>
      </w:r>
    </w:p>
    <w:p w:rsidR="00182AD9" w:rsidRPr="00E12EF1" w:rsidRDefault="00182AD9" w:rsidP="00964F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D30D08" w:rsidRPr="00E12EF1" w:rsidRDefault="00EF533C" w:rsidP="00EF533C">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12EF1">
        <w:rPr>
          <w:b/>
        </w:rPr>
        <w:t xml:space="preserve">8. </w:t>
      </w:r>
      <w:r w:rsidR="00473070" w:rsidRPr="00E12EF1">
        <w:rPr>
          <w:b/>
        </w:rPr>
        <w:t>Įstatymo</w:t>
      </w:r>
      <w:r w:rsidR="00D30D08" w:rsidRPr="00E12EF1">
        <w:rPr>
          <w:b/>
        </w:rPr>
        <w:t xml:space="preserve"> inkorporavimas į teisinę sistemą, teisės aktai, kuriuos būtina priimti, galiojantys teisės aktai, kuriuos reikia pakeisti ar pripažinti netekusiais galios</w:t>
      </w:r>
    </w:p>
    <w:p w:rsidR="0021040B" w:rsidRPr="00E12EF1" w:rsidRDefault="00570134" w:rsidP="00964FBC">
      <w:pPr>
        <w:pStyle w:val="HTMLiankstoformatuotas"/>
        <w:ind w:firstLine="851"/>
        <w:jc w:val="both"/>
        <w:rPr>
          <w:rFonts w:ascii="Times New Roman" w:hAnsi="Times New Roman" w:cs="Times New Roman"/>
          <w:sz w:val="24"/>
          <w:szCs w:val="24"/>
        </w:rPr>
      </w:pPr>
      <w:r w:rsidRPr="00E12EF1">
        <w:rPr>
          <w:rFonts w:ascii="Times New Roman" w:hAnsi="Times New Roman" w:cs="Times New Roman"/>
          <w:sz w:val="24"/>
          <w:szCs w:val="24"/>
        </w:rPr>
        <w:t>Priėmus įstatymų projektus</w:t>
      </w:r>
      <w:r w:rsidR="00E672C3" w:rsidRPr="00E12EF1">
        <w:rPr>
          <w:rFonts w:ascii="Times New Roman" w:hAnsi="Times New Roman" w:cs="Times New Roman"/>
          <w:sz w:val="24"/>
          <w:szCs w:val="24"/>
        </w:rPr>
        <w:t xml:space="preserve">, </w:t>
      </w:r>
      <w:r w:rsidRPr="00E12EF1">
        <w:rPr>
          <w:rFonts w:ascii="Times New Roman" w:hAnsi="Times New Roman" w:cs="Times New Roman"/>
          <w:sz w:val="24"/>
          <w:szCs w:val="24"/>
        </w:rPr>
        <w:t>nenumatomas poreikis keisti kitus galiojančius įstatymus</w:t>
      </w:r>
      <w:r w:rsidR="00E672C3" w:rsidRPr="00E12EF1">
        <w:rPr>
          <w:rFonts w:ascii="Times New Roman" w:hAnsi="Times New Roman" w:cs="Times New Roman"/>
          <w:sz w:val="24"/>
          <w:szCs w:val="24"/>
        </w:rPr>
        <w:t>.</w:t>
      </w:r>
    </w:p>
    <w:p w:rsidR="006D309A" w:rsidRPr="00E12EF1" w:rsidRDefault="006D309A" w:rsidP="00964FBC">
      <w:pPr>
        <w:pStyle w:val="HTMLiankstoformatuotas"/>
        <w:tabs>
          <w:tab w:val="clear" w:pos="916"/>
          <w:tab w:val="left" w:pos="709"/>
        </w:tabs>
        <w:ind w:firstLine="851"/>
        <w:jc w:val="both"/>
        <w:rPr>
          <w:rFonts w:ascii="Times New Roman" w:hAnsi="Times New Roman" w:cs="Times New Roman"/>
          <w:sz w:val="24"/>
          <w:szCs w:val="24"/>
        </w:rPr>
      </w:pPr>
    </w:p>
    <w:p w:rsidR="005E40E0" w:rsidRPr="00E12EF1" w:rsidRDefault="00EF533C" w:rsidP="00EF533C">
      <w:pPr>
        <w:tabs>
          <w:tab w:val="left" w:pos="0"/>
          <w:tab w:val="left" w:pos="993"/>
        </w:tabs>
        <w:ind w:firstLine="851"/>
        <w:jc w:val="both"/>
        <w:rPr>
          <w:b/>
        </w:rPr>
      </w:pPr>
      <w:r w:rsidRPr="00E12EF1">
        <w:rPr>
          <w:b/>
        </w:rPr>
        <w:t xml:space="preserve">9. </w:t>
      </w:r>
      <w:r w:rsidR="00473070" w:rsidRPr="00E12EF1">
        <w:rPr>
          <w:b/>
        </w:rPr>
        <w:t>Įstatymo projekto</w:t>
      </w:r>
      <w:r w:rsidR="00D30D08" w:rsidRPr="00E12EF1">
        <w:rPr>
          <w:b/>
        </w:rPr>
        <w:t xml:space="preserve"> atitiktis Lietuvos Respublikos valstybinės kalbos, Teisėkūros pagrindų įstatymų reikalavimams, Įstatymo projekto sąvokų ir jas įvardijančių terminų įvertinimas Terminų banko įstatymo ir jo įgyvendinamųj</w:t>
      </w:r>
      <w:r w:rsidR="00BB1B76" w:rsidRPr="00E12EF1">
        <w:rPr>
          <w:b/>
        </w:rPr>
        <w:t>ų teisės aktų nustatyta tvarka.</w:t>
      </w:r>
    </w:p>
    <w:p w:rsidR="00570134" w:rsidRPr="00E12EF1" w:rsidRDefault="00570134" w:rsidP="00964FBC">
      <w:pPr>
        <w:pStyle w:val="HTMLiankstoformatuotas"/>
        <w:ind w:firstLine="851"/>
        <w:jc w:val="both"/>
        <w:rPr>
          <w:rFonts w:ascii="Times New Roman" w:hAnsi="Times New Roman" w:cs="Times New Roman"/>
          <w:sz w:val="24"/>
          <w:szCs w:val="24"/>
        </w:rPr>
      </w:pPr>
      <w:r w:rsidRPr="00E12EF1">
        <w:rPr>
          <w:rFonts w:ascii="Times New Roman" w:hAnsi="Times New Roman" w:cs="Times New Roman"/>
          <w:sz w:val="24"/>
          <w:szCs w:val="24"/>
        </w:rPr>
        <w:t>Įstatymų projektai</w:t>
      </w:r>
      <w:r w:rsidR="00BB1B76" w:rsidRPr="00E12EF1">
        <w:rPr>
          <w:rFonts w:ascii="Times New Roman" w:hAnsi="Times New Roman" w:cs="Times New Roman"/>
          <w:sz w:val="24"/>
          <w:szCs w:val="24"/>
        </w:rPr>
        <w:t xml:space="preserve"> atitinka Lietuvos Respublikos valstybinės kalbos, Lietuvos Respublikos teisėkūros pagrindų įstatymų </w:t>
      </w:r>
      <w:r w:rsidRPr="00E12EF1">
        <w:rPr>
          <w:rFonts w:ascii="Times New Roman" w:hAnsi="Times New Roman" w:cs="Times New Roman"/>
          <w:sz w:val="24"/>
          <w:szCs w:val="24"/>
        </w:rPr>
        <w:t>reikalavimus. Įstatymų</w:t>
      </w:r>
      <w:r w:rsidR="00BB1B76" w:rsidRPr="00E12EF1">
        <w:rPr>
          <w:rFonts w:ascii="Times New Roman" w:hAnsi="Times New Roman" w:cs="Times New Roman"/>
          <w:sz w:val="24"/>
          <w:szCs w:val="24"/>
        </w:rPr>
        <w:t xml:space="preserve"> p</w:t>
      </w:r>
      <w:r w:rsidRPr="00E12EF1">
        <w:rPr>
          <w:rFonts w:ascii="Times New Roman" w:hAnsi="Times New Roman" w:cs="Times New Roman"/>
          <w:sz w:val="24"/>
          <w:szCs w:val="24"/>
        </w:rPr>
        <w:t xml:space="preserve">rojektuose </w:t>
      </w:r>
      <w:r w:rsidR="00B714E6">
        <w:rPr>
          <w:rFonts w:ascii="Times New Roman" w:hAnsi="Times New Roman" w:cs="Times New Roman"/>
          <w:sz w:val="24"/>
          <w:szCs w:val="24"/>
        </w:rPr>
        <w:t>neįtvirtinamos naujos</w:t>
      </w:r>
      <w:r w:rsidRPr="00E12EF1">
        <w:rPr>
          <w:rFonts w:ascii="Times New Roman" w:hAnsi="Times New Roman" w:cs="Times New Roman"/>
          <w:sz w:val="24"/>
          <w:szCs w:val="24"/>
        </w:rPr>
        <w:t xml:space="preserve"> sąvokos.</w:t>
      </w:r>
    </w:p>
    <w:p w:rsidR="00473070" w:rsidRPr="00E12EF1" w:rsidRDefault="00473070" w:rsidP="00964FBC">
      <w:pPr>
        <w:pStyle w:val="HTMLiankstoformatuotas"/>
        <w:ind w:firstLine="851"/>
        <w:jc w:val="both"/>
        <w:rPr>
          <w:rFonts w:ascii="Times New Roman" w:hAnsi="Times New Roman" w:cs="Times New Roman"/>
          <w:sz w:val="24"/>
          <w:szCs w:val="24"/>
        </w:rPr>
      </w:pPr>
    </w:p>
    <w:p w:rsidR="00D30D08" w:rsidRPr="00E12EF1" w:rsidRDefault="00473070" w:rsidP="00964FBC">
      <w:pPr>
        <w:numPr>
          <w:ilvl w:val="0"/>
          <w:numId w:val="3"/>
        </w:numPr>
        <w:tabs>
          <w:tab w:val="clear" w:pos="720"/>
          <w:tab w:val="left" w:pos="0"/>
          <w:tab w:val="left" w:pos="1080"/>
        </w:tabs>
        <w:ind w:left="0" w:firstLine="851"/>
        <w:jc w:val="both"/>
        <w:rPr>
          <w:b/>
        </w:rPr>
      </w:pPr>
      <w:r w:rsidRPr="00E12EF1">
        <w:rPr>
          <w:b/>
        </w:rPr>
        <w:t>Įstatymo projekto</w:t>
      </w:r>
      <w:r w:rsidR="00D30D08" w:rsidRPr="00E12EF1">
        <w:rPr>
          <w:b/>
        </w:rPr>
        <w:t xml:space="preserve"> atitiktis Žmogaus teisių ir pagrindinių laisvių apsaugos konvencijos nuostatoms ir Europos Sąjungos dokumentams</w:t>
      </w:r>
    </w:p>
    <w:p w:rsidR="00D30D08" w:rsidRPr="00E12EF1" w:rsidRDefault="009C654B" w:rsidP="00964FBC">
      <w:pPr>
        <w:pStyle w:val="HTMLiankstoformatuotas"/>
        <w:ind w:firstLine="851"/>
        <w:jc w:val="both"/>
        <w:rPr>
          <w:rFonts w:ascii="Times New Roman" w:hAnsi="Times New Roman" w:cs="Times New Roman"/>
          <w:sz w:val="24"/>
          <w:szCs w:val="24"/>
        </w:rPr>
      </w:pPr>
      <w:r w:rsidRPr="00E12EF1">
        <w:rPr>
          <w:rFonts w:ascii="Times New Roman" w:hAnsi="Times New Roman" w:cs="Times New Roman"/>
          <w:sz w:val="24"/>
          <w:szCs w:val="24"/>
        </w:rPr>
        <w:t>Įstatym</w:t>
      </w:r>
      <w:r w:rsidR="00570134" w:rsidRPr="00E12EF1">
        <w:rPr>
          <w:rFonts w:ascii="Times New Roman" w:hAnsi="Times New Roman" w:cs="Times New Roman"/>
          <w:sz w:val="24"/>
          <w:szCs w:val="24"/>
        </w:rPr>
        <w:t>ų projektai</w:t>
      </w:r>
      <w:r w:rsidR="00D30D08" w:rsidRPr="00E12EF1">
        <w:rPr>
          <w:rFonts w:ascii="Times New Roman" w:hAnsi="Times New Roman" w:cs="Times New Roman"/>
          <w:sz w:val="24"/>
          <w:szCs w:val="24"/>
        </w:rPr>
        <w:t xml:space="preserve"> atitinka Žmogaus teisių ir pagrindinių laisvių apsaugos konvencijos nuostatas. </w:t>
      </w:r>
      <w:r w:rsidR="00DE0BB0" w:rsidRPr="00E12EF1">
        <w:rPr>
          <w:rFonts w:ascii="Times New Roman" w:hAnsi="Times New Roman" w:cs="Times New Roman"/>
          <w:sz w:val="24"/>
          <w:szCs w:val="24"/>
        </w:rPr>
        <w:t>Įstatym</w:t>
      </w:r>
      <w:r w:rsidR="00570134" w:rsidRPr="00E12EF1">
        <w:rPr>
          <w:rFonts w:ascii="Times New Roman" w:hAnsi="Times New Roman" w:cs="Times New Roman"/>
          <w:sz w:val="24"/>
          <w:szCs w:val="24"/>
        </w:rPr>
        <w:t>ų projektais</w:t>
      </w:r>
      <w:r w:rsidR="00C17F84" w:rsidRPr="00E12EF1">
        <w:rPr>
          <w:rFonts w:ascii="Times New Roman" w:hAnsi="Times New Roman" w:cs="Times New Roman"/>
          <w:sz w:val="24"/>
          <w:szCs w:val="24"/>
        </w:rPr>
        <w:t xml:space="preserve"> nėra įgyvendinami</w:t>
      </w:r>
      <w:r w:rsidR="00DE0BB0" w:rsidRPr="00E12EF1">
        <w:rPr>
          <w:rFonts w:ascii="Times New Roman" w:hAnsi="Times New Roman" w:cs="Times New Roman"/>
          <w:sz w:val="24"/>
          <w:szCs w:val="24"/>
        </w:rPr>
        <w:t xml:space="preserve"> </w:t>
      </w:r>
      <w:r w:rsidR="00C17F84" w:rsidRPr="00E12EF1">
        <w:rPr>
          <w:rFonts w:ascii="Times New Roman" w:hAnsi="Times New Roman" w:cs="Times New Roman"/>
          <w:sz w:val="24"/>
          <w:szCs w:val="24"/>
        </w:rPr>
        <w:t>Europos Sąjungos teisės aktai</w:t>
      </w:r>
      <w:r w:rsidR="00DE0BB0" w:rsidRPr="00E12EF1">
        <w:rPr>
          <w:rFonts w:ascii="Times New Roman" w:hAnsi="Times New Roman" w:cs="Times New Roman"/>
          <w:sz w:val="24"/>
          <w:szCs w:val="24"/>
        </w:rPr>
        <w:t>.</w:t>
      </w:r>
      <w:r w:rsidR="00B91195">
        <w:rPr>
          <w:rFonts w:ascii="Times New Roman" w:hAnsi="Times New Roman" w:cs="Times New Roman"/>
          <w:sz w:val="24"/>
          <w:szCs w:val="24"/>
        </w:rPr>
        <w:t xml:space="preserve"> Kartu pastebėtina, kad </w:t>
      </w:r>
      <w:r w:rsidR="00735740">
        <w:rPr>
          <w:rFonts w:ascii="Times New Roman" w:hAnsi="Times New Roman" w:cs="Times New Roman"/>
          <w:sz w:val="24"/>
          <w:szCs w:val="24"/>
        </w:rPr>
        <w:t xml:space="preserve">šiuo metu yra </w:t>
      </w:r>
      <w:r w:rsidR="00C8020A">
        <w:rPr>
          <w:rFonts w:ascii="Times New Roman" w:hAnsi="Times New Roman" w:cs="Times New Roman"/>
          <w:sz w:val="24"/>
          <w:szCs w:val="24"/>
        </w:rPr>
        <w:t xml:space="preserve">svarstomas pasiūlymas dėl </w:t>
      </w:r>
      <w:r w:rsidR="00C8020A" w:rsidRPr="00C10F26">
        <w:rPr>
          <w:rFonts w:ascii="Times New Roman" w:hAnsi="Times New Roman" w:cs="Times New Roman"/>
          <w:sz w:val="24"/>
          <w:szCs w:val="24"/>
        </w:rPr>
        <w:t>Europos Parlamento ir Tarybos direktyvos dėl atstovaujamųjų ieškinių ginant vartotojų kolektyvinius interesus, panaikinan</w:t>
      </w:r>
      <w:r w:rsidR="00C8020A">
        <w:rPr>
          <w:rFonts w:ascii="Times New Roman" w:hAnsi="Times New Roman" w:cs="Times New Roman"/>
          <w:sz w:val="24"/>
          <w:szCs w:val="24"/>
        </w:rPr>
        <w:t>tis direktyvą 2009/22/EB, į kurio taikymo sritį patenka ir grupės ieškiniai</w:t>
      </w:r>
      <w:r w:rsidR="00B91195">
        <w:rPr>
          <w:rFonts w:ascii="Times New Roman" w:hAnsi="Times New Roman" w:cs="Times New Roman"/>
          <w:sz w:val="24"/>
          <w:szCs w:val="24"/>
        </w:rPr>
        <w:t>.</w:t>
      </w:r>
    </w:p>
    <w:p w:rsidR="00D30D08" w:rsidRPr="00E12EF1" w:rsidRDefault="00D30D08" w:rsidP="00964FBC">
      <w:pPr>
        <w:pStyle w:val="HTMLiankstoformatuotas"/>
        <w:ind w:firstLine="851"/>
        <w:jc w:val="both"/>
        <w:rPr>
          <w:rFonts w:ascii="Times New Roman" w:hAnsi="Times New Roman" w:cs="Times New Roman"/>
          <w:sz w:val="24"/>
          <w:szCs w:val="24"/>
        </w:rPr>
      </w:pPr>
    </w:p>
    <w:p w:rsidR="00D30D08" w:rsidRPr="00E12EF1" w:rsidRDefault="00473070" w:rsidP="00964FBC">
      <w:pPr>
        <w:pStyle w:val="HTMLiankstoformatuotas"/>
        <w:ind w:firstLine="851"/>
        <w:jc w:val="both"/>
        <w:rPr>
          <w:rFonts w:ascii="Times New Roman" w:hAnsi="Times New Roman" w:cs="Times New Roman"/>
          <w:b/>
          <w:sz w:val="24"/>
          <w:szCs w:val="24"/>
        </w:rPr>
      </w:pPr>
      <w:r w:rsidRPr="00E12EF1">
        <w:rPr>
          <w:rFonts w:ascii="Times New Roman" w:hAnsi="Times New Roman" w:cs="Times New Roman"/>
          <w:b/>
          <w:sz w:val="24"/>
          <w:szCs w:val="24"/>
        </w:rPr>
        <w:t>11. Įstatymui</w:t>
      </w:r>
      <w:r w:rsidR="00D30D08" w:rsidRPr="00E12EF1">
        <w:rPr>
          <w:rFonts w:ascii="Times New Roman" w:hAnsi="Times New Roman" w:cs="Times New Roman"/>
          <w:b/>
          <w:sz w:val="24"/>
          <w:szCs w:val="24"/>
        </w:rPr>
        <w:t xml:space="preserve"> įgyvendinti reikalingi įgyvendinamieji teisės aktai, šių aktų rengėjai ir parengimo terminai</w:t>
      </w:r>
    </w:p>
    <w:p w:rsidR="00833C11" w:rsidRPr="00833C11" w:rsidRDefault="00833C11" w:rsidP="00833C11">
      <w:pPr>
        <w:tabs>
          <w:tab w:val="left" w:pos="709"/>
          <w:tab w:val="left" w:pos="1080"/>
        </w:tabs>
        <w:ind w:firstLine="851"/>
        <w:jc w:val="both"/>
        <w:rPr>
          <w:color w:val="000000"/>
        </w:rPr>
      </w:pPr>
      <w:r w:rsidRPr="00833C11">
        <w:t>Vartotojų teisių apsaugos įstatymo pakeitim</w:t>
      </w:r>
      <w:r w:rsidR="00980FE8">
        <w:t>ams</w:t>
      </w:r>
      <w:r w:rsidRPr="00833C11">
        <w:t xml:space="preserve"> įgyvendinti Lietuvos Respublikos Vyriausybės </w:t>
      </w:r>
      <w:r w:rsidRPr="00833C11">
        <w:rPr>
          <w:color w:val="000000"/>
        </w:rPr>
        <w:t xml:space="preserve">2008 m. vasario 13 d. </w:t>
      </w:r>
      <w:r w:rsidRPr="00833C11">
        <w:t xml:space="preserve">nutarimas </w:t>
      </w:r>
      <w:r w:rsidRPr="00833C11">
        <w:rPr>
          <w:color w:val="000000"/>
        </w:rPr>
        <w:t>Nr. 127 „Dėl finansinės paramos vartotojų asociacijos teikimo“ turės būt</w:t>
      </w:r>
      <w:r w:rsidR="00980FE8">
        <w:rPr>
          <w:color w:val="000000"/>
        </w:rPr>
        <w:t>i pripažintas netekusiu galios.</w:t>
      </w:r>
    </w:p>
    <w:p w:rsidR="00F04E15" w:rsidRPr="00CA7964" w:rsidRDefault="00F04E15" w:rsidP="00F04E15">
      <w:pPr>
        <w:tabs>
          <w:tab w:val="left" w:pos="709"/>
          <w:tab w:val="left" w:pos="1080"/>
        </w:tabs>
        <w:ind w:firstLine="851"/>
        <w:jc w:val="both"/>
        <w:rPr>
          <w:color w:val="000000"/>
        </w:rPr>
      </w:pPr>
      <w:r>
        <w:rPr>
          <w:color w:val="000000"/>
        </w:rPr>
        <w:t>Taip pat teisingumo ministro įsakymais turės būti patvirtinti šie teisės aktai:</w:t>
      </w:r>
    </w:p>
    <w:p w:rsidR="00F04E15" w:rsidRDefault="00F04E15" w:rsidP="00F04E15">
      <w:pPr>
        <w:tabs>
          <w:tab w:val="left" w:pos="709"/>
          <w:tab w:val="left" w:pos="1080"/>
        </w:tabs>
        <w:ind w:firstLine="851"/>
        <w:jc w:val="both"/>
        <w:rPr>
          <w:color w:val="000000"/>
        </w:rPr>
      </w:pPr>
      <w:r>
        <w:lastRenderedPageBreak/>
        <w:t xml:space="preserve">1) </w:t>
      </w:r>
      <w:r w:rsidRPr="00AA3897">
        <w:t>Įgalio</w:t>
      </w:r>
      <w:r>
        <w:t>tųjų vartotojų asociacijų sąrašo</w:t>
      </w:r>
      <w:r w:rsidRPr="00AA3897">
        <w:rPr>
          <w:color w:val="000000"/>
        </w:rPr>
        <w:t xml:space="preserve"> sudar</w:t>
      </w:r>
      <w:r>
        <w:rPr>
          <w:color w:val="000000"/>
        </w:rPr>
        <w:t>ymo</w:t>
      </w:r>
      <w:r w:rsidRPr="00AA3897">
        <w:rPr>
          <w:color w:val="000000"/>
        </w:rPr>
        <w:t xml:space="preserve"> ir tvark</w:t>
      </w:r>
      <w:r>
        <w:rPr>
          <w:color w:val="000000"/>
        </w:rPr>
        <w:t>ym</w:t>
      </w:r>
      <w:r w:rsidRPr="00AA3897">
        <w:rPr>
          <w:color w:val="000000"/>
        </w:rPr>
        <w:t>o</w:t>
      </w:r>
      <w:r>
        <w:rPr>
          <w:color w:val="000000"/>
        </w:rPr>
        <w:t xml:space="preserve"> taisyklės;</w:t>
      </w:r>
    </w:p>
    <w:p w:rsidR="00833C11" w:rsidRPr="00833C11" w:rsidRDefault="00F04E15" w:rsidP="00F04E15">
      <w:pPr>
        <w:tabs>
          <w:tab w:val="left" w:pos="709"/>
          <w:tab w:val="left" w:pos="1080"/>
        </w:tabs>
        <w:ind w:firstLine="851"/>
        <w:jc w:val="both"/>
        <w:rPr>
          <w:color w:val="000000"/>
        </w:rPr>
      </w:pPr>
      <w:r>
        <w:rPr>
          <w:color w:val="000000"/>
        </w:rPr>
        <w:t xml:space="preserve">2) </w:t>
      </w:r>
      <w:r>
        <w:t xml:space="preserve">Įgaliotųjų vartotojų asociacijų ir vartotojų asociacijų </w:t>
      </w:r>
      <w:r>
        <w:rPr>
          <w:color w:val="000000"/>
        </w:rPr>
        <w:t xml:space="preserve">projektų ir veiklos </w:t>
      </w:r>
      <w:r>
        <w:t xml:space="preserve">atrankos ir </w:t>
      </w:r>
      <w:r>
        <w:rPr>
          <w:color w:val="000000"/>
        </w:rPr>
        <w:t>finansavimo taisyklės.</w:t>
      </w:r>
    </w:p>
    <w:p w:rsidR="00C667A7" w:rsidRPr="00AA3897" w:rsidRDefault="00833C11" w:rsidP="00833C11">
      <w:pPr>
        <w:tabs>
          <w:tab w:val="left" w:pos="709"/>
          <w:tab w:val="left" w:pos="1080"/>
        </w:tabs>
        <w:ind w:firstLine="851"/>
        <w:jc w:val="both"/>
      </w:pPr>
      <w:r w:rsidRPr="00833C11">
        <w:rPr>
          <w:color w:val="000000"/>
        </w:rPr>
        <w:t>Kartu turės būti pakeisti Vartojimo ginčų komisijų nuostatai, patvirtinti teisingumo ministro 2016 m. sausio 20 d. įsakymu Nr. 1R-25.</w:t>
      </w:r>
    </w:p>
    <w:p w:rsidR="00CA7964" w:rsidRPr="00AA3897" w:rsidRDefault="00CA7964" w:rsidP="00964FBC">
      <w:pPr>
        <w:tabs>
          <w:tab w:val="left" w:pos="709"/>
          <w:tab w:val="left" w:pos="1080"/>
        </w:tabs>
        <w:ind w:firstLine="851"/>
        <w:jc w:val="both"/>
      </w:pPr>
    </w:p>
    <w:p w:rsidR="00BB1B76" w:rsidRPr="00E12EF1" w:rsidRDefault="00D30D08" w:rsidP="00964FBC">
      <w:pPr>
        <w:tabs>
          <w:tab w:val="left" w:pos="709"/>
          <w:tab w:val="left" w:pos="1080"/>
        </w:tabs>
        <w:ind w:firstLine="851"/>
        <w:jc w:val="both"/>
        <w:rPr>
          <w:b/>
        </w:rPr>
      </w:pPr>
      <w:r w:rsidRPr="00E12EF1">
        <w:rPr>
          <w:b/>
        </w:rPr>
        <w:t>12. Valstybės, savivaldybių biudžetų ir kitų valstybės įsteigtų fondų lėšos, kurių prireiks įstatymui įgyvendinti, ar bus galima sutaupyti (pateikiami prognozuojami rodikliai einamaisiais ir artimia</w:t>
      </w:r>
      <w:r w:rsidR="00BB1B76" w:rsidRPr="00E12EF1">
        <w:rPr>
          <w:b/>
        </w:rPr>
        <w:t>usiais 3 biudžetiniais metais).</w:t>
      </w:r>
    </w:p>
    <w:p w:rsidR="001272F2" w:rsidRPr="00E12EF1" w:rsidRDefault="009A0FF9" w:rsidP="009A0FF9">
      <w:pPr>
        <w:tabs>
          <w:tab w:val="left" w:pos="709"/>
          <w:tab w:val="left" w:pos="1080"/>
        </w:tabs>
        <w:ind w:firstLine="851"/>
        <w:jc w:val="both"/>
      </w:pPr>
      <w:r>
        <w:t xml:space="preserve">Priėmus įstatymų projektus, nenumatomas papildomų valstybės biudžeto lėšų poreikis. Numatoma, kad įgaliotųjų vartotojų asociacijų </w:t>
      </w:r>
      <w:r w:rsidRPr="009A0FF9">
        <w:t xml:space="preserve">veikla, ginant vartotojų viešąjį interesą ir </w:t>
      </w:r>
      <w:r>
        <w:t xml:space="preserve">atstovaujant grupės ieškinio bylose, iš dalies </w:t>
      </w:r>
      <w:r w:rsidRPr="009A0FF9">
        <w:t>bus finansuojama iš numatytų valstybės finansinės paramos vartotojų asociacijoms lėšų.</w:t>
      </w:r>
    </w:p>
    <w:p w:rsidR="00D30D08" w:rsidRPr="00E12EF1" w:rsidRDefault="00D30D08" w:rsidP="00964FBC">
      <w:pPr>
        <w:pStyle w:val="HTMLiankstoformatuotas"/>
        <w:ind w:firstLine="851"/>
        <w:jc w:val="both"/>
        <w:rPr>
          <w:rFonts w:ascii="Times New Roman" w:hAnsi="Times New Roman" w:cs="Times New Roman"/>
          <w:sz w:val="24"/>
          <w:szCs w:val="24"/>
        </w:rPr>
      </w:pPr>
    </w:p>
    <w:p w:rsidR="00D30D08" w:rsidRPr="00E12EF1" w:rsidRDefault="00473070" w:rsidP="00964FBC">
      <w:pPr>
        <w:pStyle w:val="HTMLiankstoformatuotas"/>
        <w:ind w:firstLine="851"/>
        <w:jc w:val="both"/>
        <w:rPr>
          <w:rFonts w:ascii="Times New Roman" w:hAnsi="Times New Roman" w:cs="Times New Roman"/>
          <w:b/>
          <w:sz w:val="24"/>
          <w:szCs w:val="24"/>
        </w:rPr>
      </w:pPr>
      <w:r w:rsidRPr="00E12EF1">
        <w:rPr>
          <w:rFonts w:ascii="Times New Roman" w:hAnsi="Times New Roman" w:cs="Times New Roman"/>
          <w:b/>
          <w:sz w:val="24"/>
          <w:szCs w:val="24"/>
        </w:rPr>
        <w:t>13. Įstatymo projekto</w:t>
      </w:r>
      <w:r w:rsidR="00D30D08" w:rsidRPr="00E12EF1">
        <w:rPr>
          <w:rFonts w:ascii="Times New Roman" w:hAnsi="Times New Roman" w:cs="Times New Roman"/>
          <w:b/>
          <w:sz w:val="24"/>
          <w:szCs w:val="24"/>
        </w:rPr>
        <w:t xml:space="preserve"> rengimo metu gauti specialistų vertinimai ir išvados</w:t>
      </w:r>
    </w:p>
    <w:p w:rsidR="00F53001" w:rsidRPr="00E12EF1" w:rsidRDefault="00AA3897" w:rsidP="00964FBC">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xml:space="preserve">Įstatymų projektai pateikti </w:t>
      </w:r>
      <w:r w:rsidR="00553BF6">
        <w:rPr>
          <w:rFonts w:ascii="Times New Roman" w:hAnsi="Times New Roman" w:cs="Times New Roman"/>
          <w:sz w:val="24"/>
          <w:szCs w:val="24"/>
        </w:rPr>
        <w:t>įvertinti vartotojų asociacijoms</w:t>
      </w:r>
      <w:r>
        <w:rPr>
          <w:rFonts w:ascii="Times New Roman" w:hAnsi="Times New Roman" w:cs="Times New Roman"/>
          <w:sz w:val="24"/>
          <w:szCs w:val="24"/>
        </w:rPr>
        <w:t xml:space="preserve"> ir vers</w:t>
      </w:r>
      <w:r w:rsidR="00553BF6">
        <w:rPr>
          <w:rFonts w:ascii="Times New Roman" w:hAnsi="Times New Roman" w:cs="Times New Roman"/>
          <w:sz w:val="24"/>
          <w:szCs w:val="24"/>
        </w:rPr>
        <w:t>lo organizacijoms</w:t>
      </w:r>
      <w:r w:rsidR="00735740">
        <w:rPr>
          <w:rFonts w:ascii="Times New Roman" w:hAnsi="Times New Roman" w:cs="Times New Roman"/>
          <w:sz w:val="24"/>
          <w:szCs w:val="24"/>
        </w:rPr>
        <w:t>.</w:t>
      </w:r>
    </w:p>
    <w:p w:rsidR="00D30D08" w:rsidRPr="00E12EF1" w:rsidRDefault="00D30D08" w:rsidP="00964F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D30D08" w:rsidRPr="00E12EF1" w:rsidRDefault="00D30D08" w:rsidP="00964FBC">
      <w:pPr>
        <w:pStyle w:val="HTMLiankstoformatuotas"/>
        <w:ind w:firstLine="851"/>
        <w:jc w:val="both"/>
        <w:rPr>
          <w:rFonts w:ascii="Times New Roman" w:hAnsi="Times New Roman" w:cs="Times New Roman"/>
          <w:b/>
          <w:sz w:val="24"/>
          <w:szCs w:val="24"/>
        </w:rPr>
      </w:pPr>
      <w:r w:rsidRPr="00E12EF1">
        <w:rPr>
          <w:rFonts w:ascii="Times New Roman" w:hAnsi="Times New Roman" w:cs="Times New Roman"/>
          <w:b/>
          <w:sz w:val="24"/>
          <w:szCs w:val="24"/>
        </w:rPr>
        <w:t>14. Reikšminiai žodžiai, kurių reikia šiam projektui įtraukti į kompiuterinę paieškos sistemą, įskaitant Europos žodyno „</w:t>
      </w:r>
      <w:proofErr w:type="spellStart"/>
      <w:r w:rsidRPr="00E12EF1">
        <w:rPr>
          <w:rFonts w:ascii="Times New Roman" w:hAnsi="Times New Roman" w:cs="Times New Roman"/>
          <w:b/>
          <w:sz w:val="24"/>
          <w:szCs w:val="24"/>
        </w:rPr>
        <w:t>Eurovoc</w:t>
      </w:r>
      <w:proofErr w:type="spellEnd"/>
      <w:r w:rsidRPr="00E12EF1">
        <w:rPr>
          <w:rFonts w:ascii="Times New Roman" w:hAnsi="Times New Roman" w:cs="Times New Roman"/>
          <w:b/>
          <w:sz w:val="24"/>
          <w:szCs w:val="24"/>
        </w:rPr>
        <w:t>“ terminus, temas bei sritis</w:t>
      </w:r>
    </w:p>
    <w:p w:rsidR="00F53001" w:rsidRPr="00E12EF1" w:rsidRDefault="00B91195" w:rsidP="00964FBC">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 xml:space="preserve">Grupės ieškinys, teismas, </w:t>
      </w:r>
      <w:r w:rsidR="00AA3897">
        <w:rPr>
          <w:rFonts w:ascii="Times New Roman" w:hAnsi="Times New Roman" w:cs="Times New Roman"/>
          <w:sz w:val="24"/>
          <w:szCs w:val="24"/>
        </w:rPr>
        <w:t xml:space="preserve">įgaliotoji </w:t>
      </w:r>
      <w:r>
        <w:rPr>
          <w:rFonts w:ascii="Times New Roman" w:hAnsi="Times New Roman" w:cs="Times New Roman"/>
          <w:sz w:val="24"/>
          <w:szCs w:val="24"/>
        </w:rPr>
        <w:t>vartotojų asociacija</w:t>
      </w:r>
      <w:r w:rsidR="00F53001" w:rsidRPr="00E12EF1">
        <w:rPr>
          <w:rFonts w:ascii="Times New Roman" w:hAnsi="Times New Roman" w:cs="Times New Roman"/>
          <w:sz w:val="24"/>
          <w:szCs w:val="24"/>
        </w:rPr>
        <w:t>.</w:t>
      </w:r>
    </w:p>
    <w:p w:rsidR="00D30D08" w:rsidRPr="00E12EF1" w:rsidRDefault="00D30D08" w:rsidP="00964FBC">
      <w:pPr>
        <w:pStyle w:val="HTMLiankstoformatuotas"/>
        <w:ind w:firstLine="851"/>
        <w:jc w:val="both"/>
        <w:rPr>
          <w:rFonts w:ascii="Times New Roman" w:hAnsi="Times New Roman" w:cs="Times New Roman"/>
          <w:sz w:val="24"/>
          <w:szCs w:val="24"/>
        </w:rPr>
      </w:pPr>
    </w:p>
    <w:p w:rsidR="00D30D08" w:rsidRPr="00E12EF1" w:rsidRDefault="009E4D18" w:rsidP="00964FBC">
      <w:pPr>
        <w:pStyle w:val="HTMLiankstoformatuotas"/>
        <w:ind w:firstLine="851"/>
        <w:jc w:val="both"/>
        <w:rPr>
          <w:rFonts w:ascii="Times New Roman" w:hAnsi="Times New Roman" w:cs="Times New Roman"/>
          <w:b/>
          <w:sz w:val="24"/>
          <w:szCs w:val="24"/>
        </w:rPr>
      </w:pPr>
      <w:r w:rsidRPr="00E12EF1">
        <w:rPr>
          <w:rFonts w:ascii="Times New Roman" w:hAnsi="Times New Roman" w:cs="Times New Roman"/>
          <w:b/>
          <w:sz w:val="24"/>
          <w:szCs w:val="24"/>
        </w:rPr>
        <w:t>15</w:t>
      </w:r>
      <w:r w:rsidR="00D30D08" w:rsidRPr="00E12EF1">
        <w:rPr>
          <w:rFonts w:ascii="Times New Roman" w:hAnsi="Times New Roman" w:cs="Times New Roman"/>
          <w:b/>
          <w:sz w:val="24"/>
          <w:szCs w:val="24"/>
        </w:rPr>
        <w:t>. Kiti, iniciatorių nuomone, reikalingi pagrindimai ir paaiškinimai</w:t>
      </w:r>
    </w:p>
    <w:p w:rsidR="00F46E02" w:rsidRPr="00DE0BB0" w:rsidRDefault="008B6451" w:rsidP="00964FBC">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Nėra.</w:t>
      </w:r>
    </w:p>
    <w:sectPr w:rsidR="00F46E02" w:rsidRPr="00DE0BB0" w:rsidSect="00D30D0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F7" w:rsidRDefault="008D04F7">
      <w:r>
        <w:separator/>
      </w:r>
    </w:p>
  </w:endnote>
  <w:endnote w:type="continuationSeparator" w:id="0">
    <w:p w:rsidR="008D04F7" w:rsidRDefault="008D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F7" w:rsidRDefault="008D04F7">
      <w:r>
        <w:separator/>
      </w:r>
    </w:p>
  </w:footnote>
  <w:footnote w:type="continuationSeparator" w:id="0">
    <w:p w:rsidR="008D04F7" w:rsidRDefault="008D04F7">
      <w:r>
        <w:continuationSeparator/>
      </w:r>
    </w:p>
  </w:footnote>
  <w:footnote w:id="1">
    <w:p w:rsidR="00833C11" w:rsidRDefault="00833C11" w:rsidP="00833C11">
      <w:pPr>
        <w:pStyle w:val="Puslapioinaostekstas"/>
        <w:jc w:val="both"/>
      </w:pPr>
      <w:r>
        <w:rPr>
          <w:rStyle w:val="Puslapioinaosnuoroda"/>
        </w:rPr>
        <w:footnoteRef/>
      </w:r>
      <w:r>
        <w:t xml:space="preserve"> 2016 – 2018 metais Valstybinės vartotojų teisių apsaugos tarnybos sprendžiamų vartojimo ginčų skaičius padidėjo 33 proc. (nuo 3076 iki 4559).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rsidR="000420C8" w:rsidRDefault="00F154C2">
        <w:pPr>
          <w:pStyle w:val="Antrats"/>
          <w:jc w:val="center"/>
        </w:pPr>
        <w:r>
          <w:fldChar w:fldCharType="begin"/>
        </w:r>
        <w:r w:rsidR="00D30D08">
          <w:instrText xml:space="preserve"> PAGE   \* MERGEFORMAT </w:instrText>
        </w:r>
        <w:r>
          <w:fldChar w:fldCharType="separate"/>
        </w:r>
        <w:r w:rsidR="008C50B8">
          <w:rPr>
            <w:noProof/>
          </w:rPr>
          <w:t>6</w:t>
        </w:r>
        <w:r>
          <w:rPr>
            <w:noProof/>
          </w:rPr>
          <w:fldChar w:fldCharType="end"/>
        </w:r>
      </w:p>
    </w:sdtContent>
  </w:sdt>
  <w:p w:rsidR="000420C8" w:rsidRDefault="008D04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C624FD5"/>
    <w:multiLevelType w:val="hybridMultilevel"/>
    <w:tmpl w:val="A3789E86"/>
    <w:lvl w:ilvl="0" w:tplc="FE3004E6">
      <w:start w:val="1"/>
      <w:numFmt w:val="bullet"/>
      <w:lvlText w:val="•"/>
      <w:lvlJc w:val="left"/>
      <w:pPr>
        <w:tabs>
          <w:tab w:val="num" w:pos="720"/>
        </w:tabs>
        <w:ind w:left="720" w:hanging="360"/>
      </w:pPr>
      <w:rPr>
        <w:rFonts w:ascii="Arial" w:hAnsi="Arial" w:hint="default"/>
      </w:rPr>
    </w:lvl>
    <w:lvl w:ilvl="1" w:tplc="6D4C7C24" w:tentative="1">
      <w:start w:val="1"/>
      <w:numFmt w:val="bullet"/>
      <w:lvlText w:val="•"/>
      <w:lvlJc w:val="left"/>
      <w:pPr>
        <w:tabs>
          <w:tab w:val="num" w:pos="1440"/>
        </w:tabs>
        <w:ind w:left="1440" w:hanging="360"/>
      </w:pPr>
      <w:rPr>
        <w:rFonts w:ascii="Arial" w:hAnsi="Arial" w:hint="default"/>
      </w:rPr>
    </w:lvl>
    <w:lvl w:ilvl="2" w:tplc="EA402A90" w:tentative="1">
      <w:start w:val="1"/>
      <w:numFmt w:val="bullet"/>
      <w:lvlText w:val="•"/>
      <w:lvlJc w:val="left"/>
      <w:pPr>
        <w:tabs>
          <w:tab w:val="num" w:pos="2160"/>
        </w:tabs>
        <w:ind w:left="2160" w:hanging="360"/>
      </w:pPr>
      <w:rPr>
        <w:rFonts w:ascii="Arial" w:hAnsi="Arial" w:hint="default"/>
      </w:rPr>
    </w:lvl>
    <w:lvl w:ilvl="3" w:tplc="20D61A5A" w:tentative="1">
      <w:start w:val="1"/>
      <w:numFmt w:val="bullet"/>
      <w:lvlText w:val="•"/>
      <w:lvlJc w:val="left"/>
      <w:pPr>
        <w:tabs>
          <w:tab w:val="num" w:pos="2880"/>
        </w:tabs>
        <w:ind w:left="2880" w:hanging="360"/>
      </w:pPr>
      <w:rPr>
        <w:rFonts w:ascii="Arial" w:hAnsi="Arial" w:hint="default"/>
      </w:rPr>
    </w:lvl>
    <w:lvl w:ilvl="4" w:tplc="5C6858A6" w:tentative="1">
      <w:start w:val="1"/>
      <w:numFmt w:val="bullet"/>
      <w:lvlText w:val="•"/>
      <w:lvlJc w:val="left"/>
      <w:pPr>
        <w:tabs>
          <w:tab w:val="num" w:pos="3600"/>
        </w:tabs>
        <w:ind w:left="3600" w:hanging="360"/>
      </w:pPr>
      <w:rPr>
        <w:rFonts w:ascii="Arial" w:hAnsi="Arial" w:hint="default"/>
      </w:rPr>
    </w:lvl>
    <w:lvl w:ilvl="5" w:tplc="5A70D38C" w:tentative="1">
      <w:start w:val="1"/>
      <w:numFmt w:val="bullet"/>
      <w:lvlText w:val="•"/>
      <w:lvlJc w:val="left"/>
      <w:pPr>
        <w:tabs>
          <w:tab w:val="num" w:pos="4320"/>
        </w:tabs>
        <w:ind w:left="4320" w:hanging="360"/>
      </w:pPr>
      <w:rPr>
        <w:rFonts w:ascii="Arial" w:hAnsi="Arial" w:hint="default"/>
      </w:rPr>
    </w:lvl>
    <w:lvl w:ilvl="6" w:tplc="206C1132" w:tentative="1">
      <w:start w:val="1"/>
      <w:numFmt w:val="bullet"/>
      <w:lvlText w:val="•"/>
      <w:lvlJc w:val="left"/>
      <w:pPr>
        <w:tabs>
          <w:tab w:val="num" w:pos="5040"/>
        </w:tabs>
        <w:ind w:left="5040" w:hanging="360"/>
      </w:pPr>
      <w:rPr>
        <w:rFonts w:ascii="Arial" w:hAnsi="Arial" w:hint="default"/>
      </w:rPr>
    </w:lvl>
    <w:lvl w:ilvl="7" w:tplc="2D2C5E46" w:tentative="1">
      <w:start w:val="1"/>
      <w:numFmt w:val="bullet"/>
      <w:lvlText w:val="•"/>
      <w:lvlJc w:val="left"/>
      <w:pPr>
        <w:tabs>
          <w:tab w:val="num" w:pos="5760"/>
        </w:tabs>
        <w:ind w:left="5760" w:hanging="360"/>
      </w:pPr>
      <w:rPr>
        <w:rFonts w:ascii="Arial" w:hAnsi="Arial" w:hint="default"/>
      </w:rPr>
    </w:lvl>
    <w:lvl w:ilvl="8" w:tplc="07A0F6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E4763EE"/>
    <w:multiLevelType w:val="hybridMultilevel"/>
    <w:tmpl w:val="74F665C4"/>
    <w:lvl w:ilvl="0" w:tplc="219472B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1AC29C8"/>
    <w:multiLevelType w:val="hybridMultilevel"/>
    <w:tmpl w:val="56067986"/>
    <w:lvl w:ilvl="0" w:tplc="69625B00">
      <w:start w:val="1"/>
      <w:numFmt w:val="bullet"/>
      <w:lvlText w:val="•"/>
      <w:lvlJc w:val="left"/>
      <w:pPr>
        <w:tabs>
          <w:tab w:val="num" w:pos="720"/>
        </w:tabs>
        <w:ind w:left="720" w:hanging="360"/>
      </w:pPr>
      <w:rPr>
        <w:rFonts w:ascii="Arial" w:hAnsi="Arial" w:hint="default"/>
      </w:rPr>
    </w:lvl>
    <w:lvl w:ilvl="1" w:tplc="758ABB06" w:tentative="1">
      <w:start w:val="1"/>
      <w:numFmt w:val="bullet"/>
      <w:lvlText w:val="•"/>
      <w:lvlJc w:val="left"/>
      <w:pPr>
        <w:tabs>
          <w:tab w:val="num" w:pos="1440"/>
        </w:tabs>
        <w:ind w:left="1440" w:hanging="360"/>
      </w:pPr>
      <w:rPr>
        <w:rFonts w:ascii="Arial" w:hAnsi="Arial" w:hint="default"/>
      </w:rPr>
    </w:lvl>
    <w:lvl w:ilvl="2" w:tplc="58EA7F4E" w:tentative="1">
      <w:start w:val="1"/>
      <w:numFmt w:val="bullet"/>
      <w:lvlText w:val="•"/>
      <w:lvlJc w:val="left"/>
      <w:pPr>
        <w:tabs>
          <w:tab w:val="num" w:pos="2160"/>
        </w:tabs>
        <w:ind w:left="2160" w:hanging="360"/>
      </w:pPr>
      <w:rPr>
        <w:rFonts w:ascii="Arial" w:hAnsi="Arial" w:hint="default"/>
      </w:rPr>
    </w:lvl>
    <w:lvl w:ilvl="3" w:tplc="65BEA5C4" w:tentative="1">
      <w:start w:val="1"/>
      <w:numFmt w:val="bullet"/>
      <w:lvlText w:val="•"/>
      <w:lvlJc w:val="left"/>
      <w:pPr>
        <w:tabs>
          <w:tab w:val="num" w:pos="2880"/>
        </w:tabs>
        <w:ind w:left="2880" w:hanging="360"/>
      </w:pPr>
      <w:rPr>
        <w:rFonts w:ascii="Arial" w:hAnsi="Arial" w:hint="default"/>
      </w:rPr>
    </w:lvl>
    <w:lvl w:ilvl="4" w:tplc="F296FCC2" w:tentative="1">
      <w:start w:val="1"/>
      <w:numFmt w:val="bullet"/>
      <w:lvlText w:val="•"/>
      <w:lvlJc w:val="left"/>
      <w:pPr>
        <w:tabs>
          <w:tab w:val="num" w:pos="3600"/>
        </w:tabs>
        <w:ind w:left="3600" w:hanging="360"/>
      </w:pPr>
      <w:rPr>
        <w:rFonts w:ascii="Arial" w:hAnsi="Arial" w:hint="default"/>
      </w:rPr>
    </w:lvl>
    <w:lvl w:ilvl="5" w:tplc="633A0FDC" w:tentative="1">
      <w:start w:val="1"/>
      <w:numFmt w:val="bullet"/>
      <w:lvlText w:val="•"/>
      <w:lvlJc w:val="left"/>
      <w:pPr>
        <w:tabs>
          <w:tab w:val="num" w:pos="4320"/>
        </w:tabs>
        <w:ind w:left="4320" w:hanging="360"/>
      </w:pPr>
      <w:rPr>
        <w:rFonts w:ascii="Arial" w:hAnsi="Arial" w:hint="default"/>
      </w:rPr>
    </w:lvl>
    <w:lvl w:ilvl="6" w:tplc="F154CADA" w:tentative="1">
      <w:start w:val="1"/>
      <w:numFmt w:val="bullet"/>
      <w:lvlText w:val="•"/>
      <w:lvlJc w:val="left"/>
      <w:pPr>
        <w:tabs>
          <w:tab w:val="num" w:pos="5040"/>
        </w:tabs>
        <w:ind w:left="5040" w:hanging="360"/>
      </w:pPr>
      <w:rPr>
        <w:rFonts w:ascii="Arial" w:hAnsi="Arial" w:hint="default"/>
      </w:rPr>
    </w:lvl>
    <w:lvl w:ilvl="7" w:tplc="9E2EB9C6" w:tentative="1">
      <w:start w:val="1"/>
      <w:numFmt w:val="bullet"/>
      <w:lvlText w:val="•"/>
      <w:lvlJc w:val="left"/>
      <w:pPr>
        <w:tabs>
          <w:tab w:val="num" w:pos="5760"/>
        </w:tabs>
        <w:ind w:left="5760" w:hanging="360"/>
      </w:pPr>
      <w:rPr>
        <w:rFonts w:ascii="Arial" w:hAnsi="Arial" w:hint="default"/>
      </w:rPr>
    </w:lvl>
    <w:lvl w:ilvl="8" w:tplc="69B859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B03983"/>
    <w:multiLevelType w:val="hybridMultilevel"/>
    <w:tmpl w:val="17AED512"/>
    <w:lvl w:ilvl="0" w:tplc="ADBCA05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AC41579"/>
    <w:multiLevelType w:val="hybridMultilevel"/>
    <w:tmpl w:val="CCD23658"/>
    <w:lvl w:ilvl="0" w:tplc="2FAE7F1A">
      <w:start w:val="1"/>
      <w:numFmt w:val="bullet"/>
      <w:lvlText w:val="•"/>
      <w:lvlJc w:val="left"/>
      <w:pPr>
        <w:tabs>
          <w:tab w:val="num" w:pos="720"/>
        </w:tabs>
        <w:ind w:left="720" w:hanging="360"/>
      </w:pPr>
      <w:rPr>
        <w:rFonts w:ascii="Arial" w:hAnsi="Arial" w:hint="default"/>
      </w:rPr>
    </w:lvl>
    <w:lvl w:ilvl="1" w:tplc="90F6C568" w:tentative="1">
      <w:start w:val="1"/>
      <w:numFmt w:val="bullet"/>
      <w:lvlText w:val="•"/>
      <w:lvlJc w:val="left"/>
      <w:pPr>
        <w:tabs>
          <w:tab w:val="num" w:pos="1440"/>
        </w:tabs>
        <w:ind w:left="1440" w:hanging="360"/>
      </w:pPr>
      <w:rPr>
        <w:rFonts w:ascii="Arial" w:hAnsi="Arial" w:hint="default"/>
      </w:rPr>
    </w:lvl>
    <w:lvl w:ilvl="2" w:tplc="C722FAE8" w:tentative="1">
      <w:start w:val="1"/>
      <w:numFmt w:val="bullet"/>
      <w:lvlText w:val="•"/>
      <w:lvlJc w:val="left"/>
      <w:pPr>
        <w:tabs>
          <w:tab w:val="num" w:pos="2160"/>
        </w:tabs>
        <w:ind w:left="2160" w:hanging="360"/>
      </w:pPr>
      <w:rPr>
        <w:rFonts w:ascii="Arial" w:hAnsi="Arial" w:hint="default"/>
      </w:rPr>
    </w:lvl>
    <w:lvl w:ilvl="3" w:tplc="236659D0" w:tentative="1">
      <w:start w:val="1"/>
      <w:numFmt w:val="bullet"/>
      <w:lvlText w:val="•"/>
      <w:lvlJc w:val="left"/>
      <w:pPr>
        <w:tabs>
          <w:tab w:val="num" w:pos="2880"/>
        </w:tabs>
        <w:ind w:left="2880" w:hanging="360"/>
      </w:pPr>
      <w:rPr>
        <w:rFonts w:ascii="Arial" w:hAnsi="Arial" w:hint="default"/>
      </w:rPr>
    </w:lvl>
    <w:lvl w:ilvl="4" w:tplc="EA740DB6" w:tentative="1">
      <w:start w:val="1"/>
      <w:numFmt w:val="bullet"/>
      <w:lvlText w:val="•"/>
      <w:lvlJc w:val="left"/>
      <w:pPr>
        <w:tabs>
          <w:tab w:val="num" w:pos="3600"/>
        </w:tabs>
        <w:ind w:left="3600" w:hanging="360"/>
      </w:pPr>
      <w:rPr>
        <w:rFonts w:ascii="Arial" w:hAnsi="Arial" w:hint="default"/>
      </w:rPr>
    </w:lvl>
    <w:lvl w:ilvl="5" w:tplc="5CE8A0A6" w:tentative="1">
      <w:start w:val="1"/>
      <w:numFmt w:val="bullet"/>
      <w:lvlText w:val="•"/>
      <w:lvlJc w:val="left"/>
      <w:pPr>
        <w:tabs>
          <w:tab w:val="num" w:pos="4320"/>
        </w:tabs>
        <w:ind w:left="4320" w:hanging="360"/>
      </w:pPr>
      <w:rPr>
        <w:rFonts w:ascii="Arial" w:hAnsi="Arial" w:hint="default"/>
      </w:rPr>
    </w:lvl>
    <w:lvl w:ilvl="6" w:tplc="82CE8C02" w:tentative="1">
      <w:start w:val="1"/>
      <w:numFmt w:val="bullet"/>
      <w:lvlText w:val="•"/>
      <w:lvlJc w:val="left"/>
      <w:pPr>
        <w:tabs>
          <w:tab w:val="num" w:pos="5040"/>
        </w:tabs>
        <w:ind w:left="5040" w:hanging="360"/>
      </w:pPr>
      <w:rPr>
        <w:rFonts w:ascii="Arial" w:hAnsi="Arial" w:hint="default"/>
      </w:rPr>
    </w:lvl>
    <w:lvl w:ilvl="7" w:tplc="BD3E9D58" w:tentative="1">
      <w:start w:val="1"/>
      <w:numFmt w:val="bullet"/>
      <w:lvlText w:val="•"/>
      <w:lvlJc w:val="left"/>
      <w:pPr>
        <w:tabs>
          <w:tab w:val="num" w:pos="5760"/>
        </w:tabs>
        <w:ind w:left="5760" w:hanging="360"/>
      </w:pPr>
      <w:rPr>
        <w:rFonts w:ascii="Arial" w:hAnsi="Arial" w:hint="default"/>
      </w:rPr>
    </w:lvl>
    <w:lvl w:ilvl="8" w:tplc="EA4AB0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7A75BD"/>
    <w:multiLevelType w:val="hybridMultilevel"/>
    <w:tmpl w:val="54F6E1AA"/>
    <w:lvl w:ilvl="0" w:tplc="7C0A1F12">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1DA50203"/>
    <w:multiLevelType w:val="hybridMultilevel"/>
    <w:tmpl w:val="C8085A56"/>
    <w:lvl w:ilvl="0" w:tplc="0F4AF826">
      <w:start w:val="1"/>
      <w:numFmt w:val="bullet"/>
      <w:lvlText w:val="•"/>
      <w:lvlJc w:val="left"/>
      <w:pPr>
        <w:tabs>
          <w:tab w:val="num" w:pos="720"/>
        </w:tabs>
        <w:ind w:left="720" w:hanging="360"/>
      </w:pPr>
      <w:rPr>
        <w:rFonts w:ascii="Arial" w:hAnsi="Arial" w:hint="default"/>
      </w:rPr>
    </w:lvl>
    <w:lvl w:ilvl="1" w:tplc="68DC2B74" w:tentative="1">
      <w:start w:val="1"/>
      <w:numFmt w:val="bullet"/>
      <w:lvlText w:val="•"/>
      <w:lvlJc w:val="left"/>
      <w:pPr>
        <w:tabs>
          <w:tab w:val="num" w:pos="1440"/>
        </w:tabs>
        <w:ind w:left="1440" w:hanging="360"/>
      </w:pPr>
      <w:rPr>
        <w:rFonts w:ascii="Arial" w:hAnsi="Arial" w:hint="default"/>
      </w:rPr>
    </w:lvl>
    <w:lvl w:ilvl="2" w:tplc="8EB403E4" w:tentative="1">
      <w:start w:val="1"/>
      <w:numFmt w:val="bullet"/>
      <w:lvlText w:val="•"/>
      <w:lvlJc w:val="left"/>
      <w:pPr>
        <w:tabs>
          <w:tab w:val="num" w:pos="2160"/>
        </w:tabs>
        <w:ind w:left="2160" w:hanging="360"/>
      </w:pPr>
      <w:rPr>
        <w:rFonts w:ascii="Arial" w:hAnsi="Arial" w:hint="default"/>
      </w:rPr>
    </w:lvl>
    <w:lvl w:ilvl="3" w:tplc="A364BE9E" w:tentative="1">
      <w:start w:val="1"/>
      <w:numFmt w:val="bullet"/>
      <w:lvlText w:val="•"/>
      <w:lvlJc w:val="left"/>
      <w:pPr>
        <w:tabs>
          <w:tab w:val="num" w:pos="2880"/>
        </w:tabs>
        <w:ind w:left="2880" w:hanging="360"/>
      </w:pPr>
      <w:rPr>
        <w:rFonts w:ascii="Arial" w:hAnsi="Arial" w:hint="default"/>
      </w:rPr>
    </w:lvl>
    <w:lvl w:ilvl="4" w:tplc="64FA214E" w:tentative="1">
      <w:start w:val="1"/>
      <w:numFmt w:val="bullet"/>
      <w:lvlText w:val="•"/>
      <w:lvlJc w:val="left"/>
      <w:pPr>
        <w:tabs>
          <w:tab w:val="num" w:pos="3600"/>
        </w:tabs>
        <w:ind w:left="3600" w:hanging="360"/>
      </w:pPr>
      <w:rPr>
        <w:rFonts w:ascii="Arial" w:hAnsi="Arial" w:hint="default"/>
      </w:rPr>
    </w:lvl>
    <w:lvl w:ilvl="5" w:tplc="0BFAB1B2" w:tentative="1">
      <w:start w:val="1"/>
      <w:numFmt w:val="bullet"/>
      <w:lvlText w:val="•"/>
      <w:lvlJc w:val="left"/>
      <w:pPr>
        <w:tabs>
          <w:tab w:val="num" w:pos="4320"/>
        </w:tabs>
        <w:ind w:left="4320" w:hanging="360"/>
      </w:pPr>
      <w:rPr>
        <w:rFonts w:ascii="Arial" w:hAnsi="Arial" w:hint="default"/>
      </w:rPr>
    </w:lvl>
    <w:lvl w:ilvl="6" w:tplc="7FCC1F24" w:tentative="1">
      <w:start w:val="1"/>
      <w:numFmt w:val="bullet"/>
      <w:lvlText w:val="•"/>
      <w:lvlJc w:val="left"/>
      <w:pPr>
        <w:tabs>
          <w:tab w:val="num" w:pos="5040"/>
        </w:tabs>
        <w:ind w:left="5040" w:hanging="360"/>
      </w:pPr>
      <w:rPr>
        <w:rFonts w:ascii="Arial" w:hAnsi="Arial" w:hint="default"/>
      </w:rPr>
    </w:lvl>
    <w:lvl w:ilvl="7" w:tplc="1F486FF0" w:tentative="1">
      <w:start w:val="1"/>
      <w:numFmt w:val="bullet"/>
      <w:lvlText w:val="•"/>
      <w:lvlJc w:val="left"/>
      <w:pPr>
        <w:tabs>
          <w:tab w:val="num" w:pos="5760"/>
        </w:tabs>
        <w:ind w:left="5760" w:hanging="360"/>
      </w:pPr>
      <w:rPr>
        <w:rFonts w:ascii="Arial" w:hAnsi="Arial" w:hint="default"/>
      </w:rPr>
    </w:lvl>
    <w:lvl w:ilvl="8" w:tplc="D7A45C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1344CF"/>
    <w:multiLevelType w:val="hybridMultilevel"/>
    <w:tmpl w:val="F508F31C"/>
    <w:lvl w:ilvl="0" w:tplc="AB545568">
      <w:start w:val="1"/>
      <w:numFmt w:val="decimal"/>
      <w:suff w:val="space"/>
      <w:lvlText w:val="%1)"/>
      <w:lvlJc w:val="left"/>
      <w:pPr>
        <w:ind w:left="0" w:firstLine="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67A055E"/>
    <w:multiLevelType w:val="hybridMultilevel"/>
    <w:tmpl w:val="1E7014F0"/>
    <w:lvl w:ilvl="0" w:tplc="AC6662A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BE9456D"/>
    <w:multiLevelType w:val="hybridMultilevel"/>
    <w:tmpl w:val="05C80276"/>
    <w:lvl w:ilvl="0" w:tplc="4F3E91F6">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63B9048F"/>
    <w:multiLevelType w:val="hybridMultilevel"/>
    <w:tmpl w:val="2F9AA29A"/>
    <w:lvl w:ilvl="0" w:tplc="8380394C">
      <w:start w:val="1"/>
      <w:numFmt w:val="bullet"/>
      <w:lvlText w:val="-"/>
      <w:lvlJc w:val="left"/>
      <w:pPr>
        <w:tabs>
          <w:tab w:val="num" w:pos="720"/>
        </w:tabs>
        <w:ind w:left="720" w:hanging="360"/>
      </w:pPr>
      <w:rPr>
        <w:rFonts w:ascii="Times New Roman" w:hAnsi="Times New Roman" w:hint="default"/>
      </w:rPr>
    </w:lvl>
    <w:lvl w:ilvl="1" w:tplc="9C82C142" w:tentative="1">
      <w:start w:val="1"/>
      <w:numFmt w:val="bullet"/>
      <w:lvlText w:val="-"/>
      <w:lvlJc w:val="left"/>
      <w:pPr>
        <w:tabs>
          <w:tab w:val="num" w:pos="1440"/>
        </w:tabs>
        <w:ind w:left="1440" w:hanging="360"/>
      </w:pPr>
      <w:rPr>
        <w:rFonts w:ascii="Times New Roman" w:hAnsi="Times New Roman" w:hint="default"/>
      </w:rPr>
    </w:lvl>
    <w:lvl w:ilvl="2" w:tplc="B5EC9C0C" w:tentative="1">
      <w:start w:val="1"/>
      <w:numFmt w:val="bullet"/>
      <w:lvlText w:val="-"/>
      <w:lvlJc w:val="left"/>
      <w:pPr>
        <w:tabs>
          <w:tab w:val="num" w:pos="2160"/>
        </w:tabs>
        <w:ind w:left="2160" w:hanging="360"/>
      </w:pPr>
      <w:rPr>
        <w:rFonts w:ascii="Times New Roman" w:hAnsi="Times New Roman" w:hint="default"/>
      </w:rPr>
    </w:lvl>
    <w:lvl w:ilvl="3" w:tplc="0E6ED228" w:tentative="1">
      <w:start w:val="1"/>
      <w:numFmt w:val="bullet"/>
      <w:lvlText w:val="-"/>
      <w:lvlJc w:val="left"/>
      <w:pPr>
        <w:tabs>
          <w:tab w:val="num" w:pos="2880"/>
        </w:tabs>
        <w:ind w:left="2880" w:hanging="360"/>
      </w:pPr>
      <w:rPr>
        <w:rFonts w:ascii="Times New Roman" w:hAnsi="Times New Roman" w:hint="default"/>
      </w:rPr>
    </w:lvl>
    <w:lvl w:ilvl="4" w:tplc="F2684772" w:tentative="1">
      <w:start w:val="1"/>
      <w:numFmt w:val="bullet"/>
      <w:lvlText w:val="-"/>
      <w:lvlJc w:val="left"/>
      <w:pPr>
        <w:tabs>
          <w:tab w:val="num" w:pos="3600"/>
        </w:tabs>
        <w:ind w:left="3600" w:hanging="360"/>
      </w:pPr>
      <w:rPr>
        <w:rFonts w:ascii="Times New Roman" w:hAnsi="Times New Roman" w:hint="default"/>
      </w:rPr>
    </w:lvl>
    <w:lvl w:ilvl="5" w:tplc="54F004DE" w:tentative="1">
      <w:start w:val="1"/>
      <w:numFmt w:val="bullet"/>
      <w:lvlText w:val="-"/>
      <w:lvlJc w:val="left"/>
      <w:pPr>
        <w:tabs>
          <w:tab w:val="num" w:pos="4320"/>
        </w:tabs>
        <w:ind w:left="4320" w:hanging="360"/>
      </w:pPr>
      <w:rPr>
        <w:rFonts w:ascii="Times New Roman" w:hAnsi="Times New Roman" w:hint="default"/>
      </w:rPr>
    </w:lvl>
    <w:lvl w:ilvl="6" w:tplc="176CC9EC" w:tentative="1">
      <w:start w:val="1"/>
      <w:numFmt w:val="bullet"/>
      <w:lvlText w:val="-"/>
      <w:lvlJc w:val="left"/>
      <w:pPr>
        <w:tabs>
          <w:tab w:val="num" w:pos="5040"/>
        </w:tabs>
        <w:ind w:left="5040" w:hanging="360"/>
      </w:pPr>
      <w:rPr>
        <w:rFonts w:ascii="Times New Roman" w:hAnsi="Times New Roman" w:hint="default"/>
      </w:rPr>
    </w:lvl>
    <w:lvl w:ilvl="7" w:tplc="EE68D04C" w:tentative="1">
      <w:start w:val="1"/>
      <w:numFmt w:val="bullet"/>
      <w:lvlText w:val="-"/>
      <w:lvlJc w:val="left"/>
      <w:pPr>
        <w:tabs>
          <w:tab w:val="num" w:pos="5760"/>
        </w:tabs>
        <w:ind w:left="5760" w:hanging="360"/>
      </w:pPr>
      <w:rPr>
        <w:rFonts w:ascii="Times New Roman" w:hAnsi="Times New Roman" w:hint="default"/>
      </w:rPr>
    </w:lvl>
    <w:lvl w:ilvl="8" w:tplc="6AC2290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764522"/>
    <w:multiLevelType w:val="hybridMultilevel"/>
    <w:tmpl w:val="D1261F32"/>
    <w:lvl w:ilvl="0" w:tplc="4BA6B362">
      <w:start w:val="1"/>
      <w:numFmt w:val="bullet"/>
      <w:lvlText w:val="•"/>
      <w:lvlJc w:val="left"/>
      <w:pPr>
        <w:tabs>
          <w:tab w:val="num" w:pos="720"/>
        </w:tabs>
        <w:ind w:left="720" w:hanging="360"/>
      </w:pPr>
      <w:rPr>
        <w:rFonts w:ascii="Arial" w:hAnsi="Arial" w:hint="default"/>
      </w:rPr>
    </w:lvl>
    <w:lvl w:ilvl="1" w:tplc="6B283B90" w:tentative="1">
      <w:start w:val="1"/>
      <w:numFmt w:val="bullet"/>
      <w:lvlText w:val="•"/>
      <w:lvlJc w:val="left"/>
      <w:pPr>
        <w:tabs>
          <w:tab w:val="num" w:pos="1440"/>
        </w:tabs>
        <w:ind w:left="1440" w:hanging="360"/>
      </w:pPr>
      <w:rPr>
        <w:rFonts w:ascii="Arial" w:hAnsi="Arial" w:hint="default"/>
      </w:rPr>
    </w:lvl>
    <w:lvl w:ilvl="2" w:tplc="900ECD58" w:tentative="1">
      <w:start w:val="1"/>
      <w:numFmt w:val="bullet"/>
      <w:lvlText w:val="•"/>
      <w:lvlJc w:val="left"/>
      <w:pPr>
        <w:tabs>
          <w:tab w:val="num" w:pos="2160"/>
        </w:tabs>
        <w:ind w:left="2160" w:hanging="360"/>
      </w:pPr>
      <w:rPr>
        <w:rFonts w:ascii="Arial" w:hAnsi="Arial" w:hint="default"/>
      </w:rPr>
    </w:lvl>
    <w:lvl w:ilvl="3" w:tplc="4B5804B8" w:tentative="1">
      <w:start w:val="1"/>
      <w:numFmt w:val="bullet"/>
      <w:lvlText w:val="•"/>
      <w:lvlJc w:val="left"/>
      <w:pPr>
        <w:tabs>
          <w:tab w:val="num" w:pos="2880"/>
        </w:tabs>
        <w:ind w:left="2880" w:hanging="360"/>
      </w:pPr>
      <w:rPr>
        <w:rFonts w:ascii="Arial" w:hAnsi="Arial" w:hint="default"/>
      </w:rPr>
    </w:lvl>
    <w:lvl w:ilvl="4" w:tplc="77CAFDB4" w:tentative="1">
      <w:start w:val="1"/>
      <w:numFmt w:val="bullet"/>
      <w:lvlText w:val="•"/>
      <w:lvlJc w:val="left"/>
      <w:pPr>
        <w:tabs>
          <w:tab w:val="num" w:pos="3600"/>
        </w:tabs>
        <w:ind w:left="3600" w:hanging="360"/>
      </w:pPr>
      <w:rPr>
        <w:rFonts w:ascii="Arial" w:hAnsi="Arial" w:hint="default"/>
      </w:rPr>
    </w:lvl>
    <w:lvl w:ilvl="5" w:tplc="86E2FF44" w:tentative="1">
      <w:start w:val="1"/>
      <w:numFmt w:val="bullet"/>
      <w:lvlText w:val="•"/>
      <w:lvlJc w:val="left"/>
      <w:pPr>
        <w:tabs>
          <w:tab w:val="num" w:pos="4320"/>
        </w:tabs>
        <w:ind w:left="4320" w:hanging="360"/>
      </w:pPr>
      <w:rPr>
        <w:rFonts w:ascii="Arial" w:hAnsi="Arial" w:hint="default"/>
      </w:rPr>
    </w:lvl>
    <w:lvl w:ilvl="6" w:tplc="9D86BFFA" w:tentative="1">
      <w:start w:val="1"/>
      <w:numFmt w:val="bullet"/>
      <w:lvlText w:val="•"/>
      <w:lvlJc w:val="left"/>
      <w:pPr>
        <w:tabs>
          <w:tab w:val="num" w:pos="5040"/>
        </w:tabs>
        <w:ind w:left="5040" w:hanging="360"/>
      </w:pPr>
      <w:rPr>
        <w:rFonts w:ascii="Arial" w:hAnsi="Arial" w:hint="default"/>
      </w:rPr>
    </w:lvl>
    <w:lvl w:ilvl="7" w:tplc="6AD4DDAC" w:tentative="1">
      <w:start w:val="1"/>
      <w:numFmt w:val="bullet"/>
      <w:lvlText w:val="•"/>
      <w:lvlJc w:val="left"/>
      <w:pPr>
        <w:tabs>
          <w:tab w:val="num" w:pos="5760"/>
        </w:tabs>
        <w:ind w:left="5760" w:hanging="360"/>
      </w:pPr>
      <w:rPr>
        <w:rFonts w:ascii="Arial" w:hAnsi="Arial" w:hint="default"/>
      </w:rPr>
    </w:lvl>
    <w:lvl w:ilvl="8" w:tplc="AFC6E0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9A3BF0"/>
    <w:multiLevelType w:val="hybridMultilevel"/>
    <w:tmpl w:val="656A12FE"/>
    <w:lvl w:ilvl="0" w:tplc="F3745FB6">
      <w:start w:val="1"/>
      <w:numFmt w:val="bullet"/>
      <w:lvlText w:val="•"/>
      <w:lvlJc w:val="left"/>
      <w:pPr>
        <w:tabs>
          <w:tab w:val="num" w:pos="720"/>
        </w:tabs>
        <w:ind w:left="720" w:hanging="360"/>
      </w:pPr>
      <w:rPr>
        <w:rFonts w:ascii="Arial" w:hAnsi="Arial" w:hint="default"/>
      </w:rPr>
    </w:lvl>
    <w:lvl w:ilvl="1" w:tplc="5F689FF8" w:tentative="1">
      <w:start w:val="1"/>
      <w:numFmt w:val="bullet"/>
      <w:lvlText w:val="•"/>
      <w:lvlJc w:val="left"/>
      <w:pPr>
        <w:tabs>
          <w:tab w:val="num" w:pos="1440"/>
        </w:tabs>
        <w:ind w:left="1440" w:hanging="360"/>
      </w:pPr>
      <w:rPr>
        <w:rFonts w:ascii="Arial" w:hAnsi="Arial" w:hint="default"/>
      </w:rPr>
    </w:lvl>
    <w:lvl w:ilvl="2" w:tplc="8990CF0E" w:tentative="1">
      <w:start w:val="1"/>
      <w:numFmt w:val="bullet"/>
      <w:lvlText w:val="•"/>
      <w:lvlJc w:val="left"/>
      <w:pPr>
        <w:tabs>
          <w:tab w:val="num" w:pos="2160"/>
        </w:tabs>
        <w:ind w:left="2160" w:hanging="360"/>
      </w:pPr>
      <w:rPr>
        <w:rFonts w:ascii="Arial" w:hAnsi="Arial" w:hint="default"/>
      </w:rPr>
    </w:lvl>
    <w:lvl w:ilvl="3" w:tplc="DF5C4A2C" w:tentative="1">
      <w:start w:val="1"/>
      <w:numFmt w:val="bullet"/>
      <w:lvlText w:val="•"/>
      <w:lvlJc w:val="left"/>
      <w:pPr>
        <w:tabs>
          <w:tab w:val="num" w:pos="2880"/>
        </w:tabs>
        <w:ind w:left="2880" w:hanging="360"/>
      </w:pPr>
      <w:rPr>
        <w:rFonts w:ascii="Arial" w:hAnsi="Arial" w:hint="default"/>
      </w:rPr>
    </w:lvl>
    <w:lvl w:ilvl="4" w:tplc="125A5D62" w:tentative="1">
      <w:start w:val="1"/>
      <w:numFmt w:val="bullet"/>
      <w:lvlText w:val="•"/>
      <w:lvlJc w:val="left"/>
      <w:pPr>
        <w:tabs>
          <w:tab w:val="num" w:pos="3600"/>
        </w:tabs>
        <w:ind w:left="3600" w:hanging="360"/>
      </w:pPr>
      <w:rPr>
        <w:rFonts w:ascii="Arial" w:hAnsi="Arial" w:hint="default"/>
      </w:rPr>
    </w:lvl>
    <w:lvl w:ilvl="5" w:tplc="1340F584" w:tentative="1">
      <w:start w:val="1"/>
      <w:numFmt w:val="bullet"/>
      <w:lvlText w:val="•"/>
      <w:lvlJc w:val="left"/>
      <w:pPr>
        <w:tabs>
          <w:tab w:val="num" w:pos="4320"/>
        </w:tabs>
        <w:ind w:left="4320" w:hanging="360"/>
      </w:pPr>
      <w:rPr>
        <w:rFonts w:ascii="Arial" w:hAnsi="Arial" w:hint="default"/>
      </w:rPr>
    </w:lvl>
    <w:lvl w:ilvl="6" w:tplc="65A2866E" w:tentative="1">
      <w:start w:val="1"/>
      <w:numFmt w:val="bullet"/>
      <w:lvlText w:val="•"/>
      <w:lvlJc w:val="left"/>
      <w:pPr>
        <w:tabs>
          <w:tab w:val="num" w:pos="5040"/>
        </w:tabs>
        <w:ind w:left="5040" w:hanging="360"/>
      </w:pPr>
      <w:rPr>
        <w:rFonts w:ascii="Arial" w:hAnsi="Arial" w:hint="default"/>
      </w:rPr>
    </w:lvl>
    <w:lvl w:ilvl="7" w:tplc="9DC2B774" w:tentative="1">
      <w:start w:val="1"/>
      <w:numFmt w:val="bullet"/>
      <w:lvlText w:val="•"/>
      <w:lvlJc w:val="left"/>
      <w:pPr>
        <w:tabs>
          <w:tab w:val="num" w:pos="5760"/>
        </w:tabs>
        <w:ind w:left="5760" w:hanging="360"/>
      </w:pPr>
      <w:rPr>
        <w:rFonts w:ascii="Arial" w:hAnsi="Arial" w:hint="default"/>
      </w:rPr>
    </w:lvl>
    <w:lvl w:ilvl="8" w:tplc="4DA07B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9711D7"/>
    <w:multiLevelType w:val="hybridMultilevel"/>
    <w:tmpl w:val="C1DCA11E"/>
    <w:lvl w:ilvl="0" w:tplc="2BACC08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6433AB2"/>
    <w:multiLevelType w:val="hybridMultilevel"/>
    <w:tmpl w:val="524215A6"/>
    <w:lvl w:ilvl="0" w:tplc="BD0E7B36">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0"/>
  </w:num>
  <w:num w:numId="7">
    <w:abstractNumId w:val="16"/>
  </w:num>
  <w:num w:numId="8">
    <w:abstractNumId w:val="2"/>
  </w:num>
  <w:num w:numId="9">
    <w:abstractNumId w:val="15"/>
  </w:num>
  <w:num w:numId="10">
    <w:abstractNumId w:val="17"/>
  </w:num>
  <w:num w:numId="11">
    <w:abstractNumId w:val="10"/>
  </w:num>
  <w:num w:numId="12">
    <w:abstractNumId w:val="8"/>
  </w:num>
  <w:num w:numId="13">
    <w:abstractNumId w:val="6"/>
  </w:num>
  <w:num w:numId="14">
    <w:abstractNumId w:val="11"/>
  </w:num>
  <w:num w:numId="15">
    <w:abstractNumId w:val="18"/>
  </w:num>
  <w:num w:numId="16">
    <w:abstractNumId w:val="7"/>
  </w:num>
  <w:num w:numId="17">
    <w:abstractNumId w:val="13"/>
  </w:num>
  <w:num w:numId="18">
    <w:abstractNumId w:val="4"/>
  </w:num>
  <w:num w:numId="19">
    <w:abstractNumId w:val="9"/>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95"/>
    <w:rsid w:val="00002E76"/>
    <w:rsid w:val="0000426E"/>
    <w:rsid w:val="0001176E"/>
    <w:rsid w:val="00013855"/>
    <w:rsid w:val="0001386A"/>
    <w:rsid w:val="0001425F"/>
    <w:rsid w:val="000164A0"/>
    <w:rsid w:val="000174AA"/>
    <w:rsid w:val="00026A04"/>
    <w:rsid w:val="0003117A"/>
    <w:rsid w:val="00031206"/>
    <w:rsid w:val="000427A3"/>
    <w:rsid w:val="000439CE"/>
    <w:rsid w:val="00046D99"/>
    <w:rsid w:val="00046DAE"/>
    <w:rsid w:val="000537D1"/>
    <w:rsid w:val="0005387B"/>
    <w:rsid w:val="00056045"/>
    <w:rsid w:val="000605B7"/>
    <w:rsid w:val="000640ED"/>
    <w:rsid w:val="00064B25"/>
    <w:rsid w:val="000651B3"/>
    <w:rsid w:val="00073C11"/>
    <w:rsid w:val="000771A0"/>
    <w:rsid w:val="00090C4D"/>
    <w:rsid w:val="000910D7"/>
    <w:rsid w:val="00091F8C"/>
    <w:rsid w:val="000924B8"/>
    <w:rsid w:val="00092F69"/>
    <w:rsid w:val="000A0077"/>
    <w:rsid w:val="000A1259"/>
    <w:rsid w:val="000A77DF"/>
    <w:rsid w:val="000B1CBB"/>
    <w:rsid w:val="000B24B8"/>
    <w:rsid w:val="000B28CA"/>
    <w:rsid w:val="000B552F"/>
    <w:rsid w:val="000C22E1"/>
    <w:rsid w:val="000D08E3"/>
    <w:rsid w:val="000D3E77"/>
    <w:rsid w:val="000E3D8E"/>
    <w:rsid w:val="000E5923"/>
    <w:rsid w:val="000E64F9"/>
    <w:rsid w:val="000F0046"/>
    <w:rsid w:val="000F1183"/>
    <w:rsid w:val="000F3312"/>
    <w:rsid w:val="00105042"/>
    <w:rsid w:val="00115875"/>
    <w:rsid w:val="00122450"/>
    <w:rsid w:val="00122FAC"/>
    <w:rsid w:val="0012506E"/>
    <w:rsid w:val="0012676B"/>
    <w:rsid w:val="001272F2"/>
    <w:rsid w:val="001345DE"/>
    <w:rsid w:val="0013460F"/>
    <w:rsid w:val="001357DC"/>
    <w:rsid w:val="0013607B"/>
    <w:rsid w:val="00143D3F"/>
    <w:rsid w:val="0015002D"/>
    <w:rsid w:val="00151B95"/>
    <w:rsid w:val="00163699"/>
    <w:rsid w:val="00164F23"/>
    <w:rsid w:val="00166E48"/>
    <w:rsid w:val="00167E79"/>
    <w:rsid w:val="00174B13"/>
    <w:rsid w:val="0018019D"/>
    <w:rsid w:val="001822B1"/>
    <w:rsid w:val="00182AD9"/>
    <w:rsid w:val="00182D4C"/>
    <w:rsid w:val="001840BA"/>
    <w:rsid w:val="00192443"/>
    <w:rsid w:val="001A7CEC"/>
    <w:rsid w:val="001B3EBC"/>
    <w:rsid w:val="001B41CA"/>
    <w:rsid w:val="001B542B"/>
    <w:rsid w:val="001B559C"/>
    <w:rsid w:val="001B7999"/>
    <w:rsid w:val="001C1258"/>
    <w:rsid w:val="001C79D8"/>
    <w:rsid w:val="001D0B4A"/>
    <w:rsid w:val="001D1EEB"/>
    <w:rsid w:val="001D2143"/>
    <w:rsid w:val="001D6C3B"/>
    <w:rsid w:val="001E054A"/>
    <w:rsid w:val="001E20B1"/>
    <w:rsid w:val="001E593E"/>
    <w:rsid w:val="001F0040"/>
    <w:rsid w:val="001F01C2"/>
    <w:rsid w:val="001F2F21"/>
    <w:rsid w:val="001F4C89"/>
    <w:rsid w:val="001F58B5"/>
    <w:rsid w:val="001F737B"/>
    <w:rsid w:val="001F73EF"/>
    <w:rsid w:val="00203CD3"/>
    <w:rsid w:val="00205EF6"/>
    <w:rsid w:val="0021040B"/>
    <w:rsid w:val="00214D2B"/>
    <w:rsid w:val="00216265"/>
    <w:rsid w:val="002167A8"/>
    <w:rsid w:val="00216C48"/>
    <w:rsid w:val="00216C67"/>
    <w:rsid w:val="00217258"/>
    <w:rsid w:val="00232FDC"/>
    <w:rsid w:val="0023322A"/>
    <w:rsid w:val="00235B74"/>
    <w:rsid w:val="00240F10"/>
    <w:rsid w:val="00241F3B"/>
    <w:rsid w:val="00252A54"/>
    <w:rsid w:val="00252AEE"/>
    <w:rsid w:val="00260C52"/>
    <w:rsid w:val="00261AA2"/>
    <w:rsid w:val="00262AF2"/>
    <w:rsid w:val="00264841"/>
    <w:rsid w:val="00266064"/>
    <w:rsid w:val="00284683"/>
    <w:rsid w:val="00285589"/>
    <w:rsid w:val="002916F7"/>
    <w:rsid w:val="0029612D"/>
    <w:rsid w:val="002970CA"/>
    <w:rsid w:val="002A0732"/>
    <w:rsid w:val="002A0CC8"/>
    <w:rsid w:val="002A0EE3"/>
    <w:rsid w:val="002A3202"/>
    <w:rsid w:val="002A4561"/>
    <w:rsid w:val="002B1810"/>
    <w:rsid w:val="002B339F"/>
    <w:rsid w:val="002B3959"/>
    <w:rsid w:val="002C2A31"/>
    <w:rsid w:val="002D5AE9"/>
    <w:rsid w:val="002D5C82"/>
    <w:rsid w:val="002E3641"/>
    <w:rsid w:val="002F24BF"/>
    <w:rsid w:val="002F3F95"/>
    <w:rsid w:val="00300B01"/>
    <w:rsid w:val="00302E16"/>
    <w:rsid w:val="0030389E"/>
    <w:rsid w:val="00305D9F"/>
    <w:rsid w:val="00307B6C"/>
    <w:rsid w:val="00310EF4"/>
    <w:rsid w:val="003179F6"/>
    <w:rsid w:val="00326066"/>
    <w:rsid w:val="00331533"/>
    <w:rsid w:val="00333982"/>
    <w:rsid w:val="00333F48"/>
    <w:rsid w:val="00333FB5"/>
    <w:rsid w:val="003508C0"/>
    <w:rsid w:val="003518C8"/>
    <w:rsid w:val="00362EAB"/>
    <w:rsid w:val="003707C6"/>
    <w:rsid w:val="003726EF"/>
    <w:rsid w:val="0037271D"/>
    <w:rsid w:val="003757D7"/>
    <w:rsid w:val="00382EA8"/>
    <w:rsid w:val="003834A7"/>
    <w:rsid w:val="00386277"/>
    <w:rsid w:val="00390698"/>
    <w:rsid w:val="00392774"/>
    <w:rsid w:val="003A6986"/>
    <w:rsid w:val="003B0C6C"/>
    <w:rsid w:val="003B220D"/>
    <w:rsid w:val="003B4139"/>
    <w:rsid w:val="003B69CE"/>
    <w:rsid w:val="003B6B3F"/>
    <w:rsid w:val="003C18C5"/>
    <w:rsid w:val="003C1E3E"/>
    <w:rsid w:val="003C2B00"/>
    <w:rsid w:val="003C7938"/>
    <w:rsid w:val="003D7146"/>
    <w:rsid w:val="003F7379"/>
    <w:rsid w:val="00400B92"/>
    <w:rsid w:val="0040373E"/>
    <w:rsid w:val="00411E09"/>
    <w:rsid w:val="00413C69"/>
    <w:rsid w:val="0043149B"/>
    <w:rsid w:val="00434B03"/>
    <w:rsid w:val="00441A6B"/>
    <w:rsid w:val="0045002C"/>
    <w:rsid w:val="0045521E"/>
    <w:rsid w:val="004641DF"/>
    <w:rsid w:val="004645C6"/>
    <w:rsid w:val="00464F8F"/>
    <w:rsid w:val="0047283C"/>
    <w:rsid w:val="00473070"/>
    <w:rsid w:val="004733B6"/>
    <w:rsid w:val="004743BC"/>
    <w:rsid w:val="0047485E"/>
    <w:rsid w:val="00475D3D"/>
    <w:rsid w:val="00477A38"/>
    <w:rsid w:val="0048117E"/>
    <w:rsid w:val="004904E7"/>
    <w:rsid w:val="00493253"/>
    <w:rsid w:val="00493B18"/>
    <w:rsid w:val="00495EFE"/>
    <w:rsid w:val="004A347A"/>
    <w:rsid w:val="004A68EA"/>
    <w:rsid w:val="004B3BB5"/>
    <w:rsid w:val="004C52CC"/>
    <w:rsid w:val="004D1CDC"/>
    <w:rsid w:val="004D23C5"/>
    <w:rsid w:val="004E178A"/>
    <w:rsid w:val="004E17B2"/>
    <w:rsid w:val="004F396D"/>
    <w:rsid w:val="004F6EDC"/>
    <w:rsid w:val="004F7373"/>
    <w:rsid w:val="00502F41"/>
    <w:rsid w:val="005064CC"/>
    <w:rsid w:val="00511EC0"/>
    <w:rsid w:val="00513717"/>
    <w:rsid w:val="00513FD8"/>
    <w:rsid w:val="005162F1"/>
    <w:rsid w:val="005268F0"/>
    <w:rsid w:val="00530B79"/>
    <w:rsid w:val="00531964"/>
    <w:rsid w:val="00534807"/>
    <w:rsid w:val="00535107"/>
    <w:rsid w:val="005405DF"/>
    <w:rsid w:val="00540F33"/>
    <w:rsid w:val="00544C1B"/>
    <w:rsid w:val="00545EFF"/>
    <w:rsid w:val="00553BF6"/>
    <w:rsid w:val="00560408"/>
    <w:rsid w:val="005633E5"/>
    <w:rsid w:val="005661AC"/>
    <w:rsid w:val="00570134"/>
    <w:rsid w:val="00574062"/>
    <w:rsid w:val="005874B6"/>
    <w:rsid w:val="00587F37"/>
    <w:rsid w:val="0059029B"/>
    <w:rsid w:val="0059132E"/>
    <w:rsid w:val="00591C18"/>
    <w:rsid w:val="0059411D"/>
    <w:rsid w:val="0059436A"/>
    <w:rsid w:val="0059717E"/>
    <w:rsid w:val="00597A41"/>
    <w:rsid w:val="005A05B9"/>
    <w:rsid w:val="005A2C27"/>
    <w:rsid w:val="005A5485"/>
    <w:rsid w:val="005B2250"/>
    <w:rsid w:val="005B316F"/>
    <w:rsid w:val="005C0A76"/>
    <w:rsid w:val="005C11A0"/>
    <w:rsid w:val="005C7EEE"/>
    <w:rsid w:val="005D4B00"/>
    <w:rsid w:val="005D6F99"/>
    <w:rsid w:val="005E19B9"/>
    <w:rsid w:val="005E40E0"/>
    <w:rsid w:val="005E4A03"/>
    <w:rsid w:val="005E4CDB"/>
    <w:rsid w:val="005E6E4B"/>
    <w:rsid w:val="005F0F14"/>
    <w:rsid w:val="006007FD"/>
    <w:rsid w:val="00602465"/>
    <w:rsid w:val="006025C2"/>
    <w:rsid w:val="00605BD5"/>
    <w:rsid w:val="0061038B"/>
    <w:rsid w:val="00613484"/>
    <w:rsid w:val="006144EC"/>
    <w:rsid w:val="00614D94"/>
    <w:rsid w:val="00625296"/>
    <w:rsid w:val="00630DAD"/>
    <w:rsid w:val="00631DCF"/>
    <w:rsid w:val="00632CA2"/>
    <w:rsid w:val="00635618"/>
    <w:rsid w:val="00636519"/>
    <w:rsid w:val="00641EEB"/>
    <w:rsid w:val="00651500"/>
    <w:rsid w:val="006605B4"/>
    <w:rsid w:val="006605F3"/>
    <w:rsid w:val="006631E8"/>
    <w:rsid w:val="00667F1F"/>
    <w:rsid w:val="00670CBC"/>
    <w:rsid w:val="00671EED"/>
    <w:rsid w:val="00680BBB"/>
    <w:rsid w:val="006823E3"/>
    <w:rsid w:val="00683247"/>
    <w:rsid w:val="00691620"/>
    <w:rsid w:val="006923F8"/>
    <w:rsid w:val="00695939"/>
    <w:rsid w:val="006979E6"/>
    <w:rsid w:val="00697F6A"/>
    <w:rsid w:val="006B49B9"/>
    <w:rsid w:val="006B6ED3"/>
    <w:rsid w:val="006B6F5D"/>
    <w:rsid w:val="006C2DB6"/>
    <w:rsid w:val="006D309A"/>
    <w:rsid w:val="006D4518"/>
    <w:rsid w:val="006E29BA"/>
    <w:rsid w:val="006F0914"/>
    <w:rsid w:val="006F5629"/>
    <w:rsid w:val="0070086F"/>
    <w:rsid w:val="00704B06"/>
    <w:rsid w:val="00710060"/>
    <w:rsid w:val="007159DC"/>
    <w:rsid w:val="00716125"/>
    <w:rsid w:val="00721DE8"/>
    <w:rsid w:val="0072317E"/>
    <w:rsid w:val="007308D5"/>
    <w:rsid w:val="00735740"/>
    <w:rsid w:val="00741BD0"/>
    <w:rsid w:val="00746550"/>
    <w:rsid w:val="00760186"/>
    <w:rsid w:val="00763F64"/>
    <w:rsid w:val="007648A9"/>
    <w:rsid w:val="0077624E"/>
    <w:rsid w:val="00786D9C"/>
    <w:rsid w:val="00792268"/>
    <w:rsid w:val="00793BE4"/>
    <w:rsid w:val="00797D23"/>
    <w:rsid w:val="007A2BAF"/>
    <w:rsid w:val="007A4FC2"/>
    <w:rsid w:val="007B1D6B"/>
    <w:rsid w:val="007C017C"/>
    <w:rsid w:val="007D42B7"/>
    <w:rsid w:val="007D5197"/>
    <w:rsid w:val="007E2A09"/>
    <w:rsid w:val="007E2FEC"/>
    <w:rsid w:val="007E7654"/>
    <w:rsid w:val="007F062F"/>
    <w:rsid w:val="007F0E8B"/>
    <w:rsid w:val="0080060E"/>
    <w:rsid w:val="00801475"/>
    <w:rsid w:val="0080192E"/>
    <w:rsid w:val="008149A4"/>
    <w:rsid w:val="00820D38"/>
    <w:rsid w:val="00823D52"/>
    <w:rsid w:val="00823E63"/>
    <w:rsid w:val="00825FE6"/>
    <w:rsid w:val="0083061C"/>
    <w:rsid w:val="00830668"/>
    <w:rsid w:val="00830E8A"/>
    <w:rsid w:val="00830F69"/>
    <w:rsid w:val="00831753"/>
    <w:rsid w:val="008323B1"/>
    <w:rsid w:val="00832EE4"/>
    <w:rsid w:val="00833C11"/>
    <w:rsid w:val="00837143"/>
    <w:rsid w:val="00840C46"/>
    <w:rsid w:val="008420C4"/>
    <w:rsid w:val="008500F4"/>
    <w:rsid w:val="00854131"/>
    <w:rsid w:val="00860D83"/>
    <w:rsid w:val="00861C6F"/>
    <w:rsid w:val="008827C6"/>
    <w:rsid w:val="00890F35"/>
    <w:rsid w:val="0089567D"/>
    <w:rsid w:val="0089756A"/>
    <w:rsid w:val="00897A45"/>
    <w:rsid w:val="008A03A1"/>
    <w:rsid w:val="008A47E4"/>
    <w:rsid w:val="008B29B3"/>
    <w:rsid w:val="008B6451"/>
    <w:rsid w:val="008B7B13"/>
    <w:rsid w:val="008C0274"/>
    <w:rsid w:val="008C2B7B"/>
    <w:rsid w:val="008C50B8"/>
    <w:rsid w:val="008D04F7"/>
    <w:rsid w:val="008D13DE"/>
    <w:rsid w:val="008D14B8"/>
    <w:rsid w:val="008D7CB9"/>
    <w:rsid w:val="008E5FC8"/>
    <w:rsid w:val="008F767E"/>
    <w:rsid w:val="00904214"/>
    <w:rsid w:val="009051AE"/>
    <w:rsid w:val="0090785A"/>
    <w:rsid w:val="00913A7A"/>
    <w:rsid w:val="00917C67"/>
    <w:rsid w:val="009234FC"/>
    <w:rsid w:val="00927D39"/>
    <w:rsid w:val="00943730"/>
    <w:rsid w:val="009446DD"/>
    <w:rsid w:val="00946481"/>
    <w:rsid w:val="009516EE"/>
    <w:rsid w:val="00951954"/>
    <w:rsid w:val="00951AF5"/>
    <w:rsid w:val="00952D80"/>
    <w:rsid w:val="00953E5A"/>
    <w:rsid w:val="009544A0"/>
    <w:rsid w:val="009603FC"/>
    <w:rsid w:val="00964FBC"/>
    <w:rsid w:val="00967BA5"/>
    <w:rsid w:val="00980707"/>
    <w:rsid w:val="00980FE8"/>
    <w:rsid w:val="00992D45"/>
    <w:rsid w:val="009959B5"/>
    <w:rsid w:val="00996793"/>
    <w:rsid w:val="009A0FF9"/>
    <w:rsid w:val="009B36AA"/>
    <w:rsid w:val="009B3CC1"/>
    <w:rsid w:val="009B54C4"/>
    <w:rsid w:val="009B7284"/>
    <w:rsid w:val="009C5CAF"/>
    <w:rsid w:val="009C654B"/>
    <w:rsid w:val="009D1985"/>
    <w:rsid w:val="009D2F47"/>
    <w:rsid w:val="009E3C7E"/>
    <w:rsid w:val="009E429A"/>
    <w:rsid w:val="009E4D18"/>
    <w:rsid w:val="009F6564"/>
    <w:rsid w:val="009F7F68"/>
    <w:rsid w:val="00A0105C"/>
    <w:rsid w:val="00A03CDE"/>
    <w:rsid w:val="00A23A02"/>
    <w:rsid w:val="00A240A5"/>
    <w:rsid w:val="00A25B78"/>
    <w:rsid w:val="00A268A6"/>
    <w:rsid w:val="00A41670"/>
    <w:rsid w:val="00A41804"/>
    <w:rsid w:val="00A44A6B"/>
    <w:rsid w:val="00A533EA"/>
    <w:rsid w:val="00A55E59"/>
    <w:rsid w:val="00A575F5"/>
    <w:rsid w:val="00A6136C"/>
    <w:rsid w:val="00A666B8"/>
    <w:rsid w:val="00A7058B"/>
    <w:rsid w:val="00A84D44"/>
    <w:rsid w:val="00A902F3"/>
    <w:rsid w:val="00A96116"/>
    <w:rsid w:val="00AA3897"/>
    <w:rsid w:val="00AA6A97"/>
    <w:rsid w:val="00AB1632"/>
    <w:rsid w:val="00AC07A7"/>
    <w:rsid w:val="00AC4ACF"/>
    <w:rsid w:val="00AC4DB5"/>
    <w:rsid w:val="00AC7A6B"/>
    <w:rsid w:val="00AE2B48"/>
    <w:rsid w:val="00AF2ACD"/>
    <w:rsid w:val="00AF4264"/>
    <w:rsid w:val="00AF66B5"/>
    <w:rsid w:val="00AF7CCA"/>
    <w:rsid w:val="00B11890"/>
    <w:rsid w:val="00B17B66"/>
    <w:rsid w:val="00B2455D"/>
    <w:rsid w:val="00B30CDA"/>
    <w:rsid w:val="00B3440E"/>
    <w:rsid w:val="00B37415"/>
    <w:rsid w:val="00B37D57"/>
    <w:rsid w:val="00B42B12"/>
    <w:rsid w:val="00B432CE"/>
    <w:rsid w:val="00B4484A"/>
    <w:rsid w:val="00B4718B"/>
    <w:rsid w:val="00B475F1"/>
    <w:rsid w:val="00B50C74"/>
    <w:rsid w:val="00B528E0"/>
    <w:rsid w:val="00B54F0A"/>
    <w:rsid w:val="00B5585D"/>
    <w:rsid w:val="00B57467"/>
    <w:rsid w:val="00B636CB"/>
    <w:rsid w:val="00B64440"/>
    <w:rsid w:val="00B661AC"/>
    <w:rsid w:val="00B66FD8"/>
    <w:rsid w:val="00B6729B"/>
    <w:rsid w:val="00B714E6"/>
    <w:rsid w:val="00B733E2"/>
    <w:rsid w:val="00B91195"/>
    <w:rsid w:val="00B937AE"/>
    <w:rsid w:val="00B94573"/>
    <w:rsid w:val="00B94E8E"/>
    <w:rsid w:val="00BB1B76"/>
    <w:rsid w:val="00BB1D74"/>
    <w:rsid w:val="00BB1DC6"/>
    <w:rsid w:val="00BB354A"/>
    <w:rsid w:val="00BC12FB"/>
    <w:rsid w:val="00BE1799"/>
    <w:rsid w:val="00BE46FE"/>
    <w:rsid w:val="00BE6548"/>
    <w:rsid w:val="00BE738D"/>
    <w:rsid w:val="00BE7DA6"/>
    <w:rsid w:val="00BF241C"/>
    <w:rsid w:val="00BF25FC"/>
    <w:rsid w:val="00C00A3D"/>
    <w:rsid w:val="00C0242B"/>
    <w:rsid w:val="00C03C09"/>
    <w:rsid w:val="00C04BAF"/>
    <w:rsid w:val="00C10F26"/>
    <w:rsid w:val="00C11A4D"/>
    <w:rsid w:val="00C12D68"/>
    <w:rsid w:val="00C15E45"/>
    <w:rsid w:val="00C16C65"/>
    <w:rsid w:val="00C17C08"/>
    <w:rsid w:val="00C17F84"/>
    <w:rsid w:val="00C21F7E"/>
    <w:rsid w:val="00C2373D"/>
    <w:rsid w:val="00C31450"/>
    <w:rsid w:val="00C3272C"/>
    <w:rsid w:val="00C50E66"/>
    <w:rsid w:val="00C5205B"/>
    <w:rsid w:val="00C57BA2"/>
    <w:rsid w:val="00C60FDA"/>
    <w:rsid w:val="00C62011"/>
    <w:rsid w:val="00C640FA"/>
    <w:rsid w:val="00C661AF"/>
    <w:rsid w:val="00C667A7"/>
    <w:rsid w:val="00C66C4E"/>
    <w:rsid w:val="00C673C8"/>
    <w:rsid w:val="00C705EC"/>
    <w:rsid w:val="00C70A97"/>
    <w:rsid w:val="00C74468"/>
    <w:rsid w:val="00C7558F"/>
    <w:rsid w:val="00C76831"/>
    <w:rsid w:val="00C8020A"/>
    <w:rsid w:val="00C932B1"/>
    <w:rsid w:val="00C96FFF"/>
    <w:rsid w:val="00CA3274"/>
    <w:rsid w:val="00CA7964"/>
    <w:rsid w:val="00CB1B9A"/>
    <w:rsid w:val="00CC56B3"/>
    <w:rsid w:val="00CD129C"/>
    <w:rsid w:val="00CD6F6B"/>
    <w:rsid w:val="00CD7CA9"/>
    <w:rsid w:val="00CE57D4"/>
    <w:rsid w:val="00CE7A1A"/>
    <w:rsid w:val="00CF0231"/>
    <w:rsid w:val="00CF27A5"/>
    <w:rsid w:val="00CF526A"/>
    <w:rsid w:val="00CF69A2"/>
    <w:rsid w:val="00D02293"/>
    <w:rsid w:val="00D0304C"/>
    <w:rsid w:val="00D04100"/>
    <w:rsid w:val="00D1318E"/>
    <w:rsid w:val="00D17990"/>
    <w:rsid w:val="00D25CF9"/>
    <w:rsid w:val="00D26D64"/>
    <w:rsid w:val="00D30D08"/>
    <w:rsid w:val="00D35D8A"/>
    <w:rsid w:val="00D371EB"/>
    <w:rsid w:val="00D404FD"/>
    <w:rsid w:val="00D427E2"/>
    <w:rsid w:val="00D50A1E"/>
    <w:rsid w:val="00D53CD5"/>
    <w:rsid w:val="00D55552"/>
    <w:rsid w:val="00D61BC6"/>
    <w:rsid w:val="00D64AD4"/>
    <w:rsid w:val="00D654FD"/>
    <w:rsid w:val="00D668F7"/>
    <w:rsid w:val="00D7067A"/>
    <w:rsid w:val="00D71CB0"/>
    <w:rsid w:val="00D73DB6"/>
    <w:rsid w:val="00D82356"/>
    <w:rsid w:val="00D83FDA"/>
    <w:rsid w:val="00D860EC"/>
    <w:rsid w:val="00D862D2"/>
    <w:rsid w:val="00D9066B"/>
    <w:rsid w:val="00DA0380"/>
    <w:rsid w:val="00DA1CC9"/>
    <w:rsid w:val="00DA49AD"/>
    <w:rsid w:val="00DA50E9"/>
    <w:rsid w:val="00DA5736"/>
    <w:rsid w:val="00DA5E7B"/>
    <w:rsid w:val="00DB3C0A"/>
    <w:rsid w:val="00DB4481"/>
    <w:rsid w:val="00DB52D7"/>
    <w:rsid w:val="00DE0BB0"/>
    <w:rsid w:val="00DE0BD2"/>
    <w:rsid w:val="00DE2751"/>
    <w:rsid w:val="00DE33D3"/>
    <w:rsid w:val="00DE5BCE"/>
    <w:rsid w:val="00DF24A1"/>
    <w:rsid w:val="00E101E5"/>
    <w:rsid w:val="00E12EF1"/>
    <w:rsid w:val="00E14DEC"/>
    <w:rsid w:val="00E21EEE"/>
    <w:rsid w:val="00E241B5"/>
    <w:rsid w:val="00E24AA7"/>
    <w:rsid w:val="00E2652A"/>
    <w:rsid w:val="00E35D1B"/>
    <w:rsid w:val="00E371E2"/>
    <w:rsid w:val="00E376F6"/>
    <w:rsid w:val="00E439FE"/>
    <w:rsid w:val="00E47DA5"/>
    <w:rsid w:val="00E507C7"/>
    <w:rsid w:val="00E524A7"/>
    <w:rsid w:val="00E545E7"/>
    <w:rsid w:val="00E5542F"/>
    <w:rsid w:val="00E63A8B"/>
    <w:rsid w:val="00E655E9"/>
    <w:rsid w:val="00E672C3"/>
    <w:rsid w:val="00E7169E"/>
    <w:rsid w:val="00E776A0"/>
    <w:rsid w:val="00E829A0"/>
    <w:rsid w:val="00E85945"/>
    <w:rsid w:val="00E907E4"/>
    <w:rsid w:val="00E918C6"/>
    <w:rsid w:val="00E91EFE"/>
    <w:rsid w:val="00E95A20"/>
    <w:rsid w:val="00E95B36"/>
    <w:rsid w:val="00EA0405"/>
    <w:rsid w:val="00EA10EC"/>
    <w:rsid w:val="00EB34BB"/>
    <w:rsid w:val="00EB3D41"/>
    <w:rsid w:val="00EB3F9A"/>
    <w:rsid w:val="00EC26B3"/>
    <w:rsid w:val="00EC3165"/>
    <w:rsid w:val="00EC512A"/>
    <w:rsid w:val="00EC7896"/>
    <w:rsid w:val="00ED5B06"/>
    <w:rsid w:val="00EE4046"/>
    <w:rsid w:val="00EF26A8"/>
    <w:rsid w:val="00EF27CC"/>
    <w:rsid w:val="00EF533C"/>
    <w:rsid w:val="00EF6470"/>
    <w:rsid w:val="00F003DA"/>
    <w:rsid w:val="00F0089A"/>
    <w:rsid w:val="00F00D1E"/>
    <w:rsid w:val="00F0274B"/>
    <w:rsid w:val="00F02814"/>
    <w:rsid w:val="00F041BA"/>
    <w:rsid w:val="00F04E15"/>
    <w:rsid w:val="00F06F8E"/>
    <w:rsid w:val="00F10820"/>
    <w:rsid w:val="00F120F3"/>
    <w:rsid w:val="00F125AF"/>
    <w:rsid w:val="00F12754"/>
    <w:rsid w:val="00F154C2"/>
    <w:rsid w:val="00F2093F"/>
    <w:rsid w:val="00F21BF8"/>
    <w:rsid w:val="00F32D11"/>
    <w:rsid w:val="00F33ED3"/>
    <w:rsid w:val="00F354E8"/>
    <w:rsid w:val="00F402B4"/>
    <w:rsid w:val="00F41D2E"/>
    <w:rsid w:val="00F451BC"/>
    <w:rsid w:val="00F53001"/>
    <w:rsid w:val="00F54BA2"/>
    <w:rsid w:val="00F5510B"/>
    <w:rsid w:val="00F55888"/>
    <w:rsid w:val="00F60091"/>
    <w:rsid w:val="00F73F53"/>
    <w:rsid w:val="00F74AD7"/>
    <w:rsid w:val="00F758CD"/>
    <w:rsid w:val="00F81F8B"/>
    <w:rsid w:val="00F843F2"/>
    <w:rsid w:val="00F8741B"/>
    <w:rsid w:val="00F915E7"/>
    <w:rsid w:val="00FA1FE4"/>
    <w:rsid w:val="00FA241D"/>
    <w:rsid w:val="00FA2F0E"/>
    <w:rsid w:val="00FA3603"/>
    <w:rsid w:val="00FA5455"/>
    <w:rsid w:val="00FA6C60"/>
    <w:rsid w:val="00FB669F"/>
    <w:rsid w:val="00FC5569"/>
    <w:rsid w:val="00FC6111"/>
    <w:rsid w:val="00FD2195"/>
    <w:rsid w:val="00FE0B74"/>
    <w:rsid w:val="00FE3748"/>
    <w:rsid w:val="00FE6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695DA-2B2E-41EB-B791-BB0D607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3ED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7308D5"/>
    <w:pPr>
      <w:tabs>
        <w:tab w:val="center" w:pos="4819"/>
        <w:tab w:val="right" w:pos="9638"/>
      </w:tabs>
    </w:pPr>
  </w:style>
  <w:style w:type="character" w:customStyle="1" w:styleId="PoratDiagrama">
    <w:name w:val="Poraštė Diagrama"/>
    <w:basedOn w:val="Numatytasispastraiposriftas"/>
    <w:link w:val="Porat"/>
    <w:uiPriority w:val="99"/>
    <w:rsid w:val="007308D5"/>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25296"/>
    <w:rPr>
      <w:b/>
      <w:bCs/>
    </w:rPr>
  </w:style>
  <w:style w:type="paragraph" w:customStyle="1" w:styleId="prastasis1">
    <w:name w:val="Įprastasis1"/>
    <w:basedOn w:val="prastasis"/>
    <w:rsid w:val="005E4CDB"/>
    <w:pPr>
      <w:spacing w:before="120"/>
      <w:jc w:val="both"/>
    </w:pPr>
  </w:style>
  <w:style w:type="paragraph" w:styleId="Paprastasistekstas">
    <w:name w:val="Plain Text"/>
    <w:basedOn w:val="prastasis"/>
    <w:link w:val="PaprastasistekstasDiagrama"/>
    <w:uiPriority w:val="99"/>
    <w:semiHidden/>
    <w:unhideWhenUsed/>
    <w:rsid w:val="00390698"/>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390698"/>
    <w:rPr>
      <w:rFonts w:ascii="Calibri" w:hAnsi="Calibri"/>
      <w:szCs w:val="21"/>
    </w:rPr>
  </w:style>
  <w:style w:type="character" w:styleId="Hipersaitas">
    <w:name w:val="Hyperlink"/>
    <w:basedOn w:val="Numatytasispastraiposriftas"/>
    <w:uiPriority w:val="99"/>
    <w:semiHidden/>
    <w:unhideWhenUsed/>
    <w:rsid w:val="00B11890"/>
    <w:rPr>
      <w:strike w:val="0"/>
      <w:dstrike w:val="0"/>
      <w:color w:val="6E717F"/>
      <w:u w:val="none"/>
      <w:effect w:val="none"/>
      <w:shd w:val="clear" w:color="auto" w:fill="auto"/>
    </w:rPr>
  </w:style>
  <w:style w:type="paragraph" w:styleId="Puslapioinaostekstas">
    <w:name w:val="footnote text"/>
    <w:basedOn w:val="prastasis"/>
    <w:link w:val="PuslapioinaostekstasDiagrama"/>
    <w:uiPriority w:val="99"/>
    <w:semiHidden/>
    <w:unhideWhenUsed/>
    <w:rsid w:val="00B11890"/>
    <w:rPr>
      <w:sz w:val="20"/>
      <w:szCs w:val="20"/>
    </w:rPr>
  </w:style>
  <w:style w:type="character" w:customStyle="1" w:styleId="PuslapioinaostekstasDiagrama">
    <w:name w:val="Puslapio išnašos tekstas Diagrama"/>
    <w:basedOn w:val="Numatytasispastraiposriftas"/>
    <w:link w:val="Puslapioinaostekstas"/>
    <w:uiPriority w:val="99"/>
    <w:semiHidden/>
    <w:rsid w:val="00B1189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11890"/>
    <w:rPr>
      <w:vertAlign w:val="superscript"/>
    </w:rPr>
  </w:style>
  <w:style w:type="paragraph" w:customStyle="1" w:styleId="tajtip">
    <w:name w:val="tajtip"/>
    <w:basedOn w:val="prastasis"/>
    <w:rsid w:val="00897A45"/>
    <w:pPr>
      <w:spacing w:after="150"/>
    </w:pPr>
  </w:style>
  <w:style w:type="paragraph" w:customStyle="1" w:styleId="normal-p">
    <w:name w:val="normal-p"/>
    <w:basedOn w:val="prastasis"/>
    <w:rsid w:val="00C3272C"/>
    <w:rPr>
      <w:rFonts w:eastAsiaTheme="minorEastAsia"/>
    </w:rPr>
  </w:style>
  <w:style w:type="character" w:customStyle="1" w:styleId="normal-h">
    <w:name w:val="normal-h"/>
    <w:basedOn w:val="Numatytasispastraiposriftas"/>
    <w:rsid w:val="00C10F26"/>
  </w:style>
  <w:style w:type="paragraph" w:customStyle="1" w:styleId="statymopavad">
    <w:name w:val="Ástatymo pavad."/>
    <w:basedOn w:val="prastasis"/>
    <w:rsid w:val="00716125"/>
    <w:pPr>
      <w:spacing w:line="360" w:lineRule="auto"/>
      <w:ind w:firstLine="720"/>
      <w:jc w:val="center"/>
    </w:pPr>
    <w:rPr>
      <w:rFonts w:ascii="TimesLT" w:hAnsi="TimesLT"/>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6019">
      <w:bodyDiv w:val="1"/>
      <w:marLeft w:val="0"/>
      <w:marRight w:val="0"/>
      <w:marTop w:val="0"/>
      <w:marBottom w:val="0"/>
      <w:divBdr>
        <w:top w:val="none" w:sz="0" w:space="0" w:color="auto"/>
        <w:left w:val="none" w:sz="0" w:space="0" w:color="auto"/>
        <w:bottom w:val="none" w:sz="0" w:space="0" w:color="auto"/>
        <w:right w:val="none" w:sz="0" w:space="0" w:color="auto"/>
      </w:divBdr>
      <w:divsChild>
        <w:div w:id="946037006">
          <w:marLeft w:val="0"/>
          <w:marRight w:val="0"/>
          <w:marTop w:val="0"/>
          <w:marBottom w:val="0"/>
          <w:divBdr>
            <w:top w:val="none" w:sz="0" w:space="0" w:color="auto"/>
            <w:left w:val="none" w:sz="0" w:space="0" w:color="auto"/>
            <w:bottom w:val="none" w:sz="0" w:space="0" w:color="auto"/>
            <w:right w:val="none" w:sz="0" w:space="0" w:color="auto"/>
          </w:divBdr>
          <w:divsChild>
            <w:div w:id="288165563">
              <w:marLeft w:val="0"/>
              <w:marRight w:val="0"/>
              <w:marTop w:val="0"/>
              <w:marBottom w:val="0"/>
              <w:divBdr>
                <w:top w:val="none" w:sz="0" w:space="0" w:color="auto"/>
                <w:left w:val="none" w:sz="0" w:space="0" w:color="auto"/>
                <w:bottom w:val="none" w:sz="0" w:space="0" w:color="auto"/>
                <w:right w:val="none" w:sz="0" w:space="0" w:color="auto"/>
              </w:divBdr>
              <w:divsChild>
                <w:div w:id="1822382190">
                  <w:marLeft w:val="0"/>
                  <w:marRight w:val="0"/>
                  <w:marTop w:val="0"/>
                  <w:marBottom w:val="0"/>
                  <w:divBdr>
                    <w:top w:val="none" w:sz="0" w:space="0" w:color="auto"/>
                    <w:left w:val="none" w:sz="0" w:space="0" w:color="auto"/>
                    <w:bottom w:val="none" w:sz="0" w:space="0" w:color="auto"/>
                    <w:right w:val="none" w:sz="0" w:space="0" w:color="auto"/>
                  </w:divBdr>
                  <w:divsChild>
                    <w:div w:id="606350959">
                      <w:marLeft w:val="0"/>
                      <w:marRight w:val="0"/>
                      <w:marTop w:val="0"/>
                      <w:marBottom w:val="0"/>
                      <w:divBdr>
                        <w:top w:val="none" w:sz="0" w:space="0" w:color="auto"/>
                        <w:left w:val="none" w:sz="0" w:space="0" w:color="auto"/>
                        <w:bottom w:val="none" w:sz="0" w:space="0" w:color="auto"/>
                        <w:right w:val="none" w:sz="0" w:space="0" w:color="auto"/>
                      </w:divBdr>
                      <w:divsChild>
                        <w:div w:id="21362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90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249">
          <w:marLeft w:val="547"/>
          <w:marRight w:val="0"/>
          <w:marTop w:val="154"/>
          <w:marBottom w:val="0"/>
          <w:divBdr>
            <w:top w:val="none" w:sz="0" w:space="0" w:color="auto"/>
            <w:left w:val="none" w:sz="0" w:space="0" w:color="auto"/>
            <w:bottom w:val="none" w:sz="0" w:space="0" w:color="auto"/>
            <w:right w:val="none" w:sz="0" w:space="0" w:color="auto"/>
          </w:divBdr>
        </w:div>
        <w:div w:id="505872799">
          <w:marLeft w:val="547"/>
          <w:marRight w:val="0"/>
          <w:marTop w:val="154"/>
          <w:marBottom w:val="0"/>
          <w:divBdr>
            <w:top w:val="none" w:sz="0" w:space="0" w:color="auto"/>
            <w:left w:val="none" w:sz="0" w:space="0" w:color="auto"/>
            <w:bottom w:val="none" w:sz="0" w:space="0" w:color="auto"/>
            <w:right w:val="none" w:sz="0" w:space="0" w:color="auto"/>
          </w:divBdr>
        </w:div>
        <w:div w:id="2127960844">
          <w:marLeft w:val="547"/>
          <w:marRight w:val="0"/>
          <w:marTop w:val="154"/>
          <w:marBottom w:val="0"/>
          <w:divBdr>
            <w:top w:val="none" w:sz="0" w:space="0" w:color="auto"/>
            <w:left w:val="none" w:sz="0" w:space="0" w:color="auto"/>
            <w:bottom w:val="none" w:sz="0" w:space="0" w:color="auto"/>
            <w:right w:val="none" w:sz="0" w:space="0" w:color="auto"/>
          </w:divBdr>
        </w:div>
        <w:div w:id="11611874">
          <w:marLeft w:val="547"/>
          <w:marRight w:val="0"/>
          <w:marTop w:val="154"/>
          <w:marBottom w:val="0"/>
          <w:divBdr>
            <w:top w:val="none" w:sz="0" w:space="0" w:color="auto"/>
            <w:left w:val="none" w:sz="0" w:space="0" w:color="auto"/>
            <w:bottom w:val="none" w:sz="0" w:space="0" w:color="auto"/>
            <w:right w:val="none" w:sz="0" w:space="0" w:color="auto"/>
          </w:divBdr>
        </w:div>
        <w:div w:id="202787672">
          <w:marLeft w:val="547"/>
          <w:marRight w:val="0"/>
          <w:marTop w:val="154"/>
          <w:marBottom w:val="0"/>
          <w:divBdr>
            <w:top w:val="none" w:sz="0" w:space="0" w:color="auto"/>
            <w:left w:val="none" w:sz="0" w:space="0" w:color="auto"/>
            <w:bottom w:val="none" w:sz="0" w:space="0" w:color="auto"/>
            <w:right w:val="none" w:sz="0" w:space="0" w:color="auto"/>
          </w:divBdr>
        </w:div>
      </w:divsChild>
    </w:div>
    <w:div w:id="290013009">
      <w:bodyDiv w:val="1"/>
      <w:marLeft w:val="0"/>
      <w:marRight w:val="0"/>
      <w:marTop w:val="0"/>
      <w:marBottom w:val="0"/>
      <w:divBdr>
        <w:top w:val="none" w:sz="0" w:space="0" w:color="auto"/>
        <w:left w:val="none" w:sz="0" w:space="0" w:color="auto"/>
        <w:bottom w:val="none" w:sz="0" w:space="0" w:color="auto"/>
        <w:right w:val="none" w:sz="0" w:space="0" w:color="auto"/>
      </w:divBdr>
      <w:divsChild>
        <w:div w:id="1149591846">
          <w:marLeft w:val="547"/>
          <w:marRight w:val="0"/>
          <w:marTop w:val="154"/>
          <w:marBottom w:val="0"/>
          <w:divBdr>
            <w:top w:val="none" w:sz="0" w:space="0" w:color="auto"/>
            <w:left w:val="none" w:sz="0" w:space="0" w:color="auto"/>
            <w:bottom w:val="none" w:sz="0" w:space="0" w:color="auto"/>
            <w:right w:val="none" w:sz="0" w:space="0" w:color="auto"/>
          </w:divBdr>
        </w:div>
        <w:div w:id="955908106">
          <w:marLeft w:val="547"/>
          <w:marRight w:val="0"/>
          <w:marTop w:val="154"/>
          <w:marBottom w:val="0"/>
          <w:divBdr>
            <w:top w:val="none" w:sz="0" w:space="0" w:color="auto"/>
            <w:left w:val="none" w:sz="0" w:space="0" w:color="auto"/>
            <w:bottom w:val="none" w:sz="0" w:space="0" w:color="auto"/>
            <w:right w:val="none" w:sz="0" w:space="0" w:color="auto"/>
          </w:divBdr>
        </w:div>
        <w:div w:id="435559342">
          <w:marLeft w:val="547"/>
          <w:marRight w:val="0"/>
          <w:marTop w:val="154"/>
          <w:marBottom w:val="0"/>
          <w:divBdr>
            <w:top w:val="none" w:sz="0" w:space="0" w:color="auto"/>
            <w:left w:val="none" w:sz="0" w:space="0" w:color="auto"/>
            <w:bottom w:val="none" w:sz="0" w:space="0" w:color="auto"/>
            <w:right w:val="none" w:sz="0" w:space="0" w:color="auto"/>
          </w:divBdr>
        </w:div>
        <w:div w:id="465858989">
          <w:marLeft w:val="547"/>
          <w:marRight w:val="0"/>
          <w:marTop w:val="154"/>
          <w:marBottom w:val="0"/>
          <w:divBdr>
            <w:top w:val="none" w:sz="0" w:space="0" w:color="auto"/>
            <w:left w:val="none" w:sz="0" w:space="0" w:color="auto"/>
            <w:bottom w:val="none" w:sz="0" w:space="0" w:color="auto"/>
            <w:right w:val="none" w:sz="0" w:space="0" w:color="auto"/>
          </w:divBdr>
        </w:div>
      </w:divsChild>
    </w:div>
    <w:div w:id="342099196">
      <w:bodyDiv w:val="1"/>
      <w:marLeft w:val="0"/>
      <w:marRight w:val="0"/>
      <w:marTop w:val="0"/>
      <w:marBottom w:val="0"/>
      <w:divBdr>
        <w:top w:val="none" w:sz="0" w:space="0" w:color="auto"/>
        <w:left w:val="none" w:sz="0" w:space="0" w:color="auto"/>
        <w:bottom w:val="none" w:sz="0" w:space="0" w:color="auto"/>
        <w:right w:val="none" w:sz="0" w:space="0" w:color="auto"/>
      </w:divBdr>
    </w:div>
    <w:div w:id="387996184">
      <w:bodyDiv w:val="1"/>
      <w:marLeft w:val="0"/>
      <w:marRight w:val="0"/>
      <w:marTop w:val="0"/>
      <w:marBottom w:val="0"/>
      <w:divBdr>
        <w:top w:val="none" w:sz="0" w:space="0" w:color="auto"/>
        <w:left w:val="none" w:sz="0" w:space="0" w:color="auto"/>
        <w:bottom w:val="none" w:sz="0" w:space="0" w:color="auto"/>
        <w:right w:val="none" w:sz="0" w:space="0" w:color="auto"/>
      </w:divBdr>
      <w:divsChild>
        <w:div w:id="322927051">
          <w:marLeft w:val="0"/>
          <w:marRight w:val="0"/>
          <w:marTop w:val="0"/>
          <w:marBottom w:val="0"/>
          <w:divBdr>
            <w:top w:val="none" w:sz="0" w:space="0" w:color="auto"/>
            <w:left w:val="none" w:sz="0" w:space="0" w:color="auto"/>
            <w:bottom w:val="none" w:sz="0" w:space="0" w:color="auto"/>
            <w:right w:val="none" w:sz="0" w:space="0" w:color="auto"/>
          </w:divBdr>
          <w:divsChild>
            <w:div w:id="1606495292">
              <w:marLeft w:val="0"/>
              <w:marRight w:val="0"/>
              <w:marTop w:val="0"/>
              <w:marBottom w:val="0"/>
              <w:divBdr>
                <w:top w:val="none" w:sz="0" w:space="0" w:color="auto"/>
                <w:left w:val="none" w:sz="0" w:space="0" w:color="auto"/>
                <w:bottom w:val="none" w:sz="0" w:space="0" w:color="auto"/>
                <w:right w:val="none" w:sz="0" w:space="0" w:color="auto"/>
              </w:divBdr>
              <w:divsChild>
                <w:div w:id="1980647541">
                  <w:marLeft w:val="0"/>
                  <w:marRight w:val="0"/>
                  <w:marTop w:val="0"/>
                  <w:marBottom w:val="0"/>
                  <w:divBdr>
                    <w:top w:val="none" w:sz="0" w:space="0" w:color="auto"/>
                    <w:left w:val="none" w:sz="0" w:space="0" w:color="auto"/>
                    <w:bottom w:val="none" w:sz="0" w:space="0" w:color="auto"/>
                    <w:right w:val="none" w:sz="0" w:space="0" w:color="auto"/>
                  </w:divBdr>
                  <w:divsChild>
                    <w:div w:id="744571912">
                      <w:marLeft w:val="0"/>
                      <w:marRight w:val="0"/>
                      <w:marTop w:val="0"/>
                      <w:marBottom w:val="0"/>
                      <w:divBdr>
                        <w:top w:val="none" w:sz="0" w:space="0" w:color="auto"/>
                        <w:left w:val="none" w:sz="0" w:space="0" w:color="auto"/>
                        <w:bottom w:val="none" w:sz="0" w:space="0" w:color="auto"/>
                        <w:right w:val="none" w:sz="0" w:space="0" w:color="auto"/>
                      </w:divBdr>
                      <w:divsChild>
                        <w:div w:id="19453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08033">
      <w:bodyDiv w:val="1"/>
      <w:marLeft w:val="0"/>
      <w:marRight w:val="0"/>
      <w:marTop w:val="0"/>
      <w:marBottom w:val="0"/>
      <w:divBdr>
        <w:top w:val="none" w:sz="0" w:space="0" w:color="auto"/>
        <w:left w:val="none" w:sz="0" w:space="0" w:color="auto"/>
        <w:bottom w:val="none" w:sz="0" w:space="0" w:color="auto"/>
        <w:right w:val="none" w:sz="0" w:space="0" w:color="auto"/>
      </w:divBdr>
      <w:divsChild>
        <w:div w:id="953487566">
          <w:marLeft w:val="0"/>
          <w:marRight w:val="0"/>
          <w:marTop w:val="0"/>
          <w:marBottom w:val="0"/>
          <w:divBdr>
            <w:top w:val="none" w:sz="0" w:space="0" w:color="auto"/>
            <w:left w:val="none" w:sz="0" w:space="0" w:color="auto"/>
            <w:bottom w:val="none" w:sz="0" w:space="0" w:color="auto"/>
            <w:right w:val="none" w:sz="0" w:space="0" w:color="auto"/>
          </w:divBdr>
          <w:divsChild>
            <w:div w:id="1641693867">
              <w:marLeft w:val="0"/>
              <w:marRight w:val="0"/>
              <w:marTop w:val="0"/>
              <w:marBottom w:val="0"/>
              <w:divBdr>
                <w:top w:val="none" w:sz="0" w:space="0" w:color="auto"/>
                <w:left w:val="none" w:sz="0" w:space="0" w:color="auto"/>
                <w:bottom w:val="none" w:sz="0" w:space="0" w:color="auto"/>
                <w:right w:val="none" w:sz="0" w:space="0" w:color="auto"/>
              </w:divBdr>
              <w:divsChild>
                <w:div w:id="1810392500">
                  <w:marLeft w:val="0"/>
                  <w:marRight w:val="0"/>
                  <w:marTop w:val="0"/>
                  <w:marBottom w:val="0"/>
                  <w:divBdr>
                    <w:top w:val="none" w:sz="0" w:space="0" w:color="auto"/>
                    <w:left w:val="none" w:sz="0" w:space="0" w:color="auto"/>
                    <w:bottom w:val="none" w:sz="0" w:space="0" w:color="auto"/>
                    <w:right w:val="none" w:sz="0" w:space="0" w:color="auto"/>
                  </w:divBdr>
                  <w:divsChild>
                    <w:div w:id="1245261883">
                      <w:marLeft w:val="0"/>
                      <w:marRight w:val="0"/>
                      <w:marTop w:val="0"/>
                      <w:marBottom w:val="0"/>
                      <w:divBdr>
                        <w:top w:val="none" w:sz="0" w:space="0" w:color="auto"/>
                        <w:left w:val="none" w:sz="0" w:space="0" w:color="auto"/>
                        <w:bottom w:val="none" w:sz="0" w:space="0" w:color="auto"/>
                        <w:right w:val="none" w:sz="0" w:space="0" w:color="auto"/>
                      </w:divBdr>
                      <w:divsChild>
                        <w:div w:id="15568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578580">
      <w:bodyDiv w:val="1"/>
      <w:marLeft w:val="0"/>
      <w:marRight w:val="0"/>
      <w:marTop w:val="0"/>
      <w:marBottom w:val="0"/>
      <w:divBdr>
        <w:top w:val="none" w:sz="0" w:space="0" w:color="auto"/>
        <w:left w:val="none" w:sz="0" w:space="0" w:color="auto"/>
        <w:bottom w:val="none" w:sz="0" w:space="0" w:color="auto"/>
        <w:right w:val="none" w:sz="0" w:space="0" w:color="auto"/>
      </w:divBdr>
    </w:div>
    <w:div w:id="1046249397">
      <w:bodyDiv w:val="1"/>
      <w:marLeft w:val="0"/>
      <w:marRight w:val="0"/>
      <w:marTop w:val="0"/>
      <w:marBottom w:val="0"/>
      <w:divBdr>
        <w:top w:val="none" w:sz="0" w:space="0" w:color="auto"/>
        <w:left w:val="none" w:sz="0" w:space="0" w:color="auto"/>
        <w:bottom w:val="none" w:sz="0" w:space="0" w:color="auto"/>
        <w:right w:val="none" w:sz="0" w:space="0" w:color="auto"/>
      </w:divBdr>
      <w:divsChild>
        <w:div w:id="70811482">
          <w:marLeft w:val="547"/>
          <w:marRight w:val="0"/>
          <w:marTop w:val="154"/>
          <w:marBottom w:val="0"/>
          <w:divBdr>
            <w:top w:val="none" w:sz="0" w:space="0" w:color="auto"/>
            <w:left w:val="none" w:sz="0" w:space="0" w:color="auto"/>
            <w:bottom w:val="none" w:sz="0" w:space="0" w:color="auto"/>
            <w:right w:val="none" w:sz="0" w:space="0" w:color="auto"/>
          </w:divBdr>
        </w:div>
      </w:divsChild>
    </w:div>
    <w:div w:id="1151484079">
      <w:bodyDiv w:val="1"/>
      <w:marLeft w:val="0"/>
      <w:marRight w:val="0"/>
      <w:marTop w:val="0"/>
      <w:marBottom w:val="0"/>
      <w:divBdr>
        <w:top w:val="none" w:sz="0" w:space="0" w:color="auto"/>
        <w:left w:val="none" w:sz="0" w:space="0" w:color="auto"/>
        <w:bottom w:val="none" w:sz="0" w:space="0" w:color="auto"/>
        <w:right w:val="none" w:sz="0" w:space="0" w:color="auto"/>
      </w:divBdr>
      <w:divsChild>
        <w:div w:id="2083407722">
          <w:marLeft w:val="0"/>
          <w:marRight w:val="0"/>
          <w:marTop w:val="0"/>
          <w:marBottom w:val="0"/>
          <w:divBdr>
            <w:top w:val="none" w:sz="0" w:space="0" w:color="auto"/>
            <w:left w:val="none" w:sz="0" w:space="0" w:color="auto"/>
            <w:bottom w:val="none" w:sz="0" w:space="0" w:color="auto"/>
            <w:right w:val="none" w:sz="0" w:space="0" w:color="auto"/>
          </w:divBdr>
          <w:divsChild>
            <w:div w:id="1296134435">
              <w:marLeft w:val="0"/>
              <w:marRight w:val="0"/>
              <w:marTop w:val="0"/>
              <w:marBottom w:val="0"/>
              <w:divBdr>
                <w:top w:val="none" w:sz="0" w:space="0" w:color="auto"/>
                <w:left w:val="none" w:sz="0" w:space="0" w:color="auto"/>
                <w:bottom w:val="none" w:sz="0" w:space="0" w:color="auto"/>
                <w:right w:val="none" w:sz="0" w:space="0" w:color="auto"/>
              </w:divBdr>
              <w:divsChild>
                <w:div w:id="73747136">
                  <w:marLeft w:val="0"/>
                  <w:marRight w:val="0"/>
                  <w:marTop w:val="0"/>
                  <w:marBottom w:val="0"/>
                  <w:divBdr>
                    <w:top w:val="none" w:sz="0" w:space="0" w:color="auto"/>
                    <w:left w:val="none" w:sz="0" w:space="0" w:color="auto"/>
                    <w:bottom w:val="none" w:sz="0" w:space="0" w:color="auto"/>
                    <w:right w:val="none" w:sz="0" w:space="0" w:color="auto"/>
                  </w:divBdr>
                  <w:divsChild>
                    <w:div w:id="1750811419">
                      <w:marLeft w:val="0"/>
                      <w:marRight w:val="0"/>
                      <w:marTop w:val="0"/>
                      <w:marBottom w:val="0"/>
                      <w:divBdr>
                        <w:top w:val="none" w:sz="0" w:space="0" w:color="auto"/>
                        <w:left w:val="none" w:sz="0" w:space="0" w:color="auto"/>
                        <w:bottom w:val="none" w:sz="0" w:space="0" w:color="auto"/>
                        <w:right w:val="none" w:sz="0" w:space="0" w:color="auto"/>
                      </w:divBdr>
                      <w:divsChild>
                        <w:div w:id="16160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255682">
      <w:bodyDiv w:val="1"/>
      <w:marLeft w:val="0"/>
      <w:marRight w:val="0"/>
      <w:marTop w:val="0"/>
      <w:marBottom w:val="0"/>
      <w:divBdr>
        <w:top w:val="none" w:sz="0" w:space="0" w:color="auto"/>
        <w:left w:val="none" w:sz="0" w:space="0" w:color="auto"/>
        <w:bottom w:val="none" w:sz="0" w:space="0" w:color="auto"/>
        <w:right w:val="none" w:sz="0" w:space="0" w:color="auto"/>
      </w:divBdr>
      <w:divsChild>
        <w:div w:id="566384582">
          <w:marLeft w:val="547"/>
          <w:marRight w:val="0"/>
          <w:marTop w:val="154"/>
          <w:marBottom w:val="0"/>
          <w:divBdr>
            <w:top w:val="none" w:sz="0" w:space="0" w:color="auto"/>
            <w:left w:val="none" w:sz="0" w:space="0" w:color="auto"/>
            <w:bottom w:val="none" w:sz="0" w:space="0" w:color="auto"/>
            <w:right w:val="none" w:sz="0" w:space="0" w:color="auto"/>
          </w:divBdr>
        </w:div>
      </w:divsChild>
    </w:div>
    <w:div w:id="1532499735">
      <w:bodyDiv w:val="1"/>
      <w:marLeft w:val="390"/>
      <w:marRight w:val="390"/>
      <w:marTop w:val="0"/>
      <w:marBottom w:val="0"/>
      <w:divBdr>
        <w:top w:val="none" w:sz="0" w:space="0" w:color="auto"/>
        <w:left w:val="none" w:sz="0" w:space="0" w:color="auto"/>
        <w:bottom w:val="none" w:sz="0" w:space="0" w:color="auto"/>
        <w:right w:val="none" w:sz="0" w:space="0" w:color="auto"/>
      </w:divBdr>
    </w:div>
    <w:div w:id="1568374275">
      <w:bodyDiv w:val="1"/>
      <w:marLeft w:val="0"/>
      <w:marRight w:val="0"/>
      <w:marTop w:val="0"/>
      <w:marBottom w:val="0"/>
      <w:divBdr>
        <w:top w:val="none" w:sz="0" w:space="0" w:color="auto"/>
        <w:left w:val="none" w:sz="0" w:space="0" w:color="auto"/>
        <w:bottom w:val="none" w:sz="0" w:space="0" w:color="auto"/>
        <w:right w:val="none" w:sz="0" w:space="0" w:color="auto"/>
      </w:divBdr>
      <w:divsChild>
        <w:div w:id="1435902784">
          <w:marLeft w:val="547"/>
          <w:marRight w:val="0"/>
          <w:marTop w:val="154"/>
          <w:marBottom w:val="0"/>
          <w:divBdr>
            <w:top w:val="none" w:sz="0" w:space="0" w:color="auto"/>
            <w:left w:val="none" w:sz="0" w:space="0" w:color="auto"/>
            <w:bottom w:val="none" w:sz="0" w:space="0" w:color="auto"/>
            <w:right w:val="none" w:sz="0" w:space="0" w:color="auto"/>
          </w:divBdr>
        </w:div>
      </w:divsChild>
    </w:div>
    <w:div w:id="1638876321">
      <w:bodyDiv w:val="1"/>
      <w:marLeft w:val="0"/>
      <w:marRight w:val="0"/>
      <w:marTop w:val="0"/>
      <w:marBottom w:val="0"/>
      <w:divBdr>
        <w:top w:val="none" w:sz="0" w:space="0" w:color="auto"/>
        <w:left w:val="none" w:sz="0" w:space="0" w:color="auto"/>
        <w:bottom w:val="none" w:sz="0" w:space="0" w:color="auto"/>
        <w:right w:val="none" w:sz="0" w:space="0" w:color="auto"/>
      </w:divBdr>
      <w:divsChild>
        <w:div w:id="514852824">
          <w:marLeft w:val="547"/>
          <w:marRight w:val="0"/>
          <w:marTop w:val="154"/>
          <w:marBottom w:val="0"/>
          <w:divBdr>
            <w:top w:val="none" w:sz="0" w:space="0" w:color="auto"/>
            <w:left w:val="none" w:sz="0" w:space="0" w:color="auto"/>
            <w:bottom w:val="none" w:sz="0" w:space="0" w:color="auto"/>
            <w:right w:val="none" w:sz="0" w:space="0" w:color="auto"/>
          </w:divBdr>
        </w:div>
      </w:divsChild>
    </w:div>
    <w:div w:id="1686403925">
      <w:bodyDiv w:val="1"/>
      <w:marLeft w:val="0"/>
      <w:marRight w:val="0"/>
      <w:marTop w:val="0"/>
      <w:marBottom w:val="0"/>
      <w:divBdr>
        <w:top w:val="none" w:sz="0" w:space="0" w:color="auto"/>
        <w:left w:val="none" w:sz="0" w:space="0" w:color="auto"/>
        <w:bottom w:val="none" w:sz="0" w:space="0" w:color="auto"/>
        <w:right w:val="none" w:sz="0" w:space="0" w:color="auto"/>
      </w:divBdr>
      <w:divsChild>
        <w:div w:id="349645613">
          <w:marLeft w:val="0"/>
          <w:marRight w:val="0"/>
          <w:marTop w:val="0"/>
          <w:marBottom w:val="0"/>
          <w:divBdr>
            <w:top w:val="none" w:sz="0" w:space="0" w:color="auto"/>
            <w:left w:val="none" w:sz="0" w:space="0" w:color="auto"/>
            <w:bottom w:val="none" w:sz="0" w:space="0" w:color="auto"/>
            <w:right w:val="none" w:sz="0" w:space="0" w:color="auto"/>
          </w:divBdr>
          <w:divsChild>
            <w:div w:id="749498933">
              <w:marLeft w:val="0"/>
              <w:marRight w:val="0"/>
              <w:marTop w:val="0"/>
              <w:marBottom w:val="0"/>
              <w:divBdr>
                <w:top w:val="none" w:sz="0" w:space="0" w:color="auto"/>
                <w:left w:val="none" w:sz="0" w:space="0" w:color="auto"/>
                <w:bottom w:val="none" w:sz="0" w:space="0" w:color="auto"/>
                <w:right w:val="none" w:sz="0" w:space="0" w:color="auto"/>
              </w:divBdr>
              <w:divsChild>
                <w:div w:id="1759865334">
                  <w:marLeft w:val="0"/>
                  <w:marRight w:val="0"/>
                  <w:marTop w:val="0"/>
                  <w:marBottom w:val="0"/>
                  <w:divBdr>
                    <w:top w:val="none" w:sz="0" w:space="0" w:color="auto"/>
                    <w:left w:val="none" w:sz="0" w:space="0" w:color="auto"/>
                    <w:bottom w:val="none" w:sz="0" w:space="0" w:color="auto"/>
                    <w:right w:val="none" w:sz="0" w:space="0" w:color="auto"/>
                  </w:divBdr>
                  <w:divsChild>
                    <w:div w:id="50424508">
                      <w:marLeft w:val="0"/>
                      <w:marRight w:val="0"/>
                      <w:marTop w:val="0"/>
                      <w:marBottom w:val="0"/>
                      <w:divBdr>
                        <w:top w:val="none" w:sz="0" w:space="0" w:color="auto"/>
                        <w:left w:val="none" w:sz="0" w:space="0" w:color="auto"/>
                        <w:bottom w:val="none" w:sz="0" w:space="0" w:color="auto"/>
                        <w:right w:val="none" w:sz="0" w:space="0" w:color="auto"/>
                      </w:divBdr>
                      <w:divsChild>
                        <w:div w:id="18453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97236">
      <w:bodyDiv w:val="1"/>
      <w:marLeft w:val="0"/>
      <w:marRight w:val="0"/>
      <w:marTop w:val="0"/>
      <w:marBottom w:val="0"/>
      <w:divBdr>
        <w:top w:val="none" w:sz="0" w:space="0" w:color="auto"/>
        <w:left w:val="none" w:sz="0" w:space="0" w:color="auto"/>
        <w:bottom w:val="none" w:sz="0" w:space="0" w:color="auto"/>
        <w:right w:val="none" w:sz="0" w:space="0" w:color="auto"/>
      </w:divBdr>
      <w:divsChild>
        <w:div w:id="1710109452">
          <w:marLeft w:val="0"/>
          <w:marRight w:val="0"/>
          <w:marTop w:val="0"/>
          <w:marBottom w:val="0"/>
          <w:divBdr>
            <w:top w:val="none" w:sz="0" w:space="0" w:color="auto"/>
            <w:left w:val="none" w:sz="0" w:space="0" w:color="auto"/>
            <w:bottom w:val="none" w:sz="0" w:space="0" w:color="auto"/>
            <w:right w:val="none" w:sz="0" w:space="0" w:color="auto"/>
          </w:divBdr>
          <w:divsChild>
            <w:div w:id="1520660257">
              <w:marLeft w:val="0"/>
              <w:marRight w:val="0"/>
              <w:marTop w:val="0"/>
              <w:marBottom w:val="0"/>
              <w:divBdr>
                <w:top w:val="none" w:sz="0" w:space="0" w:color="auto"/>
                <w:left w:val="none" w:sz="0" w:space="0" w:color="auto"/>
                <w:bottom w:val="none" w:sz="0" w:space="0" w:color="auto"/>
                <w:right w:val="none" w:sz="0" w:space="0" w:color="auto"/>
              </w:divBdr>
              <w:divsChild>
                <w:div w:id="356929010">
                  <w:marLeft w:val="0"/>
                  <w:marRight w:val="0"/>
                  <w:marTop w:val="0"/>
                  <w:marBottom w:val="0"/>
                  <w:divBdr>
                    <w:top w:val="none" w:sz="0" w:space="0" w:color="auto"/>
                    <w:left w:val="none" w:sz="0" w:space="0" w:color="auto"/>
                    <w:bottom w:val="none" w:sz="0" w:space="0" w:color="auto"/>
                    <w:right w:val="none" w:sz="0" w:space="0" w:color="auto"/>
                  </w:divBdr>
                  <w:divsChild>
                    <w:div w:id="586892050">
                      <w:marLeft w:val="0"/>
                      <w:marRight w:val="0"/>
                      <w:marTop w:val="0"/>
                      <w:marBottom w:val="0"/>
                      <w:divBdr>
                        <w:top w:val="none" w:sz="0" w:space="0" w:color="auto"/>
                        <w:left w:val="none" w:sz="0" w:space="0" w:color="auto"/>
                        <w:bottom w:val="none" w:sz="0" w:space="0" w:color="auto"/>
                        <w:right w:val="none" w:sz="0" w:space="0" w:color="auto"/>
                      </w:divBdr>
                      <w:divsChild>
                        <w:div w:id="11777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FD3A-8790-4CF9-9325-27177D0A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13919</Words>
  <Characters>7934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2019-06-28T08:44:00Z</dcterms:created>
  <dc:creator>Jolita Meškelytė</dc:creator>
  <cp:lastModifiedBy>Tautginas Mickevičius</cp:lastModifiedBy>
  <cp:lastPrinted>2018-09-05T11:32:00Z</cp:lastPrinted>
  <dcterms:modified xsi:type="dcterms:W3CDTF">2019-08-23T07:23:00Z</dcterms:modified>
  <cp:revision>24</cp:revision>
</cp:coreProperties>
</file>