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D5E" w:rsidRDefault="00ED0642"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val="en-US" w:eastAsia="zh-CN"/>
        </w:rPr>
      </w:pPr>
      <w:r>
        <w:rPr>
          <w:rFonts w:ascii="Times New Roman" w:eastAsia="Times New Roman" w:hAnsi="Times New Roman" w:cs="Times New Roman"/>
          <w:b/>
          <w:bCs/>
          <w:caps/>
          <w:kern w:val="3"/>
          <w:sz w:val="24"/>
          <w:szCs w:val="24"/>
          <w:lang w:val="en-US" w:eastAsia="zh-CN"/>
        </w:rPr>
        <w:t>DERINIMO PAŽYMA</w:t>
      </w:r>
    </w:p>
    <w:p w:rsidR="00FD1D5E" w:rsidRPr="00492FE6" w:rsidRDefault="00FD1D5E" w:rsidP="00571C71">
      <w:pPr>
        <w:spacing w:after="0" w:line="240" w:lineRule="auto"/>
        <w:jc w:val="center"/>
        <w:rPr>
          <w:rFonts w:ascii="Times New Roman" w:eastAsia="Times New Roman" w:hAnsi="Times New Roman" w:cs="Times New Roman"/>
          <w:b/>
          <w:bCs/>
          <w:caps/>
          <w:kern w:val="3"/>
          <w:sz w:val="24"/>
          <w:szCs w:val="24"/>
          <w:lang w:eastAsia="zh-CN"/>
        </w:rPr>
      </w:pPr>
      <w:bookmarkStart w:id="0" w:name="_Hlk513734621"/>
      <w:r>
        <w:rPr>
          <w:rFonts w:ascii="Times New Roman" w:eastAsia="Times New Roman" w:hAnsi="Times New Roman" w:cs="Times New Roman"/>
          <w:b/>
          <w:bCs/>
          <w:caps/>
          <w:kern w:val="3"/>
          <w:sz w:val="24"/>
          <w:szCs w:val="24"/>
          <w:lang w:val="en-US" w:eastAsia="zh-CN"/>
        </w:rPr>
        <w:t xml:space="preserve">DĖL </w:t>
      </w:r>
      <w:bookmarkEnd w:id="0"/>
      <w:r w:rsidR="00571C71" w:rsidRPr="00571C71">
        <w:rPr>
          <w:rFonts w:ascii="Times New Roman" w:eastAsia="Times New Roman" w:hAnsi="Times New Roman" w:cs="Times New Roman"/>
          <w:b/>
          <w:bCs/>
          <w:caps/>
          <w:kern w:val="3"/>
          <w:sz w:val="24"/>
          <w:szCs w:val="24"/>
          <w:lang w:eastAsia="zh-CN"/>
        </w:rPr>
        <w:t>Lietuvos Respublikos vartotojų teisių apsaugos įstatymo Nr. I-657 12, 22, 22</w:t>
      </w:r>
      <w:r w:rsidR="00571C71" w:rsidRPr="00571C71">
        <w:rPr>
          <w:rFonts w:ascii="Times New Roman" w:eastAsia="Times New Roman" w:hAnsi="Times New Roman" w:cs="Times New Roman"/>
          <w:b/>
          <w:bCs/>
          <w:caps/>
          <w:kern w:val="3"/>
          <w:sz w:val="24"/>
          <w:szCs w:val="24"/>
          <w:vertAlign w:val="superscript"/>
          <w:lang w:eastAsia="zh-CN"/>
        </w:rPr>
        <w:t>2</w:t>
      </w:r>
      <w:r w:rsidR="00571C71" w:rsidRPr="00571C71">
        <w:rPr>
          <w:rFonts w:ascii="Times New Roman" w:eastAsia="Times New Roman" w:hAnsi="Times New Roman" w:cs="Times New Roman"/>
          <w:b/>
          <w:bCs/>
          <w:caps/>
          <w:kern w:val="3"/>
          <w:sz w:val="24"/>
          <w:szCs w:val="24"/>
          <w:lang w:eastAsia="zh-CN"/>
        </w:rPr>
        <w:t>, 22</w:t>
      </w:r>
      <w:r w:rsidR="00571C71" w:rsidRPr="00571C71">
        <w:rPr>
          <w:rFonts w:ascii="Times New Roman" w:eastAsia="Times New Roman" w:hAnsi="Times New Roman" w:cs="Times New Roman"/>
          <w:b/>
          <w:bCs/>
          <w:caps/>
          <w:kern w:val="3"/>
          <w:sz w:val="24"/>
          <w:szCs w:val="24"/>
          <w:vertAlign w:val="superscript"/>
          <w:lang w:eastAsia="zh-CN"/>
        </w:rPr>
        <w:t>5</w:t>
      </w:r>
      <w:r w:rsidR="00571C71" w:rsidRPr="00571C71">
        <w:rPr>
          <w:rFonts w:ascii="Times New Roman" w:eastAsia="Times New Roman" w:hAnsi="Times New Roman" w:cs="Times New Roman"/>
          <w:b/>
          <w:bCs/>
          <w:caps/>
          <w:kern w:val="3"/>
          <w:sz w:val="24"/>
          <w:szCs w:val="24"/>
          <w:lang w:eastAsia="zh-CN"/>
        </w:rPr>
        <w:t>, 23, 23</w:t>
      </w:r>
      <w:r w:rsidR="00571C71" w:rsidRPr="00571C71">
        <w:rPr>
          <w:rFonts w:ascii="Times New Roman" w:eastAsia="Times New Roman" w:hAnsi="Times New Roman" w:cs="Times New Roman"/>
          <w:b/>
          <w:bCs/>
          <w:caps/>
          <w:kern w:val="3"/>
          <w:sz w:val="24"/>
          <w:szCs w:val="24"/>
          <w:vertAlign w:val="superscript"/>
          <w:lang w:eastAsia="zh-CN"/>
        </w:rPr>
        <w:t>3</w:t>
      </w:r>
      <w:r w:rsidR="00571C71" w:rsidRPr="00571C71">
        <w:rPr>
          <w:rFonts w:ascii="Times New Roman" w:eastAsia="Times New Roman" w:hAnsi="Times New Roman" w:cs="Times New Roman"/>
          <w:b/>
          <w:bCs/>
          <w:caps/>
          <w:kern w:val="3"/>
          <w:sz w:val="24"/>
          <w:szCs w:val="24"/>
          <w:lang w:eastAsia="zh-CN"/>
        </w:rPr>
        <w:t>, 25, 27, 28, 29</w:t>
      </w:r>
      <w:r w:rsidR="00571C71" w:rsidRPr="00571C71">
        <w:rPr>
          <w:rFonts w:ascii="Times New Roman" w:eastAsia="Times New Roman" w:hAnsi="Times New Roman" w:cs="Times New Roman"/>
          <w:b/>
          <w:bCs/>
          <w:caps/>
          <w:kern w:val="3"/>
          <w:sz w:val="24"/>
          <w:szCs w:val="24"/>
          <w:vertAlign w:val="superscript"/>
          <w:lang w:eastAsia="zh-CN"/>
        </w:rPr>
        <w:t>3</w:t>
      </w:r>
      <w:r w:rsidR="00571C71" w:rsidRPr="00571C71">
        <w:rPr>
          <w:rFonts w:ascii="Times New Roman" w:eastAsia="Times New Roman" w:hAnsi="Times New Roman" w:cs="Times New Roman"/>
          <w:b/>
          <w:bCs/>
          <w:caps/>
          <w:kern w:val="3"/>
          <w:sz w:val="24"/>
          <w:szCs w:val="24"/>
          <w:lang w:eastAsia="zh-CN"/>
        </w:rPr>
        <w:t>, 32, 40 straipsnių</w:t>
      </w:r>
      <w:r w:rsidR="007E1264">
        <w:rPr>
          <w:rFonts w:ascii="Times New Roman" w:eastAsia="Times New Roman" w:hAnsi="Times New Roman" w:cs="Times New Roman"/>
          <w:b/>
          <w:bCs/>
          <w:caps/>
          <w:kern w:val="3"/>
          <w:sz w:val="24"/>
          <w:szCs w:val="24"/>
          <w:lang w:eastAsia="zh-CN"/>
        </w:rPr>
        <w:t>, priedo</w:t>
      </w:r>
      <w:r w:rsidR="00571C71" w:rsidRPr="00571C71">
        <w:rPr>
          <w:rFonts w:ascii="Times New Roman" w:eastAsia="Times New Roman" w:hAnsi="Times New Roman" w:cs="Times New Roman"/>
          <w:b/>
          <w:bCs/>
          <w:caps/>
          <w:kern w:val="3"/>
          <w:sz w:val="24"/>
          <w:szCs w:val="24"/>
          <w:lang w:eastAsia="zh-CN"/>
        </w:rPr>
        <w:t xml:space="preserve"> pakeitimo ir įstatymo papildymo 35</w:t>
      </w:r>
      <w:r w:rsidR="00571C71" w:rsidRPr="00571C71">
        <w:rPr>
          <w:rFonts w:ascii="Times New Roman" w:eastAsia="Times New Roman" w:hAnsi="Times New Roman" w:cs="Times New Roman"/>
          <w:b/>
          <w:bCs/>
          <w:caps/>
          <w:kern w:val="3"/>
          <w:sz w:val="24"/>
          <w:szCs w:val="24"/>
          <w:vertAlign w:val="superscript"/>
          <w:lang w:eastAsia="zh-CN"/>
        </w:rPr>
        <w:t>1</w:t>
      </w:r>
      <w:r w:rsidR="00571C71" w:rsidRPr="00571C71">
        <w:rPr>
          <w:rFonts w:ascii="Times New Roman" w:eastAsia="Times New Roman" w:hAnsi="Times New Roman" w:cs="Times New Roman"/>
          <w:b/>
          <w:bCs/>
          <w:caps/>
          <w:kern w:val="3"/>
          <w:sz w:val="24"/>
          <w:szCs w:val="24"/>
          <w:lang w:eastAsia="zh-CN"/>
        </w:rPr>
        <w:t> ir 35</w:t>
      </w:r>
      <w:r w:rsidR="00571C71" w:rsidRPr="00571C71">
        <w:rPr>
          <w:rFonts w:ascii="Times New Roman" w:eastAsia="Times New Roman" w:hAnsi="Times New Roman" w:cs="Times New Roman"/>
          <w:b/>
          <w:bCs/>
          <w:caps/>
          <w:kern w:val="3"/>
          <w:sz w:val="24"/>
          <w:szCs w:val="24"/>
          <w:vertAlign w:val="superscript"/>
          <w:lang w:eastAsia="zh-CN"/>
        </w:rPr>
        <w:t>2</w:t>
      </w:r>
      <w:r w:rsidR="00571C71">
        <w:rPr>
          <w:rFonts w:ascii="Times New Roman" w:eastAsia="Times New Roman" w:hAnsi="Times New Roman" w:cs="Times New Roman"/>
          <w:b/>
          <w:bCs/>
          <w:caps/>
          <w:kern w:val="3"/>
          <w:sz w:val="24"/>
          <w:szCs w:val="24"/>
          <w:lang w:eastAsia="zh-CN"/>
        </w:rPr>
        <w:t> straipsniais įstatymo projektO</w:t>
      </w:r>
    </w:p>
    <w:p w:rsidR="00FD1D5E" w:rsidRPr="00492FE6" w:rsidRDefault="00FD1D5E" w:rsidP="00FD1D5E">
      <w:pPr>
        <w:suppressAutoHyphens/>
        <w:autoSpaceDE w:val="0"/>
        <w:autoSpaceDN w:val="0"/>
        <w:spacing w:after="0" w:line="240" w:lineRule="auto"/>
        <w:jc w:val="center"/>
        <w:textAlignment w:val="baseline"/>
        <w:rPr>
          <w:rFonts w:ascii="Times New Roman" w:eastAsia="Times New Roman" w:hAnsi="Times New Roman" w:cs="Times New Roman"/>
          <w:b/>
          <w:bCs/>
          <w:caps/>
          <w:kern w:val="3"/>
          <w:sz w:val="24"/>
          <w:szCs w:val="24"/>
          <w:lang w:eastAsia="zh-CN"/>
        </w:rPr>
      </w:pPr>
    </w:p>
    <w:tbl>
      <w:tblPr>
        <w:tblStyle w:val="Lentelstinklelis"/>
        <w:tblW w:w="0" w:type="auto"/>
        <w:tblLook w:val="04A0" w:firstRow="1" w:lastRow="0" w:firstColumn="1" w:lastColumn="0" w:noHBand="0" w:noVBand="1"/>
      </w:tblPr>
      <w:tblGrid>
        <w:gridCol w:w="572"/>
        <w:gridCol w:w="1893"/>
        <w:gridCol w:w="5847"/>
        <w:gridCol w:w="5681"/>
      </w:tblGrid>
      <w:tr w:rsidR="006D6811" w:rsidRPr="00835D10" w:rsidTr="004B2FA2">
        <w:tc>
          <w:tcPr>
            <w:tcW w:w="0" w:type="auto"/>
          </w:tcPr>
          <w:p w:rsidR="00FD1D5E" w:rsidRPr="00036DE4" w:rsidRDefault="00FD1D5E" w:rsidP="002E6C10">
            <w:pPr>
              <w:tabs>
                <w:tab w:val="left" w:pos="449"/>
              </w:tabs>
              <w:spacing w:after="80" w:line="264" w:lineRule="auto"/>
              <w:jc w:val="center"/>
              <w:rPr>
                <w:rFonts w:ascii="Times New Roman" w:hAnsi="Times New Roman" w:cs="Times New Roman"/>
                <w:bCs/>
              </w:rPr>
            </w:pPr>
            <w:r w:rsidRPr="00036DE4">
              <w:rPr>
                <w:rFonts w:ascii="Times New Roman" w:hAnsi="Times New Roman" w:cs="Times New Roman"/>
                <w:bCs/>
              </w:rPr>
              <w:t>Eil. Nr.</w:t>
            </w:r>
          </w:p>
        </w:tc>
        <w:tc>
          <w:tcPr>
            <w:tcW w:w="0" w:type="auto"/>
          </w:tcPr>
          <w:p w:rsidR="00FD1D5E" w:rsidRPr="00036DE4" w:rsidRDefault="00FD1D5E" w:rsidP="00160C0D">
            <w:pPr>
              <w:tabs>
                <w:tab w:val="left" w:pos="449"/>
              </w:tabs>
              <w:spacing w:after="80"/>
              <w:jc w:val="center"/>
              <w:rPr>
                <w:rFonts w:ascii="Times New Roman" w:hAnsi="Times New Roman" w:cs="Times New Roman"/>
              </w:rPr>
            </w:pPr>
            <w:r w:rsidRPr="00036DE4">
              <w:rPr>
                <w:rFonts w:ascii="Times New Roman" w:hAnsi="Times New Roman" w:cs="Times New Roman"/>
                <w:bCs/>
              </w:rPr>
              <w:t>Institucija, pateikusi pastabas ir pasiūlymus</w:t>
            </w:r>
          </w:p>
        </w:tc>
        <w:tc>
          <w:tcPr>
            <w:tcW w:w="0" w:type="auto"/>
          </w:tcPr>
          <w:p w:rsidR="00FD1D5E" w:rsidRPr="00036DE4" w:rsidRDefault="00FD1D5E" w:rsidP="00614D4E">
            <w:pPr>
              <w:tabs>
                <w:tab w:val="left" w:pos="449"/>
              </w:tabs>
              <w:spacing w:after="80"/>
              <w:jc w:val="center"/>
              <w:rPr>
                <w:rFonts w:ascii="Times New Roman" w:hAnsi="Times New Roman" w:cs="Times New Roman"/>
              </w:rPr>
            </w:pPr>
            <w:r w:rsidRPr="00036DE4">
              <w:rPr>
                <w:rFonts w:ascii="Times New Roman" w:eastAsia="Times New Roman" w:hAnsi="Times New Roman" w:cs="Times New Roman"/>
              </w:rPr>
              <w:t>Pastabos ir pasiūlymai</w:t>
            </w:r>
          </w:p>
        </w:tc>
        <w:tc>
          <w:tcPr>
            <w:tcW w:w="0" w:type="auto"/>
          </w:tcPr>
          <w:p w:rsidR="00FD1D5E" w:rsidRPr="00036DE4" w:rsidRDefault="00FD1D5E" w:rsidP="002E6C10">
            <w:pPr>
              <w:spacing w:line="276" w:lineRule="auto"/>
              <w:jc w:val="center"/>
              <w:rPr>
                <w:rFonts w:ascii="Times New Roman" w:hAnsi="Times New Roman" w:cs="Times New Roman"/>
                <w:b/>
              </w:rPr>
            </w:pPr>
            <w:r w:rsidRPr="00036DE4">
              <w:rPr>
                <w:rFonts w:ascii="Times New Roman" w:eastAsia="Times New Roman" w:hAnsi="Times New Roman" w:cs="Times New Roman"/>
              </w:rPr>
              <w:t>Pastabų ir pasiūlymų įvertinimas</w:t>
            </w:r>
          </w:p>
        </w:tc>
      </w:tr>
      <w:tr w:rsidR="006D6811" w:rsidRPr="00835D10" w:rsidTr="004B2FA2">
        <w:tc>
          <w:tcPr>
            <w:tcW w:w="0" w:type="auto"/>
          </w:tcPr>
          <w:p w:rsidR="00962D95" w:rsidRPr="00036DE4" w:rsidRDefault="00E96DA9"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1</w:t>
            </w:r>
            <w:r w:rsidR="004B2FA2">
              <w:rPr>
                <w:rFonts w:ascii="Times New Roman" w:hAnsi="Times New Roman" w:cs="Times New Roman"/>
                <w:bCs/>
              </w:rPr>
              <w:t>.</w:t>
            </w:r>
          </w:p>
        </w:tc>
        <w:tc>
          <w:tcPr>
            <w:tcW w:w="0" w:type="auto"/>
          </w:tcPr>
          <w:p w:rsidR="004B2FA2" w:rsidRPr="00116859" w:rsidRDefault="004B2FA2" w:rsidP="004B2FA2">
            <w:pPr>
              <w:rPr>
                <w:rFonts w:ascii="Times New Roman" w:hAnsi="Times New Roman" w:cs="Times New Roman"/>
              </w:rPr>
            </w:pPr>
            <w:r w:rsidRPr="00116859">
              <w:rPr>
                <w:rFonts w:ascii="Times New Roman" w:hAnsi="Times New Roman" w:cs="Times New Roman"/>
              </w:rPr>
              <w:t>Lietuvos vartotojų organizacijų aljansas</w:t>
            </w:r>
          </w:p>
          <w:p w:rsidR="004B2FA2" w:rsidRPr="00116859" w:rsidRDefault="004B2FA2" w:rsidP="004B2FA2">
            <w:pPr>
              <w:pStyle w:val="Default"/>
              <w:rPr>
                <w:sz w:val="22"/>
                <w:szCs w:val="22"/>
              </w:rPr>
            </w:pPr>
            <w:r w:rsidRPr="00116859">
              <w:rPr>
                <w:sz w:val="22"/>
                <w:szCs w:val="22"/>
              </w:rPr>
              <w:t xml:space="preserve">2020-08-16 raštas Nr. </w:t>
            </w:r>
          </w:p>
          <w:p w:rsidR="00962D95" w:rsidRPr="00036DE4" w:rsidRDefault="004B2FA2" w:rsidP="004B2FA2">
            <w:pPr>
              <w:rPr>
                <w:rFonts w:ascii="Times New Roman" w:hAnsi="Times New Roman" w:cs="Times New Roman"/>
              </w:rPr>
            </w:pPr>
            <w:r w:rsidRPr="00116859">
              <w:rPr>
                <w:rFonts w:ascii="Times New Roman" w:hAnsi="Times New Roman" w:cs="Times New Roman"/>
              </w:rPr>
              <w:t>Nr. RP-40</w:t>
            </w:r>
          </w:p>
        </w:tc>
        <w:tc>
          <w:tcPr>
            <w:tcW w:w="0" w:type="auto"/>
          </w:tcPr>
          <w:p w:rsidR="00962D95" w:rsidRPr="00036DE4" w:rsidRDefault="00962D95" w:rsidP="00036DE4">
            <w:pPr>
              <w:pStyle w:val="Betarp"/>
              <w:jc w:val="both"/>
              <w:rPr>
                <w:bCs/>
                <w:iCs/>
                <w:sz w:val="22"/>
                <w:szCs w:val="22"/>
              </w:rPr>
            </w:pPr>
            <w:r w:rsidRPr="00036DE4">
              <w:rPr>
                <w:bCs/>
                <w:iCs/>
                <w:sz w:val="22"/>
                <w:szCs w:val="22"/>
              </w:rPr>
              <w:t xml:space="preserve">Paminėtina, kad vartotojų asociacijos grupės ieškinio bylose, kaip grupės atstovės gali atstovauti visiems vartotojams, o ne tik asociacijų nariams. Siekiant efektyvesnio ir platesnio vartotojų interesų atstovavimo siūlome Įstatymo 23 straipsnio 3 dalies 5 punktą pakeisti ir išdėstyti taip: </w:t>
            </w:r>
          </w:p>
          <w:p w:rsidR="00962D95" w:rsidRPr="00036DE4" w:rsidRDefault="00962D95" w:rsidP="00036DE4">
            <w:pPr>
              <w:pStyle w:val="Betarp"/>
              <w:jc w:val="both"/>
              <w:rPr>
                <w:bCs/>
                <w:iCs/>
                <w:sz w:val="22"/>
                <w:szCs w:val="22"/>
              </w:rPr>
            </w:pPr>
            <w:r w:rsidRPr="00036DE4">
              <w:rPr>
                <w:bCs/>
                <w:iCs/>
                <w:sz w:val="22"/>
                <w:szCs w:val="22"/>
              </w:rPr>
              <w:t xml:space="preserve">5) paprastos rašytinės formos įgaliojimą, jeigu vartotojui atstovauja atstovas. Jeigu vartotojui atstovauja vartotojų asociacija, kurios narys jis yra, vietoj įgaliojimo pateikiamas dokumentas, patvirtinantis vartotojo narystę vartotojų asociacijoje; </w:t>
            </w:r>
            <w:r w:rsidRPr="00036DE4">
              <w:rPr>
                <w:b/>
                <w:bCs/>
                <w:iCs/>
                <w:sz w:val="22"/>
                <w:szCs w:val="22"/>
              </w:rPr>
              <w:t xml:space="preserve">arba dokumentas, patvirtinantis, kad vartotojui </w:t>
            </w:r>
            <w:r w:rsidR="00036DE4" w:rsidRPr="00036DE4">
              <w:rPr>
                <w:b/>
                <w:bCs/>
                <w:iCs/>
                <w:sz w:val="22"/>
                <w:szCs w:val="22"/>
              </w:rPr>
              <w:t>atstovauja vartotojų asociacija</w:t>
            </w:r>
            <w:r w:rsidR="00036DE4" w:rsidRPr="00036DE4">
              <w:rPr>
                <w:bCs/>
                <w:iCs/>
                <w:sz w:val="22"/>
                <w:szCs w:val="22"/>
              </w:rPr>
              <w:t>.</w:t>
            </w:r>
          </w:p>
        </w:tc>
        <w:tc>
          <w:tcPr>
            <w:tcW w:w="0" w:type="auto"/>
          </w:tcPr>
          <w:p w:rsidR="00962D95" w:rsidRDefault="00883DA2" w:rsidP="009F7423">
            <w:pPr>
              <w:jc w:val="both"/>
              <w:rPr>
                <w:rFonts w:ascii="Times New Roman" w:hAnsi="Times New Roman" w:cs="Times New Roman"/>
                <w:bCs/>
                <w:iCs/>
              </w:rPr>
            </w:pPr>
            <w:r>
              <w:rPr>
                <w:rFonts w:ascii="Times New Roman" w:hAnsi="Times New Roman" w:cs="Times New Roman"/>
                <w:b/>
              </w:rPr>
              <w:t>A</w:t>
            </w:r>
            <w:r w:rsidR="00036DE4" w:rsidRPr="00036DE4">
              <w:rPr>
                <w:rFonts w:ascii="Times New Roman" w:hAnsi="Times New Roman" w:cs="Times New Roman"/>
                <w:b/>
              </w:rPr>
              <w:t>tsižvelgta</w:t>
            </w:r>
            <w:r>
              <w:rPr>
                <w:rFonts w:ascii="Times New Roman" w:hAnsi="Times New Roman" w:cs="Times New Roman"/>
                <w:b/>
              </w:rPr>
              <w:t xml:space="preserve"> iš dalies</w:t>
            </w:r>
            <w:r w:rsidR="00036DE4" w:rsidRPr="00036DE4">
              <w:rPr>
                <w:rFonts w:ascii="Times New Roman" w:hAnsi="Times New Roman" w:cs="Times New Roman"/>
                <w:b/>
              </w:rPr>
              <w:t>.</w:t>
            </w:r>
            <w:r w:rsidR="00036DE4" w:rsidRPr="00A325BD">
              <w:rPr>
                <w:rFonts w:ascii="Times New Roman" w:hAnsi="Times New Roman" w:cs="Times New Roman"/>
              </w:rPr>
              <w:t xml:space="preserve"> </w:t>
            </w:r>
            <w:r>
              <w:rPr>
                <w:rFonts w:ascii="Times New Roman" w:hAnsi="Times New Roman" w:cs="Times New Roman"/>
              </w:rPr>
              <w:t>Pažymėtina, kad jau šiuo metu</w:t>
            </w:r>
            <w:r w:rsidR="00A325BD">
              <w:rPr>
                <w:rFonts w:ascii="Times New Roman" w:hAnsi="Times New Roman" w:cs="Times New Roman"/>
              </w:rPr>
              <w:t xml:space="preserve"> </w:t>
            </w:r>
            <w:r>
              <w:rPr>
                <w:rFonts w:ascii="Times New Roman" w:hAnsi="Times New Roman" w:cs="Times New Roman"/>
              </w:rPr>
              <w:t xml:space="preserve">Vartotojų teisių apsaugos </w:t>
            </w:r>
            <w:r w:rsidR="00A325BD">
              <w:rPr>
                <w:rFonts w:ascii="Times New Roman" w:hAnsi="Times New Roman" w:cs="Times New Roman"/>
              </w:rPr>
              <w:t>įstatym</w:t>
            </w:r>
            <w:r>
              <w:rPr>
                <w:rFonts w:ascii="Times New Roman" w:hAnsi="Times New Roman" w:cs="Times New Roman"/>
              </w:rPr>
              <w:t xml:space="preserve">o nuostatos </w:t>
            </w:r>
            <w:r w:rsidRPr="00E96DA9">
              <w:rPr>
                <w:rFonts w:ascii="Times New Roman" w:hAnsi="Times New Roman" w:cs="Times New Roman"/>
                <w:u w:val="single"/>
              </w:rPr>
              <w:t>leidžia vartotojų asociacijai atstovauti bet kurį vartotoją vartojimo ginčų neteisminio sprendimo procedūroje</w:t>
            </w:r>
            <w:r>
              <w:rPr>
                <w:rFonts w:ascii="Times New Roman" w:hAnsi="Times New Roman" w:cs="Times New Roman"/>
              </w:rPr>
              <w:t xml:space="preserve">. Jeigu vartotojų asociacija atstovauja savo narį, tokiu atveju vietoj </w:t>
            </w:r>
            <w:r w:rsidR="00A325BD" w:rsidRPr="00A325BD">
              <w:rPr>
                <w:rFonts w:ascii="Times New Roman" w:hAnsi="Times New Roman" w:cs="Times New Roman"/>
              </w:rPr>
              <w:t xml:space="preserve">rašytinės formos įgaliojimo gali būti pateikiamas </w:t>
            </w:r>
            <w:r w:rsidR="00A325BD" w:rsidRPr="009F7423">
              <w:rPr>
                <w:rFonts w:ascii="Times New Roman" w:hAnsi="Times New Roman" w:cs="Times New Roman"/>
                <w:bCs/>
                <w:iCs/>
              </w:rPr>
              <w:t>dokumentas, patvirtinantis vartotojo narystę vartotojų asociacijoje</w:t>
            </w:r>
            <w:r>
              <w:rPr>
                <w:rFonts w:ascii="Times New Roman" w:hAnsi="Times New Roman" w:cs="Times New Roman"/>
                <w:bCs/>
                <w:iCs/>
              </w:rPr>
              <w:t xml:space="preserve">. </w:t>
            </w:r>
          </w:p>
          <w:p w:rsidR="00E96DA9" w:rsidRPr="00036DE4" w:rsidRDefault="00E96DA9" w:rsidP="009F7423">
            <w:pPr>
              <w:jc w:val="both"/>
              <w:rPr>
                <w:rFonts w:ascii="Times New Roman" w:hAnsi="Times New Roman" w:cs="Times New Roman"/>
                <w:b/>
              </w:rPr>
            </w:pPr>
            <w:r>
              <w:rPr>
                <w:rFonts w:ascii="Times New Roman" w:hAnsi="Times New Roman" w:cs="Times New Roman"/>
                <w:bCs/>
                <w:iCs/>
              </w:rPr>
              <w:t>Atstovavimą grupės ieškinio bylose reglamentuoja Civilinio proceso kodeksas, o ne Vartotojų teisių apsaugos įstatymas.</w:t>
            </w:r>
          </w:p>
        </w:tc>
      </w:tr>
      <w:tr w:rsidR="006D6811" w:rsidRPr="00835D10" w:rsidTr="004B2FA2">
        <w:tc>
          <w:tcPr>
            <w:tcW w:w="0" w:type="auto"/>
          </w:tcPr>
          <w:p w:rsidR="0070274F" w:rsidRPr="00036DE4" w:rsidRDefault="00E96DA9" w:rsidP="002E6C10">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2</w:t>
            </w:r>
            <w:r w:rsidR="004B2FA2">
              <w:rPr>
                <w:rFonts w:ascii="Times New Roman" w:hAnsi="Times New Roman" w:cs="Times New Roman"/>
                <w:bCs/>
              </w:rPr>
              <w:t>.</w:t>
            </w:r>
          </w:p>
        </w:tc>
        <w:tc>
          <w:tcPr>
            <w:tcW w:w="0" w:type="auto"/>
          </w:tcPr>
          <w:p w:rsidR="00A3635B" w:rsidRPr="00036DE4" w:rsidRDefault="00A3635B" w:rsidP="00A3635B">
            <w:pPr>
              <w:rPr>
                <w:rFonts w:ascii="Times New Roman" w:hAnsi="Times New Roman" w:cs="Times New Roman"/>
              </w:rPr>
            </w:pPr>
            <w:r w:rsidRPr="00036DE4">
              <w:rPr>
                <w:rFonts w:ascii="Times New Roman" w:hAnsi="Times New Roman" w:cs="Times New Roman"/>
              </w:rPr>
              <w:t>Valstybinė energetikos reguliavimo taryba</w:t>
            </w:r>
          </w:p>
          <w:p w:rsidR="00A3635B" w:rsidRPr="00036DE4" w:rsidRDefault="00A3635B" w:rsidP="00A3635B">
            <w:pPr>
              <w:rPr>
                <w:rFonts w:ascii="Times New Roman" w:hAnsi="Times New Roman" w:cs="Times New Roman"/>
              </w:rPr>
            </w:pPr>
            <w:r w:rsidRPr="00036DE4">
              <w:rPr>
                <w:rFonts w:ascii="Times New Roman" w:hAnsi="Times New Roman" w:cs="Times New Roman"/>
              </w:rPr>
              <w:t>2020-08-19</w:t>
            </w:r>
          </w:p>
          <w:p w:rsidR="00A3635B" w:rsidRPr="00036DE4" w:rsidRDefault="00A3635B" w:rsidP="00A3635B">
            <w:pPr>
              <w:rPr>
                <w:rFonts w:ascii="Times New Roman" w:hAnsi="Times New Roman" w:cs="Times New Roman"/>
              </w:rPr>
            </w:pPr>
            <w:r w:rsidRPr="00036DE4">
              <w:rPr>
                <w:rFonts w:ascii="Times New Roman" w:hAnsi="Times New Roman" w:cs="Times New Roman"/>
              </w:rPr>
              <w:t xml:space="preserve">raštas </w:t>
            </w:r>
          </w:p>
          <w:p w:rsidR="0070274F" w:rsidRPr="00036DE4" w:rsidRDefault="00A3635B" w:rsidP="00A3635B">
            <w:pPr>
              <w:rPr>
                <w:rFonts w:ascii="Times New Roman" w:hAnsi="Times New Roman" w:cs="Times New Roman"/>
              </w:rPr>
            </w:pPr>
            <w:r w:rsidRPr="00036DE4">
              <w:rPr>
                <w:rFonts w:ascii="Times New Roman" w:hAnsi="Times New Roman" w:cs="Times New Roman"/>
              </w:rPr>
              <w:t>Nr. R2-(TTA)-4613</w:t>
            </w:r>
          </w:p>
        </w:tc>
        <w:tc>
          <w:tcPr>
            <w:tcW w:w="0" w:type="auto"/>
          </w:tcPr>
          <w:p w:rsidR="0070274F" w:rsidRPr="00036DE4" w:rsidRDefault="0070274F" w:rsidP="006D6811">
            <w:pPr>
              <w:tabs>
                <w:tab w:val="left" w:pos="567"/>
                <w:tab w:val="left" w:pos="993"/>
              </w:tabs>
              <w:jc w:val="both"/>
              <w:rPr>
                <w:rFonts w:ascii="Times New Roman" w:hAnsi="Times New Roman" w:cs="Times New Roman"/>
                <w:bCs/>
                <w:iCs/>
              </w:rPr>
            </w:pPr>
            <w:r w:rsidRPr="00036DE4">
              <w:rPr>
                <w:rFonts w:ascii="Times New Roman" w:hAnsi="Times New Roman" w:cs="Times New Roman"/>
              </w:rPr>
              <w:t xml:space="preserve">Siekiant teisinio aiškumo bei vienodo teisinio reglamentavimo, siūlytina atsižvelgti į Prašymų ir skundų nagrinėjimo ir asmenų aptarnavimo viešojo administravimo subjektuose taisyklių, patvirtintų Lietuvos Respublikos Vyriausybės 2007 m. rugpjūčio 22 d. nutarimu Nr. 875 „Dėl Prašymų ir skundų nagrinėjimo ir asmenų aptarnavimo viešojo administravimo subjektuose taisyklių patvirtinimo“, 19 punktą, kuriame numatyta, kad prašymas raštu, atsiųstas institucijai elektroninėmis priemonėmis, turi būti pasirašytas kvalifikuotu elektroniniu parašu arba suformuotas elektroninėmis priemonėmis, kurios leidžia užtikrinti teksto vientisumą ir nepakeičiamumą, ir pakeisti VTAĮ 23 straipsnio 3 dalies 1 punktą bei jį išdėstyti taip: „1) prašymą nagrinėti vartojimo ginčą. Prašymą pasirašo pareiškėjas ar jo atstovas. </w:t>
            </w:r>
            <w:r w:rsidRPr="00E96DA9">
              <w:rPr>
                <w:rFonts w:ascii="Times New Roman" w:hAnsi="Times New Roman" w:cs="Times New Roman"/>
                <w:b/>
              </w:rPr>
              <w:t>Prašymas, atsiųstas institucijai elektroninėmis priemonėmis, turi būti pasirašytas kvalifikuotu elektroniniu parašu arba suformuotas elektroninėmis priemonėmis, kurios leidžia užtikrinti teksto vientisumą ir nepakeičiamumą</w:t>
            </w:r>
            <w:r w:rsidRPr="00036DE4">
              <w:rPr>
                <w:rFonts w:ascii="Times New Roman" w:hAnsi="Times New Roman" w:cs="Times New Roman"/>
              </w:rPr>
              <w:t xml:space="preserve">;“. Tuo atveju, jei į šį pasiūlymą nebūtų atsižvelgta, atkreiptinas dėmesys, kad šiuo metu </w:t>
            </w:r>
            <w:r w:rsidRPr="00036DE4">
              <w:rPr>
                <w:rFonts w:ascii="Times New Roman" w:hAnsi="Times New Roman" w:cs="Times New Roman"/>
              </w:rPr>
              <w:lastRenderedPageBreak/>
              <w:t>galiojančiose Vartojimo ginčų neteisminio sprendimo procedūros taisyklėse, patvirtintose Lietuvos Respublikos teisingumo ministro 2015 m. gruodži</w:t>
            </w:r>
            <w:r w:rsidR="00036DE4" w:rsidRPr="00036DE4">
              <w:rPr>
                <w:rFonts w:ascii="Times New Roman" w:hAnsi="Times New Roman" w:cs="Times New Roman"/>
              </w:rPr>
              <w:t xml:space="preserve">o 30 d. įsakymu Nr. 1R-382 „Dėl </w:t>
            </w:r>
            <w:r w:rsidRPr="00036DE4">
              <w:rPr>
                <w:rFonts w:ascii="Times New Roman" w:hAnsi="Times New Roman" w:cs="Times New Roman"/>
              </w:rPr>
              <w:t>Vartojimo ginčų neteisminio sprendimo procedūros taisyklių patvirtinimo“, nėra nustatyta jokių būdų, kuriais turėtų būti patvirtinta asmens tapatybė, todėl neaišku, kaip konkrečiai turėtų vykti asmens tapatybės patvirtinimas: ar asmens tapatybė laikytina patvirtinta pateikus tinkamai pasirašytą prašymą, ar turi būti pateikta asmens dokumento kopija, ar kt.</w:t>
            </w:r>
          </w:p>
        </w:tc>
        <w:tc>
          <w:tcPr>
            <w:tcW w:w="0" w:type="auto"/>
          </w:tcPr>
          <w:p w:rsidR="00A154E7" w:rsidRDefault="00B36CB2" w:rsidP="006D6811">
            <w:pPr>
              <w:jc w:val="both"/>
              <w:rPr>
                <w:rFonts w:ascii="Times New Roman" w:hAnsi="Times New Roman" w:cs="Times New Roman"/>
                <w:color w:val="000000"/>
              </w:rPr>
            </w:pPr>
            <w:r>
              <w:rPr>
                <w:rFonts w:ascii="Times New Roman" w:hAnsi="Times New Roman" w:cs="Times New Roman"/>
                <w:b/>
              </w:rPr>
              <w:lastRenderedPageBreak/>
              <w:t>A</w:t>
            </w:r>
            <w:r w:rsidR="006D6811" w:rsidRPr="006D6811">
              <w:rPr>
                <w:rFonts w:ascii="Times New Roman" w:hAnsi="Times New Roman" w:cs="Times New Roman"/>
                <w:b/>
              </w:rPr>
              <w:t>tsižvelgta</w:t>
            </w:r>
            <w:r>
              <w:rPr>
                <w:rFonts w:ascii="Times New Roman" w:hAnsi="Times New Roman" w:cs="Times New Roman"/>
                <w:b/>
              </w:rPr>
              <w:t xml:space="preserve"> iš dalies</w:t>
            </w:r>
            <w:r w:rsidR="00910360" w:rsidRPr="006D6811">
              <w:rPr>
                <w:rFonts w:ascii="Times New Roman" w:hAnsi="Times New Roman" w:cs="Times New Roman"/>
                <w:b/>
              </w:rPr>
              <w:t>.</w:t>
            </w:r>
            <w:r w:rsidR="006D6811" w:rsidRPr="006D6811">
              <w:rPr>
                <w:rFonts w:ascii="Times New Roman" w:hAnsi="Times New Roman" w:cs="Times New Roman"/>
                <w:b/>
              </w:rPr>
              <w:t xml:space="preserve"> </w:t>
            </w:r>
            <w:r w:rsidR="00A154E7">
              <w:rPr>
                <w:rFonts w:ascii="Times New Roman" w:hAnsi="Times New Roman" w:cs="Times New Roman"/>
              </w:rPr>
              <w:t xml:space="preserve">Projekte numatyta, </w:t>
            </w:r>
            <w:r w:rsidR="00A154E7" w:rsidRPr="00A154E7">
              <w:rPr>
                <w:rFonts w:ascii="Times New Roman" w:hAnsi="Times New Roman" w:cs="Times New Roman"/>
              </w:rPr>
              <w:t xml:space="preserve">kad </w:t>
            </w:r>
            <w:r w:rsidR="00A154E7" w:rsidRPr="00E96DA9">
              <w:rPr>
                <w:rFonts w:ascii="Times New Roman" w:hAnsi="Times New Roman" w:cs="Times New Roman"/>
                <w:color w:val="000000"/>
                <w:u w:val="single"/>
              </w:rPr>
              <w:t>pateikiant prašymą elektroniniu būdu, turi būti patvirtinta asmens tapatybė vartojimo ginčų neteisminio sprendimo procedūros taisyklėse nustatytais būdais</w:t>
            </w:r>
            <w:r w:rsidR="00A154E7">
              <w:rPr>
                <w:rFonts w:ascii="Times New Roman" w:hAnsi="Times New Roman" w:cs="Times New Roman"/>
                <w:color w:val="000000"/>
              </w:rPr>
              <w:t xml:space="preserve">. </w:t>
            </w:r>
          </w:p>
          <w:p w:rsidR="0070274F" w:rsidRPr="006D6811" w:rsidRDefault="00A154E7" w:rsidP="006F3811">
            <w:pPr>
              <w:jc w:val="both"/>
              <w:rPr>
                <w:rFonts w:ascii="Times New Roman" w:hAnsi="Times New Roman" w:cs="Times New Roman"/>
                <w:b/>
              </w:rPr>
            </w:pPr>
            <w:r w:rsidRPr="00036DE4">
              <w:rPr>
                <w:rFonts w:ascii="Times New Roman" w:hAnsi="Times New Roman" w:cs="Times New Roman"/>
              </w:rPr>
              <w:t>Vartojimo ginčų neteismini</w:t>
            </w:r>
            <w:r>
              <w:rPr>
                <w:rFonts w:ascii="Times New Roman" w:hAnsi="Times New Roman" w:cs="Times New Roman"/>
              </w:rPr>
              <w:t xml:space="preserve">o sprendimo procedūros taisyklės yra įstatymo įgyvendinamasis teisės aktas. Priėmus įstatymo pakeitimus, bus pakeistos </w:t>
            </w:r>
            <w:r w:rsidR="006F3811" w:rsidRPr="00036DE4">
              <w:rPr>
                <w:rFonts w:ascii="Times New Roman" w:hAnsi="Times New Roman" w:cs="Times New Roman"/>
              </w:rPr>
              <w:t>Vartojimo ginčų neteismini</w:t>
            </w:r>
            <w:r w:rsidR="006F3811">
              <w:rPr>
                <w:rFonts w:ascii="Times New Roman" w:hAnsi="Times New Roman" w:cs="Times New Roman"/>
              </w:rPr>
              <w:t>o sprendimo procedūros</w:t>
            </w:r>
            <w:r w:rsidR="00B36CB2">
              <w:rPr>
                <w:rFonts w:ascii="Times New Roman" w:hAnsi="Times New Roman" w:cs="Times New Roman"/>
              </w:rPr>
              <w:t xml:space="preserve"> taisyklės</w:t>
            </w:r>
            <w:r w:rsidR="006F3811">
              <w:rPr>
                <w:rFonts w:ascii="Times New Roman" w:hAnsi="Times New Roman" w:cs="Times New Roman"/>
              </w:rPr>
              <w:t>, jose numatant</w:t>
            </w:r>
            <w:r>
              <w:rPr>
                <w:rFonts w:ascii="Times New Roman" w:hAnsi="Times New Roman" w:cs="Times New Roman"/>
              </w:rPr>
              <w:t xml:space="preserve"> </w:t>
            </w:r>
            <w:r w:rsidR="006F3811">
              <w:rPr>
                <w:rFonts w:ascii="Times New Roman" w:hAnsi="Times New Roman" w:cs="Times New Roman"/>
              </w:rPr>
              <w:t xml:space="preserve">nuostatas, kurios atitiks </w:t>
            </w:r>
            <w:r w:rsidR="006F3811" w:rsidRPr="00036DE4">
              <w:rPr>
                <w:rFonts w:ascii="Times New Roman" w:hAnsi="Times New Roman" w:cs="Times New Roman"/>
              </w:rPr>
              <w:t>Prašymų ir skundų nagrinėjimo ir asmenų aptarnavimo viešojo administravimo subjektuose taisyklių</w:t>
            </w:r>
            <w:r w:rsidR="006F3811">
              <w:rPr>
                <w:rFonts w:ascii="Times New Roman" w:hAnsi="Times New Roman" w:cs="Times New Roman"/>
              </w:rPr>
              <w:t xml:space="preserve">, patvirtintų </w:t>
            </w:r>
            <w:r w:rsidR="006F3811" w:rsidRPr="00036DE4">
              <w:rPr>
                <w:rFonts w:ascii="Times New Roman" w:hAnsi="Times New Roman" w:cs="Times New Roman"/>
              </w:rPr>
              <w:t>Vyriausybės 2007 m. rugpjūčio 22 d. nutarimu Nr. 875</w:t>
            </w:r>
            <w:r w:rsidR="006F3811">
              <w:rPr>
                <w:rFonts w:ascii="Times New Roman" w:hAnsi="Times New Roman" w:cs="Times New Roman"/>
              </w:rPr>
              <w:t xml:space="preserve">, nuostatas dėl elektroninėmis priemonėmis atsiųstų prašymų. </w:t>
            </w:r>
          </w:p>
        </w:tc>
      </w:tr>
      <w:tr w:rsidR="006D6811" w:rsidRPr="00835D10" w:rsidTr="004B2FA2">
        <w:tc>
          <w:tcPr>
            <w:tcW w:w="0" w:type="auto"/>
          </w:tcPr>
          <w:p w:rsidR="0070274F" w:rsidRPr="00036DE4" w:rsidRDefault="00E96DA9"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3</w:t>
            </w:r>
            <w:r w:rsidR="004B2FA2">
              <w:rPr>
                <w:rFonts w:ascii="Times New Roman" w:hAnsi="Times New Roman" w:cs="Times New Roman"/>
                <w:bCs/>
              </w:rPr>
              <w:t>.</w:t>
            </w:r>
          </w:p>
        </w:tc>
        <w:tc>
          <w:tcPr>
            <w:tcW w:w="0" w:type="auto"/>
          </w:tcPr>
          <w:p w:rsidR="00A3635B" w:rsidRPr="00036DE4" w:rsidRDefault="00A3635B" w:rsidP="00A3635B">
            <w:pPr>
              <w:rPr>
                <w:rFonts w:ascii="Times New Roman" w:hAnsi="Times New Roman" w:cs="Times New Roman"/>
              </w:rPr>
            </w:pPr>
            <w:r w:rsidRPr="00036DE4">
              <w:rPr>
                <w:rFonts w:ascii="Times New Roman" w:hAnsi="Times New Roman" w:cs="Times New Roman"/>
              </w:rPr>
              <w:t>Valstybinė energetikos reguliavimo taryba</w:t>
            </w:r>
          </w:p>
          <w:p w:rsidR="00A3635B" w:rsidRPr="00036DE4" w:rsidRDefault="00A3635B" w:rsidP="00A3635B">
            <w:pPr>
              <w:rPr>
                <w:rFonts w:ascii="Times New Roman" w:hAnsi="Times New Roman" w:cs="Times New Roman"/>
              </w:rPr>
            </w:pPr>
            <w:r w:rsidRPr="00036DE4">
              <w:rPr>
                <w:rFonts w:ascii="Times New Roman" w:hAnsi="Times New Roman" w:cs="Times New Roman"/>
              </w:rPr>
              <w:t>2020-08-19</w:t>
            </w:r>
          </w:p>
          <w:p w:rsidR="00A3635B" w:rsidRPr="00036DE4" w:rsidRDefault="00A3635B" w:rsidP="00A3635B">
            <w:pPr>
              <w:rPr>
                <w:rFonts w:ascii="Times New Roman" w:hAnsi="Times New Roman" w:cs="Times New Roman"/>
              </w:rPr>
            </w:pPr>
            <w:r w:rsidRPr="00036DE4">
              <w:rPr>
                <w:rFonts w:ascii="Times New Roman" w:hAnsi="Times New Roman" w:cs="Times New Roman"/>
              </w:rPr>
              <w:t xml:space="preserve">raštas </w:t>
            </w:r>
          </w:p>
          <w:p w:rsidR="0070274F" w:rsidRPr="00036DE4" w:rsidRDefault="00A3635B" w:rsidP="00A3635B">
            <w:pPr>
              <w:rPr>
                <w:rFonts w:ascii="Times New Roman" w:hAnsi="Times New Roman" w:cs="Times New Roman"/>
              </w:rPr>
            </w:pPr>
            <w:r w:rsidRPr="00036DE4">
              <w:rPr>
                <w:rFonts w:ascii="Times New Roman" w:hAnsi="Times New Roman" w:cs="Times New Roman"/>
              </w:rPr>
              <w:t>Nr. R2-(TTA)-4613</w:t>
            </w:r>
          </w:p>
        </w:tc>
        <w:tc>
          <w:tcPr>
            <w:tcW w:w="0" w:type="auto"/>
          </w:tcPr>
          <w:p w:rsidR="0070274F" w:rsidRPr="00036DE4" w:rsidRDefault="0070274F" w:rsidP="00036DE4">
            <w:pPr>
              <w:tabs>
                <w:tab w:val="left" w:pos="567"/>
                <w:tab w:val="left" w:pos="993"/>
              </w:tabs>
              <w:jc w:val="both"/>
              <w:rPr>
                <w:rFonts w:ascii="Times New Roman" w:hAnsi="Times New Roman" w:cs="Times New Roman"/>
                <w:bCs/>
                <w:iCs/>
              </w:rPr>
            </w:pPr>
            <w:r w:rsidRPr="00036DE4">
              <w:rPr>
                <w:rFonts w:ascii="Times New Roman" w:hAnsi="Times New Roman" w:cs="Times New Roman"/>
                <w:bCs/>
                <w:iCs/>
              </w:rPr>
              <w:t>Nėra aišku, kodėl keičiant 23 straipsnio 3 dalies 6 punktą atsisakoma reikalavimo pateikti dokumentus, patvirtinančius, kad vartotojų asociacija įregistruota Juridinių asmenų registre ir kad jos steigimo dokumentuose nurodytas veiklos tikslas – vartotojų teisių ir teisėtų interesų atstovavimas ir gynimas, kopijas, jeigu vartotojui atstovauja vartotojų asociacija.</w:t>
            </w:r>
          </w:p>
        </w:tc>
        <w:tc>
          <w:tcPr>
            <w:tcW w:w="0" w:type="auto"/>
          </w:tcPr>
          <w:p w:rsidR="00C1237B" w:rsidRDefault="006D6811" w:rsidP="00491FFE">
            <w:pPr>
              <w:jc w:val="both"/>
              <w:rPr>
                <w:rFonts w:ascii="Times New Roman" w:hAnsi="Times New Roman" w:cs="Times New Roman"/>
              </w:rPr>
            </w:pPr>
            <w:r w:rsidRPr="00C1237B">
              <w:rPr>
                <w:rFonts w:ascii="Times New Roman" w:hAnsi="Times New Roman" w:cs="Times New Roman"/>
                <w:b/>
              </w:rPr>
              <w:t>Neatsižvelgta.</w:t>
            </w:r>
            <w:r w:rsidRPr="00C1237B">
              <w:rPr>
                <w:rFonts w:ascii="Times New Roman" w:hAnsi="Times New Roman" w:cs="Times New Roman"/>
              </w:rPr>
              <w:t xml:space="preserve"> </w:t>
            </w:r>
            <w:r w:rsidR="00C1237B" w:rsidRPr="00C1237B">
              <w:rPr>
                <w:rFonts w:ascii="Times New Roman" w:hAnsi="Times New Roman" w:cs="Times New Roman"/>
              </w:rPr>
              <w:t xml:space="preserve">Pagal Viešojo administravimo įstatymo 26 straipsnio 2 dalį </w:t>
            </w:r>
            <w:r w:rsidR="00C1237B" w:rsidRPr="00E96DA9">
              <w:rPr>
                <w:rFonts w:ascii="Times New Roman" w:hAnsi="Times New Roman" w:cs="Times New Roman"/>
                <w:u w:val="single"/>
              </w:rPr>
              <w:t>viešojo administravimo subjektas gali reikalauti tik tų dokumentų ir informacijos, kurių nėra valstybės registruose ar kitose valstybės informacinėse sistemose</w:t>
            </w:r>
            <w:r w:rsidR="00C1237B" w:rsidRPr="00C1237B">
              <w:rPr>
                <w:rFonts w:ascii="Times New Roman" w:hAnsi="Times New Roman" w:cs="Times New Roman"/>
              </w:rPr>
              <w:t>. Viešojo administravimo subjekto reikalavimas pateikti dokumentus ir informaciją, kurie yra valstybės registruose ar kitose valstybės informacinėse sistemose, laikomas biurokratizmu</w:t>
            </w:r>
            <w:r w:rsidR="00C1237B">
              <w:rPr>
                <w:rFonts w:ascii="Times New Roman" w:hAnsi="Times New Roman" w:cs="Times New Roman"/>
              </w:rPr>
              <w:t xml:space="preserve">. </w:t>
            </w:r>
          </w:p>
          <w:p w:rsidR="0070274F" w:rsidRPr="00C1237B" w:rsidRDefault="00C1237B" w:rsidP="00AB5761">
            <w:pPr>
              <w:jc w:val="both"/>
              <w:rPr>
                <w:rFonts w:ascii="Times New Roman" w:hAnsi="Times New Roman" w:cs="Times New Roman"/>
              </w:rPr>
            </w:pPr>
            <w:r>
              <w:rPr>
                <w:rFonts w:ascii="Times New Roman" w:hAnsi="Times New Roman" w:cs="Times New Roman"/>
              </w:rPr>
              <w:t xml:space="preserve">Vartotojų asociacijų įstatai </w:t>
            </w:r>
            <w:r w:rsidR="00AB5761">
              <w:rPr>
                <w:rFonts w:ascii="Times New Roman" w:hAnsi="Times New Roman" w:cs="Times New Roman"/>
              </w:rPr>
              <w:t xml:space="preserve">yra viešai prieinami valstybės registre – </w:t>
            </w:r>
            <w:r w:rsidR="00910360" w:rsidRPr="00C1237B">
              <w:rPr>
                <w:rFonts w:ascii="Times New Roman" w:hAnsi="Times New Roman" w:cs="Times New Roman"/>
              </w:rPr>
              <w:t>Juridinių asmenų registre.</w:t>
            </w:r>
          </w:p>
        </w:tc>
      </w:tr>
      <w:tr w:rsidR="006D6811" w:rsidRPr="00835D10" w:rsidTr="004B2FA2">
        <w:tc>
          <w:tcPr>
            <w:tcW w:w="0" w:type="auto"/>
          </w:tcPr>
          <w:p w:rsidR="0070274F" w:rsidRPr="00036DE4" w:rsidRDefault="00E96DA9" w:rsidP="00163C24">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4</w:t>
            </w:r>
            <w:r w:rsidR="004B2FA2">
              <w:rPr>
                <w:rFonts w:ascii="Times New Roman" w:hAnsi="Times New Roman" w:cs="Times New Roman"/>
                <w:bCs/>
              </w:rPr>
              <w:t>.</w:t>
            </w:r>
          </w:p>
        </w:tc>
        <w:tc>
          <w:tcPr>
            <w:tcW w:w="0" w:type="auto"/>
          </w:tcPr>
          <w:p w:rsidR="00A3635B" w:rsidRPr="00036DE4" w:rsidRDefault="00A3635B" w:rsidP="00A3635B">
            <w:pPr>
              <w:rPr>
                <w:rFonts w:ascii="Times New Roman" w:hAnsi="Times New Roman" w:cs="Times New Roman"/>
              </w:rPr>
            </w:pPr>
            <w:r w:rsidRPr="00036DE4">
              <w:rPr>
                <w:rFonts w:ascii="Times New Roman" w:hAnsi="Times New Roman" w:cs="Times New Roman"/>
              </w:rPr>
              <w:t>Valstybinė energetikos reguliavimo taryba</w:t>
            </w:r>
          </w:p>
          <w:p w:rsidR="00A3635B" w:rsidRPr="00036DE4" w:rsidRDefault="00A3635B" w:rsidP="00A3635B">
            <w:pPr>
              <w:rPr>
                <w:rFonts w:ascii="Times New Roman" w:hAnsi="Times New Roman" w:cs="Times New Roman"/>
              </w:rPr>
            </w:pPr>
            <w:r w:rsidRPr="00036DE4">
              <w:rPr>
                <w:rFonts w:ascii="Times New Roman" w:hAnsi="Times New Roman" w:cs="Times New Roman"/>
              </w:rPr>
              <w:t>2020-08-19</w:t>
            </w:r>
          </w:p>
          <w:p w:rsidR="00A3635B" w:rsidRPr="00036DE4" w:rsidRDefault="00A3635B" w:rsidP="00A3635B">
            <w:pPr>
              <w:rPr>
                <w:rFonts w:ascii="Times New Roman" w:hAnsi="Times New Roman" w:cs="Times New Roman"/>
              </w:rPr>
            </w:pPr>
            <w:r w:rsidRPr="00036DE4">
              <w:rPr>
                <w:rFonts w:ascii="Times New Roman" w:hAnsi="Times New Roman" w:cs="Times New Roman"/>
              </w:rPr>
              <w:t xml:space="preserve">raštas </w:t>
            </w:r>
          </w:p>
          <w:p w:rsidR="0070274F" w:rsidRPr="00036DE4" w:rsidRDefault="00A3635B" w:rsidP="00A3635B">
            <w:pPr>
              <w:rPr>
                <w:rFonts w:ascii="Times New Roman" w:hAnsi="Times New Roman" w:cs="Times New Roman"/>
              </w:rPr>
            </w:pPr>
            <w:r w:rsidRPr="00036DE4">
              <w:rPr>
                <w:rFonts w:ascii="Times New Roman" w:hAnsi="Times New Roman" w:cs="Times New Roman"/>
              </w:rPr>
              <w:t>Nr. R2-(TTA)-4613</w:t>
            </w:r>
          </w:p>
        </w:tc>
        <w:tc>
          <w:tcPr>
            <w:tcW w:w="0" w:type="auto"/>
          </w:tcPr>
          <w:p w:rsidR="0070274F" w:rsidRPr="00036DE4" w:rsidRDefault="0070274F" w:rsidP="006D6811">
            <w:pPr>
              <w:tabs>
                <w:tab w:val="left" w:pos="567"/>
                <w:tab w:val="left" w:pos="993"/>
              </w:tabs>
              <w:jc w:val="both"/>
              <w:rPr>
                <w:rFonts w:ascii="Times New Roman" w:hAnsi="Times New Roman" w:cs="Times New Roman"/>
                <w:bCs/>
                <w:iCs/>
              </w:rPr>
            </w:pPr>
            <w:r w:rsidRPr="00036DE4">
              <w:rPr>
                <w:rFonts w:ascii="Times New Roman" w:hAnsi="Times New Roman" w:cs="Times New Roman"/>
                <w:bCs/>
                <w:iCs/>
              </w:rPr>
              <w:t>Siūloma papildyti VTAĮ 27 straipsnį nauja 5 dalimi. Atkreiptinas dėmesys, kad šiuo metu galiojančiose Vartojimo ginčų neteisminio sprendimo procedūros taisyklėse nėra nustatyta tvarka, kaip turi būti nustatomos vartojimo ginčus nagrinėjančios institucijos ginčo nagrinėjimo išlaidos.</w:t>
            </w:r>
          </w:p>
        </w:tc>
        <w:tc>
          <w:tcPr>
            <w:tcW w:w="0" w:type="auto"/>
          </w:tcPr>
          <w:p w:rsidR="00AB5761" w:rsidRDefault="006D6811" w:rsidP="00910360">
            <w:pPr>
              <w:jc w:val="both"/>
              <w:rPr>
                <w:rFonts w:ascii="Times New Roman" w:hAnsi="Times New Roman" w:cs="Times New Roman"/>
              </w:rPr>
            </w:pPr>
            <w:r w:rsidRPr="006D6811">
              <w:rPr>
                <w:rFonts w:ascii="Times New Roman" w:hAnsi="Times New Roman" w:cs="Times New Roman"/>
                <w:b/>
              </w:rPr>
              <w:t>Neatsižvelgta.</w:t>
            </w:r>
            <w:r>
              <w:rPr>
                <w:rFonts w:ascii="Times New Roman" w:hAnsi="Times New Roman" w:cs="Times New Roman"/>
              </w:rPr>
              <w:t xml:space="preserve"> </w:t>
            </w:r>
            <w:r w:rsidR="00AB5761">
              <w:rPr>
                <w:rFonts w:ascii="Times New Roman" w:hAnsi="Times New Roman" w:cs="Times New Roman"/>
              </w:rPr>
              <w:t xml:space="preserve">Projekte numatyta, kad </w:t>
            </w:r>
            <w:r w:rsidR="00AB5761" w:rsidRPr="00AB5761">
              <w:rPr>
                <w:rFonts w:ascii="Times New Roman" w:hAnsi="Times New Roman" w:cs="Times New Roman"/>
              </w:rPr>
              <w:t xml:space="preserve">vartojimo ginčus nagrinėjančios institucijos ginčo nagrinėjimo išlaidų dydį </w:t>
            </w:r>
            <w:r w:rsidR="00E96DA9" w:rsidRPr="00E96DA9">
              <w:rPr>
                <w:rFonts w:ascii="Times New Roman" w:hAnsi="Times New Roman" w:cs="Times New Roman"/>
              </w:rPr>
              <w:t xml:space="preserve">nustato </w:t>
            </w:r>
            <w:r w:rsidR="00E96DA9" w:rsidRPr="00E96DA9">
              <w:rPr>
                <w:rFonts w:ascii="Times New Roman" w:hAnsi="Times New Roman" w:cs="Times New Roman"/>
                <w:color w:val="000000"/>
              </w:rPr>
              <w:t>vartojimo ginčus nagrinėjanti institucija</w:t>
            </w:r>
            <w:r w:rsidR="00E96DA9" w:rsidRPr="00E96DA9">
              <w:rPr>
                <w:rFonts w:ascii="Times New Roman" w:hAnsi="Times New Roman" w:cs="Times New Roman"/>
              </w:rPr>
              <w:t xml:space="preserve"> pagal vartojimo ginčų neteisminio sprendimo procedūros taisyklėse nurodytų </w:t>
            </w:r>
            <w:r w:rsidR="00E96DA9" w:rsidRPr="00E96DA9">
              <w:rPr>
                <w:rFonts w:ascii="Times New Roman" w:hAnsi="Times New Roman" w:cs="Times New Roman"/>
                <w:color w:val="000000"/>
              </w:rPr>
              <w:t>vartojimo ginčų neteisminio sprendimo procedūros veiksmų</w:t>
            </w:r>
            <w:r w:rsidR="00E96DA9" w:rsidRPr="00E96DA9">
              <w:rPr>
                <w:rFonts w:ascii="Times New Roman" w:hAnsi="Times New Roman" w:cs="Times New Roman"/>
              </w:rPr>
              <w:t xml:space="preserve"> atlikimo vidutines sąnaudas</w:t>
            </w:r>
            <w:r w:rsidR="00AB5761">
              <w:rPr>
                <w:rFonts w:ascii="Times New Roman" w:hAnsi="Times New Roman" w:cs="Times New Roman"/>
              </w:rPr>
              <w:t xml:space="preserve">. </w:t>
            </w:r>
          </w:p>
          <w:p w:rsidR="0070274F" w:rsidRPr="00036DE4" w:rsidRDefault="00AB5761" w:rsidP="00AB5761">
            <w:pPr>
              <w:jc w:val="both"/>
              <w:rPr>
                <w:rFonts w:ascii="Times New Roman" w:hAnsi="Times New Roman" w:cs="Times New Roman"/>
              </w:rPr>
            </w:pPr>
            <w:r w:rsidRPr="00036DE4">
              <w:rPr>
                <w:rFonts w:ascii="Times New Roman" w:hAnsi="Times New Roman" w:cs="Times New Roman"/>
              </w:rPr>
              <w:t>Vartojimo ginčų neteismini</w:t>
            </w:r>
            <w:r>
              <w:rPr>
                <w:rFonts w:ascii="Times New Roman" w:hAnsi="Times New Roman" w:cs="Times New Roman"/>
              </w:rPr>
              <w:t>o sprendimo procedūros taisyklės yra įstatymo įgyvendinamasis teisės aktas. Priėmus įstatymo pakeitimus, bus pakeistos šios taisyklės, p</w:t>
            </w:r>
            <w:r>
              <w:rPr>
                <w:rFonts w:ascii="Times New Roman" w:hAnsi="Times New Roman" w:cs="Times New Roman"/>
                <w:bCs/>
                <w:iCs/>
              </w:rPr>
              <w:t xml:space="preserve">apildant </w:t>
            </w:r>
            <w:r w:rsidR="00910360" w:rsidRPr="00036DE4">
              <w:rPr>
                <w:rFonts w:ascii="Times New Roman" w:hAnsi="Times New Roman" w:cs="Times New Roman"/>
                <w:bCs/>
                <w:iCs/>
              </w:rPr>
              <w:t xml:space="preserve">nuostatomis dėl </w:t>
            </w:r>
            <w:r w:rsidRPr="00AB5761">
              <w:rPr>
                <w:rFonts w:ascii="Times New Roman" w:hAnsi="Times New Roman" w:cs="Times New Roman"/>
              </w:rPr>
              <w:t>ginčo nagrinėjimo išlaidų dyd</w:t>
            </w:r>
            <w:r>
              <w:rPr>
                <w:rFonts w:ascii="Times New Roman" w:hAnsi="Times New Roman" w:cs="Times New Roman"/>
              </w:rPr>
              <w:t>žio nustatymo</w:t>
            </w:r>
            <w:r w:rsidR="00910360" w:rsidRPr="00036DE4">
              <w:rPr>
                <w:rFonts w:ascii="Times New Roman" w:hAnsi="Times New Roman" w:cs="Times New Roman"/>
                <w:bCs/>
                <w:iCs/>
              </w:rPr>
              <w:t xml:space="preserve">. </w:t>
            </w:r>
          </w:p>
        </w:tc>
      </w:tr>
      <w:tr w:rsidR="00163C24" w:rsidRPr="00E96DA9" w:rsidTr="004B2FA2">
        <w:tc>
          <w:tcPr>
            <w:tcW w:w="0" w:type="auto"/>
          </w:tcPr>
          <w:p w:rsidR="00163C24" w:rsidRPr="00E96DA9" w:rsidRDefault="00E96DA9" w:rsidP="00163C24">
            <w:pPr>
              <w:autoSpaceDE w:val="0"/>
              <w:autoSpaceDN w:val="0"/>
              <w:adjustRightInd w:val="0"/>
              <w:spacing w:line="264" w:lineRule="auto"/>
              <w:rPr>
                <w:rFonts w:ascii="Times New Roman" w:hAnsi="Times New Roman" w:cs="Times New Roman"/>
                <w:bCs/>
              </w:rPr>
            </w:pPr>
            <w:r w:rsidRPr="00E96DA9">
              <w:rPr>
                <w:rFonts w:ascii="Times New Roman" w:hAnsi="Times New Roman" w:cs="Times New Roman"/>
                <w:bCs/>
              </w:rPr>
              <w:t>5</w:t>
            </w:r>
            <w:r w:rsidR="00163C24" w:rsidRPr="00E96DA9">
              <w:rPr>
                <w:rFonts w:ascii="Times New Roman" w:hAnsi="Times New Roman" w:cs="Times New Roman"/>
                <w:bCs/>
              </w:rPr>
              <w:t>.</w:t>
            </w:r>
          </w:p>
        </w:tc>
        <w:tc>
          <w:tcPr>
            <w:tcW w:w="0" w:type="auto"/>
          </w:tcPr>
          <w:p w:rsidR="00163C24" w:rsidRPr="00E96DA9" w:rsidRDefault="00163C24" w:rsidP="00A3635B">
            <w:pPr>
              <w:rPr>
                <w:rFonts w:ascii="Times New Roman" w:hAnsi="Times New Roman" w:cs="Times New Roman"/>
              </w:rPr>
            </w:pPr>
            <w:r w:rsidRPr="00E96DA9">
              <w:rPr>
                <w:rFonts w:ascii="Times New Roman" w:hAnsi="Times New Roman" w:cs="Times New Roman"/>
              </w:rPr>
              <w:t>Lietuvos advokatūra</w:t>
            </w:r>
          </w:p>
          <w:p w:rsidR="00163C24" w:rsidRPr="00E96DA9" w:rsidRDefault="00163C24" w:rsidP="00A3635B">
            <w:pPr>
              <w:rPr>
                <w:rFonts w:ascii="Times New Roman" w:hAnsi="Times New Roman" w:cs="Times New Roman"/>
              </w:rPr>
            </w:pPr>
            <w:r w:rsidRPr="00E96DA9">
              <w:rPr>
                <w:rFonts w:ascii="Times New Roman" w:hAnsi="Times New Roman" w:cs="Times New Roman"/>
              </w:rPr>
              <w:t>2020-09-04 raštas Nr. 1136</w:t>
            </w:r>
          </w:p>
        </w:tc>
        <w:tc>
          <w:tcPr>
            <w:tcW w:w="0" w:type="auto"/>
          </w:tcPr>
          <w:p w:rsidR="00163C24" w:rsidRPr="00E96DA9" w:rsidRDefault="00163C24" w:rsidP="006D6811">
            <w:pPr>
              <w:tabs>
                <w:tab w:val="left" w:pos="567"/>
                <w:tab w:val="left" w:pos="993"/>
              </w:tabs>
              <w:jc w:val="both"/>
              <w:rPr>
                <w:rFonts w:ascii="Times New Roman" w:hAnsi="Times New Roman" w:cs="Times New Roman"/>
                <w:bCs/>
                <w:iCs/>
              </w:rPr>
            </w:pPr>
            <w:r w:rsidRPr="00E96DA9">
              <w:rPr>
                <w:rFonts w:ascii="Times New Roman" w:hAnsi="Times New Roman" w:cs="Times New Roman"/>
                <w:bCs/>
                <w:iCs/>
              </w:rPr>
              <w:t>Projektu siūloma panaikinti VTAĮ</w:t>
            </w:r>
            <w:r w:rsidR="00E96DA9" w:rsidRPr="00E96DA9">
              <w:rPr>
                <w:rFonts w:ascii="Times New Roman" w:hAnsi="Times New Roman" w:cs="Times New Roman"/>
                <w:bCs/>
                <w:iCs/>
              </w:rPr>
              <w:t xml:space="preserve"> </w:t>
            </w:r>
            <w:r w:rsidRPr="00E96DA9">
              <w:rPr>
                <w:rFonts w:ascii="Times New Roman" w:hAnsi="Times New Roman" w:cs="Times New Roman"/>
                <w:bCs/>
                <w:iCs/>
              </w:rPr>
              <w:t>22 straipsnio 1 dalies 5 punktą, kuris numato, kad Lietuvos advokatūros advokatų taryba ar jos sudarytas organas nagrinėja vartotojų ir advokatų ginčus dėl teisinių paslaugų. Taip pat Projektu siūloma papildyti VTAĮ 35</w:t>
            </w:r>
            <w:r w:rsidRPr="00E96DA9">
              <w:rPr>
                <w:rFonts w:ascii="Times New Roman" w:hAnsi="Times New Roman" w:cs="Times New Roman"/>
                <w:bCs/>
                <w:iCs/>
                <w:vertAlign w:val="superscript"/>
              </w:rPr>
              <w:t>1</w:t>
            </w:r>
            <w:r w:rsidRPr="00E96DA9">
              <w:rPr>
                <w:rFonts w:ascii="Times New Roman" w:hAnsi="Times New Roman" w:cs="Times New Roman"/>
                <w:bCs/>
                <w:iCs/>
              </w:rPr>
              <w:t xml:space="preserve"> straipsniu, </w:t>
            </w:r>
            <w:r w:rsidR="005622BB" w:rsidRPr="00E96DA9">
              <w:rPr>
                <w:rFonts w:ascii="Times New Roman" w:hAnsi="Times New Roman" w:cs="Times New Roman"/>
                <w:bCs/>
                <w:iCs/>
              </w:rPr>
              <w:t>pagal kurį Valstybinė vartotojų teisių apsaugos tarnyba nustatytų vartojimo sutarčių nesąžiningas sąlygas pagal Civilinio kodekso 6.228</w:t>
            </w:r>
            <w:r w:rsidR="005622BB" w:rsidRPr="00E96DA9">
              <w:rPr>
                <w:rFonts w:ascii="Times New Roman" w:hAnsi="Times New Roman" w:cs="Times New Roman"/>
                <w:bCs/>
                <w:iCs/>
                <w:vertAlign w:val="superscript"/>
              </w:rPr>
              <w:t>4</w:t>
            </w:r>
            <w:r w:rsidR="005622BB" w:rsidRPr="00E96DA9">
              <w:rPr>
                <w:rFonts w:ascii="Times New Roman" w:hAnsi="Times New Roman" w:cs="Times New Roman"/>
                <w:bCs/>
                <w:iCs/>
              </w:rPr>
              <w:t xml:space="preserve"> straipsnį.</w:t>
            </w:r>
            <w:r w:rsidR="000F5BF3" w:rsidRPr="00E96DA9">
              <w:rPr>
                <w:rFonts w:ascii="Times New Roman" w:hAnsi="Times New Roman" w:cs="Times New Roman"/>
                <w:bCs/>
                <w:iCs/>
              </w:rPr>
              <w:t xml:space="preserve"> Siūlytina atsisakyti Projekto dalies, pagal kurią Tarnybai norima suteikti teisę nustatinėti </w:t>
            </w:r>
            <w:r w:rsidR="000F5BF3" w:rsidRPr="00E96DA9">
              <w:rPr>
                <w:rFonts w:ascii="Times New Roman" w:hAnsi="Times New Roman" w:cs="Times New Roman"/>
                <w:bCs/>
                <w:iCs/>
              </w:rPr>
              <w:lastRenderedPageBreak/>
              <w:t>vartojimo sutarčių nesąžiningas sąlygas pagal Civilinio kodekso 6.228</w:t>
            </w:r>
            <w:r w:rsidR="000F5BF3" w:rsidRPr="00E96DA9">
              <w:rPr>
                <w:rFonts w:ascii="Times New Roman" w:hAnsi="Times New Roman" w:cs="Times New Roman"/>
                <w:bCs/>
                <w:iCs/>
                <w:vertAlign w:val="superscript"/>
              </w:rPr>
              <w:t>4</w:t>
            </w:r>
            <w:r w:rsidR="000F5BF3" w:rsidRPr="00E96DA9">
              <w:rPr>
                <w:rFonts w:ascii="Times New Roman" w:hAnsi="Times New Roman" w:cs="Times New Roman"/>
                <w:bCs/>
                <w:iCs/>
              </w:rPr>
              <w:t xml:space="preserve"> straipsnį.</w:t>
            </w:r>
          </w:p>
        </w:tc>
        <w:tc>
          <w:tcPr>
            <w:tcW w:w="0" w:type="auto"/>
          </w:tcPr>
          <w:p w:rsidR="00163C24" w:rsidRPr="00E96DA9" w:rsidRDefault="00163C24" w:rsidP="00910360">
            <w:pPr>
              <w:jc w:val="both"/>
              <w:rPr>
                <w:rFonts w:ascii="Times New Roman" w:hAnsi="Times New Roman" w:cs="Times New Roman"/>
              </w:rPr>
            </w:pPr>
            <w:r w:rsidRPr="00E96DA9">
              <w:rPr>
                <w:rFonts w:ascii="Times New Roman" w:hAnsi="Times New Roman" w:cs="Times New Roman"/>
                <w:b/>
              </w:rPr>
              <w:lastRenderedPageBreak/>
              <w:t>Atsižvelgta iš dalies.</w:t>
            </w:r>
            <w:r w:rsidRPr="00E96DA9">
              <w:rPr>
                <w:rFonts w:ascii="Times New Roman" w:hAnsi="Times New Roman" w:cs="Times New Roman"/>
              </w:rPr>
              <w:t xml:space="preserve"> Projekte atsisakyta Vartotojų teisių apsaugos įstatymo 22 straipsnio 1 dalies 5 punkto panaikinimo, t. y. </w:t>
            </w:r>
            <w:r w:rsidR="000F5BF3" w:rsidRPr="00E96DA9">
              <w:rPr>
                <w:rFonts w:ascii="Times New Roman" w:hAnsi="Times New Roman" w:cs="Times New Roman"/>
              </w:rPr>
              <w:t xml:space="preserve">įstatyme išlieka </w:t>
            </w:r>
            <w:r w:rsidRPr="00E96DA9">
              <w:rPr>
                <w:rFonts w:ascii="Times New Roman" w:hAnsi="Times New Roman" w:cs="Times New Roman"/>
              </w:rPr>
              <w:t>nuostata, kad Lietuvos advokatūros advokatų taryba ar jos sudarytas organas nagrinėja vartotojų ir advokatų ginčus dėl teisinių paslaugų.</w:t>
            </w:r>
          </w:p>
          <w:p w:rsidR="000F5BF3" w:rsidRPr="00E96DA9" w:rsidRDefault="000F5BF3" w:rsidP="005C1619">
            <w:pPr>
              <w:jc w:val="both"/>
              <w:rPr>
                <w:rFonts w:ascii="Times New Roman" w:hAnsi="Times New Roman" w:cs="Times New Roman"/>
                <w:b/>
              </w:rPr>
            </w:pPr>
            <w:r w:rsidRPr="00E96DA9">
              <w:rPr>
                <w:rFonts w:ascii="Times New Roman" w:hAnsi="Times New Roman" w:cs="Times New Roman"/>
              </w:rPr>
              <w:t xml:space="preserve">Pažymėtina, kad Valstybinė vartotojų teisių apsaugos tarnyba ir šiuo metu vykdo vartojimo sutarčių nesąžiningų sąlygų kontrolę (VTAĮ 12 straipsnio 1 dalies 6 punktas). </w:t>
            </w:r>
            <w:r w:rsidR="005C1619" w:rsidRPr="00E96DA9">
              <w:rPr>
                <w:rFonts w:ascii="Times New Roman" w:hAnsi="Times New Roman" w:cs="Times New Roman"/>
              </w:rPr>
              <w:t xml:space="preserve">Ši nuostata </w:t>
            </w:r>
            <w:r w:rsidR="005C1619" w:rsidRPr="00E96DA9">
              <w:rPr>
                <w:rFonts w:ascii="Times New Roman" w:hAnsi="Times New Roman" w:cs="Times New Roman"/>
              </w:rPr>
              <w:lastRenderedPageBreak/>
              <w:t xml:space="preserve">užtikrina Direktyvos </w:t>
            </w:r>
            <w:r w:rsidR="005C1619" w:rsidRPr="00E96DA9">
              <w:rPr>
                <w:rFonts w:ascii="Times New Roman" w:hAnsi="Times New Roman" w:cs="Times New Roman"/>
                <w:bCs/>
                <w:iCs/>
              </w:rPr>
              <w:t xml:space="preserve">93/13/EEB tinkamą ir efektyvų įgyvendinimą. </w:t>
            </w:r>
          </w:p>
        </w:tc>
      </w:tr>
      <w:tr w:rsidR="00E96DA9" w:rsidRPr="00E96DA9" w:rsidTr="004B2FA2">
        <w:tc>
          <w:tcPr>
            <w:tcW w:w="0" w:type="auto"/>
          </w:tcPr>
          <w:p w:rsidR="00E96DA9" w:rsidRPr="00E96DA9" w:rsidRDefault="00E96DA9" w:rsidP="00E96DA9">
            <w:pPr>
              <w:autoSpaceDE w:val="0"/>
              <w:autoSpaceDN w:val="0"/>
              <w:adjustRightInd w:val="0"/>
              <w:spacing w:line="264" w:lineRule="auto"/>
              <w:rPr>
                <w:rFonts w:ascii="Times New Roman" w:hAnsi="Times New Roman" w:cs="Times New Roman"/>
                <w:bCs/>
              </w:rPr>
            </w:pPr>
            <w:r w:rsidRPr="00E96DA9">
              <w:rPr>
                <w:rFonts w:ascii="Times New Roman" w:hAnsi="Times New Roman" w:cs="Times New Roman"/>
                <w:bCs/>
              </w:rPr>
              <w:lastRenderedPageBreak/>
              <w:t>6.</w:t>
            </w:r>
          </w:p>
        </w:tc>
        <w:tc>
          <w:tcPr>
            <w:tcW w:w="0" w:type="auto"/>
          </w:tcPr>
          <w:p w:rsidR="00E96DA9" w:rsidRPr="00E96DA9" w:rsidRDefault="00E96DA9" w:rsidP="00E96DA9">
            <w:pPr>
              <w:rPr>
                <w:rFonts w:ascii="Times New Roman" w:hAnsi="Times New Roman" w:cs="Times New Roman"/>
              </w:rPr>
            </w:pPr>
            <w:r w:rsidRPr="00E96DA9">
              <w:rPr>
                <w:rFonts w:ascii="Times New Roman" w:hAnsi="Times New Roman" w:cs="Times New Roman"/>
              </w:rPr>
              <w:t>Lietuvos Respublikos Vyriausybės kanceliarijos Teisės grupė</w:t>
            </w:r>
          </w:p>
        </w:tc>
        <w:tc>
          <w:tcPr>
            <w:tcW w:w="0" w:type="auto"/>
          </w:tcPr>
          <w:p w:rsidR="00E96DA9" w:rsidRPr="00E96DA9" w:rsidRDefault="00E96DA9" w:rsidP="00E96DA9">
            <w:pPr>
              <w:pStyle w:val="Sraopastraipa"/>
              <w:ind w:left="0"/>
              <w:jc w:val="both"/>
              <w:rPr>
                <w:rFonts w:ascii="Times New Roman" w:hAnsi="Times New Roman" w:cs="Times New Roman"/>
                <w:bCs/>
              </w:rPr>
            </w:pPr>
            <w:r w:rsidRPr="00E96DA9">
              <w:rPr>
                <w:rFonts w:ascii="Times New Roman" w:hAnsi="Times New Roman" w:cs="Times New Roman"/>
                <w:bCs/>
              </w:rPr>
              <w:t>Įvertinus Projekto 11 straipsnyje (keičiamo įstatymo 35-1 straipsnio 4 dalyje) nustatytus atsisakymo pradėti vartojimo sutarties nagrinėjimą dėl nesąžiningų sąlygų, pažymėtina, kad dauguma atsisakymo pagrindų yra formalūs (tokie ir turėtų būti), tačiau šios dalies 2 punktas, nustatantis, jog atsisakoma tuo atveju, jeigu „</w:t>
            </w:r>
            <w:r w:rsidRPr="00E96DA9">
              <w:rPr>
                <w:rFonts w:ascii="Times New Roman" w:hAnsi="Times New Roman" w:cs="Times New Roman"/>
                <w:bCs/>
                <w:i/>
                <w:iCs/>
              </w:rPr>
              <w:t>prašyme dėl vartojimo sutarties nesąžiningų sąlygų nustatymo nėra pateikti vartojimo sutarties nesąžiningų sąlygų nustatymo motyvai</w:t>
            </w:r>
            <w:r w:rsidRPr="00E96DA9">
              <w:rPr>
                <w:rFonts w:ascii="Times New Roman" w:hAnsi="Times New Roman" w:cs="Times New Roman"/>
                <w:bCs/>
              </w:rPr>
              <w:t xml:space="preserve">“ yra subjektyvus ir tokią išvadą galima padaryti tik pradėjus nagrinėti (iš esmės išnagrinėjus) pateiktą skundą (įvertinus nagrinėjamo klausimo visumą bei pareiškėjo pateiktus argumentus, kitus </w:t>
            </w:r>
            <w:proofErr w:type="spellStart"/>
            <w:r w:rsidRPr="00E96DA9">
              <w:rPr>
                <w:rFonts w:ascii="Times New Roman" w:hAnsi="Times New Roman" w:cs="Times New Roman"/>
                <w:bCs/>
              </w:rPr>
              <w:t>įrodymus</w:t>
            </w:r>
            <w:proofErr w:type="spellEnd"/>
            <w:r w:rsidRPr="00E96DA9">
              <w:rPr>
                <w:rFonts w:ascii="Times New Roman" w:hAnsi="Times New Roman" w:cs="Times New Roman"/>
                <w:bCs/>
              </w:rPr>
              <w:t>). Be to, toks vertinamojo pobūdžio atsisakymo pagrindas yra ydingas dar ir tuo požiūriu, jos institucija jį visada vertins subjektyviai (nes pats pagrindas yra subjektyvus ir neapibrėžtas). Manytina, kad įtvirtinus tokį pagrindą bus sudarytos sąlygos nevienodam tapačių ar panašių situacijų vertinimui bei galimam piktnaudžiavimui, todėl šio atsisakymo pagrindo turėtų būti atsisakyta.</w:t>
            </w:r>
          </w:p>
        </w:tc>
        <w:tc>
          <w:tcPr>
            <w:tcW w:w="0" w:type="auto"/>
          </w:tcPr>
          <w:p w:rsidR="00E96DA9" w:rsidRPr="00E96DA9" w:rsidRDefault="00E96DA9" w:rsidP="00E96DA9">
            <w:pPr>
              <w:jc w:val="both"/>
              <w:rPr>
                <w:rFonts w:ascii="Times New Roman" w:hAnsi="Times New Roman" w:cs="Times New Roman"/>
                <w:b/>
              </w:rPr>
            </w:pPr>
            <w:r w:rsidRPr="00E96DA9">
              <w:rPr>
                <w:rFonts w:ascii="Times New Roman" w:hAnsi="Times New Roman" w:cs="Times New Roman"/>
                <w:b/>
              </w:rPr>
              <w:t>Atsižvelgta iš dalies.</w:t>
            </w:r>
            <w:r w:rsidRPr="00E96DA9">
              <w:rPr>
                <w:rFonts w:ascii="Times New Roman" w:hAnsi="Times New Roman" w:cs="Times New Roman"/>
              </w:rPr>
              <w:t xml:space="preserve"> Manytume, kad </w:t>
            </w:r>
            <w:r w:rsidRPr="00E96DA9">
              <w:rPr>
                <w:rFonts w:ascii="Times New Roman" w:hAnsi="Times New Roman" w:cs="Times New Roman"/>
                <w:bCs/>
                <w:iCs/>
              </w:rPr>
              <w:t xml:space="preserve">prašymas Valstybinei vartotojų teisių apsaugos tarnybai (Tarnyba) dėl vartojimo sutarties nesąžiningų sąlygų nustatymo turi būti grindžiamas teisiniais motyvais, nes vartojimo sutarčių sąlygų nesąžiningumo patikrinimas yra teisinis įvertinimas. Jeigu Tarnyba turėtų pareigą </w:t>
            </w:r>
            <w:r w:rsidRPr="00E96DA9">
              <w:rPr>
                <w:rFonts w:ascii="Times New Roman" w:hAnsi="Times New Roman" w:cs="Times New Roman"/>
                <w:bCs/>
              </w:rPr>
              <w:t xml:space="preserve">pradėti vartojimo sutarties nagrinėjimą dėl nesąžiningų sąlygų net ir tais atvejais, kai prašyme nėra pateikti motyvai (t. y. dėl kiekvieno gauto tokio prašymo), nebūtų galima užtikrinti racionalaus ir efektyvaus Tarnybai skirtų lėšų panaudojimo. </w:t>
            </w:r>
          </w:p>
          <w:p w:rsidR="00E96DA9" w:rsidRPr="00E96DA9" w:rsidRDefault="00E96DA9" w:rsidP="00E96DA9">
            <w:pPr>
              <w:jc w:val="both"/>
              <w:rPr>
                <w:rFonts w:ascii="Times New Roman" w:hAnsi="Times New Roman" w:cs="Times New Roman"/>
              </w:rPr>
            </w:pPr>
            <w:r w:rsidRPr="00E96DA9">
              <w:rPr>
                <w:rFonts w:ascii="Times New Roman" w:eastAsia="Times New Roman" w:hAnsi="Times New Roman" w:cs="Times New Roman"/>
                <w:color w:val="000000"/>
                <w:lang w:eastAsia="lt-LT"/>
              </w:rPr>
              <w:t xml:space="preserve">Atsižvelgiant į tai, patikslintas Projekto </w:t>
            </w:r>
            <w:r w:rsidRPr="00E96DA9">
              <w:rPr>
                <w:rFonts w:ascii="Times New Roman" w:hAnsi="Times New Roman" w:cs="Times New Roman"/>
                <w:bCs/>
              </w:rPr>
              <w:t>11 straipsnyje dėstomo įstatymo 35</w:t>
            </w:r>
            <w:r w:rsidRPr="00E96DA9">
              <w:rPr>
                <w:rFonts w:ascii="Times New Roman" w:hAnsi="Times New Roman" w:cs="Times New Roman"/>
                <w:bCs/>
                <w:vertAlign w:val="superscript"/>
              </w:rPr>
              <w:t>1</w:t>
            </w:r>
            <w:r w:rsidRPr="00E96DA9">
              <w:rPr>
                <w:rFonts w:ascii="Times New Roman" w:hAnsi="Times New Roman" w:cs="Times New Roman"/>
                <w:bCs/>
              </w:rPr>
              <w:t xml:space="preserve"> straipsnio 4 dalies 2 punktas, numatant, kad jeigu </w:t>
            </w:r>
            <w:r w:rsidRPr="00E96DA9">
              <w:rPr>
                <w:rFonts w:ascii="Times New Roman" w:eastAsia="Times New Roman" w:hAnsi="Times New Roman" w:cs="Times New Roman"/>
                <w:color w:val="000000"/>
                <w:lang w:eastAsia="lt-LT"/>
              </w:rPr>
              <w:t xml:space="preserve">prašymas dėl </w:t>
            </w:r>
            <w:r w:rsidRPr="00E96DA9">
              <w:rPr>
                <w:rFonts w:ascii="Times New Roman" w:hAnsi="Times New Roman" w:cs="Times New Roman"/>
                <w:color w:val="000000"/>
              </w:rPr>
              <w:t xml:space="preserve">vartojimo sutarties nesąžiningų sąlygų nustatymo grindžiamas ne teisiniais motyvais, atsisakoma </w:t>
            </w:r>
            <w:r w:rsidRPr="00E96DA9">
              <w:rPr>
                <w:rFonts w:ascii="Times New Roman" w:hAnsi="Times New Roman" w:cs="Times New Roman"/>
                <w:bCs/>
              </w:rPr>
              <w:t>pradėti vartojimo sutarties nagrinėjimą dėl nesąžiningų sąlygų.</w:t>
            </w:r>
          </w:p>
          <w:p w:rsidR="00E96DA9" w:rsidRPr="00E96DA9" w:rsidRDefault="00E96DA9" w:rsidP="00E96DA9">
            <w:pPr>
              <w:jc w:val="both"/>
              <w:rPr>
                <w:rFonts w:ascii="Times New Roman" w:hAnsi="Times New Roman" w:cs="Times New Roman"/>
              </w:rPr>
            </w:pPr>
            <w:r w:rsidRPr="00E96DA9">
              <w:rPr>
                <w:rFonts w:ascii="Times New Roman" w:hAnsi="Times New Roman" w:cs="Times New Roman"/>
              </w:rPr>
              <w:t>Be to, paminėtina ir tai, jog pagal Nesąžiningos komercinės veiklos vartotojams draudimo įstatymo (kuris reglamentuoja komercinės veiklos nesąžiningumo vertinimą) 16 straipsnio 3 dalies 1 punktą atsisakoma p</w:t>
            </w:r>
            <w:r w:rsidRPr="00E96DA9">
              <w:rPr>
                <w:rFonts w:ascii="Times New Roman" w:hAnsi="Times New Roman" w:cs="Times New Roman"/>
                <w:color w:val="000000"/>
              </w:rPr>
              <w:t>radėti prašymo (skundo) nagrinėjimo procedūrą, jeigu prašyme (skunde) nurodyti faktai yra mažareikšmiai, t. y. Tarnyba turi tam tikrą vertinimo nuožiūros laisvę (</w:t>
            </w:r>
            <w:proofErr w:type="spellStart"/>
            <w:r w:rsidRPr="00E96DA9">
              <w:rPr>
                <w:rFonts w:ascii="Times New Roman" w:hAnsi="Times New Roman" w:cs="Times New Roman"/>
                <w:color w:val="000000"/>
              </w:rPr>
              <w:t>diskreciją</w:t>
            </w:r>
            <w:proofErr w:type="spellEnd"/>
            <w:r w:rsidRPr="00E96DA9">
              <w:rPr>
                <w:rFonts w:ascii="Times New Roman" w:hAnsi="Times New Roman" w:cs="Times New Roman"/>
                <w:color w:val="000000"/>
              </w:rPr>
              <w:t xml:space="preserve">) ir tai užtikrina tinkamą rizikos vertinimo principo (Žr. Viešojo administravimo įstatymo </w:t>
            </w:r>
            <w:r w:rsidRPr="00E96DA9">
              <w:rPr>
                <w:rFonts w:ascii="Times New Roman" w:hAnsi="Times New Roman" w:cs="Times New Roman"/>
                <w:bCs/>
                <w:color w:val="000000"/>
              </w:rPr>
              <w:t>36</w:t>
            </w:r>
            <w:r w:rsidRPr="00E96DA9">
              <w:rPr>
                <w:rFonts w:ascii="Times New Roman" w:hAnsi="Times New Roman" w:cs="Times New Roman"/>
                <w:bCs/>
                <w:color w:val="000000"/>
                <w:vertAlign w:val="superscript"/>
              </w:rPr>
              <w:t>2</w:t>
            </w:r>
            <w:r w:rsidRPr="00E96DA9">
              <w:rPr>
                <w:rFonts w:ascii="Times New Roman" w:hAnsi="Times New Roman" w:cs="Times New Roman"/>
                <w:bCs/>
                <w:color w:val="000000"/>
              </w:rPr>
              <w:t xml:space="preserve"> straipsnio 1 dalies 7 punktą</w:t>
            </w:r>
            <w:r w:rsidRPr="00E96DA9">
              <w:rPr>
                <w:rFonts w:ascii="Times New Roman" w:hAnsi="Times New Roman" w:cs="Times New Roman"/>
                <w:color w:val="000000"/>
              </w:rPr>
              <w:t xml:space="preserve">) įgyvendinimą. </w:t>
            </w:r>
          </w:p>
        </w:tc>
      </w:tr>
      <w:tr w:rsidR="00E96DA9" w:rsidRPr="00E96DA9" w:rsidTr="004B2FA2">
        <w:tc>
          <w:tcPr>
            <w:tcW w:w="0" w:type="auto"/>
          </w:tcPr>
          <w:p w:rsidR="00E96DA9" w:rsidRPr="00E96DA9" w:rsidRDefault="005247B2" w:rsidP="00E96DA9">
            <w:pPr>
              <w:autoSpaceDE w:val="0"/>
              <w:autoSpaceDN w:val="0"/>
              <w:adjustRightInd w:val="0"/>
              <w:spacing w:line="264" w:lineRule="auto"/>
              <w:rPr>
                <w:rFonts w:ascii="Times New Roman" w:hAnsi="Times New Roman" w:cs="Times New Roman"/>
                <w:bCs/>
              </w:rPr>
            </w:pPr>
            <w:r>
              <w:rPr>
                <w:rFonts w:ascii="Times New Roman" w:hAnsi="Times New Roman" w:cs="Times New Roman"/>
                <w:bCs/>
              </w:rPr>
              <w:t>7.</w:t>
            </w:r>
          </w:p>
        </w:tc>
        <w:tc>
          <w:tcPr>
            <w:tcW w:w="0" w:type="auto"/>
          </w:tcPr>
          <w:p w:rsidR="00E96DA9" w:rsidRPr="00E96DA9" w:rsidRDefault="005247B2" w:rsidP="00E96DA9">
            <w:pPr>
              <w:rPr>
                <w:rFonts w:ascii="Times New Roman" w:hAnsi="Times New Roman" w:cs="Times New Roman"/>
              </w:rPr>
            </w:pPr>
            <w:r w:rsidRPr="00E96DA9">
              <w:rPr>
                <w:rFonts w:ascii="Times New Roman" w:hAnsi="Times New Roman" w:cs="Times New Roman"/>
              </w:rPr>
              <w:t>Lietuvos Respublikos Vyriausybės kanceliarijos Teisės grupė</w:t>
            </w:r>
          </w:p>
        </w:tc>
        <w:tc>
          <w:tcPr>
            <w:tcW w:w="0" w:type="auto"/>
          </w:tcPr>
          <w:p w:rsidR="00E96DA9" w:rsidRPr="00E96DA9" w:rsidRDefault="00E96DA9" w:rsidP="00E96DA9">
            <w:pPr>
              <w:tabs>
                <w:tab w:val="left" w:pos="449"/>
                <w:tab w:val="left" w:pos="669"/>
              </w:tabs>
              <w:jc w:val="both"/>
              <w:rPr>
                <w:rFonts w:ascii="Times New Roman" w:hAnsi="Times New Roman" w:cs="Times New Roman"/>
                <w:b/>
                <w:bCs/>
                <w:i/>
                <w:iCs/>
              </w:rPr>
            </w:pPr>
            <w:r w:rsidRPr="00E96DA9">
              <w:rPr>
                <w:rFonts w:ascii="Times New Roman" w:hAnsi="Times New Roman" w:cs="Times New Roman"/>
                <w:bCs/>
              </w:rPr>
              <w:t>Vertinant Projekto 11 straipsnyje (keičiamo įstatymo 35-1 straipsnio 14 dalyje) siūlomą nustatyti teisinį reguliavimą, svarstytina, ar pagal jį nebus užvedamos dvi bylos tuo atveju, jeigu suinteresuotas asmuo nesutiks su Valstybinės vartotojų teisių apsaugos tarnybos nutarimu, t. y. vieną – bendrosios kompetencijos teisme ginant savo kaip vartotojo interesus, kita – ginčijant administraciniame teisme Valstybinės vartotojų teisių apsaugos tarnybos priimtą sprendimą. Siūlytina įvertinti, ar toks teisinis reguliavimas būtų racionalus, prireikus, siūlytina jį koreguoti.</w:t>
            </w:r>
          </w:p>
        </w:tc>
        <w:tc>
          <w:tcPr>
            <w:tcW w:w="0" w:type="auto"/>
          </w:tcPr>
          <w:p w:rsidR="00E96DA9" w:rsidRPr="00E96DA9" w:rsidRDefault="00E96DA9" w:rsidP="00E96DA9">
            <w:pPr>
              <w:jc w:val="both"/>
              <w:rPr>
                <w:rFonts w:ascii="Times New Roman" w:hAnsi="Times New Roman" w:cs="Times New Roman"/>
                <w:color w:val="000000"/>
              </w:rPr>
            </w:pPr>
            <w:r w:rsidRPr="00E96DA9">
              <w:rPr>
                <w:rFonts w:ascii="Times New Roman" w:hAnsi="Times New Roman" w:cs="Times New Roman"/>
                <w:b/>
              </w:rPr>
              <w:t xml:space="preserve">Neatsižvelgta. </w:t>
            </w:r>
            <w:r w:rsidRPr="00E96DA9">
              <w:rPr>
                <w:rFonts w:ascii="Times New Roman" w:hAnsi="Times New Roman" w:cs="Times New Roman"/>
              </w:rPr>
              <w:t>Projekte nėra numatyta galimybė</w:t>
            </w:r>
            <w:r w:rsidRPr="00E96DA9">
              <w:rPr>
                <w:rFonts w:ascii="Times New Roman" w:hAnsi="Times New Roman" w:cs="Times New Roman"/>
                <w:b/>
              </w:rPr>
              <w:t xml:space="preserve"> </w:t>
            </w:r>
            <w:r w:rsidRPr="00E96DA9">
              <w:rPr>
                <w:rFonts w:ascii="Times New Roman" w:hAnsi="Times New Roman" w:cs="Times New Roman"/>
              </w:rPr>
              <w:t xml:space="preserve">suinteresuotiems asmenims užvesti dvi bylas (bendrosios kompetencijos ir administraciniame teisme), jeigu </w:t>
            </w:r>
            <w:r w:rsidRPr="00E96DA9">
              <w:rPr>
                <w:rFonts w:ascii="Times New Roman" w:hAnsi="Times New Roman" w:cs="Times New Roman"/>
                <w:bCs/>
              </w:rPr>
              <w:t>nesutinkama su Valstybinės vartotojų teisių apsaugos tarnybos nutarimu</w:t>
            </w:r>
            <w:r w:rsidRPr="00E96DA9">
              <w:rPr>
                <w:rFonts w:ascii="Times New Roman" w:hAnsi="Times New Roman" w:cs="Times New Roman"/>
              </w:rPr>
              <w:t xml:space="preserve">. Projekte reglamentuojama tik suinteresuoto asmens teisė pateikti </w:t>
            </w:r>
            <w:r w:rsidRPr="00E96DA9">
              <w:rPr>
                <w:rFonts w:ascii="Times New Roman" w:hAnsi="Times New Roman" w:cs="Times New Roman"/>
                <w:color w:val="000000"/>
              </w:rPr>
              <w:t xml:space="preserve">ieškinį bendrosios kompetencijos teisme. </w:t>
            </w:r>
          </w:p>
          <w:p w:rsidR="00E96DA9" w:rsidRPr="00E96DA9" w:rsidRDefault="00E96DA9" w:rsidP="00E96DA9">
            <w:pPr>
              <w:jc w:val="both"/>
              <w:rPr>
                <w:rFonts w:ascii="Times New Roman" w:hAnsi="Times New Roman" w:cs="Times New Roman"/>
                <w:color w:val="000000"/>
              </w:rPr>
            </w:pPr>
            <w:r w:rsidRPr="00E96DA9">
              <w:rPr>
                <w:rFonts w:ascii="Times New Roman" w:hAnsi="Times New Roman" w:cs="Times New Roman"/>
                <w:color w:val="000000"/>
              </w:rPr>
              <w:t xml:space="preserve">Atkreiptinas dėmesys į tai, kad tokia pati suinteresuotų asmenų, nesutinkančių su Tarnybos nutarimu, teisminė teisių gynimo tvarka nustatyta ir dėl vartojimo ginčų sprendimo (žr. Vartotojų teisių apsaugos įstatymo 28, 29 straipsnius). </w:t>
            </w:r>
          </w:p>
          <w:p w:rsidR="00E96DA9" w:rsidRPr="00E96DA9" w:rsidRDefault="00E96DA9" w:rsidP="00E96DA9">
            <w:pPr>
              <w:jc w:val="both"/>
              <w:rPr>
                <w:rFonts w:ascii="Times New Roman" w:hAnsi="Times New Roman" w:cs="Times New Roman"/>
              </w:rPr>
            </w:pPr>
            <w:r w:rsidRPr="00E96DA9">
              <w:rPr>
                <w:rFonts w:ascii="Times New Roman" w:hAnsi="Times New Roman" w:cs="Times New Roman"/>
                <w:color w:val="000000"/>
              </w:rPr>
              <w:lastRenderedPageBreak/>
              <w:t xml:space="preserve">Pažymėtina, kad ir šiuo metu tik bendrosios kompetencijos teismai sprendžia dėl vartojimo sutarčių sąlygų nesąžiningumo. </w:t>
            </w:r>
            <w:r w:rsidRPr="00E96DA9">
              <w:rPr>
                <w:rFonts w:ascii="Times New Roman" w:hAnsi="Times New Roman" w:cs="Times New Roman"/>
                <w:bCs/>
              </w:rPr>
              <w:t>Teismų praktikoje laikomasi pozicijos, kad Tarnybos nutarimo teisėtumo kontrolė reiškia civilinio ginčo išnagrinėjimą, kas priskirta bendrosios kompetencijos teismams, todėl tokie nutarimai neskųstini a</w:t>
            </w:r>
            <w:r w:rsidRPr="00E96DA9">
              <w:rPr>
                <w:rFonts w:ascii="Times New Roman" w:hAnsi="Times New Roman" w:cs="Times New Roman"/>
              </w:rPr>
              <w:t>dministraciniam teismui.</w:t>
            </w:r>
          </w:p>
        </w:tc>
      </w:tr>
      <w:tr w:rsidR="00E96DA9" w:rsidRPr="00E96DA9" w:rsidTr="004B2FA2">
        <w:tc>
          <w:tcPr>
            <w:tcW w:w="0" w:type="auto"/>
          </w:tcPr>
          <w:p w:rsidR="00E96DA9" w:rsidRPr="00E96DA9" w:rsidRDefault="005247B2" w:rsidP="00E96DA9">
            <w:pPr>
              <w:autoSpaceDE w:val="0"/>
              <w:autoSpaceDN w:val="0"/>
              <w:adjustRightInd w:val="0"/>
              <w:spacing w:line="264" w:lineRule="auto"/>
              <w:rPr>
                <w:rFonts w:ascii="Times New Roman" w:hAnsi="Times New Roman" w:cs="Times New Roman"/>
                <w:bCs/>
              </w:rPr>
            </w:pPr>
            <w:r>
              <w:rPr>
                <w:rFonts w:ascii="Times New Roman" w:hAnsi="Times New Roman" w:cs="Times New Roman"/>
                <w:bCs/>
              </w:rPr>
              <w:lastRenderedPageBreak/>
              <w:t>8.</w:t>
            </w:r>
          </w:p>
        </w:tc>
        <w:tc>
          <w:tcPr>
            <w:tcW w:w="0" w:type="auto"/>
          </w:tcPr>
          <w:p w:rsidR="00E96DA9" w:rsidRPr="00E96DA9" w:rsidRDefault="005247B2" w:rsidP="00E96DA9">
            <w:pPr>
              <w:rPr>
                <w:rFonts w:ascii="Times New Roman" w:hAnsi="Times New Roman" w:cs="Times New Roman"/>
              </w:rPr>
            </w:pPr>
            <w:r w:rsidRPr="00E96DA9">
              <w:rPr>
                <w:rFonts w:ascii="Times New Roman" w:hAnsi="Times New Roman" w:cs="Times New Roman"/>
              </w:rPr>
              <w:t>Lietuvos Respublikos Vyriausybės kanceliarijos Teisės grupė</w:t>
            </w:r>
            <w:bookmarkStart w:id="1" w:name="_GoBack"/>
            <w:bookmarkEnd w:id="1"/>
          </w:p>
        </w:tc>
        <w:tc>
          <w:tcPr>
            <w:tcW w:w="0" w:type="auto"/>
          </w:tcPr>
          <w:p w:rsidR="00E96DA9" w:rsidRPr="00E96DA9" w:rsidRDefault="00E96DA9" w:rsidP="00E96DA9">
            <w:pPr>
              <w:pStyle w:val="Betarp"/>
              <w:jc w:val="both"/>
              <w:rPr>
                <w:b/>
                <w:bCs/>
                <w:i/>
                <w:iCs/>
                <w:sz w:val="22"/>
                <w:szCs w:val="22"/>
              </w:rPr>
            </w:pPr>
            <w:r w:rsidRPr="00E96DA9">
              <w:rPr>
                <w:bCs/>
                <w:sz w:val="22"/>
                <w:szCs w:val="22"/>
              </w:rPr>
              <w:t>8.2. Projekto 13 straipsnio 3 dalį sukeisti su šio straipsnio 4 dalimi.</w:t>
            </w:r>
          </w:p>
        </w:tc>
        <w:tc>
          <w:tcPr>
            <w:tcW w:w="0" w:type="auto"/>
          </w:tcPr>
          <w:p w:rsidR="00E96DA9" w:rsidRPr="00E96DA9" w:rsidRDefault="00E96DA9" w:rsidP="00E96DA9">
            <w:pPr>
              <w:jc w:val="both"/>
              <w:rPr>
                <w:rFonts w:ascii="Times New Roman" w:hAnsi="Times New Roman" w:cs="Times New Roman"/>
                <w:b/>
              </w:rPr>
            </w:pPr>
            <w:r w:rsidRPr="00E96DA9">
              <w:rPr>
                <w:rFonts w:ascii="Times New Roman" w:hAnsi="Times New Roman" w:cs="Times New Roman"/>
                <w:b/>
              </w:rPr>
              <w:t xml:space="preserve">Neatsižvelgta. </w:t>
            </w:r>
            <w:r w:rsidRPr="00E96DA9">
              <w:rPr>
                <w:rFonts w:ascii="Times New Roman" w:hAnsi="Times New Roman" w:cs="Times New Roman"/>
              </w:rPr>
              <w:t>Siūlymas neatitinka teisės technikos reikalavimų.</w:t>
            </w:r>
          </w:p>
        </w:tc>
      </w:tr>
    </w:tbl>
    <w:p w:rsidR="006E04B1" w:rsidRPr="00E96DA9" w:rsidRDefault="00CC37E3">
      <w:pPr>
        <w:rPr>
          <w:rFonts w:ascii="Times New Roman" w:hAnsi="Times New Roman" w:cs="Times New Roman"/>
        </w:rPr>
      </w:pPr>
    </w:p>
    <w:sectPr w:rsidR="006E04B1" w:rsidRPr="00E96DA9" w:rsidSect="00C12AFA">
      <w:headerReference w:type="default" r:id="rId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7E3" w:rsidRDefault="00CC37E3" w:rsidP="00937A4B">
      <w:pPr>
        <w:spacing w:after="0" w:line="240" w:lineRule="auto"/>
      </w:pPr>
      <w:r>
        <w:separator/>
      </w:r>
    </w:p>
  </w:endnote>
  <w:endnote w:type="continuationSeparator" w:id="0">
    <w:p w:rsidR="00CC37E3" w:rsidRDefault="00CC37E3" w:rsidP="00937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7E3" w:rsidRDefault="00CC37E3" w:rsidP="00937A4B">
      <w:pPr>
        <w:spacing w:after="0" w:line="240" w:lineRule="auto"/>
      </w:pPr>
      <w:r>
        <w:separator/>
      </w:r>
    </w:p>
  </w:footnote>
  <w:footnote w:type="continuationSeparator" w:id="0">
    <w:p w:rsidR="00CC37E3" w:rsidRDefault="00CC37E3" w:rsidP="00937A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9847122"/>
      <w:docPartObj>
        <w:docPartGallery w:val="Page Numbers (Top of Page)"/>
        <w:docPartUnique/>
      </w:docPartObj>
    </w:sdtPr>
    <w:sdtEndPr>
      <w:rPr>
        <w:rFonts w:ascii="Times New Roman" w:hAnsi="Times New Roman" w:cs="Times New Roman"/>
        <w:sz w:val="24"/>
        <w:szCs w:val="24"/>
      </w:rPr>
    </w:sdtEndPr>
    <w:sdtContent>
      <w:p w:rsidR="00C12AFA" w:rsidRPr="00FD3D85" w:rsidRDefault="00C12AFA">
        <w:pPr>
          <w:pStyle w:val="Antrats"/>
          <w:jc w:val="center"/>
          <w:rPr>
            <w:rFonts w:ascii="Times New Roman" w:hAnsi="Times New Roman" w:cs="Times New Roman"/>
            <w:sz w:val="24"/>
            <w:szCs w:val="24"/>
          </w:rPr>
        </w:pPr>
        <w:r w:rsidRPr="00FD3D85">
          <w:rPr>
            <w:rFonts w:ascii="Times New Roman" w:hAnsi="Times New Roman" w:cs="Times New Roman"/>
            <w:sz w:val="24"/>
            <w:szCs w:val="24"/>
          </w:rPr>
          <w:fldChar w:fldCharType="begin"/>
        </w:r>
        <w:r w:rsidRPr="00FD3D85">
          <w:rPr>
            <w:rFonts w:ascii="Times New Roman" w:hAnsi="Times New Roman" w:cs="Times New Roman"/>
            <w:sz w:val="24"/>
            <w:szCs w:val="24"/>
          </w:rPr>
          <w:instrText>PAGE   \* MERGEFORMAT</w:instrText>
        </w:r>
        <w:r w:rsidRPr="00FD3D85">
          <w:rPr>
            <w:rFonts w:ascii="Times New Roman" w:hAnsi="Times New Roman" w:cs="Times New Roman"/>
            <w:sz w:val="24"/>
            <w:szCs w:val="24"/>
          </w:rPr>
          <w:fldChar w:fldCharType="separate"/>
        </w:r>
        <w:r w:rsidR="005247B2">
          <w:rPr>
            <w:rFonts w:ascii="Times New Roman" w:hAnsi="Times New Roman" w:cs="Times New Roman"/>
            <w:noProof/>
            <w:sz w:val="24"/>
            <w:szCs w:val="24"/>
          </w:rPr>
          <w:t>3</w:t>
        </w:r>
        <w:r w:rsidRPr="00FD3D85">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04820"/>
    <w:multiLevelType w:val="hybridMultilevel"/>
    <w:tmpl w:val="922E52D4"/>
    <w:lvl w:ilvl="0" w:tplc="9A9CBAAA">
      <w:start w:val="1"/>
      <w:numFmt w:val="decimal"/>
      <w:lvlText w:val="%1)"/>
      <w:lvlJc w:val="left"/>
      <w:pPr>
        <w:ind w:left="1069" w:hanging="360"/>
      </w:pPr>
      <w:rPr>
        <w:rFonts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D5A4BD0"/>
    <w:multiLevelType w:val="hybridMultilevel"/>
    <w:tmpl w:val="E8A82302"/>
    <w:lvl w:ilvl="0" w:tplc="5CBCF462">
      <w:start w:val="201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207F7C"/>
    <w:multiLevelType w:val="hybridMultilevel"/>
    <w:tmpl w:val="6E5648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10E47D8"/>
    <w:multiLevelType w:val="hybridMultilevel"/>
    <w:tmpl w:val="1134720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2E02FF4"/>
    <w:multiLevelType w:val="hybridMultilevel"/>
    <w:tmpl w:val="B0426648"/>
    <w:lvl w:ilvl="0" w:tplc="D568B37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70523D01"/>
    <w:multiLevelType w:val="hybridMultilevel"/>
    <w:tmpl w:val="88D845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6F6B1B"/>
    <w:multiLevelType w:val="hybridMultilevel"/>
    <w:tmpl w:val="1EBEAE6E"/>
    <w:lvl w:ilvl="0" w:tplc="82D00F10">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7" w15:restartNumberingAfterBreak="0">
    <w:nsid w:val="791F7FB2"/>
    <w:multiLevelType w:val="hybridMultilevel"/>
    <w:tmpl w:val="6F987C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C327E4"/>
    <w:multiLevelType w:val="hybridMultilevel"/>
    <w:tmpl w:val="D0BC6FA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7"/>
  </w:num>
  <w:num w:numId="3">
    <w:abstractNumId w:val="2"/>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D5E"/>
    <w:rsid w:val="00014AE6"/>
    <w:rsid w:val="00035D85"/>
    <w:rsid w:val="00036DE4"/>
    <w:rsid w:val="00044F9B"/>
    <w:rsid w:val="00045F59"/>
    <w:rsid w:val="0005772C"/>
    <w:rsid w:val="000956B8"/>
    <w:rsid w:val="000969A5"/>
    <w:rsid w:val="000A4574"/>
    <w:rsid w:val="000C127C"/>
    <w:rsid w:val="000F5BF3"/>
    <w:rsid w:val="00116859"/>
    <w:rsid w:val="00132F7D"/>
    <w:rsid w:val="00160C0D"/>
    <w:rsid w:val="00163C24"/>
    <w:rsid w:val="00167AC8"/>
    <w:rsid w:val="001709B1"/>
    <w:rsid w:val="00175A2A"/>
    <w:rsid w:val="0018631F"/>
    <w:rsid w:val="001B1FCA"/>
    <w:rsid w:val="001C5FA4"/>
    <w:rsid w:val="001D1F98"/>
    <w:rsid w:val="001F4788"/>
    <w:rsid w:val="00215715"/>
    <w:rsid w:val="00235FB3"/>
    <w:rsid w:val="00252C7B"/>
    <w:rsid w:val="002929B5"/>
    <w:rsid w:val="002958DE"/>
    <w:rsid w:val="002B2EBF"/>
    <w:rsid w:val="002E1AD3"/>
    <w:rsid w:val="002E5C69"/>
    <w:rsid w:val="0030518E"/>
    <w:rsid w:val="00325914"/>
    <w:rsid w:val="0033342E"/>
    <w:rsid w:val="00344058"/>
    <w:rsid w:val="003700D5"/>
    <w:rsid w:val="00394A2A"/>
    <w:rsid w:val="003A2B69"/>
    <w:rsid w:val="003B75A3"/>
    <w:rsid w:val="00410A8E"/>
    <w:rsid w:val="0044158A"/>
    <w:rsid w:val="0046556D"/>
    <w:rsid w:val="0047336E"/>
    <w:rsid w:val="00491FFE"/>
    <w:rsid w:val="00492FE6"/>
    <w:rsid w:val="00497974"/>
    <w:rsid w:val="004B2FA2"/>
    <w:rsid w:val="004F4C4A"/>
    <w:rsid w:val="0050704D"/>
    <w:rsid w:val="005208C9"/>
    <w:rsid w:val="00523EF6"/>
    <w:rsid w:val="005247B2"/>
    <w:rsid w:val="00534A36"/>
    <w:rsid w:val="00545A98"/>
    <w:rsid w:val="00554143"/>
    <w:rsid w:val="005622BB"/>
    <w:rsid w:val="00571C71"/>
    <w:rsid w:val="00583788"/>
    <w:rsid w:val="00590091"/>
    <w:rsid w:val="005B20B0"/>
    <w:rsid w:val="005B47C1"/>
    <w:rsid w:val="005C1619"/>
    <w:rsid w:val="005E6D45"/>
    <w:rsid w:val="00614D4E"/>
    <w:rsid w:val="00644871"/>
    <w:rsid w:val="00647E65"/>
    <w:rsid w:val="00682C07"/>
    <w:rsid w:val="0068452E"/>
    <w:rsid w:val="00687CFA"/>
    <w:rsid w:val="006A595E"/>
    <w:rsid w:val="006D10BD"/>
    <w:rsid w:val="006D6811"/>
    <w:rsid w:val="006E7B10"/>
    <w:rsid w:val="006F3811"/>
    <w:rsid w:val="0070274F"/>
    <w:rsid w:val="00714586"/>
    <w:rsid w:val="00745393"/>
    <w:rsid w:val="007C3639"/>
    <w:rsid w:val="007D5AB7"/>
    <w:rsid w:val="007E1264"/>
    <w:rsid w:val="007E1A5B"/>
    <w:rsid w:val="007F59CB"/>
    <w:rsid w:val="00806530"/>
    <w:rsid w:val="0081268F"/>
    <w:rsid w:val="0082028B"/>
    <w:rsid w:val="00823EA5"/>
    <w:rsid w:val="00846126"/>
    <w:rsid w:val="008718BF"/>
    <w:rsid w:val="00883DA2"/>
    <w:rsid w:val="008B480F"/>
    <w:rsid w:val="008B5933"/>
    <w:rsid w:val="008F1485"/>
    <w:rsid w:val="008F20DD"/>
    <w:rsid w:val="00910360"/>
    <w:rsid w:val="00937A4B"/>
    <w:rsid w:val="009475E6"/>
    <w:rsid w:val="0095379F"/>
    <w:rsid w:val="00962D95"/>
    <w:rsid w:val="00964A8A"/>
    <w:rsid w:val="00974696"/>
    <w:rsid w:val="009B7A9A"/>
    <w:rsid w:val="009E2D98"/>
    <w:rsid w:val="009F7423"/>
    <w:rsid w:val="00A01790"/>
    <w:rsid w:val="00A12FD6"/>
    <w:rsid w:val="00A14E38"/>
    <w:rsid w:val="00A154E7"/>
    <w:rsid w:val="00A15AE3"/>
    <w:rsid w:val="00A20EAF"/>
    <w:rsid w:val="00A30469"/>
    <w:rsid w:val="00A325BD"/>
    <w:rsid w:val="00A3635B"/>
    <w:rsid w:val="00A4417C"/>
    <w:rsid w:val="00A73CBE"/>
    <w:rsid w:val="00A8385E"/>
    <w:rsid w:val="00A83892"/>
    <w:rsid w:val="00AB5761"/>
    <w:rsid w:val="00AC12EB"/>
    <w:rsid w:val="00AC1E4B"/>
    <w:rsid w:val="00AC58F2"/>
    <w:rsid w:val="00AC5F6E"/>
    <w:rsid w:val="00AD7973"/>
    <w:rsid w:val="00AE19BD"/>
    <w:rsid w:val="00B00DC2"/>
    <w:rsid w:val="00B2281C"/>
    <w:rsid w:val="00B25E31"/>
    <w:rsid w:val="00B36CB2"/>
    <w:rsid w:val="00B601AB"/>
    <w:rsid w:val="00BC3D36"/>
    <w:rsid w:val="00BD5011"/>
    <w:rsid w:val="00BE57EF"/>
    <w:rsid w:val="00BF68FA"/>
    <w:rsid w:val="00C00035"/>
    <w:rsid w:val="00C1237B"/>
    <w:rsid w:val="00C12AFA"/>
    <w:rsid w:val="00C179D7"/>
    <w:rsid w:val="00C55236"/>
    <w:rsid w:val="00C6059D"/>
    <w:rsid w:val="00C773DB"/>
    <w:rsid w:val="00CC37E3"/>
    <w:rsid w:val="00CD36BE"/>
    <w:rsid w:val="00CF7271"/>
    <w:rsid w:val="00D02339"/>
    <w:rsid w:val="00D03EDD"/>
    <w:rsid w:val="00D2075C"/>
    <w:rsid w:val="00D229A1"/>
    <w:rsid w:val="00D63BE9"/>
    <w:rsid w:val="00D8222A"/>
    <w:rsid w:val="00DA55D5"/>
    <w:rsid w:val="00DA7EA0"/>
    <w:rsid w:val="00DB043A"/>
    <w:rsid w:val="00DE4F91"/>
    <w:rsid w:val="00E021C6"/>
    <w:rsid w:val="00E82866"/>
    <w:rsid w:val="00E90CC6"/>
    <w:rsid w:val="00E90D3C"/>
    <w:rsid w:val="00E92E2C"/>
    <w:rsid w:val="00E96DA9"/>
    <w:rsid w:val="00ED0642"/>
    <w:rsid w:val="00EF4148"/>
    <w:rsid w:val="00F00FC0"/>
    <w:rsid w:val="00F70FAB"/>
    <w:rsid w:val="00FB293D"/>
    <w:rsid w:val="00FD1D5E"/>
    <w:rsid w:val="00FD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CA802D-F858-4CC7-A774-AAF3FB56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D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FD1D5E"/>
    <w:pPr>
      <w:ind w:left="720"/>
      <w:contextualSpacing/>
    </w:pPr>
  </w:style>
  <w:style w:type="character" w:styleId="Hipersaitas">
    <w:name w:val="Hyperlink"/>
    <w:basedOn w:val="Numatytasispastraiposriftas"/>
    <w:uiPriority w:val="99"/>
    <w:unhideWhenUsed/>
    <w:rsid w:val="00937A4B"/>
    <w:rPr>
      <w:color w:val="0563C1" w:themeColor="hyperlink"/>
      <w:u w:val="single"/>
    </w:rPr>
  </w:style>
  <w:style w:type="paragraph" w:styleId="Puslapioinaostekstas">
    <w:name w:val="footnote text"/>
    <w:basedOn w:val="prastasis"/>
    <w:link w:val="PuslapioinaostekstasDiagrama"/>
    <w:uiPriority w:val="99"/>
    <w:unhideWhenUsed/>
    <w:rsid w:val="00937A4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937A4B"/>
    <w:rPr>
      <w:rFonts w:ascii="Times New Roman" w:eastAsia="Times New Roman" w:hAnsi="Times New Roman" w:cs="Times New Roman"/>
      <w:sz w:val="20"/>
      <w:szCs w:val="20"/>
    </w:rPr>
  </w:style>
  <w:style w:type="character" w:styleId="Puslapioinaosnuoroda">
    <w:name w:val="footnote reference"/>
    <w:uiPriority w:val="99"/>
    <w:unhideWhenUsed/>
    <w:rsid w:val="00937A4B"/>
    <w:rPr>
      <w:vertAlign w:val="superscript"/>
    </w:rPr>
  </w:style>
  <w:style w:type="paragraph" w:styleId="Antrats">
    <w:name w:val="header"/>
    <w:basedOn w:val="prastasis"/>
    <w:link w:val="AntratsDiagrama"/>
    <w:uiPriority w:val="99"/>
    <w:unhideWhenUsed/>
    <w:rsid w:val="00C12A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AFA"/>
  </w:style>
  <w:style w:type="paragraph" w:styleId="Porat">
    <w:name w:val="footer"/>
    <w:basedOn w:val="prastasis"/>
    <w:link w:val="PoratDiagrama"/>
    <w:uiPriority w:val="99"/>
    <w:unhideWhenUsed/>
    <w:rsid w:val="00C12AF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AFA"/>
  </w:style>
  <w:style w:type="paragraph" w:styleId="Betarp">
    <w:name w:val="No Spacing"/>
    <w:link w:val="BetarpDiagrama"/>
    <w:qFormat/>
    <w:rsid w:val="00571C71"/>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BetarpDiagrama">
    <w:name w:val="Be tarpų Diagrama"/>
    <w:link w:val="Betarp"/>
    <w:locked/>
    <w:rsid w:val="00571C71"/>
    <w:rPr>
      <w:rFonts w:ascii="Times New Roman" w:eastAsia="Times New Roman" w:hAnsi="Times New Roman" w:cs="Times New Roman"/>
      <w:sz w:val="20"/>
      <w:szCs w:val="20"/>
      <w:lang w:eastAsia="lt-LT"/>
    </w:rPr>
  </w:style>
  <w:style w:type="paragraph" w:styleId="Komentarotekstas">
    <w:name w:val="annotation text"/>
    <w:basedOn w:val="prastasis"/>
    <w:link w:val="KomentarotekstasDiagrama"/>
    <w:rsid w:val="00AC5F6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AC5F6E"/>
    <w:rPr>
      <w:rFonts w:ascii="Times New Roman" w:eastAsia="Times New Roman" w:hAnsi="Times New Roman" w:cs="Times New Roman"/>
      <w:sz w:val="20"/>
      <w:szCs w:val="20"/>
      <w:lang w:eastAsia="lt-LT"/>
    </w:rPr>
  </w:style>
  <w:style w:type="character" w:customStyle="1" w:styleId="bold1">
    <w:name w:val="bold1"/>
    <w:basedOn w:val="Numatytasispastraiposriftas"/>
    <w:rsid w:val="00AC5F6E"/>
    <w:rPr>
      <w:b/>
      <w:bCs/>
    </w:rPr>
  </w:style>
  <w:style w:type="paragraph" w:customStyle="1" w:styleId="Default">
    <w:name w:val="Default"/>
    <w:rsid w:val="0011685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027927">
      <w:bodyDiv w:val="1"/>
      <w:marLeft w:val="0"/>
      <w:marRight w:val="0"/>
      <w:marTop w:val="0"/>
      <w:marBottom w:val="0"/>
      <w:divBdr>
        <w:top w:val="none" w:sz="0" w:space="0" w:color="auto"/>
        <w:left w:val="none" w:sz="0" w:space="0" w:color="auto"/>
        <w:bottom w:val="none" w:sz="0" w:space="0" w:color="auto"/>
        <w:right w:val="none" w:sz="0" w:space="0" w:color="auto"/>
      </w:divBdr>
    </w:div>
    <w:div w:id="151144973">
      <w:bodyDiv w:val="1"/>
      <w:marLeft w:val="0"/>
      <w:marRight w:val="0"/>
      <w:marTop w:val="0"/>
      <w:marBottom w:val="0"/>
      <w:divBdr>
        <w:top w:val="none" w:sz="0" w:space="0" w:color="auto"/>
        <w:left w:val="none" w:sz="0" w:space="0" w:color="auto"/>
        <w:bottom w:val="none" w:sz="0" w:space="0" w:color="auto"/>
        <w:right w:val="none" w:sz="0" w:space="0" w:color="auto"/>
      </w:divBdr>
    </w:div>
    <w:div w:id="382606464">
      <w:bodyDiv w:val="1"/>
      <w:marLeft w:val="0"/>
      <w:marRight w:val="0"/>
      <w:marTop w:val="0"/>
      <w:marBottom w:val="0"/>
      <w:divBdr>
        <w:top w:val="none" w:sz="0" w:space="0" w:color="auto"/>
        <w:left w:val="none" w:sz="0" w:space="0" w:color="auto"/>
        <w:bottom w:val="none" w:sz="0" w:space="0" w:color="auto"/>
        <w:right w:val="none" w:sz="0" w:space="0" w:color="auto"/>
      </w:divBdr>
      <w:divsChild>
        <w:div w:id="1467166130">
          <w:marLeft w:val="0"/>
          <w:marRight w:val="0"/>
          <w:marTop w:val="0"/>
          <w:marBottom w:val="0"/>
          <w:divBdr>
            <w:top w:val="none" w:sz="0" w:space="0" w:color="auto"/>
            <w:left w:val="none" w:sz="0" w:space="0" w:color="auto"/>
            <w:bottom w:val="none" w:sz="0" w:space="0" w:color="auto"/>
            <w:right w:val="none" w:sz="0" w:space="0" w:color="auto"/>
          </w:divBdr>
          <w:divsChild>
            <w:div w:id="280109601">
              <w:marLeft w:val="0"/>
              <w:marRight w:val="0"/>
              <w:marTop w:val="0"/>
              <w:marBottom w:val="0"/>
              <w:divBdr>
                <w:top w:val="none" w:sz="0" w:space="0" w:color="auto"/>
                <w:left w:val="none" w:sz="0" w:space="0" w:color="auto"/>
                <w:bottom w:val="none" w:sz="0" w:space="0" w:color="auto"/>
                <w:right w:val="none" w:sz="0" w:space="0" w:color="auto"/>
              </w:divBdr>
              <w:divsChild>
                <w:div w:id="777139167">
                  <w:marLeft w:val="0"/>
                  <w:marRight w:val="0"/>
                  <w:marTop w:val="0"/>
                  <w:marBottom w:val="0"/>
                  <w:divBdr>
                    <w:top w:val="none" w:sz="0" w:space="0" w:color="auto"/>
                    <w:left w:val="none" w:sz="0" w:space="0" w:color="auto"/>
                    <w:bottom w:val="none" w:sz="0" w:space="0" w:color="auto"/>
                    <w:right w:val="none" w:sz="0" w:space="0" w:color="auto"/>
                  </w:divBdr>
                  <w:divsChild>
                    <w:div w:id="1290621665">
                      <w:marLeft w:val="0"/>
                      <w:marRight w:val="0"/>
                      <w:marTop w:val="0"/>
                      <w:marBottom w:val="0"/>
                      <w:divBdr>
                        <w:top w:val="none" w:sz="0" w:space="0" w:color="auto"/>
                        <w:left w:val="none" w:sz="0" w:space="0" w:color="auto"/>
                        <w:bottom w:val="none" w:sz="0" w:space="0" w:color="auto"/>
                        <w:right w:val="none" w:sz="0" w:space="0" w:color="auto"/>
                      </w:divBdr>
                      <w:divsChild>
                        <w:div w:id="101754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070987">
      <w:bodyDiv w:val="1"/>
      <w:marLeft w:val="0"/>
      <w:marRight w:val="0"/>
      <w:marTop w:val="0"/>
      <w:marBottom w:val="0"/>
      <w:divBdr>
        <w:top w:val="none" w:sz="0" w:space="0" w:color="auto"/>
        <w:left w:val="none" w:sz="0" w:space="0" w:color="auto"/>
        <w:bottom w:val="none" w:sz="0" w:space="0" w:color="auto"/>
        <w:right w:val="none" w:sz="0" w:space="0" w:color="auto"/>
      </w:divBdr>
    </w:div>
    <w:div w:id="601185917">
      <w:bodyDiv w:val="1"/>
      <w:marLeft w:val="0"/>
      <w:marRight w:val="0"/>
      <w:marTop w:val="0"/>
      <w:marBottom w:val="0"/>
      <w:divBdr>
        <w:top w:val="none" w:sz="0" w:space="0" w:color="auto"/>
        <w:left w:val="none" w:sz="0" w:space="0" w:color="auto"/>
        <w:bottom w:val="none" w:sz="0" w:space="0" w:color="auto"/>
        <w:right w:val="none" w:sz="0" w:space="0" w:color="auto"/>
      </w:divBdr>
    </w:div>
    <w:div w:id="929118181">
      <w:bodyDiv w:val="1"/>
      <w:marLeft w:val="0"/>
      <w:marRight w:val="0"/>
      <w:marTop w:val="0"/>
      <w:marBottom w:val="0"/>
      <w:divBdr>
        <w:top w:val="none" w:sz="0" w:space="0" w:color="auto"/>
        <w:left w:val="none" w:sz="0" w:space="0" w:color="auto"/>
        <w:bottom w:val="none" w:sz="0" w:space="0" w:color="auto"/>
        <w:right w:val="none" w:sz="0" w:space="0" w:color="auto"/>
      </w:divBdr>
    </w:div>
    <w:div w:id="1358972388">
      <w:bodyDiv w:val="1"/>
      <w:marLeft w:val="0"/>
      <w:marRight w:val="0"/>
      <w:marTop w:val="0"/>
      <w:marBottom w:val="0"/>
      <w:divBdr>
        <w:top w:val="none" w:sz="0" w:space="0" w:color="auto"/>
        <w:left w:val="none" w:sz="0" w:space="0" w:color="auto"/>
        <w:bottom w:val="none" w:sz="0" w:space="0" w:color="auto"/>
        <w:right w:val="none" w:sz="0" w:space="0" w:color="auto"/>
      </w:divBdr>
    </w:div>
    <w:div w:id="1563129838">
      <w:bodyDiv w:val="1"/>
      <w:marLeft w:val="0"/>
      <w:marRight w:val="0"/>
      <w:marTop w:val="0"/>
      <w:marBottom w:val="0"/>
      <w:divBdr>
        <w:top w:val="none" w:sz="0" w:space="0" w:color="auto"/>
        <w:left w:val="none" w:sz="0" w:space="0" w:color="auto"/>
        <w:bottom w:val="none" w:sz="0" w:space="0" w:color="auto"/>
        <w:right w:val="none" w:sz="0" w:space="0" w:color="auto"/>
      </w:divBdr>
    </w:div>
    <w:div w:id="1663729610">
      <w:bodyDiv w:val="1"/>
      <w:marLeft w:val="0"/>
      <w:marRight w:val="0"/>
      <w:marTop w:val="0"/>
      <w:marBottom w:val="0"/>
      <w:divBdr>
        <w:top w:val="none" w:sz="0" w:space="0" w:color="auto"/>
        <w:left w:val="none" w:sz="0" w:space="0" w:color="auto"/>
        <w:bottom w:val="none" w:sz="0" w:space="0" w:color="auto"/>
        <w:right w:val="none" w:sz="0" w:space="0" w:color="auto"/>
      </w:divBdr>
      <w:divsChild>
        <w:div w:id="2125423862">
          <w:marLeft w:val="0"/>
          <w:marRight w:val="0"/>
          <w:marTop w:val="0"/>
          <w:marBottom w:val="0"/>
          <w:divBdr>
            <w:top w:val="none" w:sz="0" w:space="0" w:color="auto"/>
            <w:left w:val="none" w:sz="0" w:space="0" w:color="auto"/>
            <w:bottom w:val="none" w:sz="0" w:space="0" w:color="auto"/>
            <w:right w:val="none" w:sz="0" w:space="0" w:color="auto"/>
          </w:divBdr>
          <w:divsChild>
            <w:div w:id="858857214">
              <w:marLeft w:val="0"/>
              <w:marRight w:val="0"/>
              <w:marTop w:val="0"/>
              <w:marBottom w:val="0"/>
              <w:divBdr>
                <w:top w:val="none" w:sz="0" w:space="0" w:color="auto"/>
                <w:left w:val="none" w:sz="0" w:space="0" w:color="auto"/>
                <w:bottom w:val="none" w:sz="0" w:space="0" w:color="auto"/>
                <w:right w:val="none" w:sz="0" w:space="0" w:color="auto"/>
              </w:divBdr>
              <w:divsChild>
                <w:div w:id="902637325">
                  <w:marLeft w:val="0"/>
                  <w:marRight w:val="0"/>
                  <w:marTop w:val="0"/>
                  <w:marBottom w:val="0"/>
                  <w:divBdr>
                    <w:top w:val="none" w:sz="0" w:space="0" w:color="auto"/>
                    <w:left w:val="none" w:sz="0" w:space="0" w:color="auto"/>
                    <w:bottom w:val="none" w:sz="0" w:space="0" w:color="auto"/>
                    <w:right w:val="none" w:sz="0" w:space="0" w:color="auto"/>
                  </w:divBdr>
                  <w:divsChild>
                    <w:div w:id="1145780109">
                      <w:marLeft w:val="0"/>
                      <w:marRight w:val="0"/>
                      <w:marTop w:val="0"/>
                      <w:marBottom w:val="0"/>
                      <w:divBdr>
                        <w:top w:val="none" w:sz="0" w:space="0" w:color="auto"/>
                        <w:left w:val="none" w:sz="0" w:space="0" w:color="auto"/>
                        <w:bottom w:val="none" w:sz="0" w:space="0" w:color="auto"/>
                        <w:right w:val="none" w:sz="0" w:space="0" w:color="auto"/>
                      </w:divBdr>
                      <w:divsChild>
                        <w:div w:id="20749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2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7182</Words>
  <Characters>4095</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11255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2020-10-14T05:41:00Z</dcterms:created>
  <dc:creator>Algis Baležentis</dc:creator>
  <cp:lastModifiedBy>Algis Baležentis</cp:lastModifiedBy>
  <dcterms:modified xsi:type="dcterms:W3CDTF">2020-10-14T05:52:00Z</dcterms:modified>
  <cp:revision>3</cp:revision>
</cp:coreProperties>
</file>